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A0DA7" w14:textId="77777777" w:rsidR="005E70A9" w:rsidRPr="00A661DA" w:rsidRDefault="005E70A9" w:rsidP="005E70A9">
      <w:pPr>
        <w:overflowPunct/>
        <w:ind w:left="567"/>
        <w:textAlignment w:val="auto"/>
        <w:rPr>
          <w:rFonts w:ascii="Times New Roman Bold" w:hAnsi="Times New Roman Bold"/>
          <w:b/>
          <w:bCs/>
          <w:caps/>
          <w:sz w:val="24"/>
          <w:szCs w:val="24"/>
          <w:lang w:val="en-US" w:eastAsia="en-GB"/>
        </w:rPr>
      </w:pPr>
      <w:r w:rsidRPr="00A661DA">
        <w:rPr>
          <w:rFonts w:ascii="Times New Roman Bold" w:hAnsi="Times New Roman Bold"/>
          <w:b/>
          <w:bCs/>
          <w:caps/>
          <w:sz w:val="24"/>
          <w:szCs w:val="24"/>
          <w:lang w:val="en-US" w:eastAsia="en-GB"/>
        </w:rPr>
        <w:t>Management of Co-57 &amp; Ge-68/Ga-68 sealed</w:t>
      </w:r>
    </w:p>
    <w:p w14:paraId="3503CBEC" w14:textId="77777777" w:rsidR="005E70A9" w:rsidRDefault="005E70A9" w:rsidP="005E70A9">
      <w:pPr>
        <w:overflowPunct/>
        <w:ind w:left="567"/>
        <w:textAlignment w:val="auto"/>
        <w:rPr>
          <w:rFonts w:ascii="Times New Roman Bold" w:hAnsi="Times New Roman Bold"/>
          <w:b/>
          <w:bCs/>
          <w:caps/>
          <w:sz w:val="24"/>
          <w:szCs w:val="24"/>
          <w:lang w:val="en-US" w:eastAsia="en-GB"/>
        </w:rPr>
      </w:pPr>
      <w:r w:rsidRPr="00A661DA">
        <w:rPr>
          <w:rFonts w:ascii="Times New Roman Bold" w:hAnsi="Times New Roman Bold"/>
          <w:b/>
          <w:bCs/>
          <w:caps/>
          <w:sz w:val="24"/>
          <w:szCs w:val="24"/>
          <w:lang w:val="en-US" w:eastAsia="en-GB"/>
        </w:rPr>
        <w:t>radioa</w:t>
      </w:r>
      <w:r>
        <w:rPr>
          <w:rFonts w:ascii="Times New Roman Bold" w:hAnsi="Times New Roman Bold"/>
          <w:b/>
          <w:bCs/>
          <w:caps/>
          <w:sz w:val="24"/>
          <w:szCs w:val="24"/>
          <w:lang w:val="en-US" w:eastAsia="en-GB"/>
        </w:rPr>
        <w:t>ctive sources that are used for</w:t>
      </w:r>
    </w:p>
    <w:p w14:paraId="19D0A395" w14:textId="1A31B2F1" w:rsidR="005E70A9" w:rsidRPr="005E70A9" w:rsidRDefault="005E70A9" w:rsidP="005E70A9">
      <w:pPr>
        <w:overflowPunct/>
        <w:ind w:left="567"/>
        <w:textAlignment w:val="auto"/>
        <w:rPr>
          <w:b/>
          <w:bCs/>
          <w:szCs w:val="24"/>
          <w:lang w:eastAsia="en-GB"/>
        </w:rPr>
      </w:pPr>
      <w:r w:rsidRPr="00A661DA">
        <w:rPr>
          <w:rFonts w:ascii="Times New Roman Bold" w:hAnsi="Times New Roman Bold"/>
          <w:b/>
          <w:bCs/>
          <w:caps/>
          <w:sz w:val="24"/>
          <w:szCs w:val="24"/>
          <w:lang w:val="en-US" w:eastAsia="en-GB"/>
        </w:rPr>
        <w:t>calibration of</w:t>
      </w:r>
      <w:r w:rsidRPr="005E70A9">
        <w:rPr>
          <w:rFonts w:ascii="Times New Roman Bold" w:hAnsi="Times New Roman Bold"/>
          <w:b/>
          <w:bCs/>
          <w:caps/>
          <w:sz w:val="24"/>
          <w:szCs w:val="24"/>
          <w:lang w:val="en-US" w:eastAsia="en-GB"/>
        </w:rPr>
        <w:t xml:space="preserve"> nuclear medicine systems</w:t>
      </w:r>
    </w:p>
    <w:p w14:paraId="433FE03E" w14:textId="43372182" w:rsidR="003B5E0E" w:rsidRPr="003B5E0E" w:rsidRDefault="003B5E0E" w:rsidP="00537496">
      <w:pPr>
        <w:pStyle w:val="Subtitle"/>
      </w:pPr>
    </w:p>
    <w:p w14:paraId="433FE03F" w14:textId="77777777" w:rsidR="00802381" w:rsidRDefault="00802381" w:rsidP="00537496">
      <w:pPr>
        <w:pStyle w:val="Authornameandaffiliation"/>
      </w:pPr>
    </w:p>
    <w:p w14:paraId="433FE040" w14:textId="5803D490" w:rsidR="003B5E0E" w:rsidRDefault="00FF386F" w:rsidP="00537496">
      <w:pPr>
        <w:pStyle w:val="Authornameandaffiliation"/>
      </w:pPr>
      <w:r>
        <w:t>A</w:t>
      </w:r>
      <w:r w:rsidRPr="00FF386F">
        <w:t>.</w:t>
      </w:r>
      <w:r w:rsidR="005E70A9">
        <w:t>IO</w:t>
      </w:r>
      <w:r w:rsidR="007149CC">
        <w:t>A</w:t>
      </w:r>
      <w:r w:rsidR="005E70A9">
        <w:t>NNIDOU</w:t>
      </w:r>
    </w:p>
    <w:p w14:paraId="433FE041" w14:textId="73644F84" w:rsidR="00FF386F" w:rsidRDefault="005E70A9" w:rsidP="00537496">
      <w:pPr>
        <w:pStyle w:val="Authornameandaffiliation"/>
      </w:pPr>
      <w:r>
        <w:t>Aristotle University of Thessaloniki</w:t>
      </w:r>
      <w:r w:rsidR="006C6732">
        <w:t xml:space="preserve">, Physics </w:t>
      </w:r>
      <w:proofErr w:type="spellStart"/>
      <w:r w:rsidR="006C6732">
        <w:t>Departm</w:t>
      </w:r>
      <w:proofErr w:type="spellEnd"/>
      <w:r w:rsidR="006C6732">
        <w:t>, Nuclear Physics Lab</w:t>
      </w:r>
    </w:p>
    <w:p w14:paraId="433FE042" w14:textId="7AF7DD04" w:rsidR="00FF386F" w:rsidRDefault="005E70A9" w:rsidP="00537496">
      <w:pPr>
        <w:pStyle w:val="Authornameandaffiliation"/>
      </w:pPr>
      <w:r>
        <w:t>Thessaloniki, Greece</w:t>
      </w:r>
    </w:p>
    <w:p w14:paraId="433FE043" w14:textId="0C92E3AE" w:rsidR="00FF386F" w:rsidRDefault="00FF386F" w:rsidP="00537496">
      <w:pPr>
        <w:pStyle w:val="Authornameandaffiliation"/>
      </w:pPr>
      <w:r>
        <w:t xml:space="preserve">Email: </w:t>
      </w:r>
      <w:hyperlink r:id="rId12" w:history="1">
        <w:r w:rsidR="00071632" w:rsidRPr="00A62F45">
          <w:rPr>
            <w:rStyle w:val="Hyperlink"/>
          </w:rPr>
          <w:t>anta@physics.auth.gr</w:t>
        </w:r>
      </w:hyperlink>
    </w:p>
    <w:p w14:paraId="0E538C4D" w14:textId="77777777" w:rsidR="00071632" w:rsidRDefault="00071632" w:rsidP="00537496">
      <w:pPr>
        <w:pStyle w:val="Authornameandaffiliation"/>
      </w:pPr>
    </w:p>
    <w:p w14:paraId="433FE045" w14:textId="7CFE80F8" w:rsidR="00FF386F" w:rsidRPr="00FF386F" w:rsidRDefault="00A0001A" w:rsidP="00537496">
      <w:pPr>
        <w:pStyle w:val="Authornameandaffiliation"/>
      </w:pPr>
      <w:r>
        <w:t>T</w:t>
      </w:r>
      <w:r w:rsidR="00FF386F" w:rsidRPr="00FF386F">
        <w:t xml:space="preserve">. </w:t>
      </w:r>
      <w:r>
        <w:t>SIARAFERA</w:t>
      </w:r>
    </w:p>
    <w:p w14:paraId="369C84FE" w14:textId="77777777" w:rsidR="006C6732" w:rsidRDefault="00A0001A" w:rsidP="006C6732">
      <w:pPr>
        <w:pStyle w:val="Authornameandaffiliation"/>
      </w:pPr>
      <w:r>
        <w:t>Aristotle University of Thessaloniki</w:t>
      </w:r>
      <w:r w:rsidR="006C6732">
        <w:t xml:space="preserve">, Physics </w:t>
      </w:r>
      <w:proofErr w:type="spellStart"/>
      <w:r w:rsidR="006C6732">
        <w:t>Departm</w:t>
      </w:r>
      <w:proofErr w:type="spellEnd"/>
      <w:r w:rsidR="006C6732">
        <w:t>, Nuclear Physics Lab</w:t>
      </w:r>
    </w:p>
    <w:p w14:paraId="76ADE115" w14:textId="77777777" w:rsidR="00A0001A" w:rsidRDefault="00A0001A" w:rsidP="00A0001A">
      <w:pPr>
        <w:pStyle w:val="Authornameandaffiliation"/>
      </w:pPr>
      <w:r>
        <w:t>Thessaloniki, Greece</w:t>
      </w:r>
    </w:p>
    <w:p w14:paraId="429A1D03" w14:textId="17F37C46" w:rsidR="00A0001A" w:rsidRDefault="00A0001A" w:rsidP="00A0001A">
      <w:pPr>
        <w:pStyle w:val="Authornameandaffiliation"/>
      </w:pPr>
      <w:r>
        <w:t xml:space="preserve">Email: </w:t>
      </w:r>
      <w:hyperlink r:id="rId13" w:history="1">
        <w:r w:rsidR="00071632" w:rsidRPr="00A62F45">
          <w:rPr>
            <w:rStyle w:val="Hyperlink"/>
          </w:rPr>
          <w:t>tsiarafer@physics.auth.gr</w:t>
        </w:r>
      </w:hyperlink>
    </w:p>
    <w:p w14:paraId="42EDC121" w14:textId="77777777" w:rsidR="00071632" w:rsidRDefault="00071632" w:rsidP="00A0001A">
      <w:pPr>
        <w:pStyle w:val="Authornameandaffiliation"/>
      </w:pPr>
    </w:p>
    <w:p w14:paraId="0087999E" w14:textId="5F9A0043" w:rsidR="006770B3" w:rsidRPr="00FF386F" w:rsidRDefault="006770B3" w:rsidP="006770B3">
      <w:pPr>
        <w:pStyle w:val="Authornameandaffiliation"/>
      </w:pPr>
      <w:r>
        <w:t>E</w:t>
      </w:r>
      <w:r w:rsidRPr="00FF386F">
        <w:t xml:space="preserve">. </w:t>
      </w:r>
      <w:r>
        <w:t>DALLA</w:t>
      </w:r>
    </w:p>
    <w:p w14:paraId="3CD64CE6" w14:textId="1699E01E" w:rsidR="006770B3" w:rsidRPr="00086843" w:rsidRDefault="006770B3" w:rsidP="006770B3">
      <w:pPr>
        <w:pStyle w:val="Authornameandaffiliation"/>
      </w:pPr>
      <w:r w:rsidRPr="006770B3">
        <w:rPr>
          <w:lang w:eastAsia="en-GB"/>
        </w:rPr>
        <w:t>National Center of Scientific Research “</w:t>
      </w:r>
      <w:proofErr w:type="spellStart"/>
      <w:r w:rsidRPr="006770B3">
        <w:rPr>
          <w:lang w:eastAsia="en-GB"/>
        </w:rPr>
        <w:t>Demokritos</w:t>
      </w:r>
      <w:proofErr w:type="spellEnd"/>
      <w:r w:rsidRPr="006770B3">
        <w:rPr>
          <w:lang w:eastAsia="en-GB"/>
        </w:rPr>
        <w:t>”</w:t>
      </w:r>
      <w:r w:rsidR="00086843">
        <w:t xml:space="preserve">, </w:t>
      </w:r>
      <w:r w:rsidR="00086843" w:rsidRPr="00086843">
        <w:rPr>
          <w:lang w:eastAsia="en-GB"/>
        </w:rPr>
        <w:t>Radioactive Waste &amp; Material Laboratory</w:t>
      </w:r>
    </w:p>
    <w:p w14:paraId="0D6A4005" w14:textId="368D50BA" w:rsidR="006770B3" w:rsidRPr="006770B3" w:rsidRDefault="006770B3" w:rsidP="006770B3">
      <w:pPr>
        <w:pStyle w:val="Authornameandaffiliation"/>
      </w:pPr>
      <w:r>
        <w:t>Athens</w:t>
      </w:r>
      <w:r w:rsidRPr="006770B3">
        <w:t>, Greece</w:t>
      </w:r>
    </w:p>
    <w:p w14:paraId="4026ABCD" w14:textId="5A950727" w:rsidR="006770B3" w:rsidRDefault="006770B3" w:rsidP="006770B3">
      <w:pPr>
        <w:pStyle w:val="Authornameandaffiliation"/>
        <w:rPr>
          <w:color w:val="4D5156"/>
          <w:shd w:val="clear" w:color="auto" w:fill="FFFFFF"/>
        </w:rPr>
      </w:pPr>
      <w:r>
        <w:t xml:space="preserve">Email: </w:t>
      </w:r>
      <w:hyperlink r:id="rId14" w:history="1">
        <w:r w:rsidR="00B24DDC" w:rsidRPr="00A62F45">
          <w:rPr>
            <w:rStyle w:val="Hyperlink"/>
            <w:bCs/>
            <w:shd w:val="clear" w:color="auto" w:fill="FFFFFF"/>
          </w:rPr>
          <w:t>dalla</w:t>
        </w:r>
        <w:r w:rsidR="00B24DDC" w:rsidRPr="00A62F45">
          <w:rPr>
            <w:rStyle w:val="Hyperlink"/>
            <w:shd w:val="clear" w:color="auto" w:fill="FFFFFF"/>
          </w:rPr>
          <w:t>​@ipta.</w:t>
        </w:r>
        <w:r w:rsidR="00B24DDC" w:rsidRPr="00A62F45">
          <w:rPr>
            <w:rStyle w:val="Hyperlink"/>
            <w:bCs/>
            <w:shd w:val="clear" w:color="auto" w:fill="FFFFFF"/>
          </w:rPr>
          <w:t>demokritos</w:t>
        </w:r>
        <w:r w:rsidR="00B24DDC" w:rsidRPr="00A62F45">
          <w:rPr>
            <w:rStyle w:val="Hyperlink"/>
            <w:shd w:val="clear" w:color="auto" w:fill="FFFFFF"/>
          </w:rPr>
          <w:t>.gr</w:t>
        </w:r>
      </w:hyperlink>
    </w:p>
    <w:p w14:paraId="64DB19C8" w14:textId="73EF175C" w:rsidR="00B24DDC" w:rsidRDefault="00B24DDC" w:rsidP="006770B3">
      <w:pPr>
        <w:pStyle w:val="Authornameandaffiliation"/>
        <w:rPr>
          <w:color w:val="4D5156"/>
          <w:shd w:val="clear" w:color="auto" w:fill="FFFFFF"/>
        </w:rPr>
      </w:pPr>
    </w:p>
    <w:p w14:paraId="389542BD" w14:textId="5C71AB51" w:rsidR="00FF2FCF" w:rsidRPr="00FF386F" w:rsidRDefault="00FF2FCF" w:rsidP="00FF2FCF">
      <w:pPr>
        <w:pStyle w:val="Authornameandaffiliation"/>
      </w:pPr>
      <w:r>
        <w:t>D</w:t>
      </w:r>
      <w:r w:rsidRPr="00FF386F">
        <w:t xml:space="preserve">. </w:t>
      </w:r>
      <w:r>
        <w:t>MAVRIKIS</w:t>
      </w:r>
    </w:p>
    <w:p w14:paraId="512E1AF6" w14:textId="304553A4" w:rsidR="00FF2FCF" w:rsidRDefault="00FF2FCF" w:rsidP="00FF2FCF">
      <w:pPr>
        <w:pStyle w:val="Authornameandaffiliation"/>
      </w:pPr>
      <w:r w:rsidRPr="006770B3">
        <w:rPr>
          <w:lang w:eastAsia="en-GB"/>
        </w:rPr>
        <w:t>National Center of Scientific Research “</w:t>
      </w:r>
      <w:proofErr w:type="spellStart"/>
      <w:r w:rsidRPr="006770B3">
        <w:rPr>
          <w:lang w:eastAsia="en-GB"/>
        </w:rPr>
        <w:t>Demokritos</w:t>
      </w:r>
      <w:proofErr w:type="spellEnd"/>
      <w:r w:rsidRPr="006770B3">
        <w:rPr>
          <w:lang w:eastAsia="en-GB"/>
        </w:rPr>
        <w:t>”</w:t>
      </w:r>
      <w:r w:rsidR="003B3E48">
        <w:rPr>
          <w:lang w:eastAsia="en-GB"/>
        </w:rPr>
        <w:t xml:space="preserve">, </w:t>
      </w:r>
      <w:r w:rsidR="003B3E48" w:rsidRPr="006770B3">
        <w:t>Radioactive</w:t>
      </w:r>
      <w:r w:rsidR="00086843" w:rsidRPr="00086843">
        <w:rPr>
          <w:lang w:eastAsia="en-GB"/>
        </w:rPr>
        <w:t xml:space="preserve"> Waste &amp; Material Laboratory</w:t>
      </w:r>
    </w:p>
    <w:p w14:paraId="70CD2216" w14:textId="77777777" w:rsidR="00FF2FCF" w:rsidRPr="006770B3" w:rsidRDefault="00FF2FCF" w:rsidP="00FF2FCF">
      <w:pPr>
        <w:pStyle w:val="Authornameandaffiliation"/>
      </w:pPr>
      <w:r>
        <w:t>Athens</w:t>
      </w:r>
      <w:r w:rsidRPr="006770B3">
        <w:t>, Greece</w:t>
      </w:r>
    </w:p>
    <w:p w14:paraId="540F2897" w14:textId="215F5E9F" w:rsidR="00FF2FCF" w:rsidRDefault="00FF2FCF" w:rsidP="00FF2FCF">
      <w:pPr>
        <w:pStyle w:val="Authornameandaffiliation"/>
      </w:pPr>
      <w:r>
        <w:t xml:space="preserve">Email: </w:t>
      </w:r>
      <w:hyperlink r:id="rId15" w:history="1">
        <w:r w:rsidRPr="00A62F45">
          <w:rPr>
            <w:rStyle w:val="Hyperlink"/>
          </w:rPr>
          <w:t>d.mavrikis@ipta.demokritos.gr</w:t>
        </w:r>
      </w:hyperlink>
    </w:p>
    <w:p w14:paraId="0D14C673" w14:textId="5D08B937" w:rsidR="00FF2FCF" w:rsidRDefault="00FF2FCF" w:rsidP="00FF2FCF">
      <w:pPr>
        <w:pStyle w:val="Authornameandaffiliation"/>
      </w:pPr>
    </w:p>
    <w:p w14:paraId="32B64FF8" w14:textId="54B4DA94" w:rsidR="00FF2FCF" w:rsidRPr="000A2F5C" w:rsidRDefault="000A2F5C" w:rsidP="000A2F5C">
      <w:pPr>
        <w:pStyle w:val="Authornameandaffiliation"/>
      </w:pPr>
      <w:r w:rsidRPr="000A2F5C">
        <w:rPr>
          <w:lang w:eastAsia="en-GB"/>
        </w:rPr>
        <w:t>Ag. MARKOPOULOS,</w:t>
      </w:r>
    </w:p>
    <w:p w14:paraId="5A42D99C" w14:textId="77777777" w:rsidR="000A2F5C" w:rsidRDefault="000A2F5C" w:rsidP="000A2F5C">
      <w:pPr>
        <w:pStyle w:val="Authornameandaffiliation"/>
      </w:pPr>
      <w:r w:rsidRPr="006770B3">
        <w:rPr>
          <w:lang w:eastAsia="en-GB"/>
        </w:rPr>
        <w:t>National Center of Scientific Research “</w:t>
      </w:r>
      <w:proofErr w:type="spellStart"/>
      <w:r w:rsidRPr="006770B3">
        <w:rPr>
          <w:lang w:eastAsia="en-GB"/>
        </w:rPr>
        <w:t>Demokritos</w:t>
      </w:r>
      <w:proofErr w:type="spellEnd"/>
      <w:r w:rsidRPr="006770B3">
        <w:rPr>
          <w:lang w:eastAsia="en-GB"/>
        </w:rPr>
        <w:t>”</w:t>
      </w:r>
      <w:r>
        <w:rPr>
          <w:lang w:eastAsia="en-GB"/>
        </w:rPr>
        <w:t xml:space="preserve">, </w:t>
      </w:r>
      <w:r w:rsidRPr="006770B3">
        <w:t>Radioactive</w:t>
      </w:r>
      <w:r w:rsidRPr="00086843">
        <w:rPr>
          <w:lang w:eastAsia="en-GB"/>
        </w:rPr>
        <w:t xml:space="preserve"> Waste &amp; Material Laboratory</w:t>
      </w:r>
    </w:p>
    <w:p w14:paraId="51A30FA9" w14:textId="77777777" w:rsidR="000A2F5C" w:rsidRPr="006770B3" w:rsidRDefault="000A2F5C" w:rsidP="000A2F5C">
      <w:pPr>
        <w:pStyle w:val="Authornameandaffiliation"/>
      </w:pPr>
      <w:r>
        <w:t>Athens</w:t>
      </w:r>
      <w:r w:rsidRPr="006770B3">
        <w:t>, Greece</w:t>
      </w:r>
    </w:p>
    <w:p w14:paraId="36600947" w14:textId="47D39B9D" w:rsidR="00B24DDC" w:rsidRDefault="000A2F5C" w:rsidP="006770B3">
      <w:pPr>
        <w:pStyle w:val="Authornameandaffiliation"/>
      </w:pPr>
      <w:r>
        <w:t xml:space="preserve">Email: </w:t>
      </w:r>
      <w:hyperlink r:id="rId16" w:history="1">
        <w:r w:rsidRPr="00A62F45">
          <w:rPr>
            <w:rStyle w:val="Hyperlink"/>
          </w:rPr>
          <w:t>angelos@ipta.demokritos.gr</w:t>
        </w:r>
      </w:hyperlink>
    </w:p>
    <w:p w14:paraId="3FC37A49" w14:textId="2B426653" w:rsidR="000A2F5C" w:rsidRDefault="000A2F5C" w:rsidP="006770B3">
      <w:pPr>
        <w:pStyle w:val="Authornameandaffiliation"/>
      </w:pPr>
    </w:p>
    <w:p w14:paraId="2D5C384C" w14:textId="77766154" w:rsidR="000A2F5C" w:rsidRPr="00E410D7" w:rsidRDefault="00582EB7" w:rsidP="00582EB7">
      <w:pPr>
        <w:pStyle w:val="Authornameandaffiliation"/>
        <w:rPr>
          <w:lang w:eastAsia="en-GB"/>
        </w:rPr>
      </w:pPr>
      <w:r w:rsidRPr="00E410D7">
        <w:rPr>
          <w:lang w:eastAsia="en-GB"/>
        </w:rPr>
        <w:t>An. SAVIDOU</w:t>
      </w:r>
    </w:p>
    <w:p w14:paraId="54400733" w14:textId="77777777" w:rsidR="00582EB7" w:rsidRPr="00086843" w:rsidRDefault="00582EB7" w:rsidP="00582EB7">
      <w:pPr>
        <w:pStyle w:val="Authornameandaffiliation"/>
      </w:pPr>
      <w:r w:rsidRPr="006770B3">
        <w:rPr>
          <w:lang w:eastAsia="en-GB"/>
        </w:rPr>
        <w:t>National Center of Scientific Research “</w:t>
      </w:r>
      <w:proofErr w:type="spellStart"/>
      <w:r w:rsidRPr="006770B3">
        <w:rPr>
          <w:lang w:eastAsia="en-GB"/>
        </w:rPr>
        <w:t>Demokritos</w:t>
      </w:r>
      <w:proofErr w:type="spellEnd"/>
      <w:r w:rsidRPr="006770B3">
        <w:rPr>
          <w:lang w:eastAsia="en-GB"/>
        </w:rPr>
        <w:t>”</w:t>
      </w:r>
      <w:r>
        <w:t xml:space="preserve">, </w:t>
      </w:r>
      <w:r w:rsidRPr="00086843">
        <w:rPr>
          <w:lang w:eastAsia="en-GB"/>
        </w:rPr>
        <w:t>Radioactive Waste &amp; Material Laboratory</w:t>
      </w:r>
    </w:p>
    <w:p w14:paraId="3761168E" w14:textId="77777777" w:rsidR="00582EB7" w:rsidRPr="006770B3" w:rsidRDefault="00582EB7" w:rsidP="00582EB7">
      <w:pPr>
        <w:pStyle w:val="Authornameandaffiliation"/>
      </w:pPr>
      <w:r>
        <w:t>Athens</w:t>
      </w:r>
      <w:r w:rsidRPr="006770B3">
        <w:t>, Greece</w:t>
      </w:r>
    </w:p>
    <w:p w14:paraId="6E1BE15F" w14:textId="0621134D" w:rsidR="00582EB7" w:rsidRDefault="00582EB7" w:rsidP="00582EB7">
      <w:pPr>
        <w:pStyle w:val="Authornameandaffiliation"/>
      </w:pPr>
      <w:r>
        <w:t xml:space="preserve">Email: </w:t>
      </w:r>
      <w:hyperlink r:id="rId17" w:history="1">
        <w:r w:rsidRPr="00A62F45">
          <w:rPr>
            <w:rStyle w:val="Hyperlink"/>
          </w:rPr>
          <w:t>savidou@ipta.demokritos.gr</w:t>
        </w:r>
      </w:hyperlink>
    </w:p>
    <w:p w14:paraId="275444BF" w14:textId="77777777" w:rsidR="00582EB7" w:rsidRDefault="00582EB7" w:rsidP="00582EB7">
      <w:pPr>
        <w:pStyle w:val="Authornameandaffiliation"/>
        <w:rPr>
          <w:rFonts w:ascii="LinLibertineO-Identity-H" w:hAnsi="LinLibertineO-Identity-H" w:cs="LinLibertineO-Identity-H"/>
          <w:lang w:eastAsia="en-GB"/>
        </w:rPr>
      </w:pPr>
    </w:p>
    <w:p w14:paraId="2B035C5B" w14:textId="77777777" w:rsidR="00582EB7" w:rsidRPr="00B24DDC" w:rsidRDefault="00582EB7" w:rsidP="00582EB7">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459133DB" w:rsidR="00647F33" w:rsidRPr="00690212" w:rsidRDefault="0028610C" w:rsidP="00F05558">
      <w:pPr>
        <w:overflowPunct/>
        <w:spacing w:line="240" w:lineRule="atLeast"/>
        <w:ind w:firstLine="567"/>
        <w:textAlignment w:val="auto"/>
        <w:rPr>
          <w:sz w:val="18"/>
          <w:szCs w:val="18"/>
          <w:lang w:val="en-US"/>
        </w:rPr>
      </w:pPr>
      <w:r w:rsidRPr="00FD1EAA">
        <w:rPr>
          <w:sz w:val="18"/>
          <w:szCs w:val="18"/>
          <w:lang w:val="en-US" w:eastAsia="en-GB"/>
        </w:rPr>
        <w:t xml:space="preserve">The aim of this work is to determine the activity of spent sealed radioactive sources of Co-57and Ge-68/Ga-68. </w:t>
      </w:r>
      <w:r w:rsidRPr="00690212">
        <w:rPr>
          <w:sz w:val="18"/>
          <w:szCs w:val="18"/>
          <w:lang w:val="en-US" w:eastAsia="en-GB"/>
        </w:rPr>
        <w:t xml:space="preserve">Based on Monte Carlo simulation, a semi-empirical method was developed by utilizing the MCNPX code for evaluation of the 3’x3’ </w:t>
      </w:r>
      <w:proofErr w:type="spellStart"/>
      <w:proofErr w:type="gramStart"/>
      <w:r w:rsidRPr="00690212">
        <w:rPr>
          <w:sz w:val="18"/>
          <w:szCs w:val="18"/>
          <w:lang w:val="en-US" w:eastAsia="en-GB"/>
        </w:rPr>
        <w:t>NaI</w:t>
      </w:r>
      <w:proofErr w:type="spellEnd"/>
      <w:r w:rsidRPr="00690212">
        <w:rPr>
          <w:sz w:val="18"/>
          <w:szCs w:val="18"/>
          <w:lang w:val="en-US" w:eastAsia="en-GB"/>
        </w:rPr>
        <w:t>(</w:t>
      </w:r>
      <w:proofErr w:type="gramEnd"/>
      <w:r w:rsidRPr="00690212">
        <w:rPr>
          <w:sz w:val="18"/>
          <w:szCs w:val="18"/>
          <w:lang w:val="en-US" w:eastAsia="en-GB"/>
        </w:rPr>
        <w:t>Tl) detector efficiency for specific source– detector geometries.</w:t>
      </w:r>
      <w:r w:rsidRPr="00690212">
        <w:rPr>
          <w:rFonts w:ascii="LinLibertineO-Identity-H" w:hAnsi="LinLibertineO-Identity-H" w:cs="LinLibertineO-Identity-H"/>
          <w:sz w:val="18"/>
          <w:szCs w:val="18"/>
          <w:lang w:val="en-US" w:eastAsia="en-GB"/>
        </w:rPr>
        <w:t xml:space="preserve"> </w:t>
      </w:r>
      <w:r w:rsidRPr="00690212">
        <w:rPr>
          <w:sz w:val="18"/>
          <w:szCs w:val="18"/>
        </w:rPr>
        <w:t xml:space="preserve">The method proved to be accurate. More specifically, </w:t>
      </w:r>
      <w:r w:rsidRPr="00690212">
        <w:rPr>
          <w:sz w:val="18"/>
          <w:szCs w:val="18"/>
          <w:lang w:val="en-US" w:eastAsia="en-GB"/>
        </w:rPr>
        <w:t>gamma-ray spectrums taken for different time intervals (7h, 2h, 15min for Co-57 and 7h, 1h, 15min for Ge-68/Ga-68) showed that, 2h measurement was adequate for the activity determination of the flood source Co-57, while 1h measurement provided adequate statistics for the activity determination of the line source Ge-68/Ga-68.</w:t>
      </w:r>
    </w:p>
    <w:p w14:paraId="433FE04C" w14:textId="77777777" w:rsidR="00647F33" w:rsidRPr="00690212" w:rsidRDefault="00F523CA" w:rsidP="00537496">
      <w:pPr>
        <w:pStyle w:val="Heading2"/>
        <w:numPr>
          <w:ilvl w:val="1"/>
          <w:numId w:val="10"/>
        </w:numPr>
      </w:pPr>
      <w:r w:rsidRPr="00690212">
        <w:t>INTRODUCTION</w:t>
      </w:r>
    </w:p>
    <w:p w14:paraId="4ECFC48A" w14:textId="4A969718" w:rsidR="00D9564D" w:rsidRPr="00690212" w:rsidRDefault="008C6ACB" w:rsidP="001104E6">
      <w:pPr>
        <w:overflowPunct/>
        <w:spacing w:line="260" w:lineRule="atLeast"/>
        <w:ind w:firstLine="567"/>
        <w:jc w:val="both"/>
        <w:textAlignment w:val="auto"/>
        <w:rPr>
          <w:sz w:val="20"/>
          <w:lang w:val="en-US" w:eastAsia="en-GB"/>
        </w:rPr>
      </w:pPr>
      <w:r w:rsidRPr="00690212">
        <w:rPr>
          <w:sz w:val="20"/>
          <w:lang w:val="en-US" w:eastAsia="en-GB"/>
        </w:rPr>
        <w:t>A variety of sealed radioactive sources, such as Co-57 and Ge-68/Ga-68, are used for the precise calibration of nuclear medicine systems</w:t>
      </w:r>
      <w:r w:rsidR="001104E6">
        <w:rPr>
          <w:sz w:val="20"/>
          <w:lang w:val="en-US" w:eastAsia="en-GB"/>
        </w:rPr>
        <w:t xml:space="preserve">. </w:t>
      </w:r>
      <w:r w:rsidR="00315292" w:rsidRPr="00690212">
        <w:rPr>
          <w:sz w:val="20"/>
        </w:rPr>
        <w:t>T</w:t>
      </w:r>
      <w:r w:rsidR="00D9564D" w:rsidRPr="00690212">
        <w:rPr>
          <w:sz w:val="20"/>
        </w:rPr>
        <w:t>hese sources need to be handled and kept into storage until they meet the general clearance criterion</w:t>
      </w:r>
      <w:r w:rsidR="00315292" w:rsidRPr="00690212">
        <w:rPr>
          <w:sz w:val="20"/>
        </w:rPr>
        <w:t>, after their useful life</w:t>
      </w:r>
      <w:r w:rsidR="00D9564D" w:rsidRPr="00690212">
        <w:rPr>
          <w:sz w:val="20"/>
        </w:rPr>
        <w:t xml:space="preserve">. For the experimental determination of the source activity, the detector efficiency should be evaluated for the specific source-detector geometry. In case of complex geometries, </w:t>
      </w:r>
      <w:r w:rsidR="008B6E5B" w:rsidRPr="00690212">
        <w:rPr>
          <w:sz w:val="20"/>
        </w:rPr>
        <w:t xml:space="preserve">Monte Carlo simulation techniques is </w:t>
      </w:r>
      <w:r w:rsidR="00D9564D" w:rsidRPr="00690212">
        <w:rPr>
          <w:sz w:val="20"/>
        </w:rPr>
        <w:t>a common approach to per</w:t>
      </w:r>
      <w:r w:rsidR="008B6E5B" w:rsidRPr="00690212">
        <w:rPr>
          <w:sz w:val="20"/>
        </w:rPr>
        <w:t>form the efficiency calibration. I</w:t>
      </w:r>
      <w:r w:rsidR="00D9564D" w:rsidRPr="00690212">
        <w:rPr>
          <w:sz w:val="20"/>
        </w:rPr>
        <w:t xml:space="preserve">n the </w:t>
      </w:r>
      <w:r w:rsidR="008B6E5B" w:rsidRPr="00690212">
        <w:rPr>
          <w:sz w:val="20"/>
        </w:rPr>
        <w:t>present</w:t>
      </w:r>
      <w:r w:rsidR="00D9564D" w:rsidRPr="00690212">
        <w:rPr>
          <w:sz w:val="20"/>
        </w:rPr>
        <w:t xml:space="preserve"> study, a semi-empirical method was developed based on Monte Carlo simulation by utilizing the MCNPX code for evaluation of the 3'x3' </w:t>
      </w:r>
      <w:proofErr w:type="spellStart"/>
      <w:proofErr w:type="gramStart"/>
      <w:r w:rsidR="00D9564D" w:rsidRPr="00690212">
        <w:rPr>
          <w:sz w:val="20"/>
        </w:rPr>
        <w:t>NaI</w:t>
      </w:r>
      <w:proofErr w:type="spellEnd"/>
      <w:r w:rsidR="00D9564D" w:rsidRPr="00690212">
        <w:rPr>
          <w:sz w:val="20"/>
        </w:rPr>
        <w:t>(</w:t>
      </w:r>
      <w:proofErr w:type="gramEnd"/>
      <w:r w:rsidR="00D9564D" w:rsidRPr="00690212">
        <w:rPr>
          <w:sz w:val="20"/>
        </w:rPr>
        <w:t xml:space="preserve">Tl) scintillator efficiency for specific source-detector geometries. </w:t>
      </w:r>
    </w:p>
    <w:p w14:paraId="13B3CDF5" w14:textId="2317A37B" w:rsidR="00D9564D" w:rsidRDefault="002330B3" w:rsidP="002330B3">
      <w:pPr>
        <w:overflowPunct/>
        <w:spacing w:line="260" w:lineRule="atLeast"/>
        <w:ind w:firstLine="567"/>
        <w:jc w:val="both"/>
        <w:textAlignment w:val="auto"/>
        <w:rPr>
          <w:sz w:val="20"/>
        </w:rPr>
      </w:pPr>
      <w:r w:rsidRPr="00690212">
        <w:rPr>
          <w:sz w:val="20"/>
          <w:lang w:val="en-US" w:eastAsia="en-GB"/>
        </w:rPr>
        <w:t xml:space="preserve">More specifically, gamma-ray spectrums were taken by a </w:t>
      </w:r>
      <w:proofErr w:type="spellStart"/>
      <w:proofErr w:type="gramStart"/>
      <w:r w:rsidRPr="00690212">
        <w:rPr>
          <w:sz w:val="20"/>
          <w:lang w:val="en-US" w:eastAsia="en-GB"/>
        </w:rPr>
        <w:t>NaI</w:t>
      </w:r>
      <w:proofErr w:type="spellEnd"/>
      <w:r w:rsidRPr="00690212">
        <w:rPr>
          <w:sz w:val="20"/>
          <w:lang w:val="en-US" w:eastAsia="en-GB"/>
        </w:rPr>
        <w:t>(</w:t>
      </w:r>
      <w:proofErr w:type="gramEnd"/>
      <w:r w:rsidRPr="00690212">
        <w:rPr>
          <w:sz w:val="20"/>
          <w:lang w:val="en-US" w:eastAsia="en-GB"/>
        </w:rPr>
        <w:t>Tl) detector for two types of sealed radioactive sources:</w:t>
      </w:r>
      <w:r w:rsidR="00D9564D" w:rsidRPr="00690212">
        <w:rPr>
          <w:sz w:val="20"/>
        </w:rPr>
        <w:t xml:space="preserve"> </w:t>
      </w:r>
      <w:r w:rsidR="007E10E4">
        <w:rPr>
          <w:sz w:val="20"/>
        </w:rPr>
        <w:t>(a</w:t>
      </w:r>
      <w:r w:rsidR="00D9564D" w:rsidRPr="00690212">
        <w:rPr>
          <w:sz w:val="20"/>
        </w:rPr>
        <w:t xml:space="preserve">) a flood source containing Co-57; </w:t>
      </w:r>
      <w:r w:rsidR="007E10E4">
        <w:rPr>
          <w:sz w:val="20"/>
        </w:rPr>
        <w:t>(b</w:t>
      </w:r>
      <w:r w:rsidR="00D9564D" w:rsidRPr="00690212">
        <w:rPr>
          <w:sz w:val="20"/>
        </w:rPr>
        <w:t xml:space="preserve">) a line source containing Ge-68/Ga-68. For these </w:t>
      </w:r>
      <w:r w:rsidR="00D9564D" w:rsidRPr="00690212">
        <w:rPr>
          <w:sz w:val="20"/>
        </w:rPr>
        <w:lastRenderedPageBreak/>
        <w:t xml:space="preserve">source-detector geometries and the specific gamma ray energies, simulations were performed with the MCNPX code. </w:t>
      </w:r>
      <w:r w:rsidR="0042332C" w:rsidRPr="00690212">
        <w:rPr>
          <w:sz w:val="20"/>
          <w:lang w:val="en-US" w:eastAsia="en-GB"/>
        </w:rPr>
        <w:t>The MCNPX models were validated by the use of sources of the mentioned types with certified nominal activities.</w:t>
      </w:r>
      <w:r w:rsidR="00D9564D" w:rsidRPr="00690212">
        <w:rPr>
          <w:sz w:val="20"/>
        </w:rPr>
        <w:t xml:space="preserve"> </w:t>
      </w:r>
    </w:p>
    <w:p w14:paraId="4F215E33" w14:textId="0E15BDED" w:rsidR="009A1C42" w:rsidRPr="00690212" w:rsidRDefault="009A1C42" w:rsidP="009A1C42">
      <w:pPr>
        <w:pStyle w:val="Heading2"/>
        <w:numPr>
          <w:ilvl w:val="1"/>
          <w:numId w:val="10"/>
        </w:numPr>
      </w:pPr>
      <w:r w:rsidRPr="00690212">
        <w:t>materials and methods</w:t>
      </w:r>
    </w:p>
    <w:p w14:paraId="7D4B3EF9" w14:textId="3DF364E0" w:rsidR="00CB0809" w:rsidRPr="00690212" w:rsidRDefault="00E410D7" w:rsidP="00CB0809">
      <w:pPr>
        <w:spacing w:line="260" w:lineRule="atLeast"/>
        <w:contextualSpacing/>
        <w:jc w:val="both"/>
        <w:rPr>
          <w:sz w:val="20"/>
        </w:rPr>
      </w:pPr>
      <w:r w:rsidRPr="00690212">
        <w:rPr>
          <w:sz w:val="20"/>
        </w:rPr>
        <w:t>Two different types of sealed radioactive sources were used:</w:t>
      </w:r>
      <w:r w:rsidR="00CB0809" w:rsidRPr="00690212">
        <w:rPr>
          <w:sz w:val="20"/>
        </w:rPr>
        <w:t xml:space="preserve"> </w:t>
      </w:r>
    </w:p>
    <w:p w14:paraId="3DB40143" w14:textId="1D9275DA" w:rsidR="006D625F" w:rsidRPr="00690212" w:rsidRDefault="00315292" w:rsidP="006D625F">
      <w:pPr>
        <w:pStyle w:val="ListNumbered"/>
        <w:ind w:left="714" w:hanging="357"/>
      </w:pPr>
      <w:r w:rsidRPr="00690212">
        <w:t>a flood source containing Co-57</w:t>
      </w:r>
      <w:r w:rsidR="00222440" w:rsidRPr="00690212">
        <w:t xml:space="preserve">(length 61cm and height 41.9cm) </w:t>
      </w:r>
      <w:r w:rsidRPr="00690212">
        <w:t xml:space="preserve"> (Fig.1a) </w:t>
      </w:r>
    </w:p>
    <w:p w14:paraId="3DA1472C" w14:textId="695D1A6E" w:rsidR="006D625F" w:rsidRPr="00690212" w:rsidRDefault="00315292" w:rsidP="007149CC">
      <w:pPr>
        <w:pStyle w:val="BodyText"/>
        <w:numPr>
          <w:ilvl w:val="0"/>
          <w:numId w:val="22"/>
        </w:numPr>
        <w:ind w:left="714" w:hanging="357"/>
      </w:pPr>
      <w:r w:rsidRPr="00690212">
        <w:t>a line source containing Ge-68/Ga-68</w:t>
      </w:r>
      <w:r w:rsidR="0015019B" w:rsidRPr="00690212">
        <w:rPr>
          <w:szCs w:val="24"/>
        </w:rPr>
        <w:t xml:space="preserve">(ceramic, height 16.3cm, radius 0.07cm) </w:t>
      </w:r>
      <w:r w:rsidRPr="00690212">
        <w:t xml:space="preserve"> </w:t>
      </w:r>
      <w:r w:rsidR="006D625F" w:rsidRPr="00690212">
        <w:t xml:space="preserve"> (Fig.1</w:t>
      </w:r>
      <w:r w:rsidR="007149CC" w:rsidRPr="00690212">
        <w:t>b</w:t>
      </w:r>
      <w:r w:rsidR="006D625F" w:rsidRPr="00690212">
        <w:t>)</w:t>
      </w:r>
    </w:p>
    <w:p w14:paraId="2BBDC78F" w14:textId="77777777" w:rsidR="007149CC" w:rsidRPr="00690212" w:rsidRDefault="007149CC" w:rsidP="007149CC">
      <w:pPr>
        <w:pStyle w:val="BodyText"/>
        <w:ind w:left="714"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7149CC" w:rsidRPr="00690212" w14:paraId="07E17620" w14:textId="77777777" w:rsidTr="007149CC">
        <w:tc>
          <w:tcPr>
            <w:tcW w:w="4508" w:type="dxa"/>
          </w:tcPr>
          <w:p w14:paraId="4D301956" w14:textId="1C8251C9" w:rsidR="007149CC" w:rsidRPr="00690212" w:rsidRDefault="00315292" w:rsidP="007149CC">
            <w:pPr>
              <w:pStyle w:val="BodyText"/>
              <w:ind w:firstLine="0"/>
              <w:jc w:val="center"/>
            </w:pPr>
            <w:r w:rsidRPr="00690212">
              <w:rPr>
                <w:noProof/>
                <w:lang w:val="el-GR" w:eastAsia="el-GR"/>
              </w:rPr>
              <w:drawing>
                <wp:inline distT="0" distB="0" distL="0" distR="0" wp14:anchorId="4E883EAC" wp14:editId="7698BB75">
                  <wp:extent cx="2621159" cy="1080000"/>
                  <wp:effectExtent l="0" t="0" r="825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rotWithShape="1">
                          <a:blip r:embed="rId18">
                            <a:extLst>
                              <a:ext uri="{28A0092B-C50C-407E-A947-70E740481C1C}">
                                <a14:useLocalDpi xmlns:a14="http://schemas.microsoft.com/office/drawing/2010/main" val="0"/>
                              </a:ext>
                            </a:extLst>
                          </a:blip>
                          <a:srcRect t="24025" b="14827"/>
                          <a:stretch/>
                        </pic:blipFill>
                        <pic:spPr bwMode="auto">
                          <a:xfrm>
                            <a:off x="0" y="0"/>
                            <a:ext cx="2621159"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4948C604" w14:textId="7BA4AC2D" w:rsidR="007149CC" w:rsidRPr="00690212" w:rsidRDefault="00315292" w:rsidP="007149CC">
            <w:pPr>
              <w:pStyle w:val="BodyText"/>
              <w:ind w:firstLine="0"/>
              <w:jc w:val="center"/>
            </w:pPr>
            <w:r w:rsidRPr="00690212">
              <w:rPr>
                <w:noProof/>
                <w:szCs w:val="22"/>
                <w:lang w:val="el-GR" w:eastAsia="el-GR"/>
              </w:rPr>
              <w:drawing>
                <wp:inline distT="0" distB="0" distL="0" distR="0" wp14:anchorId="776E2977" wp14:editId="70C54071">
                  <wp:extent cx="2620800" cy="1080000"/>
                  <wp:effectExtent l="0" t="0" r="8255" b="635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9">
                            <a:extLst>
                              <a:ext uri="{28A0092B-C50C-407E-A947-70E740481C1C}">
                                <a14:useLocalDpi xmlns:a14="http://schemas.microsoft.com/office/drawing/2010/main" val="0"/>
                              </a:ext>
                            </a:extLst>
                          </a:blip>
                          <a:srcRect t="19033" b="31953"/>
                          <a:stretch/>
                        </pic:blipFill>
                        <pic:spPr bwMode="auto">
                          <a:xfrm>
                            <a:off x="0" y="0"/>
                            <a:ext cx="2620800"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49CC" w:rsidRPr="00690212" w14:paraId="5B46D282" w14:textId="77777777" w:rsidTr="00222440">
        <w:trPr>
          <w:trHeight w:val="460"/>
        </w:trPr>
        <w:tc>
          <w:tcPr>
            <w:tcW w:w="4508" w:type="dxa"/>
          </w:tcPr>
          <w:p w14:paraId="013E3FAE" w14:textId="77777777" w:rsidR="00222440" w:rsidRPr="00690212" w:rsidRDefault="00222440" w:rsidP="00222440">
            <w:pPr>
              <w:pStyle w:val="Caption"/>
              <w:spacing w:after="0" w:line="240" w:lineRule="atLeast"/>
              <w:contextualSpacing/>
              <w:jc w:val="center"/>
              <w:rPr>
                <w:i/>
                <w:szCs w:val="18"/>
              </w:rPr>
            </w:pPr>
          </w:p>
          <w:p w14:paraId="4F9F1F0F" w14:textId="77777777" w:rsidR="00222440" w:rsidRPr="00690212" w:rsidRDefault="007149CC" w:rsidP="00222440">
            <w:pPr>
              <w:pStyle w:val="Caption"/>
              <w:spacing w:after="0" w:line="240" w:lineRule="atLeast"/>
              <w:contextualSpacing/>
              <w:jc w:val="center"/>
              <w:rPr>
                <w:i/>
                <w:szCs w:val="18"/>
              </w:rPr>
            </w:pPr>
            <w:r w:rsidRPr="00690212">
              <w:rPr>
                <w:i/>
                <w:szCs w:val="18"/>
              </w:rPr>
              <w:t xml:space="preserve">Fig. 1a. </w:t>
            </w:r>
            <w:r w:rsidR="00315292" w:rsidRPr="00690212">
              <w:rPr>
                <w:i/>
                <w:szCs w:val="18"/>
              </w:rPr>
              <w:t>Experimental setup for Co-57 flood source</w:t>
            </w:r>
          </w:p>
          <w:p w14:paraId="6F7D67F6" w14:textId="5A0F9AFF" w:rsidR="007149CC" w:rsidRPr="00690212" w:rsidRDefault="00315292" w:rsidP="00222440">
            <w:pPr>
              <w:pStyle w:val="Caption"/>
              <w:spacing w:after="0" w:line="240" w:lineRule="atLeast"/>
              <w:contextualSpacing/>
              <w:jc w:val="center"/>
              <w:rPr>
                <w:i/>
                <w:szCs w:val="18"/>
              </w:rPr>
            </w:pPr>
            <w:r w:rsidRPr="00690212">
              <w:rPr>
                <w:i/>
                <w:szCs w:val="18"/>
              </w:rPr>
              <w:t xml:space="preserve"> </w:t>
            </w:r>
            <w:r w:rsidR="00222440" w:rsidRPr="00690212">
              <w:rPr>
                <w:i/>
                <w:sz w:val="20"/>
              </w:rPr>
              <w:t>(length 61cm and height 41.9cm)</w:t>
            </w:r>
          </w:p>
        </w:tc>
        <w:tc>
          <w:tcPr>
            <w:tcW w:w="4509" w:type="dxa"/>
          </w:tcPr>
          <w:p w14:paraId="0C3F4FB1" w14:textId="77777777" w:rsidR="00222440" w:rsidRPr="00690212" w:rsidRDefault="00222440" w:rsidP="00222440">
            <w:pPr>
              <w:pStyle w:val="BodyText"/>
              <w:spacing w:line="240" w:lineRule="atLeast"/>
              <w:ind w:firstLine="0"/>
              <w:jc w:val="center"/>
              <w:rPr>
                <w:i/>
                <w:sz w:val="18"/>
                <w:szCs w:val="18"/>
              </w:rPr>
            </w:pPr>
          </w:p>
          <w:p w14:paraId="0B7C8E14" w14:textId="1E24FE5F" w:rsidR="007149CC" w:rsidRPr="00690212" w:rsidRDefault="007149CC" w:rsidP="00222440">
            <w:pPr>
              <w:pStyle w:val="BodyText"/>
              <w:spacing w:line="240" w:lineRule="atLeast"/>
              <w:ind w:firstLine="0"/>
              <w:jc w:val="center"/>
              <w:rPr>
                <w:i/>
                <w:sz w:val="18"/>
                <w:szCs w:val="18"/>
              </w:rPr>
            </w:pPr>
            <w:r w:rsidRPr="00690212">
              <w:rPr>
                <w:i/>
                <w:sz w:val="18"/>
                <w:szCs w:val="18"/>
              </w:rPr>
              <w:t xml:space="preserve">Fig 1b. </w:t>
            </w:r>
            <w:r w:rsidR="00315292" w:rsidRPr="00690212">
              <w:rPr>
                <w:i/>
                <w:sz w:val="18"/>
                <w:szCs w:val="18"/>
              </w:rPr>
              <w:t xml:space="preserve">Experimental setup </w:t>
            </w:r>
            <w:bookmarkStart w:id="0" w:name="_Hlk527372814"/>
            <w:r w:rsidR="00315292" w:rsidRPr="00690212">
              <w:rPr>
                <w:i/>
                <w:sz w:val="18"/>
                <w:szCs w:val="18"/>
              </w:rPr>
              <w:t>for Ge-68/Ga-68 line source</w:t>
            </w:r>
            <w:bookmarkEnd w:id="0"/>
          </w:p>
          <w:p w14:paraId="390A4D5E" w14:textId="0570BCFF" w:rsidR="0015019B" w:rsidRPr="00690212" w:rsidRDefault="0015019B" w:rsidP="00222440">
            <w:pPr>
              <w:pStyle w:val="BodyText"/>
              <w:spacing w:line="240" w:lineRule="atLeast"/>
              <w:ind w:firstLine="0"/>
              <w:jc w:val="center"/>
              <w:rPr>
                <w:i/>
                <w:sz w:val="18"/>
                <w:szCs w:val="18"/>
              </w:rPr>
            </w:pPr>
            <w:r w:rsidRPr="00690212">
              <w:rPr>
                <w:i/>
                <w:szCs w:val="24"/>
              </w:rPr>
              <w:t xml:space="preserve">(ceramic, height 16.3cm, radius 0.07cm), with </w:t>
            </w:r>
            <w:proofErr w:type="spellStart"/>
            <w:r w:rsidRPr="00690212">
              <w:rPr>
                <w:i/>
                <w:szCs w:val="24"/>
              </w:rPr>
              <w:t>Pb</w:t>
            </w:r>
            <w:proofErr w:type="spellEnd"/>
            <w:r w:rsidRPr="00690212">
              <w:rPr>
                <w:i/>
                <w:szCs w:val="24"/>
              </w:rPr>
              <w:t xml:space="preserve"> shielding</w:t>
            </w:r>
          </w:p>
        </w:tc>
      </w:tr>
    </w:tbl>
    <w:p w14:paraId="1AAF91F7" w14:textId="1CE552A6" w:rsidR="007149CC" w:rsidRPr="00690212" w:rsidRDefault="007149CC" w:rsidP="007149CC">
      <w:pPr>
        <w:pStyle w:val="BodyText"/>
      </w:pPr>
    </w:p>
    <w:p w14:paraId="4B49653A" w14:textId="0DD3F7DA" w:rsidR="00097FD4" w:rsidRPr="00690212" w:rsidRDefault="00690212" w:rsidP="00097FD4">
      <w:pPr>
        <w:spacing w:line="260" w:lineRule="atLeast"/>
        <w:ind w:firstLine="567"/>
        <w:contextualSpacing/>
        <w:jc w:val="both"/>
        <w:rPr>
          <w:sz w:val="20"/>
        </w:rPr>
      </w:pPr>
      <w:r w:rsidRPr="00690212">
        <w:rPr>
          <w:sz w:val="20"/>
        </w:rPr>
        <w:t xml:space="preserve">The sources were placed at such distances from the detector, in order an acceptable dead time (less than 5%) to be achieved. </w:t>
      </w:r>
      <w:r w:rsidR="00097FD4" w:rsidRPr="00690212">
        <w:rPr>
          <w:sz w:val="20"/>
        </w:rPr>
        <w:t xml:space="preserve">Regarding the source-detector geometry, the flood source (length 61cm and height 41.9cm) was placed at the distance of 47cm from the detector </w:t>
      </w:r>
      <w:r w:rsidRPr="00690212">
        <w:rPr>
          <w:sz w:val="20"/>
        </w:rPr>
        <w:t xml:space="preserve">and the detector main axis of symmetry was placed perpendicular to the sources flat surfaces </w:t>
      </w:r>
      <w:r w:rsidR="00097FD4" w:rsidRPr="00690212">
        <w:rPr>
          <w:sz w:val="20"/>
        </w:rPr>
        <w:t xml:space="preserve">(Fig. 1a). In case of the Ge-68/Ga-68 line source (ceramic, height 16.3cm, radius 0.07cm) a cylindrical </w:t>
      </w:r>
      <w:proofErr w:type="spellStart"/>
      <w:r w:rsidR="00097FD4" w:rsidRPr="00690212">
        <w:rPr>
          <w:sz w:val="20"/>
        </w:rPr>
        <w:t>Pb</w:t>
      </w:r>
      <w:proofErr w:type="spellEnd"/>
      <w:r w:rsidR="00097FD4" w:rsidRPr="00690212">
        <w:rPr>
          <w:sz w:val="20"/>
        </w:rPr>
        <w:t xml:space="preserve"> shielding (height 37cm, radius 2.85cm, thickness 1.52cm) for radiation protection purposes covers the source</w:t>
      </w:r>
      <w:r w:rsidR="007E10E4">
        <w:rPr>
          <w:sz w:val="20"/>
        </w:rPr>
        <w:t xml:space="preserve"> </w:t>
      </w:r>
      <w:r w:rsidR="007E10E4" w:rsidRPr="00690212">
        <w:rPr>
          <w:sz w:val="20"/>
        </w:rPr>
        <w:t>(Fig. 1b)</w:t>
      </w:r>
      <w:r w:rsidR="00097FD4" w:rsidRPr="00690212">
        <w:rPr>
          <w:sz w:val="20"/>
        </w:rPr>
        <w:t xml:space="preserve">. Furthermore a </w:t>
      </w:r>
      <w:proofErr w:type="spellStart"/>
      <w:r w:rsidR="00097FD4" w:rsidRPr="00690212">
        <w:rPr>
          <w:sz w:val="20"/>
        </w:rPr>
        <w:t>Pb</w:t>
      </w:r>
      <w:proofErr w:type="spellEnd"/>
      <w:r w:rsidR="00097FD4" w:rsidRPr="00690212">
        <w:rPr>
          <w:sz w:val="20"/>
        </w:rPr>
        <w:t xml:space="preserve"> cylindrical shielding was placed around the detector to reduce the background radiation (height 18cm, radius 7.5cm, thickness 3.3cm). The shielding of the source was placed at the distance of 25cm from the detector (Fig. 1b).</w:t>
      </w:r>
    </w:p>
    <w:p w14:paraId="086213FF" w14:textId="3F4D7799" w:rsidR="00B84155" w:rsidRPr="00690212" w:rsidRDefault="00E410D7" w:rsidP="00097FD4">
      <w:pPr>
        <w:overflowPunct/>
        <w:spacing w:line="260" w:lineRule="atLeast"/>
        <w:ind w:firstLine="567"/>
        <w:textAlignment w:val="auto"/>
        <w:rPr>
          <w:rFonts w:ascii="LinLibertineO-Identity-H" w:hAnsi="LinLibertineO-Identity-H" w:cs="LinLibertineO-Identity-H"/>
          <w:sz w:val="20"/>
          <w:lang w:val="en-US" w:eastAsia="en-GB"/>
        </w:rPr>
      </w:pPr>
      <w:r w:rsidRPr="00690212">
        <w:rPr>
          <w:sz w:val="20"/>
        </w:rPr>
        <w:t xml:space="preserve">Gamma-ray spectrums were taken for different acquisition time by the 3'x3' </w:t>
      </w:r>
      <w:proofErr w:type="spellStart"/>
      <w:proofErr w:type="gramStart"/>
      <w:r w:rsidRPr="00690212">
        <w:rPr>
          <w:sz w:val="20"/>
        </w:rPr>
        <w:t>NaI</w:t>
      </w:r>
      <w:proofErr w:type="spellEnd"/>
      <w:r w:rsidRPr="00690212">
        <w:rPr>
          <w:sz w:val="20"/>
        </w:rPr>
        <w:t>(</w:t>
      </w:r>
      <w:proofErr w:type="gramEnd"/>
      <w:r w:rsidRPr="00690212">
        <w:rPr>
          <w:sz w:val="20"/>
        </w:rPr>
        <w:t>Tl) detector</w:t>
      </w:r>
      <w:r w:rsidR="00315292" w:rsidRPr="00690212">
        <w:rPr>
          <w:sz w:val="20"/>
        </w:rPr>
        <w:t>, using</w:t>
      </w:r>
      <w:r w:rsidR="008B6E5B" w:rsidRPr="00690212">
        <w:rPr>
          <w:sz w:val="20"/>
        </w:rPr>
        <w:t xml:space="preserve"> t</w:t>
      </w:r>
      <w:r w:rsidR="00315292" w:rsidRPr="00690212">
        <w:rPr>
          <w:bCs/>
          <w:sz w:val="20"/>
        </w:rPr>
        <w:t>he</w:t>
      </w:r>
      <w:r w:rsidR="00CB0809" w:rsidRPr="00690212">
        <w:rPr>
          <w:sz w:val="20"/>
        </w:rPr>
        <w:t xml:space="preserve"> </w:t>
      </w:r>
      <w:proofErr w:type="spellStart"/>
      <w:r w:rsidR="006D625F" w:rsidRPr="00690212">
        <w:rPr>
          <w:sz w:val="20"/>
        </w:rPr>
        <w:t>Genie</w:t>
      </w:r>
      <w:r w:rsidR="006D625F" w:rsidRPr="00690212">
        <w:rPr>
          <w:sz w:val="20"/>
          <w:vertAlign w:val="superscript"/>
        </w:rPr>
        <w:t>TM</w:t>
      </w:r>
      <w:proofErr w:type="spellEnd"/>
      <w:r w:rsidR="006D625F" w:rsidRPr="00690212">
        <w:rPr>
          <w:sz w:val="20"/>
        </w:rPr>
        <w:t xml:space="preserve"> 2000 spectroscopy software for spectrum acquisition [1</w:t>
      </w:r>
      <w:r w:rsidR="001F01DF" w:rsidRPr="00690212">
        <w:rPr>
          <w:sz w:val="20"/>
        </w:rPr>
        <w:t>]</w:t>
      </w:r>
      <w:r w:rsidR="00315292" w:rsidRPr="00690212">
        <w:rPr>
          <w:sz w:val="20"/>
        </w:rPr>
        <w:t>.</w:t>
      </w:r>
      <w:r w:rsidR="00B84155" w:rsidRPr="00690212">
        <w:rPr>
          <w:rFonts w:ascii="LinLibertineO-Identity-H" w:hAnsi="LinLibertineO-Identity-H" w:cs="LinLibertineO-Identity-H"/>
          <w:sz w:val="20"/>
          <w:lang w:val="en-US" w:eastAsia="en-GB"/>
        </w:rPr>
        <w:t xml:space="preserve"> </w:t>
      </w:r>
    </w:p>
    <w:p w14:paraId="73768744" w14:textId="77777777" w:rsidR="00B84155" w:rsidRPr="00690212" w:rsidRDefault="00B84155" w:rsidP="00B84155">
      <w:pPr>
        <w:spacing w:line="260" w:lineRule="atLeast"/>
        <w:ind w:firstLine="567"/>
        <w:contextualSpacing/>
        <w:jc w:val="both"/>
        <w:rPr>
          <w:sz w:val="20"/>
        </w:rPr>
      </w:pPr>
      <w:r w:rsidRPr="00690212">
        <w:rPr>
          <w:sz w:val="20"/>
        </w:rPr>
        <w:t xml:space="preserve">For each one source, several acquisition times were chosen. More specifically, for the Co-57 flood source, acquisition time of 7 hours, 2 hours and 15 min were chosen, while for the Ge-68/Ga-68 line source acquisition time of 7 hours, 1 hour and 15 min were chosen respectively. </w:t>
      </w:r>
    </w:p>
    <w:p w14:paraId="003F1669" w14:textId="77777777" w:rsidR="00BA351E" w:rsidRPr="00690212" w:rsidRDefault="00BA351E" w:rsidP="00BA351E">
      <w:pPr>
        <w:spacing w:line="260" w:lineRule="atLeast"/>
        <w:ind w:firstLine="567"/>
        <w:contextualSpacing/>
        <w:jc w:val="both"/>
        <w:rPr>
          <w:sz w:val="20"/>
        </w:rPr>
      </w:pPr>
      <w:r w:rsidRPr="00690212">
        <w:rPr>
          <w:sz w:val="20"/>
        </w:rPr>
        <w:t xml:space="preserve">The gamma-lines of energy 122 </w:t>
      </w:r>
      <w:proofErr w:type="spellStart"/>
      <w:r w:rsidRPr="00690212">
        <w:rPr>
          <w:sz w:val="20"/>
        </w:rPr>
        <w:t>keV</w:t>
      </w:r>
      <w:proofErr w:type="spellEnd"/>
      <w:r w:rsidRPr="00690212">
        <w:rPr>
          <w:sz w:val="20"/>
        </w:rPr>
        <w:t xml:space="preserve"> (85.6%), 136 </w:t>
      </w:r>
      <w:proofErr w:type="spellStart"/>
      <w:r w:rsidRPr="00690212">
        <w:rPr>
          <w:sz w:val="20"/>
        </w:rPr>
        <w:t>keV</w:t>
      </w:r>
      <w:proofErr w:type="spellEnd"/>
      <w:r w:rsidRPr="00690212">
        <w:rPr>
          <w:sz w:val="20"/>
        </w:rPr>
        <w:t xml:space="preserve"> (10.68%) and 692.03 </w:t>
      </w:r>
      <w:proofErr w:type="spellStart"/>
      <w:r w:rsidRPr="00690212">
        <w:rPr>
          <w:sz w:val="20"/>
        </w:rPr>
        <w:t>keV</w:t>
      </w:r>
      <w:proofErr w:type="spellEnd"/>
      <w:r w:rsidRPr="00690212">
        <w:rPr>
          <w:sz w:val="20"/>
        </w:rPr>
        <w:t xml:space="preserve"> (0.157%) are characteristic of the Co-57 source, while the gamma line of 1077 </w:t>
      </w:r>
      <w:proofErr w:type="spellStart"/>
      <w:r w:rsidRPr="00690212">
        <w:rPr>
          <w:sz w:val="20"/>
        </w:rPr>
        <w:t>keV</w:t>
      </w:r>
      <w:proofErr w:type="spellEnd"/>
      <w:r w:rsidRPr="00690212">
        <w:rPr>
          <w:sz w:val="20"/>
        </w:rPr>
        <w:t xml:space="preserve"> energy (2.93%) is characteristic of the Ge-68/Ga-68 line source [2]. The characteristic gamma ray peaks in the resulted spectra were analysed with the software package SPECTRW [3]. For the Co-57 source, deconvolution of the peak energies 122 </w:t>
      </w:r>
      <w:proofErr w:type="spellStart"/>
      <w:r w:rsidRPr="00690212">
        <w:rPr>
          <w:sz w:val="20"/>
        </w:rPr>
        <w:t>keV</w:t>
      </w:r>
      <w:proofErr w:type="spellEnd"/>
      <w:r w:rsidRPr="00690212">
        <w:rPr>
          <w:sz w:val="20"/>
        </w:rPr>
        <w:t xml:space="preserve"> and 136 </w:t>
      </w:r>
      <w:proofErr w:type="spellStart"/>
      <w:r w:rsidRPr="00690212">
        <w:rPr>
          <w:sz w:val="20"/>
        </w:rPr>
        <w:t>keV</w:t>
      </w:r>
      <w:proofErr w:type="spellEnd"/>
      <w:r w:rsidRPr="00690212">
        <w:rPr>
          <w:sz w:val="20"/>
        </w:rPr>
        <w:t xml:space="preserve"> was carried out by using this software package [3]</w:t>
      </w:r>
    </w:p>
    <w:p w14:paraId="12ECC09C" w14:textId="27DA1857" w:rsidR="00B84155" w:rsidRPr="00B84155" w:rsidRDefault="00B84155" w:rsidP="0065389B">
      <w:pPr>
        <w:overflowPunct/>
        <w:spacing w:line="260" w:lineRule="atLeast"/>
        <w:ind w:firstLine="567"/>
        <w:jc w:val="both"/>
        <w:textAlignment w:val="auto"/>
        <w:rPr>
          <w:sz w:val="20"/>
          <w:highlight w:val="yellow"/>
        </w:rPr>
      </w:pPr>
      <w:r w:rsidRPr="00B84155">
        <w:rPr>
          <w:sz w:val="20"/>
          <w:lang w:val="en-US" w:eastAsia="en-GB"/>
        </w:rPr>
        <w:t>For the specific source-detector geometries and gamma ray</w:t>
      </w:r>
      <w:r>
        <w:rPr>
          <w:sz w:val="20"/>
          <w:lang w:val="en-US" w:eastAsia="en-GB"/>
        </w:rPr>
        <w:t xml:space="preserve"> </w:t>
      </w:r>
      <w:r w:rsidRPr="00B84155">
        <w:rPr>
          <w:sz w:val="20"/>
          <w:lang w:val="en-US" w:eastAsia="en-GB"/>
        </w:rPr>
        <w:t xml:space="preserve">energies, simulations were performed with the MCNPX code for evaluation of the </w:t>
      </w:r>
      <w:proofErr w:type="spellStart"/>
      <w:proofErr w:type="gramStart"/>
      <w:r w:rsidRPr="00B84155">
        <w:rPr>
          <w:sz w:val="20"/>
          <w:lang w:val="en-US" w:eastAsia="en-GB"/>
        </w:rPr>
        <w:t>NaI</w:t>
      </w:r>
      <w:proofErr w:type="spellEnd"/>
      <w:r w:rsidRPr="00B84155">
        <w:rPr>
          <w:sz w:val="20"/>
          <w:lang w:val="en-US" w:eastAsia="en-GB"/>
        </w:rPr>
        <w:t>(</w:t>
      </w:r>
      <w:proofErr w:type="gramEnd"/>
      <w:r w:rsidRPr="00B84155">
        <w:rPr>
          <w:sz w:val="20"/>
          <w:lang w:val="en-US" w:eastAsia="en-GB"/>
        </w:rPr>
        <w:t>Tl) detector</w:t>
      </w:r>
      <w:r>
        <w:rPr>
          <w:sz w:val="20"/>
          <w:lang w:val="en-US" w:eastAsia="en-GB"/>
        </w:rPr>
        <w:t xml:space="preserve"> </w:t>
      </w:r>
      <w:r w:rsidRPr="00B84155">
        <w:rPr>
          <w:sz w:val="20"/>
          <w:lang w:val="en-US" w:eastAsia="en-GB"/>
        </w:rPr>
        <w:t>efficiencies</w:t>
      </w:r>
      <w:r w:rsidR="00097FD4">
        <w:rPr>
          <w:sz w:val="20"/>
          <w:lang w:val="en-US" w:eastAsia="en-GB"/>
        </w:rPr>
        <w:t xml:space="preserve"> </w:t>
      </w:r>
      <w:r w:rsidR="00097FD4">
        <w:rPr>
          <w:sz w:val="20"/>
        </w:rPr>
        <w:t>(Figures 2a, 2b)</w:t>
      </w:r>
      <w:r w:rsidRPr="00B84155">
        <w:rPr>
          <w:sz w:val="20"/>
          <w:lang w:val="en-US" w:eastAsia="en-GB"/>
        </w:rPr>
        <w:t>. The MCNPX models were validated by the use of sources of the mentioned types with</w:t>
      </w:r>
      <w:r>
        <w:rPr>
          <w:sz w:val="20"/>
          <w:lang w:val="en-US" w:eastAsia="en-GB"/>
        </w:rPr>
        <w:t xml:space="preserve"> </w:t>
      </w:r>
      <w:r w:rsidRPr="00B84155">
        <w:rPr>
          <w:sz w:val="20"/>
          <w:lang w:val="en-US" w:eastAsia="en-GB"/>
        </w:rPr>
        <w:t>certified nominal activities.</w:t>
      </w:r>
    </w:p>
    <w:p w14:paraId="271A1B67" w14:textId="77777777" w:rsidR="00901A34" w:rsidRDefault="00901A34" w:rsidP="00901A34">
      <w:pPr>
        <w:pStyle w:val="BodyText"/>
        <w:ind w:left="714" w:firstLine="0"/>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901A34" w14:paraId="6DA4D07C" w14:textId="77777777" w:rsidTr="00A032C8">
        <w:tc>
          <w:tcPr>
            <w:tcW w:w="4508" w:type="dxa"/>
          </w:tcPr>
          <w:p w14:paraId="2F99F365" w14:textId="1F737600" w:rsidR="00901A34" w:rsidRDefault="0065389B" w:rsidP="00A032C8">
            <w:pPr>
              <w:pStyle w:val="BodyText"/>
              <w:ind w:firstLine="0"/>
              <w:jc w:val="center"/>
              <w:rPr>
                <w:highlight w:val="yellow"/>
              </w:rPr>
            </w:pPr>
            <w:r w:rsidRPr="00F21056">
              <w:rPr>
                <w:noProof/>
                <w:szCs w:val="24"/>
                <w:lang w:val="el-GR" w:eastAsia="el-GR"/>
              </w:rPr>
              <w:drawing>
                <wp:inline distT="0" distB="0" distL="0" distR="0" wp14:anchorId="33BF27C1" wp14:editId="032D2F77">
                  <wp:extent cx="2620800" cy="1080000"/>
                  <wp:effectExtent l="0" t="0" r="8255" b="635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0800" cy="1080000"/>
                          </a:xfrm>
                          <a:prstGeom prst="rect">
                            <a:avLst/>
                          </a:prstGeom>
                          <a:noFill/>
                          <a:ln>
                            <a:noFill/>
                          </a:ln>
                        </pic:spPr>
                      </pic:pic>
                    </a:graphicData>
                  </a:graphic>
                </wp:inline>
              </w:drawing>
            </w:r>
          </w:p>
        </w:tc>
        <w:tc>
          <w:tcPr>
            <w:tcW w:w="4509" w:type="dxa"/>
          </w:tcPr>
          <w:p w14:paraId="401B2D47" w14:textId="32559B55" w:rsidR="00901A34" w:rsidRDefault="0065389B" w:rsidP="00A032C8">
            <w:pPr>
              <w:pStyle w:val="BodyText"/>
              <w:ind w:firstLine="0"/>
              <w:jc w:val="center"/>
              <w:rPr>
                <w:highlight w:val="yellow"/>
              </w:rPr>
            </w:pPr>
            <w:r w:rsidRPr="00F21056">
              <w:rPr>
                <w:noProof/>
                <w:szCs w:val="24"/>
                <w:lang w:val="el-GR" w:eastAsia="el-GR"/>
              </w:rPr>
              <w:drawing>
                <wp:inline distT="0" distB="0" distL="0" distR="0" wp14:anchorId="2652BEED" wp14:editId="69AAA027">
                  <wp:extent cx="2620800" cy="1080000"/>
                  <wp:effectExtent l="0" t="0" r="8255" b="635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0800" cy="1080000"/>
                          </a:xfrm>
                          <a:prstGeom prst="rect">
                            <a:avLst/>
                          </a:prstGeom>
                          <a:noFill/>
                          <a:ln>
                            <a:noFill/>
                          </a:ln>
                        </pic:spPr>
                      </pic:pic>
                    </a:graphicData>
                  </a:graphic>
                </wp:inline>
              </w:drawing>
            </w:r>
          </w:p>
        </w:tc>
      </w:tr>
      <w:tr w:rsidR="00901A34" w:rsidRPr="00901A34" w14:paraId="6EAC62FF" w14:textId="77777777" w:rsidTr="00A032C8">
        <w:trPr>
          <w:trHeight w:val="460"/>
        </w:trPr>
        <w:tc>
          <w:tcPr>
            <w:tcW w:w="4508" w:type="dxa"/>
          </w:tcPr>
          <w:p w14:paraId="66DF2120" w14:textId="77777777" w:rsidR="00901A34" w:rsidRPr="00901A34" w:rsidRDefault="00901A34" w:rsidP="00A032C8">
            <w:pPr>
              <w:pStyle w:val="Caption"/>
              <w:spacing w:after="0" w:line="240" w:lineRule="atLeast"/>
              <w:contextualSpacing/>
              <w:jc w:val="center"/>
              <w:rPr>
                <w:i/>
                <w:sz w:val="20"/>
              </w:rPr>
            </w:pPr>
          </w:p>
          <w:p w14:paraId="33284C23" w14:textId="3A038E70" w:rsidR="00901A34" w:rsidRPr="00901A34" w:rsidRDefault="00901A34" w:rsidP="00A032C8">
            <w:pPr>
              <w:pStyle w:val="Caption"/>
              <w:spacing w:after="0" w:line="240" w:lineRule="atLeast"/>
              <w:contextualSpacing/>
              <w:jc w:val="center"/>
              <w:rPr>
                <w:i/>
                <w:sz w:val="20"/>
              </w:rPr>
            </w:pPr>
            <w:r w:rsidRPr="00901A34">
              <w:rPr>
                <w:i/>
                <w:sz w:val="20"/>
              </w:rPr>
              <w:t>Fig. 2a. Co-57 flood source MCNPX visualization</w:t>
            </w:r>
          </w:p>
        </w:tc>
        <w:tc>
          <w:tcPr>
            <w:tcW w:w="4509" w:type="dxa"/>
          </w:tcPr>
          <w:p w14:paraId="2BFDBAB3" w14:textId="77777777" w:rsidR="00901A34" w:rsidRPr="00901A34" w:rsidRDefault="00901A34" w:rsidP="00A032C8">
            <w:pPr>
              <w:pStyle w:val="BodyText"/>
              <w:spacing w:line="240" w:lineRule="atLeast"/>
              <w:ind w:firstLine="0"/>
              <w:jc w:val="center"/>
              <w:rPr>
                <w:i/>
              </w:rPr>
            </w:pPr>
          </w:p>
          <w:p w14:paraId="7CD41166" w14:textId="6F41B4C4" w:rsidR="00901A34" w:rsidRPr="00901A34" w:rsidRDefault="00901A34" w:rsidP="00A032C8">
            <w:pPr>
              <w:pStyle w:val="BodyText"/>
              <w:spacing w:line="240" w:lineRule="atLeast"/>
              <w:ind w:firstLine="0"/>
              <w:jc w:val="center"/>
              <w:rPr>
                <w:i/>
              </w:rPr>
            </w:pPr>
            <w:r w:rsidRPr="00901A34">
              <w:rPr>
                <w:i/>
              </w:rPr>
              <w:t xml:space="preserve">Fig </w:t>
            </w:r>
            <w:r>
              <w:rPr>
                <w:i/>
              </w:rPr>
              <w:t>2</w:t>
            </w:r>
            <w:r w:rsidRPr="00901A34">
              <w:rPr>
                <w:i/>
              </w:rPr>
              <w:t xml:space="preserve">b. </w:t>
            </w:r>
            <w:r w:rsidRPr="00901A34">
              <w:rPr>
                <w:i/>
                <w:sz w:val="22"/>
                <w:szCs w:val="22"/>
              </w:rPr>
              <w:t>Ge-68/Ga-68 line source MCNPX visualization</w:t>
            </w:r>
          </w:p>
        </w:tc>
      </w:tr>
    </w:tbl>
    <w:p w14:paraId="09FE9EEC" w14:textId="17C37FD7" w:rsidR="009A1C42" w:rsidRDefault="009A1C42" w:rsidP="009A1C42">
      <w:pPr>
        <w:pStyle w:val="Heading2"/>
        <w:numPr>
          <w:ilvl w:val="1"/>
          <w:numId w:val="10"/>
        </w:numPr>
      </w:pPr>
      <w:r>
        <w:lastRenderedPageBreak/>
        <w:t>results and discussion</w:t>
      </w:r>
    </w:p>
    <w:p w14:paraId="53EC0F6E" w14:textId="51C251A8" w:rsidR="00CB0809" w:rsidRPr="00CB0809" w:rsidRDefault="00CB0809" w:rsidP="00CB0809">
      <w:pPr>
        <w:spacing w:line="260" w:lineRule="atLeast"/>
        <w:contextualSpacing/>
        <w:jc w:val="both"/>
        <w:rPr>
          <w:sz w:val="20"/>
        </w:rPr>
      </w:pPr>
      <w:r w:rsidRPr="00CB0809">
        <w:rPr>
          <w:b/>
          <w:sz w:val="20"/>
        </w:rPr>
        <w:tab/>
      </w:r>
      <w:r w:rsidRPr="00CB0809">
        <w:rPr>
          <w:sz w:val="20"/>
        </w:rPr>
        <w:t>The results of the study show that the acquisition time of two hours provided adequate statistics for the activity determination of the flood source Co-57</w:t>
      </w:r>
      <w:r w:rsidR="00690212">
        <w:rPr>
          <w:sz w:val="20"/>
        </w:rPr>
        <w:t xml:space="preserve"> and t</w:t>
      </w:r>
      <w:r w:rsidRPr="00CB0809">
        <w:rPr>
          <w:sz w:val="20"/>
        </w:rPr>
        <w:t xml:space="preserve">he determined activity has a deviation of 13,6% from the source nominal activity. </w:t>
      </w:r>
      <w:r w:rsidR="00CD6362">
        <w:rPr>
          <w:sz w:val="20"/>
        </w:rPr>
        <w:t xml:space="preserve">In case of the </w:t>
      </w:r>
      <w:r w:rsidR="00CD6362" w:rsidRPr="00CB0809">
        <w:rPr>
          <w:sz w:val="20"/>
        </w:rPr>
        <w:t xml:space="preserve">line source Ge-68, </w:t>
      </w:r>
      <w:r w:rsidRPr="00CB0809">
        <w:rPr>
          <w:sz w:val="20"/>
        </w:rPr>
        <w:t>one hour measurement was adequate for the activity determination with a deviation of 26</w:t>
      </w:r>
      <w:proofErr w:type="gramStart"/>
      <w:r w:rsidRPr="00CB0809">
        <w:rPr>
          <w:sz w:val="20"/>
        </w:rPr>
        <w:t>,9</w:t>
      </w:r>
      <w:proofErr w:type="gramEnd"/>
      <w:r w:rsidRPr="00CB0809">
        <w:rPr>
          <w:sz w:val="20"/>
        </w:rPr>
        <w:t>% from the nominal activity</w:t>
      </w:r>
      <w:r w:rsidR="000E0DD4">
        <w:rPr>
          <w:sz w:val="20"/>
        </w:rPr>
        <w:t>.</w:t>
      </w:r>
    </w:p>
    <w:p w14:paraId="7632BC9F" w14:textId="77777777" w:rsidR="00126424" w:rsidRDefault="00CB0809" w:rsidP="00CB0809">
      <w:pPr>
        <w:spacing w:line="260" w:lineRule="atLeast"/>
        <w:contextualSpacing/>
        <w:jc w:val="both"/>
        <w:rPr>
          <w:sz w:val="20"/>
        </w:rPr>
      </w:pPr>
      <w:r w:rsidRPr="00CB0809">
        <w:rPr>
          <w:sz w:val="20"/>
        </w:rPr>
        <w:tab/>
        <w:t xml:space="preserve">The deviation between the evaluated and nominal activities can be attributed mainly to the 15% uncertainty of the certified sources activities. </w:t>
      </w:r>
      <w:r w:rsidR="000642A8">
        <w:rPr>
          <w:sz w:val="20"/>
        </w:rPr>
        <w:t>T</w:t>
      </w:r>
      <w:r w:rsidR="000642A8" w:rsidRPr="00CB0809">
        <w:rPr>
          <w:sz w:val="20"/>
        </w:rPr>
        <w:t xml:space="preserve">his deviation is acceptable </w:t>
      </w:r>
      <w:r w:rsidR="000642A8">
        <w:rPr>
          <w:sz w:val="20"/>
        </w:rPr>
        <w:t>if we c</w:t>
      </w:r>
      <w:r w:rsidRPr="00CB0809">
        <w:rPr>
          <w:sz w:val="20"/>
        </w:rPr>
        <w:t xml:space="preserve">onsider the half-life </w:t>
      </w:r>
      <w:r w:rsidR="00126424">
        <w:rPr>
          <w:sz w:val="20"/>
        </w:rPr>
        <w:t xml:space="preserve">of 0.74 y </w:t>
      </w:r>
      <w:r w:rsidRPr="00CB0809">
        <w:rPr>
          <w:sz w:val="20"/>
        </w:rPr>
        <w:t>of Co-57 and Ge-68</w:t>
      </w:r>
      <w:r w:rsidR="000642A8">
        <w:rPr>
          <w:sz w:val="20"/>
        </w:rPr>
        <w:t>.</w:t>
      </w:r>
      <w:r w:rsidRPr="00CB0809">
        <w:rPr>
          <w:sz w:val="20"/>
        </w:rPr>
        <w:t xml:space="preserve"> </w:t>
      </w:r>
    </w:p>
    <w:p w14:paraId="00A94170" w14:textId="77777777" w:rsidR="00126424" w:rsidRDefault="00CB0809" w:rsidP="00166216">
      <w:pPr>
        <w:spacing w:line="260" w:lineRule="atLeast"/>
        <w:ind w:firstLine="567"/>
        <w:contextualSpacing/>
        <w:jc w:val="both"/>
        <w:rPr>
          <w:sz w:val="20"/>
        </w:rPr>
      </w:pPr>
      <w:r w:rsidRPr="00CB0809">
        <w:rPr>
          <w:sz w:val="20"/>
        </w:rPr>
        <w:t>After meeting the general clearance criterion, the sources can be kept in the interim storage additionally for few more months before release from regulatory control.</w:t>
      </w:r>
      <w:r w:rsidR="003C4D97" w:rsidRPr="003C4D97">
        <w:rPr>
          <w:sz w:val="20"/>
        </w:rPr>
        <w:t xml:space="preserve"> </w:t>
      </w:r>
      <w:r w:rsidR="003C4D97" w:rsidRPr="00CB0809">
        <w:rPr>
          <w:sz w:val="20"/>
        </w:rPr>
        <w:t xml:space="preserve">The general clearance criterion for Co-57 is 1 </w:t>
      </w:r>
      <w:proofErr w:type="spellStart"/>
      <w:r w:rsidR="003C4D97" w:rsidRPr="00CB0809">
        <w:rPr>
          <w:sz w:val="20"/>
        </w:rPr>
        <w:t>Bq</w:t>
      </w:r>
      <w:proofErr w:type="spellEnd"/>
      <w:r w:rsidR="003C4D97" w:rsidRPr="00CB0809">
        <w:rPr>
          <w:sz w:val="20"/>
        </w:rPr>
        <w:t xml:space="preserve">/g and for Ge-68/Ga-68 is 10 </w:t>
      </w:r>
      <w:proofErr w:type="spellStart"/>
      <w:r w:rsidR="003C4D97" w:rsidRPr="00CB0809">
        <w:rPr>
          <w:sz w:val="20"/>
        </w:rPr>
        <w:t>Bq</w:t>
      </w:r>
      <w:proofErr w:type="spellEnd"/>
      <w:r w:rsidR="003C4D97" w:rsidRPr="00CB0809">
        <w:rPr>
          <w:sz w:val="20"/>
        </w:rPr>
        <w:t>/g [5, 6].</w:t>
      </w:r>
      <w:r w:rsidR="003C4D97">
        <w:rPr>
          <w:sz w:val="20"/>
        </w:rPr>
        <w:t xml:space="preserve"> </w:t>
      </w:r>
    </w:p>
    <w:p w14:paraId="78BC994C" w14:textId="28593093" w:rsidR="003C4D97" w:rsidRDefault="00166216" w:rsidP="00166216">
      <w:pPr>
        <w:spacing w:line="260" w:lineRule="atLeast"/>
        <w:ind w:firstLine="567"/>
        <w:contextualSpacing/>
        <w:jc w:val="both"/>
        <w:rPr>
          <w:sz w:val="20"/>
        </w:rPr>
      </w:pPr>
      <w:r>
        <w:rPr>
          <w:sz w:val="20"/>
        </w:rPr>
        <w:t>T</w:t>
      </w:r>
      <w:r w:rsidR="00CB0809" w:rsidRPr="00CB0809">
        <w:rPr>
          <w:sz w:val="20"/>
        </w:rPr>
        <w:t xml:space="preserve">he minimum detectable activities (MDA) </w:t>
      </w:r>
      <w:r w:rsidR="000642A8">
        <w:rPr>
          <w:sz w:val="20"/>
        </w:rPr>
        <w:t xml:space="preserve">have been calculated for </w:t>
      </w:r>
      <w:r w:rsidR="00CB0809" w:rsidRPr="00CB0809">
        <w:rPr>
          <w:sz w:val="20"/>
        </w:rPr>
        <w:t>t</w:t>
      </w:r>
      <w:r w:rsidR="000642A8">
        <w:rPr>
          <w:sz w:val="20"/>
        </w:rPr>
        <w:t>he specific experimental set-up</w:t>
      </w:r>
      <w:r>
        <w:rPr>
          <w:sz w:val="20"/>
        </w:rPr>
        <w:t>s</w:t>
      </w:r>
      <w:r w:rsidR="00CB0809" w:rsidRPr="00CB0809">
        <w:rPr>
          <w:sz w:val="20"/>
        </w:rPr>
        <w:t xml:space="preserve">. For the Co-57 flood source, the MDA is 1.00 </w:t>
      </w:r>
      <w:proofErr w:type="spellStart"/>
      <w:r w:rsidR="00CB0809" w:rsidRPr="00CB0809">
        <w:rPr>
          <w:sz w:val="20"/>
        </w:rPr>
        <w:t>Bq</w:t>
      </w:r>
      <w:proofErr w:type="spellEnd"/>
      <w:r w:rsidR="00CB0809" w:rsidRPr="00CB0809">
        <w:rPr>
          <w:sz w:val="20"/>
        </w:rPr>
        <w:t>/g</w:t>
      </w:r>
      <w:r w:rsidR="003C4D97">
        <w:rPr>
          <w:sz w:val="20"/>
        </w:rPr>
        <w:t xml:space="preserve">, while for the </w:t>
      </w:r>
      <w:r w:rsidR="00CB0809" w:rsidRPr="00CB0809">
        <w:rPr>
          <w:sz w:val="20"/>
        </w:rPr>
        <w:t xml:space="preserve">Ge-68/Ga-68 line source the MDA is 812 </w:t>
      </w:r>
      <w:proofErr w:type="spellStart"/>
      <w:r w:rsidR="00CB0809" w:rsidRPr="00CB0809">
        <w:rPr>
          <w:sz w:val="20"/>
        </w:rPr>
        <w:t>Bq</w:t>
      </w:r>
      <w:proofErr w:type="spellEnd"/>
      <w:r w:rsidR="00CB0809" w:rsidRPr="00CB0809">
        <w:rPr>
          <w:sz w:val="20"/>
        </w:rPr>
        <w:t xml:space="preserve">/g. So, the technique for the clearance of flood sealed radioactive sources of Co-57 is accurate </w:t>
      </w:r>
      <w:r w:rsidR="003C4D97">
        <w:rPr>
          <w:sz w:val="20"/>
        </w:rPr>
        <w:t>with adequate</w:t>
      </w:r>
      <w:r w:rsidR="00CB0809" w:rsidRPr="00CB0809">
        <w:rPr>
          <w:sz w:val="20"/>
        </w:rPr>
        <w:t xml:space="preserve"> sensitiv</w:t>
      </w:r>
      <w:r w:rsidR="003C4D97">
        <w:rPr>
          <w:sz w:val="20"/>
        </w:rPr>
        <w:t>ity, while</w:t>
      </w:r>
      <w:r w:rsidR="00CB0809" w:rsidRPr="00CB0809">
        <w:rPr>
          <w:sz w:val="20"/>
        </w:rPr>
        <w:t xml:space="preserve"> for Ge-68/Ga-68 line sources is accurate but the sensitivity </w:t>
      </w:r>
      <w:r>
        <w:rPr>
          <w:sz w:val="20"/>
        </w:rPr>
        <w:t>needs</w:t>
      </w:r>
      <w:r w:rsidR="00CB0809" w:rsidRPr="00CB0809">
        <w:rPr>
          <w:sz w:val="20"/>
        </w:rPr>
        <w:t xml:space="preserve"> improve</w:t>
      </w:r>
      <w:r>
        <w:rPr>
          <w:sz w:val="20"/>
        </w:rPr>
        <w:t>ment</w:t>
      </w:r>
      <w:r w:rsidR="00CB0809" w:rsidRPr="00CB0809">
        <w:rPr>
          <w:sz w:val="20"/>
        </w:rPr>
        <w:t xml:space="preserve">. </w:t>
      </w:r>
    </w:p>
    <w:p w14:paraId="6CD85DC7" w14:textId="61DF9612" w:rsidR="00CB0809" w:rsidRDefault="00991710" w:rsidP="003C4D97">
      <w:pPr>
        <w:spacing w:line="260" w:lineRule="atLeast"/>
        <w:ind w:firstLine="567"/>
        <w:contextualSpacing/>
        <w:jc w:val="both"/>
        <w:rPr>
          <w:sz w:val="20"/>
        </w:rPr>
      </w:pPr>
      <w:r w:rsidRPr="00991710">
        <w:rPr>
          <w:sz w:val="20"/>
        </w:rPr>
        <w:t xml:space="preserve">Future clearance measurements for Ge-68/Ga-68 line source are planned, without the source shielding structure in order to achieve higher sensitivity. </w:t>
      </w:r>
      <w:r>
        <w:rPr>
          <w:sz w:val="20"/>
        </w:rPr>
        <w:t>In addition</w:t>
      </w:r>
      <w:r w:rsidR="00CB0809" w:rsidRPr="00CB0809">
        <w:rPr>
          <w:sz w:val="20"/>
        </w:rPr>
        <w:t xml:space="preserve">, positron simulation and use of the annihilation peak will improve the </w:t>
      </w:r>
      <w:r w:rsidRPr="00CB0809">
        <w:rPr>
          <w:sz w:val="20"/>
        </w:rPr>
        <w:t xml:space="preserve">sensitivity </w:t>
      </w:r>
      <w:r>
        <w:rPr>
          <w:sz w:val="20"/>
        </w:rPr>
        <w:t xml:space="preserve">of the </w:t>
      </w:r>
      <w:r w:rsidR="00CB0809" w:rsidRPr="00CB0809">
        <w:rPr>
          <w:sz w:val="20"/>
        </w:rPr>
        <w:t xml:space="preserve">technique. </w:t>
      </w:r>
    </w:p>
    <w:p w14:paraId="40A4B546" w14:textId="1E84D4BA" w:rsidR="002330B3" w:rsidRDefault="002330B3" w:rsidP="002330B3">
      <w:pPr>
        <w:pStyle w:val="Heading2"/>
        <w:numPr>
          <w:ilvl w:val="1"/>
          <w:numId w:val="10"/>
        </w:numPr>
      </w:pPr>
      <w:r>
        <w:t>conclusions</w:t>
      </w:r>
    </w:p>
    <w:p w14:paraId="2565FBF0" w14:textId="003E2E67" w:rsidR="002330B3" w:rsidRPr="002330B3" w:rsidRDefault="002330B3" w:rsidP="002330B3">
      <w:pPr>
        <w:overflowPunct/>
        <w:ind w:firstLine="567"/>
        <w:jc w:val="both"/>
        <w:textAlignment w:val="auto"/>
        <w:rPr>
          <w:sz w:val="20"/>
          <w:lang w:val="en-US" w:eastAsia="en-GB"/>
        </w:rPr>
      </w:pPr>
      <w:r w:rsidRPr="002330B3">
        <w:rPr>
          <w:sz w:val="20"/>
          <w:lang w:val="en-US" w:eastAsia="en-GB"/>
        </w:rPr>
        <w:t>Gamma-ray spectrums taken for different time intervals (7h, 2h, 15min for Co-57 and 7h, 1h, 15min</w:t>
      </w:r>
      <w:r>
        <w:rPr>
          <w:sz w:val="20"/>
          <w:lang w:val="en-US" w:eastAsia="en-GB"/>
        </w:rPr>
        <w:t xml:space="preserve"> </w:t>
      </w:r>
      <w:r w:rsidRPr="002330B3">
        <w:rPr>
          <w:sz w:val="20"/>
          <w:lang w:val="en-US" w:eastAsia="en-GB"/>
        </w:rPr>
        <w:t>for Ge-68/Ga-68) showed that, 2h measurement was adequate for the activity determination of the</w:t>
      </w:r>
      <w:r>
        <w:rPr>
          <w:sz w:val="20"/>
          <w:lang w:val="en-US" w:eastAsia="en-GB"/>
        </w:rPr>
        <w:t xml:space="preserve"> </w:t>
      </w:r>
      <w:r w:rsidRPr="002330B3">
        <w:rPr>
          <w:sz w:val="20"/>
          <w:lang w:val="en-US" w:eastAsia="en-GB"/>
        </w:rPr>
        <w:t>flood source Co-57, while 1h measurement provided adequate statistics for the activity determination</w:t>
      </w:r>
      <w:r>
        <w:rPr>
          <w:sz w:val="20"/>
          <w:lang w:val="en-US" w:eastAsia="en-GB"/>
        </w:rPr>
        <w:t xml:space="preserve"> </w:t>
      </w:r>
      <w:r w:rsidRPr="002330B3">
        <w:rPr>
          <w:sz w:val="20"/>
          <w:lang w:val="en-US" w:eastAsia="en-GB"/>
        </w:rPr>
        <w:t>of the line source Ge-68/Ga-68. The deviation from the nominal activity was 13.6% and 26.8%</w:t>
      </w:r>
      <w:r>
        <w:rPr>
          <w:sz w:val="20"/>
          <w:lang w:val="en-US" w:eastAsia="en-GB"/>
        </w:rPr>
        <w:t xml:space="preserve"> </w:t>
      </w:r>
      <w:r w:rsidRPr="002330B3">
        <w:rPr>
          <w:sz w:val="20"/>
          <w:lang w:val="en-US" w:eastAsia="en-GB"/>
        </w:rPr>
        <w:t>for Co-57 and Ge-68/Ga-68 source respectively and can be interpreted by the 15% uncertainty of</w:t>
      </w:r>
      <w:r>
        <w:rPr>
          <w:sz w:val="20"/>
          <w:lang w:val="en-US" w:eastAsia="en-GB"/>
        </w:rPr>
        <w:t xml:space="preserve"> </w:t>
      </w:r>
      <w:r w:rsidRPr="002330B3">
        <w:rPr>
          <w:sz w:val="20"/>
          <w:lang w:val="en-US" w:eastAsia="en-GB"/>
        </w:rPr>
        <w:t>the certified sources activities. The sources after meeting the clearance criterion can conservatively</w:t>
      </w:r>
      <w:r>
        <w:rPr>
          <w:sz w:val="20"/>
          <w:lang w:val="en-US" w:eastAsia="en-GB"/>
        </w:rPr>
        <w:t xml:space="preserve"> </w:t>
      </w:r>
      <w:r w:rsidRPr="002330B3">
        <w:rPr>
          <w:sz w:val="20"/>
          <w:lang w:val="en-US" w:eastAsia="en-GB"/>
        </w:rPr>
        <w:t>be kept in the interim storage additionally for four months before release from regulatory</w:t>
      </w:r>
      <w:r>
        <w:rPr>
          <w:sz w:val="20"/>
          <w:lang w:val="en-US" w:eastAsia="en-GB"/>
        </w:rPr>
        <w:t xml:space="preserve"> </w:t>
      </w:r>
      <w:r w:rsidRPr="002330B3">
        <w:rPr>
          <w:sz w:val="20"/>
          <w:lang w:val="en-US" w:eastAsia="en-GB"/>
        </w:rPr>
        <w:t>control.</w:t>
      </w:r>
    </w:p>
    <w:p w14:paraId="433FE094" w14:textId="5B8C73AD" w:rsidR="00E25B68" w:rsidRPr="002330B3" w:rsidRDefault="002330B3" w:rsidP="002330B3">
      <w:pPr>
        <w:overflowPunct/>
        <w:ind w:firstLine="567"/>
        <w:jc w:val="both"/>
        <w:textAlignment w:val="auto"/>
      </w:pPr>
      <w:r w:rsidRPr="002330B3">
        <w:rPr>
          <w:sz w:val="20"/>
          <w:lang w:val="en-US" w:eastAsia="en-GB"/>
        </w:rPr>
        <w:t>These techniques proved accurate for the clearance of Co-57 and Ge-68/Ga-68 sealed radioactive</w:t>
      </w:r>
      <w:r>
        <w:rPr>
          <w:sz w:val="20"/>
          <w:lang w:val="en-US" w:eastAsia="en-GB"/>
        </w:rPr>
        <w:t xml:space="preserve"> </w:t>
      </w:r>
      <w:r w:rsidRPr="002330B3">
        <w:rPr>
          <w:sz w:val="20"/>
          <w:lang w:val="en-US" w:eastAsia="en-GB"/>
        </w:rPr>
        <w:t>sources.</w:t>
      </w:r>
    </w:p>
    <w:p w14:paraId="433FE097" w14:textId="77777777" w:rsidR="00D26ADA" w:rsidRPr="00285755" w:rsidRDefault="00D26ADA" w:rsidP="00537496">
      <w:pPr>
        <w:pStyle w:val="Otherunnumberedheadings"/>
      </w:pPr>
      <w:r>
        <w:t>References</w:t>
      </w:r>
    </w:p>
    <w:p w14:paraId="3684B9B5" w14:textId="77777777" w:rsidR="00CB0809" w:rsidRPr="006D625F" w:rsidRDefault="00CB0809" w:rsidP="000642A8">
      <w:pPr>
        <w:numPr>
          <w:ilvl w:val="0"/>
          <w:numId w:val="40"/>
        </w:numPr>
        <w:overflowPunct/>
        <w:autoSpaceDE/>
        <w:autoSpaceDN/>
        <w:adjustRightInd/>
        <w:spacing w:line="240" w:lineRule="atLeast"/>
        <w:ind w:left="714" w:hanging="357"/>
        <w:textAlignment w:val="auto"/>
        <w:rPr>
          <w:sz w:val="18"/>
          <w:szCs w:val="18"/>
        </w:rPr>
      </w:pPr>
      <w:r w:rsidRPr="006D625F">
        <w:rPr>
          <w:sz w:val="18"/>
          <w:szCs w:val="18"/>
        </w:rPr>
        <w:t xml:space="preserve">Canberra Industries, Inc. </w:t>
      </w:r>
      <w:proofErr w:type="spellStart"/>
      <w:r w:rsidRPr="006D625F">
        <w:rPr>
          <w:sz w:val="18"/>
          <w:szCs w:val="18"/>
        </w:rPr>
        <w:t>Genie</w:t>
      </w:r>
      <w:r w:rsidRPr="006D625F">
        <w:rPr>
          <w:sz w:val="18"/>
          <w:szCs w:val="18"/>
          <w:vertAlign w:val="superscript"/>
        </w:rPr>
        <w:t>TM</w:t>
      </w:r>
      <w:proofErr w:type="spellEnd"/>
      <w:r w:rsidRPr="006D625F">
        <w:rPr>
          <w:sz w:val="18"/>
          <w:szCs w:val="18"/>
        </w:rPr>
        <w:t xml:space="preserve"> 2000 Gamma Analysis Spectroscopy Software</w:t>
      </w:r>
    </w:p>
    <w:p w14:paraId="3DC70CEE" w14:textId="77777777" w:rsidR="00BC42B0" w:rsidRDefault="00BC42B0" w:rsidP="00BC42B0">
      <w:pPr>
        <w:pStyle w:val="ListParagraph"/>
        <w:numPr>
          <w:ilvl w:val="0"/>
          <w:numId w:val="40"/>
        </w:numPr>
        <w:overflowPunct/>
        <w:spacing w:line="240" w:lineRule="atLeast"/>
        <w:ind w:left="714" w:hanging="357"/>
        <w:textAlignment w:val="auto"/>
        <w:rPr>
          <w:sz w:val="18"/>
          <w:szCs w:val="18"/>
          <w:lang w:val="en-US" w:eastAsia="en-GB"/>
        </w:rPr>
      </w:pPr>
      <w:r w:rsidRPr="006D625F">
        <w:rPr>
          <w:sz w:val="18"/>
          <w:szCs w:val="18"/>
          <w:lang w:val="en-US" w:eastAsia="en-GB"/>
        </w:rPr>
        <w:t xml:space="preserve">FIRESTONE, Richard B. “Table of Isotopes”, Eighth Edition, Wiley </w:t>
      </w:r>
      <w:proofErr w:type="spellStart"/>
      <w:r w:rsidRPr="006D625F">
        <w:rPr>
          <w:sz w:val="18"/>
          <w:szCs w:val="18"/>
          <w:lang w:val="en-US" w:eastAsia="en-GB"/>
        </w:rPr>
        <w:t>Interscience</w:t>
      </w:r>
      <w:proofErr w:type="spellEnd"/>
      <w:r w:rsidRPr="006D625F">
        <w:rPr>
          <w:sz w:val="18"/>
          <w:szCs w:val="18"/>
          <w:lang w:val="en-US" w:eastAsia="en-GB"/>
        </w:rPr>
        <w:t>, 1996</w:t>
      </w:r>
    </w:p>
    <w:p w14:paraId="74FFC15C" w14:textId="77777777" w:rsidR="00E6787F" w:rsidRPr="006D625F" w:rsidRDefault="00E6787F" w:rsidP="000642A8">
      <w:pPr>
        <w:numPr>
          <w:ilvl w:val="0"/>
          <w:numId w:val="40"/>
        </w:numPr>
        <w:overflowPunct/>
        <w:autoSpaceDE/>
        <w:autoSpaceDN/>
        <w:adjustRightInd/>
        <w:spacing w:line="240" w:lineRule="atLeast"/>
        <w:ind w:left="714" w:hanging="357"/>
        <w:textAlignment w:val="auto"/>
        <w:rPr>
          <w:sz w:val="18"/>
          <w:szCs w:val="18"/>
        </w:rPr>
      </w:pPr>
      <w:r w:rsidRPr="006D625F">
        <w:rPr>
          <w:sz w:val="18"/>
          <w:szCs w:val="18"/>
          <w:lang w:val="en-US" w:eastAsia="en-GB"/>
        </w:rPr>
        <w:t xml:space="preserve">KALFAS et al., </w:t>
      </w:r>
      <w:proofErr w:type="spellStart"/>
      <w:r w:rsidRPr="006D625F">
        <w:rPr>
          <w:sz w:val="18"/>
          <w:szCs w:val="18"/>
          <w:lang w:val="en-US" w:eastAsia="en-GB"/>
        </w:rPr>
        <w:t>Nucl</w:t>
      </w:r>
      <w:proofErr w:type="spellEnd"/>
      <w:r w:rsidRPr="006D625F">
        <w:rPr>
          <w:sz w:val="18"/>
          <w:szCs w:val="18"/>
          <w:lang w:val="en-US" w:eastAsia="en-GB"/>
        </w:rPr>
        <w:t xml:space="preserve">. </w:t>
      </w:r>
      <w:proofErr w:type="spellStart"/>
      <w:r w:rsidRPr="006D625F">
        <w:rPr>
          <w:sz w:val="18"/>
          <w:szCs w:val="18"/>
          <w:lang w:val="en-US" w:eastAsia="en-GB"/>
        </w:rPr>
        <w:t>Instrum</w:t>
      </w:r>
      <w:proofErr w:type="spellEnd"/>
      <w:r w:rsidRPr="006D625F">
        <w:rPr>
          <w:sz w:val="18"/>
          <w:szCs w:val="18"/>
          <w:lang w:val="en-US" w:eastAsia="en-GB"/>
        </w:rPr>
        <w:t>. Methods Phys. Res. Sect. A 830 (2016) 265-274</w:t>
      </w:r>
      <w:r w:rsidRPr="006D625F">
        <w:rPr>
          <w:sz w:val="18"/>
          <w:szCs w:val="18"/>
        </w:rPr>
        <w:t xml:space="preserve">Done et al., Appl. Rad. </w:t>
      </w:r>
      <w:proofErr w:type="spellStart"/>
      <w:r w:rsidRPr="006D625F">
        <w:rPr>
          <w:sz w:val="18"/>
          <w:szCs w:val="18"/>
        </w:rPr>
        <w:t>Isot</w:t>
      </w:r>
      <w:proofErr w:type="spellEnd"/>
      <w:r w:rsidRPr="006D625F">
        <w:rPr>
          <w:sz w:val="18"/>
          <w:szCs w:val="18"/>
        </w:rPr>
        <w:t>. 114 (2016) 28-32</w:t>
      </w:r>
    </w:p>
    <w:p w14:paraId="09F56EFF" w14:textId="77777777" w:rsidR="000642A8" w:rsidRPr="000642A8" w:rsidRDefault="000642A8" w:rsidP="000642A8">
      <w:pPr>
        <w:pStyle w:val="ListParagraph"/>
        <w:numPr>
          <w:ilvl w:val="0"/>
          <w:numId w:val="40"/>
        </w:numPr>
        <w:overflowPunct/>
        <w:spacing w:line="240" w:lineRule="atLeast"/>
        <w:ind w:left="714" w:hanging="357"/>
        <w:textAlignment w:val="auto"/>
        <w:rPr>
          <w:sz w:val="18"/>
          <w:szCs w:val="18"/>
          <w:lang w:val="en-US" w:eastAsia="en-GB"/>
        </w:rPr>
      </w:pPr>
      <w:r w:rsidRPr="000642A8">
        <w:rPr>
          <w:sz w:val="18"/>
          <w:szCs w:val="18"/>
        </w:rPr>
        <w:t>Joint Ministerial Order 1014 (FOR) 94, Official Gazette No. 216/B/06-03-2001, “Radiation Protection Regulations”. (in Greek)</w:t>
      </w:r>
    </w:p>
    <w:p w14:paraId="23AA3801" w14:textId="2560B466" w:rsidR="00CB0809" w:rsidRPr="000642A8" w:rsidRDefault="00CB0809" w:rsidP="000642A8">
      <w:pPr>
        <w:pStyle w:val="ListParagraph"/>
        <w:numPr>
          <w:ilvl w:val="0"/>
          <w:numId w:val="40"/>
        </w:numPr>
        <w:overflowPunct/>
        <w:spacing w:line="240" w:lineRule="atLeast"/>
        <w:ind w:left="714" w:hanging="357"/>
        <w:textAlignment w:val="auto"/>
        <w:rPr>
          <w:sz w:val="18"/>
          <w:szCs w:val="18"/>
          <w:lang w:val="en-US" w:eastAsia="en-GB"/>
        </w:rPr>
      </w:pPr>
      <w:proofErr w:type="spellStart"/>
      <w:r w:rsidRPr="000642A8">
        <w:rPr>
          <w:sz w:val="18"/>
          <w:szCs w:val="18"/>
        </w:rPr>
        <w:t>Strahlenschutzverordnung</w:t>
      </w:r>
      <w:proofErr w:type="spellEnd"/>
      <w:r w:rsidRPr="000642A8">
        <w:rPr>
          <w:sz w:val="18"/>
          <w:szCs w:val="18"/>
        </w:rPr>
        <w:t xml:space="preserve"> (</w:t>
      </w:r>
      <w:proofErr w:type="spellStart"/>
      <w:r w:rsidRPr="000642A8">
        <w:rPr>
          <w:sz w:val="18"/>
          <w:szCs w:val="18"/>
        </w:rPr>
        <w:t>StSV</w:t>
      </w:r>
      <w:proofErr w:type="spellEnd"/>
      <w:r w:rsidRPr="000642A8">
        <w:rPr>
          <w:sz w:val="18"/>
          <w:szCs w:val="18"/>
        </w:rPr>
        <w:t xml:space="preserve">), </w:t>
      </w:r>
      <w:proofErr w:type="spellStart"/>
      <w:r w:rsidRPr="000642A8">
        <w:rPr>
          <w:sz w:val="18"/>
          <w:szCs w:val="18"/>
        </w:rPr>
        <w:t>vom</w:t>
      </w:r>
      <w:proofErr w:type="spellEnd"/>
      <w:r w:rsidRPr="000642A8">
        <w:rPr>
          <w:sz w:val="18"/>
          <w:szCs w:val="18"/>
        </w:rPr>
        <w:t xml:space="preserve">. 26 April 2017, </w:t>
      </w:r>
      <w:proofErr w:type="spellStart"/>
      <w:r w:rsidRPr="000642A8">
        <w:rPr>
          <w:sz w:val="18"/>
          <w:szCs w:val="18"/>
        </w:rPr>
        <w:t>Anhang</w:t>
      </w:r>
      <w:proofErr w:type="spellEnd"/>
      <w:r w:rsidRPr="000642A8">
        <w:rPr>
          <w:sz w:val="18"/>
          <w:szCs w:val="18"/>
        </w:rPr>
        <w:t xml:space="preserve"> 2 (Art. 2 Abs. 1 </w:t>
      </w:r>
      <w:proofErr w:type="spellStart"/>
      <w:r w:rsidRPr="000642A8">
        <w:rPr>
          <w:sz w:val="18"/>
          <w:szCs w:val="18"/>
        </w:rPr>
        <w:t>Bst</w:t>
      </w:r>
      <w:proofErr w:type="spellEnd"/>
      <w:r w:rsidRPr="000642A8">
        <w:rPr>
          <w:sz w:val="18"/>
          <w:szCs w:val="18"/>
        </w:rPr>
        <w:t xml:space="preserve">. j, l und m </w:t>
      </w:r>
      <w:proofErr w:type="spellStart"/>
      <w:r w:rsidRPr="000642A8">
        <w:rPr>
          <w:sz w:val="18"/>
          <w:szCs w:val="18"/>
        </w:rPr>
        <w:t>sowie</w:t>
      </w:r>
      <w:proofErr w:type="spellEnd"/>
      <w:r w:rsidRPr="000642A8">
        <w:rPr>
          <w:sz w:val="18"/>
          <w:szCs w:val="18"/>
        </w:rPr>
        <w:t xml:space="preserve"> 194 Abs. 3)</w:t>
      </w:r>
    </w:p>
    <w:p w14:paraId="220CC7E1" w14:textId="77777777" w:rsidR="00E43D75" w:rsidRPr="000642A8" w:rsidRDefault="00E43D75" w:rsidP="00FC01CD">
      <w:pPr>
        <w:pStyle w:val="Referencelist"/>
        <w:numPr>
          <w:ilvl w:val="0"/>
          <w:numId w:val="0"/>
        </w:numPr>
        <w:spacing w:line="240" w:lineRule="atLeast"/>
        <w:ind w:left="714" w:hanging="357"/>
      </w:pPr>
    </w:p>
    <w:sectPr w:rsidR="00E43D75" w:rsidRPr="000642A8"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3F5F" w14:textId="77777777" w:rsidR="0019210C" w:rsidRDefault="0019210C">
      <w:r>
        <w:separator/>
      </w:r>
    </w:p>
  </w:endnote>
  <w:endnote w:type="continuationSeparator" w:id="0">
    <w:p w14:paraId="11A76931" w14:textId="77777777" w:rsidR="0019210C" w:rsidRDefault="0019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nLibertineO-Identity-H">
    <w:panose1 w:val="00000000000000000000"/>
    <w:charset w:val="A1"/>
    <w:family w:val="auto"/>
    <w:notTrueType/>
    <w:pitch w:val="default"/>
    <w:sig w:usb0="00000081" w:usb1="00000000" w:usb2="00000000" w:usb3="00000000" w:csb0="00000008"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0A88C392" w:rsidR="00E20E70" w:rsidRDefault="00E20E70">
    <w:pPr>
      <w:pStyle w:val="zyxClassification1"/>
    </w:pPr>
    <w:r>
      <w:fldChar w:fldCharType="begin"/>
    </w:r>
    <w:r>
      <w:instrText xml:space="preserve"> DOCPROPERTY "IaeaClassification"  \* MERGEFORMAT </w:instrText>
    </w:r>
    <w:r>
      <w:fldChar w:fldCharType="end"/>
    </w:r>
  </w:p>
  <w:p w14:paraId="433FE0C7" w14:textId="546D8833"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1DA53EEF" w:rsidR="00E20E70" w:rsidRDefault="00E20E70">
    <w:pPr>
      <w:pStyle w:val="zyxClassification1"/>
    </w:pPr>
    <w:r>
      <w:fldChar w:fldCharType="begin"/>
    </w:r>
    <w:r>
      <w:instrText xml:space="preserve"> DOCPROPERTY "IaeaClassification"  \* MERGEFORMAT </w:instrText>
    </w:r>
    <w:r>
      <w:fldChar w:fldCharType="end"/>
    </w:r>
  </w:p>
  <w:p w14:paraId="433FE0C9" w14:textId="63E58292"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D6B3B">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5680D65B"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14CF8D08"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449A016E"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6E48F09B"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5848B61D" w:rsidR="00E20E70" w:rsidRDefault="00E20E70">
    <w:r>
      <w:rPr>
        <w:sz w:val="16"/>
      </w:rPr>
      <w:fldChar w:fldCharType="begin"/>
    </w:r>
    <w:r>
      <w:rPr>
        <w:sz w:val="16"/>
      </w:rPr>
      <w:instrText xml:space="preserve"> FILENAME \* MERGEFORMAT </w:instrText>
    </w:r>
    <w:r>
      <w:rPr>
        <w:sz w:val="16"/>
      </w:rPr>
      <w:fldChar w:fldCharType="separate"/>
    </w:r>
    <w:r w:rsidR="00BD6B3B">
      <w:rPr>
        <w:noProof/>
        <w:sz w:val="16"/>
      </w:rPr>
      <w:t>CN294_Paper_Submission_ID  181_A_IOANNIDOU</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B5C3" w14:textId="77777777" w:rsidR="0019210C" w:rsidRDefault="0019210C">
      <w:r>
        <w:t>___________________________________________________________________________</w:t>
      </w:r>
    </w:p>
  </w:footnote>
  <w:footnote w:type="continuationSeparator" w:id="0">
    <w:p w14:paraId="2BBC2951" w14:textId="77777777" w:rsidR="0019210C" w:rsidRDefault="0019210C">
      <w:r>
        <w:t>___________________________________________________________________________</w:t>
      </w:r>
    </w:p>
  </w:footnote>
  <w:footnote w:type="continuationNotice" w:id="1">
    <w:p w14:paraId="7CC649E5" w14:textId="77777777" w:rsidR="0019210C" w:rsidRDefault="001921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480CD3AC" w:rsidR="00CF7AF3" w:rsidRDefault="00CF7AF3" w:rsidP="00CF7AF3">
    <w:pPr>
      <w:pStyle w:val="Runninghead"/>
    </w:pPr>
    <w:r>
      <w:tab/>
      <w:t>IAEA-CN-</w:t>
    </w:r>
    <w:r w:rsidR="00185A51">
      <w:t>294</w:t>
    </w:r>
  </w:p>
  <w:p w14:paraId="433FE0C2" w14:textId="663CA1F7" w:rsidR="00E20E70" w:rsidRDefault="00CF7AF3" w:rsidP="00CF7AF3">
    <w:pPr>
      <w:pStyle w:val="zyxClassification1"/>
      <w:tabs>
        <w:tab w:val="left" w:pos="3956"/>
        <w:tab w:val="right" w:pos="9071"/>
      </w:tabs>
      <w:jc w:val="left"/>
    </w:pPr>
    <w:bookmarkStart w:id="1" w:name="_GoBack"/>
    <w:bookmarkEnd w:id="1"/>
    <w:r>
      <w:tab/>
    </w:r>
    <w:r w:rsidR="00E20E70">
      <w:fldChar w:fldCharType="begin"/>
    </w:r>
    <w:r w:rsidR="00E20E70">
      <w:instrText xml:space="preserve"> DOCPROPERTY "IaeaClassification"  \* MERGEFORMAT </w:instrText>
    </w:r>
    <w:r w:rsidR="00E20E70">
      <w:fldChar w:fldCharType="end"/>
    </w:r>
  </w:p>
  <w:p w14:paraId="433FE0C3" w14:textId="0E3CD9E8"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193147B2" w:rsidR="00E20E70" w:rsidRDefault="00910DCF" w:rsidP="00910DCF">
    <w:pPr>
      <w:pStyle w:val="Runninghead"/>
      <w:ind w:left="720"/>
    </w:pPr>
    <w:r>
      <w:t xml:space="preserve">IOANNIDOU </w:t>
    </w:r>
    <w:r w:rsidR="009F62DB">
      <w:t>A.</w:t>
    </w:r>
    <w:r w:rsidR="00AC5A3A">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31EC847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51E2B218"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47344DC"/>
    <w:multiLevelType w:val="hybridMultilevel"/>
    <w:tmpl w:val="FD1E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26482"/>
    <w:multiLevelType w:val="hybridMultilevel"/>
    <w:tmpl w:val="4FE8EC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EC5527"/>
    <w:multiLevelType w:val="hybridMultilevel"/>
    <w:tmpl w:val="9FD8B06E"/>
    <w:lvl w:ilvl="0" w:tplc="E8AC8F2A">
      <w:start w:val="1"/>
      <w:numFmt w:val="lowerLetter"/>
      <w:lvlText w:val="%1."/>
      <w:lvlJc w:val="left"/>
      <w:pPr>
        <w:ind w:left="927" w:hanging="360"/>
      </w:pPr>
      <w:rPr>
        <w:rFonts w:asciiTheme="minorHAnsi" w:hAnsiTheme="minorHAnsi" w:cs="LinLibertineO-Identity-H"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36326"/>
    <w:multiLevelType w:val="hybridMultilevel"/>
    <w:tmpl w:val="96269F46"/>
    <w:lvl w:ilvl="0" w:tplc="9D16048A">
      <w:start w:val="1"/>
      <w:numFmt w:val="upperLetter"/>
      <w:lvlText w:val="%1."/>
      <w:lvlJc w:val="left"/>
      <w:pPr>
        <w:ind w:left="927" w:hanging="360"/>
      </w:pPr>
      <w:rPr>
        <w:rFonts w:asciiTheme="minorHAnsi" w:hAnsiTheme="minorHAnsi" w:cs="LinLibertineO-Identity-H"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27453E84"/>
    <w:multiLevelType w:val="hybridMultilevel"/>
    <w:tmpl w:val="3336116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AC11BB"/>
    <w:multiLevelType w:val="hybridMultilevel"/>
    <w:tmpl w:val="B7EA37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AF0DAA"/>
    <w:multiLevelType w:val="hybridMultilevel"/>
    <w:tmpl w:val="B0EE31AE"/>
    <w:lvl w:ilvl="0" w:tplc="90B02F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3" w15:restartNumberingAfterBreak="0">
    <w:nsid w:val="30DF1462"/>
    <w:multiLevelType w:val="hybridMultilevel"/>
    <w:tmpl w:val="E026B01A"/>
    <w:lvl w:ilvl="0" w:tplc="63A05DE0">
      <w:start w:val="1"/>
      <w:numFmt w:val="upperLetter"/>
      <w:lvlText w:val="%1."/>
      <w:lvlJc w:val="left"/>
      <w:pPr>
        <w:ind w:left="927" w:hanging="360"/>
      </w:pPr>
      <w:rPr>
        <w:rFonts w:asciiTheme="minorHAnsi" w:hAnsiTheme="minorHAnsi" w:cs="LinLibertineO-Identity-H"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14398"/>
    <w:multiLevelType w:val="hybridMultilevel"/>
    <w:tmpl w:val="E6AE35B6"/>
    <w:lvl w:ilvl="0" w:tplc="CA62A9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8517110"/>
    <w:multiLevelType w:val="hybridMultilevel"/>
    <w:tmpl w:val="B0EE31AE"/>
    <w:lvl w:ilvl="0" w:tplc="90B02F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1844"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7"/>
  </w:num>
  <w:num w:numId="3">
    <w:abstractNumId w:val="20"/>
  </w:num>
  <w:num w:numId="4">
    <w:abstractNumId w:val="20"/>
  </w:num>
  <w:num w:numId="5">
    <w:abstractNumId w:val="20"/>
  </w:num>
  <w:num w:numId="6">
    <w:abstractNumId w:val="12"/>
  </w:num>
  <w:num w:numId="7">
    <w:abstractNumId w:val="18"/>
  </w:num>
  <w:num w:numId="8">
    <w:abstractNumId w:val="21"/>
  </w:num>
  <w:num w:numId="9">
    <w:abstractNumId w:val="1"/>
  </w:num>
  <w:num w:numId="10">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0"/>
  </w:num>
  <w:num w:numId="12">
    <w:abstractNumId w:val="20"/>
  </w:num>
  <w:num w:numId="13">
    <w:abstractNumId w:val="20"/>
  </w:num>
  <w:num w:numId="14">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0"/>
  </w:num>
  <w:num w:numId="16">
    <w:abstractNumId w:val="2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20"/>
  </w:num>
  <w:num w:numId="22">
    <w:abstractNumId w:val="6"/>
  </w:num>
  <w:num w:numId="23">
    <w:abstractNumId w:val="0"/>
  </w:num>
  <w:num w:numId="24">
    <w:abstractNumId w:val="19"/>
  </w:num>
  <w:num w:numId="25">
    <w:abstractNumId w:val="20"/>
  </w:num>
  <w:num w:numId="26">
    <w:abstractNumId w:val="20"/>
  </w:num>
  <w:num w:numId="27">
    <w:abstractNumId w:val="20"/>
  </w:num>
  <w:num w:numId="28">
    <w:abstractNumId w:val="20"/>
  </w:num>
  <w:num w:numId="29">
    <w:abstractNumId w:val="20"/>
  </w:num>
  <w:num w:numId="30">
    <w:abstractNumId w:val="14"/>
  </w:num>
  <w:num w:numId="31">
    <w:abstractNumId w:val="14"/>
  </w:num>
  <w:num w:numId="32">
    <w:abstractNumId w:val="20"/>
  </w:num>
  <w:num w:numId="33">
    <w:abstractNumId w:val="8"/>
  </w:num>
  <w:num w:numId="34">
    <w:abstractNumId w:val="13"/>
  </w:num>
  <w:num w:numId="35">
    <w:abstractNumId w:val="15"/>
  </w:num>
  <w:num w:numId="36">
    <w:abstractNumId w:val="5"/>
  </w:num>
  <w:num w:numId="37">
    <w:abstractNumId w:val="9"/>
  </w:num>
  <w:num w:numId="38">
    <w:abstractNumId w:val="10"/>
  </w:num>
  <w:num w:numId="39">
    <w:abstractNumId w:val="2"/>
  </w:num>
  <w:num w:numId="40">
    <w:abstractNumId w:val="11"/>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33EF"/>
    <w:rsid w:val="000642A8"/>
    <w:rsid w:val="00071632"/>
    <w:rsid w:val="00083574"/>
    <w:rsid w:val="00086843"/>
    <w:rsid w:val="00097FD4"/>
    <w:rsid w:val="000A0299"/>
    <w:rsid w:val="000A2990"/>
    <w:rsid w:val="000A2F5C"/>
    <w:rsid w:val="000E0DD4"/>
    <w:rsid w:val="000F7E94"/>
    <w:rsid w:val="001104E6"/>
    <w:rsid w:val="001119D6"/>
    <w:rsid w:val="00126424"/>
    <w:rsid w:val="001308F2"/>
    <w:rsid w:val="001313E8"/>
    <w:rsid w:val="0015019B"/>
    <w:rsid w:val="00166216"/>
    <w:rsid w:val="00183BC4"/>
    <w:rsid w:val="00185A51"/>
    <w:rsid w:val="0019210C"/>
    <w:rsid w:val="001C58F5"/>
    <w:rsid w:val="001D4E1D"/>
    <w:rsid w:val="001D5CEE"/>
    <w:rsid w:val="001E66D8"/>
    <w:rsid w:val="001F01DF"/>
    <w:rsid w:val="00206C3A"/>
    <w:rsid w:val="002071D9"/>
    <w:rsid w:val="0021353C"/>
    <w:rsid w:val="00222440"/>
    <w:rsid w:val="002330B3"/>
    <w:rsid w:val="00256822"/>
    <w:rsid w:val="00263F1B"/>
    <w:rsid w:val="0026525A"/>
    <w:rsid w:val="00274790"/>
    <w:rsid w:val="00285755"/>
    <w:rsid w:val="0028610C"/>
    <w:rsid w:val="002A1F9C"/>
    <w:rsid w:val="002B29C2"/>
    <w:rsid w:val="002C4208"/>
    <w:rsid w:val="002C4797"/>
    <w:rsid w:val="00315292"/>
    <w:rsid w:val="00336153"/>
    <w:rsid w:val="00350806"/>
    <w:rsid w:val="00352DE1"/>
    <w:rsid w:val="003728E6"/>
    <w:rsid w:val="003762B7"/>
    <w:rsid w:val="003A1563"/>
    <w:rsid w:val="003B3E48"/>
    <w:rsid w:val="003B5E0E"/>
    <w:rsid w:val="003C4D97"/>
    <w:rsid w:val="003D255A"/>
    <w:rsid w:val="004045CF"/>
    <w:rsid w:val="00416949"/>
    <w:rsid w:val="004173AC"/>
    <w:rsid w:val="0042332C"/>
    <w:rsid w:val="004370D8"/>
    <w:rsid w:val="00472C43"/>
    <w:rsid w:val="00537496"/>
    <w:rsid w:val="00544ED3"/>
    <w:rsid w:val="005827A3"/>
    <w:rsid w:val="00582EB7"/>
    <w:rsid w:val="0058477B"/>
    <w:rsid w:val="0058654F"/>
    <w:rsid w:val="00596ACA"/>
    <w:rsid w:val="005E39BC"/>
    <w:rsid w:val="005E70A9"/>
    <w:rsid w:val="005F00A0"/>
    <w:rsid w:val="00647F33"/>
    <w:rsid w:val="0065389B"/>
    <w:rsid w:val="00662532"/>
    <w:rsid w:val="006770B3"/>
    <w:rsid w:val="00690212"/>
    <w:rsid w:val="006B2274"/>
    <w:rsid w:val="006C6732"/>
    <w:rsid w:val="006D2503"/>
    <w:rsid w:val="006D625F"/>
    <w:rsid w:val="007149CC"/>
    <w:rsid w:val="00717C6F"/>
    <w:rsid w:val="007445DA"/>
    <w:rsid w:val="007B4FD1"/>
    <w:rsid w:val="007C67DB"/>
    <w:rsid w:val="007E10E4"/>
    <w:rsid w:val="00802381"/>
    <w:rsid w:val="0081188B"/>
    <w:rsid w:val="00840C2C"/>
    <w:rsid w:val="00883848"/>
    <w:rsid w:val="00897ED5"/>
    <w:rsid w:val="008B45A5"/>
    <w:rsid w:val="008B6BB9"/>
    <w:rsid w:val="008B6E5B"/>
    <w:rsid w:val="008C6ACB"/>
    <w:rsid w:val="008D507F"/>
    <w:rsid w:val="008E4D6F"/>
    <w:rsid w:val="008E74D9"/>
    <w:rsid w:val="00901A34"/>
    <w:rsid w:val="00910DCF"/>
    <w:rsid w:val="00911543"/>
    <w:rsid w:val="009207B7"/>
    <w:rsid w:val="009519C9"/>
    <w:rsid w:val="00987592"/>
    <w:rsid w:val="00987E91"/>
    <w:rsid w:val="00991710"/>
    <w:rsid w:val="009A1C42"/>
    <w:rsid w:val="009B3139"/>
    <w:rsid w:val="009D0B86"/>
    <w:rsid w:val="009E0D5B"/>
    <w:rsid w:val="009E1558"/>
    <w:rsid w:val="009F62DB"/>
    <w:rsid w:val="00A0001A"/>
    <w:rsid w:val="00A03488"/>
    <w:rsid w:val="00A251A2"/>
    <w:rsid w:val="00A42898"/>
    <w:rsid w:val="00AB6ACE"/>
    <w:rsid w:val="00AC5A3A"/>
    <w:rsid w:val="00AD3E9E"/>
    <w:rsid w:val="00B24DDC"/>
    <w:rsid w:val="00B82FA5"/>
    <w:rsid w:val="00B84155"/>
    <w:rsid w:val="00B85181"/>
    <w:rsid w:val="00BA351E"/>
    <w:rsid w:val="00BC42B0"/>
    <w:rsid w:val="00BD1400"/>
    <w:rsid w:val="00BD605C"/>
    <w:rsid w:val="00BD6B3B"/>
    <w:rsid w:val="00BE2A76"/>
    <w:rsid w:val="00C65E60"/>
    <w:rsid w:val="00CB0809"/>
    <w:rsid w:val="00CD0197"/>
    <w:rsid w:val="00CD6362"/>
    <w:rsid w:val="00CE5A52"/>
    <w:rsid w:val="00CF0719"/>
    <w:rsid w:val="00CF7AF3"/>
    <w:rsid w:val="00D26ADA"/>
    <w:rsid w:val="00D35A78"/>
    <w:rsid w:val="00D555A1"/>
    <w:rsid w:val="00D64DC2"/>
    <w:rsid w:val="00D9564D"/>
    <w:rsid w:val="00DA46CA"/>
    <w:rsid w:val="00DF21EB"/>
    <w:rsid w:val="00E20E70"/>
    <w:rsid w:val="00E25B68"/>
    <w:rsid w:val="00E410D7"/>
    <w:rsid w:val="00E43D75"/>
    <w:rsid w:val="00E54094"/>
    <w:rsid w:val="00E6787F"/>
    <w:rsid w:val="00E84003"/>
    <w:rsid w:val="00EC10FC"/>
    <w:rsid w:val="00ED0A99"/>
    <w:rsid w:val="00EE0041"/>
    <w:rsid w:val="00EE29B9"/>
    <w:rsid w:val="00F004EE"/>
    <w:rsid w:val="00F00F16"/>
    <w:rsid w:val="00F05558"/>
    <w:rsid w:val="00F42E23"/>
    <w:rsid w:val="00F45EEE"/>
    <w:rsid w:val="00F51E9C"/>
    <w:rsid w:val="00F523CA"/>
    <w:rsid w:val="00F74A9D"/>
    <w:rsid w:val="00FC01CD"/>
    <w:rsid w:val="00FD1EAA"/>
    <w:rsid w:val="00FF2FC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071632"/>
    <w:rPr>
      <w:color w:val="0000FF" w:themeColor="hyperlink"/>
      <w:u w:val="single"/>
    </w:rPr>
  </w:style>
  <w:style w:type="character" w:styleId="Emphasis">
    <w:name w:val="Emphasis"/>
    <w:basedOn w:val="DefaultParagraphFont"/>
    <w:uiPriority w:val="20"/>
    <w:qFormat/>
    <w:locked/>
    <w:rsid w:val="00B24DDC"/>
    <w:rPr>
      <w:i/>
      <w:iCs/>
    </w:rPr>
  </w:style>
  <w:style w:type="paragraph" w:styleId="ListParagraph">
    <w:name w:val="List Paragraph"/>
    <w:basedOn w:val="Normal"/>
    <w:uiPriority w:val="49"/>
    <w:locked/>
    <w:rsid w:val="008E74D9"/>
    <w:pPr>
      <w:ind w:left="720"/>
      <w:contextualSpacing/>
    </w:pPr>
  </w:style>
  <w:style w:type="character" w:customStyle="1" w:styleId="Heading2Char">
    <w:name w:val="Heading 2 Char"/>
    <w:aliases w:val="1st level paper heading Char"/>
    <w:basedOn w:val="DefaultParagraphFont"/>
    <w:link w:val="Heading2"/>
    <w:uiPriority w:val="4"/>
    <w:rsid w:val="009A1C42"/>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iarafer@physics.auth.gr" TargetMode="External"/><Relationship Id="rId18" Type="http://schemas.openxmlformats.org/officeDocument/2006/relationships/image" Target="media/image1.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anta@physics.auth.gr" TargetMode="External"/><Relationship Id="rId17" Type="http://schemas.openxmlformats.org/officeDocument/2006/relationships/hyperlink" Target="mailto:savidou@ipta.demokritos.g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gelos@ipta.demokritos.gr"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mavrikis@ipta.demokritos.g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lla&#8203;@ipta.demokritos.gr"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C2431ACA-BFEE-4938-938C-06411E46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TotalTime>
  <Pages>3</Pages>
  <Words>1367</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Alexandra</cp:lastModifiedBy>
  <cp:revision>7</cp:revision>
  <cp:lastPrinted>2021-07-14T17:10:00Z</cp:lastPrinted>
  <dcterms:created xsi:type="dcterms:W3CDTF">2021-07-14T17:06:00Z</dcterms:created>
  <dcterms:modified xsi:type="dcterms:W3CDTF">2021-07-14T17:11:00Z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