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E" w14:textId="30868FAE" w:rsidR="003B5E0E" w:rsidRPr="003321B6" w:rsidRDefault="003321B6" w:rsidP="007A0FB1">
      <w:pPr>
        <w:pStyle w:val="Heading1"/>
        <w:rPr>
          <w:szCs w:val="24"/>
        </w:rPr>
      </w:pPr>
      <w:r w:rsidRPr="003321B6">
        <w:rPr>
          <w:rFonts w:ascii="Times New Roman" w:hAnsi="Times New Roman"/>
          <w:bCs/>
          <w:szCs w:val="24"/>
        </w:rPr>
        <w:t>Management of radioactive contaminated electric arc furnace slag using cement immobilization method</w:t>
      </w:r>
      <w:r w:rsidRPr="003321B6">
        <w:rPr>
          <w:szCs w:val="24"/>
        </w:rPr>
        <w:t xml:space="preserve"> </w:t>
      </w:r>
    </w:p>
    <w:p w14:paraId="433FE03F" w14:textId="77777777" w:rsidR="00802381" w:rsidRDefault="00802381" w:rsidP="00537496">
      <w:pPr>
        <w:pStyle w:val="Authornameandaffiliation"/>
      </w:pPr>
    </w:p>
    <w:p w14:paraId="433FE040" w14:textId="679E9419" w:rsidR="003B5E0E" w:rsidRPr="00E460FF" w:rsidRDefault="00E460FF" w:rsidP="00537496">
      <w:pPr>
        <w:pStyle w:val="Authornameandaffiliation"/>
        <w:rPr>
          <w:rFonts w:cs="Angsana New"/>
          <w:szCs w:val="25"/>
          <w:cs/>
          <w:lang w:bidi="th-TH"/>
        </w:rPr>
      </w:pPr>
      <w:r>
        <w:rPr>
          <w:rFonts w:cs="Angsana New"/>
          <w:szCs w:val="25"/>
          <w:lang w:bidi="th-TH"/>
        </w:rPr>
        <w:t>SUDARAT ISSARAPANACHEEWIN</w:t>
      </w:r>
    </w:p>
    <w:p w14:paraId="433FE041" w14:textId="364327DE" w:rsidR="00FF386F" w:rsidRDefault="001D4228" w:rsidP="00537496">
      <w:pPr>
        <w:pStyle w:val="Authornameandaffiliation"/>
      </w:pPr>
      <w:r>
        <w:t>Thailand Institute of Nuclear Technology (Public Organization)</w:t>
      </w:r>
    </w:p>
    <w:p w14:paraId="433FE042" w14:textId="47E331C3" w:rsidR="00FF386F" w:rsidRDefault="001D4228" w:rsidP="00537496">
      <w:pPr>
        <w:pStyle w:val="Authornameandaffiliation"/>
      </w:pPr>
      <w:r>
        <w:t>Nakhon Nayok</w:t>
      </w:r>
      <w:r w:rsidR="00FF386F">
        <w:t xml:space="preserve">, </w:t>
      </w:r>
      <w:r>
        <w:t>Thailand</w:t>
      </w:r>
    </w:p>
    <w:p w14:paraId="433FE043" w14:textId="1DFBCD4D" w:rsidR="00FF386F" w:rsidRDefault="00FF386F" w:rsidP="00537496">
      <w:pPr>
        <w:pStyle w:val="Authornameandaffiliation"/>
      </w:pPr>
      <w:r>
        <w:t xml:space="preserve">Email: </w:t>
      </w:r>
      <w:r w:rsidR="001D4228">
        <w:t>sudarat@tint.or.th</w:t>
      </w:r>
    </w:p>
    <w:p w14:paraId="433FE044" w14:textId="77777777" w:rsidR="00FF386F" w:rsidRDefault="00FF386F" w:rsidP="00537496">
      <w:pPr>
        <w:pStyle w:val="Authornameandaffiliation"/>
      </w:pPr>
    </w:p>
    <w:p w14:paraId="433FE045" w14:textId="5ED006A2" w:rsidR="00FF386F" w:rsidRPr="00FF386F" w:rsidRDefault="001D4228" w:rsidP="001D4228">
      <w:pPr>
        <w:pStyle w:val="Authornameandaffiliation"/>
      </w:pPr>
      <w:r w:rsidRPr="005D225B">
        <w:rPr>
          <w:iCs/>
          <w:szCs w:val="24"/>
        </w:rPr>
        <w:t>KLITSADEE YUBONMHAT,</w:t>
      </w:r>
      <w:r w:rsidRPr="005D225B">
        <w:rPr>
          <w:iCs/>
          <w:szCs w:val="22"/>
          <w:shd w:val="clear" w:color="auto" w:fill="FFFFFF"/>
        </w:rPr>
        <w:t xml:space="preserve"> THUNYARAS AKHARAWUTCHAYANON</w:t>
      </w:r>
      <w:r w:rsidRPr="005D225B">
        <w:rPr>
          <w:iCs/>
          <w:smallCaps/>
          <w:szCs w:val="22"/>
        </w:rPr>
        <w:t xml:space="preserve">, </w:t>
      </w:r>
      <w:r w:rsidRPr="005D225B">
        <w:rPr>
          <w:iCs/>
          <w:szCs w:val="22"/>
          <w:shd w:val="clear" w:color="auto" w:fill="FFFFFF"/>
        </w:rPr>
        <w:t>UMAPORN LAMDAB, WIPAWE SILPRADIT, WITSANU KATEKAEW</w:t>
      </w:r>
      <w:r w:rsidR="007A0FB1">
        <w:rPr>
          <w:iCs/>
          <w:szCs w:val="22"/>
          <w:shd w:val="clear" w:color="auto" w:fill="FFFFFF"/>
        </w:rPr>
        <w:t>,</w:t>
      </w:r>
      <w:r w:rsidRPr="005D225B">
        <w:rPr>
          <w:iCs/>
          <w:szCs w:val="24"/>
        </w:rPr>
        <w:t xml:space="preserve"> </w:t>
      </w:r>
      <w:r w:rsidRPr="005D225B">
        <w:rPr>
          <w:iCs/>
          <w:szCs w:val="22"/>
          <w:shd w:val="clear" w:color="auto" w:fill="FFFFFF"/>
        </w:rPr>
        <w:t>NIKOM PRASERTCHIEWCHAN</w:t>
      </w:r>
    </w:p>
    <w:p w14:paraId="433FE048" w14:textId="37F32372" w:rsidR="00FF386F" w:rsidRDefault="00FF386F" w:rsidP="00537496">
      <w:pPr>
        <w:pStyle w:val="Authornameandaffiliation"/>
      </w:pPr>
    </w:p>
    <w:p w14:paraId="05A3ABBA" w14:textId="77777777" w:rsidR="007C34DD" w:rsidRDefault="007C34DD"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A5EE942" w14:textId="551D6DC8" w:rsidR="009016BD" w:rsidRPr="009016BD" w:rsidRDefault="009016BD" w:rsidP="009A2B65">
      <w:pPr>
        <w:pStyle w:val="Abstracttext"/>
        <w:jc w:val="thaiDistribute"/>
        <w:rPr>
          <w:szCs w:val="18"/>
        </w:rPr>
      </w:pPr>
      <w:r w:rsidRPr="009016BD">
        <w:rPr>
          <w:szCs w:val="18"/>
        </w:rPr>
        <w:t>Scrap steel metals have played an important role in the steel manufacturing industry because they can be recycled without any damage or degradation of its property. Like other countries, scrap steels are imported from abroad. Some were found radioactive contamination both natural and artificial radioisotopes. In case, once contaminated scrap steels are introduced into the melting process, radioactive electric arc furnace slag</w:t>
      </w:r>
      <w:r>
        <w:rPr>
          <w:szCs w:val="18"/>
        </w:rPr>
        <w:t xml:space="preserve"> (EAFS)</w:t>
      </w:r>
      <w:r w:rsidRPr="009016BD">
        <w:rPr>
          <w:szCs w:val="18"/>
        </w:rPr>
        <w:t xml:space="preserve"> is produced. In order to prevent migration of radionuclide contaminated in the furnace slag, immobilization of such radioactive waste by cementation was conducted. </w:t>
      </w:r>
      <w:r>
        <w:rPr>
          <w:szCs w:val="18"/>
        </w:rPr>
        <w:t>T</w:t>
      </w:r>
      <w:r w:rsidRPr="009016BD">
        <w:rPr>
          <w:szCs w:val="18"/>
        </w:rPr>
        <w:t>h</w:t>
      </w:r>
      <w:r>
        <w:rPr>
          <w:szCs w:val="18"/>
        </w:rPr>
        <w:t>e</w:t>
      </w:r>
      <w:r w:rsidRPr="009016BD">
        <w:rPr>
          <w:szCs w:val="18"/>
        </w:rPr>
        <w:t xml:space="preserve"> </w:t>
      </w:r>
      <w:r>
        <w:rPr>
          <w:szCs w:val="18"/>
        </w:rPr>
        <w:t>paper was</w:t>
      </w:r>
      <w:r w:rsidRPr="009016BD">
        <w:rPr>
          <w:szCs w:val="18"/>
        </w:rPr>
        <w:t xml:space="preserve"> studied the physicochemical and mechanical properties of waste form that is appropriate for store and transfer to long term disposal site. The element compositions of Portland cement type I (PC) and EAFS were characterized by X-ray fluorescence (XRF), they were found that the main element composition of PC and EAFS is Calcium oxide (</w:t>
      </w:r>
      <w:proofErr w:type="spellStart"/>
      <w:r w:rsidRPr="009016BD">
        <w:rPr>
          <w:szCs w:val="18"/>
        </w:rPr>
        <w:t>CaO</w:t>
      </w:r>
      <w:proofErr w:type="spellEnd"/>
      <w:r w:rsidRPr="009016BD">
        <w:rPr>
          <w:szCs w:val="18"/>
        </w:rPr>
        <w:t>) and Iron oxide (Fe</w:t>
      </w:r>
      <w:r w:rsidRPr="009016BD">
        <w:rPr>
          <w:szCs w:val="18"/>
          <w:vertAlign w:val="subscript"/>
        </w:rPr>
        <w:t>2</w:t>
      </w:r>
      <w:r w:rsidRPr="009016BD">
        <w:rPr>
          <w:szCs w:val="18"/>
        </w:rPr>
        <w:t>O</w:t>
      </w:r>
      <w:r w:rsidRPr="009016BD">
        <w:rPr>
          <w:szCs w:val="18"/>
          <w:vertAlign w:val="subscript"/>
        </w:rPr>
        <w:t>3</w:t>
      </w:r>
      <w:r w:rsidRPr="009016BD">
        <w:rPr>
          <w:szCs w:val="18"/>
        </w:rPr>
        <w:t>), respectively. The EAFS waste forms were produced using water/cement ratio of 0.40 and EAFS replacement of 0%, 15%, 25%, 35%</w:t>
      </w:r>
      <w:r w:rsidR="00F34028">
        <w:rPr>
          <w:szCs w:val="18"/>
        </w:rPr>
        <w:t>,</w:t>
      </w:r>
      <w:r w:rsidRPr="009016BD">
        <w:rPr>
          <w:szCs w:val="18"/>
        </w:rPr>
        <w:t xml:space="preserve"> and 50%. All samples were cured at ambient temperature for 14 days and 28 days. It was observed that the compressive strengths of EAFS replacement of 0%, 15%, 25%, 35%, and 50% were found to be 111.28, 109.35, 107.58, 93.64</w:t>
      </w:r>
      <w:r w:rsidR="00F34028">
        <w:rPr>
          <w:szCs w:val="18"/>
        </w:rPr>
        <w:t>,</w:t>
      </w:r>
      <w:r w:rsidRPr="009016BD">
        <w:rPr>
          <w:szCs w:val="18"/>
        </w:rPr>
        <w:t xml:space="preserve"> and 65.02 kg</w:t>
      </w:r>
      <w:r w:rsidRPr="009016BD">
        <w:rPr>
          <w:szCs w:val="18"/>
        </w:rPr>
        <w:sym w:font="Symbol" w:char="F0D7"/>
      </w:r>
      <w:r w:rsidRPr="009016BD">
        <w:rPr>
          <w:szCs w:val="18"/>
        </w:rPr>
        <w:t>f/cm</w:t>
      </w:r>
      <w:r w:rsidRPr="009016BD">
        <w:rPr>
          <w:szCs w:val="18"/>
          <w:vertAlign w:val="superscript"/>
        </w:rPr>
        <w:t>2</w:t>
      </w:r>
      <w:r w:rsidRPr="009016BD">
        <w:rPr>
          <w:szCs w:val="18"/>
        </w:rPr>
        <w:t>, respectively, for 14 days curing. The compressive strengths of all samples were measured to be 93.57, 105.53, 80.73, 111.90</w:t>
      </w:r>
      <w:r w:rsidR="00F34028">
        <w:rPr>
          <w:szCs w:val="18"/>
        </w:rPr>
        <w:t>,</w:t>
      </w:r>
      <w:r w:rsidRPr="009016BD">
        <w:rPr>
          <w:szCs w:val="18"/>
        </w:rPr>
        <w:t xml:space="preserve"> and 102.88 kg</w:t>
      </w:r>
      <w:r w:rsidRPr="009016BD">
        <w:rPr>
          <w:szCs w:val="18"/>
        </w:rPr>
        <w:sym w:font="Symbol" w:char="F0D7"/>
      </w:r>
      <w:r w:rsidRPr="009016BD">
        <w:rPr>
          <w:szCs w:val="18"/>
        </w:rPr>
        <w:t>f/cm</w:t>
      </w:r>
      <w:r w:rsidRPr="009016BD">
        <w:rPr>
          <w:szCs w:val="18"/>
          <w:vertAlign w:val="superscript"/>
        </w:rPr>
        <w:t>2</w:t>
      </w:r>
      <w:r w:rsidRPr="009016BD">
        <w:rPr>
          <w:szCs w:val="18"/>
        </w:rPr>
        <w:t xml:space="preserve"> for EAFS replacement of 0%, 15%, 25%, 35%</w:t>
      </w:r>
      <w:r w:rsidR="00F34028">
        <w:rPr>
          <w:szCs w:val="18"/>
        </w:rPr>
        <w:t>,</w:t>
      </w:r>
      <w:r w:rsidRPr="009016BD">
        <w:rPr>
          <w:szCs w:val="18"/>
        </w:rPr>
        <w:t xml:space="preserve"> and 50%, respectively, for 28 days curing. The mixing between PC and EAFS of all conditions exhibited good workability for cementation. The EAFS replacement of 50% seems to be appreciable for cementation due to the high increasing compressive strength.</w:t>
      </w:r>
    </w:p>
    <w:p w14:paraId="433FE04C" w14:textId="77777777" w:rsidR="00647F33" w:rsidRDefault="00F523CA" w:rsidP="00537496">
      <w:pPr>
        <w:pStyle w:val="Heading2"/>
        <w:numPr>
          <w:ilvl w:val="1"/>
          <w:numId w:val="10"/>
        </w:numPr>
      </w:pPr>
      <w:r>
        <w:t>INTRODUCTION</w:t>
      </w:r>
    </w:p>
    <w:p w14:paraId="6596E6E6" w14:textId="4CA2974C" w:rsidR="006249CF" w:rsidRDefault="000D0C34" w:rsidP="006249CF">
      <w:pPr>
        <w:spacing w:line="260" w:lineRule="atLeast"/>
        <w:ind w:firstLine="567"/>
        <w:jc w:val="thaiDistribute"/>
        <w:rPr>
          <w:sz w:val="20"/>
        </w:rPr>
      </w:pPr>
      <w:r w:rsidRPr="006609C6">
        <w:rPr>
          <w:sz w:val="20"/>
        </w:rPr>
        <w:t>Electric arc furnace</w:t>
      </w:r>
      <w:r w:rsidR="006249CF" w:rsidRPr="006609C6">
        <w:rPr>
          <w:sz w:val="20"/>
        </w:rPr>
        <w:t xml:space="preserve"> slag</w:t>
      </w:r>
      <w:r w:rsidRPr="006609C6">
        <w:rPr>
          <w:sz w:val="20"/>
        </w:rPr>
        <w:t xml:space="preserve"> (EAFS)</w:t>
      </w:r>
      <w:r w:rsidR="006249CF" w:rsidRPr="006609C6">
        <w:rPr>
          <w:sz w:val="20"/>
        </w:rPr>
        <w:t xml:space="preserve"> is a solidified waste from the melting steel procedure in the electric arc furnace. </w:t>
      </w:r>
      <w:r w:rsidR="006609C6">
        <w:rPr>
          <w:sz w:val="20"/>
        </w:rPr>
        <w:t>Radioactive</w:t>
      </w:r>
      <w:r w:rsidR="007B2F8C" w:rsidRPr="006609C6">
        <w:rPr>
          <w:sz w:val="20"/>
        </w:rPr>
        <w:t xml:space="preserve"> contaminated scrap steel was used in the melting process, </w:t>
      </w:r>
      <w:r w:rsidR="00B51D12">
        <w:rPr>
          <w:sz w:val="20"/>
        </w:rPr>
        <w:t>generat</w:t>
      </w:r>
      <w:r w:rsidR="007B2F8C" w:rsidRPr="006609C6">
        <w:rPr>
          <w:sz w:val="20"/>
        </w:rPr>
        <w:t xml:space="preserve">ing </w:t>
      </w:r>
      <w:r w:rsidR="006249CF" w:rsidRPr="006609C6">
        <w:rPr>
          <w:sz w:val="20"/>
        </w:rPr>
        <w:t xml:space="preserve">radioactive </w:t>
      </w:r>
      <w:r w:rsidR="007B2F8C" w:rsidRPr="006609C6">
        <w:rPr>
          <w:sz w:val="20"/>
        </w:rPr>
        <w:t>EAFS</w:t>
      </w:r>
      <w:r w:rsidR="006609C6">
        <w:rPr>
          <w:sz w:val="20"/>
        </w:rPr>
        <w:t xml:space="preserve"> waste</w:t>
      </w:r>
      <w:r w:rsidR="006249CF" w:rsidRPr="006609C6">
        <w:rPr>
          <w:sz w:val="20"/>
        </w:rPr>
        <w:t>.</w:t>
      </w:r>
      <w:r w:rsidR="007B2F8C" w:rsidRPr="006609C6">
        <w:rPr>
          <w:sz w:val="20"/>
        </w:rPr>
        <w:t xml:space="preserve"> </w:t>
      </w:r>
      <w:r w:rsidR="006609C6">
        <w:rPr>
          <w:rFonts w:cstheme="minorBidi"/>
          <w:sz w:val="20"/>
          <w:szCs w:val="25"/>
          <w:lang w:val="en-US" w:bidi="th-TH"/>
        </w:rPr>
        <w:t>Immobilization of radioactive waste by cementation</w:t>
      </w:r>
      <w:r w:rsidR="00B51D12">
        <w:rPr>
          <w:rFonts w:cstheme="minorBidi"/>
          <w:sz w:val="20"/>
          <w:szCs w:val="25"/>
          <w:lang w:val="en-US" w:bidi="th-TH"/>
        </w:rPr>
        <w:t xml:space="preserve"> was applied to </w:t>
      </w:r>
      <w:r w:rsidR="00B51D12" w:rsidRPr="000C5CDD">
        <w:rPr>
          <w:sz w:val="20"/>
        </w:rPr>
        <w:t xml:space="preserve">reduce </w:t>
      </w:r>
      <w:r w:rsidR="00B51D12">
        <w:rPr>
          <w:sz w:val="20"/>
        </w:rPr>
        <w:t>the</w:t>
      </w:r>
      <w:r w:rsidR="00B51D12" w:rsidRPr="000C5CDD">
        <w:rPr>
          <w:sz w:val="20"/>
        </w:rPr>
        <w:t xml:space="preserve"> migration or dispersion of radionuclides during handling, transport</w:t>
      </w:r>
      <w:r w:rsidR="00D45A56">
        <w:rPr>
          <w:sz w:val="20"/>
        </w:rPr>
        <w:t>ation</w:t>
      </w:r>
      <w:r w:rsidR="00B51D12" w:rsidRPr="000C5CDD">
        <w:rPr>
          <w:sz w:val="20"/>
        </w:rPr>
        <w:t>, storage</w:t>
      </w:r>
      <w:r w:rsidR="00B51D12">
        <w:rPr>
          <w:sz w:val="20"/>
        </w:rPr>
        <w:t>,</w:t>
      </w:r>
      <w:r w:rsidR="00B51D12" w:rsidRPr="000C5CDD">
        <w:rPr>
          <w:sz w:val="20"/>
        </w:rPr>
        <w:t xml:space="preserve"> and disposal</w:t>
      </w:r>
      <w:r w:rsidR="0099700F">
        <w:rPr>
          <w:sz w:val="20"/>
        </w:rPr>
        <w:t xml:space="preserve"> </w:t>
      </w:r>
      <w:r w:rsidR="0099700F">
        <w:rPr>
          <w:sz w:val="20"/>
        </w:rPr>
        <w:fldChar w:fldCharType="begin" w:fldLock="1"/>
      </w:r>
      <w:r w:rsidR="00276062">
        <w:rPr>
          <w:sz w:val="20"/>
        </w:rPr>
        <w:instrText>ADDIN CSL_CITATION {"citationItems":[{"id":"ITEM-1","itemData":{"DOI":"10.1016/j.conbuildmat.2018.12.100","ISSN":"09500618","abstract":"Based on the specific features of cement-derived materials gained by incorporation of nanomaterials, such as proper workability and accelerated hydration reaction, investigations of nano-modification of cementitious materials are increasingly conducted globally. In this study, locally manufactured cement was reinforced by optimized additions of iron slag (Granulated blast furnace slag) and titanate nanofibers to improve the basic mechanical, chemical and physical parameters of cement. These parameters were studied by investigating of the compressive strength and porosity of the produced materials. Moreover, the capacity of titanate nanofibers, which were studied in details by TEM and XRD, for absorption of radio-cesium was also investigated; more than 27% removal of radionuclides was achieved during 48 h in artificially contaminated wastewater in a broad pH- and temperature range of 3–11 and 0–50 °C, respectively. Spectroscopic analyses (FT-IR) were performed to confirm and investigate the results of mechanical integrity measurement of the new composite materials, while X-ray diffraction analysis provided information on the formation of hydration products. As major result, it turned out that a small amount of only 0.04% of titanate nanofibers in presence of 6 wt% slag relative to cement not only increases the strength of the hardened cement blocks by 14%; beyond that, it performs beneficial in terms of compression resistance and durability, and successfully captures radionuclides from the contaminated aqueous solution before the immobilization process.","author":[{"dropping-particle":"","family":"Saleh","given":"Hosam M.","non-dropping-particle":"","parse-names":false,"suffix":""},{"dropping-particle":"","family":"El-Sheikh","given":"Said M.","non-dropping-particle":"","parse-names":false,"suffix":""},{"dropping-particle":"","family":"Elshereafy","given":"Elsayed E.","non-dropping-particle":"","parse-names":false,"suffix":""},{"dropping-particle":"","family":"Essa","given":"Adel K.","non-dropping-particle":"","parse-names":false,"suffix":""}],"container-title":"Construction and Building Materials","id":"ITEM-1","issued":{"date-parts":[["2019"]]},"page":"135-145","title":"Mechanical and physical characterization of cement reinforced by iron slag and titanate nanofibers to produce advanced containment for radioactive waste","type":"article-journal","volume":"200"},"uris":["http://www.mendeley.com/documents/?uuid=39bc939d-a312-4e0f-864a-6dcbabc9c686"]},{"id":"ITEM-2","itemData":{"DOI":"10.1021/es034518p","ISSN":"0013936X","PMID":"15212272","abstract":"Electric arc furnace dust (EAFD), generated by the steel-making industry, is in itself an intrinsic hazardous waste; however, the case may also be that scrap used in the process is accidentally contaminated by radioactive elements such as cesium. In this case the resulting EAFD is to be handled as radioactive waste, being duly confined in low-and medium-activity repositories (LMAR). What this paper studies is the reliability of using this radioactive EAFD as an addition in the immobilization mortar of the containers of the LMAR, that is, from the point of view of the durability. Different mixes of mortar containing different percentages of EAFD have been subjected to flexural and compressive strength, initial and final setting time, XRD study, total porosity and pore size distribution, determination of the chloride diffusion coefficient, dimensional stability tests, hydration heat, workability of the fresh mix, and leaching behavior. What is deduced from the results is that for the conditions used in this research, (cement + sand) can be replaced by EAFD up to a ratio [EAFD/(cement + EAFD)] of 46% in the immobilization mortar of LMAR, apparently without any loss in the long-term durability properties of the mortar.","author":[{"dropping-particle":"","family":"Castellote","given":"Marta","non-dropping-particle":"","parse-names":false,"suffix":""},{"dropping-particle":"","family":"Menéndez","given":"Esperanza","non-dropping-particle":"","parse-names":false,"suffix":""},{"dropping-particle":"","family":"Andrade","given":"Carmen","non-dropping-particle":"","parse-names":false,"suffix":""},{"dropping-particle":"","family":"Zuloaga","given":"Pablo","non-dropping-particle":"","parse-names":false,"suffix":""},{"dropping-particle":"","family":"Navarro","given":"Mariano","non-dropping-particle":"","parse-names":false,"suffix":""},{"dropping-particle":"","family":"Ordóñez","given":"Manuel","non-dropping-particle":"","parse-names":false,"suffix":""}],"container-title":"Environmental Science and Technology","id":"ITEM-2","issue":"10","issued":{"date-parts":[["2004"]]},"page":"2946-2952","title":"Radioactively contaminated electric arc furnace dust as an addition to the immobilization mortar in low-and medium-activity repositories","type":"article-journal","volume":"38"},"uris":["http://www.mendeley.com/documents/?uuid=0a54c5f4-5967-43f6-af33-76f036c96359"]}],"mendeley":{"formattedCitation":"[1], [2]","plainTextFormattedCitation":"[1], [2]","previouslyFormattedCitation":"[1], [2]"},"properties":{"noteIndex":0},"schema":"https://github.com/citation-style-language/schema/raw/master/csl-citation.json"}</w:instrText>
      </w:r>
      <w:r w:rsidR="0099700F">
        <w:rPr>
          <w:sz w:val="20"/>
        </w:rPr>
        <w:fldChar w:fldCharType="separate"/>
      </w:r>
      <w:r w:rsidR="00276062" w:rsidRPr="00276062">
        <w:rPr>
          <w:noProof/>
          <w:sz w:val="20"/>
        </w:rPr>
        <w:t>[1], [2]</w:t>
      </w:r>
      <w:r w:rsidR="0099700F">
        <w:rPr>
          <w:sz w:val="20"/>
        </w:rPr>
        <w:fldChar w:fldCharType="end"/>
      </w:r>
      <w:r w:rsidR="00B51D12" w:rsidRPr="000C5CDD">
        <w:rPr>
          <w:sz w:val="20"/>
        </w:rPr>
        <w:t>.</w:t>
      </w:r>
    </w:p>
    <w:p w14:paraId="37FE931C" w14:textId="77777777" w:rsidR="00073AA5" w:rsidRDefault="00073AA5" w:rsidP="006249CF">
      <w:pPr>
        <w:spacing w:line="260" w:lineRule="atLeast"/>
        <w:ind w:firstLine="567"/>
        <w:jc w:val="thaiDistribute"/>
        <w:rPr>
          <w:sz w:val="20"/>
        </w:rPr>
      </w:pPr>
    </w:p>
    <w:p w14:paraId="0DEAD1B7" w14:textId="2BF7559E" w:rsidR="00073AA5" w:rsidRDefault="00073AA5" w:rsidP="00073AA5">
      <w:pPr>
        <w:spacing w:line="260" w:lineRule="atLeast"/>
        <w:ind w:firstLine="567"/>
        <w:jc w:val="thaiDistribute"/>
        <w:rPr>
          <w:sz w:val="20"/>
        </w:rPr>
      </w:pPr>
      <w:r w:rsidRPr="00073AA5">
        <w:rPr>
          <w:sz w:val="20"/>
        </w:rPr>
        <w:t xml:space="preserve">Radioactive waste </w:t>
      </w:r>
      <w:r>
        <w:rPr>
          <w:sz w:val="20"/>
        </w:rPr>
        <w:t>conditioning</w:t>
      </w:r>
      <w:r w:rsidRPr="00073AA5">
        <w:rPr>
          <w:sz w:val="20"/>
        </w:rPr>
        <w:t xml:space="preserve"> is the </w:t>
      </w:r>
      <w:r>
        <w:rPr>
          <w:sz w:val="20"/>
        </w:rPr>
        <w:t xml:space="preserve">waste </w:t>
      </w:r>
      <w:r w:rsidRPr="00073AA5">
        <w:rPr>
          <w:sz w:val="20"/>
        </w:rPr>
        <w:t>transformation to contain radioactive material</w:t>
      </w:r>
      <w:r w:rsidR="007762B9">
        <w:rPr>
          <w:sz w:val="20"/>
        </w:rPr>
        <w:t xml:space="preserve"> for preventing </w:t>
      </w:r>
      <w:r w:rsidR="0099700F">
        <w:rPr>
          <w:sz w:val="20"/>
        </w:rPr>
        <w:t>radionuclide tr</w:t>
      </w:r>
      <w:r w:rsidRPr="00073AA5">
        <w:rPr>
          <w:sz w:val="20"/>
        </w:rPr>
        <w:t xml:space="preserve">ansported into the environment. </w:t>
      </w:r>
      <w:r w:rsidR="00F24825">
        <w:rPr>
          <w:sz w:val="20"/>
        </w:rPr>
        <w:t>R</w:t>
      </w:r>
      <w:r w:rsidRPr="00073AA5">
        <w:rPr>
          <w:sz w:val="20"/>
        </w:rPr>
        <w:t xml:space="preserve">adioactive waste </w:t>
      </w:r>
      <w:r w:rsidR="00F24825">
        <w:rPr>
          <w:sz w:val="20"/>
        </w:rPr>
        <w:t>form</w:t>
      </w:r>
      <w:r w:rsidRPr="00073AA5">
        <w:rPr>
          <w:sz w:val="20"/>
        </w:rPr>
        <w:t xml:space="preserve"> must have </w:t>
      </w:r>
      <w:r w:rsidR="00F24825">
        <w:rPr>
          <w:sz w:val="20"/>
        </w:rPr>
        <w:t xml:space="preserve">appropriate </w:t>
      </w:r>
      <w:r w:rsidRPr="00073AA5">
        <w:rPr>
          <w:sz w:val="20"/>
        </w:rPr>
        <w:t>chemical, mechanical, thermal</w:t>
      </w:r>
      <w:r w:rsidR="00F24825">
        <w:rPr>
          <w:sz w:val="20"/>
        </w:rPr>
        <w:t>,</w:t>
      </w:r>
      <w:r w:rsidRPr="00073AA5">
        <w:rPr>
          <w:sz w:val="20"/>
        </w:rPr>
        <w:t xml:space="preserve"> and radiological </w:t>
      </w:r>
      <w:r w:rsidR="00F24825">
        <w:rPr>
          <w:sz w:val="20"/>
        </w:rPr>
        <w:t>properties</w:t>
      </w:r>
      <w:r w:rsidRPr="00073AA5">
        <w:rPr>
          <w:sz w:val="20"/>
        </w:rPr>
        <w:t xml:space="preserve"> until </w:t>
      </w:r>
      <w:r w:rsidR="00F24825">
        <w:rPr>
          <w:sz w:val="20"/>
        </w:rPr>
        <w:t>t</w:t>
      </w:r>
      <w:r w:rsidRPr="00073AA5">
        <w:rPr>
          <w:sz w:val="20"/>
        </w:rPr>
        <w:t>he radioactive substances contained in the waste</w:t>
      </w:r>
      <w:r w:rsidR="00F24825">
        <w:rPr>
          <w:sz w:val="20"/>
        </w:rPr>
        <w:t xml:space="preserve"> form</w:t>
      </w:r>
      <w:r w:rsidRPr="00073AA5">
        <w:rPr>
          <w:sz w:val="20"/>
        </w:rPr>
        <w:t xml:space="preserve"> decompose that will not affect </w:t>
      </w:r>
      <w:r w:rsidR="00F24825">
        <w:rPr>
          <w:sz w:val="20"/>
        </w:rPr>
        <w:t xml:space="preserve">to </w:t>
      </w:r>
      <w:r w:rsidRPr="00073AA5">
        <w:rPr>
          <w:sz w:val="20"/>
        </w:rPr>
        <w:t>the environment</w:t>
      </w:r>
      <w:r w:rsidR="00F24825">
        <w:rPr>
          <w:sz w:val="20"/>
        </w:rPr>
        <w:t>.</w:t>
      </w:r>
      <w:r w:rsidRPr="00073AA5">
        <w:rPr>
          <w:sz w:val="20"/>
        </w:rPr>
        <w:t xml:space="preserve"> </w:t>
      </w:r>
      <w:r w:rsidR="00F24825">
        <w:rPr>
          <w:sz w:val="20"/>
        </w:rPr>
        <w:t>Immobilization</w:t>
      </w:r>
      <w:r w:rsidRPr="00073AA5">
        <w:rPr>
          <w:sz w:val="20"/>
        </w:rPr>
        <w:t xml:space="preserve"> with cement is widely used</w:t>
      </w:r>
      <w:r w:rsidR="00F24825">
        <w:rPr>
          <w:sz w:val="20"/>
        </w:rPr>
        <w:t xml:space="preserve"> for radioactive waste conditioning</w:t>
      </w:r>
      <w:r w:rsidR="007D44EC">
        <w:rPr>
          <w:sz w:val="20"/>
        </w:rPr>
        <w:t xml:space="preserve"> becaus</w:t>
      </w:r>
      <w:r w:rsidR="00B94D4E">
        <w:rPr>
          <w:sz w:val="20"/>
        </w:rPr>
        <w:t>e of</w:t>
      </w:r>
      <w:r w:rsidR="007D44EC">
        <w:rPr>
          <w:sz w:val="20"/>
        </w:rPr>
        <w:t xml:space="preserve"> </w:t>
      </w:r>
      <w:r w:rsidR="0037058D">
        <w:rPr>
          <w:sz w:val="20"/>
        </w:rPr>
        <w:t>its inexpensive,</w:t>
      </w:r>
      <w:r w:rsidR="007D44EC">
        <w:rPr>
          <w:sz w:val="20"/>
        </w:rPr>
        <w:t xml:space="preserve"> high</w:t>
      </w:r>
      <w:r w:rsidRPr="00073AA5">
        <w:rPr>
          <w:sz w:val="20"/>
        </w:rPr>
        <w:t xml:space="preserve"> effective method</w:t>
      </w:r>
      <w:r w:rsidR="0037058D">
        <w:rPr>
          <w:sz w:val="20"/>
        </w:rPr>
        <w:t>,</w:t>
      </w:r>
      <w:r w:rsidRPr="00073AA5">
        <w:rPr>
          <w:sz w:val="20"/>
        </w:rPr>
        <w:t xml:space="preserve"> strong, durable, non-flammable,</w:t>
      </w:r>
      <w:r w:rsidR="00B94D4E">
        <w:rPr>
          <w:sz w:val="20"/>
        </w:rPr>
        <w:t xml:space="preserve"> </w:t>
      </w:r>
      <w:r w:rsidRPr="00073AA5">
        <w:rPr>
          <w:sz w:val="20"/>
        </w:rPr>
        <w:t>corrosion</w:t>
      </w:r>
      <w:r w:rsidR="00B94D4E">
        <w:rPr>
          <w:sz w:val="20"/>
        </w:rPr>
        <w:t xml:space="preserve"> resistant</w:t>
      </w:r>
      <w:r w:rsidRPr="00073AA5">
        <w:rPr>
          <w:sz w:val="20"/>
        </w:rPr>
        <w:t>, chemical</w:t>
      </w:r>
      <w:r w:rsidR="00B94D4E">
        <w:rPr>
          <w:sz w:val="20"/>
        </w:rPr>
        <w:t xml:space="preserve"> resistant</w:t>
      </w:r>
      <w:r w:rsidR="0037058D">
        <w:rPr>
          <w:sz w:val="20"/>
        </w:rPr>
        <w:t>,</w:t>
      </w:r>
      <w:r w:rsidRPr="00073AA5">
        <w:rPr>
          <w:sz w:val="20"/>
        </w:rPr>
        <w:t xml:space="preserve"> radiation resistant</w:t>
      </w:r>
      <w:r w:rsidR="0037058D">
        <w:rPr>
          <w:sz w:val="20"/>
        </w:rPr>
        <w:t>,</w:t>
      </w:r>
      <w:r w:rsidR="003F437A">
        <w:rPr>
          <w:rFonts w:cstheme="minorBidi" w:hint="cs"/>
          <w:sz w:val="20"/>
          <w:szCs w:val="25"/>
          <w:cs/>
          <w:lang w:bidi="th-TH"/>
        </w:rPr>
        <w:t xml:space="preserve"> </w:t>
      </w:r>
      <w:r w:rsidR="003F437A">
        <w:rPr>
          <w:rFonts w:cstheme="minorBidi"/>
          <w:sz w:val="20"/>
          <w:szCs w:val="25"/>
          <w:lang w:val="en-US" w:bidi="th-TH"/>
        </w:rPr>
        <w:t>resistant to leaching,</w:t>
      </w:r>
      <w:r w:rsidR="0037058D">
        <w:rPr>
          <w:sz w:val="20"/>
        </w:rPr>
        <w:t xml:space="preserve"> and</w:t>
      </w:r>
      <w:r w:rsidRPr="00073AA5">
        <w:rPr>
          <w:sz w:val="20"/>
        </w:rPr>
        <w:t xml:space="preserve"> high density</w:t>
      </w:r>
      <w:r w:rsidR="009E6F75">
        <w:rPr>
          <w:sz w:val="20"/>
        </w:rPr>
        <w:t xml:space="preserve"> </w:t>
      </w:r>
      <w:r w:rsidR="009E6F75">
        <w:rPr>
          <w:sz w:val="20"/>
        </w:rPr>
        <w:fldChar w:fldCharType="begin" w:fldLock="1"/>
      </w:r>
      <w:r w:rsidR="00276062">
        <w:rPr>
          <w:sz w:val="20"/>
        </w:rPr>
        <w:instrText>ADDIN CSL_CITATION {"citationItems":[{"id":"ITEM-1","itemData":{"DOI":"10.1016/j.jenvrad.2017.08.012","ISSN":"18791700","PMID":"28843164","abstract":"This review article presents the current state-of-knowledge of the use of cementitious materials for radioactive waste disposal. An overview of radwaste management processes with respect to the classification of the waste type is given. The application of cementitious materials for waste disposal is divided into two main lines: i) as a matrix for direct immobilization of treated waste form; and ii) as an engineered barrier of secondary protection in the form of concrete or grout. In the first part the immobilization mechanisms of the waste by cement hydration products is briefly described and an up-to date knowledge about the performance of different cementitious materials is given, including both traditional cements and alternative binder systems. The advantages, disadvantages as well as gaps in the base of information in relation to individual materials are stated. The following part of the article is aimed at description of multi-barrier systems for intermediate level waste repositories. It provides examples of proposed concepts by countries with advanced waste management programmes. In the paper summary, the good knowledge of the material durability due to its vast experience from civil engineering is highlighted however with the urge for specific approach during design and construction of a repository in terms of stringent safety requirements.","author":[{"dropping-particle":"","family":"Koťátková","given":"Jaroslava","non-dropping-particle":"","parse-names":false,"suffix":""},{"dropping-particle":"","family":"Zatloukal","given":"Jan","non-dropping-particle":"","parse-names":false,"suffix":""},{"dropping-particle":"","family":"Reiterman","given":"Pavel","non-dropping-particle":"","parse-names":false,"suffix":""},{"dropping-particle":"","family":"Kolář","given":"Karel","non-dropping-particle":"","parse-names":false,"suffix":""}],"container-title":"Journal of Environmental Radioactivity","id":"ITEM-1","issued":{"date-parts":[["2017"]]},"page":"147-155","title":"Concrete and cement composites used for radioactive waste deposition","type":"article-journal","volume":"178-179"},"uris":["http://www.mendeley.com/documents/?uuid=8d796b5e-c378-44ff-9208-c2988991ae92"]},{"id":"ITEM-2","itemData":{"DOI":"10.1016/j.jhazmat.2006.05.008","ISSN":"03043894","PMID":"16787699","abstract":"This paper reviews progresses on the use of alkali-activated cements for stabilization/solidification of hazardous and radioactive wastes. Alkali-activated cements consist of an alkaline activator and cementing components, such as blast furnace slag, coal fly ash, phosphorus slag, steel slag, metakaolin, etc., or a combination of two or more of them. Properly designed alkali-activated cements can exhibit both higher early and later strengths than conventional portland cement. The main hydration product of alkali-activated cements is calcium silicate hydrate (C{single bond}S{single bond}H) with low Ca/Si ratios or aluminosilicate gel at room temperature; C{single bond}S{single bond}H, tobmorite, xonotlite and/or zeolites under hydrothermal condition, no metastable crystalline compounds such as Ca(OH)2 and calcium sulphoaluminates exist. Alkali-activated cements also exhibit excellent resistance to corrosive environments. The leachability of contaminants from alkali-activated cement stabilized hazardous and radioactive wastes is lower than that from hardened portland cement stabilized wastes. From all these aspects, it is concluded that alkali-activated cements are better matrix for solidification/stabilization of hazardous and radioactive wastes than Portland cement. © 2006 Elsevier B.V. All rights reserved.","author":[{"dropping-particle":"","family":"Shi","given":"Caijun","non-dropping-particle":"","parse-names":false,"suffix":""},{"dropping-particle":"","family":"Fernández-Jiménez","given":"A.","non-dropping-particle":"","parse-names":false,"suffix":""}],"container-title":"Journal of Hazardous Materials","id":"ITEM-2","issue":"3","issued":{"date-parts":[["2006"]]},"page":"1656-1663","title":"Stabilization/solidification of hazardous and radioactive wastes with alkali-activated cements","type":"article-journal","volume":"137"},"uris":["http://www.mendeley.com/documents/?uuid=089f5b3c-e708-45c6-bab5-331822f00d62"]}],"mendeley":{"formattedCitation":"[3], [4]","plainTextFormattedCitation":"[3], [4]","previouslyFormattedCitation":"[3], [4]"},"properties":{"noteIndex":0},"schema":"https://github.com/citation-style-language/schema/raw/master/csl-citation.json"}</w:instrText>
      </w:r>
      <w:r w:rsidR="009E6F75">
        <w:rPr>
          <w:sz w:val="20"/>
        </w:rPr>
        <w:fldChar w:fldCharType="separate"/>
      </w:r>
      <w:r w:rsidR="00276062" w:rsidRPr="00276062">
        <w:rPr>
          <w:noProof/>
          <w:sz w:val="20"/>
        </w:rPr>
        <w:t>[3], [4]</w:t>
      </w:r>
      <w:r w:rsidR="009E6F75">
        <w:rPr>
          <w:sz w:val="20"/>
        </w:rPr>
        <w:fldChar w:fldCharType="end"/>
      </w:r>
      <w:r w:rsidR="0037058D">
        <w:rPr>
          <w:sz w:val="20"/>
        </w:rPr>
        <w:t>.</w:t>
      </w:r>
      <w:r w:rsidRPr="00073AA5">
        <w:rPr>
          <w:sz w:val="20"/>
        </w:rPr>
        <w:t xml:space="preserve"> </w:t>
      </w:r>
    </w:p>
    <w:p w14:paraId="5090DD4A" w14:textId="77777777" w:rsidR="00073AA5" w:rsidRDefault="00073AA5" w:rsidP="006249CF">
      <w:pPr>
        <w:spacing w:line="260" w:lineRule="atLeast"/>
        <w:ind w:firstLine="567"/>
        <w:jc w:val="thaiDistribute"/>
        <w:rPr>
          <w:sz w:val="20"/>
        </w:rPr>
      </w:pPr>
    </w:p>
    <w:p w14:paraId="0D7414D6" w14:textId="1B736E01" w:rsidR="00DC763A" w:rsidRDefault="00C235B2" w:rsidP="006249CF">
      <w:pPr>
        <w:spacing w:line="260" w:lineRule="atLeast"/>
        <w:ind w:firstLine="567"/>
        <w:jc w:val="thaiDistribute"/>
        <w:rPr>
          <w:sz w:val="20"/>
        </w:rPr>
      </w:pPr>
      <w:r>
        <w:rPr>
          <w:sz w:val="20"/>
        </w:rPr>
        <w:t xml:space="preserve">Waste form should </w:t>
      </w:r>
      <w:r w:rsidR="00086A1A">
        <w:rPr>
          <w:sz w:val="20"/>
        </w:rPr>
        <w:t>have high</w:t>
      </w:r>
      <w:r w:rsidRPr="00C235B2">
        <w:rPr>
          <w:sz w:val="20"/>
        </w:rPr>
        <w:t xml:space="preserve"> compressive strength</w:t>
      </w:r>
      <w:r w:rsidR="00086A1A">
        <w:rPr>
          <w:sz w:val="20"/>
        </w:rPr>
        <w:t xml:space="preserve"> </w:t>
      </w:r>
      <w:r w:rsidR="00D45A56">
        <w:rPr>
          <w:sz w:val="20"/>
        </w:rPr>
        <w:t>for</w:t>
      </w:r>
      <w:r w:rsidR="00086A1A">
        <w:rPr>
          <w:sz w:val="20"/>
        </w:rPr>
        <w:t xml:space="preserve"> protect</w:t>
      </w:r>
      <w:r w:rsidR="00D45A56">
        <w:rPr>
          <w:sz w:val="20"/>
        </w:rPr>
        <w:t>ing</w:t>
      </w:r>
      <w:r w:rsidRPr="00C235B2">
        <w:rPr>
          <w:sz w:val="20"/>
        </w:rPr>
        <w:t xml:space="preserve"> an accident occurs during the waste handling</w:t>
      </w:r>
      <w:r w:rsidR="00D45A56">
        <w:rPr>
          <w:sz w:val="20"/>
        </w:rPr>
        <w:t>, transportation, storage, and disposal.</w:t>
      </w:r>
      <w:r w:rsidR="003F437A">
        <w:rPr>
          <w:sz w:val="20"/>
        </w:rPr>
        <w:t xml:space="preserve"> </w:t>
      </w:r>
      <w:r w:rsidR="003F437A" w:rsidRPr="003F437A">
        <w:rPr>
          <w:sz w:val="20"/>
        </w:rPr>
        <w:t xml:space="preserve">The compressive strength of the waste product depends on </w:t>
      </w:r>
      <w:r w:rsidR="003F437A">
        <w:rPr>
          <w:sz w:val="20"/>
        </w:rPr>
        <w:t>t</w:t>
      </w:r>
      <w:r w:rsidR="003F437A" w:rsidRPr="003F437A">
        <w:rPr>
          <w:sz w:val="20"/>
        </w:rPr>
        <w:t>ype and properties of cement</w:t>
      </w:r>
      <w:r w:rsidR="003F437A">
        <w:rPr>
          <w:sz w:val="20"/>
        </w:rPr>
        <w:t>,</w:t>
      </w:r>
      <w:r w:rsidR="003F437A" w:rsidRPr="003F437A">
        <w:rPr>
          <w:sz w:val="20"/>
        </w:rPr>
        <w:t xml:space="preserve"> waste </w:t>
      </w:r>
      <w:r w:rsidR="009E5B5E">
        <w:rPr>
          <w:sz w:val="20"/>
        </w:rPr>
        <w:t>to</w:t>
      </w:r>
      <w:r w:rsidR="003F437A">
        <w:rPr>
          <w:sz w:val="20"/>
        </w:rPr>
        <w:t xml:space="preserve"> cement</w:t>
      </w:r>
      <w:r w:rsidR="003F437A" w:rsidRPr="003F437A">
        <w:rPr>
          <w:sz w:val="20"/>
        </w:rPr>
        <w:t xml:space="preserve"> ratio</w:t>
      </w:r>
      <w:r w:rsidR="003F437A">
        <w:rPr>
          <w:sz w:val="20"/>
        </w:rPr>
        <w:t xml:space="preserve">, water </w:t>
      </w:r>
      <w:r w:rsidR="009E5B5E">
        <w:rPr>
          <w:sz w:val="20"/>
        </w:rPr>
        <w:t>to</w:t>
      </w:r>
      <w:r w:rsidR="003F437A">
        <w:rPr>
          <w:sz w:val="20"/>
        </w:rPr>
        <w:t xml:space="preserve"> cement ratio, and the curing </w:t>
      </w:r>
      <w:r w:rsidR="003F437A" w:rsidRPr="003F437A">
        <w:rPr>
          <w:sz w:val="20"/>
        </w:rPr>
        <w:t>period of waste product</w:t>
      </w:r>
      <w:r w:rsidR="003F437A">
        <w:rPr>
          <w:sz w:val="20"/>
        </w:rPr>
        <w:t xml:space="preserve">. </w:t>
      </w:r>
      <w:r w:rsidR="00E441B2">
        <w:rPr>
          <w:sz w:val="20"/>
        </w:rPr>
        <w:t xml:space="preserve">Portland cement (PC) has been used </w:t>
      </w:r>
      <w:r w:rsidR="0050321D">
        <w:rPr>
          <w:sz w:val="20"/>
        </w:rPr>
        <w:t>as matrix for immobilization of radioactive waste</w:t>
      </w:r>
      <w:r w:rsidR="00E441B2">
        <w:rPr>
          <w:sz w:val="20"/>
        </w:rPr>
        <w:t xml:space="preserve"> due to its low cost</w:t>
      </w:r>
      <w:r w:rsidR="0050321D">
        <w:rPr>
          <w:sz w:val="20"/>
        </w:rPr>
        <w:t>, good mechanical propert</w:t>
      </w:r>
      <w:r w:rsidR="00D54360">
        <w:rPr>
          <w:sz w:val="20"/>
        </w:rPr>
        <w:t>y, and</w:t>
      </w:r>
      <w:r>
        <w:rPr>
          <w:sz w:val="20"/>
        </w:rPr>
        <w:t xml:space="preserve"> high stability. In addition, cement</w:t>
      </w:r>
      <w:r w:rsidRPr="00073AA5">
        <w:rPr>
          <w:sz w:val="20"/>
        </w:rPr>
        <w:t xml:space="preserve"> can be used to shield the radiation inside and also inhibit the </w:t>
      </w:r>
      <w:r>
        <w:rPr>
          <w:sz w:val="20"/>
        </w:rPr>
        <w:t>migration</w:t>
      </w:r>
      <w:r w:rsidRPr="00073AA5">
        <w:rPr>
          <w:sz w:val="20"/>
        </w:rPr>
        <w:t xml:space="preserve"> of radioactive substances into the environment</w:t>
      </w:r>
      <w:r w:rsidR="001C6AC2">
        <w:rPr>
          <w:sz w:val="20"/>
        </w:rPr>
        <w:t xml:space="preserve"> </w:t>
      </w:r>
      <w:r w:rsidR="001C6AC2">
        <w:rPr>
          <w:sz w:val="20"/>
        </w:rPr>
        <w:fldChar w:fldCharType="begin" w:fldLock="1"/>
      </w:r>
      <w:r w:rsidR="00276062">
        <w:rPr>
          <w:sz w:val="20"/>
        </w:rPr>
        <w:instrText>ADDIN CSL_CITATION {"citationItems":[{"id":"ITEM-1","itemData":{"DOI":"10.1016/j.jenvrad.2017.08.012","ISSN":"18791700","PMID":"28843164","abstract":"This review article presents the current state-of-knowledge of the use of cementitious materials for radioactive waste disposal. An overview of radwaste management processes with respect to the classification of the waste type is given. The application of cementitious materials for waste disposal is divided into two main lines: i) as a matrix for direct immobilization of treated waste form; and ii) as an engineered barrier of secondary protection in the form of concrete or grout. In the first part the immobilization mechanisms of the waste by cement hydration products is briefly described and an up-to date knowledge about the performance of different cementitious materials is given, including both traditional cements and alternative binder systems. The advantages, disadvantages as well as gaps in the base of information in relation to individual materials are stated. The following part of the article is aimed at description of multi-barrier systems for intermediate level waste repositories. It provides examples of proposed concepts by countries with advanced waste management programmes. In the paper summary, the good knowledge of the material durability due to its vast experience from civil engineering is highlighted however with the urge for specific approach during design and construction of a repository in terms of stringent safety requirements.","author":[{"dropping-particle":"","family":"Koťátková","given":"Jaroslava","non-dropping-particle":"","parse-names":false,"suffix":""},{"dropping-particle":"","family":"Zatloukal","given":"Jan","non-dropping-particle":"","parse-names":false,"suffix":""},{"dropping-particle":"","family":"Reiterman","given":"Pavel","non-dropping-particle":"","parse-names":false,"suffix":""},{"dropping-particle":"","family":"Kolář","given":"Karel","non-dropping-particle":"","parse-names":false,"suffix":""}],"container-title":"Journal of Environmental Radioactivity","id":"ITEM-1","issued":{"date-parts":[["2017"]]},"page":"147-155","title":"Concrete and cement composites used for radioactive waste deposition","type":"article-journal","volume":"178-179"},"uris":["http://www.mendeley.com/documents/?uuid=8d796b5e-c378-44ff-9208-c2988991ae92"]},{"id":"ITEM-2","itemData":{"DOI":"10.1016/j.conbuildmat.2018.12.100","ISSN":"09500618","abstract":"Based on the specific features of cement-derived materials gained by incorporation of nanomaterials, such as proper workability and accelerated hydration reaction, investigations of nano-modification of cementitious materials are increasingly conducted globally. In this study, locally manufactured cement was reinforced by optimized additions of iron slag (Granulated blast furnace slag) and titanate nanofibers to improve the basic mechanical, chemical and physical parameters of cement. These parameters were studied by investigating of the compressive strength and porosity of the produced materials. Moreover, the capacity of titanate nanofibers, which were studied in details by TEM and XRD, for absorption of radio-cesium was also investigated; more than 27% removal of radionuclides was achieved during 48 h in artificially contaminated wastewater in a broad pH- and temperature range of 3–11 and 0–50 °C, respectively. Spectroscopic analyses (FT-IR) were performed to confirm and investigate the results of mechanical integrity measurement of the new composite materials, while X-ray diffraction analysis provided information on the formation of hydration products. As major result, it turned out that a small amount of only 0.04% of titanate nanofibers in presence of 6 wt% slag relative to cement not only increases the strength of the hardened cement blocks by 14%; beyond that, it performs beneficial in terms of compression resistance and durability, and successfully captures radionuclides from the contaminated aqueous solution before the immobilization process.","author":[{"dropping-particle":"","family":"Saleh","given":"Hosam M.","non-dropping-particle":"","parse-names":false,"suffix":""},{"dropping-particle":"","family":"El-Sheikh","given":"Said M.","non-dropping-particle":"","parse-names":false,"suffix":""},{"dropping-particle":"","family":"Elshereafy","given":"Elsayed E.","non-dropping-particle":"","parse-names":false,"suffix":""},{"dropping-particle":"","family":"Essa","given":"Adel K.","non-dropping-particle":"","parse-names":false,"suffix":""}],"container-title":"Construction and Building Materials","id":"ITEM-2","issued":{"date-parts":[["2019"]]},"page":"135-145","title":"Mechanical and physical characterization of cement reinforced by iron slag and titanate nanofibers to produce advanced containment for radioactive waste","type":"article-journal","volume":"200"},"uris":["http://www.mendeley.com/documents/?uuid=39bc939d-a312-4e0f-864a-6dcbabc9c686"]}],"mendeley":{"formattedCitation":"[1], [3]","plainTextFormattedCitation":"[1], [3]","previouslyFormattedCitation":"[1], [3]"},"properties":{"noteIndex":0},"schema":"https://github.com/citation-style-language/schema/raw/master/csl-citation.json"}</w:instrText>
      </w:r>
      <w:r w:rsidR="001C6AC2">
        <w:rPr>
          <w:sz w:val="20"/>
        </w:rPr>
        <w:fldChar w:fldCharType="separate"/>
      </w:r>
      <w:r w:rsidR="00276062" w:rsidRPr="00276062">
        <w:rPr>
          <w:noProof/>
          <w:sz w:val="20"/>
        </w:rPr>
        <w:t>[1], [3]</w:t>
      </w:r>
      <w:r w:rsidR="001C6AC2">
        <w:rPr>
          <w:sz w:val="20"/>
        </w:rPr>
        <w:fldChar w:fldCharType="end"/>
      </w:r>
      <w:r w:rsidRPr="00073AA5">
        <w:rPr>
          <w:sz w:val="20"/>
        </w:rPr>
        <w:t>.</w:t>
      </w:r>
    </w:p>
    <w:p w14:paraId="4F67508A" w14:textId="77777777" w:rsidR="00DC763A" w:rsidRDefault="00DC763A" w:rsidP="006249CF">
      <w:pPr>
        <w:spacing w:line="260" w:lineRule="atLeast"/>
        <w:ind w:firstLine="567"/>
        <w:jc w:val="thaiDistribute"/>
        <w:rPr>
          <w:sz w:val="20"/>
        </w:rPr>
      </w:pPr>
    </w:p>
    <w:p w14:paraId="7B25AAB7" w14:textId="3736D971" w:rsidR="00772A02" w:rsidRPr="00A86476" w:rsidRDefault="00A86476" w:rsidP="006249CF">
      <w:pPr>
        <w:spacing w:line="260" w:lineRule="atLeast"/>
        <w:ind w:firstLine="567"/>
        <w:jc w:val="thaiDistribute"/>
        <w:rPr>
          <w:caps/>
          <w:sz w:val="20"/>
        </w:rPr>
      </w:pPr>
      <w:r>
        <w:rPr>
          <w:sz w:val="20"/>
        </w:rPr>
        <w:t xml:space="preserve">In the paper, Immobilization of EAFS waste was applied by cementation technique. </w:t>
      </w:r>
      <w:r w:rsidR="00DC763A" w:rsidRPr="00A86476">
        <w:rPr>
          <w:sz w:val="20"/>
        </w:rPr>
        <w:t xml:space="preserve">The aim of the paper is to achieve </w:t>
      </w:r>
      <w:r w:rsidR="001B7752" w:rsidRPr="00A86476">
        <w:rPr>
          <w:sz w:val="20"/>
        </w:rPr>
        <w:t xml:space="preserve">the </w:t>
      </w:r>
      <w:r w:rsidR="001F4B98" w:rsidRPr="00A86476">
        <w:rPr>
          <w:sz w:val="20"/>
        </w:rPr>
        <w:t xml:space="preserve">high </w:t>
      </w:r>
      <w:r w:rsidR="001B7752" w:rsidRPr="00A86476">
        <w:rPr>
          <w:sz w:val="20"/>
        </w:rPr>
        <w:t>compressive strength of radioactive waste form from various EAFS and PC ratio</w:t>
      </w:r>
      <w:r w:rsidR="00F85D8C" w:rsidRPr="00A86476">
        <w:rPr>
          <w:sz w:val="20"/>
        </w:rPr>
        <w:t xml:space="preserve"> that is suitable store and transfer to long term disposal site.</w:t>
      </w:r>
    </w:p>
    <w:p w14:paraId="433FE04F" w14:textId="68D6C27A" w:rsidR="00E25B68" w:rsidRDefault="00EC3221" w:rsidP="0026525A">
      <w:pPr>
        <w:pStyle w:val="Heading2"/>
        <w:numPr>
          <w:ilvl w:val="1"/>
          <w:numId w:val="10"/>
        </w:numPr>
      </w:pPr>
      <w:r>
        <w:lastRenderedPageBreak/>
        <w:t>experiment</w:t>
      </w:r>
    </w:p>
    <w:p w14:paraId="11EFB257" w14:textId="6D65AAA8" w:rsidR="00A1727F" w:rsidRDefault="00A1727F" w:rsidP="00A1727F">
      <w:pPr>
        <w:pStyle w:val="BodyText"/>
        <w:spacing w:before="240" w:after="240"/>
        <w:ind w:left="567" w:hanging="567"/>
        <w:contextualSpacing w:val="0"/>
        <w:rPr>
          <w:b/>
          <w:bCs/>
        </w:rPr>
      </w:pPr>
      <w:r w:rsidRPr="00A1727F">
        <w:rPr>
          <w:b/>
          <w:bCs/>
        </w:rPr>
        <w:t xml:space="preserve">2.1. </w:t>
      </w:r>
      <w:r>
        <w:rPr>
          <w:b/>
          <w:bCs/>
        </w:rPr>
        <w:tab/>
      </w:r>
      <w:r w:rsidRPr="00A1727F">
        <w:rPr>
          <w:b/>
          <w:bCs/>
        </w:rPr>
        <w:t>Preparation of samples</w:t>
      </w:r>
    </w:p>
    <w:p w14:paraId="0BEC164F" w14:textId="0FD91845" w:rsidR="002169D5" w:rsidRDefault="00BF17ED" w:rsidP="00A112DE">
      <w:pPr>
        <w:pStyle w:val="BodyText"/>
        <w:spacing w:before="240" w:after="240"/>
        <w:contextualSpacing w:val="0"/>
        <w:jc w:val="thaiDistribute"/>
        <w:rPr>
          <w:szCs w:val="18"/>
        </w:rPr>
      </w:pPr>
      <w:r>
        <w:rPr>
          <w:szCs w:val="18"/>
        </w:rPr>
        <w:t xml:space="preserve">Portland cement type </w:t>
      </w:r>
      <w:r w:rsidR="00717AFD">
        <w:rPr>
          <w:szCs w:val="18"/>
        </w:rPr>
        <w:t xml:space="preserve">I </w:t>
      </w:r>
      <w:r w:rsidR="007F5BF3">
        <w:rPr>
          <w:szCs w:val="18"/>
        </w:rPr>
        <w:t xml:space="preserve">(TPI </w:t>
      </w:r>
      <w:proofErr w:type="spellStart"/>
      <w:r w:rsidR="007F5BF3">
        <w:rPr>
          <w:szCs w:val="18"/>
        </w:rPr>
        <w:t>Polene</w:t>
      </w:r>
      <w:proofErr w:type="spellEnd"/>
      <w:r w:rsidR="007F5BF3">
        <w:rPr>
          <w:szCs w:val="18"/>
        </w:rPr>
        <w:t xml:space="preserve"> (Public) Co., Ltd., Thailand)</w:t>
      </w:r>
      <w:r w:rsidR="00802A38">
        <w:rPr>
          <w:szCs w:val="18"/>
        </w:rPr>
        <w:t xml:space="preserve"> was applied in this experiment</w:t>
      </w:r>
      <w:r w:rsidR="00717AFD">
        <w:rPr>
          <w:szCs w:val="18"/>
        </w:rPr>
        <w:t>.</w:t>
      </w:r>
      <w:r>
        <w:rPr>
          <w:szCs w:val="18"/>
        </w:rPr>
        <w:t xml:space="preserve"> </w:t>
      </w:r>
      <w:r w:rsidR="00802A38">
        <w:rPr>
          <w:szCs w:val="18"/>
        </w:rPr>
        <w:t xml:space="preserve">The </w:t>
      </w:r>
      <w:r w:rsidR="00717AFD">
        <w:rPr>
          <w:szCs w:val="18"/>
        </w:rPr>
        <w:t>P</w:t>
      </w:r>
      <w:r w:rsidRPr="00BF17ED">
        <w:rPr>
          <w:szCs w:val="18"/>
        </w:rPr>
        <w:t xml:space="preserve">ortland cement produced in accordance with the Thai Industrial Standards Institute's specification for </w:t>
      </w:r>
      <w:r w:rsidR="00717AFD">
        <w:rPr>
          <w:szCs w:val="18"/>
        </w:rPr>
        <w:t>P</w:t>
      </w:r>
      <w:r w:rsidRPr="00BF17ED">
        <w:rPr>
          <w:szCs w:val="18"/>
        </w:rPr>
        <w:t>ortland cement TIS 15-2555 Type I, and the ASTM C-150 Type I.</w:t>
      </w:r>
      <w:r>
        <w:rPr>
          <w:szCs w:val="18"/>
        </w:rPr>
        <w:t xml:space="preserve"> </w:t>
      </w:r>
      <w:r w:rsidR="00612951">
        <w:rPr>
          <w:szCs w:val="18"/>
        </w:rPr>
        <w:t>All samples</w:t>
      </w:r>
      <w:r w:rsidR="00A112DE" w:rsidRPr="009016BD">
        <w:rPr>
          <w:szCs w:val="18"/>
        </w:rPr>
        <w:t xml:space="preserve"> </w:t>
      </w:r>
      <w:r w:rsidR="00612951">
        <w:rPr>
          <w:szCs w:val="18"/>
        </w:rPr>
        <w:t>were</w:t>
      </w:r>
      <w:r w:rsidR="00A112DE" w:rsidRPr="009016BD">
        <w:rPr>
          <w:szCs w:val="18"/>
        </w:rPr>
        <w:t xml:space="preserve"> p</w:t>
      </w:r>
      <w:r w:rsidR="00612951">
        <w:rPr>
          <w:szCs w:val="18"/>
        </w:rPr>
        <w:t>repared</w:t>
      </w:r>
      <w:r w:rsidR="00A112DE" w:rsidRPr="009016BD">
        <w:rPr>
          <w:szCs w:val="18"/>
        </w:rPr>
        <w:t xml:space="preserve"> using </w:t>
      </w:r>
      <w:r>
        <w:rPr>
          <w:szCs w:val="18"/>
        </w:rPr>
        <w:t xml:space="preserve">PC </w:t>
      </w:r>
      <w:r w:rsidR="00A112DE" w:rsidRPr="009016BD">
        <w:rPr>
          <w:szCs w:val="18"/>
        </w:rPr>
        <w:t>replacement</w:t>
      </w:r>
      <w:r w:rsidR="00612951">
        <w:rPr>
          <w:szCs w:val="18"/>
        </w:rPr>
        <w:t xml:space="preserve"> EAFS</w:t>
      </w:r>
      <w:r w:rsidR="00A112DE" w:rsidRPr="009016BD">
        <w:rPr>
          <w:szCs w:val="18"/>
        </w:rPr>
        <w:t xml:space="preserve"> of 0%, 15%, 25%, 35%</w:t>
      </w:r>
      <w:r w:rsidR="00A112DE">
        <w:rPr>
          <w:szCs w:val="18"/>
        </w:rPr>
        <w:t>,</w:t>
      </w:r>
      <w:r w:rsidR="00A112DE" w:rsidRPr="009016BD">
        <w:rPr>
          <w:szCs w:val="18"/>
        </w:rPr>
        <w:t xml:space="preserve"> and 50%</w:t>
      </w:r>
      <w:r w:rsidR="00612951">
        <w:rPr>
          <w:szCs w:val="18"/>
        </w:rPr>
        <w:t xml:space="preserve"> by </w:t>
      </w:r>
      <w:r w:rsidR="00924E57">
        <w:rPr>
          <w:szCs w:val="18"/>
        </w:rPr>
        <w:t>weight</w:t>
      </w:r>
      <w:r w:rsidR="00A112DE" w:rsidRPr="009016BD">
        <w:rPr>
          <w:szCs w:val="18"/>
        </w:rPr>
        <w:t>.</w:t>
      </w:r>
      <w:r w:rsidR="00612951">
        <w:rPr>
          <w:szCs w:val="18"/>
        </w:rPr>
        <w:t xml:space="preserve"> The water</w:t>
      </w:r>
      <w:r w:rsidR="006F6522">
        <w:rPr>
          <w:szCs w:val="18"/>
        </w:rPr>
        <w:t xml:space="preserve"> to </w:t>
      </w:r>
      <w:r w:rsidR="00612951">
        <w:rPr>
          <w:szCs w:val="18"/>
        </w:rPr>
        <w:t xml:space="preserve">binder ratio </w:t>
      </w:r>
      <w:r w:rsidR="00BC768B">
        <w:rPr>
          <w:szCs w:val="18"/>
        </w:rPr>
        <w:t>was used to be 0.40. The mix</w:t>
      </w:r>
      <w:r w:rsidR="002169D5">
        <w:rPr>
          <w:szCs w:val="18"/>
        </w:rPr>
        <w:t>ed</w:t>
      </w:r>
      <w:r w:rsidR="00BC768B">
        <w:rPr>
          <w:szCs w:val="18"/>
        </w:rPr>
        <w:t xml:space="preserve"> ratios of all samples were shown in Table 1. Firstly, PC and EAFS were mixed together for 5 mins. After that, tap water was poured in mixed </w:t>
      </w:r>
      <w:r>
        <w:rPr>
          <w:szCs w:val="18"/>
        </w:rPr>
        <w:t xml:space="preserve">of PC and EAFS, and stirred until </w:t>
      </w:r>
      <w:r w:rsidR="00E66548">
        <w:rPr>
          <w:szCs w:val="18"/>
        </w:rPr>
        <w:t>homogeneity</w:t>
      </w:r>
      <w:r>
        <w:rPr>
          <w:szCs w:val="18"/>
        </w:rPr>
        <w:t>.</w:t>
      </w:r>
      <w:r w:rsidR="00802A38">
        <w:rPr>
          <w:szCs w:val="18"/>
        </w:rPr>
        <w:t xml:space="preserve"> Next, </w:t>
      </w:r>
      <w:r w:rsidR="00620BD5">
        <w:rPr>
          <w:szCs w:val="18"/>
        </w:rPr>
        <w:t>all</w:t>
      </w:r>
      <w:r w:rsidR="00802A38">
        <w:rPr>
          <w:szCs w:val="18"/>
        </w:rPr>
        <w:t xml:space="preserve"> </w:t>
      </w:r>
      <w:r w:rsidR="00620BD5">
        <w:rPr>
          <w:szCs w:val="18"/>
        </w:rPr>
        <w:t xml:space="preserve">mixtures of various condition were poured into cylindrical plastic </w:t>
      </w:r>
      <w:proofErr w:type="spellStart"/>
      <w:r w:rsidR="00620BD5">
        <w:rPr>
          <w:szCs w:val="18"/>
        </w:rPr>
        <w:t>molds</w:t>
      </w:r>
      <w:proofErr w:type="spellEnd"/>
      <w:r w:rsidR="00620BD5">
        <w:rPr>
          <w:szCs w:val="18"/>
        </w:rPr>
        <w:t xml:space="preserve"> </w:t>
      </w:r>
      <w:r w:rsidR="00620BD5" w:rsidRPr="00620BD5">
        <w:rPr>
          <w:szCs w:val="18"/>
        </w:rPr>
        <w:t>with the height of 10 cm and the diameter of 5 cm.</w:t>
      </w:r>
      <w:r w:rsidR="00E66548">
        <w:rPr>
          <w:szCs w:val="18"/>
        </w:rPr>
        <w:t xml:space="preserve"> After 24 hours, all samples were cured in water at room temperature for 14 and 28 days.</w:t>
      </w:r>
      <w:r w:rsidR="00136408">
        <w:rPr>
          <w:szCs w:val="18"/>
        </w:rPr>
        <w:t xml:space="preserve"> All samples were </w:t>
      </w:r>
      <w:r w:rsidR="00136408">
        <w:rPr>
          <w:rFonts w:cstheme="minorBidi"/>
          <w:szCs w:val="18"/>
          <w:lang w:val="en-US" w:bidi="th-TH"/>
        </w:rPr>
        <w:t xml:space="preserve">removed from </w:t>
      </w:r>
      <w:r w:rsidR="00136408">
        <w:rPr>
          <w:szCs w:val="18"/>
        </w:rPr>
        <w:t xml:space="preserve">cylindrical plastic </w:t>
      </w:r>
      <w:proofErr w:type="spellStart"/>
      <w:r w:rsidR="00136408">
        <w:rPr>
          <w:szCs w:val="18"/>
        </w:rPr>
        <w:t>molds</w:t>
      </w:r>
      <w:proofErr w:type="spellEnd"/>
      <w:r w:rsidR="00136408">
        <w:rPr>
          <w:szCs w:val="18"/>
        </w:rPr>
        <w:t xml:space="preserve"> and left for 24 hours for compressive strength testing.</w:t>
      </w:r>
    </w:p>
    <w:p w14:paraId="0DAC31C4" w14:textId="2C96E616" w:rsidR="002169D5" w:rsidRDefault="002169D5" w:rsidP="002169D5">
      <w:pPr>
        <w:pStyle w:val="BodyText"/>
        <w:ind w:firstLine="0"/>
      </w:pPr>
      <w:r>
        <w:t>TABLE 1.</w:t>
      </w:r>
      <w:r>
        <w:tab/>
        <w:t xml:space="preserve">THE </w:t>
      </w:r>
      <w:r w:rsidR="00EB13DF">
        <w:t xml:space="preserve">PERCENTAGE </w:t>
      </w:r>
      <w:r>
        <w:t xml:space="preserve">MIX </w:t>
      </w:r>
      <w:r w:rsidR="00134F94">
        <w:t>PROPORTIONS</w:t>
      </w:r>
      <w:r>
        <w:t xml:space="preserve"> OF ALL SAMPLES</w:t>
      </w:r>
    </w:p>
    <w:p w14:paraId="21FDED3E" w14:textId="77777777" w:rsidR="002169D5" w:rsidRDefault="002169D5" w:rsidP="002169D5">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gridCol w:w="1742"/>
      </w:tblGrid>
      <w:tr w:rsidR="00134F94" w14:paraId="520F338A" w14:textId="53B70964" w:rsidTr="006831B3">
        <w:trPr>
          <w:jc w:val="center"/>
        </w:trPr>
        <w:tc>
          <w:tcPr>
            <w:tcW w:w="1741" w:type="dxa"/>
            <w:tcBorders>
              <w:top w:val="single" w:sz="4" w:space="0" w:color="auto"/>
              <w:bottom w:val="single" w:sz="4" w:space="0" w:color="auto"/>
            </w:tcBorders>
          </w:tcPr>
          <w:p w14:paraId="2583307A" w14:textId="2DA98B99" w:rsidR="00134F94" w:rsidRDefault="00134F94" w:rsidP="00646C05">
            <w:pPr>
              <w:pStyle w:val="BodyText"/>
              <w:ind w:firstLine="0"/>
              <w:jc w:val="left"/>
            </w:pPr>
            <w:r>
              <w:t>Sample</w:t>
            </w:r>
          </w:p>
        </w:tc>
        <w:tc>
          <w:tcPr>
            <w:tcW w:w="1741" w:type="dxa"/>
            <w:tcBorders>
              <w:top w:val="single" w:sz="4" w:space="0" w:color="auto"/>
              <w:bottom w:val="single" w:sz="4" w:space="0" w:color="auto"/>
            </w:tcBorders>
          </w:tcPr>
          <w:p w14:paraId="34E780B4" w14:textId="46A52E7A" w:rsidR="00134F94" w:rsidRDefault="00134F94" w:rsidP="00790F20">
            <w:pPr>
              <w:pStyle w:val="BodyText"/>
              <w:ind w:firstLine="0"/>
              <w:jc w:val="center"/>
            </w:pPr>
            <w:r>
              <w:t>Portland cement (PC)</w:t>
            </w:r>
          </w:p>
        </w:tc>
        <w:tc>
          <w:tcPr>
            <w:tcW w:w="1742" w:type="dxa"/>
            <w:tcBorders>
              <w:top w:val="single" w:sz="4" w:space="0" w:color="auto"/>
              <w:bottom w:val="single" w:sz="4" w:space="0" w:color="auto"/>
            </w:tcBorders>
          </w:tcPr>
          <w:p w14:paraId="30413EB3" w14:textId="3F015F31" w:rsidR="00134F94" w:rsidRDefault="00134F94" w:rsidP="00790F20">
            <w:pPr>
              <w:pStyle w:val="BodyText"/>
              <w:ind w:firstLine="0"/>
              <w:jc w:val="center"/>
            </w:pPr>
            <w:r>
              <w:t xml:space="preserve">Electric arc furnace slag (EAFS) </w:t>
            </w:r>
          </w:p>
        </w:tc>
        <w:tc>
          <w:tcPr>
            <w:tcW w:w="1742" w:type="dxa"/>
            <w:tcBorders>
              <w:top w:val="single" w:sz="4" w:space="0" w:color="auto"/>
              <w:bottom w:val="single" w:sz="4" w:space="0" w:color="auto"/>
            </w:tcBorders>
          </w:tcPr>
          <w:p w14:paraId="2FF0127A" w14:textId="1702AE9E" w:rsidR="00134F94" w:rsidRDefault="00134F94" w:rsidP="00790F20">
            <w:pPr>
              <w:pStyle w:val="BodyText"/>
              <w:ind w:firstLine="0"/>
              <w:jc w:val="center"/>
            </w:pPr>
            <w:r>
              <w:t>Water</w:t>
            </w:r>
            <w:r w:rsidR="006F6522">
              <w:t xml:space="preserve"> to </w:t>
            </w:r>
            <w:r>
              <w:t>Binder ratio</w:t>
            </w:r>
          </w:p>
        </w:tc>
      </w:tr>
      <w:tr w:rsidR="00134F94" w14:paraId="129BBA44" w14:textId="2801A14C" w:rsidTr="006831B3">
        <w:trPr>
          <w:jc w:val="center"/>
        </w:trPr>
        <w:tc>
          <w:tcPr>
            <w:tcW w:w="1741" w:type="dxa"/>
            <w:tcBorders>
              <w:top w:val="single" w:sz="4" w:space="0" w:color="auto"/>
            </w:tcBorders>
          </w:tcPr>
          <w:p w14:paraId="2C391F28" w14:textId="55307955" w:rsidR="00134F94" w:rsidRDefault="00EB13DF" w:rsidP="00646C05">
            <w:pPr>
              <w:pStyle w:val="BodyText"/>
              <w:ind w:firstLine="0"/>
              <w:jc w:val="left"/>
            </w:pPr>
            <w:r>
              <w:t xml:space="preserve">  0%EAFS</w:t>
            </w:r>
          </w:p>
        </w:tc>
        <w:tc>
          <w:tcPr>
            <w:tcW w:w="1741" w:type="dxa"/>
            <w:tcBorders>
              <w:top w:val="single" w:sz="4" w:space="0" w:color="auto"/>
            </w:tcBorders>
          </w:tcPr>
          <w:p w14:paraId="266D1C32" w14:textId="0502D1A6" w:rsidR="00134F94" w:rsidRDefault="00134F94" w:rsidP="00790F20">
            <w:pPr>
              <w:pStyle w:val="BodyText"/>
              <w:ind w:firstLine="0"/>
              <w:jc w:val="center"/>
            </w:pPr>
            <w:r>
              <w:t>100%</w:t>
            </w:r>
          </w:p>
        </w:tc>
        <w:tc>
          <w:tcPr>
            <w:tcW w:w="1742" w:type="dxa"/>
            <w:tcBorders>
              <w:top w:val="single" w:sz="4" w:space="0" w:color="auto"/>
            </w:tcBorders>
          </w:tcPr>
          <w:p w14:paraId="42DF7BC3" w14:textId="702CF054" w:rsidR="00134F94" w:rsidRDefault="00134F94" w:rsidP="00790F20">
            <w:pPr>
              <w:pStyle w:val="BodyText"/>
              <w:ind w:firstLine="0"/>
              <w:jc w:val="center"/>
            </w:pPr>
            <w:r>
              <w:t>0%</w:t>
            </w:r>
          </w:p>
        </w:tc>
        <w:tc>
          <w:tcPr>
            <w:tcW w:w="1742" w:type="dxa"/>
            <w:tcBorders>
              <w:top w:val="single" w:sz="4" w:space="0" w:color="auto"/>
            </w:tcBorders>
          </w:tcPr>
          <w:p w14:paraId="6195A551" w14:textId="518C37F8" w:rsidR="00134F94" w:rsidRDefault="00134F94" w:rsidP="00790F20">
            <w:pPr>
              <w:pStyle w:val="BodyText"/>
              <w:ind w:firstLine="0"/>
              <w:jc w:val="center"/>
            </w:pPr>
            <w:r>
              <w:t>0.40</w:t>
            </w:r>
          </w:p>
        </w:tc>
      </w:tr>
      <w:tr w:rsidR="00134F94" w14:paraId="48FCE5F7" w14:textId="44F403EB" w:rsidTr="006831B3">
        <w:trPr>
          <w:jc w:val="center"/>
        </w:trPr>
        <w:tc>
          <w:tcPr>
            <w:tcW w:w="1741" w:type="dxa"/>
          </w:tcPr>
          <w:p w14:paraId="7B456EAF" w14:textId="4223DA99" w:rsidR="00134F94" w:rsidRDefault="00134F94" w:rsidP="00646C05">
            <w:pPr>
              <w:pStyle w:val="BodyText"/>
              <w:ind w:firstLine="0"/>
              <w:jc w:val="left"/>
            </w:pPr>
            <w:r>
              <w:t>15%EAFS</w:t>
            </w:r>
          </w:p>
        </w:tc>
        <w:tc>
          <w:tcPr>
            <w:tcW w:w="1741" w:type="dxa"/>
          </w:tcPr>
          <w:p w14:paraId="31B42151" w14:textId="292AC8A0" w:rsidR="00134F94" w:rsidRDefault="00134F94" w:rsidP="00790F20">
            <w:pPr>
              <w:pStyle w:val="BodyText"/>
              <w:ind w:firstLine="0"/>
              <w:jc w:val="center"/>
            </w:pPr>
            <w:r>
              <w:t>85%</w:t>
            </w:r>
          </w:p>
        </w:tc>
        <w:tc>
          <w:tcPr>
            <w:tcW w:w="1742" w:type="dxa"/>
          </w:tcPr>
          <w:p w14:paraId="666EF013" w14:textId="202AFE4F" w:rsidR="00134F94" w:rsidRDefault="00134F94" w:rsidP="00134F94">
            <w:pPr>
              <w:pStyle w:val="BodyText"/>
              <w:ind w:firstLine="0"/>
              <w:jc w:val="center"/>
            </w:pPr>
            <w:r>
              <w:t>15%</w:t>
            </w:r>
          </w:p>
        </w:tc>
        <w:tc>
          <w:tcPr>
            <w:tcW w:w="1742" w:type="dxa"/>
          </w:tcPr>
          <w:p w14:paraId="60473300" w14:textId="3F3A0D21" w:rsidR="00134F94" w:rsidRDefault="00134F94" w:rsidP="00790F20">
            <w:pPr>
              <w:pStyle w:val="BodyText"/>
              <w:ind w:firstLine="0"/>
              <w:jc w:val="center"/>
            </w:pPr>
            <w:r>
              <w:t>0.40</w:t>
            </w:r>
          </w:p>
        </w:tc>
      </w:tr>
      <w:tr w:rsidR="00134F94" w14:paraId="1D9A8C6B" w14:textId="77777777" w:rsidTr="006831B3">
        <w:trPr>
          <w:jc w:val="center"/>
        </w:trPr>
        <w:tc>
          <w:tcPr>
            <w:tcW w:w="1741" w:type="dxa"/>
          </w:tcPr>
          <w:p w14:paraId="6375D79E" w14:textId="032AA82E" w:rsidR="00134F94" w:rsidRDefault="00134F94" w:rsidP="00646C05">
            <w:pPr>
              <w:pStyle w:val="BodyText"/>
              <w:ind w:firstLine="0"/>
              <w:jc w:val="left"/>
            </w:pPr>
            <w:r>
              <w:t>25%EAFS</w:t>
            </w:r>
          </w:p>
        </w:tc>
        <w:tc>
          <w:tcPr>
            <w:tcW w:w="1741" w:type="dxa"/>
          </w:tcPr>
          <w:p w14:paraId="3ADDB319" w14:textId="490DDD66" w:rsidR="00134F94" w:rsidRDefault="00134F94" w:rsidP="00790F20">
            <w:pPr>
              <w:pStyle w:val="BodyText"/>
              <w:ind w:firstLine="0"/>
              <w:jc w:val="center"/>
            </w:pPr>
            <w:r>
              <w:t>75%</w:t>
            </w:r>
          </w:p>
        </w:tc>
        <w:tc>
          <w:tcPr>
            <w:tcW w:w="1742" w:type="dxa"/>
          </w:tcPr>
          <w:p w14:paraId="662C92BB" w14:textId="2044D2C7" w:rsidR="00134F94" w:rsidRDefault="00134F94" w:rsidP="00790F20">
            <w:pPr>
              <w:pStyle w:val="BodyText"/>
              <w:ind w:firstLine="0"/>
              <w:jc w:val="center"/>
            </w:pPr>
            <w:r>
              <w:t>25%</w:t>
            </w:r>
          </w:p>
        </w:tc>
        <w:tc>
          <w:tcPr>
            <w:tcW w:w="1742" w:type="dxa"/>
          </w:tcPr>
          <w:p w14:paraId="5706092B" w14:textId="56EF2D32" w:rsidR="00134F94" w:rsidRDefault="00134F94" w:rsidP="00790F20">
            <w:pPr>
              <w:pStyle w:val="BodyText"/>
              <w:ind w:firstLine="0"/>
              <w:jc w:val="center"/>
            </w:pPr>
            <w:r>
              <w:t>0.40</w:t>
            </w:r>
          </w:p>
        </w:tc>
      </w:tr>
      <w:tr w:rsidR="00134F94" w14:paraId="2B91CC9F" w14:textId="77777777" w:rsidTr="006831B3">
        <w:trPr>
          <w:jc w:val="center"/>
        </w:trPr>
        <w:tc>
          <w:tcPr>
            <w:tcW w:w="1741" w:type="dxa"/>
          </w:tcPr>
          <w:p w14:paraId="282C3D4D" w14:textId="2CC69D6C" w:rsidR="00134F94" w:rsidRDefault="00134F94" w:rsidP="00646C05">
            <w:pPr>
              <w:pStyle w:val="BodyText"/>
              <w:ind w:firstLine="0"/>
              <w:jc w:val="left"/>
            </w:pPr>
            <w:r>
              <w:t>35%EAFS</w:t>
            </w:r>
          </w:p>
        </w:tc>
        <w:tc>
          <w:tcPr>
            <w:tcW w:w="1741" w:type="dxa"/>
          </w:tcPr>
          <w:p w14:paraId="44387B6E" w14:textId="21E6229B" w:rsidR="00134F94" w:rsidRDefault="00134F94" w:rsidP="00790F20">
            <w:pPr>
              <w:pStyle w:val="BodyText"/>
              <w:ind w:firstLine="0"/>
              <w:jc w:val="center"/>
            </w:pPr>
            <w:r>
              <w:t>65%</w:t>
            </w:r>
          </w:p>
        </w:tc>
        <w:tc>
          <w:tcPr>
            <w:tcW w:w="1742" w:type="dxa"/>
          </w:tcPr>
          <w:p w14:paraId="45E3F73D" w14:textId="2D703A51" w:rsidR="00134F94" w:rsidRDefault="00134F94" w:rsidP="00790F20">
            <w:pPr>
              <w:pStyle w:val="BodyText"/>
              <w:ind w:firstLine="0"/>
              <w:jc w:val="center"/>
            </w:pPr>
            <w:r>
              <w:t>35%</w:t>
            </w:r>
          </w:p>
        </w:tc>
        <w:tc>
          <w:tcPr>
            <w:tcW w:w="1742" w:type="dxa"/>
          </w:tcPr>
          <w:p w14:paraId="5590B58D" w14:textId="524DCA7B" w:rsidR="00134F94" w:rsidRDefault="00134F94" w:rsidP="00790F20">
            <w:pPr>
              <w:pStyle w:val="BodyText"/>
              <w:ind w:firstLine="0"/>
              <w:jc w:val="center"/>
            </w:pPr>
            <w:r>
              <w:t>0.40</w:t>
            </w:r>
          </w:p>
        </w:tc>
      </w:tr>
      <w:tr w:rsidR="00134F94" w14:paraId="69CC3033" w14:textId="77777777" w:rsidTr="006831B3">
        <w:trPr>
          <w:jc w:val="center"/>
        </w:trPr>
        <w:tc>
          <w:tcPr>
            <w:tcW w:w="1741" w:type="dxa"/>
          </w:tcPr>
          <w:p w14:paraId="1C8D7204" w14:textId="30001DC2" w:rsidR="00134F94" w:rsidRDefault="00134F94" w:rsidP="00646C05">
            <w:pPr>
              <w:pStyle w:val="BodyText"/>
              <w:ind w:firstLine="0"/>
              <w:jc w:val="left"/>
            </w:pPr>
            <w:r>
              <w:t>50%EAFS</w:t>
            </w:r>
          </w:p>
        </w:tc>
        <w:tc>
          <w:tcPr>
            <w:tcW w:w="1741" w:type="dxa"/>
          </w:tcPr>
          <w:p w14:paraId="795BB1D5" w14:textId="46516F41" w:rsidR="00134F94" w:rsidRDefault="00134F94" w:rsidP="00790F20">
            <w:pPr>
              <w:pStyle w:val="BodyText"/>
              <w:ind w:firstLine="0"/>
              <w:jc w:val="center"/>
            </w:pPr>
            <w:r>
              <w:t>50%</w:t>
            </w:r>
          </w:p>
        </w:tc>
        <w:tc>
          <w:tcPr>
            <w:tcW w:w="1742" w:type="dxa"/>
          </w:tcPr>
          <w:p w14:paraId="4DC222ED" w14:textId="5F692609" w:rsidR="00134F94" w:rsidRDefault="00134F94" w:rsidP="00790F20">
            <w:pPr>
              <w:pStyle w:val="BodyText"/>
              <w:ind w:firstLine="0"/>
              <w:jc w:val="center"/>
            </w:pPr>
            <w:r>
              <w:t>50%</w:t>
            </w:r>
          </w:p>
        </w:tc>
        <w:tc>
          <w:tcPr>
            <w:tcW w:w="1742" w:type="dxa"/>
          </w:tcPr>
          <w:p w14:paraId="2BC2C354" w14:textId="19E0CFA6" w:rsidR="00134F94" w:rsidRDefault="00134F94" w:rsidP="00790F20">
            <w:pPr>
              <w:pStyle w:val="BodyText"/>
              <w:ind w:firstLine="0"/>
              <w:jc w:val="center"/>
            </w:pPr>
            <w:r>
              <w:t>0.40</w:t>
            </w:r>
          </w:p>
        </w:tc>
      </w:tr>
    </w:tbl>
    <w:p w14:paraId="572718BB" w14:textId="421D0306" w:rsidR="00A1727F" w:rsidRDefault="00A1727F" w:rsidP="00A1727F">
      <w:pPr>
        <w:pStyle w:val="BodyText"/>
        <w:spacing w:before="240" w:after="240"/>
        <w:ind w:left="567" w:hanging="567"/>
        <w:contextualSpacing w:val="0"/>
        <w:rPr>
          <w:b/>
          <w:bCs/>
        </w:rPr>
      </w:pPr>
      <w:r>
        <w:rPr>
          <w:b/>
          <w:bCs/>
        </w:rPr>
        <w:t>2.2.</w:t>
      </w:r>
      <w:r>
        <w:rPr>
          <w:b/>
          <w:bCs/>
        </w:rPr>
        <w:tab/>
      </w:r>
      <w:r w:rsidR="008960DE">
        <w:rPr>
          <w:b/>
          <w:bCs/>
        </w:rPr>
        <w:t>Element composition c</w:t>
      </w:r>
      <w:r>
        <w:rPr>
          <w:b/>
          <w:bCs/>
        </w:rPr>
        <w:t>haracterization</w:t>
      </w:r>
    </w:p>
    <w:p w14:paraId="18A52F94" w14:textId="27709B62" w:rsidR="00134F94" w:rsidRDefault="0039112C" w:rsidP="00134F94">
      <w:pPr>
        <w:pStyle w:val="BodyText"/>
        <w:spacing w:before="240" w:after="240"/>
        <w:contextualSpacing w:val="0"/>
        <w:rPr>
          <w:szCs w:val="18"/>
        </w:rPr>
      </w:pPr>
      <w:r>
        <w:t xml:space="preserve">Element </w:t>
      </w:r>
      <w:r w:rsidR="00122C32">
        <w:t xml:space="preserve">compositions of PC and EAFS were characterized using X-ray </w:t>
      </w:r>
      <w:r w:rsidR="00122C32" w:rsidRPr="009016BD">
        <w:rPr>
          <w:szCs w:val="18"/>
        </w:rPr>
        <w:t>fluorescence (XRF</w:t>
      </w:r>
      <w:r w:rsidR="000037BA">
        <w:rPr>
          <w:rFonts w:cs="Angsana New"/>
          <w:szCs w:val="18"/>
          <w:lang w:val="en-US" w:bidi="th-TH"/>
        </w:rPr>
        <w:t>, Bruker S8 Tiger</w:t>
      </w:r>
      <w:r w:rsidR="00122C32" w:rsidRPr="009016BD">
        <w:rPr>
          <w:szCs w:val="18"/>
        </w:rPr>
        <w:t>)</w:t>
      </w:r>
      <w:r w:rsidR="003C1DDA">
        <w:rPr>
          <w:szCs w:val="18"/>
        </w:rPr>
        <w:t>, are shown in Table 2.</w:t>
      </w:r>
      <w:r w:rsidR="00952271">
        <w:rPr>
          <w:szCs w:val="18"/>
        </w:rPr>
        <w:t xml:space="preserve"> T</w:t>
      </w:r>
      <w:r w:rsidR="00952271" w:rsidRPr="009016BD">
        <w:rPr>
          <w:szCs w:val="18"/>
        </w:rPr>
        <w:t>he main element composition of PC and EAFS is Calcium oxide (</w:t>
      </w:r>
      <w:proofErr w:type="spellStart"/>
      <w:r w:rsidR="00952271" w:rsidRPr="009016BD">
        <w:rPr>
          <w:szCs w:val="18"/>
        </w:rPr>
        <w:t>CaO</w:t>
      </w:r>
      <w:proofErr w:type="spellEnd"/>
      <w:r w:rsidR="00952271" w:rsidRPr="009016BD">
        <w:rPr>
          <w:szCs w:val="18"/>
        </w:rPr>
        <w:t>) and Iron oxide (Fe</w:t>
      </w:r>
      <w:r w:rsidR="00952271" w:rsidRPr="009016BD">
        <w:rPr>
          <w:szCs w:val="18"/>
          <w:vertAlign w:val="subscript"/>
        </w:rPr>
        <w:t>2</w:t>
      </w:r>
      <w:r w:rsidR="00952271" w:rsidRPr="009016BD">
        <w:rPr>
          <w:szCs w:val="18"/>
        </w:rPr>
        <w:t>O</w:t>
      </w:r>
      <w:r w:rsidR="00952271" w:rsidRPr="009016BD">
        <w:rPr>
          <w:szCs w:val="18"/>
          <w:vertAlign w:val="subscript"/>
        </w:rPr>
        <w:t>3</w:t>
      </w:r>
      <w:r w:rsidR="00952271" w:rsidRPr="009016BD">
        <w:rPr>
          <w:szCs w:val="18"/>
        </w:rPr>
        <w:t>), respectively.</w:t>
      </w:r>
    </w:p>
    <w:p w14:paraId="3A3586E1" w14:textId="3C177D0E" w:rsidR="004C384F" w:rsidRDefault="004C384F" w:rsidP="004C384F">
      <w:pPr>
        <w:pStyle w:val="BodyText"/>
        <w:ind w:firstLine="0"/>
      </w:pPr>
      <w:r>
        <w:t>TABLE 2.</w:t>
      </w:r>
      <w:r>
        <w:tab/>
        <w:t>THE ELEMENT COMPOSITION OF PORTLAND CEMENT (PC) AND ELECTRIC ARC FURNACE SLAG (EAFS)</w:t>
      </w:r>
    </w:p>
    <w:p w14:paraId="328441C0" w14:textId="77777777" w:rsidR="004C384F" w:rsidRDefault="004C384F" w:rsidP="004C384F">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C384F" w14:paraId="3EABF52E" w14:textId="77777777" w:rsidTr="00243648">
        <w:trPr>
          <w:tblHeader/>
          <w:jc w:val="center"/>
        </w:trPr>
        <w:tc>
          <w:tcPr>
            <w:tcW w:w="1741" w:type="dxa"/>
            <w:tcBorders>
              <w:top w:val="single" w:sz="4" w:space="0" w:color="auto"/>
              <w:bottom w:val="single" w:sz="4" w:space="0" w:color="auto"/>
            </w:tcBorders>
          </w:tcPr>
          <w:p w14:paraId="16DB3EB1" w14:textId="5204AF6B" w:rsidR="004C384F" w:rsidRDefault="004C384F" w:rsidP="00646C05">
            <w:pPr>
              <w:pStyle w:val="BodyText"/>
              <w:ind w:firstLine="0"/>
              <w:jc w:val="left"/>
            </w:pPr>
            <w:r>
              <w:t>Oxide composition</w:t>
            </w:r>
          </w:p>
        </w:tc>
        <w:tc>
          <w:tcPr>
            <w:tcW w:w="1741" w:type="dxa"/>
            <w:tcBorders>
              <w:top w:val="single" w:sz="4" w:space="0" w:color="auto"/>
              <w:bottom w:val="single" w:sz="4" w:space="0" w:color="auto"/>
            </w:tcBorders>
          </w:tcPr>
          <w:p w14:paraId="7400BAE7" w14:textId="77777777" w:rsidR="004C384F" w:rsidRDefault="004C384F" w:rsidP="00646C05">
            <w:pPr>
              <w:pStyle w:val="BodyText"/>
              <w:ind w:firstLine="0"/>
              <w:jc w:val="center"/>
            </w:pPr>
            <w:r>
              <w:t>Portland cement (PC)</w:t>
            </w:r>
          </w:p>
        </w:tc>
        <w:tc>
          <w:tcPr>
            <w:tcW w:w="1742" w:type="dxa"/>
            <w:tcBorders>
              <w:top w:val="single" w:sz="4" w:space="0" w:color="auto"/>
              <w:bottom w:val="single" w:sz="4" w:space="0" w:color="auto"/>
            </w:tcBorders>
          </w:tcPr>
          <w:p w14:paraId="5B0F2F5F" w14:textId="4D82B97F" w:rsidR="004C384F" w:rsidRDefault="004C384F" w:rsidP="00646C05">
            <w:pPr>
              <w:pStyle w:val="BodyText"/>
              <w:ind w:firstLine="0"/>
              <w:jc w:val="center"/>
            </w:pPr>
            <w:r>
              <w:t>Electric arc furnace slag (EAFS)</w:t>
            </w:r>
          </w:p>
        </w:tc>
      </w:tr>
      <w:tr w:rsidR="004C384F" w14:paraId="1500AFE0" w14:textId="77777777" w:rsidTr="00F42090">
        <w:trPr>
          <w:jc w:val="center"/>
        </w:trPr>
        <w:tc>
          <w:tcPr>
            <w:tcW w:w="1741" w:type="dxa"/>
            <w:tcBorders>
              <w:top w:val="single" w:sz="4" w:space="0" w:color="auto"/>
            </w:tcBorders>
          </w:tcPr>
          <w:p w14:paraId="65E9AC11" w14:textId="76DF6B37" w:rsidR="004C384F" w:rsidRDefault="00243648" w:rsidP="00646C05">
            <w:pPr>
              <w:pStyle w:val="BodyText"/>
              <w:ind w:firstLine="0"/>
              <w:jc w:val="left"/>
            </w:pPr>
            <w:proofErr w:type="spellStart"/>
            <w:r>
              <w:t>CaO</w:t>
            </w:r>
            <w:proofErr w:type="spellEnd"/>
          </w:p>
        </w:tc>
        <w:tc>
          <w:tcPr>
            <w:tcW w:w="1741" w:type="dxa"/>
            <w:tcBorders>
              <w:top w:val="single" w:sz="4" w:space="0" w:color="auto"/>
            </w:tcBorders>
          </w:tcPr>
          <w:p w14:paraId="507AF785" w14:textId="1BAC0A6F" w:rsidR="004C384F" w:rsidRDefault="00243648" w:rsidP="00646C05">
            <w:pPr>
              <w:pStyle w:val="BodyText"/>
              <w:ind w:firstLine="0"/>
              <w:jc w:val="center"/>
            </w:pPr>
            <w:r>
              <w:t>66.99%</w:t>
            </w:r>
          </w:p>
        </w:tc>
        <w:tc>
          <w:tcPr>
            <w:tcW w:w="1742" w:type="dxa"/>
            <w:tcBorders>
              <w:top w:val="single" w:sz="4" w:space="0" w:color="auto"/>
            </w:tcBorders>
          </w:tcPr>
          <w:p w14:paraId="18768003" w14:textId="577F0470" w:rsidR="004C384F" w:rsidRDefault="001775CA" w:rsidP="00646C05">
            <w:pPr>
              <w:pStyle w:val="BodyText"/>
              <w:ind w:firstLine="0"/>
              <w:jc w:val="center"/>
            </w:pPr>
            <w:r>
              <w:t>1.87%</w:t>
            </w:r>
          </w:p>
        </w:tc>
      </w:tr>
      <w:tr w:rsidR="004C384F" w14:paraId="198FE8FF" w14:textId="77777777" w:rsidTr="00F42090">
        <w:trPr>
          <w:jc w:val="center"/>
        </w:trPr>
        <w:tc>
          <w:tcPr>
            <w:tcW w:w="1741" w:type="dxa"/>
          </w:tcPr>
          <w:p w14:paraId="5667E2DD" w14:textId="4C3C3D2B" w:rsidR="004C384F" w:rsidRDefault="00243648" w:rsidP="00646C05">
            <w:pPr>
              <w:pStyle w:val="BodyText"/>
              <w:ind w:firstLine="0"/>
              <w:jc w:val="left"/>
            </w:pPr>
            <w:r>
              <w:t>SiO</w:t>
            </w:r>
            <w:r w:rsidRPr="00557320">
              <w:rPr>
                <w:vertAlign w:val="subscript"/>
              </w:rPr>
              <w:t>2</w:t>
            </w:r>
          </w:p>
        </w:tc>
        <w:tc>
          <w:tcPr>
            <w:tcW w:w="1741" w:type="dxa"/>
          </w:tcPr>
          <w:p w14:paraId="6A7724DB" w14:textId="029F8330" w:rsidR="004C384F" w:rsidRDefault="00243648" w:rsidP="00646C05">
            <w:pPr>
              <w:pStyle w:val="BodyText"/>
              <w:ind w:firstLine="0"/>
              <w:jc w:val="center"/>
            </w:pPr>
            <w:r>
              <w:t>19.14%</w:t>
            </w:r>
          </w:p>
        </w:tc>
        <w:tc>
          <w:tcPr>
            <w:tcW w:w="1742" w:type="dxa"/>
          </w:tcPr>
          <w:p w14:paraId="77CDC6F6" w14:textId="3EDA315A" w:rsidR="004C384F" w:rsidRDefault="001775CA" w:rsidP="00646C05">
            <w:pPr>
              <w:pStyle w:val="BodyText"/>
              <w:ind w:firstLine="0"/>
              <w:jc w:val="center"/>
            </w:pPr>
            <w:r>
              <w:t>-</w:t>
            </w:r>
          </w:p>
        </w:tc>
      </w:tr>
      <w:tr w:rsidR="004C384F" w14:paraId="1A76D6FE" w14:textId="77777777" w:rsidTr="00F42090">
        <w:trPr>
          <w:jc w:val="center"/>
        </w:trPr>
        <w:tc>
          <w:tcPr>
            <w:tcW w:w="1741" w:type="dxa"/>
          </w:tcPr>
          <w:p w14:paraId="40EA2CF1" w14:textId="284A16DB" w:rsidR="004C384F" w:rsidRDefault="00243648" w:rsidP="00646C05">
            <w:pPr>
              <w:pStyle w:val="BodyText"/>
              <w:ind w:firstLine="0"/>
              <w:jc w:val="left"/>
            </w:pPr>
            <w:r>
              <w:t>Al</w:t>
            </w:r>
            <w:r w:rsidRPr="00557320">
              <w:rPr>
                <w:vertAlign w:val="subscript"/>
              </w:rPr>
              <w:t>2</w:t>
            </w:r>
            <w:r>
              <w:t>O</w:t>
            </w:r>
            <w:r w:rsidRPr="00557320">
              <w:rPr>
                <w:vertAlign w:val="subscript"/>
              </w:rPr>
              <w:t>3</w:t>
            </w:r>
          </w:p>
        </w:tc>
        <w:tc>
          <w:tcPr>
            <w:tcW w:w="1741" w:type="dxa"/>
          </w:tcPr>
          <w:p w14:paraId="72CAFD21" w14:textId="563A6F91" w:rsidR="004C384F" w:rsidRDefault="00243648" w:rsidP="00646C05">
            <w:pPr>
              <w:pStyle w:val="BodyText"/>
              <w:ind w:firstLine="0"/>
              <w:jc w:val="center"/>
            </w:pPr>
            <w:r>
              <w:t>4.39%</w:t>
            </w:r>
          </w:p>
        </w:tc>
        <w:tc>
          <w:tcPr>
            <w:tcW w:w="1742" w:type="dxa"/>
          </w:tcPr>
          <w:p w14:paraId="705DC42F" w14:textId="53A41C6A" w:rsidR="004C384F" w:rsidRDefault="001775CA" w:rsidP="00646C05">
            <w:pPr>
              <w:pStyle w:val="BodyText"/>
              <w:ind w:firstLine="0"/>
              <w:jc w:val="center"/>
            </w:pPr>
            <w:r>
              <w:t>-</w:t>
            </w:r>
          </w:p>
        </w:tc>
      </w:tr>
      <w:tr w:rsidR="004C384F" w14:paraId="3E612B04" w14:textId="77777777" w:rsidTr="00F42090">
        <w:trPr>
          <w:jc w:val="center"/>
        </w:trPr>
        <w:tc>
          <w:tcPr>
            <w:tcW w:w="1741" w:type="dxa"/>
          </w:tcPr>
          <w:p w14:paraId="5C227D2D" w14:textId="78E41B2E" w:rsidR="004C384F" w:rsidRDefault="00243648" w:rsidP="00646C05">
            <w:pPr>
              <w:pStyle w:val="BodyText"/>
              <w:ind w:firstLine="0"/>
              <w:jc w:val="left"/>
            </w:pPr>
            <w:r>
              <w:t>Fe</w:t>
            </w:r>
            <w:r w:rsidRPr="00557320">
              <w:rPr>
                <w:vertAlign w:val="subscript"/>
              </w:rPr>
              <w:t>2</w:t>
            </w:r>
            <w:r>
              <w:t>O</w:t>
            </w:r>
            <w:r w:rsidRPr="00557320">
              <w:rPr>
                <w:vertAlign w:val="subscript"/>
              </w:rPr>
              <w:t>3</w:t>
            </w:r>
          </w:p>
        </w:tc>
        <w:tc>
          <w:tcPr>
            <w:tcW w:w="1741" w:type="dxa"/>
          </w:tcPr>
          <w:p w14:paraId="32291C50" w14:textId="3C1410A2" w:rsidR="004C384F" w:rsidRDefault="00243648" w:rsidP="00646C05">
            <w:pPr>
              <w:pStyle w:val="BodyText"/>
              <w:ind w:firstLine="0"/>
              <w:jc w:val="center"/>
            </w:pPr>
            <w:r>
              <w:t>3.36%</w:t>
            </w:r>
          </w:p>
        </w:tc>
        <w:tc>
          <w:tcPr>
            <w:tcW w:w="1742" w:type="dxa"/>
          </w:tcPr>
          <w:p w14:paraId="6E2FF14A" w14:textId="1779EBD8" w:rsidR="004C384F" w:rsidRDefault="001775CA" w:rsidP="00646C05">
            <w:pPr>
              <w:pStyle w:val="BodyText"/>
              <w:ind w:firstLine="0"/>
              <w:jc w:val="center"/>
            </w:pPr>
            <w:r>
              <w:t>51.76%</w:t>
            </w:r>
          </w:p>
        </w:tc>
      </w:tr>
      <w:tr w:rsidR="00243648" w14:paraId="31CF794A" w14:textId="77777777" w:rsidTr="00F42090">
        <w:trPr>
          <w:jc w:val="center"/>
        </w:trPr>
        <w:tc>
          <w:tcPr>
            <w:tcW w:w="1741" w:type="dxa"/>
          </w:tcPr>
          <w:p w14:paraId="261BBA84" w14:textId="2C753A77" w:rsidR="00243648" w:rsidRDefault="00243648" w:rsidP="00646C05">
            <w:pPr>
              <w:pStyle w:val="BodyText"/>
              <w:ind w:firstLine="0"/>
              <w:jc w:val="left"/>
            </w:pPr>
            <w:r>
              <w:t>SO</w:t>
            </w:r>
            <w:r w:rsidRPr="00557320">
              <w:rPr>
                <w:vertAlign w:val="subscript"/>
              </w:rPr>
              <w:t>3</w:t>
            </w:r>
          </w:p>
        </w:tc>
        <w:tc>
          <w:tcPr>
            <w:tcW w:w="1741" w:type="dxa"/>
          </w:tcPr>
          <w:p w14:paraId="10CF0F75" w14:textId="03BBB7F2" w:rsidR="00243648" w:rsidRDefault="00243648" w:rsidP="00646C05">
            <w:pPr>
              <w:pStyle w:val="BodyText"/>
              <w:ind w:firstLine="0"/>
              <w:jc w:val="center"/>
            </w:pPr>
            <w:r>
              <w:t>3.10%</w:t>
            </w:r>
          </w:p>
        </w:tc>
        <w:tc>
          <w:tcPr>
            <w:tcW w:w="1742" w:type="dxa"/>
          </w:tcPr>
          <w:p w14:paraId="7290A323" w14:textId="22B750F0" w:rsidR="00243648" w:rsidRDefault="001775CA" w:rsidP="00646C05">
            <w:pPr>
              <w:pStyle w:val="BodyText"/>
              <w:ind w:firstLine="0"/>
              <w:jc w:val="center"/>
            </w:pPr>
            <w:r>
              <w:t>0.27%</w:t>
            </w:r>
          </w:p>
        </w:tc>
      </w:tr>
      <w:tr w:rsidR="00243648" w14:paraId="7EF9E17E" w14:textId="77777777" w:rsidTr="00F42090">
        <w:trPr>
          <w:jc w:val="center"/>
        </w:trPr>
        <w:tc>
          <w:tcPr>
            <w:tcW w:w="1741" w:type="dxa"/>
          </w:tcPr>
          <w:p w14:paraId="596BBEDC" w14:textId="4939E38D" w:rsidR="00243648" w:rsidRDefault="00243648" w:rsidP="00646C05">
            <w:pPr>
              <w:pStyle w:val="BodyText"/>
              <w:ind w:firstLine="0"/>
              <w:jc w:val="left"/>
            </w:pPr>
            <w:r>
              <w:t>MgO</w:t>
            </w:r>
          </w:p>
        </w:tc>
        <w:tc>
          <w:tcPr>
            <w:tcW w:w="1741" w:type="dxa"/>
          </w:tcPr>
          <w:p w14:paraId="1585DAD6" w14:textId="51781737" w:rsidR="00243648" w:rsidRDefault="00243648" w:rsidP="00646C05">
            <w:pPr>
              <w:pStyle w:val="BodyText"/>
              <w:ind w:firstLine="0"/>
              <w:jc w:val="center"/>
            </w:pPr>
            <w:r>
              <w:t>1.59%</w:t>
            </w:r>
          </w:p>
        </w:tc>
        <w:tc>
          <w:tcPr>
            <w:tcW w:w="1742" w:type="dxa"/>
          </w:tcPr>
          <w:p w14:paraId="4B290035" w14:textId="6DA8BF75" w:rsidR="00243648" w:rsidRDefault="001775CA" w:rsidP="00646C05">
            <w:pPr>
              <w:pStyle w:val="BodyText"/>
              <w:ind w:firstLine="0"/>
              <w:jc w:val="center"/>
            </w:pPr>
            <w:r>
              <w:t>-</w:t>
            </w:r>
          </w:p>
        </w:tc>
      </w:tr>
      <w:tr w:rsidR="00243648" w14:paraId="77BCF6C0" w14:textId="77777777" w:rsidTr="00F42090">
        <w:trPr>
          <w:jc w:val="center"/>
        </w:trPr>
        <w:tc>
          <w:tcPr>
            <w:tcW w:w="1741" w:type="dxa"/>
          </w:tcPr>
          <w:p w14:paraId="4344E1CB" w14:textId="4693E220" w:rsidR="00243648" w:rsidRDefault="00243648" w:rsidP="00646C05">
            <w:pPr>
              <w:pStyle w:val="BodyText"/>
              <w:ind w:firstLine="0"/>
              <w:jc w:val="left"/>
            </w:pPr>
            <w:r>
              <w:t>K</w:t>
            </w:r>
            <w:r w:rsidRPr="00557320">
              <w:rPr>
                <w:vertAlign w:val="subscript"/>
              </w:rPr>
              <w:t>2</w:t>
            </w:r>
            <w:r>
              <w:t>O</w:t>
            </w:r>
          </w:p>
        </w:tc>
        <w:tc>
          <w:tcPr>
            <w:tcW w:w="1741" w:type="dxa"/>
          </w:tcPr>
          <w:p w14:paraId="4496F8EB" w14:textId="7BB2BD68" w:rsidR="00243648" w:rsidRDefault="00243648" w:rsidP="00646C05">
            <w:pPr>
              <w:pStyle w:val="BodyText"/>
              <w:ind w:firstLine="0"/>
              <w:jc w:val="center"/>
            </w:pPr>
            <w:r>
              <w:t>0.49</w:t>
            </w:r>
            <w:r w:rsidR="00490961">
              <w:t>%</w:t>
            </w:r>
          </w:p>
        </w:tc>
        <w:tc>
          <w:tcPr>
            <w:tcW w:w="1742" w:type="dxa"/>
          </w:tcPr>
          <w:p w14:paraId="6ED836D8" w14:textId="63A160D8" w:rsidR="00243648" w:rsidRDefault="001775CA" w:rsidP="00646C05">
            <w:pPr>
              <w:pStyle w:val="BodyText"/>
              <w:ind w:firstLine="0"/>
              <w:jc w:val="center"/>
            </w:pPr>
            <w:r>
              <w:t>4.95%</w:t>
            </w:r>
          </w:p>
        </w:tc>
      </w:tr>
      <w:tr w:rsidR="00243648" w14:paraId="5BFB1C79" w14:textId="77777777" w:rsidTr="00F42090">
        <w:trPr>
          <w:jc w:val="center"/>
        </w:trPr>
        <w:tc>
          <w:tcPr>
            <w:tcW w:w="1741" w:type="dxa"/>
          </w:tcPr>
          <w:p w14:paraId="01905537" w14:textId="41372DA9" w:rsidR="00243648" w:rsidRDefault="00243648" w:rsidP="00646C05">
            <w:pPr>
              <w:pStyle w:val="BodyText"/>
              <w:ind w:firstLine="0"/>
              <w:jc w:val="left"/>
            </w:pPr>
            <w:r>
              <w:t>Na</w:t>
            </w:r>
            <w:r w:rsidRPr="00557320">
              <w:rPr>
                <w:vertAlign w:val="subscript"/>
              </w:rPr>
              <w:t>2</w:t>
            </w:r>
            <w:r>
              <w:t>O</w:t>
            </w:r>
          </w:p>
        </w:tc>
        <w:tc>
          <w:tcPr>
            <w:tcW w:w="1741" w:type="dxa"/>
          </w:tcPr>
          <w:p w14:paraId="1921D2FC" w14:textId="1319322D" w:rsidR="00243648" w:rsidRDefault="00243648" w:rsidP="00646C05">
            <w:pPr>
              <w:pStyle w:val="BodyText"/>
              <w:ind w:firstLine="0"/>
              <w:jc w:val="center"/>
            </w:pPr>
            <w:r>
              <w:t>0.27</w:t>
            </w:r>
            <w:r w:rsidR="00490961">
              <w:t>%</w:t>
            </w:r>
          </w:p>
        </w:tc>
        <w:tc>
          <w:tcPr>
            <w:tcW w:w="1742" w:type="dxa"/>
          </w:tcPr>
          <w:p w14:paraId="41A7C346" w14:textId="410D2B6A" w:rsidR="00243648" w:rsidRDefault="001775CA" w:rsidP="00646C05">
            <w:pPr>
              <w:pStyle w:val="BodyText"/>
              <w:ind w:firstLine="0"/>
              <w:jc w:val="center"/>
            </w:pPr>
            <w:r>
              <w:t>-</w:t>
            </w:r>
          </w:p>
        </w:tc>
      </w:tr>
      <w:tr w:rsidR="00243648" w14:paraId="1176F086" w14:textId="77777777" w:rsidTr="00F42090">
        <w:trPr>
          <w:jc w:val="center"/>
        </w:trPr>
        <w:tc>
          <w:tcPr>
            <w:tcW w:w="1741" w:type="dxa"/>
          </w:tcPr>
          <w:p w14:paraId="1B499BDA" w14:textId="2FD54F58" w:rsidR="00243648" w:rsidRDefault="00243648" w:rsidP="00646C05">
            <w:pPr>
              <w:pStyle w:val="BodyText"/>
              <w:ind w:firstLine="0"/>
              <w:jc w:val="left"/>
            </w:pPr>
            <w:r>
              <w:t>TiO</w:t>
            </w:r>
            <w:r w:rsidRPr="00557320">
              <w:rPr>
                <w:vertAlign w:val="subscript"/>
              </w:rPr>
              <w:t>2</w:t>
            </w:r>
          </w:p>
        </w:tc>
        <w:tc>
          <w:tcPr>
            <w:tcW w:w="1741" w:type="dxa"/>
          </w:tcPr>
          <w:p w14:paraId="71ECB8E8" w14:textId="48A69155" w:rsidR="00243648" w:rsidRDefault="00243648" w:rsidP="00646C05">
            <w:pPr>
              <w:pStyle w:val="BodyText"/>
              <w:ind w:firstLine="0"/>
              <w:jc w:val="center"/>
            </w:pPr>
            <w:r>
              <w:t>0.26</w:t>
            </w:r>
            <w:r w:rsidR="00490961">
              <w:t>%</w:t>
            </w:r>
          </w:p>
        </w:tc>
        <w:tc>
          <w:tcPr>
            <w:tcW w:w="1742" w:type="dxa"/>
          </w:tcPr>
          <w:p w14:paraId="217E9DC2" w14:textId="31475F65" w:rsidR="00243648" w:rsidRDefault="001775CA" w:rsidP="00646C05">
            <w:pPr>
              <w:pStyle w:val="BodyText"/>
              <w:ind w:firstLine="0"/>
              <w:jc w:val="center"/>
            </w:pPr>
            <w:r>
              <w:t>-</w:t>
            </w:r>
          </w:p>
        </w:tc>
      </w:tr>
      <w:tr w:rsidR="00243648" w14:paraId="013964EA" w14:textId="77777777" w:rsidTr="00F42090">
        <w:trPr>
          <w:jc w:val="center"/>
        </w:trPr>
        <w:tc>
          <w:tcPr>
            <w:tcW w:w="1741" w:type="dxa"/>
          </w:tcPr>
          <w:p w14:paraId="2B7E6F61" w14:textId="4B40E8D2" w:rsidR="00243648" w:rsidRDefault="00243648" w:rsidP="00646C05">
            <w:pPr>
              <w:pStyle w:val="BodyText"/>
              <w:ind w:firstLine="0"/>
              <w:jc w:val="left"/>
            </w:pPr>
            <w:r>
              <w:t>Cl</w:t>
            </w:r>
          </w:p>
        </w:tc>
        <w:tc>
          <w:tcPr>
            <w:tcW w:w="1741" w:type="dxa"/>
          </w:tcPr>
          <w:p w14:paraId="2C839E8D" w14:textId="3922516E" w:rsidR="00243648" w:rsidRDefault="00243648" w:rsidP="00646C05">
            <w:pPr>
              <w:pStyle w:val="BodyText"/>
              <w:ind w:firstLine="0"/>
              <w:jc w:val="center"/>
            </w:pPr>
            <w:r>
              <w:t>0.15</w:t>
            </w:r>
            <w:r w:rsidR="00490961">
              <w:t>%</w:t>
            </w:r>
          </w:p>
        </w:tc>
        <w:tc>
          <w:tcPr>
            <w:tcW w:w="1742" w:type="dxa"/>
          </w:tcPr>
          <w:p w14:paraId="5066578C" w14:textId="5890FF59" w:rsidR="00243648" w:rsidRDefault="001775CA" w:rsidP="00646C05">
            <w:pPr>
              <w:pStyle w:val="BodyText"/>
              <w:ind w:firstLine="0"/>
              <w:jc w:val="center"/>
            </w:pPr>
            <w:r>
              <w:t>0.26%</w:t>
            </w:r>
          </w:p>
        </w:tc>
      </w:tr>
      <w:tr w:rsidR="00243648" w14:paraId="5AAFF959" w14:textId="77777777" w:rsidTr="00F42090">
        <w:trPr>
          <w:jc w:val="center"/>
        </w:trPr>
        <w:tc>
          <w:tcPr>
            <w:tcW w:w="1741" w:type="dxa"/>
          </w:tcPr>
          <w:p w14:paraId="7A1B97CF" w14:textId="5201BEF2" w:rsidR="00243648" w:rsidRDefault="00243648" w:rsidP="00646C05">
            <w:pPr>
              <w:pStyle w:val="BodyText"/>
              <w:ind w:firstLine="0"/>
              <w:jc w:val="left"/>
            </w:pPr>
            <w:r>
              <w:t>P</w:t>
            </w:r>
            <w:r w:rsidRPr="00557320">
              <w:rPr>
                <w:vertAlign w:val="subscript"/>
              </w:rPr>
              <w:t>2</w:t>
            </w:r>
            <w:r>
              <w:t>O</w:t>
            </w:r>
            <w:r w:rsidRPr="00557320">
              <w:rPr>
                <w:vertAlign w:val="subscript"/>
              </w:rPr>
              <w:t>5</w:t>
            </w:r>
          </w:p>
        </w:tc>
        <w:tc>
          <w:tcPr>
            <w:tcW w:w="1741" w:type="dxa"/>
          </w:tcPr>
          <w:p w14:paraId="0F9BE3ED" w14:textId="749AC3D9" w:rsidR="00243648" w:rsidRDefault="00243648" w:rsidP="00646C05">
            <w:pPr>
              <w:pStyle w:val="BodyText"/>
              <w:ind w:firstLine="0"/>
              <w:jc w:val="center"/>
            </w:pPr>
            <w:r>
              <w:t>0.08</w:t>
            </w:r>
            <w:r w:rsidR="00490961">
              <w:t>%</w:t>
            </w:r>
          </w:p>
        </w:tc>
        <w:tc>
          <w:tcPr>
            <w:tcW w:w="1742" w:type="dxa"/>
          </w:tcPr>
          <w:p w14:paraId="6A83BB29" w14:textId="4DA0CC47" w:rsidR="00243648" w:rsidRDefault="001775CA" w:rsidP="00646C05">
            <w:pPr>
              <w:pStyle w:val="BodyText"/>
              <w:ind w:firstLine="0"/>
              <w:jc w:val="center"/>
            </w:pPr>
            <w:r>
              <w:t>-</w:t>
            </w:r>
          </w:p>
        </w:tc>
      </w:tr>
      <w:tr w:rsidR="00243648" w14:paraId="0C258B75" w14:textId="77777777" w:rsidTr="00F42090">
        <w:trPr>
          <w:jc w:val="center"/>
        </w:trPr>
        <w:tc>
          <w:tcPr>
            <w:tcW w:w="1741" w:type="dxa"/>
          </w:tcPr>
          <w:p w14:paraId="7D1FCAE9" w14:textId="3206DFE9" w:rsidR="00243648" w:rsidRDefault="00243648" w:rsidP="00646C05">
            <w:pPr>
              <w:pStyle w:val="BodyText"/>
              <w:ind w:firstLine="0"/>
              <w:jc w:val="left"/>
            </w:pPr>
            <w:proofErr w:type="spellStart"/>
            <w:r>
              <w:t>MnO</w:t>
            </w:r>
            <w:proofErr w:type="spellEnd"/>
          </w:p>
        </w:tc>
        <w:tc>
          <w:tcPr>
            <w:tcW w:w="1741" w:type="dxa"/>
          </w:tcPr>
          <w:p w14:paraId="47B84C06" w14:textId="70584255" w:rsidR="00243648" w:rsidRDefault="00243648" w:rsidP="00646C05">
            <w:pPr>
              <w:pStyle w:val="BodyText"/>
              <w:ind w:firstLine="0"/>
              <w:jc w:val="center"/>
            </w:pPr>
            <w:r>
              <w:t>0.05</w:t>
            </w:r>
            <w:r w:rsidR="00490961">
              <w:t>%</w:t>
            </w:r>
          </w:p>
        </w:tc>
        <w:tc>
          <w:tcPr>
            <w:tcW w:w="1742" w:type="dxa"/>
          </w:tcPr>
          <w:p w14:paraId="044953EE" w14:textId="057BB96D" w:rsidR="00243648" w:rsidRDefault="001775CA" w:rsidP="00646C05">
            <w:pPr>
              <w:pStyle w:val="BodyText"/>
              <w:ind w:firstLine="0"/>
              <w:jc w:val="center"/>
            </w:pPr>
            <w:r>
              <w:t>4.09%</w:t>
            </w:r>
          </w:p>
        </w:tc>
      </w:tr>
      <w:tr w:rsidR="00243648" w14:paraId="6D135D2F" w14:textId="77777777" w:rsidTr="00F42090">
        <w:trPr>
          <w:jc w:val="center"/>
        </w:trPr>
        <w:tc>
          <w:tcPr>
            <w:tcW w:w="1741" w:type="dxa"/>
          </w:tcPr>
          <w:p w14:paraId="2D3A6F4B" w14:textId="0B190B21" w:rsidR="00243648" w:rsidRDefault="00243648" w:rsidP="00646C05">
            <w:pPr>
              <w:pStyle w:val="BodyText"/>
              <w:ind w:firstLine="0"/>
              <w:jc w:val="left"/>
            </w:pPr>
            <w:proofErr w:type="spellStart"/>
            <w:r>
              <w:t>SrO</w:t>
            </w:r>
            <w:proofErr w:type="spellEnd"/>
          </w:p>
        </w:tc>
        <w:tc>
          <w:tcPr>
            <w:tcW w:w="1741" w:type="dxa"/>
          </w:tcPr>
          <w:p w14:paraId="35CC58ED" w14:textId="04F5A34E" w:rsidR="00243648" w:rsidRDefault="00243648" w:rsidP="00646C05">
            <w:pPr>
              <w:pStyle w:val="BodyText"/>
              <w:ind w:firstLine="0"/>
              <w:jc w:val="center"/>
            </w:pPr>
            <w:r>
              <w:t>0.04</w:t>
            </w:r>
            <w:r w:rsidR="00490961">
              <w:t>%</w:t>
            </w:r>
          </w:p>
        </w:tc>
        <w:tc>
          <w:tcPr>
            <w:tcW w:w="1742" w:type="dxa"/>
          </w:tcPr>
          <w:p w14:paraId="7B7C5D47" w14:textId="76853946" w:rsidR="00243648" w:rsidRDefault="001775CA" w:rsidP="00646C05">
            <w:pPr>
              <w:pStyle w:val="BodyText"/>
              <w:ind w:firstLine="0"/>
              <w:jc w:val="center"/>
            </w:pPr>
            <w:r>
              <w:t>-</w:t>
            </w:r>
          </w:p>
        </w:tc>
      </w:tr>
      <w:tr w:rsidR="00243648" w14:paraId="2B9347C0" w14:textId="77777777" w:rsidTr="00F42090">
        <w:trPr>
          <w:jc w:val="center"/>
        </w:trPr>
        <w:tc>
          <w:tcPr>
            <w:tcW w:w="1741" w:type="dxa"/>
          </w:tcPr>
          <w:p w14:paraId="276A9044" w14:textId="225B61C6" w:rsidR="00243648" w:rsidRDefault="00243648" w:rsidP="00646C05">
            <w:pPr>
              <w:pStyle w:val="BodyText"/>
              <w:ind w:firstLine="0"/>
              <w:jc w:val="left"/>
            </w:pPr>
            <w:proofErr w:type="spellStart"/>
            <w:r>
              <w:t>ZnO</w:t>
            </w:r>
            <w:proofErr w:type="spellEnd"/>
          </w:p>
        </w:tc>
        <w:tc>
          <w:tcPr>
            <w:tcW w:w="1741" w:type="dxa"/>
          </w:tcPr>
          <w:p w14:paraId="3E2D415E" w14:textId="5E869484" w:rsidR="00243648" w:rsidRDefault="00243648" w:rsidP="00646C05">
            <w:pPr>
              <w:pStyle w:val="BodyText"/>
              <w:ind w:firstLine="0"/>
              <w:jc w:val="center"/>
            </w:pPr>
            <w:r>
              <w:t>0.03</w:t>
            </w:r>
            <w:r w:rsidR="00490961">
              <w:t>%</w:t>
            </w:r>
          </w:p>
        </w:tc>
        <w:tc>
          <w:tcPr>
            <w:tcW w:w="1742" w:type="dxa"/>
          </w:tcPr>
          <w:p w14:paraId="6931839F" w14:textId="73C0C6EE" w:rsidR="00243648" w:rsidRDefault="001775CA" w:rsidP="00646C05">
            <w:pPr>
              <w:pStyle w:val="BodyText"/>
              <w:ind w:firstLine="0"/>
              <w:jc w:val="center"/>
            </w:pPr>
            <w:r>
              <w:t>35.19%</w:t>
            </w:r>
          </w:p>
        </w:tc>
      </w:tr>
      <w:tr w:rsidR="00243648" w14:paraId="3BE7F34F" w14:textId="77777777" w:rsidTr="00F42090">
        <w:trPr>
          <w:jc w:val="center"/>
        </w:trPr>
        <w:tc>
          <w:tcPr>
            <w:tcW w:w="1741" w:type="dxa"/>
          </w:tcPr>
          <w:p w14:paraId="44DE0BEA" w14:textId="663639BA" w:rsidR="00243648" w:rsidRDefault="00243648" w:rsidP="00646C05">
            <w:pPr>
              <w:pStyle w:val="BodyText"/>
              <w:ind w:firstLine="0"/>
              <w:jc w:val="left"/>
            </w:pPr>
            <w:proofErr w:type="spellStart"/>
            <w:r>
              <w:t>CuO</w:t>
            </w:r>
            <w:proofErr w:type="spellEnd"/>
          </w:p>
        </w:tc>
        <w:tc>
          <w:tcPr>
            <w:tcW w:w="1741" w:type="dxa"/>
          </w:tcPr>
          <w:p w14:paraId="157BFA42" w14:textId="6BFC7A18" w:rsidR="00243648" w:rsidRDefault="00243648" w:rsidP="00646C05">
            <w:pPr>
              <w:pStyle w:val="BodyText"/>
              <w:ind w:firstLine="0"/>
              <w:jc w:val="center"/>
            </w:pPr>
            <w:r>
              <w:t>0.02</w:t>
            </w:r>
            <w:r w:rsidR="00490961">
              <w:t>%</w:t>
            </w:r>
          </w:p>
        </w:tc>
        <w:tc>
          <w:tcPr>
            <w:tcW w:w="1742" w:type="dxa"/>
          </w:tcPr>
          <w:p w14:paraId="503C7F2E" w14:textId="000ABBE3" w:rsidR="00243648" w:rsidRDefault="001775CA" w:rsidP="00646C05">
            <w:pPr>
              <w:pStyle w:val="BodyText"/>
              <w:ind w:firstLine="0"/>
              <w:jc w:val="center"/>
            </w:pPr>
            <w:r>
              <w:t>0.24%</w:t>
            </w:r>
          </w:p>
        </w:tc>
      </w:tr>
      <w:tr w:rsidR="00243648" w14:paraId="3CAD3C98" w14:textId="77777777" w:rsidTr="00F42090">
        <w:trPr>
          <w:jc w:val="center"/>
        </w:trPr>
        <w:tc>
          <w:tcPr>
            <w:tcW w:w="1741" w:type="dxa"/>
          </w:tcPr>
          <w:p w14:paraId="5E3F5126" w14:textId="53127437" w:rsidR="00243648" w:rsidRDefault="00243648" w:rsidP="00646C05">
            <w:pPr>
              <w:pStyle w:val="BodyText"/>
              <w:ind w:firstLine="0"/>
              <w:jc w:val="left"/>
            </w:pPr>
            <w:r>
              <w:t>ZrO</w:t>
            </w:r>
            <w:r w:rsidRPr="00557320">
              <w:rPr>
                <w:vertAlign w:val="subscript"/>
              </w:rPr>
              <w:t>2</w:t>
            </w:r>
          </w:p>
        </w:tc>
        <w:tc>
          <w:tcPr>
            <w:tcW w:w="1741" w:type="dxa"/>
          </w:tcPr>
          <w:p w14:paraId="3E190DC6" w14:textId="4FE4EB5F" w:rsidR="00243648" w:rsidRDefault="00243648" w:rsidP="00646C05">
            <w:pPr>
              <w:pStyle w:val="BodyText"/>
              <w:ind w:firstLine="0"/>
              <w:jc w:val="center"/>
            </w:pPr>
            <w:r>
              <w:t>0.02</w:t>
            </w:r>
            <w:r w:rsidR="00490961">
              <w:t>%</w:t>
            </w:r>
          </w:p>
        </w:tc>
        <w:tc>
          <w:tcPr>
            <w:tcW w:w="1742" w:type="dxa"/>
          </w:tcPr>
          <w:p w14:paraId="62323F24" w14:textId="36D69CC0" w:rsidR="00243648" w:rsidRDefault="001775CA" w:rsidP="00646C05">
            <w:pPr>
              <w:pStyle w:val="BodyText"/>
              <w:ind w:firstLine="0"/>
              <w:jc w:val="center"/>
            </w:pPr>
            <w:r>
              <w:t>-</w:t>
            </w:r>
          </w:p>
        </w:tc>
      </w:tr>
      <w:tr w:rsidR="00243648" w14:paraId="34672F75" w14:textId="77777777" w:rsidTr="00F42090">
        <w:trPr>
          <w:jc w:val="center"/>
        </w:trPr>
        <w:tc>
          <w:tcPr>
            <w:tcW w:w="1741" w:type="dxa"/>
          </w:tcPr>
          <w:p w14:paraId="7F91D9DF" w14:textId="56BD0A47" w:rsidR="00243648" w:rsidRDefault="00243648" w:rsidP="00646C05">
            <w:pPr>
              <w:pStyle w:val="BodyText"/>
              <w:ind w:firstLine="0"/>
              <w:jc w:val="left"/>
            </w:pPr>
            <w:r>
              <w:lastRenderedPageBreak/>
              <w:t>MoO</w:t>
            </w:r>
            <w:r w:rsidRPr="00557320">
              <w:rPr>
                <w:vertAlign w:val="subscript"/>
              </w:rPr>
              <w:t>3</w:t>
            </w:r>
          </w:p>
        </w:tc>
        <w:tc>
          <w:tcPr>
            <w:tcW w:w="1741" w:type="dxa"/>
          </w:tcPr>
          <w:p w14:paraId="19603A5F" w14:textId="3806B58F" w:rsidR="00243648" w:rsidRDefault="00243648" w:rsidP="00646C05">
            <w:pPr>
              <w:pStyle w:val="BodyText"/>
              <w:ind w:firstLine="0"/>
              <w:jc w:val="center"/>
            </w:pPr>
            <w:r>
              <w:t>75 PPM</w:t>
            </w:r>
          </w:p>
        </w:tc>
        <w:tc>
          <w:tcPr>
            <w:tcW w:w="1742" w:type="dxa"/>
          </w:tcPr>
          <w:p w14:paraId="1BAC19D1" w14:textId="62484ED0" w:rsidR="00243648" w:rsidRDefault="001775CA" w:rsidP="00646C05">
            <w:pPr>
              <w:pStyle w:val="BodyText"/>
              <w:ind w:firstLine="0"/>
              <w:jc w:val="center"/>
            </w:pPr>
            <w:r>
              <w:t>-</w:t>
            </w:r>
          </w:p>
        </w:tc>
      </w:tr>
      <w:tr w:rsidR="00243648" w14:paraId="5C0E1214" w14:textId="77777777" w:rsidTr="00F42090">
        <w:trPr>
          <w:jc w:val="center"/>
        </w:trPr>
        <w:tc>
          <w:tcPr>
            <w:tcW w:w="1741" w:type="dxa"/>
          </w:tcPr>
          <w:p w14:paraId="7241FCBC" w14:textId="6DDED70C" w:rsidR="00243648" w:rsidRDefault="00243648" w:rsidP="00646C05">
            <w:pPr>
              <w:pStyle w:val="BodyText"/>
              <w:ind w:firstLine="0"/>
              <w:jc w:val="left"/>
            </w:pPr>
            <w:r>
              <w:t>As</w:t>
            </w:r>
            <w:r w:rsidRPr="00557320">
              <w:rPr>
                <w:vertAlign w:val="subscript"/>
              </w:rPr>
              <w:t>2</w:t>
            </w:r>
            <w:r>
              <w:t>O</w:t>
            </w:r>
            <w:r w:rsidRPr="00557320">
              <w:rPr>
                <w:vertAlign w:val="subscript"/>
              </w:rPr>
              <w:t>3</w:t>
            </w:r>
          </w:p>
        </w:tc>
        <w:tc>
          <w:tcPr>
            <w:tcW w:w="1741" w:type="dxa"/>
          </w:tcPr>
          <w:p w14:paraId="6889BEDE" w14:textId="26C7F599" w:rsidR="00243648" w:rsidRDefault="00243648" w:rsidP="00646C05">
            <w:pPr>
              <w:pStyle w:val="BodyText"/>
              <w:ind w:firstLine="0"/>
              <w:jc w:val="center"/>
            </w:pPr>
            <w:r>
              <w:t>44 PPM</w:t>
            </w:r>
          </w:p>
        </w:tc>
        <w:tc>
          <w:tcPr>
            <w:tcW w:w="1742" w:type="dxa"/>
          </w:tcPr>
          <w:p w14:paraId="076C2D2F" w14:textId="0B04599B" w:rsidR="00243648" w:rsidRDefault="001775CA" w:rsidP="00646C05">
            <w:pPr>
              <w:pStyle w:val="BodyText"/>
              <w:ind w:firstLine="0"/>
              <w:jc w:val="center"/>
            </w:pPr>
            <w:r>
              <w:t>-</w:t>
            </w:r>
          </w:p>
        </w:tc>
      </w:tr>
      <w:tr w:rsidR="001775CA" w14:paraId="42883FB3" w14:textId="77777777" w:rsidTr="00F42090">
        <w:trPr>
          <w:jc w:val="center"/>
        </w:trPr>
        <w:tc>
          <w:tcPr>
            <w:tcW w:w="1741" w:type="dxa"/>
          </w:tcPr>
          <w:p w14:paraId="08F52DEF" w14:textId="5FB4D25F" w:rsidR="001775CA" w:rsidRDefault="001775CA" w:rsidP="00646C05">
            <w:pPr>
              <w:pStyle w:val="BodyText"/>
              <w:ind w:firstLine="0"/>
              <w:jc w:val="left"/>
            </w:pPr>
            <w:proofErr w:type="spellStart"/>
            <w:r>
              <w:t>PbO</w:t>
            </w:r>
            <w:proofErr w:type="spellEnd"/>
          </w:p>
        </w:tc>
        <w:tc>
          <w:tcPr>
            <w:tcW w:w="1741" w:type="dxa"/>
          </w:tcPr>
          <w:p w14:paraId="40EFF19B" w14:textId="094F6150" w:rsidR="001775CA" w:rsidRDefault="001775CA" w:rsidP="00646C05">
            <w:pPr>
              <w:pStyle w:val="BodyText"/>
              <w:ind w:firstLine="0"/>
              <w:jc w:val="center"/>
            </w:pPr>
            <w:r>
              <w:t>-</w:t>
            </w:r>
          </w:p>
        </w:tc>
        <w:tc>
          <w:tcPr>
            <w:tcW w:w="1742" w:type="dxa"/>
          </w:tcPr>
          <w:p w14:paraId="5014A199" w14:textId="7318CFC6" w:rsidR="001775CA" w:rsidRDefault="001775CA" w:rsidP="00646C05">
            <w:pPr>
              <w:pStyle w:val="BodyText"/>
              <w:ind w:firstLine="0"/>
              <w:jc w:val="center"/>
            </w:pPr>
            <w:r>
              <w:t>0.71%</w:t>
            </w:r>
          </w:p>
        </w:tc>
      </w:tr>
      <w:tr w:rsidR="001775CA" w14:paraId="4439356B" w14:textId="77777777" w:rsidTr="00F42090">
        <w:trPr>
          <w:jc w:val="center"/>
        </w:trPr>
        <w:tc>
          <w:tcPr>
            <w:tcW w:w="1741" w:type="dxa"/>
          </w:tcPr>
          <w:p w14:paraId="0706AC6A" w14:textId="3F530A85" w:rsidR="001775CA" w:rsidRDefault="001775CA" w:rsidP="00646C05">
            <w:pPr>
              <w:pStyle w:val="BodyText"/>
              <w:ind w:firstLine="0"/>
              <w:jc w:val="left"/>
            </w:pPr>
            <w:r>
              <w:t>Cr2O3</w:t>
            </w:r>
          </w:p>
        </w:tc>
        <w:tc>
          <w:tcPr>
            <w:tcW w:w="1741" w:type="dxa"/>
          </w:tcPr>
          <w:p w14:paraId="26110E17" w14:textId="4554FCF9" w:rsidR="001775CA" w:rsidRDefault="001775CA" w:rsidP="00646C05">
            <w:pPr>
              <w:pStyle w:val="BodyText"/>
              <w:ind w:firstLine="0"/>
              <w:jc w:val="center"/>
            </w:pPr>
            <w:r>
              <w:t>-</w:t>
            </w:r>
          </w:p>
        </w:tc>
        <w:tc>
          <w:tcPr>
            <w:tcW w:w="1742" w:type="dxa"/>
          </w:tcPr>
          <w:p w14:paraId="775648F1" w14:textId="2557B999" w:rsidR="001775CA" w:rsidRDefault="00EC5334" w:rsidP="00646C05">
            <w:pPr>
              <w:pStyle w:val="BodyText"/>
              <w:ind w:firstLine="0"/>
              <w:jc w:val="center"/>
            </w:pPr>
            <w:r>
              <w:t>0.43%</w:t>
            </w:r>
          </w:p>
        </w:tc>
      </w:tr>
      <w:tr w:rsidR="001775CA" w14:paraId="7867D406" w14:textId="77777777" w:rsidTr="00F42090">
        <w:trPr>
          <w:jc w:val="center"/>
        </w:trPr>
        <w:tc>
          <w:tcPr>
            <w:tcW w:w="1741" w:type="dxa"/>
          </w:tcPr>
          <w:p w14:paraId="6D1BD206" w14:textId="4FFE352D" w:rsidR="001775CA" w:rsidRDefault="001775CA" w:rsidP="00646C05">
            <w:pPr>
              <w:pStyle w:val="BodyText"/>
              <w:ind w:firstLine="0"/>
              <w:jc w:val="left"/>
            </w:pPr>
            <w:r>
              <w:t>Br</w:t>
            </w:r>
          </w:p>
        </w:tc>
        <w:tc>
          <w:tcPr>
            <w:tcW w:w="1741" w:type="dxa"/>
          </w:tcPr>
          <w:p w14:paraId="5F552272" w14:textId="6879BE29" w:rsidR="001775CA" w:rsidRDefault="001775CA" w:rsidP="00646C05">
            <w:pPr>
              <w:pStyle w:val="BodyText"/>
              <w:ind w:firstLine="0"/>
              <w:jc w:val="center"/>
            </w:pPr>
            <w:r>
              <w:t>-</w:t>
            </w:r>
          </w:p>
        </w:tc>
        <w:tc>
          <w:tcPr>
            <w:tcW w:w="1742" w:type="dxa"/>
          </w:tcPr>
          <w:p w14:paraId="60174967" w14:textId="1660C0F4" w:rsidR="001775CA" w:rsidRDefault="00EC5334" w:rsidP="00646C05">
            <w:pPr>
              <w:pStyle w:val="BodyText"/>
              <w:ind w:firstLine="0"/>
              <w:jc w:val="center"/>
            </w:pPr>
            <w:r>
              <w:t>0.12%</w:t>
            </w:r>
          </w:p>
        </w:tc>
      </w:tr>
      <w:tr w:rsidR="001775CA" w14:paraId="06AA6264" w14:textId="77777777" w:rsidTr="00F42090">
        <w:trPr>
          <w:jc w:val="center"/>
        </w:trPr>
        <w:tc>
          <w:tcPr>
            <w:tcW w:w="1741" w:type="dxa"/>
          </w:tcPr>
          <w:p w14:paraId="1C3AE965" w14:textId="31B1B3E7" w:rsidR="001775CA" w:rsidRDefault="001775CA" w:rsidP="00646C05">
            <w:pPr>
              <w:pStyle w:val="BodyText"/>
              <w:ind w:firstLine="0"/>
              <w:jc w:val="left"/>
            </w:pPr>
            <w:r>
              <w:t>Ac</w:t>
            </w:r>
          </w:p>
        </w:tc>
        <w:tc>
          <w:tcPr>
            <w:tcW w:w="1741" w:type="dxa"/>
          </w:tcPr>
          <w:p w14:paraId="1B1879F9" w14:textId="218125B4" w:rsidR="001775CA" w:rsidRDefault="001775CA" w:rsidP="00646C05">
            <w:pPr>
              <w:pStyle w:val="BodyText"/>
              <w:ind w:firstLine="0"/>
              <w:jc w:val="center"/>
            </w:pPr>
            <w:r>
              <w:t>-</w:t>
            </w:r>
          </w:p>
        </w:tc>
        <w:tc>
          <w:tcPr>
            <w:tcW w:w="1742" w:type="dxa"/>
          </w:tcPr>
          <w:p w14:paraId="150BF45D" w14:textId="7F0F06F7" w:rsidR="001775CA" w:rsidRDefault="00EC5334" w:rsidP="00646C05">
            <w:pPr>
              <w:pStyle w:val="BodyText"/>
              <w:ind w:firstLine="0"/>
              <w:jc w:val="center"/>
            </w:pPr>
            <w:r>
              <w:t>0.10%</w:t>
            </w:r>
          </w:p>
        </w:tc>
      </w:tr>
      <w:tr w:rsidR="004C384F" w:rsidRPr="00EC5334" w14:paraId="08483956" w14:textId="77777777" w:rsidTr="00F42090">
        <w:trPr>
          <w:jc w:val="center"/>
        </w:trPr>
        <w:tc>
          <w:tcPr>
            <w:tcW w:w="1741" w:type="dxa"/>
          </w:tcPr>
          <w:p w14:paraId="30BC0255" w14:textId="3BE8F436" w:rsidR="004C384F" w:rsidRPr="00EC5334" w:rsidRDefault="00243648" w:rsidP="00646C05">
            <w:pPr>
              <w:pStyle w:val="BodyText"/>
              <w:ind w:firstLine="0"/>
              <w:jc w:val="left"/>
              <w:rPr>
                <w:b/>
                <w:bCs/>
              </w:rPr>
            </w:pPr>
            <w:r w:rsidRPr="00EC5334">
              <w:rPr>
                <w:b/>
                <w:bCs/>
              </w:rPr>
              <w:t>Total</w:t>
            </w:r>
          </w:p>
        </w:tc>
        <w:tc>
          <w:tcPr>
            <w:tcW w:w="1741" w:type="dxa"/>
          </w:tcPr>
          <w:p w14:paraId="37B25477" w14:textId="2AE5D3B5" w:rsidR="004C384F" w:rsidRPr="00EC5334" w:rsidRDefault="00243648" w:rsidP="00646C05">
            <w:pPr>
              <w:pStyle w:val="BodyText"/>
              <w:ind w:firstLine="0"/>
              <w:jc w:val="center"/>
              <w:rPr>
                <w:b/>
                <w:bCs/>
              </w:rPr>
            </w:pPr>
            <w:r w:rsidRPr="00EC5334">
              <w:rPr>
                <w:b/>
                <w:bCs/>
              </w:rPr>
              <w:t>99.98%</w:t>
            </w:r>
          </w:p>
        </w:tc>
        <w:tc>
          <w:tcPr>
            <w:tcW w:w="1742" w:type="dxa"/>
          </w:tcPr>
          <w:p w14:paraId="4F5F2E0C" w14:textId="5B57186A" w:rsidR="004C384F" w:rsidRPr="00EC5334" w:rsidRDefault="00EC5334" w:rsidP="00646C05">
            <w:pPr>
              <w:pStyle w:val="BodyText"/>
              <w:ind w:firstLine="0"/>
              <w:jc w:val="center"/>
              <w:rPr>
                <w:b/>
                <w:bCs/>
              </w:rPr>
            </w:pPr>
            <w:r w:rsidRPr="00EC5334">
              <w:rPr>
                <w:b/>
                <w:bCs/>
              </w:rPr>
              <w:t>99.99%</w:t>
            </w:r>
          </w:p>
        </w:tc>
      </w:tr>
    </w:tbl>
    <w:p w14:paraId="6EC46BE4" w14:textId="7073F4DE" w:rsidR="00A1727F" w:rsidRDefault="00A1727F" w:rsidP="00A1727F">
      <w:pPr>
        <w:pStyle w:val="BodyText"/>
        <w:spacing w:before="240" w:after="240"/>
        <w:ind w:left="567" w:hanging="567"/>
        <w:contextualSpacing w:val="0"/>
        <w:rPr>
          <w:b/>
          <w:bCs/>
        </w:rPr>
      </w:pPr>
      <w:r>
        <w:rPr>
          <w:b/>
          <w:bCs/>
        </w:rPr>
        <w:t>2.3.</w:t>
      </w:r>
      <w:r>
        <w:rPr>
          <w:b/>
          <w:bCs/>
        </w:rPr>
        <w:tab/>
        <w:t>Compressive strength testing</w:t>
      </w:r>
    </w:p>
    <w:p w14:paraId="72317BC7" w14:textId="3EDE9AD2" w:rsidR="005F60B4" w:rsidRDefault="00A71E34" w:rsidP="0039112C">
      <w:pPr>
        <w:pStyle w:val="BodyText"/>
        <w:spacing w:before="240" w:after="240"/>
        <w:contextualSpacing w:val="0"/>
        <w:rPr>
          <w:rFonts w:cstheme="minorBidi"/>
          <w:szCs w:val="25"/>
          <w:lang w:bidi="th-TH"/>
        </w:rPr>
      </w:pPr>
      <w:r>
        <w:rPr>
          <w:rFonts w:cstheme="minorBidi"/>
          <w:szCs w:val="25"/>
          <w:lang w:bidi="th-TH"/>
        </w:rPr>
        <w:t>The compressive strength</w:t>
      </w:r>
      <w:r w:rsidR="00854CA7">
        <w:rPr>
          <w:rFonts w:cstheme="minorBidi"/>
          <w:szCs w:val="25"/>
          <w:lang w:bidi="th-TH"/>
        </w:rPr>
        <w:t xml:space="preserve"> at 14 and 28 days</w:t>
      </w:r>
      <w:r>
        <w:rPr>
          <w:rFonts w:cstheme="minorBidi"/>
          <w:szCs w:val="25"/>
          <w:lang w:bidi="th-TH"/>
        </w:rPr>
        <w:t xml:space="preserve"> of all samples was measured using</w:t>
      </w:r>
      <w:r w:rsidR="00123064">
        <w:rPr>
          <w:rFonts w:cstheme="minorBidi"/>
          <w:szCs w:val="25"/>
          <w:lang w:bidi="th-TH"/>
        </w:rPr>
        <w:t xml:space="preserve"> </w:t>
      </w:r>
      <w:r w:rsidR="003F6394" w:rsidRPr="000A334A">
        <w:rPr>
          <w:rFonts w:cstheme="minorBidi"/>
          <w:szCs w:val="25"/>
          <w:lang w:bidi="th-TH"/>
        </w:rPr>
        <w:t>the</w:t>
      </w:r>
      <w:r w:rsidR="00123064" w:rsidRPr="000A334A">
        <w:rPr>
          <w:rFonts w:cstheme="minorBidi"/>
          <w:szCs w:val="25"/>
          <w:lang w:bidi="th-TH"/>
        </w:rPr>
        <w:t xml:space="preserve"> </w:t>
      </w:r>
      <w:r w:rsidR="00C83CF1" w:rsidRPr="000A334A">
        <w:rPr>
          <w:rFonts w:cstheme="minorBidi"/>
          <w:szCs w:val="25"/>
          <w:lang w:bidi="th-TH"/>
        </w:rPr>
        <w:t>Chun Yen</w:t>
      </w:r>
      <w:r w:rsidR="00123064" w:rsidRPr="000A334A">
        <w:rPr>
          <w:rFonts w:cstheme="minorBidi"/>
          <w:szCs w:val="25"/>
          <w:lang w:bidi="th-TH"/>
        </w:rPr>
        <w:t xml:space="preserve"> </w:t>
      </w:r>
      <w:r w:rsidR="003F6394" w:rsidRPr="000A334A">
        <w:rPr>
          <w:rFonts w:cstheme="minorBidi"/>
          <w:szCs w:val="25"/>
          <w:lang w:bidi="th-TH"/>
        </w:rPr>
        <w:t xml:space="preserve">testing </w:t>
      </w:r>
      <w:r w:rsidR="00123064" w:rsidRPr="000A334A">
        <w:rPr>
          <w:rFonts w:cstheme="minorBidi"/>
          <w:szCs w:val="25"/>
          <w:lang w:bidi="th-TH"/>
        </w:rPr>
        <w:t xml:space="preserve">machine, </w:t>
      </w:r>
      <w:r w:rsidR="00440244">
        <w:rPr>
          <w:rFonts w:cstheme="minorBidi"/>
          <w:szCs w:val="25"/>
          <w:lang w:bidi="th-TH"/>
        </w:rPr>
        <w:t>Taiwan</w:t>
      </w:r>
      <w:r w:rsidR="00123064" w:rsidRPr="000A334A">
        <w:rPr>
          <w:rFonts w:cstheme="minorBidi"/>
          <w:szCs w:val="25"/>
          <w:lang w:bidi="th-TH"/>
        </w:rPr>
        <w:t>.</w:t>
      </w:r>
      <w:r w:rsidR="00123064">
        <w:rPr>
          <w:rFonts w:cstheme="minorBidi"/>
          <w:szCs w:val="25"/>
          <w:lang w:bidi="th-TH"/>
        </w:rPr>
        <w:t xml:space="preserve"> </w:t>
      </w:r>
      <w:r w:rsidR="00611F4B">
        <w:rPr>
          <w:rFonts w:cstheme="minorBidi"/>
          <w:szCs w:val="25"/>
          <w:lang w:bidi="th-TH"/>
        </w:rPr>
        <w:t xml:space="preserve">All samples were produced as cylindrical specimens with the dimension of 10 cm (height) and 5 cm (diameter). </w:t>
      </w:r>
      <w:r w:rsidR="00123064">
        <w:rPr>
          <w:rFonts w:cstheme="minorBidi"/>
          <w:szCs w:val="25"/>
          <w:lang w:bidi="th-TH"/>
        </w:rPr>
        <w:t xml:space="preserve">Three pieces of each condition were </w:t>
      </w:r>
      <w:r w:rsidR="005F60B4" w:rsidRPr="00854CA7">
        <w:rPr>
          <w:rFonts w:cstheme="minorBidi"/>
          <w:szCs w:val="25"/>
          <w:lang w:bidi="th-TH"/>
        </w:rPr>
        <w:t>measure</w:t>
      </w:r>
      <w:r w:rsidR="005F60B4">
        <w:rPr>
          <w:rFonts w:cstheme="minorBidi"/>
          <w:szCs w:val="25"/>
          <w:lang w:bidi="th-TH"/>
        </w:rPr>
        <w:t>d</w:t>
      </w:r>
      <w:r w:rsidR="005F60B4" w:rsidRPr="00854CA7">
        <w:rPr>
          <w:rFonts w:cstheme="minorBidi"/>
          <w:szCs w:val="25"/>
          <w:lang w:bidi="th-TH"/>
        </w:rPr>
        <w:t xml:space="preserve"> the compressive strength </w:t>
      </w:r>
      <w:r w:rsidR="00123064" w:rsidRPr="00854CA7">
        <w:rPr>
          <w:rFonts w:cstheme="minorBidi"/>
          <w:szCs w:val="25"/>
          <w:lang w:bidi="th-TH"/>
        </w:rPr>
        <w:t>for breaking under the hydraulic press</w:t>
      </w:r>
      <w:r w:rsidR="00123064">
        <w:rPr>
          <w:rFonts w:cstheme="minorBidi"/>
          <w:szCs w:val="25"/>
          <w:lang w:bidi="th-TH"/>
        </w:rPr>
        <w:t>.</w:t>
      </w:r>
      <w:r w:rsidR="005F60B4">
        <w:rPr>
          <w:rFonts w:cstheme="minorBidi"/>
          <w:szCs w:val="25"/>
          <w:lang w:bidi="th-TH"/>
        </w:rPr>
        <w:t xml:space="preserve"> The compressive strength of all samples can be calculated from Equation 1</w:t>
      </w:r>
      <w:r w:rsidR="00F17B69">
        <w:rPr>
          <w:rFonts w:cstheme="minorBidi"/>
          <w:szCs w:val="25"/>
          <w:lang w:bidi="th-TH"/>
        </w:rPr>
        <w:t xml:space="preserve"> </w:t>
      </w:r>
      <w:r w:rsidR="00F17B69">
        <w:rPr>
          <w:rFonts w:cstheme="minorBidi"/>
          <w:szCs w:val="25"/>
          <w:lang w:bidi="th-TH"/>
        </w:rPr>
        <w:fldChar w:fldCharType="begin" w:fldLock="1"/>
      </w:r>
      <w:r w:rsidR="00276062">
        <w:rPr>
          <w:rFonts w:cstheme="minorBidi"/>
          <w:szCs w:val="25"/>
          <w:lang w:bidi="th-TH"/>
        </w:rPr>
        <w:instrText>ADDIN CSL_CITATION {"citationItems":[{"id":"ITEM-1","itemData":{"DOI":"10.1016/j.matpr.2017.06.095","ISBN":"6653943445","ISSN":"22147853","abstract":"This paper reports the effect of carbon nanotubes on compressive strength and flexural strength of Portland cement- silica fume-carbon nanotubes cement mortars. Silica fume, by-product from silicon metal and ferro-silicon alloys industries was used as a cement replacement material at 10 % by weight. Carbon nanotubes, produced by CVD method was used as an additional material up to 1 % by weight. Water to binder ratio (w/b) of 0.5 was used for all mortar mixes. Samples were cured in water until being tested at the age of 28 days. The results show that the mortar with silica fume has higher compressive strength and flexural strength than Portland cement control and when used in combination with carbon nanotubes a further increase in compressive strength and flexural strength were observed with the optimum strengths obtained at 0.5% CNTs.","author":[{"dropping-particle":"","family":"Chaipanich","given":"Arnon","non-dropping-particle":"","parse-names":false,"suffix":""},{"dropping-particle":"","family":"Rianyoi","given":"Rattiyakorn","non-dropping-particle":"","parse-names":false,"suffix":""},{"dropping-particle":"","family":"Nochaiya","given":"Thanongsak","non-dropping-particle":"","parse-names":false,"suffix":""}],"container-title":"Materials Today: Proceedings","id":"ITEM-1","issue":"5","issued":{"date-parts":[["2017"]]},"page":"6065-6071","publisher":"Elsevier Ltd","title":"The effect of carbon nanotubes and silica fume on compressive strength and flexural strength of cement mortars","type":"article-journal","volume":"4"},"uris":["http://www.mendeley.com/documents/?uuid=fff70c23-7511-4ae5-ab03-dcbb5a44bb5d"]}],"mendeley":{"formattedCitation":"[5]","plainTextFormattedCitation":"[5]","previouslyFormattedCitation":"[5]"},"properties":{"noteIndex":0},"schema":"https://github.com/citation-style-language/schema/raw/master/csl-citation.json"}</w:instrText>
      </w:r>
      <w:r w:rsidR="00F17B69">
        <w:rPr>
          <w:rFonts w:cstheme="minorBidi"/>
          <w:szCs w:val="25"/>
          <w:lang w:bidi="th-TH"/>
        </w:rPr>
        <w:fldChar w:fldCharType="separate"/>
      </w:r>
      <w:r w:rsidR="00276062" w:rsidRPr="00276062">
        <w:rPr>
          <w:rFonts w:cstheme="minorBidi"/>
          <w:noProof/>
          <w:szCs w:val="25"/>
          <w:lang w:bidi="th-TH"/>
        </w:rPr>
        <w:t>[5]</w:t>
      </w:r>
      <w:r w:rsidR="00F17B69">
        <w:rPr>
          <w:rFonts w:cstheme="minorBidi"/>
          <w:szCs w:val="25"/>
          <w:lang w:bidi="th-TH"/>
        </w:rPr>
        <w:fldChar w:fldCharType="end"/>
      </w:r>
      <w:r w:rsidR="005F60B4">
        <w:rPr>
          <w:rFonts w:cstheme="minorBidi"/>
          <w:szCs w:val="25"/>
          <w:lang w:bidi="th-TH"/>
        </w:rPr>
        <w:t>.</w:t>
      </w:r>
    </w:p>
    <w:p w14:paraId="775028B1" w14:textId="2DE9D887" w:rsidR="00854CA7" w:rsidRDefault="00123064" w:rsidP="0039112C">
      <w:pPr>
        <w:pStyle w:val="BodyText"/>
        <w:spacing w:before="240" w:after="240"/>
        <w:contextualSpacing w:val="0"/>
      </w:pPr>
      <w:r>
        <w:rPr>
          <w:rFonts w:cstheme="minorBidi"/>
          <w:szCs w:val="25"/>
          <w:lang w:bidi="th-TH"/>
        </w:rPr>
        <w:t xml:space="preserve"> </w:t>
      </w:r>
      <w:r w:rsidR="008960DE" w:rsidRPr="00863FF1">
        <w:rPr>
          <w:position w:val="-24"/>
        </w:rPr>
        <w:object w:dxaOrig="700" w:dyaOrig="620" w14:anchorId="3E0FC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ole="">
            <v:imagedata r:id="rId12" o:title=""/>
          </v:shape>
          <o:OLEObject Type="Embed" ProgID="Equation.DSMT4" ShapeID="_x0000_i1025" DrawAspect="Content" ObjectID="_1687605465" r:id="rId13"/>
        </w:object>
      </w:r>
      <w:r w:rsidR="00525D94">
        <w:tab/>
        <w:t>(</w:t>
      </w:r>
      <w:r w:rsidR="00611F4B">
        <w:t xml:space="preserve">Eq. </w:t>
      </w:r>
      <w:r w:rsidR="00525D94">
        <w:t>1)</w:t>
      </w:r>
    </w:p>
    <w:p w14:paraId="77785B96" w14:textId="0362111D" w:rsidR="00525D94" w:rsidRDefault="00525D94" w:rsidP="0039112C">
      <w:pPr>
        <w:pStyle w:val="BodyText"/>
        <w:spacing w:before="240" w:after="240"/>
        <w:contextualSpacing w:val="0"/>
      </w:pPr>
      <w:r>
        <w:t>Where:</w:t>
      </w:r>
      <w:r>
        <w:tab/>
      </w:r>
      <w:r w:rsidR="008960DE" w:rsidRPr="008960DE">
        <w:rPr>
          <w:position w:val="-4"/>
        </w:rPr>
        <w:object w:dxaOrig="260" w:dyaOrig="260" w14:anchorId="6B144AE8">
          <v:shape id="_x0000_i1026" type="#_x0000_t75" style="width:12pt;height:12pt" o:ole="">
            <v:imagedata r:id="rId14" o:title=""/>
          </v:shape>
          <o:OLEObject Type="Embed" ProgID="Equation.DSMT4" ShapeID="_x0000_i1026" DrawAspect="Content" ObjectID="_1687605466" r:id="rId15"/>
        </w:object>
      </w:r>
      <w:r w:rsidR="00F17B69">
        <w:t xml:space="preserve"> </w:t>
      </w:r>
      <w:r>
        <w:t>is Compressive strength (Kg/cm</w:t>
      </w:r>
      <w:r w:rsidRPr="00525D94">
        <w:rPr>
          <w:vertAlign w:val="superscript"/>
        </w:rPr>
        <w:t>2</w:t>
      </w:r>
      <w:r>
        <w:t>)</w:t>
      </w:r>
    </w:p>
    <w:p w14:paraId="6530AB3A" w14:textId="3F00B7CD" w:rsidR="00525D94" w:rsidRDefault="00525D94" w:rsidP="0039112C">
      <w:pPr>
        <w:pStyle w:val="BodyText"/>
        <w:spacing w:before="240" w:after="240"/>
        <w:contextualSpacing w:val="0"/>
      </w:pPr>
      <w:r>
        <w:tab/>
      </w:r>
      <w:r>
        <w:tab/>
      </w:r>
      <w:r w:rsidRPr="00863FF1">
        <w:rPr>
          <w:position w:val="-4"/>
        </w:rPr>
        <w:object w:dxaOrig="240" w:dyaOrig="260" w14:anchorId="65EDE40A">
          <v:shape id="_x0000_i1027" type="#_x0000_t75" style="width:12pt;height:12pt" o:ole="">
            <v:imagedata r:id="rId16" o:title=""/>
          </v:shape>
          <o:OLEObject Type="Embed" ProgID="Equation.DSMT4" ShapeID="_x0000_i1027" DrawAspect="Content" ObjectID="_1687605467" r:id="rId17"/>
        </w:object>
      </w:r>
      <w:r w:rsidR="00F17B69">
        <w:t xml:space="preserve"> </w:t>
      </w:r>
      <w:r>
        <w:t>is Total maximum load (Kg)</w:t>
      </w:r>
    </w:p>
    <w:p w14:paraId="4476B6F3" w14:textId="219A7ED7" w:rsidR="00525D94" w:rsidRDefault="00525D94" w:rsidP="0039112C">
      <w:pPr>
        <w:pStyle w:val="BodyText"/>
        <w:spacing w:before="240" w:after="240"/>
        <w:contextualSpacing w:val="0"/>
        <w:rPr>
          <w:rFonts w:cstheme="minorBidi"/>
          <w:szCs w:val="25"/>
          <w:lang w:bidi="th-TH"/>
        </w:rPr>
      </w:pPr>
      <w:r>
        <w:tab/>
      </w:r>
      <w:r>
        <w:tab/>
      </w:r>
      <w:r w:rsidRPr="00863FF1">
        <w:rPr>
          <w:position w:val="-4"/>
        </w:rPr>
        <w:object w:dxaOrig="240" w:dyaOrig="260" w14:anchorId="3EAC69BE">
          <v:shape id="_x0000_i1028" type="#_x0000_t75" style="width:12pt;height:12pt" o:ole="">
            <v:imagedata r:id="rId18" o:title=""/>
          </v:shape>
          <o:OLEObject Type="Embed" ProgID="Equation.DSMT4" ShapeID="_x0000_i1028" DrawAspect="Content" ObjectID="_1687605468" r:id="rId19"/>
        </w:object>
      </w:r>
      <w:r w:rsidR="00F17B69">
        <w:t xml:space="preserve"> </w:t>
      </w:r>
      <w:r>
        <w:t>is Area of load surface (cm</w:t>
      </w:r>
      <w:r w:rsidRPr="00525D94">
        <w:rPr>
          <w:vertAlign w:val="superscript"/>
        </w:rPr>
        <w:t>2</w:t>
      </w:r>
      <w:r>
        <w:t>)</w:t>
      </w:r>
    </w:p>
    <w:p w14:paraId="433FE053" w14:textId="6E7C9025" w:rsidR="00EE0041" w:rsidRDefault="0027162F" w:rsidP="0026525A">
      <w:pPr>
        <w:pStyle w:val="Heading2"/>
        <w:numPr>
          <w:ilvl w:val="1"/>
          <w:numId w:val="10"/>
        </w:numPr>
      </w:pPr>
      <w:r>
        <w:t>RESULTS AND DISCUSSION</w:t>
      </w:r>
    </w:p>
    <w:p w14:paraId="433FE055" w14:textId="2AACC9FA" w:rsidR="008B6BB9" w:rsidRDefault="00A71E34" w:rsidP="00537496">
      <w:pPr>
        <w:pStyle w:val="Heading3"/>
      </w:pPr>
      <w:r>
        <w:t xml:space="preserve">Physical </w:t>
      </w:r>
      <w:r w:rsidR="003B2DCF">
        <w:t>appearance</w:t>
      </w:r>
    </w:p>
    <w:p w14:paraId="31F7AE2C" w14:textId="6507034E" w:rsidR="009613F7" w:rsidRDefault="009E5B5E" w:rsidP="00AD177B">
      <w:pPr>
        <w:pStyle w:val="BodyText"/>
      </w:pPr>
      <w:r w:rsidRPr="003B2DCF">
        <w:t>All samples were prepared using PC replacement EAFS of 0%, 15%, 25%, 35%, and 50% by weight. The water to binder ratio was used to be 0.40.</w:t>
      </w:r>
      <w:r w:rsidR="003B2DCF" w:rsidRPr="003B2DCF">
        <w:t xml:space="preserve"> </w:t>
      </w:r>
      <w:r w:rsidR="003B2DCF">
        <w:t xml:space="preserve">Grey PC was mixed together with brown EAFS. </w:t>
      </w:r>
      <w:r w:rsidR="00097639">
        <w:t xml:space="preserve">All PC mixed EAFS samples present </w:t>
      </w:r>
      <w:r w:rsidR="00097639">
        <w:rPr>
          <w:rFonts w:cs="Angsana New"/>
          <w:szCs w:val="25"/>
          <w:lang w:val="en-US" w:bidi="th-TH"/>
        </w:rPr>
        <w:t xml:space="preserve">cylindrical in </w:t>
      </w:r>
      <w:r w:rsidR="00097639">
        <w:t xml:space="preserve">brown colour while the PC specimen shows grey colour, as shown in Fig. 1. The </w:t>
      </w:r>
      <w:r w:rsidR="00097639" w:rsidRPr="003B2DCF">
        <w:t>15%</w:t>
      </w:r>
      <w:r w:rsidR="00097639">
        <w:t>EAFS and</w:t>
      </w:r>
      <w:r w:rsidR="00097639" w:rsidRPr="003B2DCF">
        <w:t xml:space="preserve"> 25%</w:t>
      </w:r>
      <w:r w:rsidR="00097639">
        <w:t>EAFS</w:t>
      </w:r>
      <w:r w:rsidR="003B2DCF" w:rsidRPr="003B2DCF">
        <w:t xml:space="preserve"> </w:t>
      </w:r>
      <w:r w:rsidR="003B2DCF">
        <w:t>samples</w:t>
      </w:r>
      <w:r w:rsidR="003B2DCF" w:rsidRPr="003B2DCF">
        <w:t xml:space="preserve"> show the </w:t>
      </w:r>
      <w:r w:rsidR="002831FF">
        <w:t>smooth</w:t>
      </w:r>
      <w:r w:rsidR="003B2DCF" w:rsidRPr="003B2DCF">
        <w:t xml:space="preserve"> surface with </w:t>
      </w:r>
      <w:r w:rsidR="00097639">
        <w:t>same</w:t>
      </w:r>
      <w:r w:rsidR="003B2DCF" w:rsidRPr="003B2DCF">
        <w:t xml:space="preserve"> colour. </w:t>
      </w:r>
      <w:r w:rsidR="00097639">
        <w:t xml:space="preserve">The </w:t>
      </w:r>
      <w:r w:rsidR="00097639">
        <w:t>35</w:t>
      </w:r>
      <w:r w:rsidR="00097639" w:rsidRPr="003B2DCF">
        <w:t>%</w:t>
      </w:r>
      <w:r w:rsidR="00097639">
        <w:t>EAFS and</w:t>
      </w:r>
      <w:r w:rsidR="00097639" w:rsidRPr="003B2DCF">
        <w:t xml:space="preserve"> </w:t>
      </w:r>
      <w:r w:rsidR="00097639">
        <w:t>50</w:t>
      </w:r>
      <w:r w:rsidR="00097639" w:rsidRPr="003B2DCF">
        <w:t>%</w:t>
      </w:r>
      <w:r w:rsidR="00097639">
        <w:t>EAFS</w:t>
      </w:r>
      <w:r w:rsidR="00097639" w:rsidRPr="003B2DCF">
        <w:t xml:space="preserve"> </w:t>
      </w:r>
      <w:r w:rsidR="00097639">
        <w:t>samples</w:t>
      </w:r>
      <w:r w:rsidR="00097639" w:rsidRPr="003B2DCF">
        <w:t xml:space="preserve"> show the </w:t>
      </w:r>
      <w:r w:rsidR="00097639">
        <w:t>rough</w:t>
      </w:r>
      <w:r w:rsidR="00097639" w:rsidRPr="003B2DCF">
        <w:t xml:space="preserve"> surface with </w:t>
      </w:r>
      <w:r w:rsidR="00097639">
        <w:t>some</w:t>
      </w:r>
      <w:r w:rsidR="00097639" w:rsidRPr="003B2DCF">
        <w:t xml:space="preserve"> </w:t>
      </w:r>
      <w:r w:rsidR="00097639">
        <w:t>pores</w:t>
      </w:r>
      <w:r w:rsidR="00097639" w:rsidRPr="003B2DCF">
        <w:t>.</w:t>
      </w:r>
      <w:r w:rsidR="003B2DCF" w:rsidRPr="003B2DCF">
        <w:t xml:space="preserve"> The average weight of all samples was found to be </w:t>
      </w:r>
      <w:r w:rsidR="007F73D7">
        <w:t>370.34</w:t>
      </w:r>
      <w:r w:rsidR="003B2DCF" w:rsidRPr="003B2DCF">
        <w:t xml:space="preserve"> g.</w:t>
      </w:r>
    </w:p>
    <w:p w14:paraId="38A04CFC" w14:textId="77777777" w:rsidR="009613F7" w:rsidRDefault="009613F7" w:rsidP="00AD177B">
      <w:pPr>
        <w:pStyle w:val="BodyText"/>
      </w:pPr>
    </w:p>
    <w:p w14:paraId="28BB79B2" w14:textId="026C5ADA" w:rsidR="00AD177B" w:rsidRDefault="002D56A8" w:rsidP="009613F7">
      <w:pPr>
        <w:pStyle w:val="BodyText"/>
        <w:ind w:firstLine="0"/>
        <w:jc w:val="center"/>
        <w:rPr>
          <w:b/>
          <w:bCs/>
        </w:rPr>
      </w:pPr>
      <w:r>
        <w:rPr>
          <w:b/>
          <w:bCs/>
          <w:noProof/>
        </w:rPr>
        <w:drawing>
          <wp:inline distT="0" distB="0" distL="0" distR="0" wp14:anchorId="38A75546" wp14:editId="7C7AA4CB">
            <wp:extent cx="1080000" cy="119304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000" cy="1193044"/>
                    </a:xfrm>
                    <a:prstGeom prst="rect">
                      <a:avLst/>
                    </a:prstGeom>
                  </pic:spPr>
                </pic:pic>
              </a:graphicData>
            </a:graphic>
          </wp:inline>
        </w:drawing>
      </w:r>
      <w:r>
        <w:rPr>
          <w:b/>
          <w:bCs/>
          <w:noProof/>
        </w:rPr>
        <w:drawing>
          <wp:inline distT="0" distB="0" distL="0" distR="0" wp14:anchorId="3ABC94CC" wp14:editId="09899FB8">
            <wp:extent cx="1080000" cy="1193043"/>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0000" cy="1193043"/>
                    </a:xfrm>
                    <a:prstGeom prst="rect">
                      <a:avLst/>
                    </a:prstGeom>
                  </pic:spPr>
                </pic:pic>
              </a:graphicData>
            </a:graphic>
          </wp:inline>
        </w:drawing>
      </w:r>
      <w:r>
        <w:rPr>
          <w:b/>
          <w:bCs/>
          <w:noProof/>
        </w:rPr>
        <w:drawing>
          <wp:inline distT="0" distB="0" distL="0" distR="0" wp14:anchorId="7266D071" wp14:editId="739A1228">
            <wp:extent cx="1080000" cy="1193043"/>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0000" cy="1193043"/>
                    </a:xfrm>
                    <a:prstGeom prst="rect">
                      <a:avLst/>
                    </a:prstGeom>
                  </pic:spPr>
                </pic:pic>
              </a:graphicData>
            </a:graphic>
          </wp:inline>
        </w:drawing>
      </w:r>
      <w:r>
        <w:rPr>
          <w:b/>
          <w:bCs/>
          <w:noProof/>
        </w:rPr>
        <w:drawing>
          <wp:inline distT="0" distB="0" distL="0" distR="0" wp14:anchorId="2CCEA003" wp14:editId="481970C9">
            <wp:extent cx="1080000" cy="120077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0000" cy="1200778"/>
                    </a:xfrm>
                    <a:prstGeom prst="rect">
                      <a:avLst/>
                    </a:prstGeom>
                  </pic:spPr>
                </pic:pic>
              </a:graphicData>
            </a:graphic>
          </wp:inline>
        </w:drawing>
      </w:r>
      <w:r>
        <w:rPr>
          <w:b/>
          <w:bCs/>
          <w:noProof/>
        </w:rPr>
        <w:drawing>
          <wp:inline distT="0" distB="0" distL="0" distR="0" wp14:anchorId="11E61A0A" wp14:editId="3EC656DA">
            <wp:extent cx="1080000" cy="11911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0000" cy="1191125"/>
                    </a:xfrm>
                    <a:prstGeom prst="rect">
                      <a:avLst/>
                    </a:prstGeom>
                  </pic:spPr>
                </pic:pic>
              </a:graphicData>
            </a:graphic>
          </wp:inline>
        </w:drawing>
      </w:r>
    </w:p>
    <w:p w14:paraId="074E5D95" w14:textId="77777777" w:rsidR="009613F7" w:rsidRDefault="009613F7" w:rsidP="009613F7">
      <w:pPr>
        <w:pStyle w:val="Caption"/>
        <w:jc w:val="center"/>
        <w:rPr>
          <w:i/>
        </w:rPr>
      </w:pPr>
    </w:p>
    <w:p w14:paraId="17C8A298" w14:textId="0C3797CB" w:rsidR="009613F7" w:rsidRPr="00802381" w:rsidRDefault="009613F7" w:rsidP="009613F7">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xml:space="preserve">. The physical </w:t>
      </w:r>
      <w:r w:rsidR="00C34C15">
        <w:rPr>
          <w:i/>
        </w:rPr>
        <w:t>appearance of (a) 0%EAFS, (b) 15%EAFS, (c) 25%EAFS, (d) 35%EAFS and (e) 50%EAFS</w:t>
      </w:r>
      <w:r>
        <w:rPr>
          <w:i/>
        </w:rPr>
        <w:t>.</w:t>
      </w:r>
    </w:p>
    <w:p w14:paraId="7B12B882" w14:textId="2FAF8F4E" w:rsidR="00A71E34" w:rsidRDefault="00A71E34" w:rsidP="00A71E34">
      <w:pPr>
        <w:pStyle w:val="BodyText"/>
        <w:spacing w:before="240" w:after="240"/>
        <w:ind w:left="567" w:hanging="567"/>
        <w:contextualSpacing w:val="0"/>
        <w:rPr>
          <w:b/>
          <w:bCs/>
        </w:rPr>
      </w:pPr>
      <w:r w:rsidRPr="00A71E34">
        <w:rPr>
          <w:b/>
          <w:bCs/>
        </w:rPr>
        <w:t>3.</w:t>
      </w:r>
      <w:r w:rsidR="003C1DDA">
        <w:rPr>
          <w:b/>
          <w:bCs/>
        </w:rPr>
        <w:t>2</w:t>
      </w:r>
      <w:r w:rsidRPr="00A71E34">
        <w:rPr>
          <w:b/>
          <w:bCs/>
        </w:rPr>
        <w:t>.</w:t>
      </w:r>
      <w:r w:rsidRPr="00A71E34">
        <w:rPr>
          <w:b/>
          <w:bCs/>
        </w:rPr>
        <w:tab/>
        <w:t>Compressive strength</w:t>
      </w:r>
    </w:p>
    <w:p w14:paraId="128B5FEA" w14:textId="56E463C4" w:rsidR="003963B3" w:rsidRDefault="005E2B40" w:rsidP="002831FF">
      <w:pPr>
        <w:pStyle w:val="BodyText"/>
        <w:spacing w:before="240" w:after="240"/>
        <w:contextualSpacing w:val="0"/>
      </w:pPr>
      <w:r>
        <w:t>The compressive strength of all samples (</w:t>
      </w:r>
      <w:r w:rsidRPr="003B2DCF">
        <w:t>PC replacement EAFS of 0%, 15%, 25%, 35%, and 50% by weight</w:t>
      </w:r>
      <w:r>
        <w:t>) is shown in Fig. 2</w:t>
      </w:r>
      <w:r w:rsidRPr="003B2DCF">
        <w:t>.</w:t>
      </w:r>
      <w:r>
        <w:t xml:space="preserve"> It can be observed that</w:t>
      </w:r>
      <w:r w:rsidR="00C83CF1">
        <w:t xml:space="preserve"> the 14 days curing of Portland cement</w:t>
      </w:r>
      <w:r w:rsidR="00C710C6">
        <w:t xml:space="preserve"> (0%EAFS)</w:t>
      </w:r>
      <w:r w:rsidR="00C83CF1">
        <w:t xml:space="preserve"> presents the highest compressive strength, comparing with </w:t>
      </w:r>
      <w:r w:rsidR="00C83CF1" w:rsidRPr="003B2DCF">
        <w:t>PC replacement EAFS</w:t>
      </w:r>
      <w:r w:rsidR="00C83CF1">
        <w:t xml:space="preserve"> samples.</w:t>
      </w:r>
      <w:r w:rsidR="00C710C6">
        <w:t xml:space="preserve"> All samples were calculated to be 111.28, 109.35, 107.58, 93.64 and 65.02</w:t>
      </w:r>
      <w:r w:rsidR="0095400E">
        <w:t xml:space="preserve"> Kg/cm</w:t>
      </w:r>
      <w:r w:rsidR="0095400E" w:rsidRPr="0095400E">
        <w:rPr>
          <w:vertAlign w:val="superscript"/>
        </w:rPr>
        <w:t>2</w:t>
      </w:r>
      <w:r w:rsidR="00C710C6">
        <w:t xml:space="preserve"> for </w:t>
      </w:r>
      <w:r w:rsidR="00C710C6" w:rsidRPr="003B2DCF">
        <w:t>0%</w:t>
      </w:r>
      <w:r w:rsidR="00C710C6">
        <w:t>EAFS</w:t>
      </w:r>
      <w:r w:rsidR="00C710C6" w:rsidRPr="003B2DCF">
        <w:t>, 15%</w:t>
      </w:r>
      <w:r w:rsidR="00C710C6">
        <w:t>EAFS</w:t>
      </w:r>
      <w:r w:rsidR="00C710C6" w:rsidRPr="003B2DCF">
        <w:t>, 25%</w:t>
      </w:r>
      <w:r w:rsidR="00C710C6">
        <w:t>EAFS</w:t>
      </w:r>
      <w:r w:rsidR="00C710C6" w:rsidRPr="003B2DCF">
        <w:t>, 35%</w:t>
      </w:r>
      <w:r w:rsidR="00C710C6">
        <w:t>EAFS</w:t>
      </w:r>
      <w:r w:rsidR="00C710C6" w:rsidRPr="003B2DCF">
        <w:t xml:space="preserve">, and </w:t>
      </w:r>
      <w:r w:rsidR="00C710C6" w:rsidRPr="003B2DCF">
        <w:lastRenderedPageBreak/>
        <w:t>50%</w:t>
      </w:r>
      <w:r w:rsidR="00C710C6">
        <w:t xml:space="preserve">EAFS, respectively. The compressive strength of </w:t>
      </w:r>
      <w:r w:rsidR="00C710C6" w:rsidRPr="003B2DCF">
        <w:t>PC replacement EAFS</w:t>
      </w:r>
      <w:r w:rsidR="00C710C6">
        <w:t xml:space="preserve"> decreased when increased the concentration of EAFS.</w:t>
      </w:r>
      <w:r w:rsidR="002362BC">
        <w:t xml:space="preserve"> </w:t>
      </w:r>
      <w:r w:rsidR="002362BC" w:rsidRPr="002362BC">
        <w:t xml:space="preserve">In the other words, increasing </w:t>
      </w:r>
      <w:r w:rsidR="002362BC">
        <w:t>EAFS</w:t>
      </w:r>
      <w:r w:rsidR="002362BC" w:rsidRPr="002362BC">
        <w:t xml:space="preserve"> addition caused decrease in </w:t>
      </w:r>
      <w:r w:rsidR="002362BC">
        <w:t>cement</w:t>
      </w:r>
      <w:r w:rsidR="002362BC" w:rsidRPr="002362BC">
        <w:t xml:space="preserve"> compressive strength.</w:t>
      </w:r>
      <w:r w:rsidR="00EC5334">
        <w:t xml:space="preserve"> However, the compressive strength of 28 days curing was measured to be </w:t>
      </w:r>
      <w:r w:rsidR="0095400E">
        <w:t xml:space="preserve">93.57, 105.52, 80.73, 111.90, and 102.88 </w:t>
      </w:r>
      <w:r w:rsidR="0095400E">
        <w:rPr>
          <w:rFonts w:cstheme="minorBidi"/>
          <w:szCs w:val="25"/>
          <w:lang w:val="en-US" w:bidi="th-TH"/>
        </w:rPr>
        <w:t>Kg/cm</w:t>
      </w:r>
      <w:r w:rsidR="0095400E" w:rsidRPr="0095400E">
        <w:rPr>
          <w:rFonts w:cstheme="minorBidi"/>
          <w:szCs w:val="25"/>
          <w:vertAlign w:val="superscript"/>
          <w:lang w:val="en-US" w:bidi="th-TH"/>
        </w:rPr>
        <w:t>2</w:t>
      </w:r>
      <w:r w:rsidR="0095400E">
        <w:rPr>
          <w:rFonts w:cstheme="minorBidi"/>
          <w:szCs w:val="25"/>
          <w:lang w:val="en-US" w:bidi="th-TH"/>
        </w:rPr>
        <w:t xml:space="preserve"> for </w:t>
      </w:r>
      <w:r w:rsidR="0095400E" w:rsidRPr="003B2DCF">
        <w:t>0%</w:t>
      </w:r>
      <w:r w:rsidR="0095400E">
        <w:t>EAFS</w:t>
      </w:r>
      <w:r w:rsidR="0095400E" w:rsidRPr="003B2DCF">
        <w:t>, 15%</w:t>
      </w:r>
      <w:r w:rsidR="0095400E">
        <w:t>EAFS</w:t>
      </w:r>
      <w:r w:rsidR="0095400E" w:rsidRPr="003B2DCF">
        <w:t>, 25%</w:t>
      </w:r>
      <w:r w:rsidR="0095400E">
        <w:t>EAFS</w:t>
      </w:r>
      <w:r w:rsidR="0095400E" w:rsidRPr="003B2DCF">
        <w:t>, 35%</w:t>
      </w:r>
      <w:r w:rsidR="0095400E">
        <w:t>EAFS</w:t>
      </w:r>
      <w:r w:rsidR="0095400E" w:rsidRPr="003B2DCF">
        <w:t>, and 50%</w:t>
      </w:r>
      <w:r w:rsidR="0095400E">
        <w:t xml:space="preserve">EAFS, respectively. It can be seen that </w:t>
      </w:r>
      <w:r w:rsidR="0095400E" w:rsidRPr="003B2DCF">
        <w:t>35%</w:t>
      </w:r>
      <w:r w:rsidR="0095400E">
        <w:t>EAFS</w:t>
      </w:r>
      <w:r w:rsidR="002362BC">
        <w:t xml:space="preserve"> and 50%EAFS</w:t>
      </w:r>
      <w:r w:rsidR="0095400E">
        <w:t xml:space="preserve"> exhibits higher compressive strength than </w:t>
      </w:r>
      <w:r w:rsidR="002362BC">
        <w:t>curing</w:t>
      </w:r>
      <w:r w:rsidR="00FC56BA">
        <w:t xml:space="preserve"> day of 14</w:t>
      </w:r>
      <w:r w:rsidR="0095400E">
        <w:t>.</w:t>
      </w:r>
      <w:r w:rsidR="002362BC">
        <w:t xml:space="preserve"> Nevertheless</w:t>
      </w:r>
      <w:r w:rsidR="00FC56BA">
        <w:t xml:space="preserve">, the compressive strength of </w:t>
      </w:r>
      <w:r w:rsidR="00FC56BA" w:rsidRPr="003B2DCF">
        <w:t>0%</w:t>
      </w:r>
      <w:r w:rsidR="00FC56BA">
        <w:t>EAFS</w:t>
      </w:r>
      <w:r w:rsidR="00FC56BA" w:rsidRPr="003B2DCF">
        <w:t>, 15%</w:t>
      </w:r>
      <w:r w:rsidR="00FC56BA">
        <w:t>EAFS</w:t>
      </w:r>
      <w:r w:rsidR="00FC56BA" w:rsidRPr="003B2DCF">
        <w:t xml:space="preserve">, </w:t>
      </w:r>
      <w:r w:rsidR="00FC56BA">
        <w:t xml:space="preserve">and </w:t>
      </w:r>
      <w:r w:rsidR="00FC56BA" w:rsidRPr="003B2DCF">
        <w:t>25%</w:t>
      </w:r>
      <w:r w:rsidR="00FC56BA">
        <w:t xml:space="preserve">EAFS decreased after increasing cured time. </w:t>
      </w:r>
      <w:r w:rsidR="00AA544E">
        <w:t xml:space="preserve">The </w:t>
      </w:r>
      <w:proofErr w:type="spellStart"/>
      <w:r w:rsidR="00AA544E">
        <w:t>CaO</w:t>
      </w:r>
      <w:proofErr w:type="spellEnd"/>
      <w:r w:rsidR="00AA544E">
        <w:t xml:space="preserve"> and SiO</w:t>
      </w:r>
      <w:r w:rsidR="00AA544E" w:rsidRPr="00AA544E">
        <w:rPr>
          <w:vertAlign w:val="subscript"/>
        </w:rPr>
        <w:t>2</w:t>
      </w:r>
      <w:r w:rsidR="00AA544E">
        <w:t xml:space="preserve"> compounds are the major compositions on the hydration reaction</w:t>
      </w:r>
      <w:r w:rsidR="00DB692A">
        <w:t xml:space="preserve"> (C-S-H formation)</w:t>
      </w:r>
      <w:r w:rsidR="00AA544E">
        <w:t xml:space="preserve"> due to high compressive strength</w:t>
      </w:r>
      <w:r w:rsidR="00DB692A">
        <w:t xml:space="preserve"> </w:t>
      </w:r>
      <w:r w:rsidR="00DB692A">
        <w:fldChar w:fldCharType="begin" w:fldLock="1"/>
      </w:r>
      <w:r w:rsidR="00276062">
        <w:instrText>ADDIN CSL_CITATION {"citationItems":[{"id":"ITEM-1","itemData":{"DOI":"10.1016/j.conbuildmat.2017.02.017","ISSN":"09500618","abstract":"This paper provides the results of the study on solidification/stabilization (S/S) of medical waste incineration bottom ash (MWBA). S/S is a process reducing heavy metals leachability of materials, and so as permitting disposal of them in a sanitary landfill. This process can be also described as a recycling facility because the usability of solidified matrix as a building material according to mechanical characteristics. In this study, S/S process was studied at different ratios of ash/cement mixture (0%, 5%, 10%, 15%, 20%, 25%, 30%, 40% and 50%) and two different curing times (7 days and 28 days). The results of the study showed that S/S method can able to prevent the heavy metals leachability of MWBA. The concrete compressive strength decreased with increasing MWBA ratio. The compressive strength was 38 MPa for 100% cement with 0% MWBA ratio. The compressive strength reduced to 11.3 MPa when 50% cement was mixed with 50% MWBA. The data obtained from experimental study was also evaluated statistically.","author":[{"dropping-particle":"","family":"Akyıldız","given":"Aylin","non-dropping-particle":"","parse-names":false,"suffix":""},{"dropping-particle":"","family":"Köse","given":"Esra Tınmaz","non-dropping-particle":"","parse-names":false,"suffix":""},{"dropping-particle":"","family":"Yıldız","given":"Aylin","non-dropping-particle":"","parse-names":false,"suffix":""}],"container-title":"Construction and Building Materials","id":"ITEM-1","issued":{"date-parts":[["2017"]]},"page":"326-332","title":"Compressive strength and heavy metal leaching of concrete containing medical waste incineration ash","type":"article-journal","volume":"138"},"uris":["http://www.mendeley.com/documents/?uuid=cf909a59-ae1e-476f-8e06-92c8a7e7a0da"]}],"mendeley":{"formattedCitation":"[6]","plainTextFormattedCitation":"[6]","previouslyFormattedCitation":"[6]"},"properties":{"noteIndex":0},"schema":"https://github.com/citation-style-language/schema/raw/master/csl-citation.json"}</w:instrText>
      </w:r>
      <w:r w:rsidR="00DB692A">
        <w:fldChar w:fldCharType="separate"/>
      </w:r>
      <w:r w:rsidR="00276062" w:rsidRPr="00276062">
        <w:rPr>
          <w:noProof/>
        </w:rPr>
        <w:t>[6]</w:t>
      </w:r>
      <w:r w:rsidR="00DB692A">
        <w:fldChar w:fldCharType="end"/>
      </w:r>
      <w:r w:rsidR="00DB692A">
        <w:t xml:space="preserve">. </w:t>
      </w:r>
      <w:r w:rsidR="00BA6F38">
        <w:t>In this study</w:t>
      </w:r>
      <w:r w:rsidR="00DB692A">
        <w:t xml:space="preserve">, increasing EAFS decreased the </w:t>
      </w:r>
      <w:r w:rsidR="007F1672">
        <w:t>compressive strength of 14 days curing</w:t>
      </w:r>
      <w:r w:rsidR="00BC0DCA">
        <w:t xml:space="preserve"> because of low concentration of </w:t>
      </w:r>
      <w:proofErr w:type="spellStart"/>
      <w:r w:rsidR="00BC0DCA">
        <w:t>CaO</w:t>
      </w:r>
      <w:proofErr w:type="spellEnd"/>
      <w:r w:rsidR="00BC0DCA">
        <w:t xml:space="preserve"> and SiO</w:t>
      </w:r>
      <w:r w:rsidR="00BC0DCA" w:rsidRPr="00AA544E">
        <w:rPr>
          <w:vertAlign w:val="subscript"/>
        </w:rPr>
        <w:t>2</w:t>
      </w:r>
      <w:r w:rsidR="00BC0DCA">
        <w:t xml:space="preserve"> compounds in EAFS</w:t>
      </w:r>
      <w:r w:rsidR="00BA6F38">
        <w:t>.</w:t>
      </w:r>
      <w:r w:rsidR="00C33BF9">
        <w:t xml:space="preserve"> However, the compressive strength of </w:t>
      </w:r>
      <w:r w:rsidR="00C33BF9" w:rsidRPr="003B2DCF">
        <w:t>35%</w:t>
      </w:r>
      <w:r w:rsidR="00C33BF9">
        <w:t>EAFS and 50%EAFS increased at the curing time of 28 days.</w:t>
      </w:r>
      <w:r w:rsidR="007C34DD">
        <w:t xml:space="preserve"> </w:t>
      </w:r>
      <w:proofErr w:type="spellStart"/>
      <w:r w:rsidR="007C34DD">
        <w:t>Yazdi</w:t>
      </w:r>
      <w:proofErr w:type="spellEnd"/>
      <w:r w:rsidR="007C34DD">
        <w:t xml:space="preserve"> et al. studied the compressive strength of cement mortar after adding Fe</w:t>
      </w:r>
      <w:r w:rsidR="007C34DD" w:rsidRPr="007C34DD">
        <w:rPr>
          <w:vertAlign w:val="subscript"/>
        </w:rPr>
        <w:t>2</w:t>
      </w:r>
      <w:r w:rsidR="007C34DD">
        <w:t>O</w:t>
      </w:r>
      <w:r w:rsidR="007C34DD" w:rsidRPr="007C34DD">
        <w:rPr>
          <w:vertAlign w:val="subscript"/>
        </w:rPr>
        <w:t>3</w:t>
      </w:r>
      <w:r w:rsidR="007C34DD">
        <w:t xml:space="preserve"> nanoparticles. It was observed that </w:t>
      </w:r>
      <w:r w:rsidR="000D47E4">
        <w:t>the compressive strength increased after Fe</w:t>
      </w:r>
      <w:r w:rsidR="000D47E4" w:rsidRPr="007C34DD">
        <w:rPr>
          <w:vertAlign w:val="subscript"/>
        </w:rPr>
        <w:t>2</w:t>
      </w:r>
      <w:r w:rsidR="000D47E4">
        <w:t>O</w:t>
      </w:r>
      <w:r w:rsidR="000D47E4" w:rsidRPr="007C34DD">
        <w:rPr>
          <w:vertAlign w:val="subscript"/>
        </w:rPr>
        <w:t>3</w:t>
      </w:r>
      <w:r w:rsidR="000D47E4">
        <w:t xml:space="preserve"> nanoparticles. In this paper, the addition of EAFS increased the compressive strength of </w:t>
      </w:r>
      <w:r w:rsidR="000D47E4" w:rsidRPr="003B2DCF">
        <w:t>35%</w:t>
      </w:r>
      <w:r w:rsidR="000D47E4">
        <w:t>EAFS and 50%EAFS increased at 28 curing days. It indicates that the Fe</w:t>
      </w:r>
      <w:r w:rsidR="000D47E4" w:rsidRPr="00511828">
        <w:rPr>
          <w:vertAlign w:val="subscript"/>
        </w:rPr>
        <w:t>2</w:t>
      </w:r>
      <w:r w:rsidR="000D47E4">
        <w:t>O</w:t>
      </w:r>
      <w:r w:rsidR="000D47E4" w:rsidRPr="00511828">
        <w:rPr>
          <w:vertAlign w:val="subscript"/>
        </w:rPr>
        <w:t>3</w:t>
      </w:r>
      <w:r w:rsidR="000D47E4">
        <w:t xml:space="preserve"> can be increased the compressive strength due to </w:t>
      </w:r>
      <w:r w:rsidR="00130017">
        <w:t xml:space="preserve">its reducing the quantity and size of </w:t>
      </w:r>
      <w:proofErr w:type="gramStart"/>
      <w:r w:rsidR="00130017">
        <w:t>Ca(</w:t>
      </w:r>
      <w:proofErr w:type="gramEnd"/>
      <w:r w:rsidR="00130017">
        <w:t>OH)</w:t>
      </w:r>
      <w:r w:rsidR="00130017" w:rsidRPr="00130017">
        <w:rPr>
          <w:vertAlign w:val="subscript"/>
        </w:rPr>
        <w:t>2</w:t>
      </w:r>
      <w:r w:rsidR="00130017">
        <w:t xml:space="preserve"> crystals. Moreover, Fe</w:t>
      </w:r>
      <w:r w:rsidR="00130017" w:rsidRPr="00130017">
        <w:rPr>
          <w:vertAlign w:val="subscript"/>
        </w:rPr>
        <w:t>2</w:t>
      </w:r>
      <w:r w:rsidR="00130017">
        <w:t>O</w:t>
      </w:r>
      <w:r w:rsidR="00130017" w:rsidRPr="00130017">
        <w:rPr>
          <w:vertAlign w:val="subscript"/>
        </w:rPr>
        <w:t>3</w:t>
      </w:r>
      <w:r w:rsidR="00130017">
        <w:t xml:space="preserve"> fills the voids of C-S-H structure, generating the denser and compact structure of hydrated products, resulting high </w:t>
      </w:r>
      <w:r w:rsidR="00130017" w:rsidRPr="00130017">
        <w:t>compressive strength</w:t>
      </w:r>
      <w:r w:rsidR="008E1907" w:rsidRPr="00130017">
        <w:t xml:space="preserve"> </w:t>
      </w:r>
      <w:r w:rsidR="008E1907" w:rsidRPr="00130017">
        <w:fldChar w:fldCharType="begin" w:fldLock="1"/>
      </w:r>
      <w:r w:rsidR="00276062">
        <w:instrText>ADDIN CSL_CITATION {"citationItems":[{"id":"ITEM-1","itemData":{"ISSN":"10978135","abstract":"In this study, research has been done on the compressive, tensile and flexural strength of cement mortar containing 1, 3 and 5 percent by weight of cement of Al2O3 nanoparticles. The results show that the mechanical properties of samples containing 1 and 3 percent Al2O3 nanoparticles are desirable then the ordinary cement mortar. But by increasing Al2O3 nanoparticles to 5 percent, the mechanical properties reduce severely. SEM study about the microstructure of cement mortar containing nanoparticles and ordinary cement mortar showed that Al2O3 nanoparticles reduces the CaOH2 crystals and fills the pores and increases the density of cement mortar. [M. R. Arefi 1,*, M. R. Javeri 1, E. Mollaahmadi.","author":[{"dropping-particle":"","family":"Arefi","given":"M. R.","non-dropping-particle":"","parse-names":false,"suffix":""},{"dropping-particle":"","family":"Javeri","given":"M. R.","non-dropping-particle":"","parse-names":false,"suffix":""},{"dropping-particle":"","family":"Mollaahmadi","given":"E.","non-dropping-particle":"","parse-names":false,"suffix":""}],"container-title":"Life Science Journal","id":"ITEM-1","issue":"4","issued":{"date-parts":[["2011"]]},"page":"613-617","title":"To study the effect of adding Fe2O3 Nanoparticle on the mechanical properties and microstructure of cementmortar","type":"article-journal","volume":"8"},"uris":["http://www.mendeley.com/documents/?uuid=08c2b5d1-cb9d-4209-8925-dcc489f99ffe"]}],"mendeley":{"formattedCitation":"[7]","plainTextFormattedCitation":"[7]","previouslyFormattedCitation":"[7]"},"properties":{"noteIndex":0},"schema":"https://github.com/citation-style-language/schema/raw/master/csl-citation.json"}</w:instrText>
      </w:r>
      <w:r w:rsidR="008E1907" w:rsidRPr="00130017">
        <w:fldChar w:fldCharType="separate"/>
      </w:r>
      <w:r w:rsidR="00276062" w:rsidRPr="00276062">
        <w:rPr>
          <w:noProof/>
        </w:rPr>
        <w:t>[7]</w:t>
      </w:r>
      <w:r w:rsidR="008E1907" w:rsidRPr="00130017">
        <w:fldChar w:fldCharType="end"/>
      </w:r>
      <w:r w:rsidR="008E1907" w:rsidRPr="00130017">
        <w:t>.</w:t>
      </w:r>
      <w:r w:rsidR="00130017">
        <w:t xml:space="preserve"> </w:t>
      </w:r>
      <w:r w:rsidR="00511828">
        <w:t>The criteria of compressive strength for permanent disposal should be more than 3.45 MPA or 34.5 Kg/cm</w:t>
      </w:r>
      <w:r w:rsidR="00511828" w:rsidRPr="00511828">
        <w:rPr>
          <w:vertAlign w:val="superscript"/>
        </w:rPr>
        <w:t>2</w:t>
      </w:r>
      <w:r w:rsidR="00511828">
        <w:rPr>
          <w:vertAlign w:val="superscript"/>
        </w:rPr>
        <w:t xml:space="preserve"> </w:t>
      </w:r>
      <w:r w:rsidR="00511828">
        <w:rPr>
          <w:vertAlign w:val="superscript"/>
        </w:rPr>
        <w:fldChar w:fldCharType="begin" w:fldLock="1"/>
      </w:r>
      <w:r w:rsidR="00276062">
        <w:rPr>
          <w:vertAlign w:val="superscript"/>
        </w:rPr>
        <w:instrText>ADDIN CSL_CITATION {"citationItems":[{"id":"ITEM-1","itemData":{"DOI":"10.11113/jt.v78.6296","ISSN":"01279696","abstract":"The leaching behavior of cesium -134 (Cs-134) from cement mixed with 5%, 11% and 18% of biochar has been investigated accordance with the ANSI/ANS 16.1-2003 method. The leachate was collected and measured using gamma spectrometry after the leaching periods of 2 h, 7 h, 24 h, 14 days, 28 days, 43 days and 90 days. In order to evaluate the leaching behavior of Cs-134 from cement biochar matrix, the cumulative leach fraction, leaching rate, diffusion coefficient and leachability index for Cs-134 were calculated. The compressive strength of the specimen after 90 days of leaching test was also performed to evaluate its durability in the water. The results indicated that the addition of biochar affects the leaching behavior of Cs-134 from the cement matrix. The optimum amount of biochar required to obtain the lowest leachability and the highest compressive strength of Cs-134 was found to be at 11%. The leaching of Cs-134 from cement-biochar matrix was found less than 20%, in which the leaching behavior approximates that of a semi-infinite medium. The leachabilty indices of all specimens were above the recommend minimum value of 6, which suggest the leaching behavior of Cs-134 from cement-biochar matrix occurred in a very slow diffusion.","author":[{"dropping-particle":"","family":"Laili","given":"Zalina","non-dropping-particle":"","parse-names":false,"suffix":""},{"dropping-particle":"","family":"Yasir","given":"Muhamad Samudi","non-dropping-particle":"","parse-names":false,"suffix":""},{"dropping-particle":"","family":"Yusof","given":"Mohd Abd Wahab","non-dropping-particle":"","parse-names":false,"suffix":""}],"container-title":"Jurnal Teknologi","id":"ITEM-1","issue":"7","issued":{"date-parts":[["2016"]]},"page":"59-67","title":"Leaching behaviour of Cs-134 immobilised in cement-biochar matrix","type":"article-journal","volume":"78"},"uris":["http://www.mendeley.com/documents/?uuid=b6dd329f-0fed-4420-afbe-49745df4646e"]},{"id":"ITEM-2","itemData":{"DOI":"10.1016/j.net.2016.08.010","ISSN":"2234358X","abstract":"To perform the permanent disposal of metal hydroxide waste from electro-kinetic decontamination, it is necessary to secure the technology for its solidification. The integrity tests on the fabricated solidification should also meet the criteria of the Korea Radioactive Waste Agency. We carried out the solidification of metal hydroxide waste using cement solidification. The integrity tests such as the compressive strength, immersion, leach, and irradiation tests on the fabricated cement solidifications were performed. It was also confirmed that these requirements of the criteria of Korea Radioactive Waste Agency on these cement solidifications were met. The microstructures of all the cement solidifications were analyzed and discussed.","author":[{"dropping-particle":"","family":"Koo","given":"Dae Seo","non-dropping-particle":"","parse-names":false,"suffix":""},{"dropping-particle":"","family":"Sung","given":"Hyun Hee","non-dropping-particle":"","parse-names":false,"suffix":""},{"dropping-particle":"","family":"Kim","given":"Seung Soo","non-dropping-particle":"","parse-names":false,"suffix":""},{"dropping-particle":"","family":"Kim","given":"Gye Nam","non-dropping-particle":"","parse-names":false,"suffix":""},{"dropping-particle":"","family":"Choi","given":"Jong Won","non-dropping-particle":"","parse-names":false,"suffix":""}],"container-title":"Nuclear Engineering and Technology","id":"ITEM-2","issue":"1","issued":{"date-parts":[["2017"]]},"page":"165-171","publisher":"Elsevier B.V","title":"Characteristics of Cement Solidification of Metal Hydroxide Waste","type":"article-journal","volume":"49"},"uris":["http://www.mendeley.com/documents/?uuid=ec2fff2d-ec62-408b-9b39-2a6aaf9e22d7"]}],"mendeley":{"formattedCitation":"[8], [9]","plainTextFormattedCitation":"[8], [9]","previouslyFormattedCitation":"[8], [9]"},"properties":{"noteIndex":0},"schema":"https://github.com/citation-style-language/schema/raw/master/csl-citation.json"}</w:instrText>
      </w:r>
      <w:r w:rsidR="00511828">
        <w:rPr>
          <w:vertAlign w:val="superscript"/>
        </w:rPr>
        <w:fldChar w:fldCharType="separate"/>
      </w:r>
      <w:r w:rsidR="00276062" w:rsidRPr="00276062">
        <w:rPr>
          <w:noProof/>
        </w:rPr>
        <w:t>[8], [9]</w:t>
      </w:r>
      <w:r w:rsidR="00511828">
        <w:rPr>
          <w:vertAlign w:val="superscript"/>
        </w:rPr>
        <w:fldChar w:fldCharType="end"/>
      </w:r>
      <w:r w:rsidR="00511828">
        <w:t xml:space="preserve">. </w:t>
      </w:r>
      <w:r w:rsidR="00C33BF9">
        <w:t xml:space="preserve"> </w:t>
      </w:r>
      <w:r w:rsidR="0095400E">
        <w:t xml:space="preserve">  </w:t>
      </w:r>
      <w:r w:rsidR="0095400E">
        <w:rPr>
          <w:rFonts w:cstheme="minorBidi"/>
          <w:szCs w:val="25"/>
          <w:lang w:val="en-US" w:bidi="th-TH"/>
        </w:rPr>
        <w:t xml:space="preserve"> </w:t>
      </w:r>
      <w:r w:rsidR="00C710C6">
        <w:t xml:space="preserve">  </w:t>
      </w:r>
      <w:r w:rsidR="00C83CF1">
        <w:t xml:space="preserve">   </w:t>
      </w:r>
      <w:r>
        <w:t xml:space="preserve"> </w:t>
      </w:r>
    </w:p>
    <w:p w14:paraId="7D19753B" w14:textId="069F8B11" w:rsidR="002831FF" w:rsidRDefault="003963B3" w:rsidP="003963B3">
      <w:pPr>
        <w:pStyle w:val="BodyText"/>
        <w:spacing w:before="240"/>
        <w:ind w:firstLine="0"/>
        <w:contextualSpacing w:val="0"/>
        <w:jc w:val="center"/>
      </w:pPr>
      <w:r w:rsidRPr="003963B3">
        <w:rPr>
          <w:noProof/>
        </w:rPr>
        <w:drawing>
          <wp:inline distT="0" distB="0" distL="0" distR="0" wp14:anchorId="7BFD17A2" wp14:editId="6DDEBFBA">
            <wp:extent cx="5156200" cy="358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t="8975"/>
                    <a:stretch/>
                  </pic:blipFill>
                  <pic:spPr bwMode="auto">
                    <a:xfrm>
                      <a:off x="0" y="0"/>
                      <a:ext cx="5156200" cy="3588294"/>
                    </a:xfrm>
                    <a:prstGeom prst="rect">
                      <a:avLst/>
                    </a:prstGeom>
                    <a:noFill/>
                    <a:ln>
                      <a:noFill/>
                    </a:ln>
                    <a:extLst>
                      <a:ext uri="{53640926-AAD7-44D8-BBD7-CCE9431645EC}">
                        <a14:shadowObscured xmlns:a14="http://schemas.microsoft.com/office/drawing/2010/main"/>
                      </a:ext>
                    </a:extLst>
                  </pic:spPr>
                </pic:pic>
              </a:graphicData>
            </a:graphic>
          </wp:inline>
        </w:drawing>
      </w:r>
    </w:p>
    <w:p w14:paraId="31A6CBC4" w14:textId="04BD7BC7" w:rsidR="003963B3" w:rsidRPr="003963B3" w:rsidRDefault="003963B3" w:rsidP="003963B3">
      <w:pPr>
        <w:pStyle w:val="BodyText"/>
        <w:spacing w:after="240"/>
        <w:ind w:firstLine="0"/>
        <w:contextualSpacing w:val="0"/>
        <w:jc w:val="center"/>
        <w:rPr>
          <w:sz w:val="18"/>
          <w:szCs w:val="18"/>
        </w:rPr>
      </w:pPr>
      <w:r w:rsidRPr="003963B3">
        <w:rPr>
          <w:i/>
          <w:sz w:val="18"/>
          <w:szCs w:val="18"/>
        </w:rPr>
        <w:t xml:space="preserve">FIG. </w:t>
      </w:r>
      <w:r>
        <w:rPr>
          <w:i/>
          <w:sz w:val="18"/>
          <w:szCs w:val="18"/>
        </w:rPr>
        <w:t>2</w:t>
      </w:r>
      <w:r w:rsidRPr="003963B3">
        <w:rPr>
          <w:i/>
          <w:sz w:val="18"/>
          <w:szCs w:val="18"/>
        </w:rPr>
        <w:t xml:space="preserve">. The </w:t>
      </w:r>
      <w:r>
        <w:rPr>
          <w:i/>
          <w:sz w:val="18"/>
          <w:szCs w:val="18"/>
        </w:rPr>
        <w:t>compressive strength</w:t>
      </w:r>
      <w:r w:rsidRPr="003963B3">
        <w:rPr>
          <w:i/>
          <w:sz w:val="18"/>
          <w:szCs w:val="18"/>
        </w:rPr>
        <w:t xml:space="preserve"> of (a) 0%EAFS, (b) 15%EAFS, (c) 25%EAFS, (d) 35%EAFS and (e) 50%EAFS.</w:t>
      </w:r>
    </w:p>
    <w:p w14:paraId="433FE059" w14:textId="112699A3" w:rsidR="00F004EE" w:rsidRDefault="0027162F" w:rsidP="0027162F">
      <w:pPr>
        <w:pStyle w:val="Heading2"/>
        <w:numPr>
          <w:ilvl w:val="0"/>
          <w:numId w:val="33"/>
        </w:numPr>
        <w:ind w:left="567" w:hanging="567"/>
      </w:pPr>
      <w:r>
        <w:t>CONCLUSIONS</w:t>
      </w:r>
    </w:p>
    <w:p w14:paraId="433FE05A" w14:textId="5B857C8E" w:rsidR="001308F2" w:rsidRDefault="00792526" w:rsidP="00537496">
      <w:pPr>
        <w:pStyle w:val="BodyText"/>
      </w:pPr>
      <w:r>
        <w:t>The immobilization of EAFS was produced by cementation method. Portland cement was replaced with EAFS at the concentration of 0%, 15%, 25%, 35%, and 50% by weight.</w:t>
      </w:r>
      <w:r w:rsidR="00461D0C">
        <w:t xml:space="preserve"> </w:t>
      </w:r>
      <w:r w:rsidR="00175B4E">
        <w:t xml:space="preserve">The main element composition of PC and EAFS is </w:t>
      </w:r>
      <w:proofErr w:type="spellStart"/>
      <w:r w:rsidR="00175B4E">
        <w:t>CaO</w:t>
      </w:r>
      <w:proofErr w:type="spellEnd"/>
      <w:r w:rsidR="00175B4E">
        <w:t xml:space="preserve"> (66.99%) and Fe</w:t>
      </w:r>
      <w:r w:rsidR="00175B4E" w:rsidRPr="00175B4E">
        <w:rPr>
          <w:vertAlign w:val="subscript"/>
        </w:rPr>
        <w:t>2</w:t>
      </w:r>
      <w:r w:rsidR="00175B4E">
        <w:t>O</w:t>
      </w:r>
      <w:r w:rsidR="00175B4E" w:rsidRPr="00175B4E">
        <w:rPr>
          <w:vertAlign w:val="subscript"/>
        </w:rPr>
        <w:t>3</w:t>
      </w:r>
      <w:r w:rsidR="00175B4E">
        <w:rPr>
          <w:vertAlign w:val="subscript"/>
        </w:rPr>
        <w:t xml:space="preserve"> </w:t>
      </w:r>
      <w:r w:rsidR="00175B4E">
        <w:t xml:space="preserve">(51.76%), respectively. </w:t>
      </w:r>
      <w:r w:rsidR="00461D0C">
        <w:t>The compressive strength of all conditions is more than 34.5 Kg/cm</w:t>
      </w:r>
      <w:r w:rsidR="00461D0C" w:rsidRPr="00511828">
        <w:rPr>
          <w:vertAlign w:val="superscript"/>
        </w:rPr>
        <w:t>2</w:t>
      </w:r>
      <w:r w:rsidR="00461D0C" w:rsidRPr="00461D0C">
        <w:t>,</w:t>
      </w:r>
      <w:r w:rsidR="00461D0C">
        <w:t xml:space="preserve"> that follow the criteria of the US Nuclear Regulatory Commission (NRC) standard.</w:t>
      </w:r>
      <w:r w:rsidR="00175B4E">
        <w:t xml:space="preserve"> </w:t>
      </w:r>
      <w:r w:rsidR="00335262">
        <w:t xml:space="preserve">The </w:t>
      </w:r>
      <w:r w:rsidR="00986903">
        <w:t>optimum condition for immobilization of EAFS is 50% of EAFS replacement with PC by weight. It was observed that the compressive strength of 50%EAFS at 14 curing days was increased from 65.02 Kg/cm</w:t>
      </w:r>
      <w:r w:rsidR="00986903" w:rsidRPr="00986903">
        <w:rPr>
          <w:vertAlign w:val="superscript"/>
        </w:rPr>
        <w:t>2</w:t>
      </w:r>
      <w:r w:rsidR="00986903">
        <w:t xml:space="preserve"> to 102.88 Kg/cm</w:t>
      </w:r>
      <w:r w:rsidR="00986903" w:rsidRPr="00986903">
        <w:rPr>
          <w:vertAlign w:val="superscript"/>
        </w:rPr>
        <w:t>2</w:t>
      </w:r>
      <w:r w:rsidR="00986903">
        <w:t xml:space="preserve"> at the curing time of 28 days.</w:t>
      </w:r>
      <w:r w:rsidR="00335262">
        <w:t xml:space="preserve"> </w:t>
      </w:r>
      <w:r w:rsidR="00986903">
        <w:t>T</w:t>
      </w:r>
      <w:r w:rsidR="00175B4E">
        <w:t>he PC replacement EAFS of 50% is suitable applied as waste form for immobilization radioactive waste management</w:t>
      </w:r>
      <w:r w:rsidR="00335262">
        <w:t xml:space="preserve"> by cementation technique</w:t>
      </w:r>
      <w:r w:rsidR="00175B4E">
        <w:t xml:space="preserve"> because of its high compressive strength and its maximum waste loading. </w:t>
      </w:r>
      <w:r w:rsidR="00461D0C">
        <w:t xml:space="preserve"> </w:t>
      </w:r>
      <w:r w:rsidR="00F74A9D">
        <w:t xml:space="preserve"> </w:t>
      </w:r>
    </w:p>
    <w:p w14:paraId="433FE095" w14:textId="77777777" w:rsidR="00285755" w:rsidRDefault="00285755" w:rsidP="00537496">
      <w:pPr>
        <w:pStyle w:val="Otherunnumberedheadings"/>
      </w:pPr>
      <w:r w:rsidRPr="00285755">
        <w:lastRenderedPageBreak/>
        <w:t>ACKNOWLEDGEMENTS</w:t>
      </w:r>
    </w:p>
    <w:p w14:paraId="433FE096" w14:textId="339616B6" w:rsidR="00D26ADA" w:rsidRDefault="00285755" w:rsidP="00537496">
      <w:pPr>
        <w:pStyle w:val="BodyText"/>
      </w:pPr>
      <w:r>
        <w:t xml:space="preserve">The </w:t>
      </w:r>
      <w:r w:rsidR="00335262">
        <w:t>authors would like to appreciate to Thailand Institute of Nuclear Technology (Public organization) for</w:t>
      </w:r>
      <w:r w:rsidR="00986903">
        <w:t xml:space="preserve"> supporting</w:t>
      </w:r>
      <w:r w:rsidR="00335262">
        <w:t xml:space="preserve"> the research fund</w:t>
      </w:r>
      <w:r w:rsidR="00986903">
        <w:t xml:space="preserve"> of this project</w:t>
      </w:r>
      <w:r w:rsidR="00335262">
        <w:t>.</w:t>
      </w:r>
    </w:p>
    <w:p w14:paraId="433FE097" w14:textId="77777777" w:rsidR="00D26ADA" w:rsidRPr="00285755" w:rsidRDefault="00D26ADA" w:rsidP="00537496">
      <w:pPr>
        <w:pStyle w:val="Otherunnumberedheadings"/>
      </w:pPr>
      <w:r>
        <w:t>References</w:t>
      </w:r>
    </w:p>
    <w:p w14:paraId="5FC4A428" w14:textId="52943D94" w:rsidR="00276062" w:rsidRPr="00276062" w:rsidRDefault="00E441B2" w:rsidP="00F679E4">
      <w:pPr>
        <w:widowControl w:val="0"/>
        <w:spacing w:line="240" w:lineRule="atLeast"/>
        <w:ind w:left="640" w:hanging="640"/>
        <w:jc w:val="thaiDistribute"/>
        <w:rPr>
          <w:noProof/>
          <w:sz w:val="18"/>
          <w:szCs w:val="24"/>
        </w:rPr>
      </w:pPr>
      <w:r w:rsidRPr="00276062">
        <w:rPr>
          <w:sz w:val="18"/>
          <w:szCs w:val="18"/>
        </w:rPr>
        <w:fldChar w:fldCharType="begin" w:fldLock="1"/>
      </w:r>
      <w:r w:rsidRPr="00276062">
        <w:rPr>
          <w:sz w:val="18"/>
          <w:szCs w:val="18"/>
        </w:rPr>
        <w:instrText xml:space="preserve">ADDIN Mendeley Bibliography CSL_BIBLIOGRAPHY </w:instrText>
      </w:r>
      <w:r w:rsidRPr="00276062">
        <w:rPr>
          <w:sz w:val="18"/>
          <w:szCs w:val="18"/>
        </w:rPr>
        <w:fldChar w:fldCharType="separate"/>
      </w:r>
      <w:r w:rsidR="00276062" w:rsidRPr="00276062">
        <w:rPr>
          <w:noProof/>
          <w:sz w:val="18"/>
          <w:szCs w:val="24"/>
        </w:rPr>
        <w:t>[1]</w:t>
      </w:r>
      <w:r w:rsidR="00276062" w:rsidRPr="00276062">
        <w:rPr>
          <w:noProof/>
          <w:sz w:val="18"/>
          <w:szCs w:val="24"/>
        </w:rPr>
        <w:tab/>
        <w:t>Saleh,</w:t>
      </w:r>
      <w:r w:rsidR="00F679E4">
        <w:rPr>
          <w:noProof/>
          <w:sz w:val="18"/>
          <w:szCs w:val="24"/>
        </w:rPr>
        <w:t xml:space="preserve"> </w:t>
      </w:r>
      <w:r w:rsidR="00F679E4" w:rsidRPr="00276062">
        <w:rPr>
          <w:noProof/>
          <w:sz w:val="18"/>
          <w:szCs w:val="24"/>
        </w:rPr>
        <w:t>H. M.</w:t>
      </w:r>
      <w:r w:rsidR="00F679E4">
        <w:rPr>
          <w:noProof/>
          <w:sz w:val="18"/>
          <w:szCs w:val="24"/>
        </w:rPr>
        <w:t>,</w:t>
      </w:r>
      <w:r w:rsidR="00F679E4" w:rsidRPr="00276062">
        <w:rPr>
          <w:noProof/>
          <w:sz w:val="18"/>
          <w:szCs w:val="24"/>
        </w:rPr>
        <w:t xml:space="preserve"> </w:t>
      </w:r>
      <w:r w:rsidR="00276062" w:rsidRPr="00276062">
        <w:rPr>
          <w:noProof/>
          <w:sz w:val="18"/>
          <w:szCs w:val="24"/>
        </w:rPr>
        <w:t>El-Sheikh,</w:t>
      </w:r>
      <w:r w:rsidR="00F679E4">
        <w:rPr>
          <w:noProof/>
          <w:sz w:val="18"/>
          <w:szCs w:val="24"/>
        </w:rPr>
        <w:t xml:space="preserve"> </w:t>
      </w:r>
      <w:r w:rsidR="00F679E4" w:rsidRPr="00276062">
        <w:rPr>
          <w:noProof/>
          <w:sz w:val="18"/>
          <w:szCs w:val="24"/>
        </w:rPr>
        <w:t>S. M.</w:t>
      </w:r>
      <w:r w:rsidR="00F679E4">
        <w:rPr>
          <w:noProof/>
          <w:sz w:val="18"/>
          <w:szCs w:val="24"/>
        </w:rPr>
        <w:t>,</w:t>
      </w:r>
      <w:r w:rsidR="00276062" w:rsidRPr="00276062">
        <w:rPr>
          <w:noProof/>
          <w:sz w:val="18"/>
          <w:szCs w:val="24"/>
        </w:rPr>
        <w:t xml:space="preserve"> Elshereafy,</w:t>
      </w:r>
      <w:r w:rsidR="00F679E4">
        <w:rPr>
          <w:noProof/>
          <w:sz w:val="18"/>
          <w:szCs w:val="24"/>
        </w:rPr>
        <w:t xml:space="preserve"> </w:t>
      </w:r>
      <w:r w:rsidR="00F679E4" w:rsidRPr="00276062">
        <w:rPr>
          <w:noProof/>
          <w:sz w:val="18"/>
          <w:szCs w:val="24"/>
        </w:rPr>
        <w:t>E. E.</w:t>
      </w:r>
      <w:r w:rsidR="00F679E4">
        <w:rPr>
          <w:noProof/>
          <w:sz w:val="18"/>
          <w:szCs w:val="24"/>
        </w:rPr>
        <w:t>,</w:t>
      </w:r>
      <w:r w:rsidR="00276062" w:rsidRPr="00276062">
        <w:rPr>
          <w:noProof/>
          <w:sz w:val="18"/>
          <w:szCs w:val="24"/>
        </w:rPr>
        <w:t xml:space="preserve"> Essa,</w:t>
      </w:r>
      <w:r w:rsidR="00F679E4">
        <w:rPr>
          <w:noProof/>
          <w:sz w:val="18"/>
          <w:szCs w:val="24"/>
        </w:rPr>
        <w:t xml:space="preserve"> </w:t>
      </w:r>
      <w:r w:rsidR="00F679E4" w:rsidRPr="00276062">
        <w:rPr>
          <w:noProof/>
          <w:sz w:val="18"/>
          <w:szCs w:val="24"/>
        </w:rPr>
        <w:t>A. K.</w:t>
      </w:r>
      <w:r w:rsidR="00F679E4">
        <w:rPr>
          <w:noProof/>
          <w:sz w:val="18"/>
          <w:szCs w:val="24"/>
        </w:rPr>
        <w:t>,</w:t>
      </w:r>
      <w:r w:rsidR="00276062" w:rsidRPr="00276062">
        <w:rPr>
          <w:noProof/>
          <w:sz w:val="18"/>
          <w:szCs w:val="24"/>
        </w:rPr>
        <w:t xml:space="preserve"> Mechanical and physical characterization of cement reinforced by iron slag and titanate nanofibers to produce advanced containment for radioactive waste, </w:t>
      </w:r>
      <w:r w:rsidR="00276062" w:rsidRPr="00F679E4">
        <w:rPr>
          <w:noProof/>
          <w:sz w:val="18"/>
          <w:szCs w:val="24"/>
        </w:rPr>
        <w:t>Constr. Build. Mater.</w:t>
      </w:r>
      <w:r w:rsidR="00F679E4">
        <w:rPr>
          <w:noProof/>
          <w:sz w:val="18"/>
          <w:szCs w:val="24"/>
        </w:rPr>
        <w:t xml:space="preserve"> </w:t>
      </w:r>
      <w:r w:rsidR="00276062" w:rsidRPr="00715576">
        <w:rPr>
          <w:b/>
          <w:bCs/>
          <w:noProof/>
          <w:sz w:val="18"/>
          <w:szCs w:val="24"/>
        </w:rPr>
        <w:t>200</w:t>
      </w:r>
      <w:r w:rsidR="00F679E4">
        <w:rPr>
          <w:noProof/>
          <w:sz w:val="18"/>
          <w:szCs w:val="24"/>
        </w:rPr>
        <w:t xml:space="preserve"> (2019) </w:t>
      </w:r>
      <w:r w:rsidR="00276062" w:rsidRPr="00276062">
        <w:rPr>
          <w:noProof/>
          <w:sz w:val="18"/>
          <w:szCs w:val="24"/>
        </w:rPr>
        <w:t>135–145</w:t>
      </w:r>
      <w:r w:rsidR="00F679E4">
        <w:rPr>
          <w:noProof/>
          <w:sz w:val="18"/>
          <w:szCs w:val="24"/>
        </w:rPr>
        <w:t>.</w:t>
      </w:r>
    </w:p>
    <w:p w14:paraId="15DA6E52" w14:textId="52B5C1A1"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[2]</w:t>
      </w:r>
      <w:r w:rsidRPr="00276062">
        <w:rPr>
          <w:noProof/>
          <w:sz w:val="18"/>
          <w:szCs w:val="24"/>
        </w:rPr>
        <w:tab/>
        <w:t>Castellote,</w:t>
      </w:r>
      <w:r w:rsidR="00F679E4">
        <w:rPr>
          <w:noProof/>
          <w:sz w:val="18"/>
          <w:szCs w:val="24"/>
        </w:rPr>
        <w:t xml:space="preserve"> </w:t>
      </w:r>
      <w:r w:rsidR="00F679E4" w:rsidRPr="00276062">
        <w:rPr>
          <w:noProof/>
          <w:sz w:val="18"/>
          <w:szCs w:val="24"/>
        </w:rPr>
        <w:t>M.</w:t>
      </w:r>
      <w:r w:rsidR="00F679E4">
        <w:rPr>
          <w:noProof/>
          <w:sz w:val="18"/>
          <w:szCs w:val="24"/>
        </w:rPr>
        <w:t>,</w:t>
      </w:r>
      <w:r w:rsidRPr="00276062">
        <w:rPr>
          <w:noProof/>
          <w:sz w:val="18"/>
          <w:szCs w:val="24"/>
        </w:rPr>
        <w:t xml:space="preserve"> Menéndez,</w:t>
      </w:r>
      <w:r w:rsidR="00F679E4">
        <w:rPr>
          <w:noProof/>
          <w:sz w:val="18"/>
          <w:szCs w:val="24"/>
        </w:rPr>
        <w:t xml:space="preserve"> </w:t>
      </w:r>
      <w:r w:rsidR="00F679E4" w:rsidRPr="00276062">
        <w:rPr>
          <w:noProof/>
          <w:sz w:val="18"/>
          <w:szCs w:val="24"/>
        </w:rPr>
        <w:t>E.</w:t>
      </w:r>
      <w:r w:rsidR="00F679E4">
        <w:rPr>
          <w:noProof/>
          <w:sz w:val="18"/>
          <w:szCs w:val="24"/>
        </w:rPr>
        <w:t>,</w:t>
      </w:r>
      <w:r w:rsidRPr="00276062">
        <w:rPr>
          <w:noProof/>
          <w:sz w:val="18"/>
          <w:szCs w:val="24"/>
        </w:rPr>
        <w:t xml:space="preserve"> Andrade,</w:t>
      </w:r>
      <w:r w:rsidR="00F679E4">
        <w:rPr>
          <w:noProof/>
          <w:sz w:val="18"/>
          <w:szCs w:val="24"/>
        </w:rPr>
        <w:t xml:space="preserve"> </w:t>
      </w:r>
      <w:r w:rsidR="00F679E4" w:rsidRPr="00276062">
        <w:rPr>
          <w:noProof/>
          <w:sz w:val="18"/>
          <w:szCs w:val="24"/>
        </w:rPr>
        <w:t>C.</w:t>
      </w:r>
      <w:r w:rsidR="00F679E4">
        <w:rPr>
          <w:noProof/>
          <w:sz w:val="18"/>
          <w:szCs w:val="24"/>
        </w:rPr>
        <w:t>,</w:t>
      </w:r>
      <w:r w:rsidRPr="00276062">
        <w:rPr>
          <w:noProof/>
          <w:sz w:val="18"/>
          <w:szCs w:val="24"/>
        </w:rPr>
        <w:t xml:space="preserve"> Zuloaga,</w:t>
      </w:r>
      <w:r w:rsidR="00F679E4">
        <w:rPr>
          <w:noProof/>
          <w:sz w:val="18"/>
          <w:szCs w:val="24"/>
        </w:rPr>
        <w:t xml:space="preserve"> </w:t>
      </w:r>
      <w:r w:rsidR="00F679E4" w:rsidRPr="00276062">
        <w:rPr>
          <w:noProof/>
          <w:sz w:val="18"/>
          <w:szCs w:val="24"/>
        </w:rPr>
        <w:t>P.</w:t>
      </w:r>
      <w:r w:rsidR="00F679E4">
        <w:rPr>
          <w:noProof/>
          <w:sz w:val="18"/>
          <w:szCs w:val="24"/>
        </w:rPr>
        <w:t>,</w:t>
      </w:r>
      <w:r w:rsidRPr="00276062">
        <w:rPr>
          <w:noProof/>
          <w:sz w:val="18"/>
          <w:szCs w:val="24"/>
        </w:rPr>
        <w:t xml:space="preserve"> Navarro,</w:t>
      </w:r>
      <w:r w:rsidR="00F679E4">
        <w:rPr>
          <w:noProof/>
          <w:sz w:val="18"/>
          <w:szCs w:val="24"/>
        </w:rPr>
        <w:t xml:space="preserve"> </w:t>
      </w:r>
      <w:r w:rsidR="00F679E4" w:rsidRPr="00276062">
        <w:rPr>
          <w:noProof/>
          <w:sz w:val="18"/>
          <w:szCs w:val="24"/>
        </w:rPr>
        <w:t>M.</w:t>
      </w:r>
      <w:r w:rsidR="00F679E4">
        <w:rPr>
          <w:noProof/>
          <w:sz w:val="18"/>
          <w:szCs w:val="24"/>
        </w:rPr>
        <w:t>,</w:t>
      </w:r>
      <w:r w:rsidRPr="00276062">
        <w:rPr>
          <w:noProof/>
          <w:sz w:val="18"/>
          <w:szCs w:val="24"/>
        </w:rPr>
        <w:t xml:space="preserve"> Ordóñez,</w:t>
      </w:r>
      <w:r w:rsidR="00F679E4">
        <w:rPr>
          <w:noProof/>
          <w:sz w:val="18"/>
          <w:szCs w:val="24"/>
        </w:rPr>
        <w:t xml:space="preserve"> M</w:t>
      </w:r>
      <w:r w:rsidR="00F679E4" w:rsidRPr="00276062">
        <w:rPr>
          <w:noProof/>
          <w:sz w:val="18"/>
          <w:szCs w:val="24"/>
        </w:rPr>
        <w:t>.</w:t>
      </w:r>
      <w:r w:rsidR="00F679E4">
        <w:rPr>
          <w:noProof/>
          <w:sz w:val="18"/>
          <w:szCs w:val="24"/>
        </w:rPr>
        <w:t>,</w:t>
      </w:r>
      <w:r w:rsidRPr="00276062">
        <w:rPr>
          <w:noProof/>
          <w:sz w:val="18"/>
          <w:szCs w:val="24"/>
        </w:rPr>
        <w:t xml:space="preserve"> Radioactively contaminated electric arc furnace dust as an addition to the immobilization mortar in low-and medium-activity repositories,</w:t>
      </w:r>
      <w:r w:rsidR="00F679E4">
        <w:rPr>
          <w:noProof/>
          <w:sz w:val="18"/>
          <w:szCs w:val="24"/>
        </w:rPr>
        <w:t xml:space="preserve"> </w:t>
      </w:r>
      <w:r w:rsidRPr="00276062">
        <w:rPr>
          <w:noProof/>
          <w:sz w:val="18"/>
          <w:szCs w:val="24"/>
        </w:rPr>
        <w:t xml:space="preserve"> </w:t>
      </w:r>
      <w:r w:rsidRPr="00F679E4">
        <w:rPr>
          <w:noProof/>
          <w:sz w:val="18"/>
          <w:szCs w:val="24"/>
        </w:rPr>
        <w:t>Environ. Sci. Technol.</w:t>
      </w:r>
      <w:r w:rsidRPr="00276062">
        <w:rPr>
          <w:noProof/>
          <w:sz w:val="18"/>
          <w:szCs w:val="24"/>
        </w:rPr>
        <w:t xml:space="preserve"> </w:t>
      </w:r>
      <w:r w:rsidRPr="00F679E4">
        <w:rPr>
          <w:b/>
          <w:bCs/>
          <w:noProof/>
          <w:sz w:val="18"/>
          <w:szCs w:val="24"/>
        </w:rPr>
        <w:t>38</w:t>
      </w:r>
      <w:r w:rsidR="00F679E4">
        <w:rPr>
          <w:b/>
          <w:bCs/>
          <w:noProof/>
          <w:sz w:val="18"/>
          <w:szCs w:val="24"/>
        </w:rPr>
        <w:t xml:space="preserve"> </w:t>
      </w:r>
      <w:r w:rsidRPr="00276062">
        <w:rPr>
          <w:noProof/>
          <w:sz w:val="18"/>
          <w:szCs w:val="24"/>
        </w:rPr>
        <w:t>10</w:t>
      </w:r>
      <w:r w:rsidR="00F679E4">
        <w:rPr>
          <w:noProof/>
          <w:sz w:val="18"/>
          <w:szCs w:val="24"/>
        </w:rPr>
        <w:t xml:space="preserve"> (2004) </w:t>
      </w:r>
      <w:r w:rsidRPr="00276062">
        <w:rPr>
          <w:noProof/>
          <w:sz w:val="18"/>
          <w:szCs w:val="24"/>
        </w:rPr>
        <w:t>2946–2952.</w:t>
      </w:r>
    </w:p>
    <w:p w14:paraId="77C706D1" w14:textId="367E8491"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[3]</w:t>
      </w:r>
      <w:r w:rsidRPr="00276062">
        <w:rPr>
          <w:noProof/>
          <w:sz w:val="18"/>
          <w:szCs w:val="24"/>
        </w:rPr>
        <w:tab/>
        <w:t>Koťátková,</w:t>
      </w:r>
      <w:r w:rsidR="00715576">
        <w:rPr>
          <w:noProof/>
          <w:sz w:val="18"/>
          <w:szCs w:val="24"/>
        </w:rPr>
        <w:t xml:space="preserve"> </w:t>
      </w:r>
      <w:r w:rsidR="00715576" w:rsidRPr="00276062">
        <w:rPr>
          <w:noProof/>
          <w:sz w:val="18"/>
          <w:szCs w:val="24"/>
        </w:rPr>
        <w:t>J.</w:t>
      </w:r>
      <w:r w:rsidR="00715576">
        <w:rPr>
          <w:noProof/>
          <w:sz w:val="18"/>
          <w:szCs w:val="24"/>
        </w:rPr>
        <w:t>,</w:t>
      </w:r>
      <w:r w:rsidRPr="00276062">
        <w:rPr>
          <w:noProof/>
          <w:sz w:val="18"/>
          <w:szCs w:val="24"/>
        </w:rPr>
        <w:t xml:space="preserve"> Zatloukal,</w:t>
      </w:r>
      <w:r w:rsidR="00715576">
        <w:rPr>
          <w:noProof/>
          <w:sz w:val="18"/>
          <w:szCs w:val="24"/>
        </w:rPr>
        <w:t xml:space="preserve"> </w:t>
      </w:r>
      <w:r w:rsidR="00715576" w:rsidRPr="00276062">
        <w:rPr>
          <w:noProof/>
          <w:sz w:val="18"/>
          <w:szCs w:val="24"/>
        </w:rPr>
        <w:t>J.</w:t>
      </w:r>
      <w:r w:rsidR="00715576">
        <w:rPr>
          <w:noProof/>
          <w:sz w:val="18"/>
          <w:szCs w:val="24"/>
        </w:rPr>
        <w:t>,</w:t>
      </w:r>
      <w:r w:rsidRPr="00276062">
        <w:rPr>
          <w:noProof/>
          <w:sz w:val="18"/>
          <w:szCs w:val="24"/>
        </w:rPr>
        <w:t xml:space="preserve"> Reiterman,</w:t>
      </w:r>
      <w:r w:rsidR="00715576">
        <w:rPr>
          <w:noProof/>
          <w:sz w:val="18"/>
          <w:szCs w:val="24"/>
        </w:rPr>
        <w:t xml:space="preserve"> </w:t>
      </w:r>
      <w:r w:rsidR="00715576" w:rsidRPr="00276062">
        <w:rPr>
          <w:noProof/>
          <w:sz w:val="18"/>
          <w:szCs w:val="24"/>
        </w:rPr>
        <w:t>P.</w:t>
      </w:r>
      <w:r w:rsidR="00715576">
        <w:rPr>
          <w:noProof/>
          <w:sz w:val="18"/>
          <w:szCs w:val="24"/>
        </w:rPr>
        <w:t>,</w:t>
      </w:r>
      <w:r w:rsidR="00715576" w:rsidRPr="00276062">
        <w:rPr>
          <w:noProof/>
          <w:sz w:val="18"/>
          <w:szCs w:val="24"/>
        </w:rPr>
        <w:t xml:space="preserve"> </w:t>
      </w:r>
      <w:r w:rsidRPr="00276062">
        <w:rPr>
          <w:noProof/>
          <w:sz w:val="18"/>
          <w:szCs w:val="24"/>
        </w:rPr>
        <w:t>Kolář,</w:t>
      </w:r>
      <w:r w:rsidR="00715576">
        <w:rPr>
          <w:noProof/>
          <w:sz w:val="18"/>
          <w:szCs w:val="24"/>
        </w:rPr>
        <w:t xml:space="preserve"> </w:t>
      </w:r>
      <w:r w:rsidR="00715576" w:rsidRPr="00276062">
        <w:rPr>
          <w:noProof/>
          <w:sz w:val="18"/>
          <w:szCs w:val="24"/>
        </w:rPr>
        <w:t>K.</w:t>
      </w:r>
      <w:r w:rsidR="00715576">
        <w:rPr>
          <w:noProof/>
          <w:sz w:val="18"/>
          <w:szCs w:val="24"/>
        </w:rPr>
        <w:t>,</w:t>
      </w:r>
      <w:r w:rsidRPr="00276062">
        <w:rPr>
          <w:noProof/>
          <w:sz w:val="18"/>
          <w:szCs w:val="24"/>
        </w:rPr>
        <w:t xml:space="preserve"> Concrete and cement composites used for radioactive waste deposition, </w:t>
      </w:r>
      <w:r w:rsidRPr="00715576">
        <w:rPr>
          <w:noProof/>
          <w:sz w:val="18"/>
          <w:szCs w:val="24"/>
        </w:rPr>
        <w:t>J. Environ. Radioact.</w:t>
      </w:r>
      <w:r w:rsidRPr="00276062">
        <w:rPr>
          <w:noProof/>
          <w:sz w:val="18"/>
          <w:szCs w:val="24"/>
        </w:rPr>
        <w:t xml:space="preserve"> </w:t>
      </w:r>
      <w:r w:rsidRPr="00715576">
        <w:rPr>
          <w:b/>
          <w:bCs/>
          <w:noProof/>
          <w:sz w:val="18"/>
          <w:szCs w:val="24"/>
        </w:rPr>
        <w:t>178–179</w:t>
      </w:r>
      <w:r w:rsidR="00715576">
        <w:rPr>
          <w:noProof/>
          <w:sz w:val="18"/>
          <w:szCs w:val="24"/>
        </w:rPr>
        <w:t xml:space="preserve"> (2017) </w:t>
      </w:r>
      <w:r w:rsidRPr="00276062">
        <w:rPr>
          <w:noProof/>
          <w:sz w:val="18"/>
          <w:szCs w:val="24"/>
        </w:rPr>
        <w:t>147–155.</w:t>
      </w:r>
    </w:p>
    <w:p w14:paraId="295D879F" w14:textId="3ECA6089"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[4]</w:t>
      </w:r>
      <w:r w:rsidRPr="00276062">
        <w:rPr>
          <w:noProof/>
          <w:sz w:val="18"/>
          <w:szCs w:val="24"/>
        </w:rPr>
        <w:tab/>
        <w:t>Shi</w:t>
      </w:r>
      <w:r w:rsidR="00715576">
        <w:rPr>
          <w:noProof/>
          <w:sz w:val="18"/>
          <w:szCs w:val="24"/>
        </w:rPr>
        <w:t xml:space="preserve">, </w:t>
      </w:r>
      <w:r w:rsidR="00715576" w:rsidRPr="00276062">
        <w:rPr>
          <w:noProof/>
          <w:sz w:val="18"/>
          <w:szCs w:val="24"/>
        </w:rPr>
        <w:t>C.</w:t>
      </w:r>
      <w:r w:rsidR="00715576">
        <w:rPr>
          <w:noProof/>
          <w:sz w:val="18"/>
          <w:szCs w:val="24"/>
        </w:rPr>
        <w:t>,</w:t>
      </w:r>
      <w:r w:rsidRPr="00276062">
        <w:rPr>
          <w:noProof/>
          <w:sz w:val="18"/>
          <w:szCs w:val="24"/>
        </w:rPr>
        <w:t xml:space="preserve"> Fernández-Jiménez,</w:t>
      </w:r>
      <w:r w:rsidR="00715576">
        <w:rPr>
          <w:noProof/>
          <w:sz w:val="18"/>
          <w:szCs w:val="24"/>
        </w:rPr>
        <w:t xml:space="preserve"> </w:t>
      </w:r>
      <w:r w:rsidR="00715576" w:rsidRPr="00276062">
        <w:rPr>
          <w:noProof/>
          <w:sz w:val="18"/>
          <w:szCs w:val="24"/>
        </w:rPr>
        <w:t>A.</w:t>
      </w:r>
      <w:r w:rsidR="00715576">
        <w:rPr>
          <w:noProof/>
          <w:sz w:val="18"/>
          <w:szCs w:val="24"/>
        </w:rPr>
        <w:t>,</w:t>
      </w:r>
      <w:r w:rsidRPr="00276062">
        <w:rPr>
          <w:noProof/>
          <w:sz w:val="18"/>
          <w:szCs w:val="24"/>
        </w:rPr>
        <w:t xml:space="preserve"> Stabilization/solidification of hazardous and radioactive wastes with alkali-activated cements, </w:t>
      </w:r>
      <w:r w:rsidRPr="00715576">
        <w:rPr>
          <w:noProof/>
          <w:sz w:val="18"/>
          <w:szCs w:val="24"/>
        </w:rPr>
        <w:t>J. Hazard. Mater.</w:t>
      </w:r>
      <w:r w:rsidRPr="00276062">
        <w:rPr>
          <w:noProof/>
          <w:sz w:val="18"/>
          <w:szCs w:val="24"/>
        </w:rPr>
        <w:t xml:space="preserve"> </w:t>
      </w:r>
      <w:r w:rsidRPr="00715576">
        <w:rPr>
          <w:b/>
          <w:bCs/>
          <w:noProof/>
          <w:sz w:val="18"/>
          <w:szCs w:val="24"/>
        </w:rPr>
        <w:t>137</w:t>
      </w:r>
      <w:r w:rsidRPr="00276062">
        <w:rPr>
          <w:noProof/>
          <w:sz w:val="18"/>
          <w:szCs w:val="24"/>
        </w:rPr>
        <w:t xml:space="preserve"> 3</w:t>
      </w:r>
      <w:r w:rsidR="00715576">
        <w:rPr>
          <w:noProof/>
          <w:sz w:val="18"/>
          <w:szCs w:val="24"/>
        </w:rPr>
        <w:t xml:space="preserve"> (2006) </w:t>
      </w:r>
      <w:r w:rsidRPr="00276062">
        <w:rPr>
          <w:noProof/>
          <w:sz w:val="18"/>
          <w:szCs w:val="24"/>
        </w:rPr>
        <w:t>1656–1663.</w:t>
      </w:r>
    </w:p>
    <w:p w14:paraId="0428B6CE" w14:textId="7D9806A1"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[5]</w:t>
      </w:r>
      <w:r w:rsidRPr="00276062">
        <w:rPr>
          <w:noProof/>
          <w:sz w:val="18"/>
          <w:szCs w:val="24"/>
        </w:rPr>
        <w:tab/>
        <w:t>Chaipanich,</w:t>
      </w:r>
      <w:r w:rsidR="00715576">
        <w:rPr>
          <w:noProof/>
          <w:sz w:val="18"/>
          <w:szCs w:val="24"/>
        </w:rPr>
        <w:t xml:space="preserve"> </w:t>
      </w:r>
      <w:r w:rsidR="00715576" w:rsidRPr="00276062">
        <w:rPr>
          <w:noProof/>
          <w:sz w:val="18"/>
          <w:szCs w:val="24"/>
        </w:rPr>
        <w:t>A.</w:t>
      </w:r>
      <w:r w:rsidR="00715576">
        <w:rPr>
          <w:noProof/>
          <w:sz w:val="18"/>
          <w:szCs w:val="24"/>
        </w:rPr>
        <w:t>,</w:t>
      </w:r>
      <w:r w:rsidRPr="00276062">
        <w:rPr>
          <w:noProof/>
          <w:sz w:val="18"/>
          <w:szCs w:val="24"/>
        </w:rPr>
        <w:t xml:space="preserve"> Rianyoi,</w:t>
      </w:r>
      <w:r w:rsidR="00715576">
        <w:rPr>
          <w:noProof/>
          <w:sz w:val="18"/>
          <w:szCs w:val="24"/>
        </w:rPr>
        <w:t xml:space="preserve"> </w:t>
      </w:r>
      <w:r w:rsidR="00715576" w:rsidRPr="00276062">
        <w:rPr>
          <w:noProof/>
          <w:sz w:val="18"/>
          <w:szCs w:val="24"/>
        </w:rPr>
        <w:t>R.</w:t>
      </w:r>
      <w:r w:rsidR="00715576">
        <w:rPr>
          <w:noProof/>
          <w:sz w:val="18"/>
          <w:szCs w:val="24"/>
        </w:rPr>
        <w:t>,</w:t>
      </w:r>
      <w:r w:rsidRPr="00276062">
        <w:rPr>
          <w:noProof/>
          <w:sz w:val="18"/>
          <w:szCs w:val="24"/>
        </w:rPr>
        <w:t xml:space="preserve"> Nochaiya,</w:t>
      </w:r>
      <w:r w:rsidR="00715576">
        <w:rPr>
          <w:noProof/>
          <w:sz w:val="18"/>
          <w:szCs w:val="24"/>
        </w:rPr>
        <w:t xml:space="preserve"> </w:t>
      </w:r>
      <w:r w:rsidR="00715576" w:rsidRPr="00276062">
        <w:rPr>
          <w:noProof/>
          <w:sz w:val="18"/>
          <w:szCs w:val="24"/>
        </w:rPr>
        <w:t>T.</w:t>
      </w:r>
      <w:r w:rsidR="00715576">
        <w:rPr>
          <w:noProof/>
          <w:sz w:val="18"/>
          <w:szCs w:val="24"/>
        </w:rPr>
        <w:t>,</w:t>
      </w:r>
      <w:r w:rsidRPr="00276062">
        <w:rPr>
          <w:noProof/>
          <w:sz w:val="18"/>
          <w:szCs w:val="24"/>
        </w:rPr>
        <w:t xml:space="preserve"> The effect of carbon nanotubes and silica fume on compressive strength and flexural strength of cement mortars, </w:t>
      </w:r>
      <w:r w:rsidRPr="00715576">
        <w:rPr>
          <w:noProof/>
          <w:sz w:val="18"/>
          <w:szCs w:val="24"/>
        </w:rPr>
        <w:t>Mater. Today Proc.</w:t>
      </w:r>
      <w:r w:rsidRPr="00276062">
        <w:rPr>
          <w:noProof/>
          <w:sz w:val="18"/>
          <w:szCs w:val="24"/>
        </w:rPr>
        <w:t xml:space="preserve">, </w:t>
      </w:r>
      <w:r w:rsidRPr="00715576">
        <w:rPr>
          <w:b/>
          <w:bCs/>
          <w:noProof/>
          <w:sz w:val="18"/>
          <w:szCs w:val="24"/>
        </w:rPr>
        <w:t>4</w:t>
      </w:r>
      <w:r w:rsidR="00715576">
        <w:rPr>
          <w:b/>
          <w:bCs/>
          <w:noProof/>
          <w:sz w:val="18"/>
          <w:szCs w:val="24"/>
        </w:rPr>
        <w:t xml:space="preserve"> </w:t>
      </w:r>
      <w:r w:rsidRPr="00276062">
        <w:rPr>
          <w:noProof/>
          <w:sz w:val="18"/>
          <w:szCs w:val="24"/>
        </w:rPr>
        <w:t>5</w:t>
      </w:r>
      <w:r w:rsidR="00715576">
        <w:rPr>
          <w:noProof/>
          <w:sz w:val="18"/>
          <w:szCs w:val="24"/>
        </w:rPr>
        <w:t xml:space="preserve"> (2017)</w:t>
      </w:r>
      <w:r w:rsidRPr="00276062">
        <w:rPr>
          <w:noProof/>
          <w:sz w:val="18"/>
          <w:szCs w:val="24"/>
        </w:rPr>
        <w:t xml:space="preserve"> 6065–6071.</w:t>
      </w:r>
    </w:p>
    <w:p w14:paraId="28F9C0B9" w14:textId="2326EAF8"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[6]</w:t>
      </w:r>
      <w:r w:rsidRPr="00276062">
        <w:rPr>
          <w:noProof/>
          <w:sz w:val="18"/>
          <w:szCs w:val="24"/>
        </w:rPr>
        <w:tab/>
        <w:t>Akyıldız,</w:t>
      </w:r>
      <w:r w:rsidR="00715576">
        <w:rPr>
          <w:noProof/>
          <w:sz w:val="18"/>
          <w:szCs w:val="24"/>
        </w:rPr>
        <w:t xml:space="preserve"> </w:t>
      </w:r>
      <w:r w:rsidR="00715576" w:rsidRPr="00276062">
        <w:rPr>
          <w:noProof/>
          <w:sz w:val="18"/>
          <w:szCs w:val="24"/>
        </w:rPr>
        <w:t>A.</w:t>
      </w:r>
      <w:r w:rsidR="00715576">
        <w:rPr>
          <w:noProof/>
          <w:sz w:val="18"/>
          <w:szCs w:val="24"/>
        </w:rPr>
        <w:t>,</w:t>
      </w:r>
      <w:r w:rsidRPr="00276062">
        <w:rPr>
          <w:noProof/>
          <w:sz w:val="18"/>
          <w:szCs w:val="24"/>
        </w:rPr>
        <w:t xml:space="preserve"> Köse,</w:t>
      </w:r>
      <w:r w:rsidR="00715576">
        <w:rPr>
          <w:noProof/>
          <w:sz w:val="18"/>
          <w:szCs w:val="24"/>
        </w:rPr>
        <w:t xml:space="preserve"> </w:t>
      </w:r>
      <w:r w:rsidR="00715576" w:rsidRPr="00276062">
        <w:rPr>
          <w:noProof/>
          <w:sz w:val="18"/>
          <w:szCs w:val="24"/>
        </w:rPr>
        <w:t>E. T.</w:t>
      </w:r>
      <w:r w:rsidR="00715576">
        <w:rPr>
          <w:noProof/>
          <w:sz w:val="18"/>
          <w:szCs w:val="24"/>
        </w:rPr>
        <w:t>,</w:t>
      </w:r>
      <w:r w:rsidRPr="00276062">
        <w:rPr>
          <w:noProof/>
          <w:sz w:val="18"/>
          <w:szCs w:val="24"/>
        </w:rPr>
        <w:t xml:space="preserve"> Yıldız,</w:t>
      </w:r>
      <w:r w:rsidR="00715576">
        <w:rPr>
          <w:noProof/>
          <w:sz w:val="18"/>
          <w:szCs w:val="24"/>
        </w:rPr>
        <w:t xml:space="preserve"> </w:t>
      </w:r>
      <w:r w:rsidR="00715576" w:rsidRPr="00276062">
        <w:rPr>
          <w:noProof/>
          <w:sz w:val="18"/>
          <w:szCs w:val="24"/>
        </w:rPr>
        <w:t>A.</w:t>
      </w:r>
      <w:r w:rsidR="00715576">
        <w:rPr>
          <w:noProof/>
          <w:sz w:val="18"/>
          <w:szCs w:val="24"/>
        </w:rPr>
        <w:t>,</w:t>
      </w:r>
      <w:r w:rsidRPr="00276062">
        <w:rPr>
          <w:noProof/>
          <w:sz w:val="18"/>
          <w:szCs w:val="24"/>
        </w:rPr>
        <w:t xml:space="preserve"> Compressive strength and heavy metal leaching of concrete containing medical waste incineration ash, </w:t>
      </w:r>
      <w:r w:rsidRPr="00715576">
        <w:rPr>
          <w:noProof/>
          <w:sz w:val="18"/>
          <w:szCs w:val="24"/>
        </w:rPr>
        <w:t>Constr. Build. Mater.</w:t>
      </w:r>
      <w:r w:rsidRPr="00276062">
        <w:rPr>
          <w:noProof/>
          <w:sz w:val="18"/>
          <w:szCs w:val="24"/>
        </w:rPr>
        <w:t xml:space="preserve"> </w:t>
      </w:r>
      <w:r w:rsidRPr="00715576">
        <w:rPr>
          <w:b/>
          <w:bCs/>
          <w:noProof/>
          <w:sz w:val="18"/>
          <w:szCs w:val="24"/>
        </w:rPr>
        <w:t>138</w:t>
      </w:r>
      <w:r w:rsidR="00715576">
        <w:rPr>
          <w:noProof/>
          <w:sz w:val="18"/>
          <w:szCs w:val="24"/>
        </w:rPr>
        <w:t xml:space="preserve"> (2017) </w:t>
      </w:r>
      <w:r w:rsidRPr="00276062">
        <w:rPr>
          <w:noProof/>
          <w:sz w:val="18"/>
          <w:szCs w:val="24"/>
        </w:rPr>
        <w:t>326–332.</w:t>
      </w:r>
    </w:p>
    <w:p w14:paraId="1063426A" w14:textId="4B20A567"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[7]</w:t>
      </w:r>
      <w:r w:rsidRPr="00276062">
        <w:rPr>
          <w:noProof/>
          <w:sz w:val="18"/>
          <w:szCs w:val="24"/>
        </w:rPr>
        <w:tab/>
        <w:t>Arefi,</w:t>
      </w:r>
      <w:r w:rsidR="00715576">
        <w:rPr>
          <w:noProof/>
          <w:sz w:val="18"/>
          <w:szCs w:val="24"/>
        </w:rPr>
        <w:t xml:space="preserve"> </w:t>
      </w:r>
      <w:r w:rsidR="00715576" w:rsidRPr="00276062">
        <w:rPr>
          <w:noProof/>
          <w:sz w:val="18"/>
          <w:szCs w:val="24"/>
        </w:rPr>
        <w:t>M. R.</w:t>
      </w:r>
      <w:r w:rsidR="00715576">
        <w:rPr>
          <w:noProof/>
          <w:sz w:val="18"/>
          <w:szCs w:val="24"/>
        </w:rPr>
        <w:t>,</w:t>
      </w:r>
      <w:r w:rsidRPr="00276062">
        <w:rPr>
          <w:noProof/>
          <w:sz w:val="18"/>
          <w:szCs w:val="24"/>
        </w:rPr>
        <w:t xml:space="preserve"> Javeri,</w:t>
      </w:r>
      <w:r w:rsidR="00715576">
        <w:rPr>
          <w:noProof/>
          <w:sz w:val="18"/>
          <w:szCs w:val="24"/>
        </w:rPr>
        <w:t xml:space="preserve"> </w:t>
      </w:r>
      <w:r w:rsidR="00715576" w:rsidRPr="00276062">
        <w:rPr>
          <w:noProof/>
          <w:sz w:val="18"/>
          <w:szCs w:val="24"/>
        </w:rPr>
        <w:t>M. R.</w:t>
      </w:r>
      <w:r w:rsidR="00715576">
        <w:rPr>
          <w:noProof/>
          <w:sz w:val="18"/>
          <w:szCs w:val="24"/>
        </w:rPr>
        <w:t>,</w:t>
      </w:r>
      <w:r w:rsidRPr="00276062">
        <w:rPr>
          <w:noProof/>
          <w:sz w:val="18"/>
          <w:szCs w:val="24"/>
        </w:rPr>
        <w:t xml:space="preserve"> Mollaahmadi,</w:t>
      </w:r>
      <w:r w:rsidR="00715576">
        <w:rPr>
          <w:noProof/>
          <w:sz w:val="18"/>
          <w:szCs w:val="24"/>
        </w:rPr>
        <w:t xml:space="preserve"> </w:t>
      </w:r>
      <w:r w:rsidR="00715576" w:rsidRPr="00276062">
        <w:rPr>
          <w:noProof/>
          <w:sz w:val="18"/>
          <w:szCs w:val="24"/>
        </w:rPr>
        <w:t>E.</w:t>
      </w:r>
      <w:r w:rsidR="00715576">
        <w:rPr>
          <w:noProof/>
          <w:sz w:val="18"/>
          <w:szCs w:val="24"/>
        </w:rPr>
        <w:t>,</w:t>
      </w:r>
      <w:r w:rsidRPr="00276062">
        <w:rPr>
          <w:noProof/>
          <w:sz w:val="18"/>
          <w:szCs w:val="24"/>
        </w:rPr>
        <w:t xml:space="preserve"> To study the effect of adding Fe</w:t>
      </w:r>
      <w:r w:rsidRPr="00715576">
        <w:rPr>
          <w:noProof/>
          <w:sz w:val="18"/>
          <w:szCs w:val="24"/>
          <w:vertAlign w:val="subscript"/>
        </w:rPr>
        <w:t>2</w:t>
      </w:r>
      <w:r w:rsidRPr="00276062">
        <w:rPr>
          <w:noProof/>
          <w:sz w:val="18"/>
          <w:szCs w:val="24"/>
        </w:rPr>
        <w:t>O</w:t>
      </w:r>
      <w:r w:rsidRPr="00715576">
        <w:rPr>
          <w:noProof/>
          <w:sz w:val="18"/>
          <w:szCs w:val="24"/>
          <w:vertAlign w:val="subscript"/>
        </w:rPr>
        <w:t>3</w:t>
      </w:r>
      <w:r w:rsidRPr="00276062">
        <w:rPr>
          <w:noProof/>
          <w:sz w:val="18"/>
          <w:szCs w:val="24"/>
        </w:rPr>
        <w:t xml:space="preserve"> Nanoparticle on the mechanical properties and microstructure of cementmortar, </w:t>
      </w:r>
      <w:r w:rsidRPr="00715576">
        <w:rPr>
          <w:noProof/>
          <w:sz w:val="18"/>
          <w:szCs w:val="24"/>
        </w:rPr>
        <w:t>Life Sci. J.</w:t>
      </w:r>
      <w:r w:rsidR="00715576">
        <w:rPr>
          <w:noProof/>
          <w:sz w:val="18"/>
          <w:szCs w:val="24"/>
        </w:rPr>
        <w:t xml:space="preserve"> </w:t>
      </w:r>
      <w:r w:rsidRPr="00715576">
        <w:rPr>
          <w:b/>
          <w:bCs/>
          <w:noProof/>
          <w:sz w:val="18"/>
          <w:szCs w:val="24"/>
        </w:rPr>
        <w:t>8</w:t>
      </w:r>
      <w:r w:rsidR="00715576">
        <w:rPr>
          <w:b/>
          <w:bCs/>
          <w:noProof/>
          <w:sz w:val="18"/>
          <w:szCs w:val="24"/>
        </w:rPr>
        <w:t xml:space="preserve"> </w:t>
      </w:r>
      <w:r w:rsidRPr="00276062">
        <w:rPr>
          <w:noProof/>
          <w:sz w:val="18"/>
          <w:szCs w:val="24"/>
        </w:rPr>
        <w:t>4</w:t>
      </w:r>
      <w:r w:rsidR="00715576">
        <w:rPr>
          <w:noProof/>
          <w:sz w:val="18"/>
          <w:szCs w:val="24"/>
        </w:rPr>
        <w:t xml:space="preserve"> (2011) </w:t>
      </w:r>
      <w:r w:rsidRPr="00276062">
        <w:rPr>
          <w:noProof/>
          <w:sz w:val="18"/>
          <w:szCs w:val="24"/>
        </w:rPr>
        <w:t>613–617.</w:t>
      </w:r>
    </w:p>
    <w:p w14:paraId="4AF7A1BE" w14:textId="1FE1243C" w:rsidR="00276062" w:rsidRPr="00276062" w:rsidRDefault="00276062" w:rsidP="00F679E4">
      <w:pPr>
        <w:widowControl w:val="0"/>
        <w:spacing w:line="240" w:lineRule="atLeast"/>
        <w:ind w:left="640" w:hanging="640"/>
        <w:jc w:val="thaiDistribute"/>
        <w:rPr>
          <w:noProof/>
          <w:sz w:val="18"/>
          <w:szCs w:val="24"/>
        </w:rPr>
      </w:pPr>
      <w:r w:rsidRPr="00276062">
        <w:rPr>
          <w:noProof/>
          <w:sz w:val="18"/>
          <w:szCs w:val="24"/>
        </w:rPr>
        <w:t>[8]</w:t>
      </w:r>
      <w:r w:rsidRPr="00276062">
        <w:rPr>
          <w:noProof/>
          <w:sz w:val="18"/>
          <w:szCs w:val="24"/>
        </w:rPr>
        <w:tab/>
        <w:t>Laili,</w:t>
      </w:r>
      <w:r w:rsidR="00715576">
        <w:rPr>
          <w:noProof/>
          <w:sz w:val="18"/>
          <w:szCs w:val="24"/>
        </w:rPr>
        <w:t xml:space="preserve"> </w:t>
      </w:r>
      <w:r w:rsidR="00715576" w:rsidRPr="00276062">
        <w:rPr>
          <w:noProof/>
          <w:sz w:val="18"/>
          <w:szCs w:val="24"/>
        </w:rPr>
        <w:t>Z.</w:t>
      </w:r>
      <w:r w:rsidR="00715576">
        <w:rPr>
          <w:noProof/>
          <w:sz w:val="18"/>
          <w:szCs w:val="24"/>
        </w:rPr>
        <w:t>,</w:t>
      </w:r>
      <w:r w:rsidRPr="00276062">
        <w:rPr>
          <w:noProof/>
          <w:sz w:val="18"/>
          <w:szCs w:val="24"/>
        </w:rPr>
        <w:t xml:space="preserve"> Yasir,</w:t>
      </w:r>
      <w:r w:rsidR="00B337C9">
        <w:rPr>
          <w:noProof/>
          <w:sz w:val="18"/>
          <w:szCs w:val="24"/>
        </w:rPr>
        <w:t xml:space="preserve"> </w:t>
      </w:r>
      <w:r w:rsidR="00B337C9" w:rsidRPr="00276062">
        <w:rPr>
          <w:noProof/>
          <w:sz w:val="18"/>
          <w:szCs w:val="24"/>
        </w:rPr>
        <w:t>M. S.</w:t>
      </w:r>
      <w:r w:rsidR="00B337C9">
        <w:rPr>
          <w:noProof/>
          <w:sz w:val="18"/>
          <w:szCs w:val="24"/>
        </w:rPr>
        <w:t>,</w:t>
      </w:r>
      <w:r w:rsidRPr="00276062">
        <w:rPr>
          <w:noProof/>
          <w:sz w:val="18"/>
          <w:szCs w:val="24"/>
        </w:rPr>
        <w:t xml:space="preserve"> Yusof,</w:t>
      </w:r>
      <w:r w:rsidR="00B337C9">
        <w:rPr>
          <w:noProof/>
          <w:sz w:val="18"/>
          <w:szCs w:val="24"/>
        </w:rPr>
        <w:t xml:space="preserve"> </w:t>
      </w:r>
      <w:r w:rsidR="00B337C9" w:rsidRPr="00276062">
        <w:rPr>
          <w:noProof/>
          <w:sz w:val="18"/>
          <w:szCs w:val="24"/>
        </w:rPr>
        <w:t>M. A. W.</w:t>
      </w:r>
      <w:r w:rsidR="00B337C9">
        <w:rPr>
          <w:noProof/>
          <w:sz w:val="18"/>
          <w:szCs w:val="24"/>
        </w:rPr>
        <w:t>,</w:t>
      </w:r>
      <w:r w:rsidRPr="00276062">
        <w:rPr>
          <w:noProof/>
          <w:sz w:val="18"/>
          <w:szCs w:val="24"/>
        </w:rPr>
        <w:t xml:space="preserve"> Leaching behaviour of Cs-134 immobilised in cement-biochar matrix, </w:t>
      </w:r>
      <w:r w:rsidRPr="00B337C9">
        <w:rPr>
          <w:noProof/>
          <w:sz w:val="18"/>
          <w:szCs w:val="24"/>
        </w:rPr>
        <w:t>J. Teknol.</w:t>
      </w:r>
      <w:r w:rsidR="00B337C9">
        <w:rPr>
          <w:noProof/>
          <w:sz w:val="18"/>
          <w:szCs w:val="24"/>
        </w:rPr>
        <w:t xml:space="preserve"> </w:t>
      </w:r>
      <w:r w:rsidRPr="00B337C9">
        <w:rPr>
          <w:b/>
          <w:bCs/>
          <w:noProof/>
          <w:sz w:val="18"/>
          <w:szCs w:val="24"/>
        </w:rPr>
        <w:t>78</w:t>
      </w:r>
      <w:r w:rsidR="00B337C9">
        <w:rPr>
          <w:b/>
          <w:bCs/>
          <w:noProof/>
          <w:sz w:val="18"/>
          <w:szCs w:val="24"/>
        </w:rPr>
        <w:t xml:space="preserve"> </w:t>
      </w:r>
      <w:r w:rsidRPr="00276062">
        <w:rPr>
          <w:noProof/>
          <w:sz w:val="18"/>
          <w:szCs w:val="24"/>
        </w:rPr>
        <w:t>7</w:t>
      </w:r>
      <w:r w:rsidR="00B337C9">
        <w:rPr>
          <w:noProof/>
          <w:sz w:val="18"/>
          <w:szCs w:val="24"/>
        </w:rPr>
        <w:t xml:space="preserve"> (2016) </w:t>
      </w:r>
      <w:r w:rsidRPr="00276062">
        <w:rPr>
          <w:noProof/>
          <w:sz w:val="18"/>
          <w:szCs w:val="24"/>
        </w:rPr>
        <w:t>59–67.</w:t>
      </w:r>
    </w:p>
    <w:p w14:paraId="1904C992" w14:textId="06DE76BB" w:rsidR="00276062" w:rsidRPr="00276062" w:rsidRDefault="00276062" w:rsidP="00F679E4">
      <w:pPr>
        <w:widowControl w:val="0"/>
        <w:spacing w:line="240" w:lineRule="atLeast"/>
        <w:ind w:left="640" w:hanging="640"/>
        <w:jc w:val="thaiDistribute"/>
        <w:rPr>
          <w:noProof/>
          <w:sz w:val="18"/>
        </w:rPr>
      </w:pPr>
      <w:r w:rsidRPr="00276062">
        <w:rPr>
          <w:noProof/>
          <w:sz w:val="18"/>
          <w:szCs w:val="24"/>
        </w:rPr>
        <w:t>[9]</w:t>
      </w:r>
      <w:r w:rsidRPr="00276062">
        <w:rPr>
          <w:noProof/>
          <w:sz w:val="18"/>
          <w:szCs w:val="24"/>
        </w:rPr>
        <w:tab/>
        <w:t>Koo,</w:t>
      </w:r>
      <w:r w:rsidR="00B337C9">
        <w:rPr>
          <w:noProof/>
          <w:sz w:val="18"/>
          <w:szCs w:val="24"/>
        </w:rPr>
        <w:t xml:space="preserve"> </w:t>
      </w:r>
      <w:r w:rsidR="00B337C9" w:rsidRPr="00276062">
        <w:rPr>
          <w:noProof/>
          <w:sz w:val="18"/>
          <w:szCs w:val="24"/>
        </w:rPr>
        <w:t>D. S.</w:t>
      </w:r>
      <w:r w:rsidR="00B337C9">
        <w:rPr>
          <w:noProof/>
          <w:sz w:val="18"/>
          <w:szCs w:val="24"/>
        </w:rPr>
        <w:t>,</w:t>
      </w:r>
      <w:r w:rsidRPr="00276062">
        <w:rPr>
          <w:noProof/>
          <w:sz w:val="18"/>
          <w:szCs w:val="24"/>
        </w:rPr>
        <w:t xml:space="preserve"> Sung,</w:t>
      </w:r>
      <w:r w:rsidR="00B337C9">
        <w:rPr>
          <w:noProof/>
          <w:sz w:val="18"/>
          <w:szCs w:val="24"/>
        </w:rPr>
        <w:t xml:space="preserve"> </w:t>
      </w:r>
      <w:r w:rsidR="00B337C9" w:rsidRPr="00276062">
        <w:rPr>
          <w:noProof/>
          <w:sz w:val="18"/>
          <w:szCs w:val="24"/>
        </w:rPr>
        <w:t>H. H.</w:t>
      </w:r>
      <w:r w:rsidR="00B337C9">
        <w:rPr>
          <w:noProof/>
          <w:sz w:val="18"/>
          <w:szCs w:val="24"/>
        </w:rPr>
        <w:t>,</w:t>
      </w:r>
      <w:r w:rsidRPr="00276062">
        <w:rPr>
          <w:noProof/>
          <w:sz w:val="18"/>
          <w:szCs w:val="24"/>
        </w:rPr>
        <w:t xml:space="preserve"> Kim,</w:t>
      </w:r>
      <w:r w:rsidR="00B337C9">
        <w:rPr>
          <w:noProof/>
          <w:sz w:val="18"/>
          <w:szCs w:val="24"/>
        </w:rPr>
        <w:t xml:space="preserve"> </w:t>
      </w:r>
      <w:r w:rsidR="00B337C9" w:rsidRPr="00276062">
        <w:rPr>
          <w:noProof/>
          <w:sz w:val="18"/>
          <w:szCs w:val="24"/>
        </w:rPr>
        <w:t>S. S.</w:t>
      </w:r>
      <w:r w:rsidR="00B337C9">
        <w:rPr>
          <w:noProof/>
          <w:sz w:val="18"/>
          <w:szCs w:val="24"/>
        </w:rPr>
        <w:t>,</w:t>
      </w:r>
      <w:r w:rsidRPr="00276062">
        <w:rPr>
          <w:noProof/>
          <w:sz w:val="18"/>
          <w:szCs w:val="24"/>
        </w:rPr>
        <w:t xml:space="preserve"> Kim,</w:t>
      </w:r>
      <w:r w:rsidR="00B337C9">
        <w:rPr>
          <w:noProof/>
          <w:sz w:val="18"/>
          <w:szCs w:val="24"/>
        </w:rPr>
        <w:t xml:space="preserve"> </w:t>
      </w:r>
      <w:r w:rsidR="00B337C9" w:rsidRPr="00276062">
        <w:rPr>
          <w:noProof/>
          <w:sz w:val="18"/>
          <w:szCs w:val="24"/>
        </w:rPr>
        <w:t>G. N.</w:t>
      </w:r>
      <w:r w:rsidR="00B337C9">
        <w:rPr>
          <w:noProof/>
          <w:sz w:val="18"/>
          <w:szCs w:val="24"/>
        </w:rPr>
        <w:t>,</w:t>
      </w:r>
      <w:r w:rsidRPr="00276062">
        <w:rPr>
          <w:noProof/>
          <w:sz w:val="18"/>
          <w:szCs w:val="24"/>
        </w:rPr>
        <w:t xml:space="preserve"> Choi,</w:t>
      </w:r>
      <w:r w:rsidR="00B337C9">
        <w:rPr>
          <w:noProof/>
          <w:sz w:val="18"/>
          <w:szCs w:val="24"/>
        </w:rPr>
        <w:t xml:space="preserve"> </w:t>
      </w:r>
      <w:r w:rsidR="00B337C9" w:rsidRPr="00276062">
        <w:rPr>
          <w:noProof/>
          <w:sz w:val="18"/>
          <w:szCs w:val="24"/>
        </w:rPr>
        <w:t>J. W.</w:t>
      </w:r>
      <w:r w:rsidR="00B337C9">
        <w:rPr>
          <w:noProof/>
          <w:sz w:val="18"/>
          <w:szCs w:val="24"/>
        </w:rPr>
        <w:t>,</w:t>
      </w:r>
      <w:r w:rsidRPr="00276062">
        <w:rPr>
          <w:noProof/>
          <w:sz w:val="18"/>
          <w:szCs w:val="24"/>
        </w:rPr>
        <w:t xml:space="preserve"> Characteristics of Cement Solidification of Metal Hydroxide Waste, </w:t>
      </w:r>
      <w:r w:rsidRPr="00B337C9">
        <w:rPr>
          <w:noProof/>
          <w:sz w:val="18"/>
          <w:szCs w:val="24"/>
        </w:rPr>
        <w:t>Nucl. Eng. Technol.</w:t>
      </w:r>
      <w:r w:rsidRPr="00276062">
        <w:rPr>
          <w:noProof/>
          <w:sz w:val="18"/>
          <w:szCs w:val="24"/>
        </w:rPr>
        <w:t xml:space="preserve"> </w:t>
      </w:r>
      <w:r w:rsidRPr="00B337C9">
        <w:rPr>
          <w:b/>
          <w:bCs/>
          <w:noProof/>
          <w:sz w:val="18"/>
          <w:szCs w:val="24"/>
        </w:rPr>
        <w:t>49</w:t>
      </w:r>
      <w:r w:rsidR="00B337C9">
        <w:rPr>
          <w:b/>
          <w:bCs/>
          <w:noProof/>
          <w:sz w:val="18"/>
          <w:szCs w:val="24"/>
        </w:rPr>
        <w:t xml:space="preserve"> </w:t>
      </w:r>
      <w:r w:rsidRPr="00276062">
        <w:rPr>
          <w:noProof/>
          <w:sz w:val="18"/>
          <w:szCs w:val="24"/>
        </w:rPr>
        <w:t>1</w:t>
      </w:r>
      <w:r w:rsidR="00B337C9">
        <w:rPr>
          <w:noProof/>
          <w:sz w:val="18"/>
          <w:szCs w:val="24"/>
        </w:rPr>
        <w:t xml:space="preserve"> (2017) </w:t>
      </w:r>
      <w:r w:rsidRPr="00276062">
        <w:rPr>
          <w:noProof/>
          <w:sz w:val="18"/>
          <w:szCs w:val="24"/>
        </w:rPr>
        <w:t>165–171.</w:t>
      </w:r>
    </w:p>
    <w:p w14:paraId="433FE0B6" w14:textId="1F05C998" w:rsidR="00F45EEE" w:rsidRPr="00662532" w:rsidRDefault="00E441B2" w:rsidP="00C15BFE">
      <w:pPr>
        <w:pStyle w:val="Referencelist"/>
        <w:numPr>
          <w:ilvl w:val="0"/>
          <w:numId w:val="0"/>
        </w:numPr>
        <w:jc w:val="thaiDistribute"/>
      </w:pPr>
      <w:r w:rsidRPr="00276062">
        <w:fldChar w:fldCharType="end"/>
      </w:r>
    </w:p>
    <w:sectPr w:rsidR="00F45EEE" w:rsidRPr="00662532"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4146" w14:textId="77777777" w:rsidR="005774C3" w:rsidRDefault="005774C3">
      <w:r>
        <w:separator/>
      </w:r>
    </w:p>
  </w:endnote>
  <w:endnote w:type="continuationSeparator" w:id="0">
    <w:p w14:paraId="0E601650" w14:textId="77777777" w:rsidR="005774C3" w:rsidRDefault="0057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DF4D" w14:textId="77777777" w:rsidR="005774C3" w:rsidRDefault="005774C3">
      <w:r>
        <w:t>___________________________________________________________________________</w:t>
      </w:r>
    </w:p>
  </w:footnote>
  <w:footnote w:type="continuationSeparator" w:id="0">
    <w:p w14:paraId="160C293E" w14:textId="77777777" w:rsidR="005774C3" w:rsidRDefault="005774C3">
      <w:r>
        <w:t>___________________________________________________________________________</w:t>
      </w:r>
    </w:p>
  </w:footnote>
  <w:footnote w:type="continuationNotice" w:id="1">
    <w:p w14:paraId="160B0EA0" w14:textId="77777777" w:rsidR="005774C3" w:rsidRDefault="00577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480CD3AC" w:rsidR="00CF7AF3" w:rsidRDefault="00CF7AF3" w:rsidP="00CF7AF3">
    <w:pPr>
      <w:pStyle w:val="Runninghead"/>
    </w:pPr>
    <w:r>
      <w:tab/>
      <w:t>IAEA-CN-</w:t>
    </w:r>
    <w:r w:rsidR="00185A51">
      <w:t>294</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1A16BB17" w:rsidR="00E20E70" w:rsidRPr="003C3A99" w:rsidRDefault="003C3A99" w:rsidP="00B82FA5">
    <w:pPr>
      <w:pStyle w:val="Runninghead"/>
      <w:rPr>
        <w:rFonts w:cs="Angsana New"/>
        <w:szCs w:val="20"/>
        <w:lang w:val="en-US" w:bidi="th-TH"/>
      </w:rPr>
    </w:pPr>
    <w:r>
      <w:rPr>
        <w:rFonts w:cs="Angsana New"/>
        <w:szCs w:val="20"/>
        <w:lang w:val="en-US" w:bidi="th-TH"/>
      </w:rPr>
      <w:t>SUDARAT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0E01748"/>
    <w:multiLevelType w:val="hybridMultilevel"/>
    <w:tmpl w:val="398C39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7BA"/>
    <w:rsid w:val="000229AB"/>
    <w:rsid w:val="000229F4"/>
    <w:rsid w:val="0002569A"/>
    <w:rsid w:val="00037321"/>
    <w:rsid w:val="00073AA5"/>
    <w:rsid w:val="00086A1A"/>
    <w:rsid w:val="00097639"/>
    <w:rsid w:val="000A0299"/>
    <w:rsid w:val="000A2990"/>
    <w:rsid w:val="000A334A"/>
    <w:rsid w:val="000D0C34"/>
    <w:rsid w:val="000D47E4"/>
    <w:rsid w:val="000F74DD"/>
    <w:rsid w:val="000F7E94"/>
    <w:rsid w:val="001119D6"/>
    <w:rsid w:val="00122C32"/>
    <w:rsid w:val="00123064"/>
    <w:rsid w:val="00130017"/>
    <w:rsid w:val="001308F2"/>
    <w:rsid w:val="001313E8"/>
    <w:rsid w:val="00134F94"/>
    <w:rsid w:val="00136408"/>
    <w:rsid w:val="00175B4E"/>
    <w:rsid w:val="001775CA"/>
    <w:rsid w:val="00183BC4"/>
    <w:rsid w:val="00185A51"/>
    <w:rsid w:val="001A7695"/>
    <w:rsid w:val="001B7752"/>
    <w:rsid w:val="001C58F5"/>
    <w:rsid w:val="001C6AC2"/>
    <w:rsid w:val="001D4228"/>
    <w:rsid w:val="001D5CEE"/>
    <w:rsid w:val="001F4B98"/>
    <w:rsid w:val="001F7D27"/>
    <w:rsid w:val="002071D9"/>
    <w:rsid w:val="002169D5"/>
    <w:rsid w:val="002362BC"/>
    <w:rsid w:val="00243648"/>
    <w:rsid w:val="00246FFF"/>
    <w:rsid w:val="00256822"/>
    <w:rsid w:val="0026525A"/>
    <w:rsid w:val="0027162F"/>
    <w:rsid w:val="00274790"/>
    <w:rsid w:val="00276062"/>
    <w:rsid w:val="002831FF"/>
    <w:rsid w:val="00285755"/>
    <w:rsid w:val="002A16B8"/>
    <w:rsid w:val="002A1F9C"/>
    <w:rsid w:val="002B29C2"/>
    <w:rsid w:val="002C4208"/>
    <w:rsid w:val="002D56A8"/>
    <w:rsid w:val="00316063"/>
    <w:rsid w:val="003321B6"/>
    <w:rsid w:val="00335262"/>
    <w:rsid w:val="00352DE1"/>
    <w:rsid w:val="0037058D"/>
    <w:rsid w:val="003728E6"/>
    <w:rsid w:val="0039112C"/>
    <w:rsid w:val="00392935"/>
    <w:rsid w:val="003963B3"/>
    <w:rsid w:val="003B2DCF"/>
    <w:rsid w:val="003B3E60"/>
    <w:rsid w:val="003B5E0E"/>
    <w:rsid w:val="003C1DDA"/>
    <w:rsid w:val="003C3A99"/>
    <w:rsid w:val="003D255A"/>
    <w:rsid w:val="003F437A"/>
    <w:rsid w:val="003F6394"/>
    <w:rsid w:val="00403D85"/>
    <w:rsid w:val="00416949"/>
    <w:rsid w:val="004370D8"/>
    <w:rsid w:val="00440244"/>
    <w:rsid w:val="00461D0C"/>
    <w:rsid w:val="00472C43"/>
    <w:rsid w:val="00481A35"/>
    <w:rsid w:val="00490961"/>
    <w:rsid w:val="004C384F"/>
    <w:rsid w:val="004E066E"/>
    <w:rsid w:val="0050321D"/>
    <w:rsid w:val="00511828"/>
    <w:rsid w:val="00511AC8"/>
    <w:rsid w:val="00522B4A"/>
    <w:rsid w:val="00525D94"/>
    <w:rsid w:val="00537496"/>
    <w:rsid w:val="00544ED3"/>
    <w:rsid w:val="00557320"/>
    <w:rsid w:val="005774C3"/>
    <w:rsid w:val="0058477B"/>
    <w:rsid w:val="0058654F"/>
    <w:rsid w:val="00596ACA"/>
    <w:rsid w:val="005A7A80"/>
    <w:rsid w:val="005C6DB1"/>
    <w:rsid w:val="005E2B40"/>
    <w:rsid w:val="005E39BC"/>
    <w:rsid w:val="005F00A0"/>
    <w:rsid w:val="005F60B4"/>
    <w:rsid w:val="005F7CFA"/>
    <w:rsid w:val="00611F4B"/>
    <w:rsid w:val="00612951"/>
    <w:rsid w:val="00620BD5"/>
    <w:rsid w:val="006249CF"/>
    <w:rsid w:val="00646C05"/>
    <w:rsid w:val="00647F33"/>
    <w:rsid w:val="006609C6"/>
    <w:rsid w:val="00662532"/>
    <w:rsid w:val="006A310C"/>
    <w:rsid w:val="006B2274"/>
    <w:rsid w:val="006F6522"/>
    <w:rsid w:val="00715576"/>
    <w:rsid w:val="00717AFD"/>
    <w:rsid w:val="00717C6F"/>
    <w:rsid w:val="00743D9B"/>
    <w:rsid w:val="007445DA"/>
    <w:rsid w:val="00772A02"/>
    <w:rsid w:val="007762B9"/>
    <w:rsid w:val="00792526"/>
    <w:rsid w:val="007A0FB1"/>
    <w:rsid w:val="007B2F8C"/>
    <w:rsid w:val="007B4FD1"/>
    <w:rsid w:val="007C34DD"/>
    <w:rsid w:val="007D44EC"/>
    <w:rsid w:val="007F1672"/>
    <w:rsid w:val="007F5BF3"/>
    <w:rsid w:val="007F73D7"/>
    <w:rsid w:val="00802381"/>
    <w:rsid w:val="00802A38"/>
    <w:rsid w:val="00816BF9"/>
    <w:rsid w:val="00854CA7"/>
    <w:rsid w:val="008814F0"/>
    <w:rsid w:val="00883848"/>
    <w:rsid w:val="008960DE"/>
    <w:rsid w:val="00897ED5"/>
    <w:rsid w:val="008B6BB9"/>
    <w:rsid w:val="008D500E"/>
    <w:rsid w:val="008D507F"/>
    <w:rsid w:val="008E1907"/>
    <w:rsid w:val="009016BD"/>
    <w:rsid w:val="00911543"/>
    <w:rsid w:val="00914366"/>
    <w:rsid w:val="009170D7"/>
    <w:rsid w:val="00924E57"/>
    <w:rsid w:val="009519C9"/>
    <w:rsid w:val="00952271"/>
    <w:rsid w:val="009522BE"/>
    <w:rsid w:val="0095400E"/>
    <w:rsid w:val="009544F6"/>
    <w:rsid w:val="009613F7"/>
    <w:rsid w:val="00986903"/>
    <w:rsid w:val="00987E91"/>
    <w:rsid w:val="0099700F"/>
    <w:rsid w:val="009A2B65"/>
    <w:rsid w:val="009D0B86"/>
    <w:rsid w:val="009D3CE7"/>
    <w:rsid w:val="009E0D5B"/>
    <w:rsid w:val="009E1558"/>
    <w:rsid w:val="009E51FD"/>
    <w:rsid w:val="009E5B5E"/>
    <w:rsid w:val="009E6F75"/>
    <w:rsid w:val="00A112DE"/>
    <w:rsid w:val="00A1727F"/>
    <w:rsid w:val="00A42898"/>
    <w:rsid w:val="00A71E34"/>
    <w:rsid w:val="00A86476"/>
    <w:rsid w:val="00AA544E"/>
    <w:rsid w:val="00AB6ACE"/>
    <w:rsid w:val="00AC5A3A"/>
    <w:rsid w:val="00AD177B"/>
    <w:rsid w:val="00AE67A8"/>
    <w:rsid w:val="00B337C9"/>
    <w:rsid w:val="00B5190A"/>
    <w:rsid w:val="00B51D12"/>
    <w:rsid w:val="00B81043"/>
    <w:rsid w:val="00B82FA5"/>
    <w:rsid w:val="00B94D4E"/>
    <w:rsid w:val="00B97B74"/>
    <w:rsid w:val="00BA6F38"/>
    <w:rsid w:val="00BC0DCA"/>
    <w:rsid w:val="00BC768B"/>
    <w:rsid w:val="00BD1400"/>
    <w:rsid w:val="00BD605C"/>
    <w:rsid w:val="00BE2A76"/>
    <w:rsid w:val="00BF17ED"/>
    <w:rsid w:val="00C235B2"/>
    <w:rsid w:val="00C33BF9"/>
    <w:rsid w:val="00C34C15"/>
    <w:rsid w:val="00C61F7B"/>
    <w:rsid w:val="00C65E60"/>
    <w:rsid w:val="00C710C6"/>
    <w:rsid w:val="00C83CF1"/>
    <w:rsid w:val="00CE11C3"/>
    <w:rsid w:val="00CE5A52"/>
    <w:rsid w:val="00CF7AF3"/>
    <w:rsid w:val="00D26ADA"/>
    <w:rsid w:val="00D35A78"/>
    <w:rsid w:val="00D45A56"/>
    <w:rsid w:val="00D54360"/>
    <w:rsid w:val="00D555A1"/>
    <w:rsid w:val="00D64DC2"/>
    <w:rsid w:val="00DA46CA"/>
    <w:rsid w:val="00DB692A"/>
    <w:rsid w:val="00DC763A"/>
    <w:rsid w:val="00DF21EB"/>
    <w:rsid w:val="00E0414D"/>
    <w:rsid w:val="00E20E70"/>
    <w:rsid w:val="00E25B68"/>
    <w:rsid w:val="00E34F9F"/>
    <w:rsid w:val="00E441B2"/>
    <w:rsid w:val="00E460FF"/>
    <w:rsid w:val="00E55588"/>
    <w:rsid w:val="00E66548"/>
    <w:rsid w:val="00E84003"/>
    <w:rsid w:val="00EA3FA8"/>
    <w:rsid w:val="00EB13DF"/>
    <w:rsid w:val="00EC10FC"/>
    <w:rsid w:val="00EC3221"/>
    <w:rsid w:val="00EC5334"/>
    <w:rsid w:val="00ED0A99"/>
    <w:rsid w:val="00EE0041"/>
    <w:rsid w:val="00EE29B9"/>
    <w:rsid w:val="00F004EE"/>
    <w:rsid w:val="00F01482"/>
    <w:rsid w:val="00F17B69"/>
    <w:rsid w:val="00F24825"/>
    <w:rsid w:val="00F34028"/>
    <w:rsid w:val="00F42E23"/>
    <w:rsid w:val="00F45EEE"/>
    <w:rsid w:val="00F51E9C"/>
    <w:rsid w:val="00F523CA"/>
    <w:rsid w:val="00F679E4"/>
    <w:rsid w:val="00F74A9D"/>
    <w:rsid w:val="00F85D8C"/>
    <w:rsid w:val="00FC56BA"/>
    <w:rsid w:val="00FE0571"/>
    <w:rsid w:val="00FF386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PlaceholderText">
    <w:name w:val="Placeholder Text"/>
    <w:basedOn w:val="DefaultParagraphFont"/>
    <w:uiPriority w:val="99"/>
    <w:semiHidden/>
    <w:locked/>
    <w:rsid w:val="005F60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7528">
      <w:bodyDiv w:val="1"/>
      <w:marLeft w:val="0"/>
      <w:marRight w:val="0"/>
      <w:marTop w:val="0"/>
      <w:marBottom w:val="0"/>
      <w:divBdr>
        <w:top w:val="none" w:sz="0" w:space="0" w:color="auto"/>
        <w:left w:val="none" w:sz="0" w:space="0" w:color="auto"/>
        <w:bottom w:val="none" w:sz="0" w:space="0" w:color="auto"/>
        <w:right w:val="none" w:sz="0" w:space="0" w:color="auto"/>
      </w:divBdr>
    </w:div>
    <w:div w:id="1225602330">
      <w:bodyDiv w:val="1"/>
      <w:marLeft w:val="0"/>
      <w:marRight w:val="0"/>
      <w:marTop w:val="0"/>
      <w:marBottom w:val="0"/>
      <w:divBdr>
        <w:top w:val="none" w:sz="0" w:space="0" w:color="auto"/>
        <w:left w:val="none" w:sz="0" w:space="0" w:color="auto"/>
        <w:bottom w:val="none" w:sz="0" w:space="0" w:color="auto"/>
        <w:right w:val="none" w:sz="0" w:space="0" w:color="auto"/>
      </w:divBdr>
    </w:div>
    <w:div w:id="16850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5.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3043</TotalTime>
  <Pages>5</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Sudarat Issarapanacheewin</cp:lastModifiedBy>
  <cp:revision>64</cp:revision>
  <cp:lastPrinted>2015-12-01T10:27:00Z</cp:lastPrinted>
  <dcterms:created xsi:type="dcterms:W3CDTF">2021-05-19T04:34:00Z</dcterms:created>
  <dcterms:modified xsi:type="dcterms:W3CDTF">2021-07-12T07:31:00Z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 11th edition</vt:lpwstr>
  </property>
  <property fmtid="{D5CDD505-2E9C-101B-9397-08002B2CF9AE}" pid="15" name="Mendeley Recent Style Id 1_1">
    <vt:lpwstr>http://www.zotero.org/styles/american-political-science-association</vt:lpwstr>
  </property>
  <property fmtid="{D5CDD505-2E9C-101B-9397-08002B2CF9AE}" pid="16" name="Mendeley Recent Style Name 1_1">
    <vt:lpwstr>American Political Science Association</vt:lpwstr>
  </property>
  <property fmtid="{D5CDD505-2E9C-101B-9397-08002B2CF9AE}" pid="17" name="Mendeley Recent Style Id 2_1">
    <vt:lpwstr>http://www.zotero.org/styles/apa</vt:lpwstr>
  </property>
  <property fmtid="{D5CDD505-2E9C-101B-9397-08002B2CF9AE}" pid="18" name="Mendeley Recent Style Name 2_1">
    <vt:lpwstr>American Psychological Association 7th edition</vt:lpwstr>
  </property>
  <property fmtid="{D5CDD505-2E9C-101B-9397-08002B2CF9AE}" pid="19" name="Mendeley Recent Style Id 3_1">
    <vt:lpwstr>http://www.zotero.org/styles/american-sociological-association</vt:lpwstr>
  </property>
  <property fmtid="{D5CDD505-2E9C-101B-9397-08002B2CF9AE}" pid="20" name="Mendeley Recent Style Name 3_1">
    <vt:lpwstr>American Sociological Association 6th edition</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http://www.zotero.org/styles/harvard-cite-them-right</vt:lpwstr>
  </property>
  <property fmtid="{D5CDD505-2E9C-101B-9397-08002B2CF9AE}" pid="24" name="Mendeley Recent Style Name 5_1">
    <vt:lpwstr>Cite Them Right 10th edition - Harvard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8th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y fmtid="{D5CDD505-2E9C-101B-9397-08002B2CF9AE}" pid="33" name="Mendeley Document_1">
    <vt:lpwstr>True</vt:lpwstr>
  </property>
  <property fmtid="{D5CDD505-2E9C-101B-9397-08002B2CF9AE}" pid="34" name="Mendeley Unique User Id_1">
    <vt:lpwstr>91fbef42-cf3f-3031-87d4-c84ac8f0b11f</vt:lpwstr>
  </property>
  <property fmtid="{D5CDD505-2E9C-101B-9397-08002B2CF9AE}" pid="35" name="Mendeley Citation Style_1">
    <vt:lpwstr>http://www.zotero.org/styles/ieee</vt:lpwstr>
  </property>
</Properties>
</file>