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E345" w14:textId="77777777" w:rsidR="008A432C" w:rsidRDefault="003377E5" w:rsidP="00537496">
      <w:pPr>
        <w:pStyle w:val="Titolo1"/>
      </w:pPr>
      <w:r>
        <w:t xml:space="preserve">ELECTROCHEMICAL DECONTAMINATION </w:t>
      </w:r>
      <w:r w:rsidR="008A432C">
        <w:t>OF</w:t>
      </w:r>
    </w:p>
    <w:p w14:paraId="07CAA3CA" w14:textId="77777777" w:rsidR="00310AAF" w:rsidRDefault="008F3BF8" w:rsidP="00537496">
      <w:pPr>
        <w:pStyle w:val="Titolo1"/>
      </w:pPr>
      <w:r>
        <w:t>RADIOACTIVE SOLUTIONS FROM</w:t>
      </w:r>
    </w:p>
    <w:p w14:paraId="0375E4AA" w14:textId="77777777" w:rsidR="00FF4000" w:rsidRDefault="008F3BF8" w:rsidP="00537496">
      <w:pPr>
        <w:pStyle w:val="Titolo1"/>
      </w:pPr>
      <w:r>
        <w:t>PHADEC-BASED PROCESSES</w:t>
      </w:r>
      <w:r w:rsidR="00310AAF">
        <w:t xml:space="preserve"> </w:t>
      </w:r>
      <w:r w:rsidR="00FF4000">
        <w:t>ENHANCED BY</w:t>
      </w:r>
    </w:p>
    <w:p w14:paraId="433FE03C" w14:textId="358BC238" w:rsidR="00E20E70" w:rsidRDefault="00FF4000" w:rsidP="0008476B">
      <w:pPr>
        <w:pStyle w:val="Titolo1"/>
      </w:pPr>
      <w:r>
        <w:t xml:space="preserve">ADDITION OF </w:t>
      </w:r>
      <w:r w:rsidR="0008476B">
        <w:t>CO-PRECIPITATION AGENTS</w:t>
      </w:r>
    </w:p>
    <w:p w14:paraId="433FE03F" w14:textId="7B5B698D" w:rsidR="00802381" w:rsidRPr="00F82FE4" w:rsidRDefault="00802381" w:rsidP="002E2E66">
      <w:pPr>
        <w:pStyle w:val="Authornameandaffiliation"/>
        <w:ind w:left="0"/>
      </w:pPr>
    </w:p>
    <w:p w14:paraId="7CED4320" w14:textId="77777777" w:rsidR="002E2E66" w:rsidRPr="00F82FE4" w:rsidRDefault="002E2E66" w:rsidP="002E2E66">
      <w:pPr>
        <w:pStyle w:val="Authornameandaffiliation"/>
        <w:ind w:left="0"/>
      </w:pPr>
    </w:p>
    <w:p w14:paraId="433FE040" w14:textId="2E34F0AB" w:rsidR="003B5E0E" w:rsidRPr="001C5024" w:rsidRDefault="001C5024" w:rsidP="00537496">
      <w:pPr>
        <w:pStyle w:val="Authornameandaffiliation"/>
        <w:rPr>
          <w:lang w:val="it-IT"/>
        </w:rPr>
      </w:pPr>
      <w:r w:rsidRPr="001C5024">
        <w:rPr>
          <w:lang w:val="it-IT"/>
        </w:rPr>
        <w:t>F. Galluccio, E. M</w:t>
      </w:r>
      <w:r>
        <w:rPr>
          <w:lang w:val="it-IT"/>
        </w:rPr>
        <w:t>acerata, E. Mossini</w:t>
      </w:r>
      <w:r w:rsidR="003621CC">
        <w:rPr>
          <w:lang w:val="it-IT"/>
        </w:rPr>
        <w:t>,</w:t>
      </w:r>
      <w:r w:rsidR="00DC4D0C">
        <w:rPr>
          <w:lang w:val="it-IT"/>
        </w:rPr>
        <w:t xml:space="preserve"> T. </w:t>
      </w:r>
      <w:proofErr w:type="spellStart"/>
      <w:r w:rsidR="00DC4D0C">
        <w:rPr>
          <w:lang w:val="it-IT"/>
        </w:rPr>
        <w:t>Briola</w:t>
      </w:r>
      <w:proofErr w:type="spellEnd"/>
      <w:r w:rsidR="00DC4D0C">
        <w:rPr>
          <w:lang w:val="it-IT"/>
        </w:rPr>
        <w:t>,</w:t>
      </w:r>
      <w:r w:rsidR="003621CC">
        <w:rPr>
          <w:lang w:val="it-IT"/>
        </w:rPr>
        <w:t xml:space="preserve"> M</w:t>
      </w:r>
      <w:r w:rsidR="00DA1B4D">
        <w:rPr>
          <w:lang w:val="it-IT"/>
        </w:rPr>
        <w:t>.</w:t>
      </w:r>
      <w:r w:rsidR="003621CC">
        <w:rPr>
          <w:lang w:val="it-IT"/>
        </w:rPr>
        <w:t xml:space="preserve"> Mariani</w:t>
      </w:r>
    </w:p>
    <w:p w14:paraId="433FE041" w14:textId="4B37CCAD" w:rsidR="00FF386F" w:rsidRPr="001C5024" w:rsidRDefault="001C5024" w:rsidP="00537496">
      <w:pPr>
        <w:pStyle w:val="Authornameandaffiliation"/>
      </w:pPr>
      <w:proofErr w:type="spellStart"/>
      <w:r w:rsidRPr="001C5024">
        <w:t>Politecnico</w:t>
      </w:r>
      <w:proofErr w:type="spellEnd"/>
      <w:r w:rsidRPr="001C5024">
        <w:t xml:space="preserve"> di Milano, Department of Energy</w:t>
      </w:r>
    </w:p>
    <w:p w14:paraId="433FE042" w14:textId="51393228" w:rsidR="00FF386F" w:rsidRDefault="001C5024" w:rsidP="00537496">
      <w:pPr>
        <w:pStyle w:val="Authornameandaffiliation"/>
      </w:pPr>
      <w:r>
        <w:t>Milan</w:t>
      </w:r>
      <w:r w:rsidR="00FF386F">
        <w:t xml:space="preserve">, </w:t>
      </w:r>
      <w:r>
        <w:t>Italy</w:t>
      </w:r>
    </w:p>
    <w:p w14:paraId="433FE043" w14:textId="7F27FDDD" w:rsidR="00FF386F" w:rsidRDefault="00FF386F" w:rsidP="00537496">
      <w:pPr>
        <w:pStyle w:val="Authornameandaffiliation"/>
      </w:pPr>
      <w:r>
        <w:t xml:space="preserve">Email: </w:t>
      </w:r>
      <w:r w:rsidR="009D1183" w:rsidRPr="009D1183">
        <w:t>francesco.</w:t>
      </w:r>
      <w:r w:rsidR="009D1183">
        <w:t>galluccio@polimi.it</w:t>
      </w:r>
    </w:p>
    <w:p w14:paraId="3C42F1C2" w14:textId="77777777" w:rsidR="00E64E92" w:rsidRDefault="00E64E92" w:rsidP="00537496">
      <w:pPr>
        <w:pStyle w:val="Authornameandaffiliation"/>
      </w:pPr>
    </w:p>
    <w:p w14:paraId="433FE044" w14:textId="77777777" w:rsidR="00FF386F" w:rsidRDefault="00FF386F" w:rsidP="00537496">
      <w:pPr>
        <w:pStyle w:val="Authornameandaffiliation"/>
      </w:pPr>
    </w:p>
    <w:p w14:paraId="433FE045" w14:textId="1C8030F5" w:rsidR="00FF386F" w:rsidRPr="001C5024" w:rsidRDefault="001C5024" w:rsidP="00537496">
      <w:pPr>
        <w:pStyle w:val="Authornameandaffiliation"/>
        <w:rPr>
          <w:lang w:val="it-IT"/>
        </w:rPr>
      </w:pPr>
      <w:r w:rsidRPr="001C5024">
        <w:rPr>
          <w:lang w:val="it-IT"/>
        </w:rPr>
        <w:t xml:space="preserve">M. </w:t>
      </w:r>
      <w:proofErr w:type="spellStart"/>
      <w:r w:rsidRPr="001C5024">
        <w:rPr>
          <w:lang w:val="it-IT"/>
        </w:rPr>
        <w:t>Frogheri</w:t>
      </w:r>
      <w:proofErr w:type="spellEnd"/>
      <w:r w:rsidRPr="001C5024">
        <w:rPr>
          <w:lang w:val="it-IT"/>
        </w:rPr>
        <w:t>, G. Castagnola, V</w:t>
      </w:r>
      <w:r>
        <w:rPr>
          <w:lang w:val="it-IT"/>
        </w:rPr>
        <w:t>. Pierantoni</w:t>
      </w:r>
    </w:p>
    <w:p w14:paraId="433FE046" w14:textId="1B93C6BB" w:rsidR="00FF386F" w:rsidRPr="003377E5" w:rsidRDefault="001C5024" w:rsidP="00537496">
      <w:pPr>
        <w:pStyle w:val="Authornameandaffiliation"/>
        <w:rPr>
          <w:lang w:val="it-IT"/>
        </w:rPr>
      </w:pPr>
      <w:r w:rsidRPr="003377E5">
        <w:rPr>
          <w:lang w:val="it-IT"/>
        </w:rPr>
        <w:t>Ansaldo Nucleare S.p.A.</w:t>
      </w:r>
    </w:p>
    <w:p w14:paraId="433FE047" w14:textId="2ADF8364" w:rsidR="00FF386F" w:rsidRPr="003377E5" w:rsidRDefault="001C5024" w:rsidP="00537496">
      <w:pPr>
        <w:pStyle w:val="Authornameandaffiliation"/>
        <w:rPr>
          <w:lang w:val="it-IT"/>
        </w:rPr>
      </w:pPr>
      <w:r w:rsidRPr="003377E5">
        <w:rPr>
          <w:lang w:val="it-IT"/>
        </w:rPr>
        <w:t>Genova</w:t>
      </w:r>
      <w:r w:rsidR="00FF386F" w:rsidRPr="003377E5">
        <w:rPr>
          <w:lang w:val="it-IT"/>
        </w:rPr>
        <w:t xml:space="preserve">, </w:t>
      </w:r>
      <w:proofErr w:type="spellStart"/>
      <w:r w:rsidRPr="003377E5">
        <w:rPr>
          <w:lang w:val="it-IT"/>
        </w:rPr>
        <w:t>Italy</w:t>
      </w:r>
      <w:proofErr w:type="spellEnd"/>
    </w:p>
    <w:p w14:paraId="433FE048" w14:textId="35351B09" w:rsidR="00FF386F" w:rsidRDefault="00FF386F" w:rsidP="00537496">
      <w:pPr>
        <w:pStyle w:val="Authornameandaffiliation"/>
        <w:rPr>
          <w:lang w:val="it-IT"/>
        </w:rPr>
      </w:pPr>
    </w:p>
    <w:p w14:paraId="515AFE36" w14:textId="77777777" w:rsidR="002E2E66" w:rsidRPr="003377E5" w:rsidRDefault="002E2E66" w:rsidP="00537496">
      <w:pPr>
        <w:pStyle w:val="Authornameandaffiliation"/>
        <w:rPr>
          <w:lang w:val="it-IT"/>
        </w:rPr>
      </w:pPr>
    </w:p>
    <w:p w14:paraId="433FE049" w14:textId="77777777" w:rsidR="00647F33" w:rsidRPr="00647F33" w:rsidRDefault="00647F33" w:rsidP="00537496">
      <w:pPr>
        <w:pStyle w:val="Authornameandaffiliation"/>
        <w:rPr>
          <w:b/>
        </w:rPr>
      </w:pPr>
      <w:r w:rsidRPr="00647F33">
        <w:rPr>
          <w:b/>
        </w:rPr>
        <w:t>Abstract</w:t>
      </w:r>
    </w:p>
    <w:p w14:paraId="433FE04A" w14:textId="77777777" w:rsidR="00647F33" w:rsidRDefault="00647F33" w:rsidP="00537496">
      <w:pPr>
        <w:pStyle w:val="Authornameandaffiliation"/>
      </w:pPr>
    </w:p>
    <w:p w14:paraId="7FCD0BF4" w14:textId="77777777" w:rsidR="00F41987" w:rsidRPr="00F41987" w:rsidRDefault="00F41987" w:rsidP="00F41987">
      <w:pPr>
        <w:pStyle w:val="Abstracttext"/>
        <w:jc w:val="both"/>
      </w:pPr>
      <w:r w:rsidRPr="00F41987">
        <w:t xml:space="preserve">An advanced Phosphoric Acid Decontamination (PHADEC)-based process is being developed to manage the large amount of contaminated metallic materials coming from dismantling activities in nuclear decommissioning. Volume savings of the final waste, lower environmental footprint and reduction of secondary waste by declassifying scrap metals and reusing decontaminated phosphoric solution are the main goals of the process. This PHADEC-like method relies on the following steps: </w:t>
      </w:r>
      <w:proofErr w:type="spellStart"/>
      <w:r w:rsidRPr="00F41987">
        <w:t>i</w:t>
      </w:r>
      <w:proofErr w:type="spellEnd"/>
      <w:r w:rsidRPr="00F41987">
        <w:t>) dissolution of the superficial contaminated layer of scrap metals by phosphoric acid, ii) oxidation of the pickling solution, iii) electrochemical precipitation of iron and contaminants phosphates, and iv) conditioning of the dried precipitate by vitrification.</w:t>
      </w:r>
    </w:p>
    <w:p w14:paraId="78509DC7" w14:textId="77777777" w:rsidR="00F41987" w:rsidRPr="00F41987" w:rsidRDefault="00F41987" w:rsidP="00F41987">
      <w:pPr>
        <w:pStyle w:val="Abstracttext"/>
        <w:ind w:firstLine="0"/>
        <w:jc w:val="both"/>
      </w:pPr>
      <w:r w:rsidRPr="00F41987">
        <w:t xml:space="preserve">From commercial steel pickling and oxidations steps, a simplified surrogate metal liquor was prepared by adding 500 </w:t>
      </w:r>
      <w:proofErr w:type="spellStart"/>
      <w:r w:rsidRPr="00F41987">
        <w:t>Bq</w:t>
      </w:r>
      <w:proofErr w:type="spellEnd"/>
      <w:r w:rsidRPr="00F41987">
        <w:t xml:space="preserve"> each of Co-60, Sr-85, Cs-137 and Ni-63 radiotracers, as representatives of activation and fission products contamination. The electrochemical process conducted at laboratory scale (120 mL) showed a precipitation yield of about 35% for Co-60 and Ni-63, 25% for Sr-85 and 50% for Cs-137. To reuse the phosphoric acid solution in a pilot plant, the electrochemical decontamination needs to be improved. The concentrations of the radionuclides in the dissolved metal liquor might be much too low to reach the product solubility constants of the contaminants phosphates. Research efforts are being focused on the potential role of co-precipitation agents in the electrochemical precipitation step. Notably, precipitation tests have been performed in the same configuration cell by adding stable Co, Cs, Sr and Ni ions and introducing BaSO</w:t>
      </w:r>
      <w:r w:rsidRPr="00C061B9">
        <w:rPr>
          <w:vertAlign w:val="subscript"/>
        </w:rPr>
        <w:t>4</w:t>
      </w:r>
      <w:r w:rsidRPr="00F41987">
        <w:t>, Ca</w:t>
      </w:r>
      <w:r w:rsidRPr="00C061B9">
        <w:rPr>
          <w:vertAlign w:val="subscript"/>
        </w:rPr>
        <w:t>2</w:t>
      </w:r>
      <w:r w:rsidRPr="00F41987">
        <w:t>P</w:t>
      </w:r>
      <w:r w:rsidRPr="00C061B9">
        <w:rPr>
          <w:vertAlign w:val="subscript"/>
        </w:rPr>
        <w:t>2</w:t>
      </w:r>
      <w:r w:rsidRPr="00F41987">
        <w:t>O</w:t>
      </w:r>
      <w:r w:rsidRPr="00C061B9">
        <w:rPr>
          <w:vertAlign w:val="subscript"/>
        </w:rPr>
        <w:t>7</w:t>
      </w:r>
      <w:r w:rsidRPr="00F41987">
        <w:t xml:space="preserve"> and Ca</w:t>
      </w:r>
      <w:r w:rsidRPr="00C061B9">
        <w:rPr>
          <w:vertAlign w:val="subscript"/>
        </w:rPr>
        <w:t>3</w:t>
      </w:r>
      <w:r w:rsidRPr="00F41987">
        <w:t>(PO</w:t>
      </w:r>
      <w:r w:rsidRPr="00C061B9">
        <w:rPr>
          <w:vertAlign w:val="subscript"/>
        </w:rPr>
        <w:t>4</w:t>
      </w:r>
      <w:r w:rsidRPr="00F41987">
        <w:t>)</w:t>
      </w:r>
      <w:r w:rsidRPr="00C061B9">
        <w:rPr>
          <w:vertAlign w:val="subscript"/>
        </w:rPr>
        <w:t>2</w:t>
      </w:r>
      <w:r w:rsidRPr="00F41987">
        <w:t xml:space="preserve"> compounds in the concentration range 0.1-0.3 M. BaSO</w:t>
      </w:r>
      <w:r w:rsidRPr="00F41987">
        <w:rPr>
          <w:vertAlign w:val="subscript"/>
        </w:rPr>
        <w:t>4</w:t>
      </w:r>
      <w:r w:rsidRPr="00F41987">
        <w:t xml:space="preserve"> and Ca</w:t>
      </w:r>
      <w:r w:rsidRPr="00F41987">
        <w:rPr>
          <w:vertAlign w:val="subscript"/>
        </w:rPr>
        <w:t>2</w:t>
      </w:r>
      <w:r w:rsidRPr="00F41987">
        <w:t>P</w:t>
      </w:r>
      <w:r w:rsidRPr="00F41987">
        <w:rPr>
          <w:vertAlign w:val="subscript"/>
        </w:rPr>
        <w:t>2</w:t>
      </w:r>
      <w:r w:rsidRPr="00F41987">
        <w:t>O</w:t>
      </w:r>
      <w:r w:rsidRPr="00F41987">
        <w:rPr>
          <w:vertAlign w:val="subscript"/>
        </w:rPr>
        <w:t>7</w:t>
      </w:r>
      <w:r w:rsidRPr="00F41987">
        <w:t xml:space="preserve"> at a concentration of 0.3 M showed a slightly improved abatement of contaminants into the precipitate (both around 50% against about 30% without adding co-precipitation agents). More promising results have been found after using 0.2 M Ca</w:t>
      </w:r>
      <w:r w:rsidRPr="00F41987">
        <w:rPr>
          <w:vertAlign w:val="subscript"/>
        </w:rPr>
        <w:t>3</w:t>
      </w:r>
      <w:r w:rsidRPr="00F41987">
        <w:t>(</w:t>
      </w:r>
      <w:r w:rsidRPr="002864E4">
        <w:t>PO</w:t>
      </w:r>
      <w:r w:rsidRPr="002864E4">
        <w:rPr>
          <w:vertAlign w:val="subscript"/>
        </w:rPr>
        <w:t>4</w:t>
      </w:r>
      <w:r w:rsidRPr="00F41987">
        <w:t>)</w:t>
      </w:r>
      <w:r w:rsidRPr="00F41987">
        <w:rPr>
          <w:vertAlign w:val="subscript"/>
        </w:rPr>
        <w:t>2</w:t>
      </w:r>
      <w:r w:rsidRPr="00F41987">
        <w:t>, that promoted an abatement of about 70-75% of initial contamination.</w:t>
      </w:r>
    </w:p>
    <w:p w14:paraId="47C1CB29" w14:textId="54A5F413" w:rsidR="00F41987" w:rsidRPr="00F41987" w:rsidRDefault="00F41987" w:rsidP="00F41987">
      <w:pPr>
        <w:pStyle w:val="Abstracttext"/>
        <w:ind w:firstLine="0"/>
        <w:jc w:val="both"/>
      </w:pPr>
      <w:r w:rsidRPr="00F41987">
        <w:t>Focused improvement of the decontamination yields is carried out by tuning the concentration of the co-precipitation agents and investigating new experimental setup</w:t>
      </w:r>
      <w:r w:rsidR="003B5688">
        <w:t>s</w:t>
      </w:r>
      <w:r w:rsidR="00374AB4">
        <w:t xml:space="preserve"> by varying the solution volume or managing </w:t>
      </w:r>
      <w:r w:rsidR="00374AB4" w:rsidRPr="00F41987">
        <w:t>more electrochemical precipitation stages</w:t>
      </w:r>
      <w:r w:rsidRPr="00F41987">
        <w:t>. The best experimental conditions will be adopted in performing electrochemical decontamination tests, by adding the most promising co-precipitation compounds to surrogate metal liquors spiked with radioactive solutions. The outcomes of this research will encourage a large-scale implementation of the process.</w:t>
      </w:r>
    </w:p>
    <w:p w14:paraId="7F2B9F6F" w14:textId="77777777" w:rsidR="00F41987" w:rsidRPr="00BD605C" w:rsidRDefault="00F41987" w:rsidP="00537496">
      <w:pPr>
        <w:pStyle w:val="Abstracttext"/>
      </w:pPr>
    </w:p>
    <w:p w14:paraId="433FE04C" w14:textId="77777777" w:rsidR="00647F33" w:rsidRDefault="00F523CA" w:rsidP="00537496">
      <w:pPr>
        <w:pStyle w:val="Titolo2"/>
        <w:numPr>
          <w:ilvl w:val="1"/>
          <w:numId w:val="10"/>
        </w:numPr>
      </w:pPr>
      <w:r>
        <w:t>INTRODUCTION</w:t>
      </w:r>
    </w:p>
    <w:p w14:paraId="32DFDC4B" w14:textId="0B4DCF7D" w:rsidR="00C11EDE" w:rsidRPr="00C11EDE" w:rsidRDefault="00C11EDE" w:rsidP="007C2071">
      <w:pPr>
        <w:pStyle w:val="Abstracttext"/>
        <w:jc w:val="both"/>
        <w:rPr>
          <w:sz w:val="20"/>
          <w:szCs w:val="22"/>
        </w:rPr>
      </w:pPr>
      <w:r w:rsidRPr="00C11EDE">
        <w:rPr>
          <w:sz w:val="20"/>
          <w:szCs w:val="22"/>
        </w:rPr>
        <w:t>Now</w:t>
      </w:r>
      <w:r>
        <w:rPr>
          <w:sz w:val="20"/>
          <w:szCs w:val="22"/>
        </w:rPr>
        <w:t>a</w:t>
      </w:r>
      <w:r w:rsidRPr="00C11EDE">
        <w:rPr>
          <w:sz w:val="20"/>
          <w:szCs w:val="22"/>
        </w:rPr>
        <w:t xml:space="preserve">days, </w:t>
      </w:r>
      <w:r w:rsidR="00AC2A79">
        <w:rPr>
          <w:sz w:val="20"/>
          <w:szCs w:val="22"/>
        </w:rPr>
        <w:t>large amount</w:t>
      </w:r>
      <w:r w:rsidR="00EE2B60">
        <w:rPr>
          <w:sz w:val="20"/>
          <w:szCs w:val="22"/>
        </w:rPr>
        <w:t>s</w:t>
      </w:r>
      <w:r w:rsidR="00AC2A79">
        <w:rPr>
          <w:sz w:val="20"/>
          <w:szCs w:val="22"/>
        </w:rPr>
        <w:t xml:space="preserve"> of </w:t>
      </w:r>
      <w:r w:rsidR="00AC2A79" w:rsidRPr="002B719D">
        <w:rPr>
          <w:sz w:val="20"/>
          <w:szCs w:val="22"/>
        </w:rPr>
        <w:t>metallic materials</w:t>
      </w:r>
      <w:r w:rsidR="005F4E6D">
        <w:rPr>
          <w:sz w:val="20"/>
          <w:szCs w:val="22"/>
        </w:rPr>
        <w:t xml:space="preserve"> ha</w:t>
      </w:r>
      <w:r w:rsidR="00EE2B60">
        <w:rPr>
          <w:sz w:val="20"/>
          <w:szCs w:val="22"/>
        </w:rPr>
        <w:t>ve</w:t>
      </w:r>
      <w:r w:rsidR="005F4E6D">
        <w:rPr>
          <w:sz w:val="20"/>
          <w:szCs w:val="22"/>
        </w:rPr>
        <w:t xml:space="preserve"> been already produced</w:t>
      </w:r>
      <w:r w:rsidR="00C07833">
        <w:rPr>
          <w:sz w:val="20"/>
          <w:szCs w:val="22"/>
        </w:rPr>
        <w:t xml:space="preserve"> </w:t>
      </w:r>
      <w:r w:rsidR="00EB57D6" w:rsidRPr="002B719D">
        <w:rPr>
          <w:sz w:val="20"/>
          <w:szCs w:val="22"/>
        </w:rPr>
        <w:t>in nuclear decommissioning</w:t>
      </w:r>
      <w:r w:rsidR="005F4E6D">
        <w:rPr>
          <w:sz w:val="20"/>
          <w:szCs w:val="22"/>
        </w:rPr>
        <w:t>, and much more will be collected</w:t>
      </w:r>
      <w:r w:rsidR="00EB57D6">
        <w:rPr>
          <w:sz w:val="20"/>
          <w:szCs w:val="22"/>
        </w:rPr>
        <w:t xml:space="preserve"> </w:t>
      </w:r>
      <w:r w:rsidR="00C27DF8">
        <w:rPr>
          <w:sz w:val="20"/>
          <w:szCs w:val="22"/>
        </w:rPr>
        <w:t>as</w:t>
      </w:r>
      <w:r w:rsidR="00F63941">
        <w:rPr>
          <w:sz w:val="20"/>
          <w:szCs w:val="22"/>
        </w:rPr>
        <w:t xml:space="preserve"> dis</w:t>
      </w:r>
      <w:r w:rsidR="00EA64FD">
        <w:rPr>
          <w:sz w:val="20"/>
          <w:szCs w:val="22"/>
        </w:rPr>
        <w:t>mantling</w:t>
      </w:r>
      <w:r w:rsidR="00C27DF8">
        <w:rPr>
          <w:sz w:val="20"/>
          <w:szCs w:val="22"/>
        </w:rPr>
        <w:t xml:space="preserve"> </w:t>
      </w:r>
      <w:r w:rsidR="00F63941">
        <w:rPr>
          <w:sz w:val="20"/>
          <w:szCs w:val="22"/>
        </w:rPr>
        <w:t>activities progress worldwide</w:t>
      </w:r>
      <w:r w:rsidR="00F63941" w:rsidRPr="00794BCC">
        <w:rPr>
          <w:sz w:val="20"/>
          <w:szCs w:val="22"/>
        </w:rPr>
        <w:t>.</w:t>
      </w:r>
      <w:r w:rsidR="0065670B" w:rsidRPr="00794BCC">
        <w:rPr>
          <w:sz w:val="20"/>
          <w:szCs w:val="22"/>
        </w:rPr>
        <w:t>[1]</w:t>
      </w:r>
      <w:r w:rsidR="00492D16">
        <w:rPr>
          <w:sz w:val="20"/>
          <w:szCs w:val="22"/>
        </w:rPr>
        <w:t xml:space="preserve"> </w:t>
      </w:r>
      <w:r w:rsidR="00B94267" w:rsidRPr="005E594A">
        <w:rPr>
          <w:sz w:val="20"/>
          <w:szCs w:val="22"/>
        </w:rPr>
        <w:t>Most</w:t>
      </w:r>
      <w:r w:rsidR="00D35F29" w:rsidRPr="005E594A">
        <w:rPr>
          <w:sz w:val="20"/>
          <w:szCs w:val="22"/>
        </w:rPr>
        <w:t xml:space="preserve"> </w:t>
      </w:r>
      <w:r w:rsidR="00492D16" w:rsidRPr="005E594A">
        <w:rPr>
          <w:sz w:val="20"/>
          <w:szCs w:val="22"/>
        </w:rPr>
        <w:t xml:space="preserve">of the </w:t>
      </w:r>
      <w:r w:rsidR="001F1E0A" w:rsidRPr="005E594A">
        <w:rPr>
          <w:sz w:val="20"/>
          <w:szCs w:val="22"/>
        </w:rPr>
        <w:t xml:space="preserve">retrieved </w:t>
      </w:r>
      <w:r w:rsidR="00D35F29" w:rsidRPr="005E594A">
        <w:rPr>
          <w:sz w:val="20"/>
          <w:szCs w:val="22"/>
        </w:rPr>
        <w:t xml:space="preserve">metallic </w:t>
      </w:r>
      <w:r w:rsidR="006E52E3" w:rsidRPr="005E594A">
        <w:rPr>
          <w:sz w:val="20"/>
          <w:szCs w:val="22"/>
        </w:rPr>
        <w:t>inventory</w:t>
      </w:r>
      <w:r w:rsidR="00B94267" w:rsidRPr="005E594A">
        <w:rPr>
          <w:sz w:val="20"/>
          <w:szCs w:val="22"/>
        </w:rPr>
        <w:t xml:space="preserve"> </w:t>
      </w:r>
      <w:r w:rsidR="00457414" w:rsidRPr="005E594A">
        <w:rPr>
          <w:sz w:val="20"/>
          <w:szCs w:val="22"/>
        </w:rPr>
        <w:t>is</w:t>
      </w:r>
      <w:r w:rsidR="00B94267" w:rsidRPr="005E594A">
        <w:rPr>
          <w:sz w:val="20"/>
          <w:szCs w:val="22"/>
        </w:rPr>
        <w:t xml:space="preserve"> </w:t>
      </w:r>
      <w:r w:rsidR="00457414" w:rsidRPr="005E594A">
        <w:rPr>
          <w:sz w:val="20"/>
          <w:szCs w:val="22"/>
        </w:rPr>
        <w:t>only</w:t>
      </w:r>
      <w:r w:rsidR="00B94267" w:rsidRPr="005E594A">
        <w:rPr>
          <w:sz w:val="20"/>
          <w:szCs w:val="22"/>
        </w:rPr>
        <w:t xml:space="preserve"> superficially contaminated, therefore </w:t>
      </w:r>
      <w:r w:rsidR="0010464B" w:rsidRPr="005E594A">
        <w:rPr>
          <w:sz w:val="20"/>
          <w:szCs w:val="22"/>
        </w:rPr>
        <w:t>the</w:t>
      </w:r>
      <w:r w:rsidR="003E3FB5" w:rsidRPr="005E594A">
        <w:rPr>
          <w:sz w:val="20"/>
          <w:szCs w:val="22"/>
        </w:rPr>
        <w:t xml:space="preserve"> bulk of </w:t>
      </w:r>
      <w:r w:rsidR="00C271CF" w:rsidRPr="005E594A">
        <w:rPr>
          <w:sz w:val="20"/>
          <w:szCs w:val="22"/>
        </w:rPr>
        <w:t>these</w:t>
      </w:r>
      <w:r w:rsidR="003E3FB5" w:rsidRPr="005E594A">
        <w:rPr>
          <w:sz w:val="20"/>
          <w:szCs w:val="22"/>
        </w:rPr>
        <w:t xml:space="preserve"> metallic materials </w:t>
      </w:r>
      <w:r w:rsidR="003F739A" w:rsidRPr="005E594A">
        <w:rPr>
          <w:sz w:val="20"/>
          <w:szCs w:val="22"/>
        </w:rPr>
        <w:t>could become</w:t>
      </w:r>
      <w:r w:rsidR="00BD3285" w:rsidRPr="005E594A">
        <w:rPr>
          <w:sz w:val="20"/>
          <w:szCs w:val="22"/>
        </w:rPr>
        <w:t xml:space="preserve"> radiologically unrestricted to</w:t>
      </w:r>
      <w:r w:rsidR="003E3FB5" w:rsidRPr="005E594A">
        <w:rPr>
          <w:sz w:val="20"/>
          <w:szCs w:val="22"/>
        </w:rPr>
        <w:t xml:space="preserve"> be </w:t>
      </w:r>
      <w:r w:rsidR="007C2071" w:rsidRPr="005E594A">
        <w:rPr>
          <w:sz w:val="20"/>
          <w:szCs w:val="22"/>
        </w:rPr>
        <w:t>recycled and</w:t>
      </w:r>
      <w:r w:rsidR="00C271CF" w:rsidRPr="005E594A">
        <w:rPr>
          <w:sz w:val="20"/>
          <w:szCs w:val="22"/>
        </w:rPr>
        <w:t xml:space="preserve"> reused</w:t>
      </w:r>
      <w:r w:rsidR="004C6BEC" w:rsidRPr="005E594A">
        <w:rPr>
          <w:sz w:val="20"/>
          <w:szCs w:val="22"/>
        </w:rPr>
        <w:t xml:space="preserve"> after</w:t>
      </w:r>
      <w:r w:rsidR="00A52C62" w:rsidRPr="005E594A">
        <w:rPr>
          <w:sz w:val="20"/>
          <w:szCs w:val="22"/>
        </w:rPr>
        <w:t xml:space="preserve"> implementing</w:t>
      </w:r>
      <w:r w:rsidR="00194FC1" w:rsidRPr="005E594A">
        <w:rPr>
          <w:sz w:val="20"/>
          <w:szCs w:val="22"/>
        </w:rPr>
        <w:t xml:space="preserve"> suitable decontamination processes</w:t>
      </w:r>
      <w:r w:rsidR="00194FC1">
        <w:rPr>
          <w:sz w:val="20"/>
          <w:szCs w:val="22"/>
        </w:rPr>
        <w:t>.</w:t>
      </w:r>
      <w:r w:rsidR="00925374">
        <w:rPr>
          <w:sz w:val="20"/>
          <w:szCs w:val="22"/>
        </w:rPr>
        <w:t xml:space="preserve"> A</w:t>
      </w:r>
      <w:r w:rsidR="00074DF9">
        <w:rPr>
          <w:sz w:val="20"/>
          <w:szCs w:val="22"/>
        </w:rPr>
        <w:t xml:space="preserve"> </w:t>
      </w:r>
      <w:r w:rsidR="00FF4D33">
        <w:rPr>
          <w:sz w:val="20"/>
          <w:szCs w:val="22"/>
        </w:rPr>
        <w:t xml:space="preserve">sustainable strategy to manage </w:t>
      </w:r>
      <w:r w:rsidR="00941C32">
        <w:rPr>
          <w:sz w:val="20"/>
          <w:szCs w:val="22"/>
        </w:rPr>
        <w:t xml:space="preserve">metallic </w:t>
      </w:r>
      <w:r w:rsidR="00FF4D33">
        <w:rPr>
          <w:sz w:val="20"/>
          <w:szCs w:val="22"/>
        </w:rPr>
        <w:t xml:space="preserve">waste is currently </w:t>
      </w:r>
      <w:r w:rsidR="00CA4BE7">
        <w:rPr>
          <w:sz w:val="20"/>
          <w:szCs w:val="22"/>
        </w:rPr>
        <w:t xml:space="preserve">one of the main goals </w:t>
      </w:r>
      <w:r w:rsidR="00456171">
        <w:rPr>
          <w:sz w:val="20"/>
          <w:szCs w:val="22"/>
        </w:rPr>
        <w:t>that</w:t>
      </w:r>
      <w:r w:rsidR="00CA4BE7">
        <w:rPr>
          <w:sz w:val="20"/>
          <w:szCs w:val="22"/>
        </w:rPr>
        <w:t xml:space="preserve"> nuclear industry</w:t>
      </w:r>
      <w:r w:rsidR="00456171">
        <w:rPr>
          <w:sz w:val="20"/>
          <w:szCs w:val="22"/>
        </w:rPr>
        <w:t xml:space="preserve"> is </w:t>
      </w:r>
      <w:r w:rsidR="004C14F3">
        <w:rPr>
          <w:sz w:val="20"/>
          <w:szCs w:val="22"/>
        </w:rPr>
        <w:t>achieving</w:t>
      </w:r>
      <w:r w:rsidR="00456171" w:rsidRPr="00794BCC">
        <w:rPr>
          <w:sz w:val="20"/>
          <w:szCs w:val="22"/>
        </w:rPr>
        <w:t>.</w:t>
      </w:r>
      <w:r w:rsidR="00FD75B3" w:rsidRPr="00794BCC">
        <w:rPr>
          <w:sz w:val="20"/>
          <w:szCs w:val="22"/>
        </w:rPr>
        <w:t>[2][3]</w:t>
      </w:r>
    </w:p>
    <w:p w14:paraId="3D555DD3" w14:textId="138A37AB" w:rsidR="00476636" w:rsidRDefault="00B44EA3" w:rsidP="002864E4">
      <w:pPr>
        <w:pStyle w:val="Abstracttext"/>
        <w:jc w:val="both"/>
        <w:rPr>
          <w:sz w:val="20"/>
          <w:szCs w:val="22"/>
        </w:rPr>
      </w:pPr>
      <w:r w:rsidRPr="00A65D63">
        <w:rPr>
          <w:sz w:val="20"/>
          <w:szCs w:val="22"/>
        </w:rPr>
        <w:t xml:space="preserve">Among the several </w:t>
      </w:r>
      <w:r w:rsidR="00463EB6" w:rsidRPr="00A65D63">
        <w:rPr>
          <w:sz w:val="20"/>
          <w:szCs w:val="22"/>
        </w:rPr>
        <w:t>promising technologies, a</w:t>
      </w:r>
      <w:r w:rsidR="002B719D" w:rsidRPr="00A65D63">
        <w:rPr>
          <w:sz w:val="20"/>
          <w:szCs w:val="22"/>
        </w:rPr>
        <w:t>n advanced</w:t>
      </w:r>
      <w:r w:rsidR="002B719D" w:rsidRPr="002B719D">
        <w:rPr>
          <w:sz w:val="20"/>
          <w:szCs w:val="22"/>
        </w:rPr>
        <w:t xml:space="preserve"> Phosphoric Acid Decontamination (PHADEC)-based process is being developed</w:t>
      </w:r>
      <w:r w:rsidR="00B6182A">
        <w:rPr>
          <w:sz w:val="20"/>
          <w:szCs w:val="22"/>
        </w:rPr>
        <w:t xml:space="preserve"> to</w:t>
      </w:r>
      <w:r w:rsidR="00324B55">
        <w:rPr>
          <w:sz w:val="20"/>
          <w:szCs w:val="22"/>
        </w:rPr>
        <w:t xml:space="preserve"> save </w:t>
      </w:r>
      <w:r w:rsidR="002B719D" w:rsidRPr="002B719D">
        <w:rPr>
          <w:sz w:val="20"/>
          <w:szCs w:val="22"/>
        </w:rPr>
        <w:t>final waste</w:t>
      </w:r>
      <w:r w:rsidR="00324B55">
        <w:rPr>
          <w:sz w:val="20"/>
          <w:szCs w:val="22"/>
        </w:rPr>
        <w:t xml:space="preserve"> volume</w:t>
      </w:r>
      <w:r w:rsidR="00715934">
        <w:rPr>
          <w:sz w:val="20"/>
          <w:szCs w:val="22"/>
        </w:rPr>
        <w:t>s</w:t>
      </w:r>
      <w:r w:rsidR="005F4E6D">
        <w:rPr>
          <w:sz w:val="20"/>
          <w:szCs w:val="22"/>
        </w:rPr>
        <w:t xml:space="preserve"> and repository capacity</w:t>
      </w:r>
      <w:r w:rsidR="002B719D" w:rsidRPr="002B719D">
        <w:rPr>
          <w:sz w:val="20"/>
          <w:szCs w:val="22"/>
        </w:rPr>
        <w:t xml:space="preserve">, </w:t>
      </w:r>
      <w:r w:rsidR="00400E4E">
        <w:rPr>
          <w:sz w:val="20"/>
          <w:szCs w:val="22"/>
        </w:rPr>
        <w:t>lower</w:t>
      </w:r>
      <w:r w:rsidR="002B719D" w:rsidRPr="002B719D">
        <w:rPr>
          <w:sz w:val="20"/>
          <w:szCs w:val="22"/>
        </w:rPr>
        <w:t xml:space="preserve"> environmental footprint</w:t>
      </w:r>
      <w:r w:rsidR="008E4718">
        <w:rPr>
          <w:sz w:val="20"/>
          <w:szCs w:val="22"/>
        </w:rPr>
        <w:t>,</w:t>
      </w:r>
      <w:r w:rsidR="002B719D" w:rsidRPr="002B719D">
        <w:rPr>
          <w:sz w:val="20"/>
          <w:szCs w:val="22"/>
        </w:rPr>
        <w:t xml:space="preserve"> and reduc</w:t>
      </w:r>
      <w:r w:rsidR="00400E4E">
        <w:rPr>
          <w:sz w:val="20"/>
          <w:szCs w:val="22"/>
        </w:rPr>
        <w:t>e the amount of</w:t>
      </w:r>
      <w:r w:rsidR="002B719D" w:rsidRPr="002B719D">
        <w:rPr>
          <w:sz w:val="20"/>
          <w:szCs w:val="22"/>
        </w:rPr>
        <w:t xml:space="preserve"> secondary waste</w:t>
      </w:r>
      <w:r w:rsidR="00400E4E">
        <w:rPr>
          <w:sz w:val="20"/>
          <w:szCs w:val="22"/>
        </w:rPr>
        <w:t xml:space="preserve">. To this purpose, declassification of </w:t>
      </w:r>
      <w:r w:rsidR="00E77499">
        <w:rPr>
          <w:sz w:val="20"/>
          <w:szCs w:val="22"/>
        </w:rPr>
        <w:t>metallic materials</w:t>
      </w:r>
      <w:r w:rsidR="002864E4">
        <w:rPr>
          <w:sz w:val="20"/>
          <w:szCs w:val="22"/>
        </w:rPr>
        <w:t xml:space="preserve"> </w:t>
      </w:r>
      <w:r w:rsidR="008F79DE">
        <w:rPr>
          <w:sz w:val="20"/>
          <w:szCs w:val="22"/>
        </w:rPr>
        <w:t xml:space="preserve">by </w:t>
      </w:r>
    </w:p>
    <w:p w14:paraId="1B430AA4" w14:textId="6D284C47" w:rsidR="00476636" w:rsidRDefault="00256072" w:rsidP="00476636">
      <w:pPr>
        <w:pStyle w:val="Corpotesto"/>
        <w:jc w:val="center"/>
      </w:pPr>
      <w:r>
        <w:rPr>
          <w:noProof/>
        </w:rPr>
        <w:lastRenderedPageBreak/>
        <w:drawing>
          <wp:inline distT="0" distB="0" distL="0" distR="0" wp14:anchorId="5F4A52C7" wp14:editId="5AF9243A">
            <wp:extent cx="4454769" cy="1701073"/>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308" cy="1709298"/>
                    </a:xfrm>
                    <a:prstGeom prst="rect">
                      <a:avLst/>
                    </a:prstGeom>
                    <a:noFill/>
                    <a:ln>
                      <a:noFill/>
                    </a:ln>
                  </pic:spPr>
                </pic:pic>
              </a:graphicData>
            </a:graphic>
          </wp:inline>
        </w:drawing>
      </w:r>
    </w:p>
    <w:p w14:paraId="75FC01B4" w14:textId="77777777" w:rsidR="00476636" w:rsidRDefault="00476636" w:rsidP="00476636">
      <w:pPr>
        <w:pStyle w:val="Corpotesto"/>
      </w:pPr>
    </w:p>
    <w:p w14:paraId="5FDA4535" w14:textId="77777777" w:rsidR="00476636" w:rsidRDefault="00476636" w:rsidP="00476636">
      <w:pPr>
        <w:pStyle w:val="Didascalia"/>
        <w:jc w:val="center"/>
        <w:rPr>
          <w:i/>
        </w:rPr>
      </w:pPr>
      <w:r w:rsidRPr="00794BCC">
        <w:rPr>
          <w:i/>
        </w:rPr>
        <w:t>FIG.1 The</w:t>
      </w:r>
      <w:r>
        <w:rPr>
          <w:i/>
        </w:rPr>
        <w:t xml:space="preserve"> sustainable loop of the advanced PHADEC-based process for scrap metals decontamination</w:t>
      </w:r>
    </w:p>
    <w:p w14:paraId="242B176E" w14:textId="77777777" w:rsidR="00476636" w:rsidRDefault="00476636" w:rsidP="009D1183">
      <w:pPr>
        <w:pStyle w:val="Abstracttext"/>
        <w:jc w:val="both"/>
        <w:rPr>
          <w:sz w:val="20"/>
          <w:szCs w:val="22"/>
        </w:rPr>
      </w:pPr>
    </w:p>
    <w:p w14:paraId="2D0B081D" w14:textId="38864C93" w:rsidR="00476636" w:rsidRDefault="00794BCC" w:rsidP="00794BCC">
      <w:pPr>
        <w:pStyle w:val="Abstracttext"/>
        <w:ind w:firstLine="0"/>
        <w:jc w:val="both"/>
        <w:rPr>
          <w:sz w:val="20"/>
          <w:szCs w:val="22"/>
        </w:rPr>
      </w:pPr>
      <w:r>
        <w:rPr>
          <w:sz w:val="20"/>
          <w:szCs w:val="22"/>
        </w:rPr>
        <w:t>pickling process</w:t>
      </w:r>
      <w:r w:rsidRPr="002B719D">
        <w:rPr>
          <w:sz w:val="20"/>
          <w:szCs w:val="22"/>
        </w:rPr>
        <w:t xml:space="preserve"> and reus</w:t>
      </w:r>
      <w:r>
        <w:rPr>
          <w:sz w:val="20"/>
          <w:szCs w:val="22"/>
        </w:rPr>
        <w:t>e of</w:t>
      </w:r>
      <w:r w:rsidRPr="002B719D">
        <w:rPr>
          <w:sz w:val="20"/>
          <w:szCs w:val="22"/>
        </w:rPr>
        <w:t xml:space="preserve"> decontaminated phosphoric solution</w:t>
      </w:r>
      <w:r>
        <w:rPr>
          <w:sz w:val="20"/>
          <w:szCs w:val="22"/>
        </w:rPr>
        <w:t xml:space="preserve"> for a new metal decontamination step </w:t>
      </w:r>
      <w:r w:rsidRPr="002B719D">
        <w:rPr>
          <w:sz w:val="20"/>
          <w:szCs w:val="22"/>
        </w:rPr>
        <w:t>ar</w:t>
      </w:r>
      <w:r>
        <w:rPr>
          <w:sz w:val="20"/>
          <w:szCs w:val="22"/>
        </w:rPr>
        <w:t>e being pursued</w:t>
      </w:r>
      <w:r w:rsidRPr="002B719D">
        <w:rPr>
          <w:sz w:val="20"/>
          <w:szCs w:val="22"/>
        </w:rPr>
        <w:t>.</w:t>
      </w:r>
    </w:p>
    <w:p w14:paraId="6FDC7336" w14:textId="201778D5" w:rsidR="00AF312F" w:rsidRPr="00074E8A" w:rsidRDefault="002864E4" w:rsidP="002864E4">
      <w:pPr>
        <w:pStyle w:val="Abstracttext"/>
        <w:jc w:val="both"/>
        <w:rPr>
          <w:sz w:val="20"/>
          <w:szCs w:val="22"/>
        </w:rPr>
      </w:pPr>
      <w:r>
        <w:rPr>
          <w:sz w:val="20"/>
          <w:szCs w:val="22"/>
        </w:rPr>
        <w:t xml:space="preserve">As depicted </w:t>
      </w:r>
      <w:r w:rsidR="0056692F">
        <w:rPr>
          <w:sz w:val="20"/>
          <w:szCs w:val="22"/>
        </w:rPr>
        <w:t xml:space="preserve">in </w:t>
      </w:r>
      <w:r w:rsidR="0056692F" w:rsidRPr="00794BCC">
        <w:rPr>
          <w:sz w:val="20"/>
          <w:szCs w:val="22"/>
        </w:rPr>
        <w:t>Fig. 1</w:t>
      </w:r>
      <w:r w:rsidR="0056692F">
        <w:rPr>
          <w:sz w:val="20"/>
          <w:szCs w:val="22"/>
        </w:rPr>
        <w:t>, t</w:t>
      </w:r>
      <w:r w:rsidR="002B719D" w:rsidRPr="002B719D">
        <w:rPr>
          <w:sz w:val="20"/>
          <w:szCs w:val="22"/>
        </w:rPr>
        <w:t>h</w:t>
      </w:r>
      <w:r w:rsidR="00DC2A8C">
        <w:rPr>
          <w:sz w:val="20"/>
          <w:szCs w:val="22"/>
        </w:rPr>
        <w:t>e</w:t>
      </w:r>
      <w:r w:rsidR="00B62C98">
        <w:rPr>
          <w:sz w:val="20"/>
          <w:szCs w:val="22"/>
        </w:rPr>
        <w:t xml:space="preserve"> </w:t>
      </w:r>
      <w:r w:rsidR="00850EE7">
        <w:rPr>
          <w:sz w:val="20"/>
          <w:szCs w:val="22"/>
        </w:rPr>
        <w:t>process</w:t>
      </w:r>
      <w:r w:rsidR="0056692F">
        <w:rPr>
          <w:sz w:val="20"/>
          <w:szCs w:val="22"/>
        </w:rPr>
        <w:t xml:space="preserve"> encompasses a sustainable closed loop with the following units</w:t>
      </w:r>
      <w:r w:rsidR="0056692F" w:rsidRPr="002B719D">
        <w:rPr>
          <w:sz w:val="20"/>
          <w:szCs w:val="22"/>
        </w:rPr>
        <w:t>:</w:t>
      </w:r>
      <w:r w:rsidR="00476636">
        <w:rPr>
          <w:sz w:val="20"/>
          <w:szCs w:val="22"/>
        </w:rPr>
        <w:t xml:space="preserve"> </w:t>
      </w:r>
      <w:proofErr w:type="spellStart"/>
      <w:r w:rsidR="00476636" w:rsidRPr="002B719D">
        <w:rPr>
          <w:sz w:val="20"/>
          <w:szCs w:val="22"/>
        </w:rPr>
        <w:t>i</w:t>
      </w:r>
      <w:proofErr w:type="spellEnd"/>
      <w:r w:rsidR="00476636" w:rsidRPr="002B719D">
        <w:rPr>
          <w:sz w:val="20"/>
          <w:szCs w:val="22"/>
        </w:rPr>
        <w:t>) dissolution of the superficial contaminated</w:t>
      </w:r>
      <w:r w:rsidR="00476636">
        <w:rPr>
          <w:sz w:val="20"/>
          <w:szCs w:val="22"/>
        </w:rPr>
        <w:t xml:space="preserve"> </w:t>
      </w:r>
      <w:r w:rsidR="002B719D" w:rsidRPr="002B719D">
        <w:rPr>
          <w:sz w:val="20"/>
          <w:szCs w:val="22"/>
        </w:rPr>
        <w:t xml:space="preserve">layer of scrap metals </w:t>
      </w:r>
      <w:r w:rsidR="006F4B4F" w:rsidRPr="002B719D">
        <w:rPr>
          <w:sz w:val="20"/>
          <w:szCs w:val="22"/>
        </w:rPr>
        <w:t>by phosphoric acid, ii) oxidation of the pickling</w:t>
      </w:r>
      <w:r w:rsidR="006F4B4F">
        <w:rPr>
          <w:sz w:val="20"/>
          <w:szCs w:val="22"/>
        </w:rPr>
        <w:t xml:space="preserve"> </w:t>
      </w:r>
      <w:r w:rsidR="006F4B4F" w:rsidRPr="002B719D">
        <w:rPr>
          <w:sz w:val="20"/>
          <w:szCs w:val="22"/>
        </w:rPr>
        <w:t>solution, iii) electroche</w:t>
      </w:r>
      <w:r w:rsidR="006F4B4F">
        <w:rPr>
          <w:sz w:val="20"/>
          <w:szCs w:val="22"/>
        </w:rPr>
        <w:t>mical precipitation</w:t>
      </w:r>
      <w:r w:rsidR="00074E8A">
        <w:rPr>
          <w:sz w:val="20"/>
          <w:szCs w:val="22"/>
        </w:rPr>
        <w:t xml:space="preserve"> </w:t>
      </w:r>
      <w:r w:rsidR="00F43361">
        <w:rPr>
          <w:sz w:val="20"/>
          <w:szCs w:val="22"/>
        </w:rPr>
        <w:t xml:space="preserve">of iron and </w:t>
      </w:r>
      <w:r w:rsidR="00F43361" w:rsidRPr="002B719D">
        <w:rPr>
          <w:sz w:val="20"/>
          <w:szCs w:val="22"/>
        </w:rPr>
        <w:t>contaminants phosphat</w:t>
      </w:r>
      <w:r w:rsidR="00F43361">
        <w:rPr>
          <w:sz w:val="20"/>
          <w:szCs w:val="22"/>
        </w:rPr>
        <w:t xml:space="preserve">es, and iv) conditioning of the </w:t>
      </w:r>
      <w:r w:rsidR="00F62392" w:rsidRPr="002B719D">
        <w:rPr>
          <w:sz w:val="20"/>
          <w:szCs w:val="22"/>
        </w:rPr>
        <w:t>dried precipitate by vitrification</w:t>
      </w:r>
      <w:r w:rsidR="00886AC8">
        <w:rPr>
          <w:sz w:val="20"/>
          <w:szCs w:val="22"/>
        </w:rPr>
        <w:t xml:space="preserve"> process</w:t>
      </w:r>
      <w:r w:rsidR="00532700">
        <w:rPr>
          <w:sz w:val="20"/>
          <w:szCs w:val="22"/>
        </w:rPr>
        <w:t xml:space="preserve"> at lower temperature and time</w:t>
      </w:r>
      <w:r w:rsidR="00F8224A">
        <w:rPr>
          <w:sz w:val="20"/>
          <w:szCs w:val="22"/>
        </w:rPr>
        <w:t xml:space="preserve"> than borosilicate one</w:t>
      </w:r>
      <w:r w:rsidR="00476636">
        <w:rPr>
          <w:sz w:val="20"/>
          <w:szCs w:val="22"/>
        </w:rPr>
        <w:t xml:space="preserve">. </w:t>
      </w:r>
      <w:r w:rsidR="00476636" w:rsidRPr="00794BCC">
        <w:rPr>
          <w:sz w:val="20"/>
          <w:szCs w:val="22"/>
        </w:rPr>
        <w:t>[</w:t>
      </w:r>
      <w:r w:rsidR="00BF526A" w:rsidRPr="00794BCC">
        <w:rPr>
          <w:sz w:val="20"/>
          <w:szCs w:val="22"/>
        </w:rPr>
        <w:t>4]</w:t>
      </w:r>
      <w:r w:rsidR="00B3223F" w:rsidRPr="00794BCC">
        <w:rPr>
          <w:sz w:val="20"/>
          <w:szCs w:val="22"/>
        </w:rPr>
        <w:t>[5]</w:t>
      </w:r>
    </w:p>
    <w:p w14:paraId="377EBF47" w14:textId="052BF450" w:rsidR="0032383B" w:rsidRDefault="0032383B" w:rsidP="0032383B">
      <w:pPr>
        <w:pStyle w:val="Abstracttext"/>
        <w:jc w:val="both"/>
        <w:rPr>
          <w:sz w:val="20"/>
          <w:szCs w:val="22"/>
        </w:rPr>
      </w:pPr>
      <w:r>
        <w:rPr>
          <w:sz w:val="20"/>
          <w:szCs w:val="22"/>
        </w:rPr>
        <w:t>Th</w:t>
      </w:r>
      <w:r w:rsidR="00074E8A">
        <w:rPr>
          <w:sz w:val="20"/>
          <w:szCs w:val="22"/>
        </w:rPr>
        <w:t>e</w:t>
      </w:r>
      <w:r>
        <w:rPr>
          <w:sz w:val="20"/>
          <w:szCs w:val="22"/>
        </w:rPr>
        <w:t xml:space="preserve"> process is an advancement of the standard PHADEC technology</w:t>
      </w:r>
      <w:r w:rsidR="009D1183">
        <w:rPr>
          <w:sz w:val="20"/>
          <w:szCs w:val="22"/>
        </w:rPr>
        <w:t xml:space="preserve"> already developed and</w:t>
      </w:r>
      <w:r w:rsidR="00773A62">
        <w:rPr>
          <w:sz w:val="20"/>
          <w:szCs w:val="22"/>
        </w:rPr>
        <w:t xml:space="preserve"> currently</w:t>
      </w:r>
      <w:r w:rsidR="009D1183">
        <w:rPr>
          <w:sz w:val="20"/>
          <w:szCs w:val="22"/>
        </w:rPr>
        <w:t xml:space="preserve"> used </w:t>
      </w:r>
      <w:r w:rsidR="001E06FD">
        <w:rPr>
          <w:sz w:val="20"/>
          <w:szCs w:val="22"/>
        </w:rPr>
        <w:t>in</w:t>
      </w:r>
      <w:r w:rsidR="009D1183">
        <w:rPr>
          <w:sz w:val="20"/>
          <w:szCs w:val="22"/>
        </w:rPr>
        <w:t xml:space="preserve"> decommissioning activities of Italian </w:t>
      </w:r>
      <w:r w:rsidR="0084593B">
        <w:rPr>
          <w:sz w:val="20"/>
          <w:szCs w:val="22"/>
        </w:rPr>
        <w:t xml:space="preserve">and German </w:t>
      </w:r>
      <w:r w:rsidR="009D1183">
        <w:rPr>
          <w:sz w:val="20"/>
          <w:szCs w:val="22"/>
        </w:rPr>
        <w:t>nuclear power plants. The new approach</w:t>
      </w:r>
      <w:r>
        <w:rPr>
          <w:sz w:val="20"/>
          <w:szCs w:val="22"/>
        </w:rPr>
        <w:t xml:space="preserve"> points to solve</w:t>
      </w:r>
      <w:r w:rsidR="001A3947">
        <w:rPr>
          <w:sz w:val="20"/>
          <w:szCs w:val="22"/>
        </w:rPr>
        <w:t xml:space="preserve"> some of</w:t>
      </w:r>
      <w:r>
        <w:rPr>
          <w:sz w:val="20"/>
          <w:szCs w:val="22"/>
        </w:rPr>
        <w:t xml:space="preserve"> the main critical issues</w:t>
      </w:r>
      <w:r w:rsidRPr="00794BCC">
        <w:rPr>
          <w:sz w:val="20"/>
          <w:szCs w:val="22"/>
        </w:rPr>
        <w:t>.</w:t>
      </w:r>
      <w:r w:rsidR="00F36697" w:rsidRPr="00794BCC">
        <w:rPr>
          <w:sz w:val="20"/>
          <w:szCs w:val="22"/>
        </w:rPr>
        <w:t>[</w:t>
      </w:r>
      <w:r w:rsidR="00B3223F" w:rsidRPr="00794BCC">
        <w:rPr>
          <w:sz w:val="20"/>
          <w:szCs w:val="22"/>
        </w:rPr>
        <w:t>6</w:t>
      </w:r>
      <w:r w:rsidR="00F36697" w:rsidRPr="00794BCC">
        <w:rPr>
          <w:sz w:val="20"/>
          <w:szCs w:val="22"/>
        </w:rPr>
        <w:t>]</w:t>
      </w:r>
      <w:r>
        <w:rPr>
          <w:sz w:val="20"/>
          <w:szCs w:val="22"/>
        </w:rPr>
        <w:t xml:space="preserve"> </w:t>
      </w:r>
      <w:r w:rsidR="009D1183" w:rsidRPr="00183D0D">
        <w:rPr>
          <w:sz w:val="20"/>
          <w:szCs w:val="22"/>
        </w:rPr>
        <w:t>Notably, it</w:t>
      </w:r>
      <w:r w:rsidR="00B0662D" w:rsidRPr="00183D0D">
        <w:rPr>
          <w:sz w:val="20"/>
          <w:szCs w:val="22"/>
        </w:rPr>
        <w:t xml:space="preserve"> is less energy-intensive</w:t>
      </w:r>
      <w:r w:rsidR="00944E02" w:rsidRPr="00183D0D">
        <w:rPr>
          <w:sz w:val="20"/>
          <w:szCs w:val="22"/>
        </w:rPr>
        <w:t xml:space="preserve"> </w:t>
      </w:r>
      <w:r w:rsidR="00AD45FF" w:rsidRPr="00183D0D">
        <w:rPr>
          <w:sz w:val="20"/>
          <w:szCs w:val="22"/>
        </w:rPr>
        <w:t>due to the recycle and reuse o</w:t>
      </w:r>
      <w:r w:rsidR="00402981" w:rsidRPr="00183D0D">
        <w:rPr>
          <w:sz w:val="20"/>
          <w:szCs w:val="22"/>
        </w:rPr>
        <w:t xml:space="preserve">f phosphoric </w:t>
      </w:r>
      <w:r w:rsidR="001907F6" w:rsidRPr="00183D0D">
        <w:rPr>
          <w:sz w:val="20"/>
          <w:szCs w:val="22"/>
        </w:rPr>
        <w:t xml:space="preserve">acid </w:t>
      </w:r>
      <w:r w:rsidR="001662B3" w:rsidRPr="00183D0D">
        <w:rPr>
          <w:sz w:val="20"/>
          <w:szCs w:val="22"/>
        </w:rPr>
        <w:t>without</w:t>
      </w:r>
      <w:r w:rsidR="0010769C" w:rsidRPr="00183D0D">
        <w:rPr>
          <w:sz w:val="20"/>
          <w:szCs w:val="22"/>
        </w:rPr>
        <w:t xml:space="preserve"> evaporation treatment</w:t>
      </w:r>
      <w:r w:rsidR="009D1183" w:rsidRPr="00183D0D">
        <w:rPr>
          <w:sz w:val="20"/>
          <w:szCs w:val="22"/>
        </w:rPr>
        <w:t xml:space="preserve">, </w:t>
      </w:r>
      <w:r w:rsidR="003C5F37" w:rsidRPr="00183D0D">
        <w:rPr>
          <w:sz w:val="20"/>
          <w:szCs w:val="22"/>
        </w:rPr>
        <w:t xml:space="preserve">limits the production of secondary solid waste and </w:t>
      </w:r>
      <w:r w:rsidR="00633E12" w:rsidRPr="00183D0D">
        <w:rPr>
          <w:sz w:val="20"/>
          <w:szCs w:val="22"/>
        </w:rPr>
        <w:t>prom</w:t>
      </w:r>
      <w:r w:rsidR="00634701" w:rsidRPr="00183D0D">
        <w:rPr>
          <w:sz w:val="20"/>
          <w:szCs w:val="22"/>
        </w:rPr>
        <w:t xml:space="preserve">otes the direct conditioning of </w:t>
      </w:r>
      <w:r w:rsidR="00357545" w:rsidRPr="00183D0D">
        <w:rPr>
          <w:sz w:val="20"/>
          <w:szCs w:val="22"/>
        </w:rPr>
        <w:t>the final residue</w:t>
      </w:r>
      <w:r w:rsidR="002B6D7C" w:rsidRPr="00183D0D">
        <w:rPr>
          <w:sz w:val="20"/>
          <w:szCs w:val="22"/>
        </w:rPr>
        <w:t xml:space="preserve"> as</w:t>
      </w:r>
      <w:r w:rsidR="006F4B4F" w:rsidRPr="00183D0D">
        <w:rPr>
          <w:sz w:val="20"/>
          <w:szCs w:val="22"/>
        </w:rPr>
        <w:t xml:space="preserve"> iron</w:t>
      </w:r>
      <w:r w:rsidR="002B6D7C" w:rsidRPr="00183D0D">
        <w:rPr>
          <w:sz w:val="20"/>
          <w:szCs w:val="22"/>
        </w:rPr>
        <w:t xml:space="preserve"> p</w:t>
      </w:r>
      <w:r w:rsidR="007F0D6F" w:rsidRPr="00183D0D">
        <w:rPr>
          <w:sz w:val="20"/>
          <w:szCs w:val="22"/>
        </w:rPr>
        <w:t>olyphosphate glass</w:t>
      </w:r>
      <w:r w:rsidR="00357545" w:rsidRPr="00183D0D">
        <w:rPr>
          <w:sz w:val="20"/>
          <w:szCs w:val="22"/>
        </w:rPr>
        <w:t xml:space="preserve"> without </w:t>
      </w:r>
      <w:r w:rsidR="002B6D7C" w:rsidRPr="00183D0D">
        <w:rPr>
          <w:sz w:val="20"/>
          <w:szCs w:val="22"/>
        </w:rPr>
        <w:t>dilution in cement matrices</w:t>
      </w:r>
      <w:r w:rsidR="00B3223F">
        <w:rPr>
          <w:sz w:val="20"/>
          <w:szCs w:val="22"/>
        </w:rPr>
        <w:t>.</w:t>
      </w:r>
    </w:p>
    <w:p w14:paraId="008827FA" w14:textId="61145167" w:rsidR="004A13EA" w:rsidRPr="00F36697" w:rsidRDefault="00F43361" w:rsidP="00F36697">
      <w:pPr>
        <w:pStyle w:val="Abstracttext"/>
        <w:jc w:val="both"/>
        <w:rPr>
          <w:sz w:val="20"/>
          <w:szCs w:val="22"/>
        </w:rPr>
      </w:pPr>
      <w:r w:rsidRPr="00506A5B">
        <w:rPr>
          <w:sz w:val="20"/>
          <w:szCs w:val="22"/>
        </w:rPr>
        <w:t xml:space="preserve">Following the decontamination unit to declassify or release metallic materials, </w:t>
      </w:r>
      <w:r w:rsidR="00CF422A" w:rsidRPr="00506A5B">
        <w:rPr>
          <w:sz w:val="20"/>
          <w:szCs w:val="22"/>
        </w:rPr>
        <w:t xml:space="preserve">the spent </w:t>
      </w:r>
      <w:r w:rsidRPr="00506A5B">
        <w:rPr>
          <w:sz w:val="20"/>
          <w:szCs w:val="22"/>
        </w:rPr>
        <w:t xml:space="preserve">phosphoric </w:t>
      </w:r>
      <w:r w:rsidR="00CF422A" w:rsidRPr="00506A5B">
        <w:rPr>
          <w:sz w:val="20"/>
          <w:szCs w:val="22"/>
        </w:rPr>
        <w:t xml:space="preserve">acid solution needs to be managed. To this purpose, the electrochemical precipitation step is of paramount relevance in the </w:t>
      </w:r>
      <w:r w:rsidR="00BE70C8" w:rsidRPr="00506A5B">
        <w:rPr>
          <w:sz w:val="20"/>
          <w:szCs w:val="22"/>
        </w:rPr>
        <w:t>closed loop</w:t>
      </w:r>
      <w:r w:rsidR="00CF422A" w:rsidRPr="00506A5B">
        <w:rPr>
          <w:sz w:val="20"/>
          <w:szCs w:val="22"/>
        </w:rPr>
        <w:t xml:space="preserve"> to produce the waste sludge for the following vitrification, and to regenerate the phosphoric acid solution for its reuse in a new metal decontamination step</w:t>
      </w:r>
      <w:r w:rsidR="00CF422A">
        <w:rPr>
          <w:sz w:val="20"/>
          <w:szCs w:val="22"/>
        </w:rPr>
        <w:t>. Nevertheless, the recycle and reuse of phosphoric acid solution is not a straightforward</w:t>
      </w:r>
      <w:r w:rsidR="00F55C97">
        <w:rPr>
          <w:sz w:val="20"/>
          <w:szCs w:val="22"/>
        </w:rPr>
        <w:t xml:space="preserve"> process because of the not </w:t>
      </w:r>
      <w:r w:rsidR="00F55C97" w:rsidRPr="00FD4451">
        <w:rPr>
          <w:sz w:val="20"/>
          <w:szCs w:val="22"/>
        </w:rPr>
        <w:t>negligible amount</w:t>
      </w:r>
      <w:r w:rsidR="00042D02">
        <w:rPr>
          <w:sz w:val="20"/>
          <w:szCs w:val="22"/>
        </w:rPr>
        <w:t>s</w:t>
      </w:r>
      <w:r w:rsidR="00F55C97" w:rsidRPr="00FD4451">
        <w:rPr>
          <w:sz w:val="20"/>
          <w:szCs w:val="22"/>
        </w:rPr>
        <w:t xml:space="preserve"> of contaminants</w:t>
      </w:r>
      <w:r w:rsidR="006F4B4F" w:rsidRPr="00FD4451">
        <w:rPr>
          <w:sz w:val="20"/>
          <w:szCs w:val="22"/>
        </w:rPr>
        <w:t xml:space="preserve"> that remain after the electrochemical precipitation step</w:t>
      </w:r>
      <w:r w:rsidR="00F55C97" w:rsidRPr="00FD4451">
        <w:rPr>
          <w:sz w:val="20"/>
          <w:szCs w:val="22"/>
        </w:rPr>
        <w:t>. Hence, it</w:t>
      </w:r>
      <w:r w:rsidR="009831D4" w:rsidRPr="00FD4451">
        <w:rPr>
          <w:sz w:val="20"/>
          <w:szCs w:val="22"/>
        </w:rPr>
        <w:t xml:space="preserve"> i</w:t>
      </w:r>
      <w:r w:rsidR="00F55C97" w:rsidRPr="00FD4451">
        <w:rPr>
          <w:sz w:val="20"/>
          <w:szCs w:val="22"/>
        </w:rPr>
        <w:t xml:space="preserve">s worth investigating some co-precipitation agents to </w:t>
      </w:r>
      <w:r w:rsidR="00720514" w:rsidRPr="00FD4451">
        <w:rPr>
          <w:sz w:val="20"/>
          <w:szCs w:val="22"/>
        </w:rPr>
        <w:t xml:space="preserve">be </w:t>
      </w:r>
      <w:r w:rsidR="00F55C97" w:rsidRPr="00FD4451">
        <w:rPr>
          <w:sz w:val="20"/>
          <w:szCs w:val="22"/>
        </w:rPr>
        <w:t>add</w:t>
      </w:r>
      <w:r w:rsidR="00720514" w:rsidRPr="00FD4451">
        <w:rPr>
          <w:sz w:val="20"/>
          <w:szCs w:val="22"/>
        </w:rPr>
        <w:t>ed</w:t>
      </w:r>
      <w:r w:rsidR="00F55C97" w:rsidRPr="00FD4451">
        <w:rPr>
          <w:sz w:val="20"/>
          <w:szCs w:val="22"/>
        </w:rPr>
        <w:t xml:space="preserve"> during the process in one or more stages to optimize and enhance the decontamination yield of the spent phosphoric acid solution</w:t>
      </w:r>
      <w:r w:rsidR="00F55C97" w:rsidRPr="00794BCC">
        <w:rPr>
          <w:sz w:val="20"/>
          <w:szCs w:val="22"/>
        </w:rPr>
        <w:t>.</w:t>
      </w:r>
      <w:r w:rsidR="00E21118" w:rsidRPr="00794BCC">
        <w:rPr>
          <w:sz w:val="20"/>
          <w:szCs w:val="22"/>
        </w:rPr>
        <w:t>[</w:t>
      </w:r>
      <w:r w:rsidR="00F36697" w:rsidRPr="00794BCC">
        <w:rPr>
          <w:sz w:val="20"/>
          <w:szCs w:val="22"/>
        </w:rPr>
        <w:t>7</w:t>
      </w:r>
      <w:r w:rsidR="00E21118" w:rsidRPr="00794BCC">
        <w:rPr>
          <w:sz w:val="20"/>
          <w:szCs w:val="22"/>
        </w:rPr>
        <w:t>]</w:t>
      </w:r>
    </w:p>
    <w:p w14:paraId="50A1C7A1" w14:textId="434C1BF4" w:rsidR="007E4976" w:rsidRDefault="007E4976" w:rsidP="007E4976">
      <w:pPr>
        <w:pStyle w:val="Titolo2"/>
        <w:numPr>
          <w:ilvl w:val="1"/>
          <w:numId w:val="10"/>
        </w:numPr>
      </w:pPr>
      <w:r>
        <w:t>materials and methods</w:t>
      </w:r>
    </w:p>
    <w:p w14:paraId="6F0D3E0F" w14:textId="165A003C" w:rsidR="00620162" w:rsidRDefault="005C70E7" w:rsidP="00620162">
      <w:pPr>
        <w:pStyle w:val="Titolo3"/>
      </w:pPr>
      <w:r>
        <w:t>Chemicals</w:t>
      </w:r>
    </w:p>
    <w:p w14:paraId="15C7C2E2" w14:textId="76DB0229" w:rsidR="00270539" w:rsidRDefault="00C65967" w:rsidP="00270539">
      <w:pPr>
        <w:pStyle w:val="Corpotesto"/>
      </w:pPr>
      <w:r>
        <w:t>In the p</w:t>
      </w:r>
      <w:r w:rsidR="00A70DF7">
        <w:t xml:space="preserve">ickling process </w:t>
      </w:r>
      <w:r>
        <w:t xml:space="preserve">was </w:t>
      </w:r>
      <w:r w:rsidR="00A70DF7">
        <w:t>used commercial steel</w:t>
      </w:r>
      <w:r w:rsidR="00A218CB">
        <w:t xml:space="preserve"> </w:t>
      </w:r>
      <w:r w:rsidR="00A218CB" w:rsidRPr="00A218CB">
        <w:t>Fe-52/Fe</w:t>
      </w:r>
      <w:r w:rsidR="00676468">
        <w:t xml:space="preserve"> </w:t>
      </w:r>
      <w:r w:rsidR="00A218CB" w:rsidRPr="00A218CB">
        <w:t>510/S</w:t>
      </w:r>
      <w:r w:rsidR="00676468">
        <w:t xml:space="preserve"> </w:t>
      </w:r>
      <w:r w:rsidR="00A218CB" w:rsidRPr="00A218CB">
        <w:t>355, containing &lt; 1.5% Mn, 0.55% Si, 0.22% C and 0.045% P and S.</w:t>
      </w:r>
      <w:r w:rsidR="00BB5AF1">
        <w:t xml:space="preserve"> Technical grade</w:t>
      </w:r>
      <w:r w:rsidR="00421AA3">
        <w:t xml:space="preserve"> </w:t>
      </w:r>
      <w:r w:rsidR="00303F29">
        <w:t>p</w:t>
      </w:r>
      <w:r w:rsidR="00421AA3" w:rsidRPr="00421AA3">
        <w:t>hosphoric acid (H</w:t>
      </w:r>
      <w:r w:rsidR="00421AA3" w:rsidRPr="009A3539">
        <w:rPr>
          <w:vertAlign w:val="subscript"/>
        </w:rPr>
        <w:t>3</w:t>
      </w:r>
      <w:r w:rsidR="00421AA3" w:rsidRPr="00421AA3">
        <w:t>PO</w:t>
      </w:r>
      <w:r w:rsidR="00421AA3" w:rsidRPr="009A3539">
        <w:rPr>
          <w:vertAlign w:val="subscript"/>
        </w:rPr>
        <w:t>4</w:t>
      </w:r>
      <w:r w:rsidR="00421AA3" w:rsidRPr="00421AA3">
        <w:t>, 40% w/w) and hydrogen peroxide (H</w:t>
      </w:r>
      <w:r w:rsidR="00421AA3" w:rsidRPr="009A3539">
        <w:rPr>
          <w:vertAlign w:val="subscript"/>
        </w:rPr>
        <w:t>2</w:t>
      </w:r>
      <w:r w:rsidR="00421AA3" w:rsidRPr="00421AA3">
        <w:t>O</w:t>
      </w:r>
      <w:r w:rsidR="00421AA3" w:rsidRPr="009A3539">
        <w:rPr>
          <w:vertAlign w:val="subscript"/>
        </w:rPr>
        <w:t>2</w:t>
      </w:r>
      <w:r w:rsidR="00421AA3" w:rsidRPr="00421AA3">
        <w:t>, 35% w/w)</w:t>
      </w:r>
      <w:r w:rsidR="00421AA3">
        <w:t xml:space="preserve"> were </w:t>
      </w:r>
      <w:r w:rsidR="00421AA3" w:rsidRPr="00421AA3">
        <w:t xml:space="preserve">purchased from </w:t>
      </w:r>
      <w:proofErr w:type="spellStart"/>
      <w:r w:rsidR="00421AA3" w:rsidRPr="00421AA3">
        <w:t>Chimitex</w:t>
      </w:r>
      <w:proofErr w:type="spellEnd"/>
      <w:r w:rsidR="00421AA3" w:rsidRPr="00421AA3">
        <w:t xml:space="preserve"> Italy</w:t>
      </w:r>
      <w:r w:rsidR="00421AA3">
        <w:t>.</w:t>
      </w:r>
    </w:p>
    <w:p w14:paraId="0F4BBC3F" w14:textId="621C184B" w:rsidR="00E66D0B" w:rsidRDefault="00430326" w:rsidP="00852B96">
      <w:pPr>
        <w:pStyle w:val="Corpotesto"/>
      </w:pPr>
      <w:r w:rsidRPr="009A3539">
        <w:t>M</w:t>
      </w:r>
      <w:r w:rsidR="00547D96" w:rsidRPr="009A3539">
        <w:t>etal stock solution</w:t>
      </w:r>
      <w:r w:rsidRPr="009A3539">
        <w:t xml:space="preserve"> of stable contaminants </w:t>
      </w:r>
      <w:r w:rsidR="009A3539" w:rsidRPr="009A3539">
        <w:t>were prepared in H</w:t>
      </w:r>
      <w:r w:rsidR="009A3539" w:rsidRPr="00F74D10">
        <w:rPr>
          <w:vertAlign w:val="subscript"/>
        </w:rPr>
        <w:t>3</w:t>
      </w:r>
      <w:r w:rsidR="009A3539" w:rsidRPr="009A3539">
        <w:t>PO</w:t>
      </w:r>
      <w:r w:rsidR="009A3539" w:rsidRPr="00F74D10">
        <w:rPr>
          <w:vertAlign w:val="subscript"/>
        </w:rPr>
        <w:t>4</w:t>
      </w:r>
      <w:r w:rsidR="009A3539" w:rsidRPr="000D534E">
        <w:t xml:space="preserve"> </w:t>
      </w:r>
      <w:r w:rsidR="009A3539" w:rsidRPr="009A3539">
        <w:t>(40% w/w)</w:t>
      </w:r>
      <w:r w:rsidR="009B498D">
        <w:t xml:space="preserve"> by using </w:t>
      </w:r>
      <w:r w:rsidR="000D534E" w:rsidRPr="000D534E">
        <w:t xml:space="preserve">Cobalt (Co, 99%), Nickel (Ni, 99%), Strontium (Sr, 99.5%) and Caesium (Cs, &gt;99%) nitrates, purchased from Carlo </w:t>
      </w:r>
      <w:proofErr w:type="spellStart"/>
      <w:r w:rsidR="000D534E" w:rsidRPr="000D534E">
        <w:t>Erba</w:t>
      </w:r>
      <w:proofErr w:type="spellEnd"/>
      <w:r w:rsidR="000D534E" w:rsidRPr="000D534E">
        <w:t xml:space="preserve"> and </w:t>
      </w:r>
      <w:proofErr w:type="spellStart"/>
      <w:r w:rsidR="000D534E" w:rsidRPr="000D534E">
        <w:t>Fluka</w:t>
      </w:r>
      <w:proofErr w:type="spellEnd"/>
      <w:r w:rsidR="00F74D10">
        <w:t>.</w:t>
      </w:r>
      <w:r w:rsidR="00852B96">
        <w:t xml:space="preserve"> </w:t>
      </w:r>
      <w:r w:rsidR="0050019F">
        <w:t>Stock solutions of radioactive contaminants were prepared by diluting</w:t>
      </w:r>
      <w:r w:rsidR="00E90B0F">
        <w:t xml:space="preserve"> </w:t>
      </w:r>
      <w:r w:rsidR="00FD70AB">
        <w:t>certified</w:t>
      </w:r>
      <w:r w:rsidR="00CA4786">
        <w:t xml:space="preserve"> standard solution</w:t>
      </w:r>
      <w:r w:rsidR="0025541E">
        <w:t xml:space="preserve"> (</w:t>
      </w:r>
      <w:r w:rsidR="00873446">
        <w:t>1</w:t>
      </w:r>
      <w:r w:rsidR="003E4C0C" w:rsidRPr="00972935">
        <w:t xml:space="preserve">00 </w:t>
      </w:r>
      <w:proofErr w:type="spellStart"/>
      <w:r w:rsidR="003E4C0C" w:rsidRPr="00972935">
        <w:t>kBq</w:t>
      </w:r>
      <w:proofErr w:type="spellEnd"/>
      <w:r w:rsidR="003E4C0C" w:rsidRPr="00972935">
        <w:t xml:space="preserve"> </w:t>
      </w:r>
      <w:r w:rsidR="003E4C0C" w:rsidRPr="00972935">
        <w:rPr>
          <w:vertAlign w:val="superscript"/>
        </w:rPr>
        <w:t>60</w:t>
      </w:r>
      <w:r w:rsidR="003E4C0C" w:rsidRPr="00972935">
        <w:t>CoCl</w:t>
      </w:r>
      <w:r w:rsidR="003E4C0C" w:rsidRPr="00972935">
        <w:rPr>
          <w:vertAlign w:val="subscript"/>
        </w:rPr>
        <w:t>2</w:t>
      </w:r>
      <w:r w:rsidR="003E4C0C" w:rsidRPr="00972935">
        <w:t>, 5</w:t>
      </w:r>
      <w:r w:rsidR="00ED6600">
        <w:t>.</w:t>
      </w:r>
      <w:r w:rsidR="003E4C0C" w:rsidRPr="00972935">
        <w:t xml:space="preserve">936 MBq </w:t>
      </w:r>
      <w:r w:rsidR="003E4C0C" w:rsidRPr="00972935">
        <w:rPr>
          <w:vertAlign w:val="superscript"/>
        </w:rPr>
        <w:t>85</w:t>
      </w:r>
      <w:r w:rsidR="003E4C0C" w:rsidRPr="00972935">
        <w:t>SrCl</w:t>
      </w:r>
      <w:r w:rsidR="003E4C0C" w:rsidRPr="00972935">
        <w:rPr>
          <w:vertAlign w:val="subscript"/>
        </w:rPr>
        <w:t>2</w:t>
      </w:r>
      <w:r w:rsidR="00ED6600">
        <w:t xml:space="preserve">, </w:t>
      </w:r>
      <w:r w:rsidR="003E4C0C" w:rsidRPr="00972935">
        <w:t xml:space="preserve">50 MBq </w:t>
      </w:r>
      <w:r w:rsidR="003E4C0C" w:rsidRPr="00972935">
        <w:rPr>
          <w:vertAlign w:val="superscript"/>
        </w:rPr>
        <w:t>137</w:t>
      </w:r>
      <w:r w:rsidR="003E4C0C" w:rsidRPr="00972935">
        <w:t>CsCl in 3 g</w:t>
      </w:r>
      <w:r w:rsidR="003E4C0C" w:rsidRPr="00972935">
        <w:rPr>
          <w:rFonts w:ascii="Arial" w:hAnsi="Arial" w:cs="Arial"/>
        </w:rPr>
        <w:t>·</w:t>
      </w:r>
      <w:r w:rsidR="003E4C0C" w:rsidRPr="00972935">
        <w:t>L</w:t>
      </w:r>
      <w:r w:rsidR="003E4C0C" w:rsidRPr="00972935">
        <w:rPr>
          <w:vertAlign w:val="superscript"/>
        </w:rPr>
        <w:t>-1</w:t>
      </w:r>
      <w:r w:rsidR="003E4C0C" w:rsidRPr="00972935">
        <w:t xml:space="preserve"> HCl</w:t>
      </w:r>
      <w:r w:rsidR="00C31426">
        <w:t xml:space="preserve"> and </w:t>
      </w:r>
      <w:r w:rsidR="003E4C0C" w:rsidRPr="00972935">
        <w:t xml:space="preserve">99 </w:t>
      </w:r>
      <w:proofErr w:type="spellStart"/>
      <w:r w:rsidR="003E4C0C" w:rsidRPr="00972935">
        <w:t>kBq</w:t>
      </w:r>
      <w:proofErr w:type="spellEnd"/>
      <w:r w:rsidR="003E4C0C" w:rsidRPr="00972935">
        <w:rPr>
          <w:vertAlign w:val="superscript"/>
        </w:rPr>
        <w:t xml:space="preserve"> </w:t>
      </w:r>
      <w:r w:rsidR="003E4C0C" w:rsidRPr="002864E4">
        <w:rPr>
          <w:vertAlign w:val="superscript"/>
        </w:rPr>
        <w:t>63</w:t>
      </w:r>
      <w:r w:rsidR="003E4C0C" w:rsidRPr="00C31426">
        <w:t>NiCl</w:t>
      </w:r>
      <w:r w:rsidR="00C31426" w:rsidRPr="00015674">
        <w:rPr>
          <w:vertAlign w:val="subscript"/>
        </w:rPr>
        <w:t>2</w:t>
      </w:r>
      <w:r w:rsidR="00303F29" w:rsidRPr="00E85DE4">
        <w:t>)</w:t>
      </w:r>
      <w:r w:rsidR="009351EF">
        <w:t>, purchased from Czech Metrology Institute</w:t>
      </w:r>
      <w:r w:rsidR="00015674">
        <w:t>.</w:t>
      </w:r>
      <w:r w:rsidR="00C31426">
        <w:t xml:space="preserve"> </w:t>
      </w:r>
      <w:r w:rsidR="00252695">
        <w:t>Each standard solution</w:t>
      </w:r>
      <w:r w:rsidR="009774F8">
        <w:t xml:space="preserve"> is </w:t>
      </w:r>
      <w:r w:rsidR="000A3E7C">
        <w:t xml:space="preserve">prepared </w:t>
      </w:r>
      <w:r w:rsidR="003E4C0C" w:rsidRPr="00C31426">
        <w:t>in</w:t>
      </w:r>
      <w:r w:rsidR="003E4C0C" w:rsidRPr="00972935">
        <w:t xml:space="preserve"> 3 g</w:t>
      </w:r>
      <w:r w:rsidR="003E4C0C" w:rsidRPr="00972935">
        <w:rPr>
          <w:rFonts w:ascii="Arial" w:hAnsi="Arial" w:cs="Arial"/>
        </w:rPr>
        <w:t>·</w:t>
      </w:r>
      <w:r w:rsidR="003E4C0C" w:rsidRPr="00972935">
        <w:t>L</w:t>
      </w:r>
      <w:r w:rsidR="003E4C0C" w:rsidRPr="00972935">
        <w:rPr>
          <w:vertAlign w:val="superscript"/>
        </w:rPr>
        <w:t>-1</w:t>
      </w:r>
      <w:r w:rsidR="003E4C0C" w:rsidRPr="00972935">
        <w:t xml:space="preserve"> HCl</w:t>
      </w:r>
      <w:r w:rsidR="00AF40B5">
        <w:t>, and</w:t>
      </w:r>
      <w:r w:rsidR="000A3E7C">
        <w:t xml:space="preserve"> </w:t>
      </w:r>
      <w:r w:rsidR="003E4C0C" w:rsidRPr="00972935">
        <w:t>20 mg</w:t>
      </w:r>
      <w:r w:rsidR="003E4C0C" w:rsidRPr="00972935">
        <w:rPr>
          <w:rFonts w:ascii="Arial" w:hAnsi="Arial" w:cs="Arial"/>
        </w:rPr>
        <w:t>·</w:t>
      </w:r>
      <w:r w:rsidR="003E4C0C" w:rsidRPr="00972935">
        <w:t>L</w:t>
      </w:r>
      <w:r w:rsidR="003E4C0C" w:rsidRPr="00972935">
        <w:rPr>
          <w:vertAlign w:val="superscript"/>
        </w:rPr>
        <w:t>-1</w:t>
      </w:r>
      <w:r w:rsidR="000A3E7C">
        <w:t xml:space="preserve"> of </w:t>
      </w:r>
      <w:r w:rsidR="00B16154">
        <w:t xml:space="preserve">the respective stable chloride </w:t>
      </w:r>
      <w:r w:rsidR="0084228B">
        <w:t>compound</w:t>
      </w:r>
      <w:r w:rsidR="00AB1E80">
        <w:t xml:space="preserve"> are present</w:t>
      </w:r>
      <w:r w:rsidR="0084228B">
        <w:t xml:space="preserve"> as carrier</w:t>
      </w:r>
      <w:r w:rsidR="003E4C0C" w:rsidRPr="00972935">
        <w:t>.</w:t>
      </w:r>
    </w:p>
    <w:p w14:paraId="1965D72F" w14:textId="5B2928C2" w:rsidR="008D3DC6" w:rsidRPr="004238BD" w:rsidRDefault="00DB4258" w:rsidP="004238BD">
      <w:pPr>
        <w:pStyle w:val="Corpotesto"/>
      </w:pPr>
      <w:r w:rsidRPr="004238BD">
        <w:t>BaSO</w:t>
      </w:r>
      <w:r w:rsidRPr="00720D43">
        <w:rPr>
          <w:vertAlign w:val="subscript"/>
        </w:rPr>
        <w:t>4</w:t>
      </w:r>
      <w:r>
        <w:t xml:space="preserve">, </w:t>
      </w:r>
      <w:r w:rsidR="00F0614D" w:rsidRPr="004238BD">
        <w:t>Ca</w:t>
      </w:r>
      <w:r w:rsidR="00F0614D" w:rsidRPr="004238BD">
        <w:rPr>
          <w:vertAlign w:val="subscript"/>
        </w:rPr>
        <w:t>3</w:t>
      </w:r>
      <w:r w:rsidR="00F0614D" w:rsidRPr="004238BD">
        <w:t>(PO</w:t>
      </w:r>
      <w:r w:rsidR="00F0614D" w:rsidRPr="004238BD">
        <w:rPr>
          <w:vertAlign w:val="subscript"/>
        </w:rPr>
        <w:t>4</w:t>
      </w:r>
      <w:r w:rsidR="00F0614D" w:rsidRPr="004238BD">
        <w:t>)</w:t>
      </w:r>
      <w:r w:rsidR="00F0614D" w:rsidRPr="004238BD">
        <w:rPr>
          <w:vertAlign w:val="subscript"/>
        </w:rPr>
        <w:t>2</w:t>
      </w:r>
      <w:r>
        <w:t xml:space="preserve"> and </w:t>
      </w:r>
      <w:r w:rsidR="004238BD" w:rsidRPr="004238BD">
        <w:t>Ca</w:t>
      </w:r>
      <w:r w:rsidR="004238BD" w:rsidRPr="00720D43">
        <w:rPr>
          <w:vertAlign w:val="subscript"/>
        </w:rPr>
        <w:t>2</w:t>
      </w:r>
      <w:r w:rsidR="004238BD" w:rsidRPr="004238BD">
        <w:t>P</w:t>
      </w:r>
      <w:r w:rsidR="004238BD" w:rsidRPr="00720D43">
        <w:rPr>
          <w:vertAlign w:val="subscript"/>
        </w:rPr>
        <w:t>2</w:t>
      </w:r>
      <w:r w:rsidR="004238BD" w:rsidRPr="004238BD">
        <w:t>O</w:t>
      </w:r>
      <w:r w:rsidRPr="00720D43">
        <w:rPr>
          <w:vertAlign w:val="subscript"/>
        </w:rPr>
        <w:t>7</w:t>
      </w:r>
      <w:r>
        <w:t xml:space="preserve"> </w:t>
      </w:r>
      <w:r w:rsidR="001B0555">
        <w:t xml:space="preserve">compounds </w:t>
      </w:r>
      <w:r w:rsidR="008D3DC6" w:rsidRPr="004238BD">
        <w:t xml:space="preserve">were purchased from Sigma-Aldrich (Reagent Grade). All chemicals were used as received. </w:t>
      </w:r>
    </w:p>
    <w:p w14:paraId="77CC58C9" w14:textId="4F3CC577" w:rsidR="00015674" w:rsidRDefault="008D3DC6" w:rsidP="001812ED">
      <w:pPr>
        <w:pStyle w:val="Corpotesto"/>
      </w:pPr>
      <w:r w:rsidRPr="004238BD">
        <w:t xml:space="preserve">Ultrapure nitric acid (purchased from </w:t>
      </w:r>
      <w:proofErr w:type="spellStart"/>
      <w:r w:rsidRPr="004238BD">
        <w:t>Santis</w:t>
      </w:r>
      <w:proofErr w:type="spellEnd"/>
      <w:r w:rsidRPr="004238BD">
        <w:t xml:space="preserve"> Analytical Italia) and ultrapure water (Millipore, Billerica, USA; 18.2 </w:t>
      </w:r>
      <w:proofErr w:type="spellStart"/>
      <w:r w:rsidRPr="004238BD">
        <w:t>MΩ∙cm</w:t>
      </w:r>
      <w:proofErr w:type="spellEnd"/>
      <w:r w:rsidRPr="004238BD">
        <w:t>) were used to</w:t>
      </w:r>
      <w:r w:rsidR="0025680E">
        <w:t xml:space="preserve"> </w:t>
      </w:r>
      <w:r w:rsidRPr="004238BD">
        <w:t>dilute samples for mass spectrometry analysis.</w:t>
      </w:r>
    </w:p>
    <w:p w14:paraId="69705280" w14:textId="1519E466" w:rsidR="00F812F7" w:rsidRDefault="00F812F7" w:rsidP="001812ED">
      <w:pPr>
        <w:pStyle w:val="Corpotesto"/>
      </w:pPr>
    </w:p>
    <w:p w14:paraId="1D5BE61D" w14:textId="69979DD4" w:rsidR="00F812F7" w:rsidRDefault="00F812F7" w:rsidP="001812ED">
      <w:pPr>
        <w:pStyle w:val="Corpotesto"/>
      </w:pPr>
    </w:p>
    <w:p w14:paraId="7913D9E5" w14:textId="099B1A2F" w:rsidR="00F812F7" w:rsidRDefault="00F812F7" w:rsidP="00F812F7">
      <w:pPr>
        <w:pStyle w:val="Corpotesto"/>
        <w:ind w:firstLine="0"/>
      </w:pPr>
    </w:p>
    <w:p w14:paraId="3B6E7EEF" w14:textId="77777777" w:rsidR="00F812F7" w:rsidRDefault="00F812F7" w:rsidP="00F812F7">
      <w:pPr>
        <w:pStyle w:val="Corpotesto"/>
        <w:ind w:firstLine="0"/>
        <w:jc w:val="center"/>
      </w:pPr>
      <w:r>
        <w:rPr>
          <w:noProof/>
        </w:rPr>
        <w:lastRenderedPageBreak/>
        <w:drawing>
          <wp:inline distT="0" distB="0" distL="0" distR="0" wp14:anchorId="17CFDA81" wp14:editId="1BFE3D57">
            <wp:extent cx="2473618" cy="3044782"/>
            <wp:effectExtent l="0" t="0" r="3175" b="3810"/>
            <wp:docPr id="3" name="Immagine 3" descr="Immagine che contiene interni, forno, elettrodomes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interni, forno, elettrodomestic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3039" cy="3056378"/>
                    </a:xfrm>
                    <a:prstGeom prst="rect">
                      <a:avLst/>
                    </a:prstGeom>
                    <a:noFill/>
                    <a:ln>
                      <a:noFill/>
                    </a:ln>
                  </pic:spPr>
                </pic:pic>
              </a:graphicData>
            </a:graphic>
          </wp:inline>
        </w:drawing>
      </w:r>
    </w:p>
    <w:p w14:paraId="1908643A" w14:textId="77777777" w:rsidR="00F812F7" w:rsidRDefault="00F812F7" w:rsidP="00F812F7">
      <w:pPr>
        <w:pStyle w:val="Corpotesto"/>
        <w:ind w:firstLine="0"/>
      </w:pPr>
    </w:p>
    <w:p w14:paraId="71F9D0E5" w14:textId="216E7CB9" w:rsidR="00F812F7" w:rsidRDefault="00F812F7" w:rsidP="00F812F7">
      <w:pPr>
        <w:pStyle w:val="Didascalia"/>
        <w:jc w:val="center"/>
        <w:rPr>
          <w:i/>
        </w:rPr>
      </w:pPr>
      <w:r w:rsidRPr="00794BCC">
        <w:rPr>
          <w:i/>
        </w:rPr>
        <w:t>FIG.2 The</w:t>
      </w:r>
      <w:r>
        <w:rPr>
          <w:i/>
        </w:rPr>
        <w:t xml:space="preserve"> simplified electrochemical cell configuration (</w:t>
      </w:r>
      <w:r w:rsidR="00413C3B">
        <w:rPr>
          <w:i/>
        </w:rPr>
        <w:t>top</w:t>
      </w:r>
      <w:r>
        <w:rPr>
          <w:i/>
        </w:rPr>
        <w:t>); current and voltage profiles (red and blue curves) during one of the performed precipitation tests (</w:t>
      </w:r>
      <w:r w:rsidR="00E70CB9">
        <w:rPr>
          <w:i/>
        </w:rPr>
        <w:t>bottom</w:t>
      </w:r>
      <w:r>
        <w:rPr>
          <w:i/>
        </w:rPr>
        <w:t>).</w:t>
      </w:r>
    </w:p>
    <w:p w14:paraId="1E483772" w14:textId="5383D6FF" w:rsidR="00F812F7" w:rsidRPr="00F812F7" w:rsidRDefault="00F812F7" w:rsidP="001812ED">
      <w:pPr>
        <w:pStyle w:val="Corpotesto"/>
        <w:rPr>
          <w:lang w:val="en-US"/>
        </w:rPr>
      </w:pPr>
    </w:p>
    <w:p w14:paraId="56BA12C2" w14:textId="77777777" w:rsidR="00F812F7" w:rsidRDefault="00F812F7" w:rsidP="00F812F7">
      <w:pPr>
        <w:pStyle w:val="Corpotesto"/>
        <w:ind w:firstLine="0"/>
      </w:pPr>
    </w:p>
    <w:p w14:paraId="410E6F17" w14:textId="0A75EC95" w:rsidR="00015674" w:rsidRDefault="00720D43" w:rsidP="00015674">
      <w:pPr>
        <w:pStyle w:val="Titolo3"/>
      </w:pPr>
      <w:r>
        <w:t>Procedure</w:t>
      </w:r>
    </w:p>
    <w:p w14:paraId="48035F69" w14:textId="6B370B14" w:rsidR="00BA548F" w:rsidRDefault="00BA548F" w:rsidP="00BA548F">
      <w:pPr>
        <w:pStyle w:val="Titolo4"/>
        <w:ind w:left="0"/>
      </w:pPr>
      <w:r>
        <w:t>Electrochemical precipitation</w:t>
      </w:r>
    </w:p>
    <w:p w14:paraId="5A670A74" w14:textId="2B3C4460" w:rsidR="001812ED" w:rsidRDefault="00A1091C" w:rsidP="00F812F7">
      <w:pPr>
        <w:pStyle w:val="Corpotesto"/>
      </w:pPr>
      <w:r>
        <w:t>After</w:t>
      </w:r>
      <w:r w:rsidR="006F4B4F">
        <w:t xml:space="preserve"> </w:t>
      </w:r>
      <w:r w:rsidR="0088359A">
        <w:t>the dissolution of commercial metal</w:t>
      </w:r>
      <w:r w:rsidR="0088359A">
        <w:rPr>
          <w:lang w:val="en-US"/>
        </w:rPr>
        <w:t xml:space="preserve"> steel chips in </w:t>
      </w:r>
      <w:r w:rsidR="00CD4698">
        <w:rPr>
          <w:lang w:val="en-US"/>
        </w:rPr>
        <w:t xml:space="preserve">40% w/w </w:t>
      </w:r>
      <w:r w:rsidR="0088359A">
        <w:rPr>
          <w:lang w:val="en-US"/>
        </w:rPr>
        <w:t xml:space="preserve">phosphoric acid and subsequent oxidation of the resulting solution with hydrogen peroxide, a surrogate metal liquor was prepared </w:t>
      </w:r>
      <w:r w:rsidR="0088359A">
        <w:t xml:space="preserve">by </w:t>
      </w:r>
      <w:r w:rsidR="00486C4D">
        <w:t>trac</w:t>
      </w:r>
      <w:r w:rsidR="0088359A">
        <w:t>ing it</w:t>
      </w:r>
      <w:r w:rsidR="00F812F7">
        <w:t xml:space="preserve"> </w:t>
      </w:r>
      <w:r w:rsidR="001812ED" w:rsidRPr="00D51868">
        <w:t>with stable and radioactive contaminants stock solutions to simulate the activation and fission products contamination in the process</w:t>
      </w:r>
      <w:r w:rsidR="001812ED">
        <w:t>, notably the concentration of the contaminants ranges from 400 ppb to 100 ppm</w:t>
      </w:r>
      <w:r w:rsidR="001812ED" w:rsidRPr="00794BCC">
        <w:t>.</w:t>
      </w:r>
      <w:r w:rsidR="006D0262" w:rsidRPr="00794BCC">
        <w:t>[</w:t>
      </w:r>
      <w:r w:rsidR="00383E25" w:rsidRPr="00794BCC">
        <w:t>7</w:t>
      </w:r>
      <w:r w:rsidR="006D0262" w:rsidRPr="00794BCC">
        <w:t>]</w:t>
      </w:r>
    </w:p>
    <w:p w14:paraId="13791449" w14:textId="6033940B" w:rsidR="006231B9" w:rsidRPr="009532A4" w:rsidRDefault="009532A4" w:rsidP="009532A4">
      <w:pPr>
        <w:pStyle w:val="Corpotesto"/>
      </w:pPr>
      <w:r>
        <w:t xml:space="preserve">The </w:t>
      </w:r>
      <w:r w:rsidRPr="000F1919">
        <w:t>electrochemical process</w:t>
      </w:r>
      <w:r>
        <w:t xml:space="preserve"> was initially conducted by loading about 120 mL of the ferric solution </w:t>
      </w:r>
      <w:r w:rsidRPr="000F1919">
        <w:t>in a simple electrochemical cell configuration (</w:t>
      </w:r>
      <w:r>
        <w:t xml:space="preserve">see Fig. 2, </w:t>
      </w:r>
      <w:r w:rsidRPr="000F1919">
        <w:t>no anion exchange membrane, electrode section 4×4 cm</w:t>
      </w:r>
      <w:r w:rsidRPr="00AE2523">
        <w:rPr>
          <w:vertAlign w:val="superscript"/>
        </w:rPr>
        <w:t>2</w:t>
      </w:r>
      <w:r w:rsidRPr="000F1919">
        <w:t xml:space="preserve"> and distance </w:t>
      </w:r>
      <w:r w:rsidR="00F55C97" w:rsidRPr="006F4B4F">
        <w:t xml:space="preserve">2.5 cm, applied voltage 8 V, process time 4h 30’). Current and voltages profiles are recorded to monitor the evolution of the electrochemical process </w:t>
      </w:r>
      <w:r w:rsidR="00F55C97" w:rsidRPr="00794BCC">
        <w:t>(</w:t>
      </w:r>
      <w:r w:rsidR="006F4B4F" w:rsidRPr="00794BCC">
        <w:t>Fig. 2</w:t>
      </w:r>
      <w:r w:rsidR="007015BF" w:rsidRPr="00794BCC">
        <w:t>,</w:t>
      </w:r>
      <w:r w:rsidR="007015BF">
        <w:t xml:space="preserve"> </w:t>
      </w:r>
      <w:r w:rsidR="007015BF" w:rsidRPr="007015BF">
        <w:rPr>
          <w:i/>
          <w:iCs/>
        </w:rPr>
        <w:t>bottom</w:t>
      </w:r>
      <w:r w:rsidR="00F55C97" w:rsidRPr="006F4B4F">
        <w:t>). These experimental conditions have been used for the tests</w:t>
      </w:r>
      <w:r w:rsidR="00FA1453">
        <w:t xml:space="preserve"> with the radiotracers, and then with stable contaminants </w:t>
      </w:r>
      <w:r w:rsidR="00F55C97" w:rsidRPr="006F4B4F">
        <w:t>to assess some co-precipitation agents as potential candidates for the enhancement of the electrochemical precipitation step. Afterwards, some experimental activities have been conducted b</w:t>
      </w:r>
      <w:r w:rsidR="00FA1453">
        <w:t>y increasing the</w:t>
      </w:r>
      <w:r w:rsidR="007015BF">
        <w:t xml:space="preserve"> volumes of ferric solutions up to </w:t>
      </w:r>
      <w:r w:rsidR="00F55C97" w:rsidRPr="006F4B4F">
        <w:t>200</w:t>
      </w:r>
      <w:r w:rsidR="00FA1453">
        <w:t xml:space="preserve"> mL, and then to </w:t>
      </w:r>
      <w:r w:rsidR="007015BF">
        <w:t xml:space="preserve">240 </w:t>
      </w:r>
      <w:proofErr w:type="spellStart"/>
      <w:r w:rsidR="00F55C97" w:rsidRPr="006F4B4F">
        <w:t>mL</w:t>
      </w:r>
      <w:r w:rsidR="00FA1453">
        <w:t>.</w:t>
      </w:r>
      <w:proofErr w:type="spellEnd"/>
      <w:r w:rsidR="00FA1453">
        <w:t xml:space="preserve"> A</w:t>
      </w:r>
      <w:r w:rsidR="00F55C97" w:rsidRPr="006F4B4F">
        <w:t xml:space="preserve"> multistage configuration has been tested with the best co-precipitant</w:t>
      </w:r>
      <w:r w:rsidR="00FA1453">
        <w:t xml:space="preserve"> according to the previous experiments</w:t>
      </w:r>
      <w:r w:rsidR="00F55C97" w:rsidRPr="006F4B4F">
        <w:t>. This last experimental setup consists of a first stage, where</w:t>
      </w:r>
      <w:r w:rsidR="006F4B4F">
        <w:t xml:space="preserve"> the</w:t>
      </w:r>
      <w:r w:rsidR="00F55C97" w:rsidRPr="006F4B4F">
        <w:t xml:space="preserve"> </w:t>
      </w:r>
      <w:r w:rsidR="006A339A">
        <w:t xml:space="preserve">electrochemical </w:t>
      </w:r>
      <w:r w:rsidR="00F55C97" w:rsidRPr="006F4B4F">
        <w:t>iron phosphate precipitation occurs from a weighed amount of ferric solution, and a second stage where</w:t>
      </w:r>
      <w:r w:rsidR="006F4B4F">
        <w:t xml:space="preserve"> the</w:t>
      </w:r>
      <w:r w:rsidR="00F55C97" w:rsidRPr="006F4B4F">
        <w:t xml:space="preserve"> </w:t>
      </w:r>
      <w:r w:rsidR="00E85DE4">
        <w:t>previously obtained</w:t>
      </w:r>
      <w:r w:rsidR="00F55C97" w:rsidRPr="006F4B4F">
        <w:t xml:space="preserve"> supernatant undergoes</w:t>
      </w:r>
      <w:r w:rsidR="00E85DE4">
        <w:t xml:space="preserve"> </w:t>
      </w:r>
      <w:r w:rsidR="00340E81">
        <w:t>a second</w:t>
      </w:r>
      <w:r w:rsidR="00340E81" w:rsidRPr="006F4B4F">
        <w:t xml:space="preserve"> </w:t>
      </w:r>
      <w:r w:rsidR="00F55C97" w:rsidRPr="006F4B4F">
        <w:t xml:space="preserve">electrochemical process </w:t>
      </w:r>
      <w:r w:rsidR="00032984" w:rsidRPr="006F4B4F">
        <w:t xml:space="preserve">with the addition of a suitable co-precipitant </w:t>
      </w:r>
      <w:r w:rsidR="00F55C97" w:rsidRPr="006F4B4F">
        <w:t>to further enhance its decontamination.</w:t>
      </w:r>
    </w:p>
    <w:p w14:paraId="08349199" w14:textId="57A821DF" w:rsidR="00E24B0F" w:rsidRPr="00DF33C2" w:rsidRDefault="00E24B0F" w:rsidP="00E24B0F">
      <w:pPr>
        <w:pStyle w:val="Corpotesto"/>
        <w:ind w:firstLine="0"/>
      </w:pPr>
    </w:p>
    <w:p w14:paraId="08731A7C" w14:textId="247EC38F" w:rsidR="002B5072" w:rsidRPr="005C4CC3" w:rsidRDefault="005C4CC3" w:rsidP="002B5072">
      <w:pPr>
        <w:pStyle w:val="Titolo4"/>
        <w:ind w:left="0"/>
      </w:pPr>
      <w:r>
        <w:t>Phase separation</w:t>
      </w:r>
    </w:p>
    <w:p w14:paraId="6D96216A" w14:textId="0E81CF3E" w:rsidR="00340F1B" w:rsidRPr="00340F1B" w:rsidRDefault="008747B1" w:rsidP="0026337C">
      <w:pPr>
        <w:pStyle w:val="Corpotesto"/>
      </w:pPr>
      <w:r>
        <w:rPr>
          <w:lang w:val="en-US"/>
        </w:rPr>
        <w:t>The milky solution</w:t>
      </w:r>
      <w:r w:rsidR="00FF2709">
        <w:rPr>
          <w:lang w:val="en-US"/>
        </w:rPr>
        <w:t xml:space="preserve"> </w:t>
      </w:r>
      <w:r w:rsidR="00032984">
        <w:rPr>
          <w:lang w:val="en-US"/>
        </w:rPr>
        <w:t>obtained from</w:t>
      </w:r>
      <w:r w:rsidR="00167392">
        <w:rPr>
          <w:lang w:val="en-US"/>
        </w:rPr>
        <w:t xml:space="preserve"> the</w:t>
      </w:r>
      <w:r w:rsidR="00032984">
        <w:rPr>
          <w:lang w:val="en-US"/>
        </w:rPr>
        <w:t xml:space="preserve"> electrochemical precipitation </w:t>
      </w:r>
      <w:r w:rsidR="00FF2709">
        <w:rPr>
          <w:lang w:val="en-US"/>
        </w:rPr>
        <w:t xml:space="preserve">is </w:t>
      </w:r>
      <w:r w:rsidR="00DD104C" w:rsidRPr="00DD104C">
        <w:t xml:space="preserve">quantitatively </w:t>
      </w:r>
      <w:r w:rsidR="00FF2709">
        <w:t>retrieved</w:t>
      </w:r>
      <w:r w:rsidR="00DD104C" w:rsidRPr="00DD104C">
        <w:t xml:space="preserve"> and centrifuged under previously optimized conditions (</w:t>
      </w:r>
      <w:r w:rsidR="0071463A">
        <w:t>4500 rpm</w:t>
      </w:r>
      <w:r w:rsidR="00DD104C" w:rsidRPr="00DD104C">
        <w:t>, for 1</w:t>
      </w:r>
      <w:r w:rsidR="0071463A">
        <w:t>0</w:t>
      </w:r>
      <w:r w:rsidR="00DD104C" w:rsidRPr="00DD104C">
        <w:t xml:space="preserve"> minutes</w:t>
      </w:r>
      <w:r w:rsidR="00DD104C" w:rsidRPr="00794BCC">
        <w:t>).</w:t>
      </w:r>
      <w:r w:rsidR="006F4B4F" w:rsidRPr="00794BCC">
        <w:t>[</w:t>
      </w:r>
      <w:r w:rsidR="00383E25" w:rsidRPr="00794BCC">
        <w:t>7</w:t>
      </w:r>
      <w:r w:rsidR="006F4B4F" w:rsidRPr="00794BCC">
        <w:t xml:space="preserve">] </w:t>
      </w:r>
      <w:r w:rsidR="0054697E" w:rsidRPr="00794BCC">
        <w:t>The</w:t>
      </w:r>
      <w:r w:rsidR="00DD104C" w:rsidRPr="00794BCC">
        <w:t xml:space="preserve"> wet sludge</w:t>
      </w:r>
      <w:r w:rsidR="0054697E" w:rsidRPr="00794BCC">
        <w:t xml:space="preserve"> and the</w:t>
      </w:r>
      <w:r w:rsidR="00DD104C" w:rsidRPr="00794BCC">
        <w:t xml:space="preserve"> supernatant</w:t>
      </w:r>
      <w:r w:rsidR="0054697E" w:rsidRPr="00794BCC">
        <w:t xml:space="preserve"> are</w:t>
      </w:r>
      <w:r w:rsidR="00DD104C" w:rsidRPr="00794BCC">
        <w:t xml:space="preserve"> weighed for evaluating the precipitation yield, that is defined as the</w:t>
      </w:r>
      <w:r w:rsidR="00DD104C" w:rsidRPr="00DD104C">
        <w:t xml:space="preserve"> ratio between the mass of the obtained wet sludge and the mass of the initial </w:t>
      </w:r>
      <w:r w:rsidR="00167392">
        <w:t>ferric</w:t>
      </w:r>
      <w:r w:rsidR="00DD104C" w:rsidRPr="00DD104C">
        <w:t xml:space="preserve"> solution.</w:t>
      </w:r>
    </w:p>
    <w:p w14:paraId="7AC23A79" w14:textId="1F6C9875" w:rsidR="00732639" w:rsidRPr="00732639" w:rsidRDefault="00732639" w:rsidP="00732639">
      <w:pPr>
        <w:pStyle w:val="Titolo4"/>
        <w:ind w:left="0"/>
      </w:pPr>
      <w:r>
        <w:lastRenderedPageBreak/>
        <w:t>Characterization</w:t>
      </w:r>
    </w:p>
    <w:p w14:paraId="70037B65" w14:textId="5CEF91D7" w:rsidR="007E4976" w:rsidRDefault="00462A30" w:rsidP="00074E8A">
      <w:pPr>
        <w:pStyle w:val="Corpotesto"/>
      </w:pPr>
      <w:r w:rsidRPr="00462A30">
        <w:t xml:space="preserve">Inductively Coupled Plasma-Mass Spectrometry (ICP-MS, </w:t>
      </w:r>
      <w:proofErr w:type="spellStart"/>
      <w:r w:rsidRPr="00462A30">
        <w:t>NexION</w:t>
      </w:r>
      <w:proofErr w:type="spellEnd"/>
      <w:r w:rsidRPr="00462A30">
        <w:t xml:space="preserve"> 2000, Perkin Elmer) was used to characterize the</w:t>
      </w:r>
      <w:r w:rsidR="00BA4C15">
        <w:t xml:space="preserve"> </w:t>
      </w:r>
      <w:r w:rsidRPr="00462A30">
        <w:t>commercial steel after</w:t>
      </w:r>
      <w:r w:rsidR="004D65DB">
        <w:t xml:space="preserve"> acid</w:t>
      </w:r>
      <w:r w:rsidR="000638B3">
        <w:t xml:space="preserve"> dissolution</w:t>
      </w:r>
      <w:r w:rsidR="004D65DB">
        <w:t xml:space="preserve"> </w:t>
      </w:r>
      <w:r w:rsidRPr="00462A30">
        <w:t>in a microwave oven, and to measure</w:t>
      </w:r>
      <w:r w:rsidR="00150C09">
        <w:t xml:space="preserve"> </w:t>
      </w:r>
      <w:r w:rsidR="00150C09" w:rsidRPr="00462A30">
        <w:t>concentrations</w:t>
      </w:r>
      <w:r w:rsidR="00150C09">
        <w:t xml:space="preserve"> of</w:t>
      </w:r>
      <w:r w:rsidRPr="00462A30">
        <w:t xml:space="preserve"> </w:t>
      </w:r>
      <w:r w:rsidR="00F03D0A">
        <w:t xml:space="preserve">stable </w:t>
      </w:r>
      <w:r w:rsidRPr="00462A30">
        <w:t>Co, Ni, S</w:t>
      </w:r>
      <w:r w:rsidR="006F4B4F">
        <w:t xml:space="preserve">r and Cs in the </w:t>
      </w:r>
      <w:r w:rsidR="00926E2F">
        <w:t xml:space="preserve">ferric solution and the </w:t>
      </w:r>
      <w:r w:rsidR="006F4B4F">
        <w:t>supernatant</w:t>
      </w:r>
      <w:r w:rsidR="006C5912">
        <w:t xml:space="preserve"> obta</w:t>
      </w:r>
      <w:r w:rsidR="00490D30">
        <w:t xml:space="preserve">ined from the electrochemical precipitation </w:t>
      </w:r>
      <w:r w:rsidR="00167392">
        <w:t>experiments</w:t>
      </w:r>
      <w:r w:rsidR="00490D30">
        <w:t>.</w:t>
      </w:r>
      <w:r w:rsidR="00CD24CE">
        <w:t xml:space="preserve"> </w:t>
      </w:r>
      <w:r w:rsidR="00B86393">
        <w:t>R</w:t>
      </w:r>
      <w:r w:rsidR="00385901">
        <w:t>adioactive solutions ha</w:t>
      </w:r>
      <w:r w:rsidR="00B86393">
        <w:t>ve</w:t>
      </w:r>
      <w:r w:rsidR="00385901">
        <w:t xml:space="preserve"> been</w:t>
      </w:r>
      <w:r w:rsidR="00150C09">
        <w:t xml:space="preserve"> detected</w:t>
      </w:r>
      <w:r w:rsidR="00385901">
        <w:t xml:space="preserve"> by</w:t>
      </w:r>
      <w:r w:rsidR="008857F4">
        <w:t xml:space="preserve"> gamma spectrometry</w:t>
      </w:r>
      <w:r w:rsidR="009C300C">
        <w:t xml:space="preserve"> (</w:t>
      </w:r>
      <w:r w:rsidR="008C2169" w:rsidRPr="008C2169">
        <w:rPr>
          <w:lang w:val="en-US" w:eastAsia="en-GB"/>
        </w:rPr>
        <w:t>2</w:t>
      </w:r>
      <w:r w:rsidR="008C2169">
        <w:rPr>
          <w:vertAlign w:val="superscript"/>
          <w:lang w:val="en-US" w:eastAsia="en-GB"/>
        </w:rPr>
        <w:t>”</w:t>
      </w:r>
      <w:r w:rsidR="008C2169" w:rsidRPr="008C2169">
        <w:rPr>
          <w:sz w:val="14"/>
          <w:szCs w:val="14"/>
          <w:lang w:val="en-US" w:eastAsia="en-GB"/>
        </w:rPr>
        <w:t xml:space="preserve"> </w:t>
      </w:r>
      <w:r w:rsidR="008C2169" w:rsidRPr="008C2169">
        <w:rPr>
          <w:lang w:val="en-US" w:eastAsia="en-GB"/>
        </w:rPr>
        <w:t>x 2</w:t>
      </w:r>
      <w:r w:rsidR="008C2169">
        <w:rPr>
          <w:vertAlign w:val="superscript"/>
          <w:lang w:val="en-US" w:eastAsia="en-GB"/>
        </w:rPr>
        <w:t>”</w:t>
      </w:r>
      <w:r w:rsidR="008C2169" w:rsidRPr="008C2169">
        <w:rPr>
          <w:sz w:val="14"/>
          <w:szCs w:val="14"/>
          <w:lang w:val="en-US" w:eastAsia="en-GB"/>
        </w:rPr>
        <w:t xml:space="preserve"> </w:t>
      </w:r>
      <w:proofErr w:type="spellStart"/>
      <w:r w:rsidR="008C2169" w:rsidRPr="008C2169">
        <w:rPr>
          <w:lang w:val="en-US" w:eastAsia="en-GB"/>
        </w:rPr>
        <w:t>NaI</w:t>
      </w:r>
      <w:proofErr w:type="spellEnd"/>
      <w:r w:rsidR="008C2169" w:rsidRPr="008C2169">
        <w:rPr>
          <w:lang w:val="en-US" w:eastAsia="en-GB"/>
        </w:rPr>
        <w:t xml:space="preserve">(Tl), </w:t>
      </w:r>
      <w:proofErr w:type="spellStart"/>
      <w:r w:rsidR="008C2169" w:rsidRPr="008C2169">
        <w:rPr>
          <w:lang w:val="en-US" w:eastAsia="en-GB"/>
        </w:rPr>
        <w:t>Silena</w:t>
      </w:r>
      <w:proofErr w:type="spellEnd"/>
      <w:r w:rsidR="008C2169" w:rsidRPr="008C2169">
        <w:rPr>
          <w:lang w:val="en-US" w:eastAsia="en-GB"/>
        </w:rPr>
        <w:t xml:space="preserve"> SNIP N MCA</w:t>
      </w:r>
      <w:r w:rsidR="008C2169">
        <w:rPr>
          <w:lang w:val="en-US" w:eastAsia="en-GB"/>
        </w:rPr>
        <w:t>)</w:t>
      </w:r>
      <w:r w:rsidR="008857F4">
        <w:t xml:space="preserve"> and ultra-low background </w:t>
      </w:r>
      <w:r w:rsidR="00B862EE">
        <w:t>Liquid Scintillation Counting (</w:t>
      </w:r>
      <w:r w:rsidR="00987F70" w:rsidRPr="00987F70">
        <w:t xml:space="preserve">LSC 1220 </w:t>
      </w:r>
      <w:proofErr w:type="spellStart"/>
      <w:r w:rsidR="00987F70" w:rsidRPr="00987F70">
        <w:t>Quantulus</w:t>
      </w:r>
      <w:proofErr w:type="spellEnd"/>
      <w:r w:rsidR="002E6C11">
        <w:t xml:space="preserve">, </w:t>
      </w:r>
      <w:r w:rsidR="002E6C11" w:rsidRPr="00462A30">
        <w:t>Perkin Elmer</w:t>
      </w:r>
      <w:r w:rsidR="00B862EE">
        <w:t>)</w:t>
      </w:r>
      <w:r w:rsidR="00731503">
        <w:t>.</w:t>
      </w:r>
    </w:p>
    <w:p w14:paraId="433FE04F" w14:textId="486FA7AF" w:rsidR="00E25B68" w:rsidRDefault="00F01BB1" w:rsidP="0026525A">
      <w:pPr>
        <w:pStyle w:val="Titolo2"/>
        <w:numPr>
          <w:ilvl w:val="1"/>
          <w:numId w:val="10"/>
        </w:numPr>
      </w:pPr>
      <w:r>
        <w:t>RESULTS AND DISCUSSION</w:t>
      </w:r>
    </w:p>
    <w:p w14:paraId="46FEDCB4" w14:textId="132DDEF2" w:rsidR="00AF312F" w:rsidRDefault="000944FF" w:rsidP="00F01BB1">
      <w:pPr>
        <w:pStyle w:val="Corpotesto"/>
      </w:pPr>
      <w:r>
        <w:t>Besides</w:t>
      </w:r>
      <w:r w:rsidR="00897CD5">
        <w:t xml:space="preserve"> </w:t>
      </w:r>
      <w:r w:rsidR="00702B75">
        <w:t>electrochemical precipitation experiment</w:t>
      </w:r>
      <w:r w:rsidR="00897CD5">
        <w:t>s</w:t>
      </w:r>
      <w:r w:rsidR="00702B75">
        <w:t xml:space="preserve"> with</w:t>
      </w:r>
      <w:r w:rsidR="00897CD5">
        <w:t xml:space="preserve"> stable</w:t>
      </w:r>
      <w:r w:rsidR="00DD7A85">
        <w:t xml:space="preserve"> </w:t>
      </w:r>
      <w:r w:rsidR="00926E2F">
        <w:t>contaminants</w:t>
      </w:r>
      <w:r w:rsidR="00744C08">
        <w:t xml:space="preserve">, </w:t>
      </w:r>
      <w:r w:rsidR="00C6364D">
        <w:t xml:space="preserve">a </w:t>
      </w:r>
      <w:r w:rsidR="00D044F5">
        <w:t xml:space="preserve">simplified </w:t>
      </w:r>
      <w:r w:rsidR="00DE21ED" w:rsidRPr="00F41987">
        <w:t>surrogate metal liquor was prepared by</w:t>
      </w:r>
      <w:r w:rsidR="001F20C4">
        <w:t xml:space="preserve"> tracing </w:t>
      </w:r>
      <w:r w:rsidR="000E0BA5">
        <w:t>about 120 mL</w:t>
      </w:r>
      <w:r w:rsidR="00860A5C">
        <w:t xml:space="preserve"> </w:t>
      </w:r>
      <w:r w:rsidR="00860A5C" w:rsidRPr="00765030">
        <w:t>(</w:t>
      </w:r>
      <w:r w:rsidR="005C176B" w:rsidRPr="00765030">
        <w:t>1</w:t>
      </w:r>
      <w:r w:rsidR="005D4079" w:rsidRPr="00765030">
        <w:t>92.85</w:t>
      </w:r>
      <w:r w:rsidR="00C96CDE" w:rsidRPr="00765030">
        <w:t xml:space="preserve"> g)</w:t>
      </w:r>
      <w:r w:rsidR="00BE3213">
        <w:t xml:space="preserve"> of </w:t>
      </w:r>
      <w:r w:rsidR="006D5D18">
        <w:t xml:space="preserve">the </w:t>
      </w:r>
      <w:r w:rsidR="00BE3213">
        <w:t>ferric solution with</w:t>
      </w:r>
      <w:r w:rsidR="00DE21ED" w:rsidRPr="00F41987">
        <w:t xml:space="preserve"> 500 </w:t>
      </w:r>
      <w:proofErr w:type="spellStart"/>
      <w:r w:rsidR="00DE21ED" w:rsidRPr="00F41987">
        <w:t>Bq</w:t>
      </w:r>
      <w:proofErr w:type="spellEnd"/>
      <w:r w:rsidR="00DE21ED" w:rsidRPr="00F41987">
        <w:t xml:space="preserve"> each of </w:t>
      </w:r>
      <w:r w:rsidR="00C12FEE">
        <w:rPr>
          <w:vertAlign w:val="superscript"/>
        </w:rPr>
        <w:t>60</w:t>
      </w:r>
      <w:r w:rsidR="00DE21ED" w:rsidRPr="00F41987">
        <w:t xml:space="preserve">Co, </w:t>
      </w:r>
      <w:r w:rsidR="00C12FEE">
        <w:rPr>
          <w:vertAlign w:val="superscript"/>
        </w:rPr>
        <w:t>85</w:t>
      </w:r>
      <w:r w:rsidR="00DE21ED" w:rsidRPr="00F41987">
        <w:t xml:space="preserve">Sr, </w:t>
      </w:r>
      <w:r w:rsidR="00C12FEE">
        <w:rPr>
          <w:vertAlign w:val="superscript"/>
        </w:rPr>
        <w:t>137</w:t>
      </w:r>
      <w:r w:rsidR="00DE21ED" w:rsidRPr="00F41987">
        <w:t xml:space="preserve">Cs and </w:t>
      </w:r>
      <w:r w:rsidR="00C12FEE">
        <w:rPr>
          <w:vertAlign w:val="superscript"/>
        </w:rPr>
        <w:t>63</w:t>
      </w:r>
      <w:r w:rsidR="00DE21ED" w:rsidRPr="00F41987">
        <w:t>Ni radiotracers</w:t>
      </w:r>
      <w:r w:rsidR="00F55C97" w:rsidRPr="00F41987">
        <w:t>.</w:t>
      </w:r>
      <w:r w:rsidR="00F55C97">
        <w:t xml:space="preserve"> </w:t>
      </w:r>
      <w:r w:rsidR="00F55C97" w:rsidRPr="00F41987">
        <w:t>The electrochemical process</w:t>
      </w:r>
      <w:r w:rsidR="00F55C97">
        <w:t xml:space="preserve"> resulted in 98.86 g of supernatant and</w:t>
      </w:r>
      <w:r w:rsidR="001F3085">
        <w:t xml:space="preserve"> 71.69 g of wet sludge.</w:t>
      </w:r>
      <w:r w:rsidR="008A76BB">
        <w:t xml:space="preserve"> Consistently with</w:t>
      </w:r>
      <w:r w:rsidR="004D4368">
        <w:t xml:space="preserve"> stable contaminants</w:t>
      </w:r>
      <w:r w:rsidR="008A76BB">
        <w:t xml:space="preserve"> </w:t>
      </w:r>
      <w:r w:rsidR="00EF0202">
        <w:t>experiments</w:t>
      </w:r>
      <w:r w:rsidR="004D4368">
        <w:t>,</w:t>
      </w:r>
      <w:r w:rsidR="001F3085">
        <w:t xml:space="preserve"> </w:t>
      </w:r>
      <w:r w:rsidR="004D4368">
        <w:t>i</w:t>
      </w:r>
      <w:r w:rsidR="00F55C97">
        <w:t xml:space="preserve">t </w:t>
      </w:r>
      <w:r w:rsidR="00F55C97" w:rsidRPr="00F41987">
        <w:t xml:space="preserve">showed a precipitation yield of about 35% for </w:t>
      </w:r>
      <w:r w:rsidR="00F55C97">
        <w:rPr>
          <w:vertAlign w:val="superscript"/>
        </w:rPr>
        <w:t>60</w:t>
      </w:r>
      <w:r w:rsidR="00F55C97" w:rsidRPr="00F41987">
        <w:t xml:space="preserve">Co and </w:t>
      </w:r>
      <w:r w:rsidR="00F55C97">
        <w:rPr>
          <w:vertAlign w:val="superscript"/>
        </w:rPr>
        <w:t>63</w:t>
      </w:r>
      <w:r w:rsidR="00F55C97" w:rsidRPr="00F41987">
        <w:t xml:space="preserve">Ni, 25% for </w:t>
      </w:r>
      <w:r w:rsidR="00F55C97">
        <w:rPr>
          <w:vertAlign w:val="superscript"/>
        </w:rPr>
        <w:t>85</w:t>
      </w:r>
      <w:r w:rsidR="00F55C97" w:rsidRPr="00F41987">
        <w:t xml:space="preserve">Sr and 50% for </w:t>
      </w:r>
      <w:r w:rsidR="00F55C97">
        <w:rPr>
          <w:vertAlign w:val="superscript"/>
        </w:rPr>
        <w:t>137</w:t>
      </w:r>
      <w:r w:rsidR="00F55C97" w:rsidRPr="00F41987">
        <w:t>Cs.</w:t>
      </w:r>
      <w:r w:rsidR="00F55C97">
        <w:t xml:space="preserve"> Nevertheless, the electrochemical decontamination of the </w:t>
      </w:r>
      <w:r w:rsidR="00F55C97" w:rsidRPr="00F41987">
        <w:t>phosphoric acid solution</w:t>
      </w:r>
      <w:r w:rsidR="00F55C97">
        <w:t xml:space="preserve"> is not so efficient to recycle and </w:t>
      </w:r>
      <w:r w:rsidR="00F55C97" w:rsidRPr="00F41987">
        <w:t>reuse</w:t>
      </w:r>
      <w:r w:rsidR="00F55C97">
        <w:t xml:space="preserve"> it </w:t>
      </w:r>
      <w:r w:rsidR="00F55C97" w:rsidRPr="00F41987">
        <w:t>in a pilot plant</w:t>
      </w:r>
      <w:r w:rsidR="00F55C97">
        <w:t>. Hence, the improvement of the precipitation process needs to be pursued</w:t>
      </w:r>
      <w:r w:rsidR="00F55C97" w:rsidRPr="00F41987">
        <w:t>.</w:t>
      </w:r>
      <w:r w:rsidR="00F55C97">
        <w:t xml:space="preserve"> The reason for this insufficient decontamination effect can be found on radionuclides concentrations</w:t>
      </w:r>
      <w:r w:rsidR="001059A8">
        <w:t xml:space="preserve"> (</w:t>
      </w:r>
      <w:r w:rsidR="001059A8">
        <w:rPr>
          <w:vertAlign w:val="superscript"/>
        </w:rPr>
        <w:t>60</w:t>
      </w:r>
      <w:r w:rsidR="001059A8" w:rsidRPr="00F41987">
        <w:t>Co</w:t>
      </w:r>
      <w:r w:rsidR="001059A8">
        <w:t xml:space="preserve">: ~ 40 ppm, </w:t>
      </w:r>
      <w:r w:rsidR="001059A8">
        <w:rPr>
          <w:vertAlign w:val="superscript"/>
        </w:rPr>
        <w:t>63</w:t>
      </w:r>
      <w:r w:rsidR="001059A8" w:rsidRPr="00F41987">
        <w:t>Ni</w:t>
      </w:r>
      <w:r w:rsidR="000F0CAA">
        <w:t>: ~ 41 ppm</w:t>
      </w:r>
      <w:r w:rsidR="001059A8" w:rsidRPr="00F41987">
        <w:t xml:space="preserve">, </w:t>
      </w:r>
      <w:r w:rsidR="001059A8">
        <w:rPr>
          <w:vertAlign w:val="superscript"/>
        </w:rPr>
        <w:t>85</w:t>
      </w:r>
      <w:r w:rsidR="001059A8" w:rsidRPr="00F41987">
        <w:t>Sr</w:t>
      </w:r>
      <w:r w:rsidR="000F0CAA">
        <w:t>: ~</w:t>
      </w:r>
      <w:r w:rsidR="001D0B54">
        <w:t xml:space="preserve"> 708 ppb, </w:t>
      </w:r>
      <w:r w:rsidR="001059A8">
        <w:rPr>
          <w:vertAlign w:val="superscript"/>
        </w:rPr>
        <w:t>137</w:t>
      </w:r>
      <w:r w:rsidR="001059A8" w:rsidRPr="00F41987">
        <w:t>Cs</w:t>
      </w:r>
      <w:r w:rsidR="001D0B54">
        <w:t>: ~ 416 ppb)</w:t>
      </w:r>
      <w:r w:rsidR="00F55C97">
        <w:t xml:space="preserve"> </w:t>
      </w:r>
      <w:r w:rsidR="00F55C97" w:rsidRPr="00F41987">
        <w:t>in the dissolved metal liquor</w:t>
      </w:r>
      <w:r w:rsidR="00F55C97">
        <w:t xml:space="preserve"> that</w:t>
      </w:r>
      <w:r w:rsidR="00F55C97" w:rsidRPr="00F41987">
        <w:t xml:space="preserve"> might be</w:t>
      </w:r>
      <w:r w:rsidR="009812C4">
        <w:t xml:space="preserve"> </w:t>
      </w:r>
      <w:r w:rsidR="00F55C97" w:rsidRPr="00F41987">
        <w:t>too low to reach the product solubility constants of the contaminants phosphates.</w:t>
      </w:r>
    </w:p>
    <w:p w14:paraId="5565B4E5" w14:textId="6A212C30" w:rsidR="00783B65" w:rsidRDefault="00E2741E" w:rsidP="009861D1">
      <w:pPr>
        <w:pStyle w:val="Titolo3"/>
        <w:numPr>
          <w:ilvl w:val="2"/>
          <w:numId w:val="36"/>
        </w:numPr>
      </w:pPr>
      <w:r>
        <w:t xml:space="preserve">The </w:t>
      </w:r>
      <w:r w:rsidR="002121E6">
        <w:t>addition</w:t>
      </w:r>
      <w:r>
        <w:t xml:space="preserve"> of a co-precipitation agent</w:t>
      </w:r>
    </w:p>
    <w:p w14:paraId="638653BF" w14:textId="0D3EC1DB" w:rsidR="007367C9" w:rsidRDefault="001C458F" w:rsidP="00630C15">
      <w:pPr>
        <w:pStyle w:val="Corpotesto"/>
      </w:pPr>
      <w:r>
        <w:t>The concern of the low</w:t>
      </w:r>
      <w:r w:rsidR="001F3085">
        <w:t xml:space="preserve"> contaminants concentration in the metal liquor</w:t>
      </w:r>
      <w:r w:rsidR="00B47D0F">
        <w:t xml:space="preserve"> can be overcome by investigating </w:t>
      </w:r>
      <w:r w:rsidR="000C76F7">
        <w:t>t</w:t>
      </w:r>
      <w:r w:rsidR="00EF2FCB" w:rsidRPr="00F41987">
        <w:t>he potential role of</w:t>
      </w:r>
      <w:r w:rsidR="00581381">
        <w:t xml:space="preserve"> some</w:t>
      </w:r>
      <w:r w:rsidR="00EF2FCB" w:rsidRPr="00F41987">
        <w:t xml:space="preserve"> co-precipitation agents</w:t>
      </w:r>
      <w:r w:rsidR="00AD4181">
        <w:t xml:space="preserve"> added</w:t>
      </w:r>
      <w:r w:rsidR="00EF2FCB" w:rsidRPr="00F41987">
        <w:t xml:space="preserve"> </w:t>
      </w:r>
      <w:r w:rsidR="002E2FBB">
        <w:t xml:space="preserve">during </w:t>
      </w:r>
      <w:r w:rsidR="00EF2FCB" w:rsidRPr="00F41987">
        <w:t>the electrochemical precipitation</w:t>
      </w:r>
      <w:r w:rsidR="00AD4181">
        <w:t xml:space="preserve"> </w:t>
      </w:r>
      <w:r>
        <w:t>step</w:t>
      </w:r>
      <w:r w:rsidR="001F3085">
        <w:t xml:space="preserve"> to boost their </w:t>
      </w:r>
      <w:r w:rsidR="00700DB2">
        <w:t>abatement</w:t>
      </w:r>
      <w:r w:rsidR="000C76F7">
        <w:t xml:space="preserve">. </w:t>
      </w:r>
      <w:r w:rsidR="00461BFE">
        <w:t>The</w:t>
      </w:r>
      <w:r w:rsidR="00632DF0">
        <w:t xml:space="preserve"> choice of the</w:t>
      </w:r>
      <w:r w:rsidR="00461BFE">
        <w:t xml:space="preserve"> compounds</w:t>
      </w:r>
      <w:r w:rsidR="00B45697">
        <w:t xml:space="preserve"> is based on</w:t>
      </w:r>
      <w:r w:rsidR="00860275">
        <w:t xml:space="preserve"> the value of</w:t>
      </w:r>
      <w:r w:rsidR="004B5CDD">
        <w:t xml:space="preserve"> their </w:t>
      </w:r>
      <w:r w:rsidR="004B5CDD" w:rsidRPr="00E537BA">
        <w:t>solubility product constant</w:t>
      </w:r>
      <w:r w:rsidR="00C77CDF">
        <w:t>s</w:t>
      </w:r>
      <w:r w:rsidR="004B5CDD" w:rsidRPr="00E537BA">
        <w:t xml:space="preserve"> with respect to the insoluble phosphates of the present contaminants.</w:t>
      </w:r>
      <w:r w:rsidR="004B5CDD">
        <w:t xml:space="preserve"> </w:t>
      </w:r>
      <w:r w:rsidR="00635734">
        <w:t xml:space="preserve">Several compounds such as </w:t>
      </w:r>
      <w:r w:rsidR="007367C9" w:rsidRPr="007367C9">
        <w:t>Al</w:t>
      </w:r>
      <w:r w:rsidR="007367C9" w:rsidRPr="007367C9">
        <w:rPr>
          <w:vertAlign w:val="subscript"/>
        </w:rPr>
        <w:t>2</w:t>
      </w:r>
      <w:r w:rsidR="007367C9" w:rsidRPr="007367C9">
        <w:t>(SO</w:t>
      </w:r>
      <w:r w:rsidR="007367C9" w:rsidRPr="007367C9">
        <w:rPr>
          <w:vertAlign w:val="subscript"/>
        </w:rPr>
        <w:t>4</w:t>
      </w:r>
      <w:r w:rsidR="007367C9" w:rsidRPr="007367C9">
        <w:t>)</w:t>
      </w:r>
      <w:r w:rsidR="007367C9" w:rsidRPr="007367C9">
        <w:rPr>
          <w:vertAlign w:val="subscript"/>
        </w:rPr>
        <w:t>3</w:t>
      </w:r>
      <w:r w:rsidR="007367C9" w:rsidRPr="007367C9">
        <w:t>,</w:t>
      </w:r>
      <w:r w:rsidR="008336C2">
        <w:t xml:space="preserve"> </w:t>
      </w:r>
      <w:r w:rsidR="008336C2" w:rsidRPr="007367C9">
        <w:t>CaHPO</w:t>
      </w:r>
      <w:r w:rsidR="008336C2" w:rsidRPr="007367C9">
        <w:rPr>
          <w:vertAlign w:val="subscript"/>
        </w:rPr>
        <w:t>4</w:t>
      </w:r>
      <w:r w:rsidR="008336C2">
        <w:t>,</w:t>
      </w:r>
      <w:r w:rsidR="007367C9" w:rsidRPr="007367C9">
        <w:t xml:space="preserve"> BaSO</w:t>
      </w:r>
      <w:r w:rsidR="007367C9" w:rsidRPr="007367C9">
        <w:rPr>
          <w:vertAlign w:val="subscript"/>
        </w:rPr>
        <w:t>4</w:t>
      </w:r>
      <w:r w:rsidR="007367C9" w:rsidRPr="007367C9">
        <w:t>,</w:t>
      </w:r>
      <w:r w:rsidR="008336C2">
        <w:t xml:space="preserve"> </w:t>
      </w:r>
      <w:r w:rsidR="008336C2" w:rsidRPr="007367C9">
        <w:t>Pb(CrO</w:t>
      </w:r>
      <w:r w:rsidR="008336C2" w:rsidRPr="007367C9">
        <w:rPr>
          <w:vertAlign w:val="subscript"/>
        </w:rPr>
        <w:t>4</w:t>
      </w:r>
      <w:r w:rsidR="008336C2" w:rsidRPr="007367C9">
        <w:t>)</w:t>
      </w:r>
      <w:r w:rsidR="008336C2">
        <w:t xml:space="preserve">, </w:t>
      </w:r>
      <w:r w:rsidR="008336C2" w:rsidRPr="007367C9">
        <w:t>Ca(NO</w:t>
      </w:r>
      <w:r w:rsidR="008336C2" w:rsidRPr="007367C9">
        <w:rPr>
          <w:vertAlign w:val="subscript"/>
        </w:rPr>
        <w:t>3</w:t>
      </w:r>
      <w:r w:rsidR="008336C2" w:rsidRPr="007367C9">
        <w:t>)</w:t>
      </w:r>
      <w:r w:rsidR="008336C2" w:rsidRPr="007367C9">
        <w:rPr>
          <w:vertAlign w:val="subscript"/>
        </w:rPr>
        <w:t>2</w:t>
      </w:r>
      <w:r w:rsidR="00801C0A">
        <w:t xml:space="preserve">, </w:t>
      </w:r>
      <w:r w:rsidR="007367C9" w:rsidRPr="007367C9">
        <w:t>Ca</w:t>
      </w:r>
      <w:r w:rsidR="007367C9" w:rsidRPr="007367C9">
        <w:rPr>
          <w:vertAlign w:val="subscript"/>
        </w:rPr>
        <w:t>3</w:t>
      </w:r>
      <w:r w:rsidR="007367C9" w:rsidRPr="007367C9">
        <w:t>(PO</w:t>
      </w:r>
      <w:r w:rsidR="007367C9" w:rsidRPr="007367C9">
        <w:rPr>
          <w:vertAlign w:val="subscript"/>
        </w:rPr>
        <w:t>4</w:t>
      </w:r>
      <w:r w:rsidR="007367C9" w:rsidRPr="007367C9">
        <w:t>)</w:t>
      </w:r>
      <w:r w:rsidR="007367C9" w:rsidRPr="007367C9">
        <w:rPr>
          <w:vertAlign w:val="subscript"/>
        </w:rPr>
        <w:t>2</w:t>
      </w:r>
      <w:r w:rsidR="007367C9" w:rsidRPr="007367C9">
        <w:t xml:space="preserve"> and Ca</w:t>
      </w:r>
      <w:r w:rsidR="007367C9" w:rsidRPr="007367C9">
        <w:rPr>
          <w:vertAlign w:val="subscript"/>
        </w:rPr>
        <w:t>2</w:t>
      </w:r>
      <w:r w:rsidR="007367C9" w:rsidRPr="007367C9">
        <w:t>P</w:t>
      </w:r>
      <w:r w:rsidR="007367C9" w:rsidRPr="007367C9">
        <w:rPr>
          <w:vertAlign w:val="subscript"/>
        </w:rPr>
        <w:t>2</w:t>
      </w:r>
      <w:r w:rsidR="007367C9" w:rsidRPr="007367C9">
        <w:t>O</w:t>
      </w:r>
      <w:r w:rsidR="007367C9" w:rsidRPr="007367C9">
        <w:rPr>
          <w:vertAlign w:val="subscript"/>
        </w:rPr>
        <w:t>7</w:t>
      </w:r>
      <w:r w:rsidR="00801C0A">
        <w:t xml:space="preserve"> have been preliminarily assessed in </w:t>
      </w:r>
      <w:r w:rsidR="00CB5654">
        <w:t>a previous work</w:t>
      </w:r>
      <w:r w:rsidR="00CB5654" w:rsidRPr="00794BCC">
        <w:t>. [</w:t>
      </w:r>
      <w:r w:rsidR="00383E25" w:rsidRPr="00794BCC">
        <w:t>7</w:t>
      </w:r>
      <w:r w:rsidR="00CB5654" w:rsidRPr="00794BCC">
        <w:t>]</w:t>
      </w:r>
      <w:r w:rsidR="00437000">
        <w:t xml:space="preserve"> Indeed, most of them have been already </w:t>
      </w:r>
      <w:r w:rsidR="004F5199">
        <w:t xml:space="preserve">discarded </w:t>
      </w:r>
      <w:r w:rsidR="00630C15">
        <w:t>beca</w:t>
      </w:r>
      <w:r w:rsidR="00892EF9">
        <w:t xml:space="preserve">use of </w:t>
      </w:r>
      <w:r w:rsidR="007367C9" w:rsidRPr="007367C9">
        <w:t>poor chemical stability over time</w:t>
      </w:r>
      <w:r w:rsidR="00892EF9">
        <w:t xml:space="preserve"> and low abatement</w:t>
      </w:r>
      <w:r w:rsidR="00A467B9">
        <w:t xml:space="preserve"> of </w:t>
      </w:r>
      <w:r w:rsidR="00A467B9" w:rsidRPr="00794BCC">
        <w:t>contaminants</w:t>
      </w:r>
      <w:r w:rsidR="00606F66" w:rsidRPr="00794BCC">
        <w:t xml:space="preserve"> (F</w:t>
      </w:r>
      <w:r w:rsidR="000B3DB8" w:rsidRPr="00794BCC">
        <w:t xml:space="preserve">ig. </w:t>
      </w:r>
      <w:r w:rsidR="006231B9" w:rsidRPr="00794BCC">
        <w:t>3</w:t>
      </w:r>
      <w:r w:rsidR="000B3DB8" w:rsidRPr="00794BCC">
        <w:t>).</w:t>
      </w:r>
    </w:p>
    <w:p w14:paraId="3B9FA435" w14:textId="77777777" w:rsidR="00F812F7" w:rsidRDefault="00F812F7" w:rsidP="00630C15">
      <w:pPr>
        <w:pStyle w:val="Corpotesto"/>
      </w:pPr>
    </w:p>
    <w:p w14:paraId="50D52CA7" w14:textId="77777777" w:rsidR="00F01BB1" w:rsidRDefault="00F01BB1" w:rsidP="00F01BB1">
      <w:pPr>
        <w:pStyle w:val="Corpotesto"/>
        <w:jc w:val="center"/>
      </w:pPr>
      <w:r>
        <w:rPr>
          <w:noProof/>
          <w:lang w:val="it-IT" w:eastAsia="it-IT"/>
        </w:rPr>
        <w:drawing>
          <wp:inline distT="0" distB="0" distL="0" distR="0" wp14:anchorId="4431F692" wp14:editId="4BCD1AFA">
            <wp:extent cx="3202874" cy="1500554"/>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2677" cy="1505147"/>
                    </a:xfrm>
                    <a:prstGeom prst="rect">
                      <a:avLst/>
                    </a:prstGeom>
                    <a:noFill/>
                    <a:ln>
                      <a:noFill/>
                    </a:ln>
                  </pic:spPr>
                </pic:pic>
              </a:graphicData>
            </a:graphic>
          </wp:inline>
        </w:drawing>
      </w:r>
    </w:p>
    <w:p w14:paraId="1D1EDDDC" w14:textId="58FB2F25" w:rsidR="00F01BB1" w:rsidRDefault="00F01BB1" w:rsidP="00F01BB1">
      <w:pPr>
        <w:pStyle w:val="Didascalia"/>
        <w:jc w:val="center"/>
        <w:rPr>
          <w:i/>
        </w:rPr>
      </w:pPr>
      <w:r w:rsidRPr="00794BCC">
        <w:rPr>
          <w:i/>
        </w:rPr>
        <w:t>FIG.3 The</w:t>
      </w:r>
      <w:r w:rsidRPr="00395B55">
        <w:rPr>
          <w:i/>
        </w:rPr>
        <w:t xml:space="preserve"> </w:t>
      </w:r>
      <w:r>
        <w:rPr>
          <w:i/>
        </w:rPr>
        <w:t>selection of the best co-precipitants for scale-up tests.</w:t>
      </w:r>
    </w:p>
    <w:p w14:paraId="374C82B2" w14:textId="77777777" w:rsidR="00F812F7" w:rsidRPr="00F812F7" w:rsidRDefault="00F812F7" w:rsidP="00F812F7">
      <w:pPr>
        <w:rPr>
          <w:lang w:val="en-US"/>
        </w:rPr>
      </w:pPr>
    </w:p>
    <w:p w14:paraId="6FA966AF" w14:textId="77777777" w:rsidR="00F01BB1" w:rsidRPr="00F01BB1" w:rsidRDefault="00F01BB1" w:rsidP="00630C15">
      <w:pPr>
        <w:pStyle w:val="Corpotesto"/>
        <w:rPr>
          <w:lang w:val="en-US"/>
        </w:rPr>
      </w:pPr>
    </w:p>
    <w:p w14:paraId="72B6DACB" w14:textId="1E69B98E" w:rsidR="00913A80" w:rsidRDefault="00EA6D1E" w:rsidP="00EF2FCB">
      <w:pPr>
        <w:pStyle w:val="Corpotesto"/>
      </w:pPr>
      <w:r>
        <w:t>In this work, f</w:t>
      </w:r>
      <w:r w:rsidR="00BB084F">
        <w:t>irst o</w:t>
      </w:r>
      <w:r w:rsidR="001334D5">
        <w:t>ptimization</w:t>
      </w:r>
      <w:r w:rsidR="00BB084F">
        <w:t xml:space="preserve"> </w:t>
      </w:r>
      <w:r w:rsidR="005D0900">
        <w:t>studies</w:t>
      </w:r>
      <w:r w:rsidR="001334D5">
        <w:t xml:space="preserve"> of</w:t>
      </w:r>
      <w:r w:rsidR="00BB084F">
        <w:t xml:space="preserve"> the</w:t>
      </w:r>
      <w:r w:rsidR="001334D5">
        <w:t xml:space="preserve"> p</w:t>
      </w:r>
      <w:r w:rsidR="00EF2FCB" w:rsidRPr="00F41987">
        <w:t>recipitation</w:t>
      </w:r>
      <w:r w:rsidR="001334D5">
        <w:t xml:space="preserve"> process</w:t>
      </w:r>
      <w:r w:rsidR="00EF2FCB" w:rsidRPr="00F41987">
        <w:t xml:space="preserve"> ha</w:t>
      </w:r>
      <w:r w:rsidR="00BB084F">
        <w:t>ve</w:t>
      </w:r>
      <w:r w:rsidR="00EF2FCB" w:rsidRPr="00F41987">
        <w:t xml:space="preserve"> been </w:t>
      </w:r>
      <w:r w:rsidR="00445A59">
        <w:t>conducted</w:t>
      </w:r>
      <w:r w:rsidR="00EF2FCB" w:rsidRPr="00F41987">
        <w:t xml:space="preserve"> in the configuration cell</w:t>
      </w:r>
      <w:r w:rsidR="00231B30">
        <w:t xml:space="preserve"> used </w:t>
      </w:r>
      <w:r w:rsidR="001334D5">
        <w:t>for radioactive</w:t>
      </w:r>
      <w:r w:rsidR="00BB084F">
        <w:t xml:space="preserve"> tests</w:t>
      </w:r>
      <w:r w:rsidR="005D70D9">
        <w:t xml:space="preserve"> (120 mL)</w:t>
      </w:r>
      <w:r w:rsidR="00EF2FCB" w:rsidRPr="00F41987">
        <w:t xml:space="preserve"> by adding stable Co, Cs, Sr and Ni ions and </w:t>
      </w:r>
      <w:r w:rsidR="0011112C">
        <w:t>using</w:t>
      </w:r>
      <w:r w:rsidR="00EF2FCB" w:rsidRPr="00F41987">
        <w:t xml:space="preserve"> BaSO</w:t>
      </w:r>
      <w:r w:rsidR="00EF2FCB" w:rsidRPr="00BF6F60">
        <w:rPr>
          <w:vertAlign w:val="subscript"/>
        </w:rPr>
        <w:t>4</w:t>
      </w:r>
      <w:r w:rsidR="00EF2FCB" w:rsidRPr="00F41987">
        <w:t>, Ca</w:t>
      </w:r>
      <w:r w:rsidR="00EF2FCB" w:rsidRPr="00BF6F60">
        <w:rPr>
          <w:vertAlign w:val="subscript"/>
        </w:rPr>
        <w:t>2</w:t>
      </w:r>
      <w:r w:rsidR="00EF2FCB" w:rsidRPr="00F41987">
        <w:t>P</w:t>
      </w:r>
      <w:r w:rsidR="00EF2FCB" w:rsidRPr="00BF6F60">
        <w:rPr>
          <w:vertAlign w:val="subscript"/>
        </w:rPr>
        <w:t>2</w:t>
      </w:r>
      <w:r w:rsidR="00EF2FCB" w:rsidRPr="00F41987">
        <w:t>O</w:t>
      </w:r>
      <w:r w:rsidR="00EF2FCB" w:rsidRPr="00BF6F60">
        <w:rPr>
          <w:vertAlign w:val="subscript"/>
        </w:rPr>
        <w:t>7</w:t>
      </w:r>
      <w:r w:rsidR="00EF2FCB" w:rsidRPr="00F41987">
        <w:t xml:space="preserve"> and Ca</w:t>
      </w:r>
      <w:r w:rsidR="00EF2FCB" w:rsidRPr="00BF6F60">
        <w:rPr>
          <w:vertAlign w:val="subscript"/>
        </w:rPr>
        <w:t>3</w:t>
      </w:r>
      <w:r w:rsidR="00EF2FCB" w:rsidRPr="00F41987">
        <w:t>(PO</w:t>
      </w:r>
      <w:r w:rsidR="00EF2FCB" w:rsidRPr="00BF6F60">
        <w:rPr>
          <w:vertAlign w:val="subscript"/>
        </w:rPr>
        <w:t>4</w:t>
      </w:r>
      <w:r w:rsidR="00EF2FCB" w:rsidRPr="00F41987">
        <w:t>)</w:t>
      </w:r>
      <w:r w:rsidR="00EF2FCB" w:rsidRPr="00BF6F60">
        <w:rPr>
          <w:vertAlign w:val="subscript"/>
        </w:rPr>
        <w:t>2</w:t>
      </w:r>
      <w:r w:rsidR="00EF2FCB" w:rsidRPr="00F41987">
        <w:t xml:space="preserve"> compounds in the concentration range 0.1</w:t>
      </w:r>
      <w:r w:rsidR="009E7E12">
        <w:t xml:space="preserve"> - </w:t>
      </w:r>
      <w:r w:rsidR="00EF2FCB" w:rsidRPr="00F41987">
        <w:t>0.3 M</w:t>
      </w:r>
      <w:r w:rsidR="00B602B4">
        <w:t xml:space="preserve"> (</w:t>
      </w:r>
      <w:r w:rsidR="00B602B4" w:rsidRPr="00794BCC">
        <w:t>Table 1).</w:t>
      </w:r>
    </w:p>
    <w:p w14:paraId="4848C90C" w14:textId="4217EB52" w:rsidR="00C44D9A" w:rsidRDefault="00EF2FCB" w:rsidP="00943117">
      <w:pPr>
        <w:pStyle w:val="Corpotesto"/>
      </w:pPr>
      <w:r w:rsidRPr="00F41987">
        <w:t>BaSO</w:t>
      </w:r>
      <w:r w:rsidRPr="00DC0543">
        <w:rPr>
          <w:vertAlign w:val="subscript"/>
        </w:rPr>
        <w:t>4</w:t>
      </w:r>
      <w:r w:rsidRPr="00F41987">
        <w:t xml:space="preserve"> and Ca</w:t>
      </w:r>
      <w:r w:rsidRPr="00DC0543">
        <w:rPr>
          <w:vertAlign w:val="subscript"/>
        </w:rPr>
        <w:t>2</w:t>
      </w:r>
      <w:r w:rsidRPr="00F41987">
        <w:t>P</w:t>
      </w:r>
      <w:r w:rsidRPr="00DC0543">
        <w:rPr>
          <w:vertAlign w:val="subscript"/>
        </w:rPr>
        <w:t>2</w:t>
      </w:r>
      <w:r w:rsidRPr="00F41987">
        <w:t>O</w:t>
      </w:r>
      <w:r w:rsidRPr="00DC0543">
        <w:rPr>
          <w:vertAlign w:val="subscript"/>
        </w:rPr>
        <w:t>7</w:t>
      </w:r>
      <w:r w:rsidRPr="00F41987">
        <w:t xml:space="preserve"> at a concentration</w:t>
      </w:r>
      <w:r w:rsidR="005F4E6D">
        <w:t xml:space="preserve"> of</w:t>
      </w:r>
      <w:r w:rsidRPr="00F41987">
        <w:t xml:space="preserve"> 0.3 M showed a</w:t>
      </w:r>
      <w:r w:rsidR="006F2CCB">
        <w:t xml:space="preserve"> little improvement</w:t>
      </w:r>
      <w:r w:rsidR="00413355">
        <w:t xml:space="preserve"> </w:t>
      </w:r>
      <w:r w:rsidR="00943D68">
        <w:t>of t</w:t>
      </w:r>
      <w:r w:rsidR="00413355">
        <w:t>he</w:t>
      </w:r>
      <w:r w:rsidR="00943D68">
        <w:t xml:space="preserve"> </w:t>
      </w:r>
      <w:r w:rsidR="00943D68" w:rsidRPr="00F41987">
        <w:t>contaminants</w:t>
      </w:r>
      <w:r w:rsidRPr="00F41987">
        <w:t xml:space="preserve"> abatement into the precipitate (both around 50% against about 30% without adding co-precipitation agents). </w:t>
      </w:r>
      <w:r w:rsidR="00A5534D">
        <w:t>Higher decontamination effects</w:t>
      </w:r>
      <w:r w:rsidR="00BD0FD7">
        <w:t xml:space="preserve"> </w:t>
      </w:r>
      <w:r w:rsidRPr="00F41987">
        <w:t>have been</w:t>
      </w:r>
      <w:r w:rsidR="008B48B8">
        <w:t xml:space="preserve"> achieved</w:t>
      </w:r>
      <w:r w:rsidRPr="00F41987">
        <w:t xml:space="preserve"> after using 0.2 M Ca</w:t>
      </w:r>
      <w:r w:rsidRPr="001F6167">
        <w:rPr>
          <w:vertAlign w:val="subscript"/>
        </w:rPr>
        <w:t>3</w:t>
      </w:r>
      <w:r w:rsidRPr="00F41987">
        <w:t>(PO</w:t>
      </w:r>
      <w:r w:rsidRPr="001F6167">
        <w:rPr>
          <w:vertAlign w:val="subscript"/>
        </w:rPr>
        <w:t>4</w:t>
      </w:r>
      <w:r w:rsidRPr="00F41987">
        <w:t>)</w:t>
      </w:r>
      <w:r w:rsidRPr="001F6167">
        <w:rPr>
          <w:vertAlign w:val="subscript"/>
        </w:rPr>
        <w:t>2</w:t>
      </w:r>
      <w:r w:rsidRPr="00F41987">
        <w:t>, that</w:t>
      </w:r>
      <w:r w:rsidR="00EF5230">
        <w:t xml:space="preserve"> improved</w:t>
      </w:r>
      <w:r w:rsidRPr="00F41987">
        <w:t xml:space="preserve"> </w:t>
      </w:r>
      <w:r w:rsidR="00BE4856">
        <w:t>the</w:t>
      </w:r>
      <w:r w:rsidRPr="00F41987">
        <w:t xml:space="preserve"> abatement </w:t>
      </w:r>
      <w:r w:rsidR="003369DE">
        <w:t xml:space="preserve">up to </w:t>
      </w:r>
      <w:r w:rsidRPr="00F41987">
        <w:t>about 70-75% of initial</w:t>
      </w:r>
      <w:r w:rsidR="00371A03">
        <w:t xml:space="preserve"> </w:t>
      </w:r>
      <w:r w:rsidR="00371A03" w:rsidRPr="00CC197A">
        <w:t>Ni, Co,</w:t>
      </w:r>
      <w:r w:rsidR="007163DE">
        <w:t xml:space="preserve"> </w:t>
      </w:r>
      <w:r w:rsidR="00371A03" w:rsidRPr="00CC197A">
        <w:t>Sr</w:t>
      </w:r>
      <w:r w:rsidRPr="00F41987">
        <w:t xml:space="preserve"> contamination</w:t>
      </w:r>
      <w:r w:rsidR="008D7093" w:rsidRPr="00CC197A">
        <w:t>; worse behaviour</w:t>
      </w:r>
      <w:r w:rsidR="00267082">
        <w:t xml:space="preserve"> can be observed</w:t>
      </w:r>
      <w:r w:rsidR="008D7093" w:rsidRPr="00CC197A">
        <w:t xml:space="preserve"> for Cs with respect to blank</w:t>
      </w:r>
      <w:r w:rsidR="00267082">
        <w:t xml:space="preserve"> conditions</w:t>
      </w:r>
      <w:r w:rsidR="00943117">
        <w:t>.</w:t>
      </w:r>
    </w:p>
    <w:p w14:paraId="2AAB7777" w14:textId="0F12DF6F" w:rsidR="00F812F7" w:rsidRDefault="00F812F7" w:rsidP="00943117">
      <w:pPr>
        <w:pStyle w:val="Corpotesto"/>
      </w:pPr>
    </w:p>
    <w:p w14:paraId="62125893" w14:textId="74DCE288" w:rsidR="00F812F7" w:rsidRDefault="00F812F7" w:rsidP="00943117">
      <w:pPr>
        <w:pStyle w:val="Corpotesto"/>
      </w:pPr>
    </w:p>
    <w:p w14:paraId="5105D251" w14:textId="77777777" w:rsidR="006231B9" w:rsidRPr="00943117" w:rsidRDefault="006231B9" w:rsidP="00943117">
      <w:pPr>
        <w:pStyle w:val="Corpotesto"/>
      </w:pPr>
    </w:p>
    <w:p w14:paraId="76A043A3" w14:textId="3AA20AA3" w:rsidR="00694B20" w:rsidRPr="00E05B77" w:rsidRDefault="00694B20" w:rsidP="00694B20">
      <w:pPr>
        <w:pStyle w:val="Corpotesto"/>
        <w:ind w:firstLine="0"/>
        <w:rPr>
          <w:sz w:val="18"/>
          <w:szCs w:val="18"/>
        </w:rPr>
      </w:pPr>
      <w:r w:rsidRPr="00794BCC">
        <w:rPr>
          <w:sz w:val="18"/>
          <w:szCs w:val="18"/>
        </w:rPr>
        <w:lastRenderedPageBreak/>
        <w:t>TABLE 1.</w:t>
      </w:r>
      <w:r w:rsidR="00E05B77" w:rsidRPr="00794BCC">
        <w:rPr>
          <w:sz w:val="18"/>
          <w:szCs w:val="18"/>
        </w:rPr>
        <w:t xml:space="preserve"> CONTAMINANTS</w:t>
      </w:r>
      <w:r w:rsidR="00E05B77" w:rsidRPr="00E05B77">
        <w:rPr>
          <w:sz w:val="18"/>
          <w:szCs w:val="18"/>
        </w:rPr>
        <w:t xml:space="preserve"> IN</w:t>
      </w:r>
      <w:r w:rsidR="00722A52">
        <w:rPr>
          <w:sz w:val="18"/>
          <w:szCs w:val="18"/>
        </w:rPr>
        <w:t xml:space="preserve"> THE</w:t>
      </w:r>
      <w:r w:rsidR="00E05B77" w:rsidRPr="00E05B77">
        <w:rPr>
          <w:sz w:val="18"/>
          <w:szCs w:val="18"/>
        </w:rPr>
        <w:t xml:space="preserve"> SUPERNATANT [%]</w:t>
      </w:r>
    </w:p>
    <w:p w14:paraId="5F05A538" w14:textId="77777777" w:rsidR="00694B20" w:rsidRPr="00E05B77" w:rsidRDefault="00694B20" w:rsidP="00694B20">
      <w:pPr>
        <w:rPr>
          <w:sz w:val="20"/>
          <w:szCs w:val="18"/>
          <w:lang w:val="en-US"/>
        </w:rPr>
      </w:pP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403"/>
        <w:gridCol w:w="1403"/>
        <w:gridCol w:w="1291"/>
        <w:gridCol w:w="1291"/>
      </w:tblGrid>
      <w:tr w:rsidR="00F0062C" w:rsidRPr="00E05B77" w14:paraId="50C74231" w14:textId="06A34AF4" w:rsidTr="0028596E">
        <w:trPr>
          <w:trHeight w:val="273"/>
          <w:jc w:val="center"/>
        </w:trPr>
        <w:tc>
          <w:tcPr>
            <w:tcW w:w="1402" w:type="dxa"/>
            <w:tcBorders>
              <w:top w:val="single" w:sz="4" w:space="0" w:color="auto"/>
              <w:bottom w:val="single" w:sz="4" w:space="0" w:color="auto"/>
            </w:tcBorders>
          </w:tcPr>
          <w:p w14:paraId="709F08EB" w14:textId="55326F87" w:rsidR="00F0062C" w:rsidRPr="00E05B77" w:rsidRDefault="00F0062C" w:rsidP="006F4B4F">
            <w:pPr>
              <w:pStyle w:val="Corpotesto"/>
              <w:ind w:firstLine="0"/>
              <w:rPr>
                <w:sz w:val="18"/>
                <w:szCs w:val="18"/>
              </w:rPr>
            </w:pPr>
            <w:r w:rsidRPr="00E05B77">
              <w:rPr>
                <w:sz w:val="18"/>
                <w:szCs w:val="18"/>
              </w:rPr>
              <w:t>Co</w:t>
            </w:r>
            <w:r w:rsidR="0085250E" w:rsidRPr="00E05B77">
              <w:rPr>
                <w:sz w:val="18"/>
                <w:szCs w:val="18"/>
              </w:rPr>
              <w:t>-precipitant</w:t>
            </w:r>
          </w:p>
        </w:tc>
        <w:tc>
          <w:tcPr>
            <w:tcW w:w="1403" w:type="dxa"/>
            <w:tcBorders>
              <w:top w:val="single" w:sz="4" w:space="0" w:color="auto"/>
              <w:bottom w:val="single" w:sz="4" w:space="0" w:color="auto"/>
            </w:tcBorders>
          </w:tcPr>
          <w:p w14:paraId="2026056D" w14:textId="3EE232A2" w:rsidR="00F0062C" w:rsidRPr="00E05B77" w:rsidRDefault="00F0062C" w:rsidP="006F4B4F">
            <w:pPr>
              <w:pStyle w:val="Corpotesto"/>
              <w:ind w:firstLine="0"/>
              <w:jc w:val="center"/>
              <w:rPr>
                <w:sz w:val="18"/>
                <w:szCs w:val="18"/>
              </w:rPr>
            </w:pPr>
            <w:r w:rsidRPr="00E05B77">
              <w:rPr>
                <w:sz w:val="18"/>
                <w:szCs w:val="18"/>
              </w:rPr>
              <w:t>Co</w:t>
            </w:r>
          </w:p>
        </w:tc>
        <w:tc>
          <w:tcPr>
            <w:tcW w:w="1403" w:type="dxa"/>
            <w:tcBorders>
              <w:top w:val="single" w:sz="4" w:space="0" w:color="auto"/>
              <w:bottom w:val="single" w:sz="4" w:space="0" w:color="auto"/>
            </w:tcBorders>
          </w:tcPr>
          <w:p w14:paraId="6DAAE95B" w14:textId="72165CCA" w:rsidR="00F0062C" w:rsidRPr="00E05B77" w:rsidRDefault="0085250E" w:rsidP="006F4B4F">
            <w:pPr>
              <w:pStyle w:val="Corpotesto"/>
              <w:ind w:firstLine="0"/>
              <w:jc w:val="center"/>
              <w:rPr>
                <w:sz w:val="18"/>
                <w:szCs w:val="18"/>
              </w:rPr>
            </w:pPr>
            <w:r w:rsidRPr="00E05B77">
              <w:rPr>
                <w:sz w:val="18"/>
                <w:szCs w:val="18"/>
              </w:rPr>
              <w:t>Ni</w:t>
            </w:r>
          </w:p>
        </w:tc>
        <w:tc>
          <w:tcPr>
            <w:tcW w:w="1291" w:type="dxa"/>
            <w:tcBorders>
              <w:top w:val="single" w:sz="4" w:space="0" w:color="auto"/>
              <w:bottom w:val="single" w:sz="4" w:space="0" w:color="auto"/>
            </w:tcBorders>
          </w:tcPr>
          <w:p w14:paraId="417F2584" w14:textId="231BCBD0" w:rsidR="00F0062C" w:rsidRPr="00E05B77" w:rsidRDefault="00F0062C" w:rsidP="006F4B4F">
            <w:pPr>
              <w:pStyle w:val="Corpotesto"/>
              <w:ind w:firstLine="0"/>
              <w:jc w:val="center"/>
              <w:rPr>
                <w:sz w:val="18"/>
                <w:szCs w:val="18"/>
              </w:rPr>
            </w:pPr>
            <w:r w:rsidRPr="00E05B77">
              <w:rPr>
                <w:sz w:val="18"/>
                <w:szCs w:val="18"/>
              </w:rPr>
              <w:t>C</w:t>
            </w:r>
            <w:r w:rsidR="001625A1" w:rsidRPr="00E05B77">
              <w:rPr>
                <w:sz w:val="18"/>
                <w:szCs w:val="18"/>
              </w:rPr>
              <w:t>s</w:t>
            </w:r>
          </w:p>
        </w:tc>
        <w:tc>
          <w:tcPr>
            <w:tcW w:w="1291" w:type="dxa"/>
            <w:tcBorders>
              <w:top w:val="single" w:sz="4" w:space="0" w:color="auto"/>
              <w:bottom w:val="single" w:sz="4" w:space="0" w:color="auto"/>
            </w:tcBorders>
          </w:tcPr>
          <w:p w14:paraId="45CF1F9B" w14:textId="71D2B175" w:rsidR="00F0062C" w:rsidRPr="00E05B77" w:rsidRDefault="001625A1" w:rsidP="006F4B4F">
            <w:pPr>
              <w:pStyle w:val="Corpotesto"/>
              <w:ind w:firstLine="0"/>
              <w:jc w:val="center"/>
              <w:rPr>
                <w:sz w:val="18"/>
                <w:szCs w:val="18"/>
              </w:rPr>
            </w:pPr>
            <w:r w:rsidRPr="00E05B77">
              <w:rPr>
                <w:sz w:val="18"/>
                <w:szCs w:val="18"/>
              </w:rPr>
              <w:t>Sr</w:t>
            </w:r>
          </w:p>
        </w:tc>
      </w:tr>
      <w:tr w:rsidR="00F0062C" w:rsidRPr="00E05B77" w14:paraId="20ADBDEB" w14:textId="23422F87" w:rsidTr="0028596E">
        <w:trPr>
          <w:trHeight w:val="283"/>
          <w:jc w:val="center"/>
        </w:trPr>
        <w:tc>
          <w:tcPr>
            <w:tcW w:w="1402" w:type="dxa"/>
            <w:tcBorders>
              <w:top w:val="single" w:sz="4" w:space="0" w:color="auto"/>
            </w:tcBorders>
          </w:tcPr>
          <w:p w14:paraId="07432EA4" w14:textId="1B6A243A" w:rsidR="00F0062C" w:rsidRPr="00E05B77" w:rsidRDefault="008C2169" w:rsidP="006F4B4F">
            <w:pPr>
              <w:pStyle w:val="Corpotesto"/>
              <w:ind w:firstLine="0"/>
              <w:rPr>
                <w:sz w:val="18"/>
                <w:szCs w:val="18"/>
              </w:rPr>
            </w:pPr>
            <w:r>
              <w:rPr>
                <w:sz w:val="18"/>
                <w:szCs w:val="18"/>
              </w:rPr>
              <w:t>None</w:t>
            </w:r>
          </w:p>
        </w:tc>
        <w:tc>
          <w:tcPr>
            <w:tcW w:w="1403" w:type="dxa"/>
            <w:tcBorders>
              <w:top w:val="single" w:sz="4" w:space="0" w:color="auto"/>
            </w:tcBorders>
          </w:tcPr>
          <w:p w14:paraId="3760FF14" w14:textId="00471185" w:rsidR="00F0062C" w:rsidRPr="00E05B77" w:rsidRDefault="00174FAF" w:rsidP="006F4B4F">
            <w:pPr>
              <w:pStyle w:val="Corpotesto"/>
              <w:ind w:firstLine="0"/>
              <w:jc w:val="center"/>
              <w:rPr>
                <w:sz w:val="18"/>
                <w:szCs w:val="18"/>
              </w:rPr>
            </w:pPr>
            <w:r w:rsidRPr="00E05B77">
              <w:rPr>
                <w:sz w:val="18"/>
                <w:szCs w:val="18"/>
              </w:rPr>
              <w:t>64</w:t>
            </w:r>
            <w:r w:rsidR="00771825" w:rsidRPr="00E05B77">
              <w:rPr>
                <w:sz w:val="18"/>
                <w:szCs w:val="18"/>
              </w:rPr>
              <w:t xml:space="preserve"> </w:t>
            </w:r>
            <w:r w:rsidRPr="00E05B77">
              <w:rPr>
                <w:sz w:val="18"/>
                <w:szCs w:val="18"/>
              </w:rPr>
              <w:t>±</w:t>
            </w:r>
            <w:r w:rsidR="00771825" w:rsidRPr="00E05B77">
              <w:rPr>
                <w:sz w:val="18"/>
                <w:szCs w:val="18"/>
              </w:rPr>
              <w:t xml:space="preserve"> </w:t>
            </w:r>
            <w:r w:rsidRPr="00E05B77">
              <w:rPr>
                <w:sz w:val="18"/>
                <w:szCs w:val="18"/>
              </w:rPr>
              <w:t>1.2</w:t>
            </w:r>
          </w:p>
        </w:tc>
        <w:tc>
          <w:tcPr>
            <w:tcW w:w="1403" w:type="dxa"/>
            <w:tcBorders>
              <w:top w:val="single" w:sz="4" w:space="0" w:color="auto"/>
            </w:tcBorders>
          </w:tcPr>
          <w:p w14:paraId="1F267045" w14:textId="2D4D8786" w:rsidR="00F0062C" w:rsidRPr="00E05B77" w:rsidRDefault="00771825" w:rsidP="006F4B4F">
            <w:pPr>
              <w:pStyle w:val="Corpotesto"/>
              <w:ind w:firstLine="0"/>
              <w:jc w:val="center"/>
              <w:rPr>
                <w:sz w:val="18"/>
                <w:szCs w:val="18"/>
              </w:rPr>
            </w:pPr>
            <w:r w:rsidRPr="00E05B77">
              <w:rPr>
                <w:sz w:val="18"/>
                <w:szCs w:val="18"/>
              </w:rPr>
              <w:t xml:space="preserve">57 </w:t>
            </w:r>
            <w:r w:rsidR="00174FAF" w:rsidRPr="00E05B77">
              <w:rPr>
                <w:sz w:val="18"/>
                <w:szCs w:val="18"/>
              </w:rPr>
              <w:t>±</w:t>
            </w:r>
            <w:r w:rsidRPr="00E05B77">
              <w:rPr>
                <w:sz w:val="18"/>
                <w:szCs w:val="18"/>
              </w:rPr>
              <w:t xml:space="preserve"> </w:t>
            </w:r>
            <w:r w:rsidR="00174FAF" w:rsidRPr="00E05B77">
              <w:rPr>
                <w:sz w:val="18"/>
                <w:szCs w:val="18"/>
              </w:rPr>
              <w:t>1.</w:t>
            </w:r>
            <w:r w:rsidRPr="00E05B77">
              <w:rPr>
                <w:sz w:val="18"/>
                <w:szCs w:val="18"/>
              </w:rPr>
              <w:t>1</w:t>
            </w:r>
          </w:p>
        </w:tc>
        <w:tc>
          <w:tcPr>
            <w:tcW w:w="1291" w:type="dxa"/>
            <w:tcBorders>
              <w:top w:val="single" w:sz="4" w:space="0" w:color="auto"/>
            </w:tcBorders>
          </w:tcPr>
          <w:p w14:paraId="3D261FF1" w14:textId="2333C9BD" w:rsidR="00F0062C" w:rsidRPr="00E05B77" w:rsidRDefault="00771825" w:rsidP="006F4B4F">
            <w:pPr>
              <w:pStyle w:val="Corpotesto"/>
              <w:ind w:firstLine="0"/>
              <w:jc w:val="center"/>
              <w:rPr>
                <w:sz w:val="18"/>
                <w:szCs w:val="18"/>
              </w:rPr>
            </w:pPr>
            <w:r w:rsidRPr="00E05B77">
              <w:rPr>
                <w:sz w:val="18"/>
                <w:szCs w:val="18"/>
              </w:rPr>
              <w:t xml:space="preserve">5 ± </w:t>
            </w:r>
            <w:r w:rsidR="00422393" w:rsidRPr="00E05B77">
              <w:rPr>
                <w:sz w:val="18"/>
                <w:szCs w:val="18"/>
              </w:rPr>
              <w:t>0</w:t>
            </w:r>
            <w:r w:rsidRPr="00E05B77">
              <w:rPr>
                <w:sz w:val="18"/>
                <w:szCs w:val="18"/>
              </w:rPr>
              <w:t>.1</w:t>
            </w:r>
          </w:p>
        </w:tc>
        <w:tc>
          <w:tcPr>
            <w:tcW w:w="1291" w:type="dxa"/>
            <w:tcBorders>
              <w:top w:val="single" w:sz="4" w:space="0" w:color="auto"/>
            </w:tcBorders>
          </w:tcPr>
          <w:p w14:paraId="7AA4287B" w14:textId="5A5CC574" w:rsidR="00F0062C" w:rsidRPr="00E05B77" w:rsidRDefault="006468BB" w:rsidP="006F4B4F">
            <w:pPr>
              <w:pStyle w:val="Corpotesto"/>
              <w:ind w:firstLine="0"/>
              <w:jc w:val="center"/>
              <w:rPr>
                <w:sz w:val="18"/>
                <w:szCs w:val="18"/>
              </w:rPr>
            </w:pPr>
            <w:r w:rsidRPr="00E05B77">
              <w:rPr>
                <w:sz w:val="18"/>
                <w:szCs w:val="18"/>
              </w:rPr>
              <w:t>71 ± 1.9</w:t>
            </w:r>
          </w:p>
        </w:tc>
      </w:tr>
      <w:tr w:rsidR="00F0062C" w:rsidRPr="00E05B77" w14:paraId="7D5D62C8" w14:textId="70838F30" w:rsidTr="0028596E">
        <w:trPr>
          <w:trHeight w:val="273"/>
          <w:jc w:val="center"/>
        </w:trPr>
        <w:tc>
          <w:tcPr>
            <w:tcW w:w="1402" w:type="dxa"/>
          </w:tcPr>
          <w:p w14:paraId="445B9259" w14:textId="64226AA3" w:rsidR="00F0062C" w:rsidRPr="00E05B77" w:rsidRDefault="004840EA" w:rsidP="006F4B4F">
            <w:pPr>
              <w:pStyle w:val="Corpotesto"/>
              <w:ind w:firstLine="0"/>
              <w:rPr>
                <w:sz w:val="18"/>
                <w:szCs w:val="18"/>
              </w:rPr>
            </w:pPr>
            <w:r w:rsidRPr="00E05B77">
              <w:rPr>
                <w:sz w:val="18"/>
                <w:szCs w:val="18"/>
              </w:rPr>
              <w:t>0.1</w:t>
            </w:r>
            <w:r w:rsidR="00FE341F" w:rsidRPr="00E05B77">
              <w:rPr>
                <w:sz w:val="18"/>
                <w:szCs w:val="18"/>
              </w:rPr>
              <w:t xml:space="preserve"> M BaSO</w:t>
            </w:r>
            <w:r w:rsidR="00FE341F" w:rsidRPr="00E05B77">
              <w:rPr>
                <w:sz w:val="18"/>
                <w:szCs w:val="18"/>
                <w:vertAlign w:val="subscript"/>
              </w:rPr>
              <w:t>4</w:t>
            </w:r>
          </w:p>
        </w:tc>
        <w:tc>
          <w:tcPr>
            <w:tcW w:w="1403" w:type="dxa"/>
          </w:tcPr>
          <w:p w14:paraId="080A4018" w14:textId="218D5B06" w:rsidR="00F0062C" w:rsidRPr="00E05B77" w:rsidRDefault="00034BE9" w:rsidP="006F4B4F">
            <w:pPr>
              <w:pStyle w:val="Corpotesto"/>
              <w:ind w:firstLine="0"/>
              <w:jc w:val="center"/>
              <w:rPr>
                <w:sz w:val="18"/>
                <w:szCs w:val="18"/>
              </w:rPr>
            </w:pPr>
            <w:r w:rsidRPr="00E05B77">
              <w:rPr>
                <w:sz w:val="18"/>
                <w:szCs w:val="18"/>
              </w:rPr>
              <w:t>48 ± 1.2</w:t>
            </w:r>
          </w:p>
        </w:tc>
        <w:tc>
          <w:tcPr>
            <w:tcW w:w="1403" w:type="dxa"/>
          </w:tcPr>
          <w:p w14:paraId="0C499171" w14:textId="17E591AE" w:rsidR="00F0062C" w:rsidRPr="00E05B77" w:rsidRDefault="00034BE9" w:rsidP="006F4B4F">
            <w:pPr>
              <w:pStyle w:val="Corpotesto"/>
              <w:ind w:firstLine="0"/>
              <w:jc w:val="center"/>
              <w:rPr>
                <w:sz w:val="18"/>
                <w:szCs w:val="18"/>
              </w:rPr>
            </w:pPr>
            <w:r w:rsidRPr="00E05B77">
              <w:rPr>
                <w:sz w:val="18"/>
                <w:szCs w:val="18"/>
              </w:rPr>
              <w:t>47 ± 1.0</w:t>
            </w:r>
          </w:p>
        </w:tc>
        <w:tc>
          <w:tcPr>
            <w:tcW w:w="1291" w:type="dxa"/>
          </w:tcPr>
          <w:p w14:paraId="02190CE4" w14:textId="36978B06" w:rsidR="00F0062C" w:rsidRPr="00E05B77" w:rsidRDefault="00C12245" w:rsidP="006F4B4F">
            <w:pPr>
              <w:pStyle w:val="Corpotesto"/>
              <w:ind w:firstLine="0"/>
              <w:jc w:val="center"/>
              <w:rPr>
                <w:sz w:val="18"/>
                <w:szCs w:val="18"/>
              </w:rPr>
            </w:pPr>
            <w:r w:rsidRPr="00E05B77">
              <w:rPr>
                <w:sz w:val="18"/>
                <w:szCs w:val="18"/>
              </w:rPr>
              <w:t>4</w:t>
            </w:r>
            <w:r w:rsidR="00034BE9" w:rsidRPr="00E05B77">
              <w:rPr>
                <w:sz w:val="18"/>
                <w:szCs w:val="18"/>
              </w:rPr>
              <w:t xml:space="preserve"> ± </w:t>
            </w:r>
            <w:r w:rsidRPr="00E05B77">
              <w:rPr>
                <w:sz w:val="18"/>
                <w:szCs w:val="18"/>
              </w:rPr>
              <w:t>0</w:t>
            </w:r>
            <w:r w:rsidR="00034BE9" w:rsidRPr="00E05B77">
              <w:rPr>
                <w:sz w:val="18"/>
                <w:szCs w:val="18"/>
              </w:rPr>
              <w:t>.1</w:t>
            </w:r>
          </w:p>
        </w:tc>
        <w:tc>
          <w:tcPr>
            <w:tcW w:w="1291" w:type="dxa"/>
          </w:tcPr>
          <w:p w14:paraId="16104266" w14:textId="3B25E693" w:rsidR="00F0062C" w:rsidRPr="00E05B77" w:rsidRDefault="00C12245" w:rsidP="006F4B4F">
            <w:pPr>
              <w:pStyle w:val="Corpotesto"/>
              <w:ind w:firstLine="0"/>
              <w:jc w:val="center"/>
              <w:rPr>
                <w:sz w:val="18"/>
                <w:szCs w:val="18"/>
              </w:rPr>
            </w:pPr>
            <w:r w:rsidRPr="00E05B77">
              <w:rPr>
                <w:sz w:val="18"/>
                <w:szCs w:val="18"/>
              </w:rPr>
              <w:t>49 ± 1.4</w:t>
            </w:r>
          </w:p>
        </w:tc>
      </w:tr>
      <w:tr w:rsidR="00122032" w:rsidRPr="00E05B77" w14:paraId="49A373E6" w14:textId="77777777" w:rsidTr="0028596E">
        <w:trPr>
          <w:trHeight w:val="273"/>
          <w:jc w:val="center"/>
        </w:trPr>
        <w:tc>
          <w:tcPr>
            <w:tcW w:w="1402" w:type="dxa"/>
          </w:tcPr>
          <w:p w14:paraId="6CFCD177" w14:textId="1E012289" w:rsidR="00122032" w:rsidRPr="00E05B77" w:rsidRDefault="002F52A7" w:rsidP="006F4B4F">
            <w:pPr>
              <w:pStyle w:val="Corpotesto"/>
              <w:ind w:firstLine="0"/>
              <w:rPr>
                <w:sz w:val="18"/>
                <w:szCs w:val="18"/>
              </w:rPr>
            </w:pPr>
            <w:r w:rsidRPr="00E05B77">
              <w:rPr>
                <w:sz w:val="18"/>
                <w:szCs w:val="18"/>
              </w:rPr>
              <w:t>0.3 M BaSO</w:t>
            </w:r>
            <w:r w:rsidRPr="00E05B77">
              <w:rPr>
                <w:sz w:val="18"/>
                <w:szCs w:val="18"/>
                <w:vertAlign w:val="subscript"/>
              </w:rPr>
              <w:t>4</w:t>
            </w:r>
          </w:p>
        </w:tc>
        <w:tc>
          <w:tcPr>
            <w:tcW w:w="1403" w:type="dxa"/>
          </w:tcPr>
          <w:p w14:paraId="39FCA8E2" w14:textId="4C662874" w:rsidR="00122032" w:rsidRPr="00E05B77" w:rsidRDefault="002F52A7" w:rsidP="006F4B4F">
            <w:pPr>
              <w:pStyle w:val="Corpotesto"/>
              <w:ind w:firstLine="0"/>
              <w:jc w:val="center"/>
              <w:rPr>
                <w:sz w:val="18"/>
                <w:szCs w:val="18"/>
              </w:rPr>
            </w:pPr>
            <w:r w:rsidRPr="00E05B77">
              <w:rPr>
                <w:sz w:val="18"/>
                <w:szCs w:val="18"/>
              </w:rPr>
              <w:t>4</w:t>
            </w:r>
            <w:r w:rsidR="00E04A86" w:rsidRPr="00E05B77">
              <w:rPr>
                <w:sz w:val="18"/>
                <w:szCs w:val="18"/>
              </w:rPr>
              <w:t>0</w:t>
            </w:r>
            <w:r w:rsidRPr="00E05B77">
              <w:rPr>
                <w:sz w:val="18"/>
                <w:szCs w:val="18"/>
              </w:rPr>
              <w:t xml:space="preserve"> ± </w:t>
            </w:r>
            <w:r w:rsidR="00E04A86" w:rsidRPr="00E05B77">
              <w:rPr>
                <w:sz w:val="18"/>
                <w:szCs w:val="18"/>
              </w:rPr>
              <w:t>5.1</w:t>
            </w:r>
          </w:p>
        </w:tc>
        <w:tc>
          <w:tcPr>
            <w:tcW w:w="1403" w:type="dxa"/>
          </w:tcPr>
          <w:p w14:paraId="2CE7BA3F" w14:textId="252C758E" w:rsidR="00122032" w:rsidRPr="00E05B77" w:rsidRDefault="00E04A86" w:rsidP="006F4B4F">
            <w:pPr>
              <w:pStyle w:val="Corpotesto"/>
              <w:ind w:firstLine="0"/>
              <w:jc w:val="center"/>
              <w:rPr>
                <w:sz w:val="18"/>
                <w:szCs w:val="18"/>
              </w:rPr>
            </w:pPr>
            <w:r w:rsidRPr="00E05B77">
              <w:rPr>
                <w:sz w:val="18"/>
                <w:szCs w:val="18"/>
              </w:rPr>
              <w:t>40 ± 4.9</w:t>
            </w:r>
          </w:p>
        </w:tc>
        <w:tc>
          <w:tcPr>
            <w:tcW w:w="1291" w:type="dxa"/>
          </w:tcPr>
          <w:p w14:paraId="50E0DC0D" w14:textId="0FF517A7" w:rsidR="00122032" w:rsidRPr="00E05B77" w:rsidRDefault="009E2785" w:rsidP="006F4B4F">
            <w:pPr>
              <w:pStyle w:val="Corpotesto"/>
              <w:ind w:firstLine="0"/>
              <w:jc w:val="center"/>
              <w:rPr>
                <w:sz w:val="18"/>
                <w:szCs w:val="18"/>
              </w:rPr>
            </w:pPr>
            <w:r w:rsidRPr="00E05B77">
              <w:rPr>
                <w:sz w:val="18"/>
                <w:szCs w:val="18"/>
              </w:rPr>
              <w:t>4 ± 0.1</w:t>
            </w:r>
          </w:p>
        </w:tc>
        <w:tc>
          <w:tcPr>
            <w:tcW w:w="1291" w:type="dxa"/>
          </w:tcPr>
          <w:p w14:paraId="5D66BE68" w14:textId="20B768D6" w:rsidR="00122032" w:rsidRPr="00E05B77" w:rsidRDefault="00A30F37" w:rsidP="006F4B4F">
            <w:pPr>
              <w:pStyle w:val="Corpotesto"/>
              <w:ind w:firstLine="0"/>
              <w:jc w:val="center"/>
              <w:rPr>
                <w:sz w:val="18"/>
                <w:szCs w:val="18"/>
              </w:rPr>
            </w:pPr>
            <w:r w:rsidRPr="00E05B77">
              <w:rPr>
                <w:sz w:val="18"/>
                <w:szCs w:val="18"/>
              </w:rPr>
              <w:t>47 ± 1.8</w:t>
            </w:r>
          </w:p>
        </w:tc>
      </w:tr>
      <w:tr w:rsidR="00122032" w:rsidRPr="00E05B77" w14:paraId="5C6DF23C" w14:textId="77777777" w:rsidTr="0028596E">
        <w:trPr>
          <w:trHeight w:val="273"/>
          <w:jc w:val="center"/>
        </w:trPr>
        <w:tc>
          <w:tcPr>
            <w:tcW w:w="1402" w:type="dxa"/>
          </w:tcPr>
          <w:p w14:paraId="6D187138" w14:textId="2B020684" w:rsidR="00122032" w:rsidRPr="00E05B77" w:rsidRDefault="008F16A9" w:rsidP="006F4B4F">
            <w:pPr>
              <w:pStyle w:val="Corpotesto"/>
              <w:ind w:firstLine="0"/>
              <w:rPr>
                <w:sz w:val="18"/>
                <w:szCs w:val="18"/>
                <w:vertAlign w:val="subscript"/>
              </w:rPr>
            </w:pPr>
            <w:r w:rsidRPr="00E05B77">
              <w:rPr>
                <w:sz w:val="18"/>
                <w:szCs w:val="18"/>
              </w:rPr>
              <w:t>0.1 M Ca</w:t>
            </w:r>
            <w:r w:rsidRPr="00E05B77">
              <w:rPr>
                <w:sz w:val="18"/>
                <w:szCs w:val="18"/>
                <w:vertAlign w:val="subscript"/>
              </w:rPr>
              <w:t>3</w:t>
            </w:r>
            <w:r w:rsidRPr="00E05B77">
              <w:rPr>
                <w:sz w:val="18"/>
                <w:szCs w:val="18"/>
              </w:rPr>
              <w:t>(PO</w:t>
            </w:r>
            <w:r w:rsidRPr="00E05B77">
              <w:rPr>
                <w:sz w:val="18"/>
                <w:szCs w:val="18"/>
                <w:vertAlign w:val="subscript"/>
              </w:rPr>
              <w:t>4</w:t>
            </w:r>
            <w:r w:rsidRPr="00E05B77">
              <w:rPr>
                <w:sz w:val="18"/>
                <w:szCs w:val="18"/>
              </w:rPr>
              <w:t>)</w:t>
            </w:r>
            <w:r w:rsidRPr="00E05B77">
              <w:rPr>
                <w:sz w:val="18"/>
                <w:szCs w:val="18"/>
                <w:vertAlign w:val="subscript"/>
              </w:rPr>
              <w:t>2</w:t>
            </w:r>
          </w:p>
        </w:tc>
        <w:tc>
          <w:tcPr>
            <w:tcW w:w="1403" w:type="dxa"/>
          </w:tcPr>
          <w:p w14:paraId="5DBC5B37" w14:textId="0C67FF75" w:rsidR="00122032" w:rsidRPr="00E05B77" w:rsidRDefault="008F16A9" w:rsidP="006F4B4F">
            <w:pPr>
              <w:pStyle w:val="Corpotesto"/>
              <w:ind w:firstLine="0"/>
              <w:jc w:val="center"/>
              <w:rPr>
                <w:sz w:val="18"/>
                <w:szCs w:val="18"/>
              </w:rPr>
            </w:pPr>
            <w:r w:rsidRPr="00E05B77">
              <w:rPr>
                <w:sz w:val="18"/>
                <w:szCs w:val="18"/>
              </w:rPr>
              <w:t>4</w:t>
            </w:r>
            <w:r w:rsidR="009C253C" w:rsidRPr="00E05B77">
              <w:rPr>
                <w:sz w:val="18"/>
                <w:szCs w:val="18"/>
              </w:rPr>
              <w:t>6</w:t>
            </w:r>
            <w:r w:rsidRPr="00E05B77">
              <w:rPr>
                <w:sz w:val="18"/>
                <w:szCs w:val="18"/>
              </w:rPr>
              <w:t xml:space="preserve"> ± 1.2</w:t>
            </w:r>
          </w:p>
        </w:tc>
        <w:tc>
          <w:tcPr>
            <w:tcW w:w="1403" w:type="dxa"/>
          </w:tcPr>
          <w:p w14:paraId="1E044026" w14:textId="68273578" w:rsidR="00122032" w:rsidRPr="00E05B77" w:rsidRDefault="009C253C" w:rsidP="006F4B4F">
            <w:pPr>
              <w:pStyle w:val="Corpotesto"/>
              <w:ind w:firstLine="0"/>
              <w:jc w:val="center"/>
              <w:rPr>
                <w:sz w:val="18"/>
                <w:szCs w:val="18"/>
              </w:rPr>
            </w:pPr>
            <w:r w:rsidRPr="00E05B77">
              <w:rPr>
                <w:sz w:val="18"/>
                <w:szCs w:val="18"/>
              </w:rPr>
              <w:t>48 ± 1.9</w:t>
            </w:r>
          </w:p>
        </w:tc>
        <w:tc>
          <w:tcPr>
            <w:tcW w:w="1291" w:type="dxa"/>
          </w:tcPr>
          <w:p w14:paraId="241DAC40" w14:textId="71D6C16A" w:rsidR="00122032" w:rsidRPr="00E05B77" w:rsidRDefault="00F82C98" w:rsidP="006F4B4F">
            <w:pPr>
              <w:pStyle w:val="Corpotesto"/>
              <w:ind w:firstLine="0"/>
              <w:jc w:val="center"/>
              <w:rPr>
                <w:sz w:val="18"/>
                <w:szCs w:val="18"/>
              </w:rPr>
            </w:pPr>
            <w:r w:rsidRPr="00E05B77">
              <w:rPr>
                <w:sz w:val="18"/>
                <w:szCs w:val="18"/>
              </w:rPr>
              <w:t>23</w:t>
            </w:r>
            <w:r w:rsidR="009C253C" w:rsidRPr="00E05B77">
              <w:rPr>
                <w:sz w:val="18"/>
                <w:szCs w:val="18"/>
              </w:rPr>
              <w:t xml:space="preserve"> ± </w:t>
            </w:r>
            <w:r w:rsidRPr="00E05B77">
              <w:rPr>
                <w:sz w:val="18"/>
                <w:szCs w:val="18"/>
              </w:rPr>
              <w:t>0</w:t>
            </w:r>
            <w:r w:rsidR="009C253C" w:rsidRPr="00E05B77">
              <w:rPr>
                <w:sz w:val="18"/>
                <w:szCs w:val="18"/>
              </w:rPr>
              <w:t>.</w:t>
            </w:r>
            <w:r w:rsidRPr="00E05B77">
              <w:rPr>
                <w:sz w:val="18"/>
                <w:szCs w:val="18"/>
              </w:rPr>
              <w:t>7</w:t>
            </w:r>
          </w:p>
        </w:tc>
        <w:tc>
          <w:tcPr>
            <w:tcW w:w="1291" w:type="dxa"/>
          </w:tcPr>
          <w:p w14:paraId="2165E0CE" w14:textId="45FBED57" w:rsidR="00122032" w:rsidRPr="00E05B77" w:rsidRDefault="001F25FA" w:rsidP="006F4B4F">
            <w:pPr>
              <w:pStyle w:val="Corpotesto"/>
              <w:ind w:firstLine="0"/>
              <w:jc w:val="center"/>
              <w:rPr>
                <w:sz w:val="18"/>
                <w:szCs w:val="18"/>
              </w:rPr>
            </w:pPr>
            <w:r w:rsidRPr="00E05B77">
              <w:rPr>
                <w:sz w:val="18"/>
                <w:szCs w:val="18"/>
              </w:rPr>
              <w:t>55 ± 1.9</w:t>
            </w:r>
          </w:p>
        </w:tc>
      </w:tr>
      <w:tr w:rsidR="00122032" w:rsidRPr="00E05B77" w14:paraId="031D64EE" w14:textId="77777777" w:rsidTr="0028596E">
        <w:trPr>
          <w:trHeight w:val="273"/>
          <w:jc w:val="center"/>
        </w:trPr>
        <w:tc>
          <w:tcPr>
            <w:tcW w:w="1402" w:type="dxa"/>
          </w:tcPr>
          <w:p w14:paraId="7490EED3" w14:textId="2C3B19A5" w:rsidR="00122032" w:rsidRPr="00E05B77" w:rsidRDefault="001F25FA" w:rsidP="006F4B4F">
            <w:pPr>
              <w:pStyle w:val="Corpotesto"/>
              <w:ind w:firstLine="0"/>
              <w:rPr>
                <w:sz w:val="18"/>
                <w:szCs w:val="18"/>
              </w:rPr>
            </w:pPr>
            <w:r w:rsidRPr="00E05B77">
              <w:rPr>
                <w:sz w:val="18"/>
                <w:szCs w:val="18"/>
              </w:rPr>
              <w:t>0.2 M Ca</w:t>
            </w:r>
            <w:r w:rsidRPr="00E05B77">
              <w:rPr>
                <w:sz w:val="18"/>
                <w:szCs w:val="18"/>
                <w:vertAlign w:val="subscript"/>
              </w:rPr>
              <w:t>3</w:t>
            </w:r>
            <w:r w:rsidRPr="00E05B77">
              <w:rPr>
                <w:sz w:val="18"/>
                <w:szCs w:val="18"/>
              </w:rPr>
              <w:t>(PO</w:t>
            </w:r>
            <w:r w:rsidRPr="00E05B77">
              <w:rPr>
                <w:sz w:val="18"/>
                <w:szCs w:val="18"/>
                <w:vertAlign w:val="subscript"/>
              </w:rPr>
              <w:t>4</w:t>
            </w:r>
            <w:r w:rsidRPr="00E05B77">
              <w:rPr>
                <w:sz w:val="18"/>
                <w:szCs w:val="18"/>
              </w:rPr>
              <w:t>)</w:t>
            </w:r>
            <w:r w:rsidRPr="00E05B77">
              <w:rPr>
                <w:sz w:val="18"/>
                <w:szCs w:val="18"/>
                <w:vertAlign w:val="subscript"/>
              </w:rPr>
              <w:t>2</w:t>
            </w:r>
          </w:p>
        </w:tc>
        <w:tc>
          <w:tcPr>
            <w:tcW w:w="1403" w:type="dxa"/>
          </w:tcPr>
          <w:p w14:paraId="77270A5D" w14:textId="785C4608" w:rsidR="00122032" w:rsidRPr="00E05B77" w:rsidRDefault="00100A5F" w:rsidP="006F4B4F">
            <w:pPr>
              <w:pStyle w:val="Corpotesto"/>
              <w:ind w:firstLine="0"/>
              <w:jc w:val="center"/>
              <w:rPr>
                <w:sz w:val="18"/>
                <w:szCs w:val="18"/>
              </w:rPr>
            </w:pPr>
            <w:r w:rsidRPr="00E05B77">
              <w:rPr>
                <w:sz w:val="18"/>
                <w:szCs w:val="18"/>
              </w:rPr>
              <w:t>24 ± 1.</w:t>
            </w:r>
            <w:r w:rsidR="004A3EC8" w:rsidRPr="00E05B77">
              <w:rPr>
                <w:sz w:val="18"/>
                <w:szCs w:val="18"/>
              </w:rPr>
              <w:t>3</w:t>
            </w:r>
          </w:p>
        </w:tc>
        <w:tc>
          <w:tcPr>
            <w:tcW w:w="1403" w:type="dxa"/>
          </w:tcPr>
          <w:p w14:paraId="2FC5796A" w14:textId="09325EA6" w:rsidR="00122032" w:rsidRPr="00E05B77" w:rsidRDefault="004A3EC8" w:rsidP="006F4B4F">
            <w:pPr>
              <w:pStyle w:val="Corpotesto"/>
              <w:ind w:firstLine="0"/>
              <w:jc w:val="center"/>
              <w:rPr>
                <w:sz w:val="18"/>
                <w:szCs w:val="18"/>
              </w:rPr>
            </w:pPr>
            <w:r w:rsidRPr="00E05B77">
              <w:rPr>
                <w:sz w:val="18"/>
                <w:szCs w:val="18"/>
              </w:rPr>
              <w:t>31 ± 1.0</w:t>
            </w:r>
          </w:p>
        </w:tc>
        <w:tc>
          <w:tcPr>
            <w:tcW w:w="1291" w:type="dxa"/>
          </w:tcPr>
          <w:p w14:paraId="45CF9313" w14:textId="15636FE0" w:rsidR="00122032" w:rsidRPr="00E05B77" w:rsidRDefault="004A3EC8" w:rsidP="006F4B4F">
            <w:pPr>
              <w:pStyle w:val="Corpotesto"/>
              <w:ind w:firstLine="0"/>
              <w:jc w:val="center"/>
              <w:rPr>
                <w:sz w:val="18"/>
                <w:szCs w:val="18"/>
              </w:rPr>
            </w:pPr>
            <w:r w:rsidRPr="00E05B77">
              <w:rPr>
                <w:sz w:val="18"/>
                <w:szCs w:val="18"/>
              </w:rPr>
              <w:t>12 ± 0.5</w:t>
            </w:r>
          </w:p>
        </w:tc>
        <w:tc>
          <w:tcPr>
            <w:tcW w:w="1291" w:type="dxa"/>
          </w:tcPr>
          <w:p w14:paraId="474A2940" w14:textId="5153A250" w:rsidR="00122032" w:rsidRPr="00E05B77" w:rsidRDefault="000C59C6" w:rsidP="006F4B4F">
            <w:pPr>
              <w:pStyle w:val="Corpotesto"/>
              <w:ind w:firstLine="0"/>
              <w:jc w:val="center"/>
              <w:rPr>
                <w:sz w:val="18"/>
                <w:szCs w:val="18"/>
              </w:rPr>
            </w:pPr>
            <w:r w:rsidRPr="00E05B77">
              <w:rPr>
                <w:sz w:val="18"/>
                <w:szCs w:val="18"/>
              </w:rPr>
              <w:t>25 ± 1.3</w:t>
            </w:r>
          </w:p>
        </w:tc>
      </w:tr>
      <w:tr w:rsidR="00122032" w:rsidRPr="00E05B77" w14:paraId="5B7E826D" w14:textId="77777777" w:rsidTr="0028596E">
        <w:trPr>
          <w:trHeight w:val="273"/>
          <w:jc w:val="center"/>
        </w:trPr>
        <w:tc>
          <w:tcPr>
            <w:tcW w:w="1402" w:type="dxa"/>
          </w:tcPr>
          <w:p w14:paraId="0426ED54" w14:textId="34000B7B" w:rsidR="00122032" w:rsidRPr="00E05B77" w:rsidRDefault="007E2ABC" w:rsidP="006F4B4F">
            <w:pPr>
              <w:pStyle w:val="Corpotesto"/>
              <w:ind w:firstLine="0"/>
              <w:rPr>
                <w:sz w:val="18"/>
                <w:szCs w:val="18"/>
                <w:vertAlign w:val="subscript"/>
              </w:rPr>
            </w:pPr>
            <w:r w:rsidRPr="00E05B77">
              <w:rPr>
                <w:sz w:val="18"/>
                <w:szCs w:val="18"/>
              </w:rPr>
              <w:t>0.3 M Ca</w:t>
            </w:r>
            <w:r w:rsidRPr="00E05B77">
              <w:rPr>
                <w:sz w:val="18"/>
                <w:szCs w:val="18"/>
                <w:vertAlign w:val="subscript"/>
              </w:rPr>
              <w:t>2</w:t>
            </w:r>
            <w:r w:rsidRPr="00E05B77">
              <w:rPr>
                <w:sz w:val="18"/>
                <w:szCs w:val="18"/>
              </w:rPr>
              <w:t>P</w:t>
            </w:r>
            <w:r w:rsidRPr="00E05B77">
              <w:rPr>
                <w:sz w:val="18"/>
                <w:szCs w:val="18"/>
                <w:vertAlign w:val="subscript"/>
              </w:rPr>
              <w:t>2</w:t>
            </w:r>
            <w:r w:rsidRPr="00E05B77">
              <w:rPr>
                <w:sz w:val="18"/>
                <w:szCs w:val="18"/>
              </w:rPr>
              <w:t>O</w:t>
            </w:r>
            <w:r w:rsidRPr="00E05B77">
              <w:rPr>
                <w:sz w:val="18"/>
                <w:szCs w:val="18"/>
                <w:vertAlign w:val="subscript"/>
              </w:rPr>
              <w:t>7</w:t>
            </w:r>
          </w:p>
        </w:tc>
        <w:tc>
          <w:tcPr>
            <w:tcW w:w="1403" w:type="dxa"/>
          </w:tcPr>
          <w:p w14:paraId="646B5B59" w14:textId="3EAD6AEE" w:rsidR="00122032" w:rsidRPr="00E05B77" w:rsidRDefault="004F5837" w:rsidP="006F4B4F">
            <w:pPr>
              <w:pStyle w:val="Corpotesto"/>
              <w:ind w:firstLine="0"/>
              <w:jc w:val="center"/>
              <w:rPr>
                <w:sz w:val="18"/>
                <w:szCs w:val="18"/>
              </w:rPr>
            </w:pPr>
            <w:r w:rsidRPr="00E05B77">
              <w:rPr>
                <w:sz w:val="18"/>
                <w:szCs w:val="18"/>
              </w:rPr>
              <w:t>42</w:t>
            </w:r>
            <w:r w:rsidR="007E2ABC" w:rsidRPr="00E05B77">
              <w:rPr>
                <w:sz w:val="18"/>
                <w:szCs w:val="18"/>
              </w:rPr>
              <w:t xml:space="preserve"> ± 1.</w:t>
            </w:r>
            <w:r w:rsidRPr="00E05B77">
              <w:rPr>
                <w:sz w:val="18"/>
                <w:szCs w:val="18"/>
              </w:rPr>
              <w:t>2</w:t>
            </w:r>
          </w:p>
        </w:tc>
        <w:tc>
          <w:tcPr>
            <w:tcW w:w="1403" w:type="dxa"/>
          </w:tcPr>
          <w:p w14:paraId="059C4924" w14:textId="7FA44DDB" w:rsidR="00122032" w:rsidRPr="00E05B77" w:rsidRDefault="004F5837" w:rsidP="006F4B4F">
            <w:pPr>
              <w:pStyle w:val="Corpotesto"/>
              <w:ind w:firstLine="0"/>
              <w:jc w:val="center"/>
              <w:rPr>
                <w:sz w:val="18"/>
                <w:szCs w:val="18"/>
              </w:rPr>
            </w:pPr>
            <w:r w:rsidRPr="00E05B77">
              <w:rPr>
                <w:sz w:val="18"/>
                <w:szCs w:val="18"/>
              </w:rPr>
              <w:t>44 ± 1.5</w:t>
            </w:r>
          </w:p>
        </w:tc>
        <w:tc>
          <w:tcPr>
            <w:tcW w:w="1291" w:type="dxa"/>
          </w:tcPr>
          <w:p w14:paraId="57AE9B74" w14:textId="50253E9A" w:rsidR="00122032" w:rsidRPr="00E05B77" w:rsidRDefault="00D161EE" w:rsidP="006F4B4F">
            <w:pPr>
              <w:pStyle w:val="Corpotesto"/>
              <w:ind w:firstLine="0"/>
              <w:jc w:val="center"/>
              <w:rPr>
                <w:sz w:val="18"/>
                <w:szCs w:val="18"/>
              </w:rPr>
            </w:pPr>
            <w:r w:rsidRPr="00E05B77">
              <w:rPr>
                <w:sz w:val="18"/>
                <w:szCs w:val="18"/>
              </w:rPr>
              <w:t>13 ± 0.8</w:t>
            </w:r>
          </w:p>
        </w:tc>
        <w:tc>
          <w:tcPr>
            <w:tcW w:w="1291" w:type="dxa"/>
          </w:tcPr>
          <w:p w14:paraId="608EA5E1" w14:textId="734C2934" w:rsidR="00122032" w:rsidRPr="00E05B77" w:rsidRDefault="00E75AA3" w:rsidP="006F4B4F">
            <w:pPr>
              <w:pStyle w:val="Corpotesto"/>
              <w:ind w:firstLine="0"/>
              <w:jc w:val="center"/>
              <w:rPr>
                <w:sz w:val="18"/>
                <w:szCs w:val="18"/>
              </w:rPr>
            </w:pPr>
            <w:r w:rsidRPr="00E05B77">
              <w:rPr>
                <w:sz w:val="18"/>
                <w:szCs w:val="18"/>
              </w:rPr>
              <w:t xml:space="preserve">47 ± </w:t>
            </w:r>
            <w:r w:rsidR="00743615" w:rsidRPr="00E05B77">
              <w:rPr>
                <w:sz w:val="18"/>
                <w:szCs w:val="18"/>
              </w:rPr>
              <w:t>0</w:t>
            </w:r>
            <w:r w:rsidRPr="00E05B77">
              <w:rPr>
                <w:sz w:val="18"/>
                <w:szCs w:val="18"/>
              </w:rPr>
              <w:t>.</w:t>
            </w:r>
            <w:r w:rsidR="00743615" w:rsidRPr="00E05B77">
              <w:rPr>
                <w:sz w:val="18"/>
                <w:szCs w:val="18"/>
              </w:rPr>
              <w:t>9</w:t>
            </w:r>
          </w:p>
        </w:tc>
      </w:tr>
    </w:tbl>
    <w:p w14:paraId="04949D5B" w14:textId="2F348619" w:rsidR="00C557DE" w:rsidRPr="002079A4" w:rsidRDefault="00C557DE" w:rsidP="0028596E">
      <w:pPr>
        <w:pStyle w:val="Corpotesto"/>
        <w:ind w:firstLine="0"/>
        <w:rPr>
          <w:lang w:val="en-US"/>
        </w:rPr>
      </w:pPr>
    </w:p>
    <w:p w14:paraId="4DC196F4" w14:textId="0E79849C" w:rsidR="00C557DE" w:rsidRDefault="00355D2E" w:rsidP="000336DE">
      <w:pPr>
        <w:pStyle w:val="Titolo3"/>
      </w:pPr>
      <w:r>
        <w:t>Setup changes and multi</w:t>
      </w:r>
      <w:r w:rsidR="00DE1721">
        <w:t>stage configuration</w:t>
      </w:r>
    </w:p>
    <w:p w14:paraId="15A45D77" w14:textId="77777777" w:rsidR="00E71CE9" w:rsidRDefault="001417F0" w:rsidP="00545911">
      <w:pPr>
        <w:pStyle w:val="Corpotesto"/>
      </w:pPr>
      <w:r w:rsidRPr="00F41987">
        <w:t>Focused improvement of the decontamination yields is</w:t>
      </w:r>
      <w:r w:rsidR="007634A9">
        <w:t xml:space="preserve"> being</w:t>
      </w:r>
      <w:r w:rsidRPr="00F41987">
        <w:t xml:space="preserve"> carried out by tuning the concentration of the co-precipitation agents and investigating</w:t>
      </w:r>
      <w:r w:rsidR="00674962">
        <w:t xml:space="preserve"> new experimental set</w:t>
      </w:r>
      <w:r w:rsidRPr="00F41987">
        <w:t>up</w:t>
      </w:r>
      <w:r w:rsidR="00674962">
        <w:t xml:space="preserve">s by </w:t>
      </w:r>
      <w:r w:rsidR="00D339A6">
        <w:t>changing</w:t>
      </w:r>
      <w:r w:rsidR="00674962">
        <w:t xml:space="preserve"> the solution volume or managing </w:t>
      </w:r>
      <w:r w:rsidRPr="00F41987">
        <w:t>more electrochemical precipitation stages.</w:t>
      </w:r>
      <w:r w:rsidR="0098529B">
        <w:t xml:space="preserve"> </w:t>
      </w:r>
      <w:r w:rsidR="00E863DE">
        <w:t xml:space="preserve">In the </w:t>
      </w:r>
      <w:r w:rsidR="0098529B">
        <w:t xml:space="preserve">same </w:t>
      </w:r>
      <w:r w:rsidR="00E863DE" w:rsidRPr="000F1919">
        <w:t>cell configuration</w:t>
      </w:r>
      <w:r w:rsidR="002F5F4C">
        <w:t xml:space="preserve">, </w:t>
      </w:r>
      <w:r w:rsidR="00782596">
        <w:t>more experiments have been</w:t>
      </w:r>
      <w:r w:rsidR="00C07308">
        <w:t xml:space="preserve"> recently</w:t>
      </w:r>
      <w:r w:rsidR="00782596">
        <w:t xml:space="preserve"> performed by </w:t>
      </w:r>
      <w:r w:rsidR="00674962">
        <w:t>using 200</w:t>
      </w:r>
      <w:r w:rsidR="008B553D">
        <w:t xml:space="preserve"> mL </w:t>
      </w:r>
      <w:r w:rsidR="00450A8B">
        <w:t>of ferric solution</w:t>
      </w:r>
      <w:r w:rsidR="00E03203">
        <w:t>.</w:t>
      </w:r>
      <w:r w:rsidR="0051049B">
        <w:t xml:space="preserve"> </w:t>
      </w:r>
      <w:r w:rsidR="001E131F">
        <w:t xml:space="preserve">Given the </w:t>
      </w:r>
      <w:r w:rsidR="00500BC0">
        <w:t>results of</w:t>
      </w:r>
      <w:r w:rsidR="005F4E6D">
        <w:t xml:space="preserve"> the</w:t>
      </w:r>
      <w:r w:rsidR="00500BC0">
        <w:t xml:space="preserve"> first </w:t>
      </w:r>
      <w:r w:rsidR="00DB275F">
        <w:t xml:space="preserve">experiments, </w:t>
      </w:r>
      <w:r w:rsidR="009055C3" w:rsidRPr="00F41987">
        <w:t>BaSO</w:t>
      </w:r>
      <w:r w:rsidR="009055C3" w:rsidRPr="00BF6F60">
        <w:rPr>
          <w:vertAlign w:val="subscript"/>
        </w:rPr>
        <w:t>4</w:t>
      </w:r>
      <w:r w:rsidR="002B181F">
        <w:t xml:space="preserve"> </w:t>
      </w:r>
      <w:r w:rsidR="00980223">
        <w:t>has been left out</w:t>
      </w:r>
      <w:r w:rsidR="005440F7">
        <w:t xml:space="preserve"> because of</w:t>
      </w:r>
      <w:r w:rsidR="00A63266">
        <w:t xml:space="preserve"> its</w:t>
      </w:r>
      <w:r w:rsidR="005440F7">
        <w:t xml:space="preserve"> similar decontamination efficiency </w:t>
      </w:r>
      <w:r w:rsidR="00A63266">
        <w:t xml:space="preserve">with </w:t>
      </w:r>
      <w:r w:rsidR="00F31CF7" w:rsidRPr="00F31CF7">
        <w:t>Ca</w:t>
      </w:r>
      <w:r w:rsidR="00F31CF7" w:rsidRPr="008633B9">
        <w:rPr>
          <w:vertAlign w:val="subscript"/>
        </w:rPr>
        <w:t>2</w:t>
      </w:r>
      <w:r w:rsidR="00F31CF7" w:rsidRPr="00F31CF7">
        <w:t>P</w:t>
      </w:r>
      <w:r w:rsidR="00F31CF7" w:rsidRPr="008633B9">
        <w:rPr>
          <w:vertAlign w:val="subscript"/>
        </w:rPr>
        <w:t>2</w:t>
      </w:r>
      <w:r w:rsidR="00F31CF7" w:rsidRPr="00F31CF7">
        <w:t>O</w:t>
      </w:r>
      <w:r w:rsidR="00F31CF7" w:rsidRPr="008633B9">
        <w:rPr>
          <w:vertAlign w:val="subscript"/>
        </w:rPr>
        <w:t>7</w:t>
      </w:r>
      <w:r w:rsidR="00E03203">
        <w:t>;</w:t>
      </w:r>
      <w:r w:rsidR="00D73BE6">
        <w:t xml:space="preserve"> </w:t>
      </w:r>
      <w:r w:rsidR="00E03203">
        <w:t xml:space="preserve">what is more, its </w:t>
      </w:r>
      <w:r w:rsidR="0036302D">
        <w:t xml:space="preserve">structure </w:t>
      </w:r>
      <w:r w:rsidR="00C824A8">
        <w:t>may be</w:t>
      </w:r>
      <w:r w:rsidR="00E03203">
        <w:t xml:space="preserve"> less</w:t>
      </w:r>
      <w:r w:rsidR="003E23DD">
        <w:t xml:space="preserve"> suitable</w:t>
      </w:r>
      <w:r w:rsidR="00D10256">
        <w:t xml:space="preserve"> than phosphate compounds</w:t>
      </w:r>
      <w:r w:rsidR="003E23DD">
        <w:t xml:space="preserve"> for the</w:t>
      </w:r>
      <w:r w:rsidR="00483DCF">
        <w:t xml:space="preserve"> final vitrification step</w:t>
      </w:r>
      <w:r w:rsidR="002B6FFA">
        <w:t xml:space="preserve"> </w:t>
      </w:r>
      <w:r w:rsidR="0045436E">
        <w:t>to produce a</w:t>
      </w:r>
      <w:r w:rsidR="00C231C3">
        <w:t xml:space="preserve">n iron phosphate glass </w:t>
      </w:r>
      <w:proofErr w:type="spellStart"/>
      <w:r w:rsidR="00C231C3">
        <w:t>wasteform</w:t>
      </w:r>
      <w:proofErr w:type="spellEnd"/>
      <w:r w:rsidR="00C231C3" w:rsidRPr="00794BCC">
        <w:t>.</w:t>
      </w:r>
      <w:r w:rsidR="00A923BF" w:rsidRPr="00794BCC">
        <w:t>[</w:t>
      </w:r>
      <w:r w:rsidR="00D6036A" w:rsidRPr="00794BCC">
        <w:t>6</w:t>
      </w:r>
      <w:r w:rsidR="00A923BF" w:rsidRPr="00794BCC">
        <w:t>]</w:t>
      </w:r>
      <w:r w:rsidR="00F70CB3">
        <w:t xml:space="preserve"> Besides, </w:t>
      </w:r>
      <w:r w:rsidR="00D10256">
        <w:t xml:space="preserve">only the most promising </w:t>
      </w:r>
      <w:r w:rsidR="00D10256" w:rsidRPr="00966563">
        <w:t>Ca</w:t>
      </w:r>
      <w:r w:rsidR="00D10256" w:rsidRPr="00966563">
        <w:rPr>
          <w:vertAlign w:val="subscript"/>
        </w:rPr>
        <w:t>3</w:t>
      </w:r>
      <w:r w:rsidR="00D10256" w:rsidRPr="00966563">
        <w:t>(PO</w:t>
      </w:r>
      <w:r w:rsidR="00D10256" w:rsidRPr="00966563">
        <w:rPr>
          <w:vertAlign w:val="subscript"/>
        </w:rPr>
        <w:t>4</w:t>
      </w:r>
      <w:r w:rsidR="00D10256" w:rsidRPr="00966563">
        <w:t>)</w:t>
      </w:r>
      <w:r w:rsidR="00D10256" w:rsidRPr="00966563">
        <w:rPr>
          <w:vertAlign w:val="subscript"/>
        </w:rPr>
        <w:t>2</w:t>
      </w:r>
      <w:r w:rsidR="00D10256">
        <w:rPr>
          <w:vertAlign w:val="subscript"/>
        </w:rPr>
        <w:t xml:space="preserve"> </w:t>
      </w:r>
      <w:r w:rsidR="00D10256">
        <w:t>compound at concentration of 0.2 M has been chosen for the new experiments</w:t>
      </w:r>
      <w:r w:rsidR="00C85E88">
        <w:t xml:space="preserve"> conducted at</w:t>
      </w:r>
      <w:r w:rsidR="00D10256">
        <w:t xml:space="preserve"> larger volumes.</w:t>
      </w:r>
      <w:r w:rsidR="00353083">
        <w:t xml:space="preserve"> No remarkable </w:t>
      </w:r>
      <w:r w:rsidR="009B177E">
        <w:t xml:space="preserve">decontamination yields </w:t>
      </w:r>
      <w:r w:rsidR="00913333">
        <w:t xml:space="preserve">have been </w:t>
      </w:r>
      <w:r w:rsidR="00A10809">
        <w:t>found for Co, Ni and Sr</w:t>
      </w:r>
      <w:r w:rsidR="0060609D">
        <w:t xml:space="preserve">, while better results have been </w:t>
      </w:r>
      <w:r w:rsidR="007E0C1D">
        <w:t xml:space="preserve">obtained for Cs </w:t>
      </w:r>
      <w:r w:rsidR="004C15C8">
        <w:t>(</w:t>
      </w:r>
      <w:r w:rsidR="003248EE" w:rsidRPr="003248EE">
        <w:t>~ 100% of initial contamination</w:t>
      </w:r>
      <w:r w:rsidR="003248EE">
        <w:t>)</w:t>
      </w:r>
      <w:r w:rsidR="0026430C">
        <w:t xml:space="preserve"> as shown in Figure 4.</w:t>
      </w:r>
      <w:r w:rsidR="003F54F3">
        <w:t xml:space="preserve"> </w:t>
      </w:r>
      <w:r w:rsidR="004A02B2">
        <w:t>Concerning the separated solid phase, about 1</w:t>
      </w:r>
      <w:r w:rsidR="00C40747">
        <w:t>35</w:t>
      </w:r>
      <w:r w:rsidR="004A02B2">
        <w:t xml:space="preserve"> g of wet sludge have been obtained thereby achieving a high</w:t>
      </w:r>
      <w:r w:rsidR="00044CE5">
        <w:t xml:space="preserve"> precipitation</w:t>
      </w:r>
      <w:r w:rsidR="004A02B2">
        <w:t xml:space="preserve"> yield of 0.</w:t>
      </w:r>
      <w:r w:rsidR="003F54F3">
        <w:t>5</w:t>
      </w:r>
      <w:r w:rsidR="004A02B2">
        <w:t>. In addition, a</w:t>
      </w:r>
      <w:r w:rsidR="004459DD">
        <w:t xml:space="preserve"> heavy and heterogeneous blackish</w:t>
      </w:r>
      <w:r w:rsidR="004A02B2">
        <w:t xml:space="preserve"> residue</w:t>
      </w:r>
      <w:r w:rsidR="004459DD">
        <w:t xml:space="preserve"> of about 30 g has been found at the bottom of the precipitation cell</w:t>
      </w:r>
      <w:r w:rsidR="001538AE">
        <w:t xml:space="preserve"> and it</w:t>
      </w:r>
      <w:r w:rsidR="007747C0">
        <w:t xml:space="preserve"> has been</w:t>
      </w:r>
      <w:r w:rsidR="00B4211A">
        <w:t xml:space="preserve"> partially</w:t>
      </w:r>
      <w:r w:rsidR="000216B5">
        <w:t xml:space="preserve"> identified </w:t>
      </w:r>
      <w:r w:rsidR="00D41CA0">
        <w:t>as strontium phosphate by XRD spectroscopy.</w:t>
      </w:r>
      <w:r w:rsidR="001538AE">
        <w:t xml:space="preserve"> </w:t>
      </w:r>
      <w:r w:rsidR="00FC59E5">
        <w:t xml:space="preserve">The </w:t>
      </w:r>
      <w:r w:rsidR="00FF1C87">
        <w:t xml:space="preserve">volume configuration </w:t>
      </w:r>
      <w:r w:rsidR="00F716EB">
        <w:t>of</w:t>
      </w:r>
      <w:r w:rsidR="00FF1C87">
        <w:t xml:space="preserve"> 240 mL has shown </w:t>
      </w:r>
      <w:r w:rsidR="00F716EB">
        <w:t xml:space="preserve">a similar behaviour of </w:t>
      </w:r>
      <w:r w:rsidR="00F716EB" w:rsidRPr="00966563">
        <w:t>Ca</w:t>
      </w:r>
      <w:r w:rsidR="00F716EB" w:rsidRPr="00966563">
        <w:rPr>
          <w:vertAlign w:val="subscript"/>
        </w:rPr>
        <w:t>3</w:t>
      </w:r>
      <w:r w:rsidR="00F716EB" w:rsidRPr="00966563">
        <w:t>(PO</w:t>
      </w:r>
      <w:r w:rsidR="00F716EB" w:rsidRPr="00966563">
        <w:rPr>
          <w:vertAlign w:val="subscript"/>
        </w:rPr>
        <w:t>4</w:t>
      </w:r>
      <w:r w:rsidR="00F716EB" w:rsidRPr="00966563">
        <w:t>)</w:t>
      </w:r>
      <w:r w:rsidR="00F716EB" w:rsidRPr="00966563">
        <w:rPr>
          <w:vertAlign w:val="subscript"/>
        </w:rPr>
        <w:t>2</w:t>
      </w:r>
      <w:r w:rsidR="00F716EB">
        <w:rPr>
          <w:vertAlign w:val="subscript"/>
        </w:rPr>
        <w:t xml:space="preserve"> </w:t>
      </w:r>
      <w:r w:rsidR="00751375">
        <w:t>compound</w:t>
      </w:r>
      <w:r w:rsidR="00042A9E">
        <w:t xml:space="preserve"> </w:t>
      </w:r>
      <w:r w:rsidR="00391BF3">
        <w:t>during the process.</w:t>
      </w:r>
    </w:p>
    <w:p w14:paraId="6C2430B8" w14:textId="7A683092" w:rsidR="00B75A49" w:rsidRDefault="00545911" w:rsidP="0027696E">
      <w:pPr>
        <w:pStyle w:val="Corpotesto"/>
      </w:pPr>
      <w:r>
        <w:t>Finally</w:t>
      </w:r>
      <w:r w:rsidRPr="0027696E">
        <w:t>,</w:t>
      </w:r>
      <w:r w:rsidR="001A129E" w:rsidRPr="0027696E">
        <w:t xml:space="preserve"> the geometry adopted for</w:t>
      </w:r>
      <w:r w:rsidR="00EB1B26" w:rsidRPr="0027696E">
        <w:t xml:space="preserve"> </w:t>
      </w:r>
      <w:r w:rsidRPr="0027696E">
        <w:t>12</w:t>
      </w:r>
      <w:r w:rsidR="00C032C0" w:rsidRPr="0027696E">
        <w:t>0 mL of ferric solution</w:t>
      </w:r>
      <w:r w:rsidR="002A7FE8" w:rsidRPr="0027696E">
        <w:t xml:space="preserve"> </w:t>
      </w:r>
      <w:r w:rsidR="0081201D" w:rsidRPr="0027696E">
        <w:t>provide</w:t>
      </w:r>
      <w:r w:rsidR="006F75A6" w:rsidRPr="0027696E">
        <w:t>s</w:t>
      </w:r>
      <w:r w:rsidR="005136A2" w:rsidRPr="0027696E">
        <w:t xml:space="preserve"> an optimal cell configuration</w:t>
      </w:r>
      <w:r w:rsidR="00C032C0" w:rsidRPr="0027696E">
        <w:t xml:space="preserve"> </w:t>
      </w:r>
      <w:r w:rsidR="00B75A49" w:rsidRPr="0027696E">
        <w:t>t</w:t>
      </w:r>
      <w:r w:rsidR="00B75A49">
        <w:t>o minimize the concentration of contaminants in the supernatant</w:t>
      </w:r>
      <w:r w:rsidR="005935CC">
        <w:t xml:space="preserve"> as depicted in Figure 4.</w:t>
      </w:r>
      <w:r w:rsidR="003D2D13">
        <w:t xml:space="preserve"> </w:t>
      </w:r>
      <w:r w:rsidR="00C85C22">
        <w:t>Perhaps</w:t>
      </w:r>
      <w:r w:rsidR="003D2D13">
        <w:t>,</w:t>
      </w:r>
      <w:r w:rsidR="00401C64">
        <w:t xml:space="preserve"> the</w:t>
      </w:r>
      <w:r w:rsidR="00E21507">
        <w:t xml:space="preserve"> variation of the</w:t>
      </w:r>
      <w:r w:rsidR="00401C64">
        <w:t xml:space="preserve"> </w:t>
      </w:r>
      <w:r w:rsidR="00125AED">
        <w:t xml:space="preserve">electrochemically </w:t>
      </w:r>
      <w:r w:rsidR="00C56ACF">
        <w:t>active surface of the electrodes</w:t>
      </w:r>
      <w:r w:rsidR="00CD1269">
        <w:t xml:space="preserve"> at larger solution volumes</w:t>
      </w:r>
      <w:r w:rsidR="003F7B49">
        <w:t xml:space="preserve"> result</w:t>
      </w:r>
      <w:r w:rsidR="0027696E">
        <w:t xml:space="preserve">s in a lower decontamination yield. </w:t>
      </w:r>
      <w:r w:rsidR="00B0799E">
        <w:t xml:space="preserve">Nevertheless, </w:t>
      </w:r>
      <w:r w:rsidR="00755E7D">
        <w:t>the relat</w:t>
      </w:r>
      <w:r w:rsidR="00F25929">
        <w:t>ive position of the</w:t>
      </w:r>
      <w:r w:rsidR="00CF2C9C">
        <w:t xml:space="preserve"> same</w:t>
      </w:r>
      <w:r w:rsidR="00F25929">
        <w:t xml:space="preserve"> electrodes </w:t>
      </w:r>
      <w:r w:rsidR="00392325">
        <w:t>in the cell</w:t>
      </w:r>
      <w:r w:rsidR="0087663D">
        <w:t xml:space="preserve"> (distance from th</w:t>
      </w:r>
      <w:r w:rsidR="00DF207D">
        <w:t>e walls</w:t>
      </w:r>
      <w:r w:rsidR="0013611A">
        <w:t>)</w:t>
      </w:r>
      <w:r w:rsidR="00B96F78">
        <w:t xml:space="preserve">, </w:t>
      </w:r>
      <w:r w:rsidR="00CC3AD8">
        <w:t>depth of</w:t>
      </w:r>
      <w:r w:rsidR="0013611A">
        <w:t xml:space="preserve"> </w:t>
      </w:r>
      <w:r w:rsidR="00DA457E">
        <w:t>immersion</w:t>
      </w:r>
      <w:r w:rsidR="007907D6">
        <w:t xml:space="preserve"> into the solution</w:t>
      </w:r>
      <w:r w:rsidR="00B96F78">
        <w:t xml:space="preserve"> and</w:t>
      </w:r>
      <w:r w:rsidR="00944E6B">
        <w:t xml:space="preserve"> cell</w:t>
      </w:r>
      <w:r w:rsidR="00B96F78">
        <w:t xml:space="preserve"> geometry </w:t>
      </w:r>
      <w:r w:rsidR="00445FDE">
        <w:t xml:space="preserve">are being further optimized </w:t>
      </w:r>
      <w:r w:rsidR="00CF2C9C">
        <w:t xml:space="preserve">to </w:t>
      </w:r>
      <w:r w:rsidR="00B20558">
        <w:t>improve</w:t>
      </w:r>
      <w:r w:rsidR="001C4C96">
        <w:t xml:space="preserve"> the</w:t>
      </w:r>
      <w:r w:rsidR="00843236">
        <w:t xml:space="preserve"> </w:t>
      </w:r>
      <w:r w:rsidR="00DB0494">
        <w:t xml:space="preserve">decontamination yield </w:t>
      </w:r>
      <w:r w:rsidR="00DC0612">
        <w:t>at larger volumes</w:t>
      </w:r>
      <w:r w:rsidR="00806362">
        <w:t xml:space="preserve"> with </w:t>
      </w:r>
      <w:r w:rsidR="00E1321B">
        <w:t>the addition of a coprecipitation agent as well.</w:t>
      </w:r>
      <w:r w:rsidR="00DC0612">
        <w:t xml:space="preserve"> </w:t>
      </w:r>
    </w:p>
    <w:p w14:paraId="6A02CFB6" w14:textId="77777777" w:rsidR="00535CED" w:rsidRPr="001A05B1" w:rsidRDefault="00535CED" w:rsidP="001A05B1">
      <w:pPr>
        <w:pStyle w:val="Corpotesto"/>
        <w:rPr>
          <w:highlight w:val="yellow"/>
        </w:rPr>
      </w:pPr>
    </w:p>
    <w:p w14:paraId="28AED169" w14:textId="35000921" w:rsidR="00C557DE" w:rsidRDefault="00C557DE" w:rsidP="000B4D6A">
      <w:pPr>
        <w:pStyle w:val="Corpotesto"/>
        <w:ind w:firstLine="0"/>
      </w:pPr>
    </w:p>
    <w:p w14:paraId="274950E2" w14:textId="2B417C8B" w:rsidR="002E5A4F" w:rsidRDefault="00747E82" w:rsidP="006B6673">
      <w:pPr>
        <w:pStyle w:val="Corpotesto"/>
        <w:ind w:firstLine="0"/>
        <w:jc w:val="center"/>
      </w:pPr>
      <w:r>
        <w:rPr>
          <w:noProof/>
        </w:rPr>
        <w:drawing>
          <wp:inline distT="0" distB="0" distL="0" distR="0" wp14:anchorId="3B593983" wp14:editId="6CD53623">
            <wp:extent cx="4163389" cy="2546145"/>
            <wp:effectExtent l="0" t="0" r="889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3718" cy="2564693"/>
                    </a:xfrm>
                    <a:prstGeom prst="rect">
                      <a:avLst/>
                    </a:prstGeom>
                    <a:noFill/>
                  </pic:spPr>
                </pic:pic>
              </a:graphicData>
            </a:graphic>
          </wp:inline>
        </w:drawing>
      </w:r>
    </w:p>
    <w:p w14:paraId="12AE3D54" w14:textId="7DC0CA4D" w:rsidR="002E5A4F" w:rsidRDefault="002E5A4F" w:rsidP="000A2990">
      <w:pPr>
        <w:pStyle w:val="Corpotesto"/>
      </w:pPr>
    </w:p>
    <w:p w14:paraId="5E9AC9D0" w14:textId="679E1A66" w:rsidR="006B6673" w:rsidRDefault="006B6673" w:rsidP="006B6673">
      <w:pPr>
        <w:pStyle w:val="Didascalia"/>
        <w:jc w:val="center"/>
        <w:rPr>
          <w:i/>
        </w:rPr>
      </w:pPr>
      <w:r w:rsidRPr="00794BCC">
        <w:rPr>
          <w:i/>
        </w:rPr>
        <w:t>FIG.4 P</w:t>
      </w:r>
      <w:r>
        <w:rPr>
          <w:i/>
        </w:rPr>
        <w:t>ercentage of contaminants in the supernatant at different volume configuration</w:t>
      </w:r>
      <w:r w:rsidR="00A420DA">
        <w:rPr>
          <w:i/>
        </w:rPr>
        <w:t>s after the addition of</w:t>
      </w:r>
      <w:r>
        <w:rPr>
          <w:i/>
        </w:rPr>
        <w:t xml:space="preserve"> 0.2 M Ca</w:t>
      </w:r>
      <w:r w:rsidRPr="006B6673">
        <w:rPr>
          <w:i/>
          <w:vertAlign w:val="subscript"/>
        </w:rPr>
        <w:t>3</w:t>
      </w:r>
      <w:r>
        <w:rPr>
          <w:i/>
        </w:rPr>
        <w:t>(PO</w:t>
      </w:r>
      <w:r w:rsidRPr="006B6673">
        <w:rPr>
          <w:i/>
          <w:vertAlign w:val="subscript"/>
        </w:rPr>
        <w:t>4</w:t>
      </w:r>
      <w:r>
        <w:rPr>
          <w:i/>
        </w:rPr>
        <w:t>)</w:t>
      </w:r>
      <w:r w:rsidRPr="006B6673">
        <w:rPr>
          <w:i/>
          <w:vertAlign w:val="subscript"/>
        </w:rPr>
        <w:t>2</w:t>
      </w:r>
      <w:r>
        <w:rPr>
          <w:i/>
        </w:rPr>
        <w:t xml:space="preserve"> </w:t>
      </w:r>
    </w:p>
    <w:p w14:paraId="192BDB39" w14:textId="679E1A66" w:rsidR="00C37BEB" w:rsidRPr="00B77705" w:rsidRDefault="00803F9F" w:rsidP="000106CF">
      <w:pPr>
        <w:pStyle w:val="Corpotesto"/>
      </w:pPr>
      <w:r>
        <w:lastRenderedPageBreak/>
        <w:t>Pointing at</w:t>
      </w:r>
      <w:r w:rsidR="00BE444E" w:rsidRPr="007B0EDB">
        <w:t xml:space="preserve"> a closed</w:t>
      </w:r>
      <w:r w:rsidR="00D17C85" w:rsidRPr="007B0EDB">
        <w:t xml:space="preserve">-loop of the PHADEC-based process, the phosphoric acid solution </w:t>
      </w:r>
      <w:r w:rsidR="00D13AE2">
        <w:t>needs</w:t>
      </w:r>
      <w:r w:rsidR="00D17C85" w:rsidRPr="007B0EDB">
        <w:t xml:space="preserve"> to be recycled and reused. </w:t>
      </w:r>
      <w:r w:rsidR="00EA117D" w:rsidRPr="007B0EDB">
        <w:t>To this purpose</w:t>
      </w:r>
      <w:r w:rsidR="00663367" w:rsidRPr="007B0EDB">
        <w:t>, the approach of</w:t>
      </w:r>
      <w:r w:rsidR="001A584D" w:rsidRPr="007B0EDB">
        <w:t xml:space="preserve"> multi</w:t>
      </w:r>
      <w:r w:rsidR="00F477BA" w:rsidRPr="007B0EDB">
        <w:t>stage decontamination is being investigated.</w:t>
      </w:r>
      <w:r w:rsidR="00CA3560" w:rsidRPr="007B0EDB">
        <w:t xml:space="preserve"> The process involves two stages of electrochemical precipitation</w:t>
      </w:r>
      <w:r w:rsidR="000E7FAC" w:rsidRPr="007B0EDB">
        <w:t xml:space="preserve"> o</w:t>
      </w:r>
      <w:r w:rsidR="00317002" w:rsidRPr="007B0EDB">
        <w:t>n</w:t>
      </w:r>
      <w:r w:rsidR="003444A2" w:rsidRPr="007B0EDB">
        <w:t xml:space="preserve">: </w:t>
      </w:r>
      <w:proofErr w:type="spellStart"/>
      <w:r w:rsidR="003444A2" w:rsidRPr="007B0EDB">
        <w:t>i</w:t>
      </w:r>
      <w:proofErr w:type="spellEnd"/>
      <w:r w:rsidR="003444A2" w:rsidRPr="007B0EDB">
        <w:t xml:space="preserve">) </w:t>
      </w:r>
      <w:r w:rsidR="000E7FAC" w:rsidRPr="007B0EDB">
        <w:t>ferric solution as it is</w:t>
      </w:r>
      <w:r w:rsidR="00451458" w:rsidRPr="007B0EDB">
        <w:t xml:space="preserve"> and ii) resulting </w:t>
      </w:r>
      <w:r w:rsidR="00795598" w:rsidRPr="007B0EDB">
        <w:t>supernatant</w:t>
      </w:r>
      <w:r w:rsidR="00246B21" w:rsidRPr="007B0EDB">
        <w:t xml:space="preserve"> after adding a co-precipita</w:t>
      </w:r>
      <w:r w:rsidR="008F1C16" w:rsidRPr="007B0EDB">
        <w:t xml:space="preserve">tion agent. </w:t>
      </w:r>
      <w:r w:rsidR="00875E11" w:rsidRPr="007B0EDB">
        <w:t xml:space="preserve">The addition </w:t>
      </w:r>
      <w:r w:rsidR="00DB1A50" w:rsidRPr="007B0EDB">
        <w:t>of a</w:t>
      </w:r>
      <w:r w:rsidR="00A52203" w:rsidRPr="007B0EDB">
        <w:t xml:space="preserve"> particular</w:t>
      </w:r>
      <w:r w:rsidR="00DB1A50" w:rsidRPr="007B0EDB">
        <w:t xml:space="preserve"> co-precipitant </w:t>
      </w:r>
      <w:r w:rsidR="00B36457" w:rsidRPr="007B0EDB">
        <w:t>t</w:t>
      </w:r>
      <w:r w:rsidR="00DB1A50" w:rsidRPr="007B0EDB">
        <w:t>o a supernatant</w:t>
      </w:r>
      <w:r w:rsidR="00F10FE3" w:rsidRPr="007B0EDB">
        <w:t xml:space="preserve"> instead of a ferric </w:t>
      </w:r>
      <w:r w:rsidR="00DB1A50" w:rsidRPr="007B0EDB">
        <w:t xml:space="preserve">solution </w:t>
      </w:r>
      <w:r w:rsidR="00E75647" w:rsidRPr="007B0EDB">
        <w:t xml:space="preserve">might </w:t>
      </w:r>
      <w:r w:rsidR="009E5321" w:rsidRPr="007B0EDB">
        <w:t xml:space="preserve">further promote </w:t>
      </w:r>
      <w:r w:rsidR="00A12511" w:rsidRPr="007B0EDB">
        <w:t xml:space="preserve">contaminants precipitation and </w:t>
      </w:r>
      <w:r w:rsidR="00CA21BA" w:rsidRPr="007B0EDB">
        <w:t xml:space="preserve">enhance the final decontamination yield </w:t>
      </w:r>
      <w:r w:rsidR="00710625" w:rsidRPr="007B0EDB">
        <w:t>of the process.</w:t>
      </w:r>
      <w:r w:rsidR="00A420DA">
        <w:t xml:space="preserve"> One attempt has been made so far</w:t>
      </w:r>
      <w:r w:rsidR="001F1203" w:rsidRPr="007B0EDB">
        <w:t xml:space="preserve"> by adding </w:t>
      </w:r>
      <w:r w:rsidR="00FB1FBF" w:rsidRPr="007B0EDB">
        <w:t>to the supernatant solutions</w:t>
      </w:r>
      <w:r w:rsidR="00A420DA">
        <w:t xml:space="preserve"> </w:t>
      </w:r>
      <w:r w:rsidR="00F37DD8" w:rsidRPr="007B0EDB">
        <w:t>0.2 M Ca</w:t>
      </w:r>
      <w:r w:rsidR="00F37DD8" w:rsidRPr="006315C0">
        <w:rPr>
          <w:vertAlign w:val="subscript"/>
        </w:rPr>
        <w:t>3</w:t>
      </w:r>
      <w:r w:rsidR="00F37DD8" w:rsidRPr="007B0EDB">
        <w:t>(PO</w:t>
      </w:r>
      <w:r w:rsidR="00F37DD8" w:rsidRPr="006315C0">
        <w:rPr>
          <w:vertAlign w:val="subscript"/>
        </w:rPr>
        <w:t>4</w:t>
      </w:r>
      <w:r w:rsidR="00F37DD8" w:rsidRPr="007B0EDB">
        <w:t>)</w:t>
      </w:r>
      <w:r w:rsidR="00F37DD8" w:rsidRPr="006315C0">
        <w:rPr>
          <w:vertAlign w:val="subscript"/>
        </w:rPr>
        <w:t>2</w:t>
      </w:r>
      <w:r w:rsidR="00A420DA">
        <w:t>, consistently with its efficient behaviour in the single stage precipitation tests</w:t>
      </w:r>
      <w:r w:rsidR="00603FE0" w:rsidRPr="007B0EDB">
        <w:t>.</w:t>
      </w:r>
      <w:r w:rsidR="00A420DA">
        <w:t xml:space="preserve"> Unfortunately</w:t>
      </w:r>
      <w:r w:rsidR="00E72F6C">
        <w:t xml:space="preserve">, </w:t>
      </w:r>
      <w:r w:rsidR="00CB660D" w:rsidRPr="007B0EDB">
        <w:t>Ca</w:t>
      </w:r>
      <w:r w:rsidR="00CB660D" w:rsidRPr="006315C0">
        <w:rPr>
          <w:vertAlign w:val="subscript"/>
        </w:rPr>
        <w:t>3</w:t>
      </w:r>
      <w:r w:rsidR="00CB660D" w:rsidRPr="007B0EDB">
        <w:t>(PO</w:t>
      </w:r>
      <w:r w:rsidR="00CB660D" w:rsidRPr="006315C0">
        <w:rPr>
          <w:vertAlign w:val="subscript"/>
        </w:rPr>
        <w:t>4</w:t>
      </w:r>
      <w:r w:rsidR="00CB660D" w:rsidRPr="007B0EDB">
        <w:t>)</w:t>
      </w:r>
      <w:r w:rsidR="00CB660D" w:rsidRPr="006315C0">
        <w:rPr>
          <w:vertAlign w:val="subscript"/>
        </w:rPr>
        <w:t>2</w:t>
      </w:r>
      <w:r w:rsidR="00E72F6C">
        <w:t xml:space="preserve"> compound</w:t>
      </w:r>
      <w:r w:rsidR="008F5C22" w:rsidRPr="007B0EDB">
        <w:t xml:space="preserve"> </w:t>
      </w:r>
      <w:r w:rsidR="00CB660D" w:rsidRPr="007B0EDB">
        <w:t xml:space="preserve">does not promote </w:t>
      </w:r>
      <w:r w:rsidR="006620E5" w:rsidRPr="007B0EDB">
        <w:t xml:space="preserve">further decontamination of </w:t>
      </w:r>
      <w:r w:rsidR="004873EA" w:rsidRPr="007B0EDB">
        <w:t>the supernatant in the second st</w:t>
      </w:r>
      <w:r w:rsidR="00E72F6C">
        <w:t xml:space="preserve">age as shown in </w:t>
      </w:r>
      <w:r w:rsidR="00E72F6C" w:rsidRPr="000106CF">
        <w:t>Table 2</w:t>
      </w:r>
      <w:r w:rsidR="00E72F6C">
        <w:t>.</w:t>
      </w:r>
      <w:r w:rsidR="00B77705">
        <w:t xml:space="preserve"> Despite these firs</w:t>
      </w:r>
      <w:r w:rsidR="009874FD">
        <w:t>t</w:t>
      </w:r>
      <w:r w:rsidR="001059A8">
        <w:t xml:space="preserve"> results</w:t>
      </w:r>
      <w:r w:rsidR="00B77705">
        <w:t>, the double stage precipitation is</w:t>
      </w:r>
      <w:r w:rsidR="009874FD">
        <w:t xml:space="preserve"> still</w:t>
      </w:r>
      <w:r w:rsidR="00B77705">
        <w:t xml:space="preserve"> being investigated</w:t>
      </w:r>
      <w:r w:rsidR="001059A8">
        <w:t xml:space="preserve"> </w:t>
      </w:r>
      <w:r w:rsidR="00B77705">
        <w:t xml:space="preserve">by using </w:t>
      </w:r>
      <w:r w:rsidR="00B77705" w:rsidRPr="009874FD">
        <w:t>Ca</w:t>
      </w:r>
      <w:r w:rsidR="00B77705" w:rsidRPr="006315C0">
        <w:rPr>
          <w:vertAlign w:val="subscript"/>
        </w:rPr>
        <w:t>2</w:t>
      </w:r>
      <w:r w:rsidR="00B77705" w:rsidRPr="009874FD">
        <w:t>P</w:t>
      </w:r>
      <w:r w:rsidR="00B77705" w:rsidRPr="006315C0">
        <w:rPr>
          <w:vertAlign w:val="subscript"/>
        </w:rPr>
        <w:t>2</w:t>
      </w:r>
      <w:r w:rsidR="00B77705" w:rsidRPr="009874FD">
        <w:t>O</w:t>
      </w:r>
      <w:r w:rsidR="00B77705" w:rsidRPr="006315C0">
        <w:rPr>
          <w:vertAlign w:val="subscript"/>
        </w:rPr>
        <w:t>7</w:t>
      </w:r>
      <w:r w:rsidR="00B77705" w:rsidRPr="000106CF">
        <w:t xml:space="preserve"> </w:t>
      </w:r>
      <w:r w:rsidR="009874FD">
        <w:t xml:space="preserve">compound </w:t>
      </w:r>
      <w:r w:rsidR="00B77705">
        <w:t xml:space="preserve">in the concentration range </w:t>
      </w:r>
      <w:r w:rsidR="009874FD">
        <w:t>0.1 – 0.3 M.</w:t>
      </w:r>
    </w:p>
    <w:p w14:paraId="19DD1883" w14:textId="520220EC" w:rsidR="00B77705" w:rsidRDefault="00B77705" w:rsidP="00680BEC">
      <w:pPr>
        <w:pStyle w:val="Corpotesto"/>
        <w:ind w:firstLine="0"/>
      </w:pPr>
    </w:p>
    <w:p w14:paraId="36B5D494" w14:textId="6365B8D8" w:rsidR="00B77705" w:rsidRDefault="00B77705" w:rsidP="00680BEC">
      <w:pPr>
        <w:pStyle w:val="Corpotesto"/>
        <w:ind w:firstLine="0"/>
      </w:pPr>
    </w:p>
    <w:p w14:paraId="7B25CD15" w14:textId="77777777" w:rsidR="009532A4" w:rsidRDefault="009532A4" w:rsidP="0028596E">
      <w:pPr>
        <w:pStyle w:val="Corpotesto"/>
        <w:ind w:firstLine="0"/>
      </w:pPr>
    </w:p>
    <w:p w14:paraId="0E1D30E6" w14:textId="6E7AE165" w:rsidR="0028596E" w:rsidRDefault="006B6673" w:rsidP="0028596E">
      <w:pPr>
        <w:pStyle w:val="Corpotesto"/>
        <w:ind w:firstLine="0"/>
        <w:rPr>
          <w:sz w:val="18"/>
          <w:szCs w:val="18"/>
        </w:rPr>
      </w:pPr>
      <w:r w:rsidRPr="00794BCC">
        <w:rPr>
          <w:sz w:val="18"/>
          <w:szCs w:val="18"/>
        </w:rPr>
        <w:t>TABLE 2</w:t>
      </w:r>
      <w:r w:rsidR="0028596E" w:rsidRPr="00794BCC">
        <w:rPr>
          <w:sz w:val="18"/>
          <w:szCs w:val="18"/>
        </w:rPr>
        <w:t>.</w:t>
      </w:r>
      <w:r w:rsidR="0028596E" w:rsidRPr="00E05B77">
        <w:rPr>
          <w:sz w:val="18"/>
          <w:szCs w:val="18"/>
        </w:rPr>
        <w:t xml:space="preserve"> </w:t>
      </w:r>
      <w:r w:rsidR="005678B4">
        <w:rPr>
          <w:sz w:val="18"/>
          <w:szCs w:val="18"/>
        </w:rPr>
        <w:t>CONTAMINANTS IN THE SUPERNATANT</w:t>
      </w:r>
      <w:r w:rsidR="0028596E" w:rsidRPr="00E05B77">
        <w:rPr>
          <w:sz w:val="18"/>
          <w:szCs w:val="18"/>
        </w:rPr>
        <w:t xml:space="preserve"> [%]</w:t>
      </w:r>
      <w:r w:rsidR="005678B4">
        <w:rPr>
          <w:sz w:val="18"/>
          <w:szCs w:val="18"/>
        </w:rPr>
        <w:t xml:space="preserve"> FOR A MULTISTAGE CONFIGURATION</w:t>
      </w:r>
    </w:p>
    <w:p w14:paraId="57B92AED" w14:textId="77777777" w:rsidR="003F6758" w:rsidRPr="00E05B77" w:rsidRDefault="003F6758" w:rsidP="0028596E">
      <w:pPr>
        <w:pStyle w:val="Corpotesto"/>
        <w:ind w:firstLine="0"/>
        <w:rPr>
          <w:sz w:val="18"/>
          <w:szCs w:val="18"/>
        </w:rPr>
      </w:pPr>
    </w:p>
    <w:tbl>
      <w:tblPr>
        <w:tblStyle w:val="Grigliatabella"/>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062"/>
        <w:gridCol w:w="1209"/>
        <w:gridCol w:w="1323"/>
        <w:gridCol w:w="1323"/>
        <w:gridCol w:w="1324"/>
      </w:tblGrid>
      <w:tr w:rsidR="003F6758" w14:paraId="4D225BB3" w14:textId="77777777" w:rsidTr="004423A7">
        <w:trPr>
          <w:trHeight w:val="277"/>
          <w:jc w:val="center"/>
        </w:trPr>
        <w:tc>
          <w:tcPr>
            <w:tcW w:w="709" w:type="dxa"/>
            <w:tcBorders>
              <w:top w:val="single" w:sz="4" w:space="0" w:color="auto"/>
              <w:bottom w:val="single" w:sz="4" w:space="0" w:color="auto"/>
            </w:tcBorders>
          </w:tcPr>
          <w:p w14:paraId="1DF1ACD7" w14:textId="77777777" w:rsidR="003F6758" w:rsidRPr="003F6758" w:rsidRDefault="003F6758" w:rsidP="006F4B4F">
            <w:pPr>
              <w:pStyle w:val="Corpotesto"/>
              <w:ind w:firstLine="0"/>
              <w:rPr>
                <w:sz w:val="18"/>
                <w:szCs w:val="18"/>
              </w:rPr>
            </w:pPr>
            <w:bookmarkStart w:id="0" w:name="_Hlk76290748"/>
            <w:r w:rsidRPr="003F6758">
              <w:rPr>
                <w:sz w:val="18"/>
                <w:szCs w:val="18"/>
              </w:rPr>
              <w:t>Stage</w:t>
            </w:r>
          </w:p>
        </w:tc>
        <w:tc>
          <w:tcPr>
            <w:tcW w:w="2062" w:type="dxa"/>
            <w:tcBorders>
              <w:top w:val="single" w:sz="4" w:space="0" w:color="auto"/>
              <w:bottom w:val="single" w:sz="4" w:space="0" w:color="auto"/>
            </w:tcBorders>
          </w:tcPr>
          <w:p w14:paraId="5B808208" w14:textId="77777777" w:rsidR="003F6758" w:rsidRPr="003F6758" w:rsidRDefault="003F6758" w:rsidP="006F4B4F">
            <w:pPr>
              <w:pStyle w:val="Corpotesto"/>
              <w:ind w:firstLine="0"/>
              <w:jc w:val="center"/>
              <w:rPr>
                <w:sz w:val="18"/>
                <w:szCs w:val="18"/>
              </w:rPr>
            </w:pPr>
            <w:r w:rsidRPr="003F6758">
              <w:rPr>
                <w:sz w:val="18"/>
                <w:szCs w:val="18"/>
              </w:rPr>
              <w:t>Co-precipitant</w:t>
            </w:r>
          </w:p>
        </w:tc>
        <w:tc>
          <w:tcPr>
            <w:tcW w:w="1209" w:type="dxa"/>
            <w:tcBorders>
              <w:top w:val="single" w:sz="4" w:space="0" w:color="auto"/>
              <w:bottom w:val="single" w:sz="4" w:space="0" w:color="auto"/>
            </w:tcBorders>
          </w:tcPr>
          <w:p w14:paraId="6C094325" w14:textId="77777777" w:rsidR="003F6758" w:rsidRPr="003F6758" w:rsidRDefault="003F6758" w:rsidP="006F4B4F">
            <w:pPr>
              <w:pStyle w:val="Corpotesto"/>
              <w:ind w:firstLine="0"/>
              <w:jc w:val="center"/>
              <w:rPr>
                <w:sz w:val="18"/>
                <w:szCs w:val="18"/>
              </w:rPr>
            </w:pPr>
            <w:r w:rsidRPr="003F6758">
              <w:rPr>
                <w:sz w:val="18"/>
                <w:szCs w:val="18"/>
              </w:rPr>
              <w:t>Co</w:t>
            </w:r>
          </w:p>
        </w:tc>
        <w:tc>
          <w:tcPr>
            <w:tcW w:w="1323" w:type="dxa"/>
            <w:tcBorders>
              <w:top w:val="single" w:sz="4" w:space="0" w:color="auto"/>
              <w:bottom w:val="single" w:sz="4" w:space="0" w:color="auto"/>
            </w:tcBorders>
          </w:tcPr>
          <w:p w14:paraId="3A61E544" w14:textId="77777777" w:rsidR="003F6758" w:rsidRPr="003F6758" w:rsidRDefault="003F6758" w:rsidP="006F4B4F">
            <w:pPr>
              <w:pStyle w:val="Corpotesto"/>
              <w:ind w:firstLine="0"/>
              <w:jc w:val="center"/>
              <w:rPr>
                <w:sz w:val="18"/>
                <w:szCs w:val="18"/>
              </w:rPr>
            </w:pPr>
            <w:r w:rsidRPr="003F6758">
              <w:rPr>
                <w:sz w:val="18"/>
                <w:szCs w:val="18"/>
              </w:rPr>
              <w:t>Ni</w:t>
            </w:r>
          </w:p>
        </w:tc>
        <w:tc>
          <w:tcPr>
            <w:tcW w:w="1323" w:type="dxa"/>
            <w:tcBorders>
              <w:top w:val="single" w:sz="4" w:space="0" w:color="auto"/>
              <w:bottom w:val="single" w:sz="4" w:space="0" w:color="auto"/>
            </w:tcBorders>
          </w:tcPr>
          <w:p w14:paraId="58A5413C" w14:textId="77777777" w:rsidR="003F6758" w:rsidRPr="003F6758" w:rsidRDefault="003F6758" w:rsidP="006F4B4F">
            <w:pPr>
              <w:pStyle w:val="Corpotesto"/>
              <w:ind w:firstLine="0"/>
              <w:jc w:val="center"/>
              <w:rPr>
                <w:sz w:val="18"/>
                <w:szCs w:val="18"/>
              </w:rPr>
            </w:pPr>
            <w:r w:rsidRPr="003F6758">
              <w:rPr>
                <w:sz w:val="18"/>
                <w:szCs w:val="18"/>
              </w:rPr>
              <w:t>Cs</w:t>
            </w:r>
          </w:p>
        </w:tc>
        <w:tc>
          <w:tcPr>
            <w:tcW w:w="1324" w:type="dxa"/>
            <w:tcBorders>
              <w:top w:val="single" w:sz="4" w:space="0" w:color="auto"/>
              <w:bottom w:val="single" w:sz="4" w:space="0" w:color="auto"/>
            </w:tcBorders>
          </w:tcPr>
          <w:p w14:paraId="56C48B57" w14:textId="77777777" w:rsidR="003F6758" w:rsidRPr="003F6758" w:rsidRDefault="003F6758" w:rsidP="006F4B4F">
            <w:pPr>
              <w:pStyle w:val="Corpotesto"/>
              <w:ind w:firstLine="0"/>
              <w:jc w:val="center"/>
              <w:rPr>
                <w:sz w:val="18"/>
                <w:szCs w:val="18"/>
              </w:rPr>
            </w:pPr>
            <w:r w:rsidRPr="003F6758">
              <w:rPr>
                <w:sz w:val="18"/>
                <w:szCs w:val="18"/>
              </w:rPr>
              <w:t>Sr</w:t>
            </w:r>
          </w:p>
        </w:tc>
      </w:tr>
      <w:tr w:rsidR="003F6758" w14:paraId="1B979CBA" w14:textId="77777777" w:rsidTr="004423A7">
        <w:trPr>
          <w:trHeight w:val="277"/>
          <w:jc w:val="center"/>
        </w:trPr>
        <w:tc>
          <w:tcPr>
            <w:tcW w:w="709" w:type="dxa"/>
          </w:tcPr>
          <w:p w14:paraId="52D8316B" w14:textId="77777777" w:rsidR="003F6758" w:rsidRDefault="003F6758" w:rsidP="006F4B4F">
            <w:pPr>
              <w:pStyle w:val="Corpotesto"/>
              <w:ind w:firstLine="0"/>
            </w:pPr>
            <w:r w:rsidRPr="00A30F82">
              <w:rPr>
                <w:sz w:val="18"/>
                <w:szCs w:val="18"/>
              </w:rPr>
              <w:t>I</w:t>
            </w:r>
          </w:p>
        </w:tc>
        <w:tc>
          <w:tcPr>
            <w:tcW w:w="2062" w:type="dxa"/>
          </w:tcPr>
          <w:p w14:paraId="4AECB388" w14:textId="0E3FF8A3" w:rsidR="003F6758" w:rsidRPr="00AA7796" w:rsidRDefault="006E7646" w:rsidP="006F4B4F">
            <w:pPr>
              <w:pStyle w:val="Corpotesto"/>
              <w:ind w:firstLine="0"/>
              <w:jc w:val="center"/>
              <w:rPr>
                <w:sz w:val="18"/>
                <w:szCs w:val="18"/>
              </w:rPr>
            </w:pPr>
            <w:r>
              <w:rPr>
                <w:sz w:val="18"/>
                <w:szCs w:val="18"/>
              </w:rPr>
              <w:t>None</w:t>
            </w:r>
          </w:p>
        </w:tc>
        <w:tc>
          <w:tcPr>
            <w:tcW w:w="1209" w:type="dxa"/>
          </w:tcPr>
          <w:p w14:paraId="75B04431" w14:textId="77777777" w:rsidR="003F6758" w:rsidRPr="00AA7796" w:rsidRDefault="003F6758" w:rsidP="006F4B4F">
            <w:pPr>
              <w:pStyle w:val="Corpotesto"/>
              <w:ind w:firstLine="0"/>
              <w:jc w:val="center"/>
              <w:rPr>
                <w:sz w:val="18"/>
                <w:szCs w:val="18"/>
              </w:rPr>
            </w:pPr>
            <w:r w:rsidRPr="00AA7796">
              <w:rPr>
                <w:sz w:val="18"/>
                <w:szCs w:val="18"/>
              </w:rPr>
              <w:t>63 ± 1.2</w:t>
            </w:r>
          </w:p>
        </w:tc>
        <w:tc>
          <w:tcPr>
            <w:tcW w:w="1323" w:type="dxa"/>
          </w:tcPr>
          <w:p w14:paraId="0634F933" w14:textId="77777777" w:rsidR="003F6758" w:rsidRPr="00AA7796" w:rsidRDefault="003F6758" w:rsidP="006F4B4F">
            <w:pPr>
              <w:pStyle w:val="Corpotesto"/>
              <w:ind w:firstLine="0"/>
              <w:jc w:val="center"/>
              <w:rPr>
                <w:sz w:val="18"/>
                <w:szCs w:val="18"/>
              </w:rPr>
            </w:pPr>
            <w:r w:rsidRPr="00AA7796">
              <w:rPr>
                <w:sz w:val="18"/>
                <w:szCs w:val="18"/>
              </w:rPr>
              <w:t>74 ± 1.8</w:t>
            </w:r>
          </w:p>
        </w:tc>
        <w:tc>
          <w:tcPr>
            <w:tcW w:w="1323" w:type="dxa"/>
          </w:tcPr>
          <w:p w14:paraId="3948D47F" w14:textId="77777777" w:rsidR="003F6758" w:rsidRPr="00AA7796" w:rsidRDefault="003F6758" w:rsidP="006F4B4F">
            <w:pPr>
              <w:pStyle w:val="Corpotesto"/>
              <w:ind w:firstLine="0"/>
              <w:jc w:val="center"/>
              <w:rPr>
                <w:sz w:val="18"/>
                <w:szCs w:val="18"/>
              </w:rPr>
            </w:pPr>
            <w:r w:rsidRPr="00AA7796">
              <w:rPr>
                <w:sz w:val="18"/>
                <w:szCs w:val="18"/>
              </w:rPr>
              <w:t>0.3 ± 1.5</w:t>
            </w:r>
          </w:p>
        </w:tc>
        <w:tc>
          <w:tcPr>
            <w:tcW w:w="1324" w:type="dxa"/>
          </w:tcPr>
          <w:p w14:paraId="3A0CE41A" w14:textId="77777777" w:rsidR="003F6758" w:rsidRPr="00AA7796" w:rsidRDefault="003F6758" w:rsidP="006F4B4F">
            <w:pPr>
              <w:pStyle w:val="Corpotesto"/>
              <w:ind w:firstLine="0"/>
              <w:jc w:val="center"/>
              <w:rPr>
                <w:sz w:val="18"/>
                <w:szCs w:val="18"/>
              </w:rPr>
            </w:pPr>
            <w:r w:rsidRPr="00AA7796">
              <w:rPr>
                <w:sz w:val="18"/>
                <w:szCs w:val="18"/>
              </w:rPr>
              <w:t>65 ± 2.5</w:t>
            </w:r>
          </w:p>
        </w:tc>
      </w:tr>
      <w:tr w:rsidR="003F6758" w14:paraId="31A28630" w14:textId="77777777" w:rsidTr="004423A7">
        <w:trPr>
          <w:trHeight w:val="277"/>
          <w:jc w:val="center"/>
        </w:trPr>
        <w:tc>
          <w:tcPr>
            <w:tcW w:w="709" w:type="dxa"/>
          </w:tcPr>
          <w:p w14:paraId="226458E6" w14:textId="03F3D4C7" w:rsidR="003F6758" w:rsidRPr="00A30F82" w:rsidRDefault="006E7646" w:rsidP="006F4B4F">
            <w:pPr>
              <w:pStyle w:val="Corpotesto"/>
              <w:ind w:firstLine="0"/>
              <w:rPr>
                <w:sz w:val="18"/>
                <w:szCs w:val="18"/>
              </w:rPr>
            </w:pPr>
            <w:r>
              <w:rPr>
                <w:sz w:val="18"/>
                <w:szCs w:val="18"/>
              </w:rPr>
              <w:t xml:space="preserve">I + </w:t>
            </w:r>
            <w:r w:rsidR="003F6758">
              <w:rPr>
                <w:sz w:val="18"/>
                <w:szCs w:val="18"/>
              </w:rPr>
              <w:t>II</w:t>
            </w:r>
          </w:p>
        </w:tc>
        <w:tc>
          <w:tcPr>
            <w:tcW w:w="2062" w:type="dxa"/>
          </w:tcPr>
          <w:p w14:paraId="7EB33469" w14:textId="4E588E3C" w:rsidR="003F6758" w:rsidRPr="00AA7796" w:rsidRDefault="009E2ABE" w:rsidP="006F4B4F">
            <w:pPr>
              <w:pStyle w:val="Corpotesto"/>
              <w:ind w:firstLine="0"/>
              <w:jc w:val="center"/>
              <w:rPr>
                <w:sz w:val="18"/>
                <w:szCs w:val="18"/>
              </w:rPr>
            </w:pPr>
            <w:r>
              <w:rPr>
                <w:sz w:val="18"/>
                <w:szCs w:val="18"/>
              </w:rPr>
              <w:t>None</w:t>
            </w:r>
            <w:r w:rsidR="004423A7">
              <w:rPr>
                <w:sz w:val="18"/>
                <w:szCs w:val="18"/>
              </w:rPr>
              <w:t xml:space="preserve"> </w:t>
            </w:r>
            <w:r w:rsidR="00AE0D8A">
              <w:rPr>
                <w:sz w:val="18"/>
                <w:szCs w:val="18"/>
              </w:rPr>
              <w:t>+</w:t>
            </w:r>
            <w:r w:rsidR="004423A7">
              <w:rPr>
                <w:sz w:val="18"/>
                <w:szCs w:val="18"/>
              </w:rPr>
              <w:t xml:space="preserve"> </w:t>
            </w:r>
            <w:r w:rsidR="003F6758">
              <w:rPr>
                <w:sz w:val="18"/>
                <w:szCs w:val="18"/>
              </w:rPr>
              <w:t>0.2 M Ca</w:t>
            </w:r>
            <w:r w:rsidR="003F6758" w:rsidRPr="001F1203">
              <w:rPr>
                <w:sz w:val="18"/>
                <w:szCs w:val="18"/>
                <w:vertAlign w:val="subscript"/>
              </w:rPr>
              <w:t>3</w:t>
            </w:r>
            <w:r w:rsidR="003F6758">
              <w:rPr>
                <w:sz w:val="18"/>
                <w:szCs w:val="18"/>
              </w:rPr>
              <w:t>(PO</w:t>
            </w:r>
            <w:r w:rsidR="003F6758" w:rsidRPr="001F1203">
              <w:rPr>
                <w:sz w:val="18"/>
                <w:szCs w:val="18"/>
                <w:vertAlign w:val="subscript"/>
              </w:rPr>
              <w:t>4</w:t>
            </w:r>
            <w:r w:rsidR="003F6758">
              <w:rPr>
                <w:sz w:val="18"/>
                <w:szCs w:val="18"/>
              </w:rPr>
              <w:t>)</w:t>
            </w:r>
            <w:r w:rsidR="003F6758" w:rsidRPr="001F1203">
              <w:rPr>
                <w:sz w:val="18"/>
                <w:szCs w:val="18"/>
                <w:vertAlign w:val="subscript"/>
              </w:rPr>
              <w:t>2</w:t>
            </w:r>
          </w:p>
        </w:tc>
        <w:tc>
          <w:tcPr>
            <w:tcW w:w="1209" w:type="dxa"/>
          </w:tcPr>
          <w:p w14:paraId="3BEE9D93" w14:textId="77777777" w:rsidR="003F6758" w:rsidRPr="00AA7796" w:rsidRDefault="003F6758" w:rsidP="006F4B4F">
            <w:pPr>
              <w:pStyle w:val="Corpotesto"/>
              <w:ind w:firstLine="0"/>
              <w:jc w:val="center"/>
              <w:rPr>
                <w:sz w:val="18"/>
                <w:szCs w:val="18"/>
              </w:rPr>
            </w:pPr>
            <w:r>
              <w:rPr>
                <w:sz w:val="18"/>
                <w:szCs w:val="18"/>
              </w:rPr>
              <w:t xml:space="preserve">61 </w:t>
            </w:r>
            <w:r w:rsidRPr="00444118">
              <w:rPr>
                <w:sz w:val="18"/>
                <w:szCs w:val="18"/>
              </w:rPr>
              <w:t>±</w:t>
            </w:r>
            <w:r>
              <w:rPr>
                <w:sz w:val="18"/>
                <w:szCs w:val="18"/>
              </w:rPr>
              <w:t xml:space="preserve"> 2.1 </w:t>
            </w:r>
          </w:p>
        </w:tc>
        <w:tc>
          <w:tcPr>
            <w:tcW w:w="1323" w:type="dxa"/>
          </w:tcPr>
          <w:p w14:paraId="4C1FECF0" w14:textId="77777777" w:rsidR="003F6758" w:rsidRPr="00AA7796" w:rsidRDefault="003F6758" w:rsidP="006F4B4F">
            <w:pPr>
              <w:pStyle w:val="Corpotesto"/>
              <w:ind w:firstLine="0"/>
              <w:jc w:val="center"/>
              <w:rPr>
                <w:sz w:val="18"/>
                <w:szCs w:val="18"/>
              </w:rPr>
            </w:pPr>
            <w:r>
              <w:rPr>
                <w:sz w:val="18"/>
                <w:szCs w:val="18"/>
              </w:rPr>
              <w:t xml:space="preserve">73 </w:t>
            </w:r>
            <w:r w:rsidRPr="00444118">
              <w:rPr>
                <w:sz w:val="18"/>
                <w:szCs w:val="18"/>
              </w:rPr>
              <w:t>±</w:t>
            </w:r>
            <w:r>
              <w:rPr>
                <w:sz w:val="18"/>
                <w:szCs w:val="18"/>
              </w:rPr>
              <w:t xml:space="preserve"> 2.1</w:t>
            </w:r>
          </w:p>
        </w:tc>
        <w:tc>
          <w:tcPr>
            <w:tcW w:w="1323" w:type="dxa"/>
          </w:tcPr>
          <w:p w14:paraId="7FD19989" w14:textId="77777777" w:rsidR="003F6758" w:rsidRPr="00AA7796" w:rsidRDefault="003F6758" w:rsidP="006F4B4F">
            <w:pPr>
              <w:pStyle w:val="Corpotesto"/>
              <w:ind w:firstLine="0"/>
              <w:jc w:val="center"/>
              <w:rPr>
                <w:sz w:val="18"/>
                <w:szCs w:val="18"/>
              </w:rPr>
            </w:pPr>
            <w:r>
              <w:rPr>
                <w:sz w:val="18"/>
                <w:szCs w:val="18"/>
              </w:rPr>
              <w:t xml:space="preserve">0.3 </w:t>
            </w:r>
            <w:r w:rsidRPr="00444118">
              <w:rPr>
                <w:sz w:val="18"/>
                <w:szCs w:val="18"/>
              </w:rPr>
              <w:t>±</w:t>
            </w:r>
            <w:r>
              <w:rPr>
                <w:sz w:val="18"/>
                <w:szCs w:val="18"/>
              </w:rPr>
              <w:t xml:space="preserve"> 0.01</w:t>
            </w:r>
          </w:p>
        </w:tc>
        <w:tc>
          <w:tcPr>
            <w:tcW w:w="1324" w:type="dxa"/>
          </w:tcPr>
          <w:p w14:paraId="26FC219F" w14:textId="34B3355B" w:rsidR="00020497" w:rsidRPr="00AA7796" w:rsidRDefault="003F6758" w:rsidP="00020497">
            <w:pPr>
              <w:pStyle w:val="Corpotesto"/>
              <w:ind w:firstLine="0"/>
              <w:jc w:val="center"/>
              <w:rPr>
                <w:sz w:val="18"/>
                <w:szCs w:val="18"/>
              </w:rPr>
            </w:pPr>
            <w:r>
              <w:rPr>
                <w:sz w:val="18"/>
                <w:szCs w:val="18"/>
              </w:rPr>
              <w:t xml:space="preserve">63 </w:t>
            </w:r>
            <w:r w:rsidRPr="00444118">
              <w:rPr>
                <w:sz w:val="18"/>
                <w:szCs w:val="18"/>
              </w:rPr>
              <w:t>±</w:t>
            </w:r>
            <w:r>
              <w:rPr>
                <w:sz w:val="18"/>
                <w:szCs w:val="18"/>
              </w:rPr>
              <w:t xml:space="preserve"> 2.6</w:t>
            </w:r>
          </w:p>
        </w:tc>
      </w:tr>
      <w:bookmarkEnd w:id="0"/>
    </w:tbl>
    <w:p w14:paraId="3A4C94F5" w14:textId="4D231200" w:rsidR="00673D37" w:rsidRDefault="00673D37" w:rsidP="00A65D63">
      <w:pPr>
        <w:pStyle w:val="Corpotesto"/>
        <w:ind w:firstLine="0"/>
      </w:pPr>
    </w:p>
    <w:p w14:paraId="1B91762A" w14:textId="77777777" w:rsidR="00836BC9" w:rsidRDefault="00836BC9" w:rsidP="00836BC9">
      <w:pPr>
        <w:pStyle w:val="Titolo2"/>
        <w:numPr>
          <w:ilvl w:val="1"/>
          <w:numId w:val="10"/>
        </w:numPr>
      </w:pPr>
      <w:r>
        <w:t>sum-up and future outlook</w:t>
      </w:r>
    </w:p>
    <w:p w14:paraId="7A5C81F8" w14:textId="184D01A1" w:rsidR="00E72F6C" w:rsidRDefault="00836BC9" w:rsidP="00031559">
      <w:pPr>
        <w:pStyle w:val="Corpotesto"/>
      </w:pPr>
      <w:r w:rsidRPr="00F41987">
        <w:t>The</w:t>
      </w:r>
      <w:r w:rsidR="00437BE8">
        <w:t xml:space="preserve"> addition of co-precipitation agents to</w:t>
      </w:r>
      <w:r w:rsidR="0040670B">
        <w:t xml:space="preserve"> the</w:t>
      </w:r>
      <w:r w:rsidR="00437BE8">
        <w:t xml:space="preserve"> </w:t>
      </w:r>
      <w:r w:rsidR="00BB3953">
        <w:t xml:space="preserve">ferric solutions coming from PHADEC-based processes </w:t>
      </w:r>
      <w:r w:rsidR="00EC3592">
        <w:t xml:space="preserve">can improve </w:t>
      </w:r>
      <w:r w:rsidR="0040670B">
        <w:t>its</w:t>
      </w:r>
      <w:r w:rsidR="00EC3592">
        <w:t xml:space="preserve"> decontamination</w:t>
      </w:r>
      <w:r w:rsidR="00B95C89">
        <w:t xml:space="preserve"> yield</w:t>
      </w:r>
      <w:r w:rsidR="000F6500">
        <w:t xml:space="preserve"> thus promoting </w:t>
      </w:r>
      <w:r w:rsidR="00B35EFE">
        <w:t>its</w:t>
      </w:r>
      <w:r w:rsidR="000F6500">
        <w:t xml:space="preserve"> reuse and recycle</w:t>
      </w:r>
      <w:r w:rsidR="003A22C3">
        <w:t xml:space="preserve"> </w:t>
      </w:r>
      <w:r w:rsidR="00EC4137">
        <w:t>for new pickling steps</w:t>
      </w:r>
      <w:r w:rsidR="00756475">
        <w:t xml:space="preserve"> in a closed-loop</w:t>
      </w:r>
      <w:r w:rsidR="00FC5260">
        <w:t xml:space="preserve"> plant.</w:t>
      </w:r>
      <w:r w:rsidR="00180A68">
        <w:t xml:space="preserve"> </w:t>
      </w:r>
      <w:r w:rsidR="00DE0B0E">
        <w:t>The</w:t>
      </w:r>
      <w:r w:rsidR="00180A68">
        <w:t xml:space="preserve"> high </w:t>
      </w:r>
      <w:r w:rsidR="00E057F6">
        <w:t>concentration</w:t>
      </w:r>
      <w:r w:rsidR="00180A68">
        <w:t xml:space="preserve"> of contaminants in the supernatant </w:t>
      </w:r>
      <w:r w:rsidR="00924052">
        <w:t>found</w:t>
      </w:r>
      <w:r w:rsidR="00180A68">
        <w:t xml:space="preserve"> </w:t>
      </w:r>
      <w:r w:rsidR="00924052">
        <w:t>in</w:t>
      </w:r>
      <w:r w:rsidR="00E72F6C">
        <w:t xml:space="preserve"> the </w:t>
      </w:r>
      <w:r w:rsidR="00180A68">
        <w:t>radioactive tests</w:t>
      </w:r>
      <w:r w:rsidR="00DE0B0E">
        <w:t xml:space="preserve"> </w:t>
      </w:r>
      <w:r w:rsidR="00924052">
        <w:t xml:space="preserve">has led to investigate the potential role of </w:t>
      </w:r>
      <w:r w:rsidR="00A73883">
        <w:t xml:space="preserve">a co-precipitant during the electrochemical </w:t>
      </w:r>
      <w:r w:rsidR="00475B50">
        <w:t>precipitation step.</w:t>
      </w:r>
      <w:r w:rsidR="00E4073E">
        <w:t xml:space="preserve"> The first series of experiments pointed out the efficacy of </w:t>
      </w:r>
      <w:r w:rsidR="00071C7E" w:rsidRPr="00F41987">
        <w:t>BaSO</w:t>
      </w:r>
      <w:r w:rsidR="00071C7E" w:rsidRPr="00BF6F60">
        <w:rPr>
          <w:vertAlign w:val="subscript"/>
        </w:rPr>
        <w:t>4</w:t>
      </w:r>
      <w:r w:rsidR="00071C7E" w:rsidRPr="00F41987">
        <w:t>, Ca</w:t>
      </w:r>
      <w:r w:rsidR="00071C7E" w:rsidRPr="00BF6F60">
        <w:rPr>
          <w:vertAlign w:val="subscript"/>
        </w:rPr>
        <w:t>2</w:t>
      </w:r>
      <w:r w:rsidR="00071C7E" w:rsidRPr="00F41987">
        <w:t>P</w:t>
      </w:r>
      <w:r w:rsidR="00071C7E" w:rsidRPr="00BF6F60">
        <w:rPr>
          <w:vertAlign w:val="subscript"/>
        </w:rPr>
        <w:t>2</w:t>
      </w:r>
      <w:r w:rsidR="00071C7E" w:rsidRPr="00F41987">
        <w:t>O</w:t>
      </w:r>
      <w:r w:rsidR="00071C7E" w:rsidRPr="00BF6F60">
        <w:rPr>
          <w:vertAlign w:val="subscript"/>
        </w:rPr>
        <w:t>7</w:t>
      </w:r>
      <w:r w:rsidR="00071C7E" w:rsidRPr="00F41987">
        <w:t xml:space="preserve"> and</w:t>
      </w:r>
      <w:r w:rsidR="00071C7E">
        <w:t xml:space="preserve"> </w:t>
      </w:r>
      <w:r w:rsidR="00873613">
        <w:t>especially</w:t>
      </w:r>
      <w:r w:rsidR="00071C7E" w:rsidRPr="00F41987">
        <w:t xml:space="preserve"> Ca</w:t>
      </w:r>
      <w:r w:rsidR="00071C7E" w:rsidRPr="00BF6F60">
        <w:rPr>
          <w:vertAlign w:val="subscript"/>
        </w:rPr>
        <w:t>3</w:t>
      </w:r>
      <w:r w:rsidR="00071C7E" w:rsidRPr="00F41987">
        <w:t>(PO</w:t>
      </w:r>
      <w:r w:rsidR="00071C7E" w:rsidRPr="00BF6F60">
        <w:rPr>
          <w:vertAlign w:val="subscript"/>
        </w:rPr>
        <w:t>4</w:t>
      </w:r>
      <w:r w:rsidR="00071C7E" w:rsidRPr="00F41987">
        <w:t>)</w:t>
      </w:r>
      <w:r w:rsidR="00071C7E" w:rsidRPr="00BF6F60">
        <w:rPr>
          <w:vertAlign w:val="subscript"/>
        </w:rPr>
        <w:t>2</w:t>
      </w:r>
      <w:r w:rsidR="006E6E8B">
        <w:t xml:space="preserve"> to abate contaminants into the final wet sludge.</w:t>
      </w:r>
      <w:r w:rsidR="00242197">
        <w:t xml:space="preserve"> </w:t>
      </w:r>
      <w:r w:rsidR="00942ACD">
        <w:t>T</w:t>
      </w:r>
      <w:r w:rsidR="00686CB6">
        <w:t xml:space="preserve">hese results encouraged </w:t>
      </w:r>
      <w:r w:rsidR="003C7506">
        <w:t>new electrochemical</w:t>
      </w:r>
      <w:r w:rsidR="00553AA7">
        <w:t xml:space="preserve"> precipitation</w:t>
      </w:r>
      <w:r w:rsidR="003C7506">
        <w:t xml:space="preserve"> </w:t>
      </w:r>
      <w:r w:rsidR="00E72F6C">
        <w:t>tests by varying the volume of ferric solution from</w:t>
      </w:r>
      <w:r w:rsidR="00A05663">
        <w:t xml:space="preserve"> </w:t>
      </w:r>
      <w:r w:rsidR="00164E33">
        <w:t>12</w:t>
      </w:r>
      <w:r w:rsidR="00A05663">
        <w:t>0</w:t>
      </w:r>
      <w:r w:rsidR="00E72F6C">
        <w:t xml:space="preserve"> to 2</w:t>
      </w:r>
      <w:r w:rsidR="00DC0738">
        <w:t>00 and 240</w:t>
      </w:r>
      <w:r w:rsidR="00E72F6C">
        <w:t xml:space="preserve"> mL, and</w:t>
      </w:r>
      <w:r w:rsidR="00A05663">
        <w:t xml:space="preserve"> by using </w:t>
      </w:r>
      <w:r w:rsidR="00173FCD" w:rsidRPr="007B0EDB">
        <w:t>0.2 M Ca</w:t>
      </w:r>
      <w:r w:rsidR="00173FCD" w:rsidRPr="007B0EDB">
        <w:rPr>
          <w:vertAlign w:val="subscript"/>
        </w:rPr>
        <w:t>3</w:t>
      </w:r>
      <w:r w:rsidR="00173FCD" w:rsidRPr="007B0EDB">
        <w:t>(PO</w:t>
      </w:r>
      <w:r w:rsidR="00173FCD" w:rsidRPr="007B0EDB">
        <w:rPr>
          <w:vertAlign w:val="subscript"/>
        </w:rPr>
        <w:t>4</w:t>
      </w:r>
      <w:r w:rsidR="00173FCD" w:rsidRPr="007B0EDB">
        <w:t>)</w:t>
      </w:r>
      <w:r w:rsidR="00173FCD" w:rsidRPr="007B0EDB">
        <w:rPr>
          <w:vertAlign w:val="subscript"/>
        </w:rPr>
        <w:t>2</w:t>
      </w:r>
      <w:r w:rsidR="00BA021E">
        <w:t xml:space="preserve">. </w:t>
      </w:r>
      <w:r w:rsidR="00E72F6C">
        <w:t>The best volume configuration to minimize the concentration of contaminants in the supernatant</w:t>
      </w:r>
      <w:r w:rsidR="00DF6C2F">
        <w:t xml:space="preserve"> currently</w:t>
      </w:r>
      <w:r w:rsidR="00E72F6C">
        <w:t xml:space="preserve"> resulted in </w:t>
      </w:r>
      <w:r w:rsidR="00F175A7">
        <w:t>12</w:t>
      </w:r>
      <w:r w:rsidR="00E72F6C">
        <w:t>0 mL of ferric solution</w:t>
      </w:r>
      <w:r w:rsidR="0053580D">
        <w:t xml:space="preserve">, but </w:t>
      </w:r>
      <w:r w:rsidR="00141CF6">
        <w:t>the relative position of the electrodes</w:t>
      </w:r>
      <w:r w:rsidR="007D7CAD">
        <w:t xml:space="preserve"> and</w:t>
      </w:r>
      <w:r w:rsidR="00C1226E">
        <w:t xml:space="preserve"> the</w:t>
      </w:r>
      <w:r w:rsidR="007D7CAD">
        <w:t xml:space="preserve"> cell geometry are still being optimized.</w:t>
      </w:r>
    </w:p>
    <w:p w14:paraId="200F833A" w14:textId="1BEA6631" w:rsidR="00837F6A" w:rsidRDefault="00E72F6C" w:rsidP="00A65D63">
      <w:pPr>
        <w:pStyle w:val="Corpotesto"/>
      </w:pPr>
      <w:r>
        <w:t>Despite the promising results obtained from single stage precipitation tests, t</w:t>
      </w:r>
      <w:r w:rsidR="00227401">
        <w:t>he implementation of two</w:t>
      </w:r>
      <w:r w:rsidR="00313745">
        <w:t xml:space="preserve"> </w:t>
      </w:r>
      <w:r w:rsidR="002968CD">
        <w:t xml:space="preserve">consecutive </w:t>
      </w:r>
      <w:r w:rsidR="00313745">
        <w:t>electrochemical precipitation</w:t>
      </w:r>
      <w:r w:rsidR="00227401">
        <w:t xml:space="preserve"> stages </w:t>
      </w:r>
      <w:r w:rsidR="00E14DD0">
        <w:t xml:space="preserve">highlighted the </w:t>
      </w:r>
      <w:r>
        <w:t xml:space="preserve">inefficacy of </w:t>
      </w:r>
      <w:r w:rsidRPr="007B0EDB">
        <w:t>Ca</w:t>
      </w:r>
      <w:r w:rsidRPr="007B0EDB">
        <w:rPr>
          <w:vertAlign w:val="subscript"/>
        </w:rPr>
        <w:t>3</w:t>
      </w:r>
      <w:r w:rsidRPr="007B0EDB">
        <w:t>(PO</w:t>
      </w:r>
      <w:r w:rsidRPr="007B0EDB">
        <w:rPr>
          <w:vertAlign w:val="subscript"/>
        </w:rPr>
        <w:t>4</w:t>
      </w:r>
      <w:r w:rsidRPr="007B0EDB">
        <w:t>)</w:t>
      </w:r>
      <w:r w:rsidRPr="007B0EDB">
        <w:rPr>
          <w:vertAlign w:val="subscript"/>
        </w:rPr>
        <w:t>2</w:t>
      </w:r>
      <w:r>
        <w:t xml:space="preserve"> </w:t>
      </w:r>
      <w:r w:rsidR="00A51218">
        <w:t xml:space="preserve">to further </w:t>
      </w:r>
      <w:r w:rsidR="000B3C35">
        <w:t>decontaminate the supernatant</w:t>
      </w:r>
      <w:r w:rsidR="00526F37">
        <w:t xml:space="preserve"> coming</w:t>
      </w:r>
      <w:r w:rsidR="000B3C35">
        <w:t xml:space="preserve"> from </w:t>
      </w:r>
      <w:r>
        <w:t>the</w:t>
      </w:r>
      <w:r w:rsidR="00F832E1">
        <w:t xml:space="preserve"> first precipitation</w:t>
      </w:r>
      <w:r w:rsidR="009B7F85">
        <w:t xml:space="preserve"> </w:t>
      </w:r>
      <w:r w:rsidR="00526F37">
        <w:t>stage</w:t>
      </w:r>
      <w:r w:rsidR="009B7F85">
        <w:t>.</w:t>
      </w:r>
      <w:r w:rsidR="00A65D63">
        <w:t xml:space="preserve"> </w:t>
      </w:r>
      <w:r w:rsidR="00A65D63" w:rsidRPr="009874FD">
        <w:t>However,</w:t>
      </w:r>
      <w:r w:rsidRPr="009874FD">
        <w:t xml:space="preserve"> </w:t>
      </w:r>
      <w:r w:rsidR="00A65D63" w:rsidRPr="009874FD">
        <w:t>t</w:t>
      </w:r>
      <w:r w:rsidRPr="009874FD">
        <w:t>he performance of Ca</w:t>
      </w:r>
      <w:r w:rsidRPr="009874FD">
        <w:rPr>
          <w:vertAlign w:val="subscript"/>
        </w:rPr>
        <w:t>2</w:t>
      </w:r>
      <w:r w:rsidRPr="009874FD">
        <w:t>P</w:t>
      </w:r>
      <w:r w:rsidRPr="009874FD">
        <w:rPr>
          <w:vertAlign w:val="subscript"/>
        </w:rPr>
        <w:t>2</w:t>
      </w:r>
      <w:r w:rsidRPr="009874FD">
        <w:t>O</w:t>
      </w:r>
      <w:r w:rsidRPr="009874FD">
        <w:rPr>
          <w:vertAlign w:val="subscript"/>
        </w:rPr>
        <w:t>7</w:t>
      </w:r>
      <w:r w:rsidRPr="009874FD">
        <w:t xml:space="preserve"> will be </w:t>
      </w:r>
      <w:r w:rsidR="00FF25BF">
        <w:t>assessed</w:t>
      </w:r>
      <w:r w:rsidRPr="009874FD">
        <w:t xml:space="preserve"> in the future</w:t>
      </w:r>
      <w:r w:rsidR="00A65D63">
        <w:t>.</w:t>
      </w:r>
    </w:p>
    <w:p w14:paraId="30F11710" w14:textId="47322F1A" w:rsidR="00005B40" w:rsidRDefault="003F1A89" w:rsidP="00A65D63">
      <w:pPr>
        <w:pStyle w:val="Corpotesto"/>
      </w:pPr>
      <w:r>
        <w:t>Once t</w:t>
      </w:r>
      <w:r w:rsidR="006350A7">
        <w:t xml:space="preserve">he </w:t>
      </w:r>
      <w:r w:rsidR="00836BC9" w:rsidRPr="00F41987">
        <w:t>best experimental conditions</w:t>
      </w:r>
      <w:r>
        <w:t xml:space="preserve"> </w:t>
      </w:r>
      <w:r w:rsidR="009C786D">
        <w:t>of the electrochemical precipitation tests have been achieved</w:t>
      </w:r>
      <w:r w:rsidR="00E14EF8">
        <w:t xml:space="preserve">, </w:t>
      </w:r>
      <w:r w:rsidR="00836BC9" w:rsidRPr="00F41987">
        <w:t>the most promising co-precipitation compounds</w:t>
      </w:r>
      <w:r w:rsidR="00E14EF8">
        <w:t xml:space="preserve"> will be</w:t>
      </w:r>
      <w:r w:rsidR="00F36596">
        <w:t xml:space="preserve"> added</w:t>
      </w:r>
      <w:r w:rsidR="00836BC9" w:rsidRPr="00F41987">
        <w:t xml:space="preserve"> to surrogate metal liquors spiked with radioactive </w:t>
      </w:r>
      <w:r w:rsidR="00FB1E5B">
        <w:t>contaminants</w:t>
      </w:r>
      <w:r w:rsidR="00005B40">
        <w:t>.</w:t>
      </w:r>
    </w:p>
    <w:p w14:paraId="140C6778" w14:textId="1ECD01E0" w:rsidR="00673D37" w:rsidRDefault="00005B40" w:rsidP="00F55C97">
      <w:pPr>
        <w:pStyle w:val="Corpotesto"/>
      </w:pPr>
      <w:r>
        <w:t xml:space="preserve">The outcomes of </w:t>
      </w:r>
      <w:r w:rsidR="00031559">
        <w:t>t</w:t>
      </w:r>
      <w:r w:rsidR="00836BC9" w:rsidRPr="00F41987">
        <w:t>he</w:t>
      </w:r>
      <w:r w:rsidR="00C4170A">
        <w:t>se research activities</w:t>
      </w:r>
      <w:r w:rsidR="00836BC9" w:rsidRPr="00F41987">
        <w:t xml:space="preserve"> will</w:t>
      </w:r>
      <w:r w:rsidR="00C4170A">
        <w:t xml:space="preserve"> be a</w:t>
      </w:r>
      <w:r w:rsidR="0074235A">
        <w:t xml:space="preserve"> </w:t>
      </w:r>
      <w:r w:rsidR="009D5CFA">
        <w:t>crucial</w:t>
      </w:r>
      <w:r w:rsidR="00C4170A">
        <w:t xml:space="preserve"> step forward</w:t>
      </w:r>
      <w:r w:rsidR="00AC1629">
        <w:t xml:space="preserve"> for</w:t>
      </w:r>
      <w:r w:rsidR="00836BC9" w:rsidRPr="00F41987">
        <w:t xml:space="preserve"> a large-scale implementation of th</w:t>
      </w:r>
      <w:r w:rsidR="00F7342B">
        <w:t>is PHADEC-based</w:t>
      </w:r>
      <w:r w:rsidR="00836BC9" w:rsidRPr="00F41987">
        <w:t xml:space="preserve"> process.</w:t>
      </w:r>
    </w:p>
    <w:p w14:paraId="39CD9FC1" w14:textId="77777777" w:rsidR="005D5338" w:rsidRDefault="005D5338" w:rsidP="00F55C97">
      <w:pPr>
        <w:pStyle w:val="Corpotesto"/>
      </w:pPr>
    </w:p>
    <w:p w14:paraId="541826C1" w14:textId="77777777" w:rsidR="005D5338" w:rsidRDefault="005D5338" w:rsidP="005D5338">
      <w:pPr>
        <w:pStyle w:val="Otherunnumberedheadings"/>
      </w:pPr>
      <w:r w:rsidRPr="00925E0E">
        <w:t>ACKNOWLEDGEMENTS</w:t>
      </w:r>
    </w:p>
    <w:p w14:paraId="4A9CBA0B" w14:textId="6BF4F0BF" w:rsidR="005D5338" w:rsidRDefault="007C335D" w:rsidP="007C335D">
      <w:pPr>
        <w:pStyle w:val="Corpotesto"/>
      </w:pPr>
      <w:r w:rsidRPr="007C335D">
        <w:t xml:space="preserve">The research activities are being developed at </w:t>
      </w:r>
      <w:proofErr w:type="spellStart"/>
      <w:r w:rsidRPr="007C335D">
        <w:t>Politecnico</w:t>
      </w:r>
      <w:proofErr w:type="spellEnd"/>
      <w:r w:rsidRPr="007C335D">
        <w:t xml:space="preserve"> di Milano in cooperation with Ansaldo </w:t>
      </w:r>
      <w:proofErr w:type="spellStart"/>
      <w:r w:rsidRPr="007C335D">
        <w:t>Nucleare</w:t>
      </w:r>
      <w:proofErr w:type="spellEnd"/>
      <w:r w:rsidRPr="007C335D">
        <w:t xml:space="preserve"> and supported by ECIR – ECO INIZIATIVA e REALIZZAZIONI S.R.L. This research project is financed by MISE (Italian Minister of Economic Development).</w:t>
      </w:r>
    </w:p>
    <w:p w14:paraId="0EA5779F" w14:textId="25B1936D" w:rsidR="005D5338" w:rsidRDefault="002F677D" w:rsidP="002F677D">
      <w:pPr>
        <w:pStyle w:val="Corpotesto"/>
      </w:pPr>
      <w:r w:rsidRPr="00472399">
        <w:rPr>
          <w:u w:val="single"/>
        </w:rPr>
        <w:t>F. G.</w:t>
      </w:r>
      <w:r w:rsidRPr="00716952">
        <w:t xml:space="preserve"> sincerely acknowledges the Collaborative Doctoral Partnership between </w:t>
      </w:r>
      <w:proofErr w:type="spellStart"/>
      <w:r w:rsidRPr="00716952">
        <w:t>Politecnico</w:t>
      </w:r>
      <w:proofErr w:type="spellEnd"/>
      <w:r w:rsidRPr="00716952">
        <w:t xml:space="preserve"> di Milano and European Commission’s Joint Research Centre – </w:t>
      </w:r>
      <w:proofErr w:type="spellStart"/>
      <w:r w:rsidRPr="00716952">
        <w:t>Ispra</w:t>
      </w:r>
      <w:proofErr w:type="spellEnd"/>
      <w:r w:rsidRPr="00716952">
        <w:t xml:space="preserve"> site on Nuclear Decommissioning and Waste Management.</w:t>
      </w:r>
    </w:p>
    <w:p w14:paraId="2871802F" w14:textId="254F5EC5" w:rsidR="002F677D" w:rsidRDefault="002F677D" w:rsidP="002F677D">
      <w:pPr>
        <w:pStyle w:val="Corpotesto"/>
      </w:pPr>
    </w:p>
    <w:p w14:paraId="70F38148" w14:textId="77777777" w:rsidR="002F677D" w:rsidRDefault="002F677D" w:rsidP="002F677D">
      <w:pPr>
        <w:pStyle w:val="Corpotesto"/>
      </w:pPr>
    </w:p>
    <w:p w14:paraId="3C90C290" w14:textId="18F1C87F" w:rsidR="00673D37" w:rsidRPr="00285755" w:rsidRDefault="00673D37" w:rsidP="00F55C97">
      <w:pPr>
        <w:pStyle w:val="Otherunnumberedheadings"/>
      </w:pPr>
      <w:r>
        <w:lastRenderedPageBreak/>
        <w:t>References</w:t>
      </w:r>
    </w:p>
    <w:p w14:paraId="3BABAA48" w14:textId="22C5C7D1" w:rsidR="00673D37" w:rsidRDefault="00BD0E69" w:rsidP="00673D37">
      <w:pPr>
        <w:pStyle w:val="Referencelist"/>
      </w:pPr>
      <w:r w:rsidRPr="00DB3516">
        <w:t>MOSTE</w:t>
      </w:r>
      <w:r w:rsidR="00DB3516" w:rsidRPr="00DB3516">
        <w:t>ČAK, A., BEDEKOVIĆ</w:t>
      </w:r>
      <w:r w:rsidRPr="00DB3516">
        <w:t>, G.</w:t>
      </w:r>
      <w:r w:rsidR="00DB3516" w:rsidRPr="00DB3516">
        <w:t>,</w:t>
      </w:r>
      <w:r w:rsidR="00DB3516">
        <w:t xml:space="preserve"> Metal waste management and recycle methods in the nuclear power plant decommissioning, The Mining-Geology-Petroleum Engineering Bulletin, </w:t>
      </w:r>
      <w:r w:rsidR="00DB3516" w:rsidRPr="00ED64E4">
        <w:rPr>
          <w:b/>
        </w:rPr>
        <w:t>33</w:t>
      </w:r>
      <w:r w:rsidR="00DB3516">
        <w:t xml:space="preserve"> (2018) 25-33.</w:t>
      </w:r>
    </w:p>
    <w:p w14:paraId="188F726C" w14:textId="6EDEC12E" w:rsidR="00DB3516" w:rsidRDefault="00DB3516" w:rsidP="00673D37">
      <w:pPr>
        <w:pStyle w:val="Referencelist"/>
      </w:pPr>
      <w:r>
        <w:t>N</w:t>
      </w:r>
      <w:r w:rsidR="00EE2ADA">
        <w:t xml:space="preserve">UCLEAR </w:t>
      </w:r>
      <w:r>
        <w:t>E</w:t>
      </w:r>
      <w:r w:rsidR="00EE2ADA">
        <w:t xml:space="preserve">NERGY </w:t>
      </w:r>
      <w:r>
        <w:t>A</w:t>
      </w:r>
      <w:r w:rsidR="00EE2ADA">
        <w:t xml:space="preserve">GENCY, </w:t>
      </w:r>
      <w:r w:rsidR="00F147C8">
        <w:t>Recycling and Reuse of Materials Arising from the Decommissioning of Nuclear Facilities</w:t>
      </w:r>
      <w:r w:rsidR="00EE2ADA">
        <w:t>, NEA No. 7310, OECD (2017).</w:t>
      </w:r>
    </w:p>
    <w:p w14:paraId="61E821AE" w14:textId="4C337E69" w:rsidR="00EE2ADA" w:rsidRDefault="00B60928" w:rsidP="00673D37">
      <w:pPr>
        <w:pStyle w:val="Referencelist"/>
      </w:pPr>
      <w:r>
        <w:t>SANG-HO, L., HYUNG-WOO, S.,</w:t>
      </w:r>
      <w:r w:rsidR="001A62AC">
        <w:t xml:space="preserve"> CHANG-LAK, K., Application Review of Clearance for Metallic Waste After Decommissioning, Proceedings of the Korean Radioactive Waste Society Conference, </w:t>
      </w:r>
      <w:r w:rsidR="001A62AC" w:rsidRPr="00ED64E4">
        <w:rPr>
          <w:b/>
        </w:rPr>
        <w:t>17</w:t>
      </w:r>
      <w:r w:rsidR="00ED64E4">
        <w:rPr>
          <w:b/>
        </w:rPr>
        <w:t xml:space="preserve"> </w:t>
      </w:r>
      <w:r w:rsidR="00ED64E4" w:rsidRPr="00ED64E4">
        <w:t>(2019)</w:t>
      </w:r>
      <w:r w:rsidR="00ED64E4">
        <w:t xml:space="preserve"> 358-359</w:t>
      </w:r>
      <w:r w:rsidR="00490E45">
        <w:t>.</w:t>
      </w:r>
    </w:p>
    <w:p w14:paraId="7017D91D" w14:textId="462328C8" w:rsidR="00F44529" w:rsidRDefault="00F44529" w:rsidP="00F44529">
      <w:pPr>
        <w:pStyle w:val="Referencelist"/>
      </w:pPr>
      <w:r>
        <w:t>COSTA, P., P., COSTA, L., Method for the conditioning of waste coming from decommissioning of nuclear plants, PCT International Bureau WO 2012/062903 (2012)</w:t>
      </w:r>
    </w:p>
    <w:p w14:paraId="4DE058FF" w14:textId="0A569068" w:rsidR="00B3223F" w:rsidRDefault="00B3223F" w:rsidP="00F812F7">
      <w:pPr>
        <w:pStyle w:val="Referencelist"/>
      </w:pPr>
      <w:r>
        <w:t>MESKO, M.G., DAY, D.E., BUNKER, B.C., Immobilization of High-Level Radioactive Sludges in Iron Phosphate Glass, In: Schulz W.W., Lombardo N.J. (eds) Science and Technology for Disposal of Radioactive Tank Wastes, Springer, Boston (1998)</w:t>
      </w:r>
    </w:p>
    <w:p w14:paraId="6265DCA2" w14:textId="7FB223E4" w:rsidR="00ED64E4" w:rsidRDefault="00490E45" w:rsidP="00673D37">
      <w:pPr>
        <w:pStyle w:val="Referencelist"/>
      </w:pPr>
      <w:r>
        <w:t xml:space="preserve">LO FRANO, R., AQUARO, D., FONTANI, E., PILO, F., Application of PHADEC method for the decontamination of radioactive steam piping components of </w:t>
      </w:r>
      <w:proofErr w:type="spellStart"/>
      <w:r>
        <w:t>Caorso</w:t>
      </w:r>
      <w:proofErr w:type="spellEnd"/>
      <w:r>
        <w:t xml:space="preserve"> plant, </w:t>
      </w:r>
      <w:proofErr w:type="spellStart"/>
      <w:r>
        <w:t>Nucl</w:t>
      </w:r>
      <w:proofErr w:type="spellEnd"/>
      <w:r>
        <w:t xml:space="preserve">. Eng. Des., </w:t>
      </w:r>
      <w:r w:rsidRPr="00490E45">
        <w:rPr>
          <w:b/>
        </w:rPr>
        <w:t>273</w:t>
      </w:r>
      <w:r>
        <w:t xml:space="preserve"> (2014) 595-601.</w:t>
      </w:r>
    </w:p>
    <w:p w14:paraId="39065C13" w14:textId="77777777" w:rsidR="00D6036A" w:rsidRPr="00B717A9" w:rsidRDefault="00D6036A" w:rsidP="00D6036A">
      <w:pPr>
        <w:pStyle w:val="Referencelist"/>
        <w:rPr>
          <w:lang w:val="it-IT"/>
        </w:rPr>
      </w:pPr>
      <w:r w:rsidRPr="00B717A9">
        <w:rPr>
          <w:lang w:val="it-IT"/>
        </w:rPr>
        <w:t xml:space="preserve">GALLUCCIO, F., MACERATA, E., MOSSINI, E., CASTAGNOLA, G., PIERANTONI, V., MARIANI, M., </w:t>
      </w:r>
      <w:proofErr w:type="spellStart"/>
      <w:r w:rsidRPr="00B717A9">
        <w:rPr>
          <w:lang w:val="it-IT"/>
        </w:rPr>
        <w:t>Recycling</w:t>
      </w:r>
      <w:proofErr w:type="spellEnd"/>
      <w:r w:rsidRPr="00B717A9">
        <w:rPr>
          <w:lang w:val="it-IT"/>
        </w:rPr>
        <w:t xml:space="preserve"> metal waste in </w:t>
      </w:r>
      <w:proofErr w:type="spellStart"/>
      <w:r w:rsidRPr="00B717A9">
        <w:rPr>
          <w:lang w:val="it-IT"/>
        </w:rPr>
        <w:t>nuclear</w:t>
      </w:r>
      <w:proofErr w:type="spellEnd"/>
      <w:r w:rsidRPr="00B717A9">
        <w:rPr>
          <w:lang w:val="it-IT"/>
        </w:rPr>
        <w:t xml:space="preserve"> decommissioning by </w:t>
      </w:r>
      <w:proofErr w:type="spellStart"/>
      <w:r w:rsidRPr="00B717A9">
        <w:rPr>
          <w:lang w:val="it-IT"/>
        </w:rPr>
        <w:t>advanced</w:t>
      </w:r>
      <w:proofErr w:type="spellEnd"/>
      <w:r w:rsidRPr="00B717A9">
        <w:rPr>
          <w:lang w:val="it-IT"/>
        </w:rPr>
        <w:t xml:space="preserve"> </w:t>
      </w:r>
      <w:proofErr w:type="spellStart"/>
      <w:r w:rsidRPr="00B717A9">
        <w:rPr>
          <w:lang w:val="it-IT"/>
        </w:rPr>
        <w:t>phosphoric</w:t>
      </w:r>
      <w:proofErr w:type="spellEnd"/>
      <w:r w:rsidRPr="00B717A9">
        <w:rPr>
          <w:lang w:val="it-IT"/>
        </w:rPr>
        <w:t xml:space="preserve"> acid </w:t>
      </w:r>
      <w:proofErr w:type="spellStart"/>
      <w:r w:rsidRPr="00B717A9">
        <w:rPr>
          <w:lang w:val="it-IT"/>
        </w:rPr>
        <w:t>decontamination</w:t>
      </w:r>
      <w:proofErr w:type="spellEnd"/>
      <w:r w:rsidRPr="00B717A9">
        <w:rPr>
          <w:lang w:val="it-IT"/>
        </w:rPr>
        <w:t xml:space="preserve"> </w:t>
      </w:r>
      <w:proofErr w:type="spellStart"/>
      <w:r w:rsidRPr="00B717A9">
        <w:rPr>
          <w:lang w:val="it-IT"/>
        </w:rPr>
        <w:t>process</w:t>
      </w:r>
      <w:proofErr w:type="spellEnd"/>
      <w:r w:rsidRPr="00B717A9">
        <w:rPr>
          <w:lang w:val="it-IT"/>
        </w:rPr>
        <w:t xml:space="preserve">, Il Nuovo Cimento </w:t>
      </w:r>
      <w:r w:rsidRPr="00B717A9">
        <w:rPr>
          <w:b/>
          <w:lang w:val="it-IT"/>
        </w:rPr>
        <w:t>43 C</w:t>
      </w:r>
      <w:r w:rsidRPr="00B717A9">
        <w:rPr>
          <w:lang w:val="it-IT"/>
        </w:rPr>
        <w:t xml:space="preserve"> (2020) </w:t>
      </w:r>
    </w:p>
    <w:p w14:paraId="2193AAA6" w14:textId="77777777" w:rsidR="00D6036A" w:rsidRPr="00D6036A" w:rsidRDefault="00D6036A" w:rsidP="00D6036A">
      <w:pPr>
        <w:pStyle w:val="Referencelist"/>
        <w:numPr>
          <w:ilvl w:val="0"/>
          <w:numId w:val="0"/>
        </w:numPr>
        <w:ind w:left="360"/>
        <w:rPr>
          <w:lang w:val="it-IT"/>
        </w:rPr>
      </w:pPr>
    </w:p>
    <w:p w14:paraId="449D57B1" w14:textId="6339ED34" w:rsidR="00673D37" w:rsidRPr="00D6036A" w:rsidRDefault="00673D37" w:rsidP="00537496">
      <w:pPr>
        <w:pStyle w:val="Corpotesto"/>
        <w:rPr>
          <w:lang w:val="it-IT"/>
        </w:rPr>
      </w:pPr>
    </w:p>
    <w:p w14:paraId="404DBDCE" w14:textId="0177607B" w:rsidR="00673D37" w:rsidRPr="00D6036A" w:rsidRDefault="00673D37" w:rsidP="00537496">
      <w:pPr>
        <w:pStyle w:val="Corpotesto"/>
        <w:rPr>
          <w:lang w:val="it-IT"/>
        </w:rPr>
      </w:pPr>
    </w:p>
    <w:p w14:paraId="5BBCFD96" w14:textId="7C595874" w:rsidR="00673D37" w:rsidRPr="00D6036A" w:rsidRDefault="00673D37" w:rsidP="00537496">
      <w:pPr>
        <w:pStyle w:val="Corpotesto"/>
        <w:rPr>
          <w:lang w:val="it-IT"/>
        </w:rPr>
      </w:pPr>
    </w:p>
    <w:p w14:paraId="0AA35434" w14:textId="36E1FE52" w:rsidR="00673D37" w:rsidRPr="00D6036A" w:rsidRDefault="00673D37" w:rsidP="00537496">
      <w:pPr>
        <w:pStyle w:val="Corpotesto"/>
        <w:rPr>
          <w:lang w:val="it-IT"/>
        </w:rPr>
      </w:pPr>
    </w:p>
    <w:p w14:paraId="433FE0B6" w14:textId="77777777" w:rsidR="00F45EEE" w:rsidRPr="00D6036A" w:rsidRDefault="00F45EEE" w:rsidP="00537496">
      <w:pPr>
        <w:pStyle w:val="Corpotesto"/>
        <w:ind w:firstLine="0"/>
        <w:jc w:val="left"/>
        <w:rPr>
          <w:lang w:val="it-IT"/>
        </w:rPr>
      </w:pPr>
    </w:p>
    <w:sectPr w:rsidR="00F45EEE" w:rsidRPr="00D6036A"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F5C2" w14:textId="77777777" w:rsidR="002555ED" w:rsidRDefault="002555ED">
      <w:r>
        <w:separator/>
      </w:r>
    </w:p>
  </w:endnote>
  <w:endnote w:type="continuationSeparator" w:id="0">
    <w:p w14:paraId="125FF558" w14:textId="77777777" w:rsidR="002555ED" w:rsidRDefault="0025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22DD39B3" w:rsidR="006F4B4F" w:rsidRDefault="006F4B4F">
    <w:pPr>
      <w:pStyle w:val="zyxClassification1"/>
    </w:pPr>
    <w:r>
      <w:fldChar w:fldCharType="begin"/>
    </w:r>
    <w:r>
      <w:instrText xml:space="preserve"> DOCPROPERTY "IaeaClassification"  \* MERGEFORMAT </w:instrText>
    </w:r>
    <w:r>
      <w:fldChar w:fldCharType="end"/>
    </w:r>
  </w:p>
  <w:p w14:paraId="433FE0C7" w14:textId="13233323" w:rsidR="006F4B4F" w:rsidRDefault="006F4B4F">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2D30830F" w:rsidR="006F4B4F" w:rsidRDefault="006F4B4F">
    <w:pPr>
      <w:pStyle w:val="zyxClassification1"/>
    </w:pPr>
    <w:r>
      <w:fldChar w:fldCharType="begin"/>
    </w:r>
    <w:r>
      <w:instrText xml:space="preserve"> DOCPROPERTY "IaeaClassification"  \* MERGEFORMAT </w:instrText>
    </w:r>
    <w:r>
      <w:fldChar w:fldCharType="end"/>
    </w:r>
  </w:p>
  <w:p w14:paraId="433FE0C9" w14:textId="31944C8B" w:rsidR="006F4B4F" w:rsidRPr="00037321" w:rsidRDefault="006F4B4F">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C670E">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6F4B4F" w14:paraId="433FE0D8" w14:textId="77777777">
      <w:trPr>
        <w:cantSplit/>
      </w:trPr>
      <w:tc>
        <w:tcPr>
          <w:tcW w:w="4644" w:type="dxa"/>
        </w:tcPr>
        <w:p w14:paraId="433FE0D4" w14:textId="5ECAFA94" w:rsidR="006F4B4F" w:rsidRDefault="006F4B4F">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92DF196" w:rsidR="006F4B4F" w:rsidRDefault="006F4B4F">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33FE0D6" w14:textId="1B53DBC2" w:rsidR="006F4B4F" w:rsidRDefault="006F4B4F">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33FE0D7" w14:textId="3C06CB3D" w:rsidR="006F4B4F" w:rsidRDefault="006F4B4F">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3FE0D9" w14:textId="4DCA9380" w:rsidR="006F4B4F" w:rsidRDefault="006F4B4F">
    <w:r>
      <w:rPr>
        <w:sz w:val="16"/>
      </w:rPr>
      <w:fldChar w:fldCharType="begin"/>
    </w:r>
    <w:r>
      <w:rPr>
        <w:sz w:val="16"/>
      </w:rPr>
      <w:instrText xml:space="preserve"> FILENAME \* MERGEFORMAT </w:instrText>
    </w:r>
    <w:r>
      <w:rPr>
        <w:sz w:val="16"/>
      </w:rPr>
      <w:fldChar w:fldCharType="separate"/>
    </w:r>
    <w:r w:rsidR="0047183E">
      <w:rPr>
        <w:noProof/>
        <w:sz w:val="16"/>
      </w:rPr>
      <w:t>CN294_Paper_Submission_COPREC_B_FG_EM</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D47B" w14:textId="77777777" w:rsidR="002555ED" w:rsidRDefault="002555ED">
      <w:r>
        <w:t>___________________________________________________________________________</w:t>
      </w:r>
    </w:p>
  </w:footnote>
  <w:footnote w:type="continuationSeparator" w:id="0">
    <w:p w14:paraId="0045664F" w14:textId="77777777" w:rsidR="002555ED" w:rsidRDefault="002555ED">
      <w:r>
        <w:t>___________________________________________________________________________</w:t>
      </w:r>
    </w:p>
  </w:footnote>
  <w:footnote w:type="continuationNotice" w:id="1">
    <w:p w14:paraId="236A51DA" w14:textId="77777777" w:rsidR="002555ED" w:rsidRDefault="00255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2" w14:textId="56E93BC3" w:rsidR="006F4B4F" w:rsidRDefault="006F4B4F" w:rsidP="005B13C6">
    <w:pPr>
      <w:pStyle w:val="Runninghead"/>
    </w:pPr>
    <w:r>
      <w:tab/>
      <w:t>IAEA-179</w:t>
    </w:r>
    <w:r>
      <w:tab/>
    </w:r>
    <w:r>
      <w:fldChar w:fldCharType="begin"/>
    </w:r>
    <w:r>
      <w:instrText xml:space="preserve"> DOCPROPERTY "IaeaClassification"  \* MERGEFORMAT </w:instrText>
    </w:r>
    <w:r>
      <w:fldChar w:fldCharType="end"/>
    </w:r>
  </w:p>
  <w:p w14:paraId="433FE0C3" w14:textId="4F76EAB3" w:rsidR="006F4B4F" w:rsidRDefault="006F4B4F">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5" w14:textId="4D7DE688" w:rsidR="006F4B4F" w:rsidRPr="00A76D02" w:rsidRDefault="00A76D02" w:rsidP="00A76D02">
    <w:pPr>
      <w:pStyle w:val="Runninghead"/>
    </w:pPr>
    <w:r>
      <w:t>F. GALLUCCIO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6F4B4F" w14:paraId="433FE0CE" w14:textId="77777777">
      <w:trPr>
        <w:cantSplit/>
        <w:trHeight w:val="716"/>
      </w:trPr>
      <w:tc>
        <w:tcPr>
          <w:tcW w:w="979" w:type="dxa"/>
          <w:vMerge w:val="restart"/>
        </w:tcPr>
        <w:p w14:paraId="433FE0CA" w14:textId="77777777" w:rsidR="006F4B4F" w:rsidRDefault="006F4B4F">
          <w:pPr>
            <w:spacing w:before="180"/>
            <w:ind w:left="17"/>
          </w:pPr>
        </w:p>
      </w:tc>
      <w:tc>
        <w:tcPr>
          <w:tcW w:w="3638" w:type="dxa"/>
          <w:vAlign w:val="bottom"/>
        </w:tcPr>
        <w:p w14:paraId="433FE0CB" w14:textId="77777777" w:rsidR="006F4B4F" w:rsidRDefault="006F4B4F">
          <w:pPr>
            <w:spacing w:after="20"/>
          </w:pPr>
        </w:p>
      </w:tc>
      <w:bookmarkStart w:id="1" w:name="DOC_bkmClassification1"/>
      <w:tc>
        <w:tcPr>
          <w:tcW w:w="5702" w:type="dxa"/>
          <w:vMerge w:val="restart"/>
          <w:tcMar>
            <w:right w:w="193" w:type="dxa"/>
          </w:tcMar>
        </w:tcPr>
        <w:p w14:paraId="433FE0CC" w14:textId="14B28B89" w:rsidR="006F4B4F" w:rsidRDefault="006F4B4F">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33FE0CD" w14:textId="714741B1" w:rsidR="006F4B4F" w:rsidRDefault="006F4B4F">
          <w:pPr>
            <w:pStyle w:val="zyxConfid2Red"/>
          </w:pPr>
          <w:r>
            <w:fldChar w:fldCharType="begin"/>
          </w:r>
          <w:r>
            <w:instrText>DOCPROPERTY "IaeaClassification2"  \* MERGEFORMAT</w:instrText>
          </w:r>
          <w:r>
            <w:fldChar w:fldCharType="end"/>
          </w:r>
        </w:p>
      </w:tc>
    </w:tr>
    <w:tr w:rsidR="006F4B4F" w14:paraId="433FE0D2" w14:textId="77777777">
      <w:trPr>
        <w:cantSplit/>
        <w:trHeight w:val="167"/>
      </w:trPr>
      <w:tc>
        <w:tcPr>
          <w:tcW w:w="979" w:type="dxa"/>
          <w:vMerge/>
        </w:tcPr>
        <w:p w14:paraId="433FE0CF" w14:textId="77777777" w:rsidR="006F4B4F" w:rsidRDefault="006F4B4F">
          <w:pPr>
            <w:spacing w:before="57"/>
          </w:pPr>
        </w:p>
      </w:tc>
      <w:tc>
        <w:tcPr>
          <w:tcW w:w="3638" w:type="dxa"/>
          <w:vAlign w:val="bottom"/>
        </w:tcPr>
        <w:p w14:paraId="433FE0D0" w14:textId="77777777" w:rsidR="006F4B4F" w:rsidRDefault="006F4B4F">
          <w:pPr>
            <w:pStyle w:val="Titolo9"/>
            <w:spacing w:before="0" w:after="10"/>
          </w:pPr>
        </w:p>
      </w:tc>
      <w:tc>
        <w:tcPr>
          <w:tcW w:w="5702" w:type="dxa"/>
          <w:vMerge/>
          <w:vAlign w:val="bottom"/>
        </w:tcPr>
        <w:p w14:paraId="433FE0D1" w14:textId="77777777" w:rsidR="006F4B4F" w:rsidRDefault="006F4B4F">
          <w:pPr>
            <w:pStyle w:val="Titolo9"/>
            <w:spacing w:before="0" w:after="10"/>
          </w:pPr>
        </w:p>
      </w:tc>
    </w:tr>
  </w:tbl>
  <w:p w14:paraId="433FE0D3" w14:textId="77777777" w:rsidR="006F4B4F" w:rsidRDefault="006F4B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065DA"/>
    <w:multiLevelType w:val="hybridMultilevel"/>
    <w:tmpl w:val="CD5CDEC6"/>
    <w:lvl w:ilvl="0" w:tplc="0E38EA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9F3335"/>
    <w:multiLevelType w:val="hybridMultilevel"/>
    <w:tmpl w:val="C6D6AE72"/>
    <w:lvl w:ilvl="0" w:tplc="8EEEDB4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26E611A"/>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olo2"/>
      <w:suff w:val="space"/>
      <w:lvlText w:val="%1%2."/>
      <w:lvlJc w:val="left"/>
      <w:pPr>
        <w:ind w:left="0" w:firstLine="0"/>
      </w:pPr>
      <w:rPr>
        <w:rFonts w:hint="default"/>
        <w:color w:val="auto"/>
      </w:rPr>
    </w:lvl>
    <w:lvl w:ilvl="2">
      <w:start w:val="1"/>
      <w:numFmt w:val="decimal"/>
      <w:lvlRestart w:val="0"/>
      <w:pStyle w:val="Titolo3"/>
      <w:lvlText w:val="%1%2.%3."/>
      <w:lvlJc w:val="left"/>
      <w:pPr>
        <w:ind w:left="0" w:firstLine="0"/>
      </w:pPr>
      <w:rPr>
        <w:rFonts w:hint="default"/>
      </w:rPr>
    </w:lvl>
    <w:lvl w:ilvl="3">
      <w:start w:val="1"/>
      <w:numFmt w:val="decimal"/>
      <w:lvlRestart w:val="0"/>
      <w:pStyle w:val="Tito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12"/>
  </w:num>
  <w:num w:numId="4">
    <w:abstractNumId w:val="12"/>
  </w:num>
  <w:num w:numId="5">
    <w:abstractNumId w:val="12"/>
  </w:num>
  <w:num w:numId="6">
    <w:abstractNumId w:val="6"/>
  </w:num>
  <w:num w:numId="7">
    <w:abstractNumId w:val="9"/>
  </w:num>
  <w:num w:numId="8">
    <w:abstractNumId w:val="13"/>
  </w:num>
  <w:num w:numId="9">
    <w:abstractNumId w:val="1"/>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olo2"/>
        <w:lvlText w:val="%1%2."/>
        <w:lvlJc w:val="left"/>
        <w:pPr>
          <w:ind w:left="0" w:firstLine="0"/>
        </w:pPr>
        <w:rPr>
          <w:rFonts w:hint="default"/>
          <w:color w:val="auto"/>
        </w:rPr>
      </w:lvl>
    </w:lvlOverride>
    <w:lvlOverride w:ilvl="2">
      <w:lvl w:ilvl="2">
        <w:start w:val="1"/>
        <w:numFmt w:val="decimal"/>
        <w:lvlRestart w:val="0"/>
        <w:pStyle w:val="Titolo3"/>
        <w:lvlText w:val="%1%2.%3."/>
        <w:lvlJc w:val="left"/>
        <w:pPr>
          <w:ind w:left="0" w:firstLine="0"/>
        </w:pPr>
        <w:rPr>
          <w:rFonts w:hint="default"/>
        </w:rPr>
      </w:lvl>
    </w:lvlOverride>
    <w:lvlOverride w:ilvl="3">
      <w:lvl w:ilvl="3">
        <w:start w:val="1"/>
        <w:numFmt w:val="none"/>
        <w:lvlRestart w:val="0"/>
        <w:pStyle w:val="Tito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olo2"/>
        <w:suff w:val="space"/>
        <w:lvlText w:val="%1%2."/>
        <w:lvlJc w:val="left"/>
        <w:pPr>
          <w:ind w:left="0" w:firstLine="0"/>
        </w:pPr>
        <w:rPr>
          <w:rFonts w:hint="default"/>
          <w:color w:val="auto"/>
        </w:rPr>
      </w:lvl>
    </w:lvlOverride>
    <w:lvlOverride w:ilvl="2">
      <w:lvl w:ilvl="2">
        <w:start w:val="1"/>
        <w:numFmt w:val="decimal"/>
        <w:lvlRestart w:val="0"/>
        <w:pStyle w:val="Titolo3"/>
        <w:suff w:val="space"/>
        <w:lvlText w:val="%1%2.%3."/>
        <w:lvlJc w:val="left"/>
        <w:pPr>
          <w:ind w:left="0" w:firstLine="0"/>
        </w:pPr>
        <w:rPr>
          <w:rFonts w:hint="default"/>
        </w:rPr>
      </w:lvl>
    </w:lvlOverride>
    <w:lvlOverride w:ilvl="3">
      <w:lvl w:ilvl="3">
        <w:start w:val="1"/>
        <w:numFmt w:val="decimal"/>
        <w:lvlRestart w:val="0"/>
        <w:pStyle w:val="Tito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2"/>
  </w:num>
  <w:num w:numId="22">
    <w:abstractNumId w:val="3"/>
  </w:num>
  <w:num w:numId="23">
    <w:abstractNumId w:val="0"/>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7"/>
  </w:num>
  <w:num w:numId="31">
    <w:abstractNumId w:val="7"/>
  </w:num>
  <w:num w:numId="32">
    <w:abstractNumId w:val="12"/>
  </w:num>
  <w:num w:numId="33">
    <w:abstractNumId w:val="12"/>
  </w:num>
  <w:num w:numId="34">
    <w:abstractNumId w:val="12"/>
  </w:num>
  <w:num w:numId="35">
    <w:abstractNumId w:val="12"/>
  </w:num>
  <w:num w:numId="3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it-IT"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408"/>
    <w:rsid w:val="00004893"/>
    <w:rsid w:val="00005132"/>
    <w:rsid w:val="00005B40"/>
    <w:rsid w:val="0000697B"/>
    <w:rsid w:val="000106CF"/>
    <w:rsid w:val="00013FA0"/>
    <w:rsid w:val="00015674"/>
    <w:rsid w:val="00016953"/>
    <w:rsid w:val="00020497"/>
    <w:rsid w:val="000216B5"/>
    <w:rsid w:val="000218AF"/>
    <w:rsid w:val="00021CD2"/>
    <w:rsid w:val="000229AB"/>
    <w:rsid w:val="0002569A"/>
    <w:rsid w:val="000314CF"/>
    <w:rsid w:val="0003153C"/>
    <w:rsid w:val="00031559"/>
    <w:rsid w:val="00032984"/>
    <w:rsid w:val="000336DE"/>
    <w:rsid w:val="00034BE9"/>
    <w:rsid w:val="00037321"/>
    <w:rsid w:val="00042A9E"/>
    <w:rsid w:val="00042D02"/>
    <w:rsid w:val="00044CE5"/>
    <w:rsid w:val="000638B3"/>
    <w:rsid w:val="000660BE"/>
    <w:rsid w:val="00067F28"/>
    <w:rsid w:val="00071C7E"/>
    <w:rsid w:val="00071D9B"/>
    <w:rsid w:val="00074DF9"/>
    <w:rsid w:val="00074E8A"/>
    <w:rsid w:val="00083660"/>
    <w:rsid w:val="0008476B"/>
    <w:rsid w:val="000850CB"/>
    <w:rsid w:val="00092CF5"/>
    <w:rsid w:val="000944FF"/>
    <w:rsid w:val="00097306"/>
    <w:rsid w:val="00097B1D"/>
    <w:rsid w:val="000A0299"/>
    <w:rsid w:val="000A1299"/>
    <w:rsid w:val="000A2990"/>
    <w:rsid w:val="000A3558"/>
    <w:rsid w:val="000A3E7C"/>
    <w:rsid w:val="000B0F12"/>
    <w:rsid w:val="000B3C35"/>
    <w:rsid w:val="000B3DB8"/>
    <w:rsid w:val="000B4D6A"/>
    <w:rsid w:val="000B6FBF"/>
    <w:rsid w:val="000C0694"/>
    <w:rsid w:val="000C59C6"/>
    <w:rsid w:val="000C76F7"/>
    <w:rsid w:val="000D3C88"/>
    <w:rsid w:val="000D534E"/>
    <w:rsid w:val="000D6E0B"/>
    <w:rsid w:val="000D7798"/>
    <w:rsid w:val="000E0BA5"/>
    <w:rsid w:val="000E2D0E"/>
    <w:rsid w:val="000E46BE"/>
    <w:rsid w:val="000E4B16"/>
    <w:rsid w:val="000E586E"/>
    <w:rsid w:val="000E7FAC"/>
    <w:rsid w:val="000F0CAA"/>
    <w:rsid w:val="000F1919"/>
    <w:rsid w:val="000F52C1"/>
    <w:rsid w:val="000F5560"/>
    <w:rsid w:val="000F6500"/>
    <w:rsid w:val="000F7E94"/>
    <w:rsid w:val="00100A5F"/>
    <w:rsid w:val="0010147B"/>
    <w:rsid w:val="00101A0A"/>
    <w:rsid w:val="0010464B"/>
    <w:rsid w:val="00104D13"/>
    <w:rsid w:val="001059A8"/>
    <w:rsid w:val="00106167"/>
    <w:rsid w:val="0010769C"/>
    <w:rsid w:val="0011112C"/>
    <w:rsid w:val="001119D6"/>
    <w:rsid w:val="0011315E"/>
    <w:rsid w:val="001165FB"/>
    <w:rsid w:val="00116B06"/>
    <w:rsid w:val="0011723E"/>
    <w:rsid w:val="00121F77"/>
    <w:rsid w:val="00122032"/>
    <w:rsid w:val="00125AED"/>
    <w:rsid w:val="001308F2"/>
    <w:rsid w:val="001313E8"/>
    <w:rsid w:val="001334D5"/>
    <w:rsid w:val="00134683"/>
    <w:rsid w:val="0013611A"/>
    <w:rsid w:val="001417F0"/>
    <w:rsid w:val="00141CF6"/>
    <w:rsid w:val="00145299"/>
    <w:rsid w:val="00146941"/>
    <w:rsid w:val="00150C09"/>
    <w:rsid w:val="00150EF1"/>
    <w:rsid w:val="001518BF"/>
    <w:rsid w:val="001538AE"/>
    <w:rsid w:val="0015761A"/>
    <w:rsid w:val="001625A1"/>
    <w:rsid w:val="00164E33"/>
    <w:rsid w:val="001662B3"/>
    <w:rsid w:val="00167392"/>
    <w:rsid w:val="00167928"/>
    <w:rsid w:val="00173FCD"/>
    <w:rsid w:val="0017401F"/>
    <w:rsid w:val="00174FAF"/>
    <w:rsid w:val="00175BC9"/>
    <w:rsid w:val="001764C6"/>
    <w:rsid w:val="001806BF"/>
    <w:rsid w:val="00180A68"/>
    <w:rsid w:val="001812ED"/>
    <w:rsid w:val="00183BC4"/>
    <w:rsid w:val="00183D0D"/>
    <w:rsid w:val="00185A51"/>
    <w:rsid w:val="001907F6"/>
    <w:rsid w:val="00194FC1"/>
    <w:rsid w:val="001A05B1"/>
    <w:rsid w:val="001A129E"/>
    <w:rsid w:val="001A3947"/>
    <w:rsid w:val="001A584D"/>
    <w:rsid w:val="001A62AC"/>
    <w:rsid w:val="001A7FD0"/>
    <w:rsid w:val="001B0555"/>
    <w:rsid w:val="001B15B5"/>
    <w:rsid w:val="001C458F"/>
    <w:rsid w:val="001C4C96"/>
    <w:rsid w:val="001C4D45"/>
    <w:rsid w:val="001C5024"/>
    <w:rsid w:val="001C58F5"/>
    <w:rsid w:val="001D0B54"/>
    <w:rsid w:val="001D0BE4"/>
    <w:rsid w:val="001D5AE6"/>
    <w:rsid w:val="001D5CEE"/>
    <w:rsid w:val="001E05FC"/>
    <w:rsid w:val="001E06FD"/>
    <w:rsid w:val="001E131F"/>
    <w:rsid w:val="001E685C"/>
    <w:rsid w:val="001F0109"/>
    <w:rsid w:val="001F1203"/>
    <w:rsid w:val="001F1E0A"/>
    <w:rsid w:val="001F20C4"/>
    <w:rsid w:val="001F25FA"/>
    <w:rsid w:val="001F3085"/>
    <w:rsid w:val="001F6167"/>
    <w:rsid w:val="001F70AC"/>
    <w:rsid w:val="00205A3C"/>
    <w:rsid w:val="002071D9"/>
    <w:rsid w:val="002079A4"/>
    <w:rsid w:val="002104A1"/>
    <w:rsid w:val="00210691"/>
    <w:rsid w:val="002108E5"/>
    <w:rsid w:val="002121E6"/>
    <w:rsid w:val="00212803"/>
    <w:rsid w:val="00212B17"/>
    <w:rsid w:val="00221C51"/>
    <w:rsid w:val="002235F6"/>
    <w:rsid w:val="00223609"/>
    <w:rsid w:val="00227401"/>
    <w:rsid w:val="00231B30"/>
    <w:rsid w:val="00236A44"/>
    <w:rsid w:val="00241C5D"/>
    <w:rsid w:val="00242197"/>
    <w:rsid w:val="00246B21"/>
    <w:rsid w:val="00252695"/>
    <w:rsid w:val="0025541E"/>
    <w:rsid w:val="002555ED"/>
    <w:rsid w:val="00255C62"/>
    <w:rsid w:val="00256072"/>
    <w:rsid w:val="0025680E"/>
    <w:rsid w:val="00256822"/>
    <w:rsid w:val="0026059F"/>
    <w:rsid w:val="00260C87"/>
    <w:rsid w:val="00262AD8"/>
    <w:rsid w:val="00262D0F"/>
    <w:rsid w:val="0026337C"/>
    <w:rsid w:val="0026430C"/>
    <w:rsid w:val="0026525A"/>
    <w:rsid w:val="00265D75"/>
    <w:rsid w:val="00267082"/>
    <w:rsid w:val="00270539"/>
    <w:rsid w:val="00274790"/>
    <w:rsid w:val="002748CE"/>
    <w:rsid w:val="0027696E"/>
    <w:rsid w:val="0028083B"/>
    <w:rsid w:val="00285755"/>
    <w:rsid w:val="0028596E"/>
    <w:rsid w:val="002864E4"/>
    <w:rsid w:val="00287668"/>
    <w:rsid w:val="00287CF3"/>
    <w:rsid w:val="002968CD"/>
    <w:rsid w:val="002A188E"/>
    <w:rsid w:val="002A1F9C"/>
    <w:rsid w:val="002A56EC"/>
    <w:rsid w:val="002A5F83"/>
    <w:rsid w:val="002A7FE8"/>
    <w:rsid w:val="002B181F"/>
    <w:rsid w:val="002B29C2"/>
    <w:rsid w:val="002B5072"/>
    <w:rsid w:val="002B6D7C"/>
    <w:rsid w:val="002B6FFA"/>
    <w:rsid w:val="002B719D"/>
    <w:rsid w:val="002B73E5"/>
    <w:rsid w:val="002C211E"/>
    <w:rsid w:val="002C4208"/>
    <w:rsid w:val="002C670E"/>
    <w:rsid w:val="002D34B6"/>
    <w:rsid w:val="002D38FB"/>
    <w:rsid w:val="002D6F36"/>
    <w:rsid w:val="002E0D3E"/>
    <w:rsid w:val="002E1CBD"/>
    <w:rsid w:val="002E2E66"/>
    <w:rsid w:val="002E2E8A"/>
    <w:rsid w:val="002E2FBB"/>
    <w:rsid w:val="002E3281"/>
    <w:rsid w:val="002E5A4F"/>
    <w:rsid w:val="002E6C11"/>
    <w:rsid w:val="002E7472"/>
    <w:rsid w:val="002F4D7D"/>
    <w:rsid w:val="002F52A7"/>
    <w:rsid w:val="002F5DA8"/>
    <w:rsid w:val="002F5F4C"/>
    <w:rsid w:val="002F677D"/>
    <w:rsid w:val="00303F29"/>
    <w:rsid w:val="00304A56"/>
    <w:rsid w:val="003102C9"/>
    <w:rsid w:val="00310AAF"/>
    <w:rsid w:val="00313745"/>
    <w:rsid w:val="00317002"/>
    <w:rsid w:val="0032383B"/>
    <w:rsid w:val="00324544"/>
    <w:rsid w:val="003248EE"/>
    <w:rsid w:val="00324B55"/>
    <w:rsid w:val="00330F2D"/>
    <w:rsid w:val="00331C54"/>
    <w:rsid w:val="00335CB6"/>
    <w:rsid w:val="003369DE"/>
    <w:rsid w:val="003377E5"/>
    <w:rsid w:val="00337942"/>
    <w:rsid w:val="00340E81"/>
    <w:rsid w:val="00340F1B"/>
    <w:rsid w:val="003444A2"/>
    <w:rsid w:val="003464CA"/>
    <w:rsid w:val="003506DE"/>
    <w:rsid w:val="003509BA"/>
    <w:rsid w:val="00352DE1"/>
    <w:rsid w:val="00353083"/>
    <w:rsid w:val="003532BD"/>
    <w:rsid w:val="00355D2E"/>
    <w:rsid w:val="00357545"/>
    <w:rsid w:val="00360A26"/>
    <w:rsid w:val="003610EB"/>
    <w:rsid w:val="003621CC"/>
    <w:rsid w:val="0036302D"/>
    <w:rsid w:val="003636A9"/>
    <w:rsid w:val="003671A4"/>
    <w:rsid w:val="00371A03"/>
    <w:rsid w:val="00371DE7"/>
    <w:rsid w:val="003728E6"/>
    <w:rsid w:val="00374AB4"/>
    <w:rsid w:val="00383117"/>
    <w:rsid w:val="00383E25"/>
    <w:rsid w:val="00385901"/>
    <w:rsid w:val="003875FF"/>
    <w:rsid w:val="00391BF3"/>
    <w:rsid w:val="00392325"/>
    <w:rsid w:val="00394313"/>
    <w:rsid w:val="00394C29"/>
    <w:rsid w:val="00395B55"/>
    <w:rsid w:val="0039687D"/>
    <w:rsid w:val="003A22C3"/>
    <w:rsid w:val="003A2799"/>
    <w:rsid w:val="003A519A"/>
    <w:rsid w:val="003A69CF"/>
    <w:rsid w:val="003B02A4"/>
    <w:rsid w:val="003B1A2F"/>
    <w:rsid w:val="003B5688"/>
    <w:rsid w:val="003B5B76"/>
    <w:rsid w:val="003B5E0E"/>
    <w:rsid w:val="003C1347"/>
    <w:rsid w:val="003C5451"/>
    <w:rsid w:val="003C5F37"/>
    <w:rsid w:val="003C62B4"/>
    <w:rsid w:val="003C7506"/>
    <w:rsid w:val="003D255A"/>
    <w:rsid w:val="003D2D13"/>
    <w:rsid w:val="003E23DD"/>
    <w:rsid w:val="003E3FB5"/>
    <w:rsid w:val="003E4C0C"/>
    <w:rsid w:val="003F0D12"/>
    <w:rsid w:val="003F1A89"/>
    <w:rsid w:val="003F2909"/>
    <w:rsid w:val="003F2E25"/>
    <w:rsid w:val="003F424C"/>
    <w:rsid w:val="003F43B8"/>
    <w:rsid w:val="003F4B49"/>
    <w:rsid w:val="003F510A"/>
    <w:rsid w:val="003F54F3"/>
    <w:rsid w:val="003F6758"/>
    <w:rsid w:val="003F739A"/>
    <w:rsid w:val="003F7B36"/>
    <w:rsid w:val="003F7B49"/>
    <w:rsid w:val="003F7E88"/>
    <w:rsid w:val="004005C1"/>
    <w:rsid w:val="00400E4E"/>
    <w:rsid w:val="00401C64"/>
    <w:rsid w:val="00401C8A"/>
    <w:rsid w:val="00402981"/>
    <w:rsid w:val="00405B51"/>
    <w:rsid w:val="00405D27"/>
    <w:rsid w:val="0040670B"/>
    <w:rsid w:val="00406A2A"/>
    <w:rsid w:val="00406CEE"/>
    <w:rsid w:val="00413355"/>
    <w:rsid w:val="00413A90"/>
    <w:rsid w:val="00413C3B"/>
    <w:rsid w:val="00414B1B"/>
    <w:rsid w:val="00416949"/>
    <w:rsid w:val="00420C7F"/>
    <w:rsid w:val="00421AA3"/>
    <w:rsid w:val="00422393"/>
    <w:rsid w:val="00422AD7"/>
    <w:rsid w:val="004238BD"/>
    <w:rsid w:val="00427646"/>
    <w:rsid w:val="00430326"/>
    <w:rsid w:val="00437000"/>
    <w:rsid w:val="004370D8"/>
    <w:rsid w:val="00437BE8"/>
    <w:rsid w:val="004423A7"/>
    <w:rsid w:val="00443012"/>
    <w:rsid w:val="004433A7"/>
    <w:rsid w:val="00444118"/>
    <w:rsid w:val="004450AB"/>
    <w:rsid w:val="0044542D"/>
    <w:rsid w:val="004459DD"/>
    <w:rsid w:val="00445A59"/>
    <w:rsid w:val="00445FDE"/>
    <w:rsid w:val="00450A8B"/>
    <w:rsid w:val="00450F1C"/>
    <w:rsid w:val="00451458"/>
    <w:rsid w:val="004527DE"/>
    <w:rsid w:val="00452ACC"/>
    <w:rsid w:val="0045436E"/>
    <w:rsid w:val="00456171"/>
    <w:rsid w:val="00457414"/>
    <w:rsid w:val="00461BFE"/>
    <w:rsid w:val="004626F5"/>
    <w:rsid w:val="00462A30"/>
    <w:rsid w:val="00463DED"/>
    <w:rsid w:val="00463EB6"/>
    <w:rsid w:val="004715CD"/>
    <w:rsid w:val="0047183E"/>
    <w:rsid w:val="00472C43"/>
    <w:rsid w:val="00473F8D"/>
    <w:rsid w:val="0047453A"/>
    <w:rsid w:val="00475B50"/>
    <w:rsid w:val="00476636"/>
    <w:rsid w:val="00480ACB"/>
    <w:rsid w:val="00481CE6"/>
    <w:rsid w:val="00483DCF"/>
    <w:rsid w:val="004840EA"/>
    <w:rsid w:val="00486C4D"/>
    <w:rsid w:val="004873EA"/>
    <w:rsid w:val="00490BEB"/>
    <w:rsid w:val="00490D30"/>
    <w:rsid w:val="00490E45"/>
    <w:rsid w:val="00492D16"/>
    <w:rsid w:val="00496D93"/>
    <w:rsid w:val="004A02B2"/>
    <w:rsid w:val="004A13EA"/>
    <w:rsid w:val="004A3EC8"/>
    <w:rsid w:val="004A5B30"/>
    <w:rsid w:val="004A63E7"/>
    <w:rsid w:val="004A78F1"/>
    <w:rsid w:val="004B1678"/>
    <w:rsid w:val="004B403B"/>
    <w:rsid w:val="004B56F0"/>
    <w:rsid w:val="004B5CDD"/>
    <w:rsid w:val="004B68BB"/>
    <w:rsid w:val="004B6F38"/>
    <w:rsid w:val="004C14F3"/>
    <w:rsid w:val="004C15C8"/>
    <w:rsid w:val="004C30BB"/>
    <w:rsid w:val="004C408C"/>
    <w:rsid w:val="004C5D96"/>
    <w:rsid w:val="004C6BEC"/>
    <w:rsid w:val="004C73D6"/>
    <w:rsid w:val="004C7B7A"/>
    <w:rsid w:val="004D07C5"/>
    <w:rsid w:val="004D12A5"/>
    <w:rsid w:val="004D2384"/>
    <w:rsid w:val="004D2F6D"/>
    <w:rsid w:val="004D4368"/>
    <w:rsid w:val="004D4D56"/>
    <w:rsid w:val="004D65DB"/>
    <w:rsid w:val="004E030C"/>
    <w:rsid w:val="004E1EE9"/>
    <w:rsid w:val="004E3BB5"/>
    <w:rsid w:val="004F5199"/>
    <w:rsid w:val="004F5837"/>
    <w:rsid w:val="004F73EC"/>
    <w:rsid w:val="004F7885"/>
    <w:rsid w:val="0050019F"/>
    <w:rsid w:val="00500A58"/>
    <w:rsid w:val="00500BC0"/>
    <w:rsid w:val="0050314F"/>
    <w:rsid w:val="00506A5B"/>
    <w:rsid w:val="0051049B"/>
    <w:rsid w:val="005136A2"/>
    <w:rsid w:val="005149B4"/>
    <w:rsid w:val="00517EC1"/>
    <w:rsid w:val="00524CCC"/>
    <w:rsid w:val="00526CAF"/>
    <w:rsid w:val="00526F37"/>
    <w:rsid w:val="00530D8F"/>
    <w:rsid w:val="00532700"/>
    <w:rsid w:val="0053580D"/>
    <w:rsid w:val="00535CED"/>
    <w:rsid w:val="0053679A"/>
    <w:rsid w:val="00537496"/>
    <w:rsid w:val="00541907"/>
    <w:rsid w:val="005426CB"/>
    <w:rsid w:val="005440F7"/>
    <w:rsid w:val="00544ED3"/>
    <w:rsid w:val="00545911"/>
    <w:rsid w:val="0054697E"/>
    <w:rsid w:val="00547D96"/>
    <w:rsid w:val="00553AA7"/>
    <w:rsid w:val="00553B73"/>
    <w:rsid w:val="00562282"/>
    <w:rsid w:val="0056692F"/>
    <w:rsid w:val="005678B4"/>
    <w:rsid w:val="005750E7"/>
    <w:rsid w:val="00581381"/>
    <w:rsid w:val="0058392E"/>
    <w:rsid w:val="0058477B"/>
    <w:rsid w:val="0058654F"/>
    <w:rsid w:val="00587C3F"/>
    <w:rsid w:val="005923C0"/>
    <w:rsid w:val="005935CC"/>
    <w:rsid w:val="00596ACA"/>
    <w:rsid w:val="005A43B2"/>
    <w:rsid w:val="005B13C6"/>
    <w:rsid w:val="005C176B"/>
    <w:rsid w:val="005C47AF"/>
    <w:rsid w:val="005C4CC3"/>
    <w:rsid w:val="005C5519"/>
    <w:rsid w:val="005C70E7"/>
    <w:rsid w:val="005D0900"/>
    <w:rsid w:val="005D2237"/>
    <w:rsid w:val="005D4079"/>
    <w:rsid w:val="005D5338"/>
    <w:rsid w:val="005D70D9"/>
    <w:rsid w:val="005E39BC"/>
    <w:rsid w:val="005E594A"/>
    <w:rsid w:val="005E5C96"/>
    <w:rsid w:val="005E5FAD"/>
    <w:rsid w:val="005E6744"/>
    <w:rsid w:val="005F00A0"/>
    <w:rsid w:val="005F4E6D"/>
    <w:rsid w:val="005F6669"/>
    <w:rsid w:val="00600B82"/>
    <w:rsid w:val="00603CD1"/>
    <w:rsid w:val="00603FE0"/>
    <w:rsid w:val="0060466E"/>
    <w:rsid w:val="0060609D"/>
    <w:rsid w:val="00606F66"/>
    <w:rsid w:val="00615120"/>
    <w:rsid w:val="00620162"/>
    <w:rsid w:val="006231B9"/>
    <w:rsid w:val="006239AD"/>
    <w:rsid w:val="006308F3"/>
    <w:rsid w:val="00630C15"/>
    <w:rsid w:val="0063113E"/>
    <w:rsid w:val="006315C0"/>
    <w:rsid w:val="00632DF0"/>
    <w:rsid w:val="00633E12"/>
    <w:rsid w:val="00634701"/>
    <w:rsid w:val="006350A7"/>
    <w:rsid w:val="00635734"/>
    <w:rsid w:val="006468BB"/>
    <w:rsid w:val="00647F33"/>
    <w:rsid w:val="00650B33"/>
    <w:rsid w:val="00650B58"/>
    <w:rsid w:val="0065670B"/>
    <w:rsid w:val="006620E5"/>
    <w:rsid w:val="00662532"/>
    <w:rsid w:val="00663367"/>
    <w:rsid w:val="0066367E"/>
    <w:rsid w:val="00667AB8"/>
    <w:rsid w:val="00671C5E"/>
    <w:rsid w:val="00673D37"/>
    <w:rsid w:val="00674962"/>
    <w:rsid w:val="00676468"/>
    <w:rsid w:val="00680587"/>
    <w:rsid w:val="00680BEC"/>
    <w:rsid w:val="00685FB5"/>
    <w:rsid w:val="00686CB6"/>
    <w:rsid w:val="00694B20"/>
    <w:rsid w:val="00696EE3"/>
    <w:rsid w:val="006A339A"/>
    <w:rsid w:val="006A517F"/>
    <w:rsid w:val="006B2274"/>
    <w:rsid w:val="006B4944"/>
    <w:rsid w:val="006B6673"/>
    <w:rsid w:val="006C3769"/>
    <w:rsid w:val="006C5912"/>
    <w:rsid w:val="006C7D34"/>
    <w:rsid w:val="006D0262"/>
    <w:rsid w:val="006D2516"/>
    <w:rsid w:val="006D5D18"/>
    <w:rsid w:val="006D62A2"/>
    <w:rsid w:val="006E0DE5"/>
    <w:rsid w:val="006E2C3A"/>
    <w:rsid w:val="006E52E3"/>
    <w:rsid w:val="006E53DA"/>
    <w:rsid w:val="006E5BBB"/>
    <w:rsid w:val="006E6E8B"/>
    <w:rsid w:val="006E7646"/>
    <w:rsid w:val="006F2CCB"/>
    <w:rsid w:val="006F3799"/>
    <w:rsid w:val="006F4B4F"/>
    <w:rsid w:val="006F75A6"/>
    <w:rsid w:val="00700DB2"/>
    <w:rsid w:val="007015BF"/>
    <w:rsid w:val="00702B75"/>
    <w:rsid w:val="00703E4D"/>
    <w:rsid w:val="00707AFC"/>
    <w:rsid w:val="00710625"/>
    <w:rsid w:val="00711900"/>
    <w:rsid w:val="0071463A"/>
    <w:rsid w:val="00715934"/>
    <w:rsid w:val="007163DE"/>
    <w:rsid w:val="00717C6F"/>
    <w:rsid w:val="00720514"/>
    <w:rsid w:val="00720D43"/>
    <w:rsid w:val="00720FD1"/>
    <w:rsid w:val="00722A01"/>
    <w:rsid w:val="00722A52"/>
    <w:rsid w:val="007236EF"/>
    <w:rsid w:val="0072474F"/>
    <w:rsid w:val="00725FF5"/>
    <w:rsid w:val="00731503"/>
    <w:rsid w:val="00732639"/>
    <w:rsid w:val="00734AB9"/>
    <w:rsid w:val="007367C9"/>
    <w:rsid w:val="0074235A"/>
    <w:rsid w:val="00743615"/>
    <w:rsid w:val="007445DA"/>
    <w:rsid w:val="00744C08"/>
    <w:rsid w:val="007463C8"/>
    <w:rsid w:val="00747E82"/>
    <w:rsid w:val="00751375"/>
    <w:rsid w:val="00754574"/>
    <w:rsid w:val="007545FC"/>
    <w:rsid w:val="00755E7D"/>
    <w:rsid w:val="00756475"/>
    <w:rsid w:val="00757FFC"/>
    <w:rsid w:val="007634A9"/>
    <w:rsid w:val="00764B8F"/>
    <w:rsid w:val="00765030"/>
    <w:rsid w:val="00771825"/>
    <w:rsid w:val="00772159"/>
    <w:rsid w:val="00773A62"/>
    <w:rsid w:val="007747C0"/>
    <w:rsid w:val="00777F6D"/>
    <w:rsid w:val="00782596"/>
    <w:rsid w:val="00783B65"/>
    <w:rsid w:val="00783D20"/>
    <w:rsid w:val="007907D6"/>
    <w:rsid w:val="007922A0"/>
    <w:rsid w:val="00792447"/>
    <w:rsid w:val="00794BCC"/>
    <w:rsid w:val="00795598"/>
    <w:rsid w:val="007B0EDB"/>
    <w:rsid w:val="007B23E3"/>
    <w:rsid w:val="007B4F9F"/>
    <w:rsid w:val="007B4FD1"/>
    <w:rsid w:val="007B5A52"/>
    <w:rsid w:val="007B5A87"/>
    <w:rsid w:val="007C104D"/>
    <w:rsid w:val="007C1223"/>
    <w:rsid w:val="007C2071"/>
    <w:rsid w:val="007C335D"/>
    <w:rsid w:val="007C63AC"/>
    <w:rsid w:val="007D1741"/>
    <w:rsid w:val="007D6196"/>
    <w:rsid w:val="007D7CAD"/>
    <w:rsid w:val="007E001A"/>
    <w:rsid w:val="007E0C1D"/>
    <w:rsid w:val="007E2ABC"/>
    <w:rsid w:val="007E392A"/>
    <w:rsid w:val="007E470B"/>
    <w:rsid w:val="007E4976"/>
    <w:rsid w:val="007F0D6F"/>
    <w:rsid w:val="007F5EFB"/>
    <w:rsid w:val="007F75E4"/>
    <w:rsid w:val="00801C0A"/>
    <w:rsid w:val="00802381"/>
    <w:rsid w:val="00802C6A"/>
    <w:rsid w:val="00803F9F"/>
    <w:rsid w:val="00804AD9"/>
    <w:rsid w:val="00806362"/>
    <w:rsid w:val="0081201D"/>
    <w:rsid w:val="00812F8D"/>
    <w:rsid w:val="008324A5"/>
    <w:rsid w:val="008336C2"/>
    <w:rsid w:val="008344FB"/>
    <w:rsid w:val="00836BC9"/>
    <w:rsid w:val="00836D6A"/>
    <w:rsid w:val="00837F6A"/>
    <w:rsid w:val="0084228B"/>
    <w:rsid w:val="008429E4"/>
    <w:rsid w:val="00843236"/>
    <w:rsid w:val="0084593B"/>
    <w:rsid w:val="0084771D"/>
    <w:rsid w:val="00850EE7"/>
    <w:rsid w:val="0085250E"/>
    <w:rsid w:val="00852B96"/>
    <w:rsid w:val="00857FD1"/>
    <w:rsid w:val="00860275"/>
    <w:rsid w:val="00860A5C"/>
    <w:rsid w:val="008633B9"/>
    <w:rsid w:val="00865523"/>
    <w:rsid w:val="0086690C"/>
    <w:rsid w:val="00866B0D"/>
    <w:rsid w:val="0087107C"/>
    <w:rsid w:val="008713AE"/>
    <w:rsid w:val="00872C83"/>
    <w:rsid w:val="00873446"/>
    <w:rsid w:val="00873613"/>
    <w:rsid w:val="008747B1"/>
    <w:rsid w:val="00875E11"/>
    <w:rsid w:val="0087663D"/>
    <w:rsid w:val="00881D11"/>
    <w:rsid w:val="00882C60"/>
    <w:rsid w:val="0088359A"/>
    <w:rsid w:val="00883848"/>
    <w:rsid w:val="008857F4"/>
    <w:rsid w:val="00886AC8"/>
    <w:rsid w:val="00892EF9"/>
    <w:rsid w:val="00897CD5"/>
    <w:rsid w:val="00897ED5"/>
    <w:rsid w:val="008A432C"/>
    <w:rsid w:val="008A76BB"/>
    <w:rsid w:val="008B2E2B"/>
    <w:rsid w:val="008B48B8"/>
    <w:rsid w:val="008B553D"/>
    <w:rsid w:val="008B6BB9"/>
    <w:rsid w:val="008C0B70"/>
    <w:rsid w:val="008C2169"/>
    <w:rsid w:val="008C4995"/>
    <w:rsid w:val="008D15B8"/>
    <w:rsid w:val="008D1D79"/>
    <w:rsid w:val="008D3DC6"/>
    <w:rsid w:val="008D4FCB"/>
    <w:rsid w:val="008D507F"/>
    <w:rsid w:val="008D7093"/>
    <w:rsid w:val="008E26D3"/>
    <w:rsid w:val="008E4718"/>
    <w:rsid w:val="008E6528"/>
    <w:rsid w:val="008E76DA"/>
    <w:rsid w:val="008F16A9"/>
    <w:rsid w:val="008F1C16"/>
    <w:rsid w:val="008F3BF8"/>
    <w:rsid w:val="008F5C22"/>
    <w:rsid w:val="008F79DE"/>
    <w:rsid w:val="00901A46"/>
    <w:rsid w:val="009055C3"/>
    <w:rsid w:val="00906065"/>
    <w:rsid w:val="0091028E"/>
    <w:rsid w:val="00911543"/>
    <w:rsid w:val="00911A01"/>
    <w:rsid w:val="00913333"/>
    <w:rsid w:val="009138AC"/>
    <w:rsid w:val="00913A80"/>
    <w:rsid w:val="00917EA4"/>
    <w:rsid w:val="009216F5"/>
    <w:rsid w:val="00924052"/>
    <w:rsid w:val="00925374"/>
    <w:rsid w:val="00926E2F"/>
    <w:rsid w:val="00932B3D"/>
    <w:rsid w:val="009351EF"/>
    <w:rsid w:val="0094012B"/>
    <w:rsid w:val="00941C32"/>
    <w:rsid w:val="00942ACD"/>
    <w:rsid w:val="00943117"/>
    <w:rsid w:val="00943D68"/>
    <w:rsid w:val="00944795"/>
    <w:rsid w:val="00944E02"/>
    <w:rsid w:val="00944E6B"/>
    <w:rsid w:val="00947D44"/>
    <w:rsid w:val="00950F35"/>
    <w:rsid w:val="009519C9"/>
    <w:rsid w:val="009532A4"/>
    <w:rsid w:val="00954798"/>
    <w:rsid w:val="009630C7"/>
    <w:rsid w:val="00966563"/>
    <w:rsid w:val="009703EF"/>
    <w:rsid w:val="00972E4D"/>
    <w:rsid w:val="00975907"/>
    <w:rsid w:val="009772E3"/>
    <w:rsid w:val="009774F8"/>
    <w:rsid w:val="009800D9"/>
    <w:rsid w:val="00980223"/>
    <w:rsid w:val="009812C4"/>
    <w:rsid w:val="009831D4"/>
    <w:rsid w:val="0098529B"/>
    <w:rsid w:val="00985689"/>
    <w:rsid w:val="009861D1"/>
    <w:rsid w:val="009874FD"/>
    <w:rsid w:val="00987E91"/>
    <w:rsid w:val="00987F70"/>
    <w:rsid w:val="0099216B"/>
    <w:rsid w:val="00995892"/>
    <w:rsid w:val="00995C2C"/>
    <w:rsid w:val="00997835"/>
    <w:rsid w:val="009A1661"/>
    <w:rsid w:val="009A3539"/>
    <w:rsid w:val="009A5890"/>
    <w:rsid w:val="009B0D0F"/>
    <w:rsid w:val="009B177E"/>
    <w:rsid w:val="009B498D"/>
    <w:rsid w:val="009B7F85"/>
    <w:rsid w:val="009C253C"/>
    <w:rsid w:val="009C271C"/>
    <w:rsid w:val="009C2C84"/>
    <w:rsid w:val="009C300C"/>
    <w:rsid w:val="009C786D"/>
    <w:rsid w:val="009D0B86"/>
    <w:rsid w:val="009D0DE6"/>
    <w:rsid w:val="009D1183"/>
    <w:rsid w:val="009D3274"/>
    <w:rsid w:val="009D43AA"/>
    <w:rsid w:val="009D5CFA"/>
    <w:rsid w:val="009D7B7A"/>
    <w:rsid w:val="009E0D5B"/>
    <w:rsid w:val="009E1558"/>
    <w:rsid w:val="009E1A5B"/>
    <w:rsid w:val="009E2785"/>
    <w:rsid w:val="009E2ABE"/>
    <w:rsid w:val="009E3D57"/>
    <w:rsid w:val="009E48DF"/>
    <w:rsid w:val="009E5321"/>
    <w:rsid w:val="009E7E12"/>
    <w:rsid w:val="009F7082"/>
    <w:rsid w:val="009F74E4"/>
    <w:rsid w:val="00A03CE2"/>
    <w:rsid w:val="00A05663"/>
    <w:rsid w:val="00A10809"/>
    <w:rsid w:val="00A1091C"/>
    <w:rsid w:val="00A120B2"/>
    <w:rsid w:val="00A12511"/>
    <w:rsid w:val="00A12DA8"/>
    <w:rsid w:val="00A21685"/>
    <w:rsid w:val="00A218CB"/>
    <w:rsid w:val="00A2382F"/>
    <w:rsid w:val="00A26658"/>
    <w:rsid w:val="00A30D19"/>
    <w:rsid w:val="00A30F37"/>
    <w:rsid w:val="00A30F82"/>
    <w:rsid w:val="00A33050"/>
    <w:rsid w:val="00A351F3"/>
    <w:rsid w:val="00A36DF8"/>
    <w:rsid w:val="00A36FFF"/>
    <w:rsid w:val="00A378FB"/>
    <w:rsid w:val="00A420DA"/>
    <w:rsid w:val="00A42898"/>
    <w:rsid w:val="00A467B9"/>
    <w:rsid w:val="00A51218"/>
    <w:rsid w:val="00A52203"/>
    <w:rsid w:val="00A52C62"/>
    <w:rsid w:val="00A54D97"/>
    <w:rsid w:val="00A5534D"/>
    <w:rsid w:val="00A60DEF"/>
    <w:rsid w:val="00A63266"/>
    <w:rsid w:val="00A65D63"/>
    <w:rsid w:val="00A70DF7"/>
    <w:rsid w:val="00A7226A"/>
    <w:rsid w:val="00A73883"/>
    <w:rsid w:val="00A76D02"/>
    <w:rsid w:val="00A83659"/>
    <w:rsid w:val="00A86B31"/>
    <w:rsid w:val="00A923BF"/>
    <w:rsid w:val="00AA2792"/>
    <w:rsid w:val="00AA29E3"/>
    <w:rsid w:val="00AA6A25"/>
    <w:rsid w:val="00AA6F35"/>
    <w:rsid w:val="00AA7796"/>
    <w:rsid w:val="00AB1E80"/>
    <w:rsid w:val="00AB3BC3"/>
    <w:rsid w:val="00AB513E"/>
    <w:rsid w:val="00AB5723"/>
    <w:rsid w:val="00AB6ACE"/>
    <w:rsid w:val="00AB7EC6"/>
    <w:rsid w:val="00AC1629"/>
    <w:rsid w:val="00AC2A79"/>
    <w:rsid w:val="00AC4266"/>
    <w:rsid w:val="00AC53E8"/>
    <w:rsid w:val="00AC5A3A"/>
    <w:rsid w:val="00AD4181"/>
    <w:rsid w:val="00AD45FF"/>
    <w:rsid w:val="00AD6ECF"/>
    <w:rsid w:val="00AE0D8A"/>
    <w:rsid w:val="00AE2523"/>
    <w:rsid w:val="00AE45AC"/>
    <w:rsid w:val="00AF312F"/>
    <w:rsid w:val="00AF40B5"/>
    <w:rsid w:val="00AF475E"/>
    <w:rsid w:val="00B0353A"/>
    <w:rsid w:val="00B03A20"/>
    <w:rsid w:val="00B06066"/>
    <w:rsid w:val="00B0662D"/>
    <w:rsid w:val="00B0799E"/>
    <w:rsid w:val="00B16154"/>
    <w:rsid w:val="00B16515"/>
    <w:rsid w:val="00B20558"/>
    <w:rsid w:val="00B21B1D"/>
    <w:rsid w:val="00B25A68"/>
    <w:rsid w:val="00B25D5C"/>
    <w:rsid w:val="00B264FB"/>
    <w:rsid w:val="00B30C44"/>
    <w:rsid w:val="00B30F55"/>
    <w:rsid w:val="00B3223F"/>
    <w:rsid w:val="00B32655"/>
    <w:rsid w:val="00B32F22"/>
    <w:rsid w:val="00B35EFE"/>
    <w:rsid w:val="00B3607B"/>
    <w:rsid w:val="00B36088"/>
    <w:rsid w:val="00B36271"/>
    <w:rsid w:val="00B36457"/>
    <w:rsid w:val="00B377B1"/>
    <w:rsid w:val="00B4211A"/>
    <w:rsid w:val="00B44EA3"/>
    <w:rsid w:val="00B451DD"/>
    <w:rsid w:val="00B45697"/>
    <w:rsid w:val="00B47D0F"/>
    <w:rsid w:val="00B50681"/>
    <w:rsid w:val="00B525AB"/>
    <w:rsid w:val="00B52AC8"/>
    <w:rsid w:val="00B52CE6"/>
    <w:rsid w:val="00B55D50"/>
    <w:rsid w:val="00B602B4"/>
    <w:rsid w:val="00B60928"/>
    <w:rsid w:val="00B6182A"/>
    <w:rsid w:val="00B62C98"/>
    <w:rsid w:val="00B65626"/>
    <w:rsid w:val="00B717A9"/>
    <w:rsid w:val="00B751C3"/>
    <w:rsid w:val="00B75A06"/>
    <w:rsid w:val="00B75A49"/>
    <w:rsid w:val="00B77705"/>
    <w:rsid w:val="00B7791C"/>
    <w:rsid w:val="00B816BD"/>
    <w:rsid w:val="00B82FA5"/>
    <w:rsid w:val="00B833C4"/>
    <w:rsid w:val="00B85606"/>
    <w:rsid w:val="00B862EE"/>
    <w:rsid w:val="00B86393"/>
    <w:rsid w:val="00B92A74"/>
    <w:rsid w:val="00B94267"/>
    <w:rsid w:val="00B95C89"/>
    <w:rsid w:val="00B96381"/>
    <w:rsid w:val="00B96F78"/>
    <w:rsid w:val="00BA021E"/>
    <w:rsid w:val="00BA4C15"/>
    <w:rsid w:val="00BA548F"/>
    <w:rsid w:val="00BA7131"/>
    <w:rsid w:val="00BB084F"/>
    <w:rsid w:val="00BB379D"/>
    <w:rsid w:val="00BB3953"/>
    <w:rsid w:val="00BB407B"/>
    <w:rsid w:val="00BB5AF1"/>
    <w:rsid w:val="00BC1831"/>
    <w:rsid w:val="00BC6319"/>
    <w:rsid w:val="00BC6B08"/>
    <w:rsid w:val="00BD0E69"/>
    <w:rsid w:val="00BD0FD7"/>
    <w:rsid w:val="00BD1400"/>
    <w:rsid w:val="00BD3285"/>
    <w:rsid w:val="00BD4FEC"/>
    <w:rsid w:val="00BD605C"/>
    <w:rsid w:val="00BE2A76"/>
    <w:rsid w:val="00BE3213"/>
    <w:rsid w:val="00BE444E"/>
    <w:rsid w:val="00BE4856"/>
    <w:rsid w:val="00BE70C8"/>
    <w:rsid w:val="00BF526A"/>
    <w:rsid w:val="00BF6F60"/>
    <w:rsid w:val="00C032C0"/>
    <w:rsid w:val="00C049F8"/>
    <w:rsid w:val="00C04B2C"/>
    <w:rsid w:val="00C061B9"/>
    <w:rsid w:val="00C0674A"/>
    <w:rsid w:val="00C07308"/>
    <w:rsid w:val="00C07833"/>
    <w:rsid w:val="00C11EDE"/>
    <w:rsid w:val="00C12245"/>
    <w:rsid w:val="00C1226E"/>
    <w:rsid w:val="00C126C4"/>
    <w:rsid w:val="00C12FEE"/>
    <w:rsid w:val="00C13C2D"/>
    <w:rsid w:val="00C22209"/>
    <w:rsid w:val="00C231C3"/>
    <w:rsid w:val="00C271CF"/>
    <w:rsid w:val="00C27DF8"/>
    <w:rsid w:val="00C30ADC"/>
    <w:rsid w:val="00C31426"/>
    <w:rsid w:val="00C37608"/>
    <w:rsid w:val="00C37BEB"/>
    <w:rsid w:val="00C40747"/>
    <w:rsid w:val="00C4170A"/>
    <w:rsid w:val="00C44D9A"/>
    <w:rsid w:val="00C52947"/>
    <w:rsid w:val="00C557DE"/>
    <w:rsid w:val="00C56ACF"/>
    <w:rsid w:val="00C56FCD"/>
    <w:rsid w:val="00C6364D"/>
    <w:rsid w:val="00C63C37"/>
    <w:rsid w:val="00C64686"/>
    <w:rsid w:val="00C64E78"/>
    <w:rsid w:val="00C65967"/>
    <w:rsid w:val="00C65E60"/>
    <w:rsid w:val="00C65E64"/>
    <w:rsid w:val="00C77CDF"/>
    <w:rsid w:val="00C824A8"/>
    <w:rsid w:val="00C84DBE"/>
    <w:rsid w:val="00C85C22"/>
    <w:rsid w:val="00C85E88"/>
    <w:rsid w:val="00C9209E"/>
    <w:rsid w:val="00C9215B"/>
    <w:rsid w:val="00C96CDE"/>
    <w:rsid w:val="00CA21BA"/>
    <w:rsid w:val="00CA3560"/>
    <w:rsid w:val="00CA4786"/>
    <w:rsid w:val="00CA4BE7"/>
    <w:rsid w:val="00CA5432"/>
    <w:rsid w:val="00CA62AE"/>
    <w:rsid w:val="00CA6754"/>
    <w:rsid w:val="00CB15EC"/>
    <w:rsid w:val="00CB2C1C"/>
    <w:rsid w:val="00CB5654"/>
    <w:rsid w:val="00CB660D"/>
    <w:rsid w:val="00CC197A"/>
    <w:rsid w:val="00CC3AD8"/>
    <w:rsid w:val="00CC56BB"/>
    <w:rsid w:val="00CD1269"/>
    <w:rsid w:val="00CD24CE"/>
    <w:rsid w:val="00CD4698"/>
    <w:rsid w:val="00CD5AFE"/>
    <w:rsid w:val="00CE2B5D"/>
    <w:rsid w:val="00CE31E4"/>
    <w:rsid w:val="00CE4EC1"/>
    <w:rsid w:val="00CE5A52"/>
    <w:rsid w:val="00CF0020"/>
    <w:rsid w:val="00CF2C9C"/>
    <w:rsid w:val="00CF3805"/>
    <w:rsid w:val="00CF422A"/>
    <w:rsid w:val="00CF532E"/>
    <w:rsid w:val="00CF55EE"/>
    <w:rsid w:val="00CF6024"/>
    <w:rsid w:val="00CF74C8"/>
    <w:rsid w:val="00CF7AF3"/>
    <w:rsid w:val="00CF7C5A"/>
    <w:rsid w:val="00D04366"/>
    <w:rsid w:val="00D044F5"/>
    <w:rsid w:val="00D10256"/>
    <w:rsid w:val="00D13AE2"/>
    <w:rsid w:val="00D13F2B"/>
    <w:rsid w:val="00D161EE"/>
    <w:rsid w:val="00D17C85"/>
    <w:rsid w:val="00D20FB6"/>
    <w:rsid w:val="00D20FEE"/>
    <w:rsid w:val="00D24514"/>
    <w:rsid w:val="00D26412"/>
    <w:rsid w:val="00D26ADA"/>
    <w:rsid w:val="00D2733F"/>
    <w:rsid w:val="00D339A6"/>
    <w:rsid w:val="00D35A78"/>
    <w:rsid w:val="00D35F29"/>
    <w:rsid w:val="00D36BF2"/>
    <w:rsid w:val="00D41CA0"/>
    <w:rsid w:val="00D43198"/>
    <w:rsid w:val="00D4773D"/>
    <w:rsid w:val="00D51868"/>
    <w:rsid w:val="00D51962"/>
    <w:rsid w:val="00D555A1"/>
    <w:rsid w:val="00D6036A"/>
    <w:rsid w:val="00D61DA5"/>
    <w:rsid w:val="00D64DC2"/>
    <w:rsid w:val="00D71253"/>
    <w:rsid w:val="00D73BE6"/>
    <w:rsid w:val="00D74AD7"/>
    <w:rsid w:val="00D775A6"/>
    <w:rsid w:val="00D777E8"/>
    <w:rsid w:val="00D81204"/>
    <w:rsid w:val="00D8251A"/>
    <w:rsid w:val="00D86979"/>
    <w:rsid w:val="00D9307C"/>
    <w:rsid w:val="00D93BFF"/>
    <w:rsid w:val="00D9521B"/>
    <w:rsid w:val="00D95ECB"/>
    <w:rsid w:val="00DA14BE"/>
    <w:rsid w:val="00DA1B4D"/>
    <w:rsid w:val="00DA457E"/>
    <w:rsid w:val="00DA46CA"/>
    <w:rsid w:val="00DA5364"/>
    <w:rsid w:val="00DB0494"/>
    <w:rsid w:val="00DB04A2"/>
    <w:rsid w:val="00DB1A50"/>
    <w:rsid w:val="00DB275F"/>
    <w:rsid w:val="00DB3049"/>
    <w:rsid w:val="00DB3516"/>
    <w:rsid w:val="00DB35BD"/>
    <w:rsid w:val="00DB4258"/>
    <w:rsid w:val="00DB77A4"/>
    <w:rsid w:val="00DC0543"/>
    <w:rsid w:val="00DC0612"/>
    <w:rsid w:val="00DC0738"/>
    <w:rsid w:val="00DC2A8C"/>
    <w:rsid w:val="00DC4523"/>
    <w:rsid w:val="00DC4D0C"/>
    <w:rsid w:val="00DD0C21"/>
    <w:rsid w:val="00DD104C"/>
    <w:rsid w:val="00DD2A46"/>
    <w:rsid w:val="00DD7A85"/>
    <w:rsid w:val="00DD7C24"/>
    <w:rsid w:val="00DE0134"/>
    <w:rsid w:val="00DE0B0E"/>
    <w:rsid w:val="00DE1721"/>
    <w:rsid w:val="00DE21ED"/>
    <w:rsid w:val="00DE6E18"/>
    <w:rsid w:val="00DE7557"/>
    <w:rsid w:val="00DF0357"/>
    <w:rsid w:val="00DF1D74"/>
    <w:rsid w:val="00DF207D"/>
    <w:rsid w:val="00DF21EB"/>
    <w:rsid w:val="00DF33C2"/>
    <w:rsid w:val="00DF3537"/>
    <w:rsid w:val="00DF4CA1"/>
    <w:rsid w:val="00DF6AE9"/>
    <w:rsid w:val="00DF6C2F"/>
    <w:rsid w:val="00E01643"/>
    <w:rsid w:val="00E03203"/>
    <w:rsid w:val="00E04A86"/>
    <w:rsid w:val="00E057F6"/>
    <w:rsid w:val="00E05B77"/>
    <w:rsid w:val="00E1321B"/>
    <w:rsid w:val="00E1483D"/>
    <w:rsid w:val="00E14DD0"/>
    <w:rsid w:val="00E14EF8"/>
    <w:rsid w:val="00E20E70"/>
    <w:rsid w:val="00E21118"/>
    <w:rsid w:val="00E21507"/>
    <w:rsid w:val="00E24B0F"/>
    <w:rsid w:val="00E25B68"/>
    <w:rsid w:val="00E2741E"/>
    <w:rsid w:val="00E348F5"/>
    <w:rsid w:val="00E35D19"/>
    <w:rsid w:val="00E36B25"/>
    <w:rsid w:val="00E4073E"/>
    <w:rsid w:val="00E40EC3"/>
    <w:rsid w:val="00E537BA"/>
    <w:rsid w:val="00E54AD0"/>
    <w:rsid w:val="00E62D91"/>
    <w:rsid w:val="00E64E92"/>
    <w:rsid w:val="00E66D0B"/>
    <w:rsid w:val="00E70CB9"/>
    <w:rsid w:val="00E71CE9"/>
    <w:rsid w:val="00E72F6C"/>
    <w:rsid w:val="00E75647"/>
    <w:rsid w:val="00E75AA3"/>
    <w:rsid w:val="00E77499"/>
    <w:rsid w:val="00E7762C"/>
    <w:rsid w:val="00E84003"/>
    <w:rsid w:val="00E85DE4"/>
    <w:rsid w:val="00E863DE"/>
    <w:rsid w:val="00E87D3C"/>
    <w:rsid w:val="00E90B0F"/>
    <w:rsid w:val="00E94746"/>
    <w:rsid w:val="00E9780F"/>
    <w:rsid w:val="00EA117D"/>
    <w:rsid w:val="00EA174D"/>
    <w:rsid w:val="00EA1A03"/>
    <w:rsid w:val="00EA64FD"/>
    <w:rsid w:val="00EA6D1E"/>
    <w:rsid w:val="00EB1B26"/>
    <w:rsid w:val="00EB30BC"/>
    <w:rsid w:val="00EB57D6"/>
    <w:rsid w:val="00EB787F"/>
    <w:rsid w:val="00EC10FC"/>
    <w:rsid w:val="00EC3592"/>
    <w:rsid w:val="00EC406A"/>
    <w:rsid w:val="00EC4137"/>
    <w:rsid w:val="00EC41A6"/>
    <w:rsid w:val="00EC49E4"/>
    <w:rsid w:val="00ED0A99"/>
    <w:rsid w:val="00ED6074"/>
    <w:rsid w:val="00ED64E4"/>
    <w:rsid w:val="00ED6600"/>
    <w:rsid w:val="00ED7946"/>
    <w:rsid w:val="00EE0041"/>
    <w:rsid w:val="00EE15FB"/>
    <w:rsid w:val="00EE29B9"/>
    <w:rsid w:val="00EE2ADA"/>
    <w:rsid w:val="00EE2B60"/>
    <w:rsid w:val="00EE4C27"/>
    <w:rsid w:val="00EF0202"/>
    <w:rsid w:val="00EF2FCB"/>
    <w:rsid w:val="00EF5230"/>
    <w:rsid w:val="00F004EE"/>
    <w:rsid w:val="00F0062C"/>
    <w:rsid w:val="00F018F2"/>
    <w:rsid w:val="00F01BB1"/>
    <w:rsid w:val="00F036CF"/>
    <w:rsid w:val="00F03D0A"/>
    <w:rsid w:val="00F0614D"/>
    <w:rsid w:val="00F100FC"/>
    <w:rsid w:val="00F1080D"/>
    <w:rsid w:val="00F10FE3"/>
    <w:rsid w:val="00F147C8"/>
    <w:rsid w:val="00F1526D"/>
    <w:rsid w:val="00F1684B"/>
    <w:rsid w:val="00F175A7"/>
    <w:rsid w:val="00F25929"/>
    <w:rsid w:val="00F31CF7"/>
    <w:rsid w:val="00F332FF"/>
    <w:rsid w:val="00F334BF"/>
    <w:rsid w:val="00F34590"/>
    <w:rsid w:val="00F3627E"/>
    <w:rsid w:val="00F36596"/>
    <w:rsid w:val="00F36697"/>
    <w:rsid w:val="00F36D97"/>
    <w:rsid w:val="00F37DD8"/>
    <w:rsid w:val="00F41987"/>
    <w:rsid w:val="00F42E23"/>
    <w:rsid w:val="00F43361"/>
    <w:rsid w:val="00F44529"/>
    <w:rsid w:val="00F45EEE"/>
    <w:rsid w:val="00F477BA"/>
    <w:rsid w:val="00F51E9C"/>
    <w:rsid w:val="00F523CA"/>
    <w:rsid w:val="00F52BC8"/>
    <w:rsid w:val="00F55C97"/>
    <w:rsid w:val="00F61350"/>
    <w:rsid w:val="00F62392"/>
    <w:rsid w:val="00F63941"/>
    <w:rsid w:val="00F65352"/>
    <w:rsid w:val="00F66507"/>
    <w:rsid w:val="00F701F1"/>
    <w:rsid w:val="00F70CB3"/>
    <w:rsid w:val="00F716EB"/>
    <w:rsid w:val="00F7342B"/>
    <w:rsid w:val="00F74A9D"/>
    <w:rsid w:val="00F74D10"/>
    <w:rsid w:val="00F76BA5"/>
    <w:rsid w:val="00F812F7"/>
    <w:rsid w:val="00F813F2"/>
    <w:rsid w:val="00F81889"/>
    <w:rsid w:val="00F81CFE"/>
    <w:rsid w:val="00F8224A"/>
    <w:rsid w:val="00F82940"/>
    <w:rsid w:val="00F82C98"/>
    <w:rsid w:val="00F82FE4"/>
    <w:rsid w:val="00F832E1"/>
    <w:rsid w:val="00F8625C"/>
    <w:rsid w:val="00F93E7F"/>
    <w:rsid w:val="00F9410B"/>
    <w:rsid w:val="00F94272"/>
    <w:rsid w:val="00F94D52"/>
    <w:rsid w:val="00FA1453"/>
    <w:rsid w:val="00FB178B"/>
    <w:rsid w:val="00FB18F8"/>
    <w:rsid w:val="00FB1E5B"/>
    <w:rsid w:val="00FB1FBF"/>
    <w:rsid w:val="00FB2B1A"/>
    <w:rsid w:val="00FB4395"/>
    <w:rsid w:val="00FC02F0"/>
    <w:rsid w:val="00FC03F8"/>
    <w:rsid w:val="00FC0F4E"/>
    <w:rsid w:val="00FC1317"/>
    <w:rsid w:val="00FC186F"/>
    <w:rsid w:val="00FC40B4"/>
    <w:rsid w:val="00FC48C1"/>
    <w:rsid w:val="00FC5260"/>
    <w:rsid w:val="00FC5510"/>
    <w:rsid w:val="00FC59E5"/>
    <w:rsid w:val="00FD104F"/>
    <w:rsid w:val="00FD4451"/>
    <w:rsid w:val="00FD70AB"/>
    <w:rsid w:val="00FD75B3"/>
    <w:rsid w:val="00FE341F"/>
    <w:rsid w:val="00FF1C87"/>
    <w:rsid w:val="00FF25BF"/>
    <w:rsid w:val="00FF2709"/>
    <w:rsid w:val="00FF386F"/>
    <w:rsid w:val="00FF4000"/>
    <w:rsid w:val="00FF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uiPriority w:val="49"/>
    <w:rsid w:val="00CF7AF3"/>
    <w:pPr>
      <w:overflowPunct w:val="0"/>
      <w:autoSpaceDE w:val="0"/>
      <w:autoSpaceDN w:val="0"/>
      <w:adjustRightInd w:val="0"/>
      <w:textAlignment w:val="baseline"/>
    </w:pPr>
    <w:rPr>
      <w:sz w:val="22"/>
      <w:lang w:eastAsia="en-US"/>
    </w:rPr>
  </w:style>
  <w:style w:type="paragraph" w:styleId="Titolo1">
    <w:name w:val="heading 1"/>
    <w:aliases w:val="Paper title"/>
    <w:next w:val="Sottotito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olo2">
    <w:name w:val="heading 2"/>
    <w:aliases w:val="1st level paper heading"/>
    <w:next w:val="Corpotesto"/>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olo3">
    <w:name w:val="heading 3"/>
    <w:aliases w:val="2nd level paper heading"/>
    <w:next w:val="Corpotesto"/>
    <w:uiPriority w:val="4"/>
    <w:qFormat/>
    <w:rsid w:val="00897ED5"/>
    <w:pPr>
      <w:widowControl w:val="0"/>
      <w:numPr>
        <w:ilvl w:val="2"/>
        <w:numId w:val="12"/>
      </w:numPr>
      <w:spacing w:before="240" w:after="240" w:line="240" w:lineRule="exact"/>
      <w:outlineLvl w:val="2"/>
    </w:pPr>
    <w:rPr>
      <w:b/>
      <w:lang w:eastAsia="en-US"/>
    </w:rPr>
  </w:style>
  <w:style w:type="paragraph" w:styleId="Titolo4">
    <w:name w:val="heading 4"/>
    <w:aliases w:val="3rd level paper heading"/>
    <w:basedOn w:val="Normale"/>
    <w:next w:val="Corpotes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olo5">
    <w:name w:val="heading 5"/>
    <w:basedOn w:val="Normale"/>
    <w:next w:val="Normale"/>
    <w:uiPriority w:val="19"/>
    <w:locked/>
    <w:pPr>
      <w:overflowPunct/>
      <w:autoSpaceDE/>
      <w:autoSpaceDN/>
      <w:adjustRightInd/>
      <w:spacing w:before="240" w:after="60"/>
      <w:textAlignment w:val="auto"/>
      <w:outlineLvl w:val="4"/>
    </w:pPr>
    <w:rPr>
      <w:b/>
      <w:bCs/>
      <w:i/>
      <w:iCs/>
      <w:sz w:val="26"/>
      <w:szCs w:val="26"/>
      <w:lang w:val="en-US"/>
    </w:rPr>
  </w:style>
  <w:style w:type="paragraph" w:styleId="Titolo6">
    <w:name w:val="heading 6"/>
    <w:basedOn w:val="Normale"/>
    <w:next w:val="Normale"/>
    <w:uiPriority w:val="19"/>
    <w:locked/>
    <w:pPr>
      <w:overflowPunct/>
      <w:autoSpaceDE/>
      <w:autoSpaceDN/>
      <w:adjustRightInd/>
      <w:spacing w:before="240" w:after="60"/>
      <w:textAlignment w:val="auto"/>
      <w:outlineLvl w:val="5"/>
    </w:pPr>
    <w:rPr>
      <w:b/>
      <w:bCs/>
      <w:szCs w:val="22"/>
      <w:lang w:val="en-US"/>
    </w:rPr>
  </w:style>
  <w:style w:type="paragraph" w:styleId="Titolo7">
    <w:name w:val="heading 7"/>
    <w:basedOn w:val="Normale"/>
    <w:next w:val="Normale"/>
    <w:uiPriority w:val="19"/>
    <w:locked/>
    <w:pPr>
      <w:overflowPunct/>
      <w:autoSpaceDE/>
      <w:autoSpaceDN/>
      <w:adjustRightInd/>
      <w:spacing w:before="240" w:after="60"/>
      <w:textAlignment w:val="auto"/>
      <w:outlineLvl w:val="6"/>
    </w:pPr>
    <w:rPr>
      <w:szCs w:val="24"/>
      <w:lang w:val="en-US"/>
    </w:rPr>
  </w:style>
  <w:style w:type="paragraph" w:styleId="Titolo8">
    <w:name w:val="heading 8"/>
    <w:basedOn w:val="Normale"/>
    <w:next w:val="Normale"/>
    <w:uiPriority w:val="19"/>
    <w:locked/>
    <w:pPr>
      <w:overflowPunct/>
      <w:autoSpaceDE/>
      <w:autoSpaceDN/>
      <w:adjustRightInd/>
      <w:spacing w:before="240" w:after="60"/>
      <w:textAlignment w:val="auto"/>
      <w:outlineLvl w:val="7"/>
    </w:pPr>
    <w:rPr>
      <w:i/>
      <w:iCs/>
      <w:szCs w:val="24"/>
      <w:lang w:val="en-US"/>
    </w:rPr>
  </w:style>
  <w:style w:type="paragraph" w:styleId="Titolo9">
    <w:name w:val="heading 9"/>
    <w:basedOn w:val="Normale"/>
    <w:next w:val="Normale"/>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qFormat/>
    <w:rsid w:val="00647F33"/>
    <w:pPr>
      <w:spacing w:line="260" w:lineRule="atLeast"/>
      <w:ind w:firstLine="567"/>
      <w:contextualSpacing/>
      <w:jc w:val="both"/>
    </w:pPr>
    <w:rPr>
      <w:lang w:eastAsia="en-US"/>
    </w:rPr>
  </w:style>
  <w:style w:type="paragraph" w:styleId="Rientrocorpodeltesto">
    <w:name w:val="Body Text Indent"/>
    <w:basedOn w:val="Corpotesto"/>
    <w:uiPriority w:val="49"/>
    <w:locked/>
    <w:pPr>
      <w:ind w:left="1134" w:hanging="675"/>
    </w:pPr>
  </w:style>
  <w:style w:type="paragraph" w:customStyle="1" w:styleId="BodyTextMultiline">
    <w:name w:val="Body Text Multiline"/>
    <w:basedOn w:val="Corpotes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idascalia">
    <w:name w:val="caption"/>
    <w:next w:val="Normale"/>
    <w:uiPriority w:val="49"/>
    <w:pPr>
      <w:spacing w:after="85"/>
    </w:pPr>
    <w:rPr>
      <w:bCs/>
      <w:sz w:val="18"/>
      <w:lang w:val="en-US" w:eastAsia="en-US"/>
    </w:rPr>
  </w:style>
  <w:style w:type="paragraph" w:styleId="Pidipagina">
    <w:name w:val="footer"/>
    <w:basedOn w:val="Normale"/>
    <w:link w:val="PidipaginaCarattere"/>
    <w:uiPriority w:val="99"/>
    <w:locked/>
    <w:pPr>
      <w:overflowPunct/>
      <w:autoSpaceDE/>
      <w:autoSpaceDN/>
      <w:adjustRightInd/>
      <w:textAlignment w:val="auto"/>
    </w:pPr>
    <w:rPr>
      <w:sz w:val="2"/>
      <w:lang w:val="en-US"/>
    </w:rPr>
  </w:style>
  <w:style w:type="paragraph" w:styleId="Testonotaapidipagina">
    <w:name w:val="footnote text"/>
    <w:semiHidden/>
    <w:locked/>
    <w:pPr>
      <w:tabs>
        <w:tab w:val="left" w:pos="459"/>
      </w:tabs>
      <w:spacing w:before="142"/>
      <w:ind w:left="459"/>
      <w:jc w:val="both"/>
    </w:pPr>
    <w:rPr>
      <w:sz w:val="18"/>
      <w:lang w:eastAsia="en-US"/>
    </w:rPr>
  </w:style>
  <w:style w:type="paragraph" w:styleId="Intestazione">
    <w:name w:val="header"/>
    <w:next w:val="Corpotes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testo"/>
    <w:uiPriority w:val="6"/>
    <w:qFormat/>
    <w:rsid w:val="00717C6F"/>
    <w:pPr>
      <w:numPr>
        <w:numId w:val="20"/>
      </w:numPr>
      <w:ind w:left="709"/>
    </w:pPr>
  </w:style>
  <w:style w:type="paragraph" w:customStyle="1" w:styleId="ListNumbered">
    <w:name w:val="List Numbered"/>
    <w:basedOn w:val="Corpotesto"/>
    <w:uiPriority w:val="5"/>
    <w:qFormat/>
    <w:locked/>
    <w:rsid w:val="00717C6F"/>
    <w:pPr>
      <w:numPr>
        <w:numId w:val="22"/>
      </w:numPr>
    </w:pPr>
  </w:style>
  <w:style w:type="paragraph" w:styleId="Tito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e"/>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e"/>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e"/>
    <w:uiPriority w:val="49"/>
    <w:locked/>
    <w:pPr>
      <w:keepNext/>
      <w:spacing w:after="10"/>
    </w:pPr>
    <w:rPr>
      <w:rFonts w:ascii="Arial" w:hAnsi="Arial"/>
      <w:b/>
      <w:sz w:val="13"/>
    </w:rPr>
  </w:style>
  <w:style w:type="paragraph" w:customStyle="1" w:styleId="zyxP1Footer">
    <w:name w:val="zyxP1_Footer"/>
    <w:basedOn w:val="Normale"/>
    <w:uiPriority w:val="49"/>
    <w:locked/>
    <w:pPr>
      <w:widowControl w:val="0"/>
      <w:spacing w:line="160" w:lineRule="exact"/>
      <w:ind w:left="108"/>
    </w:pPr>
    <w:rPr>
      <w:sz w:val="14"/>
    </w:rPr>
  </w:style>
  <w:style w:type="paragraph" w:customStyle="1" w:styleId="zyxSensitivity">
    <w:name w:val="zyxSensitivity"/>
    <w:basedOn w:val="Normale"/>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e"/>
    <w:uiPriority w:val="49"/>
    <w:locked/>
    <w:pPr>
      <w:keepNext/>
      <w:spacing w:line="420" w:lineRule="exact"/>
    </w:pPr>
    <w:rPr>
      <w:rFonts w:ascii="Arial" w:hAnsi="Arial"/>
      <w:sz w:val="40"/>
    </w:rPr>
  </w:style>
  <w:style w:type="character" w:styleId="Rimandonotaapidipagina">
    <w:name w:val="footnote reference"/>
    <w:basedOn w:val="Carpredefinitoparagrafo"/>
    <w:semiHidden/>
    <w:locked/>
    <w:rPr>
      <w:vertAlign w:val="superscript"/>
    </w:rPr>
  </w:style>
  <w:style w:type="paragraph" w:styleId="Sottotitolo">
    <w:name w:val="Subtitle"/>
    <w:next w:val="Corpotes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testo"/>
    <w:uiPriority w:val="49"/>
    <w:locked/>
    <w:pPr>
      <w:spacing w:line="280" w:lineRule="exact"/>
      <w:jc w:val="right"/>
    </w:pPr>
    <w:rPr>
      <w:rFonts w:ascii="Arial" w:hAnsi="Arial" w:cs="Arial"/>
      <w:b/>
      <w:bCs/>
      <w:caps/>
      <w:sz w:val="24"/>
    </w:rPr>
  </w:style>
  <w:style w:type="paragraph" w:customStyle="1" w:styleId="zyxClassification2">
    <w:name w:val="zyxClassification2"/>
    <w:basedOn w:val="Pidipa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dipaginaCarattere">
    <w:name w:val="Piè di pagina Carattere"/>
    <w:basedOn w:val="Carpredefinitoparagrafo"/>
    <w:link w:val="Pidipagina"/>
    <w:uiPriority w:val="99"/>
    <w:rsid w:val="00037321"/>
    <w:rPr>
      <w:sz w:val="2"/>
      <w:lang w:val="en-US" w:eastAsia="en-US"/>
    </w:rPr>
  </w:style>
  <w:style w:type="paragraph" w:customStyle="1" w:styleId="Runninghead">
    <w:name w:val="Running head"/>
    <w:basedOn w:val="Normale"/>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Carpredefinitoparagraf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testoCarattere">
    <w:name w:val="Corpo testo Carattere"/>
    <w:basedOn w:val="Carpredefinitoparagrafo"/>
    <w:link w:val="Corpotesto"/>
    <w:rsid w:val="00647F33"/>
    <w:rPr>
      <w:lang w:eastAsia="en-US"/>
    </w:rPr>
  </w:style>
  <w:style w:type="character" w:customStyle="1" w:styleId="AuthornameandaffiliationChar">
    <w:name w:val="Author name and affiliation Char"/>
    <w:basedOn w:val="CorpotestoCarattere"/>
    <w:link w:val="Authornameandaffiliation"/>
    <w:uiPriority w:val="49"/>
    <w:rsid w:val="00647F33"/>
    <w:rPr>
      <w:lang w:val="en-US" w:eastAsia="en-US"/>
    </w:rPr>
  </w:style>
  <w:style w:type="table" w:styleId="Grigliatabella">
    <w:name w:val="Table Grid"/>
    <w:basedOn w:val="Tabellanormale"/>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stofumetto">
    <w:name w:val="Balloon Text"/>
    <w:basedOn w:val="Normale"/>
    <w:link w:val="TestofumettoCarattere"/>
    <w:uiPriority w:val="49"/>
    <w:locked/>
    <w:rsid w:val="005F00A0"/>
    <w:rPr>
      <w:rFonts w:ascii="Tahoma" w:hAnsi="Tahoma" w:cs="Tahoma"/>
      <w:sz w:val="16"/>
      <w:szCs w:val="16"/>
    </w:rPr>
  </w:style>
  <w:style w:type="character" w:customStyle="1" w:styleId="TestofumettoCarattere">
    <w:name w:val="Testo fumetto Carattere"/>
    <w:basedOn w:val="Carpredefinitoparagrafo"/>
    <w:link w:val="Testofumetto"/>
    <w:uiPriority w:val="49"/>
    <w:rsid w:val="005F00A0"/>
    <w:rPr>
      <w:rFonts w:ascii="Tahoma" w:hAnsi="Tahoma" w:cs="Tahoma"/>
      <w:sz w:val="16"/>
      <w:szCs w:val="16"/>
      <w:lang w:eastAsia="en-US"/>
    </w:rPr>
  </w:style>
  <w:style w:type="paragraph" w:customStyle="1" w:styleId="Figurecaption">
    <w:name w:val="Figure caption"/>
    <w:basedOn w:val="Corpotesto"/>
    <w:link w:val="FigurecaptionChar"/>
    <w:uiPriority w:val="49"/>
    <w:qFormat/>
    <w:locked/>
    <w:rsid w:val="00717C6F"/>
    <w:pPr>
      <w:jc w:val="center"/>
    </w:pPr>
    <w:rPr>
      <w:i/>
      <w:sz w:val="18"/>
    </w:rPr>
  </w:style>
  <w:style w:type="paragraph" w:customStyle="1" w:styleId="Otherunnumberedheadings">
    <w:name w:val="Other unnumbered headings"/>
    <w:next w:val="Corpotes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testoCarattere"/>
    <w:link w:val="Figurecaption"/>
    <w:uiPriority w:val="49"/>
    <w:rsid w:val="00717C6F"/>
    <w:rPr>
      <w:i/>
      <w:sz w:val="18"/>
      <w:lang w:eastAsia="en-US"/>
    </w:rPr>
  </w:style>
  <w:style w:type="paragraph" w:customStyle="1" w:styleId="Referencelist">
    <w:name w:val="Reference list"/>
    <w:basedOn w:val="Corpotes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testoCarattere"/>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testoCarattere"/>
    <w:link w:val="Referencelist"/>
    <w:uiPriority w:val="49"/>
    <w:rsid w:val="009E0D5B"/>
    <w:rPr>
      <w:sz w:val="18"/>
      <w:szCs w:val="18"/>
      <w:lang w:eastAsia="en-US"/>
    </w:rPr>
  </w:style>
  <w:style w:type="paragraph" w:customStyle="1" w:styleId="Tabletext">
    <w:name w:val="Table text"/>
    <w:basedOn w:val="Corpotesto"/>
    <w:link w:val="TabletextChar"/>
    <w:uiPriority w:val="49"/>
    <w:qFormat/>
    <w:rsid w:val="00883848"/>
    <w:pPr>
      <w:ind w:firstLine="0"/>
    </w:pPr>
  </w:style>
  <w:style w:type="character" w:customStyle="1" w:styleId="TabletextChar">
    <w:name w:val="Table text Char"/>
    <w:basedOn w:val="CorpotestoCarattere"/>
    <w:link w:val="Tabletext"/>
    <w:uiPriority w:val="49"/>
    <w:rsid w:val="00883848"/>
    <w:rPr>
      <w:lang w:eastAsia="en-US"/>
    </w:rPr>
  </w:style>
  <w:style w:type="character" w:styleId="Rimandocommento">
    <w:name w:val="annotation reference"/>
    <w:basedOn w:val="Carpredefinitoparagrafo"/>
    <w:uiPriority w:val="49"/>
    <w:semiHidden/>
    <w:unhideWhenUsed/>
    <w:locked/>
    <w:rsid w:val="00526CAF"/>
    <w:rPr>
      <w:sz w:val="16"/>
      <w:szCs w:val="16"/>
    </w:rPr>
  </w:style>
  <w:style w:type="paragraph" w:styleId="Testocommento">
    <w:name w:val="annotation text"/>
    <w:basedOn w:val="Normale"/>
    <w:link w:val="TestocommentoCarattere"/>
    <w:uiPriority w:val="49"/>
    <w:semiHidden/>
    <w:unhideWhenUsed/>
    <w:locked/>
    <w:rsid w:val="00526CAF"/>
    <w:rPr>
      <w:sz w:val="20"/>
    </w:rPr>
  </w:style>
  <w:style w:type="character" w:customStyle="1" w:styleId="TestocommentoCarattere">
    <w:name w:val="Testo commento Carattere"/>
    <w:basedOn w:val="Carpredefinitoparagrafo"/>
    <w:link w:val="Testocommento"/>
    <w:uiPriority w:val="49"/>
    <w:semiHidden/>
    <w:rsid w:val="00526CAF"/>
    <w:rPr>
      <w:lang w:eastAsia="en-US"/>
    </w:rPr>
  </w:style>
  <w:style w:type="paragraph" w:styleId="Soggettocommento">
    <w:name w:val="annotation subject"/>
    <w:basedOn w:val="Testocommento"/>
    <w:next w:val="Testocommento"/>
    <w:link w:val="SoggettocommentoCarattere"/>
    <w:uiPriority w:val="49"/>
    <w:semiHidden/>
    <w:unhideWhenUsed/>
    <w:locked/>
    <w:rsid w:val="00526CAF"/>
    <w:rPr>
      <w:b/>
      <w:bCs/>
    </w:rPr>
  </w:style>
  <w:style w:type="character" w:customStyle="1" w:styleId="SoggettocommentoCarattere">
    <w:name w:val="Soggetto commento Carattere"/>
    <w:basedOn w:val="TestocommentoCarattere"/>
    <w:link w:val="Soggettocommento"/>
    <w:uiPriority w:val="49"/>
    <w:semiHidden/>
    <w:rsid w:val="00526CAF"/>
    <w:rPr>
      <w:b/>
      <w:bCs/>
      <w:lang w:eastAsia="en-US"/>
    </w:rPr>
  </w:style>
  <w:style w:type="paragraph" w:customStyle="1" w:styleId="Default">
    <w:name w:val="Default"/>
    <w:rsid w:val="008D3DC6"/>
    <w:pPr>
      <w:autoSpaceDE w:val="0"/>
      <w:autoSpaceDN w:val="0"/>
      <w:adjustRightInd w:val="0"/>
    </w:pPr>
    <w:rPr>
      <w:color w:val="000000"/>
      <w:sz w:val="24"/>
      <w:szCs w:val="24"/>
      <w:lang w:val="it-IT"/>
    </w:rPr>
  </w:style>
  <w:style w:type="character" w:styleId="Collegamentoipertestuale">
    <w:name w:val="Hyperlink"/>
    <w:basedOn w:val="Carpredefinitoparagrafo"/>
    <w:uiPriority w:val="49"/>
    <w:unhideWhenUsed/>
    <w:locked/>
    <w:rsid w:val="00E64E92"/>
    <w:rPr>
      <w:color w:val="0000FF" w:themeColor="hyperlink"/>
      <w:u w:val="single"/>
    </w:rPr>
  </w:style>
  <w:style w:type="character" w:styleId="Menzionenonrisolta">
    <w:name w:val="Unresolved Mention"/>
    <w:basedOn w:val="Carpredefinitoparagrafo"/>
    <w:uiPriority w:val="99"/>
    <w:semiHidden/>
    <w:unhideWhenUsed/>
    <w:rsid w:val="00E6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2.xml><?xml version="1.0" encoding="utf-8"?>
<ds:datastoreItem xmlns:ds="http://schemas.openxmlformats.org/officeDocument/2006/customXml" ds:itemID="{A5249077-EA0A-437D-8305-942247056793}">
  <ds:schemaRefs>
    <ds:schemaRef ds:uri="http://schemas.openxmlformats.org/officeDocument/2006/bibliography"/>
  </ds:schemaRefs>
</ds:datastoreItem>
</file>

<file path=customXml/itemProps3.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4.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381A5A-286A-4FAC-93CF-722742C62A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IAEA Blank (r01)</Template>
  <TotalTime>392</TotalTime>
  <Pages>7</Pages>
  <Words>2963</Words>
  <Characters>16890</Characters>
  <Application>Microsoft Office Word</Application>
  <DocSecurity>0</DocSecurity>
  <Lines>140</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Francesco Galluccio</cp:lastModifiedBy>
  <cp:revision>148</cp:revision>
  <cp:lastPrinted>2021-07-09T12:05:00Z</cp:lastPrinted>
  <dcterms:created xsi:type="dcterms:W3CDTF">2021-07-12T18:32:00Z</dcterms:created>
  <dcterms:modified xsi:type="dcterms:W3CDTF">2021-09-27T13:59:00Z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