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02FC" w14:textId="37DFCE16" w:rsidR="007B0D00" w:rsidRPr="001C1D16" w:rsidRDefault="007B0D00" w:rsidP="00D73E0E">
      <w:pPr>
        <w:pStyle w:val="Ttulo1"/>
        <w:jc w:val="both"/>
      </w:pPr>
      <w:r w:rsidRPr="001C1D16">
        <w:t>Liquid radioactive waste treatment – Volume reduction in solution containing uranyl nitrate</w:t>
      </w:r>
    </w:p>
    <w:p w14:paraId="433FE03F" w14:textId="77777777" w:rsidR="00802381" w:rsidRPr="001C1D16" w:rsidRDefault="00802381" w:rsidP="00537496">
      <w:pPr>
        <w:pStyle w:val="Authornameandaffiliation"/>
      </w:pPr>
    </w:p>
    <w:p w14:paraId="433FE040" w14:textId="341D2D7A" w:rsidR="003B5E0E" w:rsidRPr="001C1D16" w:rsidRDefault="007B0D00" w:rsidP="00537496">
      <w:pPr>
        <w:pStyle w:val="Authornameandaffiliation"/>
      </w:pPr>
      <w:r w:rsidRPr="001C1D16">
        <w:t>MARCELO MENDOZA</w:t>
      </w:r>
    </w:p>
    <w:p w14:paraId="433FE041" w14:textId="765F079C" w:rsidR="00FF386F" w:rsidRPr="001C1D16" w:rsidRDefault="007B0D00" w:rsidP="00537496">
      <w:pPr>
        <w:pStyle w:val="Authornameandaffiliation"/>
      </w:pPr>
      <w:r w:rsidRPr="001C1D16">
        <w:t>Chilean Nuclear Energy Commission</w:t>
      </w:r>
    </w:p>
    <w:p w14:paraId="433FE042" w14:textId="34F39F21" w:rsidR="00FF386F" w:rsidRPr="001C1D16" w:rsidRDefault="007B0D00" w:rsidP="00537496">
      <w:pPr>
        <w:pStyle w:val="Authornameandaffiliation"/>
      </w:pPr>
      <w:r w:rsidRPr="001C1D16">
        <w:t>Santiago</w:t>
      </w:r>
      <w:r w:rsidR="00FF386F" w:rsidRPr="001C1D16">
        <w:t xml:space="preserve">, </w:t>
      </w:r>
      <w:r w:rsidRPr="001C1D16">
        <w:t>Chile</w:t>
      </w:r>
    </w:p>
    <w:p w14:paraId="433FE043" w14:textId="18374434" w:rsidR="00FF386F" w:rsidRPr="001C1D16" w:rsidRDefault="00FF386F" w:rsidP="00537496">
      <w:pPr>
        <w:pStyle w:val="Authornameandaffiliation"/>
      </w:pPr>
      <w:r w:rsidRPr="001C1D16">
        <w:t xml:space="preserve">Email: </w:t>
      </w:r>
      <w:r w:rsidR="007B0D00" w:rsidRPr="001C1D16">
        <w:t>marcelo.mendoza</w:t>
      </w:r>
      <w:r w:rsidRPr="001C1D16">
        <w:t>@</w:t>
      </w:r>
      <w:r w:rsidR="007B0D00" w:rsidRPr="001C1D16">
        <w:t>cchen</w:t>
      </w:r>
      <w:r w:rsidRPr="001C1D16">
        <w:t>.com</w:t>
      </w:r>
    </w:p>
    <w:p w14:paraId="433FE044" w14:textId="77777777" w:rsidR="00FF386F" w:rsidRPr="001C1D16" w:rsidRDefault="00FF386F" w:rsidP="00537496">
      <w:pPr>
        <w:pStyle w:val="Authornameandaffiliation"/>
      </w:pPr>
    </w:p>
    <w:p w14:paraId="433FE045" w14:textId="4948EAE7" w:rsidR="00FF386F" w:rsidRPr="001C1D16" w:rsidRDefault="007B0D00" w:rsidP="00537496">
      <w:pPr>
        <w:pStyle w:val="Authornameandaffiliation"/>
      </w:pPr>
      <w:r w:rsidRPr="001C1D16">
        <w:t>VIVIAN PEREIRA</w:t>
      </w:r>
    </w:p>
    <w:p w14:paraId="433FE046" w14:textId="1046E527" w:rsidR="00FF386F" w:rsidRPr="001C1D16" w:rsidRDefault="007B0D00" w:rsidP="00537496">
      <w:pPr>
        <w:pStyle w:val="Authornameandaffiliation"/>
      </w:pPr>
      <w:r w:rsidRPr="001C1D16">
        <w:t>Chilean Nuclear Energy Commission</w:t>
      </w:r>
    </w:p>
    <w:p w14:paraId="433FE047" w14:textId="4B622B8D" w:rsidR="00FF386F" w:rsidRPr="001C1D16" w:rsidRDefault="007B0D00" w:rsidP="00537496">
      <w:pPr>
        <w:pStyle w:val="Authornameandaffiliation"/>
      </w:pPr>
      <w:r w:rsidRPr="001C1D16">
        <w:t>Santiago</w:t>
      </w:r>
      <w:r w:rsidR="00FF386F" w:rsidRPr="001C1D16">
        <w:t xml:space="preserve">, </w:t>
      </w:r>
      <w:r w:rsidRPr="001C1D16">
        <w:t>Chile</w:t>
      </w:r>
    </w:p>
    <w:p w14:paraId="433FE048" w14:textId="52859FB5" w:rsidR="00FF386F" w:rsidRDefault="00FF386F" w:rsidP="00537496">
      <w:pPr>
        <w:pStyle w:val="Authornameandaffiliation"/>
      </w:pPr>
    </w:p>
    <w:p w14:paraId="6B4CD684" w14:textId="77777777" w:rsidR="00996E91" w:rsidRPr="001C1D16" w:rsidRDefault="00996E91" w:rsidP="00537496">
      <w:pPr>
        <w:pStyle w:val="Authornameandaffiliation"/>
      </w:pPr>
    </w:p>
    <w:p w14:paraId="433FE049" w14:textId="77777777" w:rsidR="00647F33" w:rsidRPr="001C1D16" w:rsidRDefault="00647F33" w:rsidP="00537496">
      <w:pPr>
        <w:pStyle w:val="Authornameandaffiliation"/>
        <w:rPr>
          <w:b/>
        </w:rPr>
      </w:pPr>
      <w:r w:rsidRPr="001C1D16">
        <w:rPr>
          <w:b/>
        </w:rPr>
        <w:t>Abstract</w:t>
      </w:r>
    </w:p>
    <w:p w14:paraId="29022E04" w14:textId="77777777" w:rsidR="007B0D00" w:rsidRPr="001C1D16" w:rsidRDefault="007B0D00" w:rsidP="00537496">
      <w:pPr>
        <w:pStyle w:val="Abstracttext"/>
      </w:pPr>
    </w:p>
    <w:p w14:paraId="49688534" w14:textId="202E3D31" w:rsidR="007B0D00" w:rsidRPr="001C1D16" w:rsidRDefault="007B0D00" w:rsidP="005347EE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C1D16">
        <w:rPr>
          <w:rFonts w:ascii="Times New Roman" w:hAnsi="Times New Roman" w:cs="Times New Roman"/>
          <w:sz w:val="18"/>
          <w:szCs w:val="18"/>
          <w:lang w:val="en-US"/>
        </w:rPr>
        <w:t xml:space="preserve">The purpose of this work </w:t>
      </w:r>
      <w:r w:rsidR="00ED7906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Pr="001C1D16">
        <w:rPr>
          <w:rFonts w:ascii="Times New Roman" w:hAnsi="Times New Roman" w:cs="Times New Roman"/>
          <w:sz w:val="18"/>
          <w:szCs w:val="18"/>
          <w:lang w:val="en-US"/>
        </w:rPr>
        <w:t xml:space="preserve"> to develop a concentration and precipitation </w:t>
      </w:r>
      <w:r w:rsidR="00ED7906">
        <w:rPr>
          <w:rFonts w:ascii="Times New Roman" w:hAnsi="Times New Roman" w:cs="Times New Roman"/>
          <w:sz w:val="18"/>
          <w:szCs w:val="18"/>
          <w:lang w:val="en-US"/>
        </w:rPr>
        <w:t xml:space="preserve">process </w:t>
      </w:r>
      <w:r w:rsidRPr="001C1D16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="001C1D16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1C1D16">
        <w:rPr>
          <w:rFonts w:ascii="Times New Roman" w:hAnsi="Times New Roman" w:cs="Times New Roman"/>
          <w:sz w:val="18"/>
          <w:szCs w:val="18"/>
          <w:lang w:val="en-US"/>
        </w:rPr>
        <w:t>ranium contained in radioactive nitric liquid waste, in order to improve conditioning and storage</w:t>
      </w:r>
      <w:r w:rsidR="00ED7906">
        <w:rPr>
          <w:rFonts w:ascii="Times New Roman" w:hAnsi="Times New Roman" w:cs="Times New Roman"/>
          <w:sz w:val="18"/>
          <w:szCs w:val="18"/>
          <w:lang w:val="en-US"/>
        </w:rPr>
        <w:t xml:space="preserve"> features</w:t>
      </w:r>
      <w:r w:rsidRPr="001C1D16">
        <w:rPr>
          <w:rFonts w:ascii="Times New Roman" w:hAnsi="Times New Roman" w:cs="Times New Roman"/>
          <w:sz w:val="18"/>
          <w:szCs w:val="18"/>
          <w:lang w:val="en-US"/>
        </w:rPr>
        <w:t xml:space="preserve"> of these wastes. </w:t>
      </w:r>
    </w:p>
    <w:p w14:paraId="43CE99CD" w14:textId="57FA0B21" w:rsidR="007B0D00" w:rsidRPr="001C1D16" w:rsidRDefault="007B0D00" w:rsidP="005347EE">
      <w:pPr>
        <w:jc w:val="both"/>
        <w:rPr>
          <w:sz w:val="18"/>
          <w:szCs w:val="18"/>
          <w:lang w:val="en-US"/>
        </w:rPr>
      </w:pPr>
      <w:r w:rsidRPr="001C1D16">
        <w:rPr>
          <w:sz w:val="18"/>
          <w:szCs w:val="18"/>
          <w:lang w:val="en-US"/>
        </w:rPr>
        <w:t xml:space="preserve">Lab trials were performed using radioactive nitric liquid waste </w:t>
      </w:r>
      <w:r w:rsidR="00ED7906">
        <w:rPr>
          <w:sz w:val="18"/>
          <w:szCs w:val="18"/>
          <w:lang w:val="en-US"/>
        </w:rPr>
        <w:t xml:space="preserve">samples </w:t>
      </w:r>
      <w:r w:rsidRPr="001C1D16">
        <w:rPr>
          <w:sz w:val="18"/>
          <w:szCs w:val="18"/>
          <w:lang w:val="en-US"/>
        </w:rPr>
        <w:t xml:space="preserve">that contain </w:t>
      </w:r>
      <w:r w:rsidR="005347EE" w:rsidRPr="001C1D16">
        <w:rPr>
          <w:sz w:val="18"/>
          <w:szCs w:val="18"/>
          <w:lang w:val="en-US"/>
        </w:rPr>
        <w:t>n</w:t>
      </w:r>
      <w:r w:rsidRPr="001C1D16">
        <w:rPr>
          <w:sz w:val="18"/>
          <w:szCs w:val="18"/>
          <w:lang w:val="en-US"/>
        </w:rPr>
        <w:t xml:space="preserve">atural </w:t>
      </w:r>
      <w:r w:rsidR="001C1D16">
        <w:rPr>
          <w:sz w:val="18"/>
          <w:szCs w:val="18"/>
          <w:lang w:val="en-US"/>
        </w:rPr>
        <w:t>u</w:t>
      </w:r>
      <w:r w:rsidRPr="001C1D16">
        <w:rPr>
          <w:sz w:val="18"/>
          <w:szCs w:val="18"/>
          <w:lang w:val="en-US"/>
        </w:rPr>
        <w:t>ranium, with a concentration of 2 [g/L], which were concentrated in a solid phase by ions precipitation</w:t>
      </w:r>
      <w:r w:rsidR="00ED7906">
        <w:rPr>
          <w:sz w:val="18"/>
          <w:szCs w:val="18"/>
          <w:lang w:val="en-US"/>
        </w:rPr>
        <w:t xml:space="preserve"> of metal</w:t>
      </w:r>
      <w:r w:rsidR="00ED7906" w:rsidRPr="001C1D16">
        <w:rPr>
          <w:sz w:val="18"/>
          <w:szCs w:val="18"/>
          <w:lang w:val="en-US"/>
        </w:rPr>
        <w:t xml:space="preserve"> method</w:t>
      </w:r>
      <w:r w:rsidRPr="001C1D16">
        <w:rPr>
          <w:sz w:val="18"/>
          <w:szCs w:val="18"/>
          <w:lang w:val="en-US"/>
        </w:rPr>
        <w:t xml:space="preserve">, using as reactive the </w:t>
      </w:r>
      <w:r w:rsidR="001C1D16">
        <w:rPr>
          <w:sz w:val="18"/>
          <w:szCs w:val="18"/>
          <w:lang w:val="en-US"/>
        </w:rPr>
        <w:t>a</w:t>
      </w:r>
      <w:r w:rsidRPr="001C1D16">
        <w:rPr>
          <w:sz w:val="18"/>
          <w:szCs w:val="18"/>
          <w:lang w:val="en-US"/>
        </w:rPr>
        <w:t>m</w:t>
      </w:r>
      <w:r w:rsidR="001C1D16">
        <w:rPr>
          <w:sz w:val="18"/>
          <w:szCs w:val="18"/>
          <w:lang w:val="en-US"/>
        </w:rPr>
        <w:t>m</w:t>
      </w:r>
      <w:r w:rsidRPr="001C1D16">
        <w:rPr>
          <w:sz w:val="18"/>
          <w:szCs w:val="18"/>
          <w:lang w:val="en-US"/>
        </w:rPr>
        <w:t xml:space="preserve">onium </w:t>
      </w:r>
      <w:r w:rsidR="001C1D16">
        <w:rPr>
          <w:sz w:val="18"/>
          <w:szCs w:val="18"/>
          <w:lang w:val="en-US"/>
        </w:rPr>
        <w:t>h</w:t>
      </w:r>
      <w:r w:rsidRPr="001C1D16">
        <w:rPr>
          <w:sz w:val="18"/>
          <w:szCs w:val="18"/>
          <w:lang w:val="en-US"/>
        </w:rPr>
        <w:t xml:space="preserve">ydroxide. This precipitation, filtration and drying reduces the volume until 85%, and also </w:t>
      </w:r>
      <w:r w:rsidR="00ED7906">
        <w:rPr>
          <w:sz w:val="18"/>
          <w:szCs w:val="18"/>
          <w:lang w:val="en-US"/>
        </w:rPr>
        <w:t xml:space="preserve">it </w:t>
      </w:r>
      <w:r w:rsidRPr="001C1D16">
        <w:rPr>
          <w:sz w:val="18"/>
          <w:szCs w:val="18"/>
          <w:lang w:val="en-US"/>
        </w:rPr>
        <w:t>transform</w:t>
      </w:r>
      <w:r w:rsidR="00ED7906">
        <w:rPr>
          <w:sz w:val="18"/>
          <w:szCs w:val="18"/>
          <w:lang w:val="en-US"/>
        </w:rPr>
        <w:t>s</w:t>
      </w:r>
      <w:r w:rsidRPr="001C1D16">
        <w:rPr>
          <w:sz w:val="18"/>
          <w:szCs w:val="18"/>
          <w:lang w:val="en-US"/>
        </w:rPr>
        <w:t xml:space="preserve"> the liquid waste in a solid material that will be </w:t>
      </w:r>
      <w:r w:rsidR="001C1D16" w:rsidRPr="001C1D16">
        <w:rPr>
          <w:sz w:val="18"/>
          <w:szCs w:val="18"/>
          <w:lang w:val="en-US"/>
        </w:rPr>
        <w:t>stored</w:t>
      </w:r>
      <w:r w:rsidRPr="001C1D16">
        <w:rPr>
          <w:sz w:val="18"/>
          <w:szCs w:val="18"/>
          <w:lang w:val="en-US"/>
        </w:rPr>
        <w:t xml:space="preserve"> in physical and radiological protection conditions. On the other hand, the treated liquid is radioactively decontaminated, with an efficiency over than</w:t>
      </w:r>
      <w:r w:rsidR="00996E91">
        <w:rPr>
          <w:sz w:val="18"/>
          <w:szCs w:val="18"/>
          <w:lang w:val="en-US"/>
        </w:rPr>
        <w:t xml:space="preserve"> 99</w:t>
      </w:r>
      <w:r w:rsidRPr="001C1D16">
        <w:rPr>
          <w:sz w:val="18"/>
          <w:szCs w:val="18"/>
          <w:lang w:val="en-US"/>
        </w:rPr>
        <w:t>%.</w:t>
      </w:r>
      <w:r w:rsidR="00996E91">
        <w:rPr>
          <w:sz w:val="18"/>
          <w:szCs w:val="18"/>
          <w:lang w:val="en-US"/>
        </w:rPr>
        <w:t xml:space="preserve"> </w:t>
      </w:r>
      <w:r w:rsidRPr="001C1D16">
        <w:rPr>
          <w:sz w:val="18"/>
          <w:szCs w:val="18"/>
          <w:lang w:val="en-US"/>
        </w:rPr>
        <w:t xml:space="preserve">The lab trials </w:t>
      </w:r>
      <w:r w:rsidR="00996E91" w:rsidRPr="001C1D16">
        <w:rPr>
          <w:sz w:val="18"/>
          <w:szCs w:val="18"/>
          <w:lang w:val="en-US"/>
        </w:rPr>
        <w:t xml:space="preserve">results </w:t>
      </w:r>
      <w:r w:rsidRPr="001C1D16">
        <w:rPr>
          <w:sz w:val="18"/>
          <w:szCs w:val="18"/>
          <w:lang w:val="en-US"/>
        </w:rPr>
        <w:t xml:space="preserve">are the basis for </w:t>
      </w:r>
      <w:r w:rsidR="003B7465">
        <w:rPr>
          <w:sz w:val="18"/>
          <w:szCs w:val="18"/>
          <w:lang w:val="en-US"/>
        </w:rPr>
        <w:t>taking</w:t>
      </w:r>
      <w:r w:rsidRPr="001C1D16">
        <w:rPr>
          <w:sz w:val="18"/>
          <w:szCs w:val="18"/>
          <w:lang w:val="en-US"/>
        </w:rPr>
        <w:t xml:space="preserve"> th</w:t>
      </w:r>
      <w:r w:rsidR="00ED7906">
        <w:rPr>
          <w:sz w:val="18"/>
          <w:szCs w:val="18"/>
          <w:lang w:val="en-US"/>
        </w:rPr>
        <w:t>is</w:t>
      </w:r>
      <w:r w:rsidRPr="001C1D16">
        <w:rPr>
          <w:sz w:val="18"/>
          <w:szCs w:val="18"/>
          <w:lang w:val="en-US"/>
        </w:rPr>
        <w:t xml:space="preserve"> process </w:t>
      </w:r>
      <w:r w:rsidR="003B7465">
        <w:rPr>
          <w:sz w:val="18"/>
          <w:szCs w:val="18"/>
          <w:lang w:val="en-US"/>
        </w:rPr>
        <w:t xml:space="preserve">into </w:t>
      </w:r>
      <w:r w:rsidRPr="001C1D16">
        <w:rPr>
          <w:sz w:val="18"/>
          <w:szCs w:val="18"/>
          <w:lang w:val="en-US"/>
        </w:rPr>
        <w:t xml:space="preserve">bigger volume </w:t>
      </w:r>
      <w:r w:rsidR="003B7465">
        <w:rPr>
          <w:sz w:val="18"/>
          <w:szCs w:val="18"/>
          <w:lang w:val="en-US"/>
        </w:rPr>
        <w:t xml:space="preserve">treatment </w:t>
      </w:r>
      <w:r w:rsidRPr="001C1D16">
        <w:rPr>
          <w:sz w:val="18"/>
          <w:szCs w:val="18"/>
          <w:lang w:val="en-US"/>
        </w:rPr>
        <w:t>of radioactive liquid waste.</w:t>
      </w:r>
    </w:p>
    <w:p w14:paraId="0BE77462" w14:textId="77777777" w:rsidR="007B0D00" w:rsidRPr="001C1D16" w:rsidRDefault="007B0D00" w:rsidP="00537496">
      <w:pPr>
        <w:pStyle w:val="Abstracttext"/>
      </w:pPr>
    </w:p>
    <w:p w14:paraId="433FE04C" w14:textId="34AC2BC7" w:rsidR="00647F33" w:rsidRPr="001C1D16" w:rsidRDefault="00F523CA" w:rsidP="00537496">
      <w:pPr>
        <w:pStyle w:val="Ttulo2"/>
        <w:numPr>
          <w:ilvl w:val="1"/>
          <w:numId w:val="10"/>
        </w:numPr>
        <w:rPr>
          <w:caps w:val="0"/>
          <w:lang w:val="en-US"/>
        </w:rPr>
      </w:pPr>
      <w:r w:rsidRPr="001C1D16">
        <w:rPr>
          <w:lang w:val="en-US"/>
        </w:rPr>
        <w:t>INTRODUCTION</w:t>
      </w:r>
    </w:p>
    <w:p w14:paraId="5FC24878" w14:textId="0FB9B15F" w:rsidR="00642678" w:rsidRPr="001C1D16" w:rsidRDefault="00642678" w:rsidP="005347EE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t>In Chile, over than 10 [m</w:t>
      </w:r>
      <w:r w:rsidRPr="00BB0990">
        <w:rPr>
          <w:vertAlign w:val="superscript"/>
          <w:lang w:val="en-US"/>
        </w:rPr>
        <w:t>3</w:t>
      </w:r>
      <w:r w:rsidRPr="001C1D16">
        <w:rPr>
          <w:lang w:val="en-US"/>
        </w:rPr>
        <w:t>] of radioactive waste are managed for all generators in the country, and it is the Chilean Nuclear Energy Commission</w:t>
      </w:r>
      <w:r w:rsidR="005347EE" w:rsidRPr="001C1D16">
        <w:rPr>
          <w:lang w:val="en-US"/>
        </w:rPr>
        <w:t xml:space="preserve"> (hereinafter referred to as the “commission”)</w:t>
      </w:r>
      <w:r w:rsidRPr="001C1D16">
        <w:rPr>
          <w:lang w:val="en-US"/>
        </w:rPr>
        <w:t>, through the Radioactive Waste Management Section, wh</w:t>
      </w:r>
      <w:r w:rsidR="003B7465">
        <w:rPr>
          <w:lang w:val="en-US"/>
        </w:rPr>
        <w:t>ich</w:t>
      </w:r>
      <w:r w:rsidRPr="001C1D16">
        <w:rPr>
          <w:lang w:val="en-US"/>
        </w:rPr>
        <w:t xml:space="preserve"> operate</w:t>
      </w:r>
      <w:r w:rsidR="003B7465">
        <w:rPr>
          <w:lang w:val="en-US"/>
        </w:rPr>
        <w:t>s</w:t>
      </w:r>
      <w:r w:rsidRPr="001C1D16">
        <w:rPr>
          <w:lang w:val="en-US"/>
        </w:rPr>
        <w:t xml:space="preserve"> the national facility that carries out this management, </w:t>
      </w:r>
      <w:r w:rsidR="003B7465">
        <w:rPr>
          <w:lang w:val="en-US"/>
        </w:rPr>
        <w:t>due to</w:t>
      </w:r>
      <w:r w:rsidRPr="001C1D16">
        <w:rPr>
          <w:lang w:val="en-US"/>
        </w:rPr>
        <w:t xml:space="preserve"> the investigation and development of methods </w:t>
      </w:r>
      <w:r w:rsidR="00AA7EFF" w:rsidRPr="001C1D16">
        <w:rPr>
          <w:lang w:val="en-US"/>
        </w:rPr>
        <w:t>for</w:t>
      </w:r>
      <w:r w:rsidRPr="001C1D16">
        <w:rPr>
          <w:lang w:val="en-US"/>
        </w:rPr>
        <w:t xml:space="preserve"> conditioning </w:t>
      </w:r>
      <w:r w:rsidR="00AA7EFF" w:rsidRPr="001C1D16">
        <w:rPr>
          <w:lang w:val="en-US"/>
        </w:rPr>
        <w:t>of the</w:t>
      </w:r>
      <w:r w:rsidRPr="001C1D16">
        <w:rPr>
          <w:lang w:val="en-US"/>
        </w:rPr>
        <w:t xml:space="preserve"> radioactive waste</w:t>
      </w:r>
      <w:r w:rsidR="00AA7EFF" w:rsidRPr="001C1D16">
        <w:rPr>
          <w:lang w:val="en-US"/>
        </w:rPr>
        <w:t xml:space="preserve"> and to </w:t>
      </w:r>
      <w:r w:rsidRPr="001C1D16">
        <w:rPr>
          <w:lang w:val="en-US"/>
        </w:rPr>
        <w:t>reduc</w:t>
      </w:r>
      <w:r w:rsidR="00AA7EFF" w:rsidRPr="001C1D16">
        <w:rPr>
          <w:lang w:val="en-US"/>
        </w:rPr>
        <w:t>e</w:t>
      </w:r>
      <w:r w:rsidRPr="001C1D16">
        <w:rPr>
          <w:lang w:val="en-US"/>
        </w:rPr>
        <w:t xml:space="preserve"> its original volume, </w:t>
      </w:r>
      <w:r w:rsidR="00AA7EFF" w:rsidRPr="001C1D16">
        <w:rPr>
          <w:lang w:val="en-US"/>
        </w:rPr>
        <w:t xml:space="preserve">it is </w:t>
      </w:r>
      <w:r w:rsidRPr="001C1D16">
        <w:rPr>
          <w:lang w:val="en-US"/>
        </w:rPr>
        <w:t xml:space="preserve">a fundamental stage to optimize the </w:t>
      </w:r>
      <w:r w:rsidR="003B7465">
        <w:rPr>
          <w:lang w:val="en-US"/>
        </w:rPr>
        <w:t xml:space="preserve">waste </w:t>
      </w:r>
      <w:r w:rsidRPr="001C1D16">
        <w:rPr>
          <w:lang w:val="en-US"/>
        </w:rPr>
        <w:t>storage.</w:t>
      </w:r>
    </w:p>
    <w:p w14:paraId="3B63108A" w14:textId="77777777" w:rsidR="00642678" w:rsidRPr="001C1D16" w:rsidRDefault="00642678" w:rsidP="005347EE">
      <w:pPr>
        <w:pStyle w:val="Textoindependiente"/>
        <w:spacing w:line="240" w:lineRule="auto"/>
        <w:rPr>
          <w:lang w:val="en-US"/>
        </w:rPr>
      </w:pPr>
    </w:p>
    <w:p w14:paraId="627E5C04" w14:textId="4FB3E870" w:rsidR="00642678" w:rsidRPr="001C1D16" w:rsidRDefault="00AA7EFF" w:rsidP="005347EE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t xml:space="preserve">Different </w:t>
      </w:r>
      <w:r w:rsidR="00642678" w:rsidRPr="001C1D16">
        <w:rPr>
          <w:lang w:val="en-US"/>
        </w:rPr>
        <w:t>radioactive waste</w:t>
      </w:r>
      <w:r w:rsidR="00BB0990">
        <w:rPr>
          <w:lang w:val="en-US"/>
        </w:rPr>
        <w:t>s</w:t>
      </w:r>
      <w:r w:rsidR="00642678" w:rsidRPr="001C1D16">
        <w:rPr>
          <w:lang w:val="en-US"/>
        </w:rPr>
        <w:t xml:space="preserve"> </w:t>
      </w:r>
      <w:r w:rsidRPr="001C1D16">
        <w:rPr>
          <w:lang w:val="en-US"/>
        </w:rPr>
        <w:t xml:space="preserve">are </w:t>
      </w:r>
      <w:r w:rsidR="00642678" w:rsidRPr="001C1D16">
        <w:rPr>
          <w:lang w:val="en-US"/>
        </w:rPr>
        <w:t xml:space="preserve">received by </w:t>
      </w:r>
      <w:r w:rsidRPr="001C1D16">
        <w:rPr>
          <w:lang w:val="en-US"/>
        </w:rPr>
        <w:t>the commission</w:t>
      </w:r>
      <w:r w:rsidR="00642678" w:rsidRPr="001C1D16">
        <w:rPr>
          <w:lang w:val="en-US"/>
        </w:rPr>
        <w:t xml:space="preserve">, </w:t>
      </w:r>
      <w:r w:rsidRPr="001C1D16">
        <w:rPr>
          <w:lang w:val="en-US"/>
        </w:rPr>
        <w:t xml:space="preserve">for example the </w:t>
      </w:r>
      <w:r w:rsidR="00642678" w:rsidRPr="001C1D16">
        <w:rPr>
          <w:lang w:val="en-US"/>
        </w:rPr>
        <w:t xml:space="preserve">radioactive liquids, </w:t>
      </w:r>
      <w:r w:rsidRPr="001C1D16">
        <w:rPr>
          <w:lang w:val="en-US"/>
        </w:rPr>
        <w:t>coming</w:t>
      </w:r>
      <w:r w:rsidR="00642678" w:rsidRPr="001C1D16">
        <w:rPr>
          <w:lang w:val="en-US"/>
        </w:rPr>
        <w:t xml:space="preserve"> from different activities</w:t>
      </w:r>
      <w:r w:rsidRPr="001C1D16">
        <w:rPr>
          <w:lang w:val="en-US"/>
        </w:rPr>
        <w:t xml:space="preserve"> </w:t>
      </w:r>
      <w:r w:rsidR="00CF5CE6" w:rsidRPr="001C1D16">
        <w:rPr>
          <w:lang w:val="en-US"/>
        </w:rPr>
        <w:t>of</w:t>
      </w:r>
      <w:r w:rsidRPr="001C1D16">
        <w:rPr>
          <w:lang w:val="en-US"/>
        </w:rPr>
        <w:t xml:space="preserve"> </w:t>
      </w:r>
      <w:r w:rsidR="00CF5CE6" w:rsidRPr="001C1D16">
        <w:rPr>
          <w:lang w:val="en-US"/>
        </w:rPr>
        <w:t>u</w:t>
      </w:r>
      <w:r w:rsidR="00642678" w:rsidRPr="001C1D16">
        <w:rPr>
          <w:lang w:val="en-US"/>
        </w:rPr>
        <w:t xml:space="preserve">niversities and </w:t>
      </w:r>
      <w:r w:rsidRPr="001C1D16">
        <w:rPr>
          <w:lang w:val="en-US"/>
        </w:rPr>
        <w:t xml:space="preserve">the commission </w:t>
      </w:r>
      <w:r w:rsidR="00642678" w:rsidRPr="001C1D16">
        <w:rPr>
          <w:lang w:val="en-US"/>
        </w:rPr>
        <w:t xml:space="preserve">itself. The storage </w:t>
      </w:r>
      <w:r w:rsidRPr="001C1D16">
        <w:rPr>
          <w:lang w:val="en-US"/>
        </w:rPr>
        <w:t xml:space="preserve">stage </w:t>
      </w:r>
      <w:r w:rsidR="00642678" w:rsidRPr="001C1D16">
        <w:rPr>
          <w:lang w:val="en-US"/>
        </w:rPr>
        <w:t>of these</w:t>
      </w:r>
      <w:r w:rsidRPr="001C1D16">
        <w:rPr>
          <w:lang w:val="en-US"/>
        </w:rPr>
        <w:t xml:space="preserve"> is carried out </w:t>
      </w:r>
      <w:r w:rsidR="00CF5CE6" w:rsidRPr="001C1D16">
        <w:rPr>
          <w:lang w:val="en-US"/>
        </w:rPr>
        <w:t xml:space="preserve">based </w:t>
      </w:r>
      <w:r w:rsidR="00C82CDF">
        <w:rPr>
          <w:lang w:val="en-US"/>
        </w:rPr>
        <w:t>o</w:t>
      </w:r>
      <w:r w:rsidR="00CF5CE6" w:rsidRPr="001C1D16">
        <w:rPr>
          <w:lang w:val="en-US"/>
        </w:rPr>
        <w:t>n</w:t>
      </w:r>
      <w:r w:rsidRPr="001C1D16">
        <w:rPr>
          <w:lang w:val="en-US"/>
        </w:rPr>
        <w:t xml:space="preserve"> safety and security c</w:t>
      </w:r>
      <w:r w:rsidR="00642678" w:rsidRPr="001C1D16">
        <w:rPr>
          <w:lang w:val="en-US"/>
        </w:rPr>
        <w:t>onditions according to their matrix</w:t>
      </w:r>
      <w:r w:rsidR="00996E91">
        <w:rPr>
          <w:lang w:val="en-US"/>
        </w:rPr>
        <w:t>,</w:t>
      </w:r>
      <w:r w:rsidR="00642678" w:rsidRPr="001C1D16">
        <w:rPr>
          <w:lang w:val="en-US"/>
        </w:rPr>
        <w:t xml:space="preserve"> </w:t>
      </w:r>
      <w:r w:rsidR="00CF5CE6" w:rsidRPr="001C1D16">
        <w:rPr>
          <w:lang w:val="en-US"/>
        </w:rPr>
        <w:t xml:space="preserve">these </w:t>
      </w:r>
      <w:r w:rsidR="00BB0990" w:rsidRPr="001C1D16">
        <w:rPr>
          <w:lang w:val="en-US"/>
        </w:rPr>
        <w:t>include</w:t>
      </w:r>
      <w:r w:rsidR="00996E91">
        <w:rPr>
          <w:lang w:val="en-US"/>
        </w:rPr>
        <w:t>,</w:t>
      </w:r>
      <w:r w:rsidR="00642678" w:rsidRPr="001C1D16">
        <w:rPr>
          <w:lang w:val="en-US"/>
        </w:rPr>
        <w:t xml:space="preserve"> organic or inorganic</w:t>
      </w:r>
      <w:r w:rsidRPr="001C1D16">
        <w:rPr>
          <w:lang w:val="en-US"/>
        </w:rPr>
        <w:t xml:space="preserve"> solution</w:t>
      </w:r>
      <w:r w:rsidR="00642678" w:rsidRPr="001C1D16">
        <w:rPr>
          <w:lang w:val="en-US"/>
        </w:rPr>
        <w:t xml:space="preserve">, </w:t>
      </w:r>
      <w:r w:rsidRPr="001C1D16">
        <w:rPr>
          <w:lang w:val="en-US"/>
        </w:rPr>
        <w:t>types of</w:t>
      </w:r>
      <w:r w:rsidR="00642678" w:rsidRPr="001C1D16">
        <w:rPr>
          <w:lang w:val="en-US"/>
        </w:rPr>
        <w:t xml:space="preserve"> radioisotopes and activity levels. </w:t>
      </w:r>
      <w:r w:rsidR="00CF5CE6" w:rsidRPr="001C1D16">
        <w:rPr>
          <w:lang w:val="en-US"/>
        </w:rPr>
        <w:t>One of the biggest stored</w:t>
      </w:r>
      <w:r w:rsidR="00C82CDF">
        <w:rPr>
          <w:lang w:val="en-US"/>
        </w:rPr>
        <w:t xml:space="preserve"> volumes</w:t>
      </w:r>
      <w:r w:rsidR="00CF5CE6" w:rsidRPr="001C1D16">
        <w:rPr>
          <w:lang w:val="en-US"/>
        </w:rPr>
        <w:t xml:space="preserve"> (2 [m</w:t>
      </w:r>
      <w:r w:rsidR="00CF5CE6" w:rsidRPr="001C1D16">
        <w:rPr>
          <w:vertAlign w:val="superscript"/>
          <w:lang w:val="en-US"/>
        </w:rPr>
        <w:t>3</w:t>
      </w:r>
      <w:r w:rsidR="00CF5CE6" w:rsidRPr="001C1D16">
        <w:rPr>
          <w:lang w:val="en-US"/>
        </w:rPr>
        <w:t xml:space="preserve">]) in the commission was a nitric solution that contained uranium as uranyl nitrate, and </w:t>
      </w:r>
      <w:r w:rsidR="00C82CDF">
        <w:rPr>
          <w:lang w:val="en-US"/>
        </w:rPr>
        <w:t>these</w:t>
      </w:r>
      <w:r w:rsidR="00CF5CE6" w:rsidRPr="001C1D16">
        <w:rPr>
          <w:lang w:val="en-US"/>
        </w:rPr>
        <w:t xml:space="preserve"> </w:t>
      </w:r>
      <w:r w:rsidR="00642678" w:rsidRPr="001C1D16">
        <w:rPr>
          <w:lang w:val="en-US"/>
        </w:rPr>
        <w:t>characteri</w:t>
      </w:r>
      <w:r w:rsidRPr="001C1D16">
        <w:rPr>
          <w:lang w:val="en-US"/>
        </w:rPr>
        <w:t>zation</w:t>
      </w:r>
      <w:r w:rsidR="00C82CDF">
        <w:rPr>
          <w:lang w:val="en-US"/>
        </w:rPr>
        <w:t>s</w:t>
      </w:r>
      <w:r w:rsidR="00642678" w:rsidRPr="001C1D16">
        <w:rPr>
          <w:lang w:val="en-US"/>
        </w:rPr>
        <w:t xml:space="preserve"> </w:t>
      </w:r>
      <w:r w:rsidR="00C82CDF">
        <w:rPr>
          <w:lang w:val="en-US"/>
        </w:rPr>
        <w:t>are</w:t>
      </w:r>
      <w:r w:rsidR="00642678" w:rsidRPr="001C1D16">
        <w:rPr>
          <w:lang w:val="en-US"/>
        </w:rPr>
        <w:t xml:space="preserve"> described in </w:t>
      </w:r>
      <w:r w:rsidR="00F83AD6" w:rsidRPr="001C1D16">
        <w:rPr>
          <w:lang w:val="en-US"/>
        </w:rPr>
        <w:t xml:space="preserve">the </w:t>
      </w:r>
      <w:r w:rsidR="00642678" w:rsidRPr="001C1D16">
        <w:rPr>
          <w:lang w:val="en-US"/>
        </w:rPr>
        <w:t>Table N</w:t>
      </w:r>
      <w:r w:rsidR="00F83AD6" w:rsidRPr="001C1D16">
        <w:rPr>
          <w:lang w:val="en-US"/>
        </w:rPr>
        <w:t>°</w:t>
      </w:r>
      <w:r w:rsidR="00642678" w:rsidRPr="001C1D16">
        <w:rPr>
          <w:lang w:val="en-US"/>
        </w:rPr>
        <w:t xml:space="preserve"> 1.</w:t>
      </w:r>
    </w:p>
    <w:p w14:paraId="5F4FA23B" w14:textId="77777777" w:rsidR="00CF5CE6" w:rsidRPr="001C1D16" w:rsidRDefault="00CF5CE6" w:rsidP="005347EE">
      <w:pPr>
        <w:pStyle w:val="Textoindependiente"/>
        <w:spacing w:line="240" w:lineRule="auto"/>
        <w:rPr>
          <w:lang w:val="en-US"/>
        </w:rPr>
      </w:pPr>
    </w:p>
    <w:p w14:paraId="4A8A5572" w14:textId="702CFF8C" w:rsidR="00642678" w:rsidRPr="001C1D16" w:rsidRDefault="00642678" w:rsidP="00F83AD6">
      <w:pPr>
        <w:pStyle w:val="Textoindependiente"/>
        <w:ind w:firstLine="0"/>
        <w:jc w:val="center"/>
        <w:rPr>
          <w:caps/>
          <w:lang w:val="en-US"/>
        </w:rPr>
      </w:pPr>
      <w:r w:rsidRPr="001C1D16">
        <w:rPr>
          <w:caps/>
          <w:lang w:val="en-US"/>
        </w:rPr>
        <w:t>Table N ° 1. Characteri</w:t>
      </w:r>
      <w:r w:rsidR="00AA7EFF" w:rsidRPr="001C1D16">
        <w:rPr>
          <w:caps/>
          <w:lang w:val="en-US"/>
        </w:rPr>
        <w:t>zation</w:t>
      </w:r>
      <w:r w:rsidRPr="001C1D16">
        <w:rPr>
          <w:caps/>
          <w:lang w:val="en-US"/>
        </w:rPr>
        <w:t xml:space="preserve"> of the </w:t>
      </w:r>
      <w:r w:rsidR="00AA7EFF" w:rsidRPr="001C1D16">
        <w:rPr>
          <w:caps/>
          <w:lang w:val="en-US"/>
        </w:rPr>
        <w:t xml:space="preserve">waste </w:t>
      </w:r>
      <w:r w:rsidRPr="001C1D16">
        <w:rPr>
          <w:caps/>
          <w:lang w:val="en-US"/>
        </w:rPr>
        <w:t>solutio</w:t>
      </w:r>
      <w:r w:rsidR="00AA7EFF" w:rsidRPr="001C1D16">
        <w:rPr>
          <w:caps/>
          <w:lang w:val="en-US"/>
        </w:rPr>
        <w:t>n</w:t>
      </w:r>
    </w:p>
    <w:tbl>
      <w:tblPr>
        <w:tblW w:w="6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841"/>
        <w:gridCol w:w="909"/>
        <w:gridCol w:w="826"/>
        <w:gridCol w:w="909"/>
        <w:gridCol w:w="826"/>
        <w:gridCol w:w="826"/>
        <w:gridCol w:w="898"/>
      </w:tblGrid>
      <w:tr w:rsidR="00AA7EFF" w:rsidRPr="001C1D16" w14:paraId="1BF081D5" w14:textId="77777777" w:rsidTr="002D425B">
        <w:trPr>
          <w:trHeight w:val="825"/>
          <w:jc w:val="center"/>
        </w:trPr>
        <w:tc>
          <w:tcPr>
            <w:tcW w:w="855" w:type="dxa"/>
            <w:vAlign w:val="center"/>
          </w:tcPr>
          <w:p w14:paraId="68EAD67D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U</w:t>
            </w:r>
          </w:p>
          <w:p w14:paraId="14335846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841" w:type="dxa"/>
            <w:vAlign w:val="center"/>
          </w:tcPr>
          <w:p w14:paraId="10CE2743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Cl</w:t>
            </w:r>
          </w:p>
          <w:p w14:paraId="4FC4E0CC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909" w:type="dxa"/>
            <w:vAlign w:val="center"/>
          </w:tcPr>
          <w:p w14:paraId="4EF0D96F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NO</w:t>
            </w:r>
            <w:r w:rsidRPr="001C1D16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  <w:p w14:paraId="08D263AD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826" w:type="dxa"/>
            <w:vAlign w:val="center"/>
          </w:tcPr>
          <w:p w14:paraId="0A4689FD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PO</w:t>
            </w:r>
            <w:r w:rsidRPr="001C1D16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  <w:p w14:paraId="4F2873D8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909" w:type="dxa"/>
            <w:vAlign w:val="center"/>
          </w:tcPr>
          <w:p w14:paraId="5DF10381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SO</w:t>
            </w:r>
            <w:r w:rsidRPr="001C1D16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  <w:p w14:paraId="02204422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826" w:type="dxa"/>
            <w:vAlign w:val="center"/>
          </w:tcPr>
          <w:p w14:paraId="2AE27EC8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Ni</w:t>
            </w:r>
          </w:p>
          <w:p w14:paraId="4E267B80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826" w:type="dxa"/>
            <w:vAlign w:val="center"/>
          </w:tcPr>
          <w:p w14:paraId="355CBADD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Al</w:t>
            </w:r>
          </w:p>
          <w:p w14:paraId="41797033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[ppm]</w:t>
            </w:r>
          </w:p>
        </w:tc>
        <w:tc>
          <w:tcPr>
            <w:tcW w:w="898" w:type="dxa"/>
            <w:vAlign w:val="center"/>
          </w:tcPr>
          <w:p w14:paraId="6AD22C0B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pH</w:t>
            </w:r>
          </w:p>
        </w:tc>
      </w:tr>
      <w:tr w:rsidR="00AA7EFF" w:rsidRPr="001C1D16" w14:paraId="37FD082E" w14:textId="77777777" w:rsidTr="002D425B">
        <w:trPr>
          <w:trHeight w:val="284"/>
          <w:jc w:val="center"/>
        </w:trPr>
        <w:tc>
          <w:tcPr>
            <w:tcW w:w="855" w:type="dxa"/>
          </w:tcPr>
          <w:p w14:paraId="74B18824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2.069</w:t>
            </w:r>
          </w:p>
        </w:tc>
        <w:tc>
          <w:tcPr>
            <w:tcW w:w="841" w:type="dxa"/>
          </w:tcPr>
          <w:p w14:paraId="59C0BD05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2.062</w:t>
            </w:r>
          </w:p>
        </w:tc>
        <w:tc>
          <w:tcPr>
            <w:tcW w:w="909" w:type="dxa"/>
          </w:tcPr>
          <w:p w14:paraId="5220510A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27.730</w:t>
            </w:r>
          </w:p>
        </w:tc>
        <w:tc>
          <w:tcPr>
            <w:tcW w:w="826" w:type="dxa"/>
          </w:tcPr>
          <w:p w14:paraId="3CD1DFDF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0,5</w:t>
            </w:r>
          </w:p>
        </w:tc>
        <w:tc>
          <w:tcPr>
            <w:tcW w:w="909" w:type="dxa"/>
          </w:tcPr>
          <w:p w14:paraId="5A8655C9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10.252</w:t>
            </w:r>
          </w:p>
        </w:tc>
        <w:tc>
          <w:tcPr>
            <w:tcW w:w="826" w:type="dxa"/>
          </w:tcPr>
          <w:p w14:paraId="6E95EFCF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1.009</w:t>
            </w:r>
          </w:p>
        </w:tc>
        <w:tc>
          <w:tcPr>
            <w:tcW w:w="826" w:type="dxa"/>
          </w:tcPr>
          <w:p w14:paraId="091DD8B4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1.015</w:t>
            </w:r>
          </w:p>
        </w:tc>
        <w:tc>
          <w:tcPr>
            <w:tcW w:w="898" w:type="dxa"/>
          </w:tcPr>
          <w:p w14:paraId="590F38A5" w14:textId="77777777" w:rsidR="00AA7EFF" w:rsidRPr="001C1D16" w:rsidRDefault="00AA7EFF" w:rsidP="002D425B">
            <w:pPr>
              <w:jc w:val="center"/>
              <w:rPr>
                <w:sz w:val="18"/>
                <w:szCs w:val="18"/>
                <w:lang w:val="en-US"/>
              </w:rPr>
            </w:pPr>
            <w:r w:rsidRPr="001C1D16">
              <w:rPr>
                <w:sz w:val="18"/>
                <w:szCs w:val="18"/>
                <w:lang w:val="en-US"/>
              </w:rPr>
              <w:t>1,1</w:t>
            </w:r>
          </w:p>
        </w:tc>
      </w:tr>
    </w:tbl>
    <w:p w14:paraId="012F9851" w14:textId="43FD9EB7" w:rsidR="00AA7EFF" w:rsidRDefault="00AA7EFF" w:rsidP="00AA7EFF">
      <w:pPr>
        <w:jc w:val="both"/>
        <w:rPr>
          <w:sz w:val="20"/>
          <w:lang w:val="en-US"/>
        </w:rPr>
      </w:pPr>
    </w:p>
    <w:p w14:paraId="73BEA0A1" w14:textId="77777777" w:rsidR="00996E91" w:rsidRPr="001C1D16" w:rsidRDefault="00996E91" w:rsidP="00AA7EFF">
      <w:pPr>
        <w:jc w:val="both"/>
        <w:rPr>
          <w:sz w:val="20"/>
          <w:lang w:val="en-US"/>
        </w:rPr>
      </w:pPr>
    </w:p>
    <w:p w14:paraId="10892265" w14:textId="63BB9DC7" w:rsidR="00F83AD6" w:rsidRPr="001C1D16" w:rsidRDefault="00F83AD6" w:rsidP="00CF5CE6">
      <w:pPr>
        <w:ind w:firstLine="567"/>
        <w:jc w:val="both"/>
        <w:rPr>
          <w:sz w:val="20"/>
          <w:lang w:val="en-US"/>
        </w:rPr>
      </w:pPr>
      <w:r w:rsidRPr="001C1D16">
        <w:rPr>
          <w:sz w:val="20"/>
          <w:lang w:val="en-US"/>
        </w:rPr>
        <w:t xml:space="preserve">The method for the volume reduction of </w:t>
      </w:r>
      <w:r w:rsidR="00CF5CE6" w:rsidRPr="001C1D16">
        <w:rPr>
          <w:sz w:val="20"/>
          <w:lang w:val="en-US"/>
        </w:rPr>
        <w:t>this</w:t>
      </w:r>
      <w:r w:rsidRPr="001C1D16">
        <w:rPr>
          <w:sz w:val="20"/>
          <w:lang w:val="en-US"/>
        </w:rPr>
        <w:t xml:space="preserve"> waste was the precipitation of uranyl nitrate using ammonium hydroxide, adding a barium and iron as chemical carrier, which precipitate</w:t>
      </w:r>
      <w:r w:rsidR="00C82CDF">
        <w:rPr>
          <w:sz w:val="20"/>
          <w:lang w:val="en-US"/>
        </w:rPr>
        <w:t>s</w:t>
      </w:r>
      <w:r w:rsidRPr="001C1D16">
        <w:rPr>
          <w:sz w:val="20"/>
          <w:lang w:val="en-US"/>
        </w:rPr>
        <w:t xml:space="preserve"> in barium sulfate and iron hydroxide co-precipitating with the </w:t>
      </w:r>
      <w:r w:rsidR="00B71E7B" w:rsidRPr="001C1D16">
        <w:rPr>
          <w:sz w:val="20"/>
          <w:lang w:val="en-US"/>
        </w:rPr>
        <w:t>a</w:t>
      </w:r>
      <w:r w:rsidR="001C1D16">
        <w:rPr>
          <w:sz w:val="20"/>
          <w:lang w:val="en-US"/>
        </w:rPr>
        <w:t>m</w:t>
      </w:r>
      <w:r w:rsidR="00B71E7B" w:rsidRPr="001C1D16">
        <w:rPr>
          <w:sz w:val="20"/>
          <w:lang w:val="en-US"/>
        </w:rPr>
        <w:t>mon</w:t>
      </w:r>
      <w:r w:rsidRPr="001C1D16">
        <w:rPr>
          <w:sz w:val="20"/>
          <w:lang w:val="en-US"/>
        </w:rPr>
        <w:t xml:space="preserve">ium </w:t>
      </w:r>
      <w:proofErr w:type="spellStart"/>
      <w:r w:rsidRPr="001C1D16">
        <w:rPr>
          <w:sz w:val="20"/>
          <w:lang w:val="en-US"/>
        </w:rPr>
        <w:t>diuranate</w:t>
      </w:r>
      <w:proofErr w:type="spellEnd"/>
      <w:r w:rsidR="00B71E7B" w:rsidRPr="001C1D16">
        <w:rPr>
          <w:sz w:val="20"/>
          <w:lang w:val="en-US"/>
        </w:rPr>
        <w:t xml:space="preserve"> (ADU)</w:t>
      </w:r>
      <w:r w:rsidR="00D22CB8">
        <w:rPr>
          <w:sz w:val="20"/>
          <w:lang w:val="en-US"/>
        </w:rPr>
        <w:t xml:space="preserve"> </w:t>
      </w:r>
      <w:r w:rsidR="00996E91">
        <w:rPr>
          <w:sz w:val="20"/>
          <w:lang w:val="en-US"/>
        </w:rPr>
        <w:t>[1]</w:t>
      </w:r>
      <w:r w:rsidRPr="001C1D16">
        <w:rPr>
          <w:sz w:val="20"/>
          <w:lang w:val="en-US"/>
        </w:rPr>
        <w:t xml:space="preserve">. </w:t>
      </w:r>
      <w:r w:rsidR="00CF5CE6" w:rsidRPr="001C1D16">
        <w:rPr>
          <w:sz w:val="20"/>
          <w:lang w:val="en-US"/>
        </w:rPr>
        <w:t>Then</w:t>
      </w:r>
      <w:r w:rsidRPr="001C1D16">
        <w:rPr>
          <w:sz w:val="20"/>
          <w:lang w:val="en-US"/>
        </w:rPr>
        <w:t xml:space="preserve">, from the contaminated stream (radioactive liquid waste) a decontaminated liquid stream and a solid concentrated </w:t>
      </w:r>
      <w:r w:rsidR="00B71E7B" w:rsidRPr="001C1D16">
        <w:rPr>
          <w:sz w:val="20"/>
          <w:lang w:val="en-US"/>
        </w:rPr>
        <w:t>in u</w:t>
      </w:r>
      <w:r w:rsidRPr="001C1D16">
        <w:rPr>
          <w:sz w:val="20"/>
          <w:lang w:val="en-US"/>
        </w:rPr>
        <w:t>ranium</w:t>
      </w:r>
      <w:r w:rsidR="00B71E7B" w:rsidRPr="001C1D16">
        <w:rPr>
          <w:sz w:val="20"/>
          <w:lang w:val="en-US"/>
        </w:rPr>
        <w:t xml:space="preserve"> (ADU)</w:t>
      </w:r>
      <w:r w:rsidR="00C82CDF">
        <w:rPr>
          <w:sz w:val="20"/>
          <w:lang w:val="en-US"/>
        </w:rPr>
        <w:t xml:space="preserve"> are obtained</w:t>
      </w:r>
      <w:r w:rsidRPr="001C1D16">
        <w:rPr>
          <w:sz w:val="20"/>
          <w:lang w:val="en-US"/>
        </w:rPr>
        <w:t xml:space="preserve">, which precipitates and </w:t>
      </w:r>
      <w:r w:rsidR="00B71E7B" w:rsidRPr="001C1D16">
        <w:rPr>
          <w:sz w:val="20"/>
          <w:lang w:val="en-US"/>
        </w:rPr>
        <w:t xml:space="preserve">then </w:t>
      </w:r>
      <w:r w:rsidR="00C82CDF">
        <w:rPr>
          <w:sz w:val="20"/>
          <w:lang w:val="en-US"/>
        </w:rPr>
        <w:t>is</w:t>
      </w:r>
      <w:r w:rsidRPr="001C1D16">
        <w:rPr>
          <w:sz w:val="20"/>
          <w:lang w:val="en-US"/>
        </w:rPr>
        <w:t xml:space="preserve"> filtered.</w:t>
      </w:r>
    </w:p>
    <w:p w14:paraId="6CD13DD5" w14:textId="5901125D" w:rsidR="00F83AD6" w:rsidRDefault="00F83AD6" w:rsidP="00B71E7B">
      <w:pPr>
        <w:pStyle w:val="Ttulo2"/>
        <w:numPr>
          <w:ilvl w:val="0"/>
          <w:numId w:val="0"/>
        </w:numPr>
        <w:rPr>
          <w:lang w:val="en-US"/>
        </w:rPr>
      </w:pPr>
    </w:p>
    <w:p w14:paraId="192A5B32" w14:textId="77777777" w:rsidR="00D73E0E" w:rsidRPr="00D73E0E" w:rsidRDefault="00D73E0E" w:rsidP="00D73E0E">
      <w:pPr>
        <w:pStyle w:val="Textoindependiente"/>
        <w:rPr>
          <w:lang w:val="en-US"/>
        </w:rPr>
      </w:pPr>
    </w:p>
    <w:p w14:paraId="1C80E7F8" w14:textId="77777777" w:rsidR="000C77A9" w:rsidRPr="000C77A9" w:rsidRDefault="000C77A9" w:rsidP="000C77A9">
      <w:pPr>
        <w:pStyle w:val="Textoindependiente"/>
        <w:rPr>
          <w:lang w:val="en-US"/>
        </w:rPr>
      </w:pPr>
    </w:p>
    <w:p w14:paraId="5933D75C" w14:textId="34D9D291" w:rsidR="00C618D2" w:rsidRPr="001C1D16" w:rsidRDefault="00C618D2" w:rsidP="00C618D2">
      <w:pPr>
        <w:pStyle w:val="Textoindependiente"/>
        <w:rPr>
          <w:lang w:val="en-US"/>
        </w:rPr>
      </w:pPr>
    </w:p>
    <w:p w14:paraId="179B49A5" w14:textId="417BD177" w:rsidR="00C618D2" w:rsidRPr="001C1D16" w:rsidRDefault="00C618D2" w:rsidP="00BB0990">
      <w:pPr>
        <w:pStyle w:val="Textoindependiente"/>
        <w:ind w:left="567" w:hanging="567"/>
        <w:rPr>
          <w:lang w:val="en-US"/>
        </w:rPr>
      </w:pPr>
      <w:r w:rsidRPr="001C1D16">
        <w:rPr>
          <w:lang w:val="en-US"/>
        </w:rPr>
        <w:lastRenderedPageBreak/>
        <w:t xml:space="preserve">2. </w:t>
      </w:r>
      <w:r w:rsidR="00BB0990">
        <w:rPr>
          <w:lang w:val="en-US"/>
        </w:rPr>
        <w:tab/>
      </w:r>
      <w:r w:rsidRPr="001C1D16">
        <w:rPr>
          <w:lang w:val="en-US"/>
        </w:rPr>
        <w:t>METHOD AND MATERIALS</w:t>
      </w:r>
    </w:p>
    <w:p w14:paraId="2C1374C4" w14:textId="77777777" w:rsidR="00C618D2" w:rsidRPr="001C1D16" w:rsidRDefault="00C618D2" w:rsidP="00C618D2">
      <w:pPr>
        <w:pStyle w:val="Textoindependiente"/>
        <w:rPr>
          <w:lang w:val="en-US"/>
        </w:rPr>
      </w:pPr>
    </w:p>
    <w:p w14:paraId="0173588D" w14:textId="57961924" w:rsidR="00C618D2" w:rsidRPr="000C77A9" w:rsidRDefault="00C618D2" w:rsidP="00BB0990">
      <w:pPr>
        <w:pStyle w:val="Textoindependiente"/>
        <w:ind w:firstLine="0"/>
        <w:rPr>
          <w:b/>
          <w:bCs/>
          <w:lang w:val="en-US"/>
        </w:rPr>
      </w:pPr>
      <w:r w:rsidRPr="000C77A9">
        <w:rPr>
          <w:b/>
          <w:bCs/>
          <w:lang w:val="en-US"/>
        </w:rPr>
        <w:t xml:space="preserve">2.1 </w:t>
      </w:r>
      <w:r w:rsidR="00BB0990" w:rsidRPr="000C77A9">
        <w:rPr>
          <w:b/>
          <w:bCs/>
          <w:lang w:val="en-US"/>
        </w:rPr>
        <w:tab/>
      </w:r>
      <w:r w:rsidRPr="000C77A9">
        <w:rPr>
          <w:b/>
          <w:bCs/>
          <w:lang w:val="en-US"/>
        </w:rPr>
        <w:t>Reactions of the Process</w:t>
      </w:r>
    </w:p>
    <w:p w14:paraId="4118C86E" w14:textId="77777777" w:rsidR="00C618D2" w:rsidRPr="001C1D16" w:rsidRDefault="00C618D2" w:rsidP="00C618D2">
      <w:pPr>
        <w:pStyle w:val="Textoindependiente"/>
        <w:rPr>
          <w:lang w:val="en-US"/>
        </w:rPr>
      </w:pPr>
    </w:p>
    <w:p w14:paraId="6ECDE812" w14:textId="10049873" w:rsidR="00C618D2" w:rsidRPr="001C1D16" w:rsidRDefault="00B866F9" w:rsidP="001C1D16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t>Despite of t</w:t>
      </w:r>
      <w:r w:rsidR="00C618D2" w:rsidRPr="001C1D16">
        <w:rPr>
          <w:lang w:val="en-US"/>
        </w:rPr>
        <w:t xml:space="preserve">he </w:t>
      </w:r>
      <w:r w:rsidR="00C82CDF">
        <w:rPr>
          <w:lang w:val="en-US"/>
        </w:rPr>
        <w:t xml:space="preserve">smaller </w:t>
      </w:r>
      <w:r w:rsidR="00C618D2" w:rsidRPr="001C1D16">
        <w:rPr>
          <w:lang w:val="en-US"/>
        </w:rPr>
        <w:t>concentration of uranium in the liquid waste</w:t>
      </w:r>
      <w:r w:rsidR="003C2B87">
        <w:rPr>
          <w:lang w:val="en-US"/>
        </w:rPr>
        <w:t>,</w:t>
      </w:r>
      <w:r w:rsidR="00C618D2" w:rsidRPr="001C1D16">
        <w:rPr>
          <w:lang w:val="en-US"/>
        </w:rPr>
        <w:t xml:space="preserve"> </w:t>
      </w:r>
      <w:r w:rsidR="003C2B87">
        <w:rPr>
          <w:lang w:val="en-US"/>
        </w:rPr>
        <w:t>the ot</w:t>
      </w:r>
      <w:r w:rsidR="00C618D2" w:rsidRPr="001C1D16">
        <w:rPr>
          <w:lang w:val="en-US"/>
        </w:rPr>
        <w:t>her components (see TABLE N° 1)</w:t>
      </w:r>
      <w:r w:rsidR="003C2B87">
        <w:rPr>
          <w:lang w:val="en-US"/>
        </w:rPr>
        <w:t xml:space="preserve"> were a</w:t>
      </w:r>
      <w:r w:rsidR="00C618D2" w:rsidRPr="001C1D16">
        <w:rPr>
          <w:lang w:val="en-US"/>
        </w:rPr>
        <w:t xml:space="preserve"> convenient</w:t>
      </w:r>
      <w:r w:rsidR="00D70B56" w:rsidRPr="001C1D16">
        <w:rPr>
          <w:lang w:val="en-US"/>
        </w:rPr>
        <w:t xml:space="preserve"> option for this process</w:t>
      </w:r>
      <w:r w:rsidR="00C618D2" w:rsidRPr="001C1D16">
        <w:rPr>
          <w:lang w:val="en-US"/>
        </w:rPr>
        <w:t>. The reactions</w:t>
      </w:r>
      <w:r w:rsidRPr="001C1D16">
        <w:rPr>
          <w:lang w:val="en-US"/>
        </w:rPr>
        <w:t xml:space="preserve"> </w:t>
      </w:r>
      <w:r w:rsidR="00C618D2" w:rsidRPr="001C1D16">
        <w:rPr>
          <w:lang w:val="en-US"/>
        </w:rPr>
        <w:t>in this process are the following:</w:t>
      </w:r>
    </w:p>
    <w:p w14:paraId="171370A2" w14:textId="77777777" w:rsidR="00D70B56" w:rsidRPr="001C1D16" w:rsidRDefault="00D70B56" w:rsidP="001C1D16">
      <w:pPr>
        <w:pStyle w:val="Default"/>
        <w:spacing w:after="27"/>
        <w:jc w:val="both"/>
        <w:rPr>
          <w:rFonts w:ascii="Times New Roman" w:hAnsi="Times New Roman"/>
          <w:color w:val="auto"/>
          <w:lang w:val="en-US"/>
        </w:rPr>
      </w:pPr>
    </w:p>
    <w:tbl>
      <w:tblPr>
        <w:tblW w:w="9217" w:type="dxa"/>
        <w:tblLook w:val="01E0" w:firstRow="1" w:lastRow="1" w:firstColumn="1" w:lastColumn="1" w:noHBand="0" w:noVBand="0"/>
      </w:tblPr>
      <w:tblGrid>
        <w:gridCol w:w="8001"/>
        <w:gridCol w:w="1216"/>
      </w:tblGrid>
      <w:tr w:rsidR="00D70B56" w:rsidRPr="001C1D16" w14:paraId="51E8F7D9" w14:textId="77777777" w:rsidTr="00D70B56">
        <w:trPr>
          <w:trHeight w:val="718"/>
        </w:trPr>
        <w:tc>
          <w:tcPr>
            <w:tcW w:w="8001" w:type="dxa"/>
            <w:shd w:val="clear" w:color="auto" w:fill="auto"/>
            <w:vAlign w:val="center"/>
          </w:tcPr>
          <w:p w14:paraId="5FD4B497" w14:textId="281F059D" w:rsidR="00D70B56" w:rsidRPr="001C1D16" w:rsidRDefault="00D70B56" w:rsidP="001C1D16">
            <w:pPr>
              <w:jc w:val="center"/>
              <w:rPr>
                <w:rFonts w:ascii="Calibri" w:hAnsi="Calibri"/>
                <w:lang w:val="en-US"/>
              </w:rPr>
            </w:pPr>
            <w:r w:rsidRPr="001C1D16"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002CD46A" wp14:editId="293A0655">
                  <wp:extent cx="3476625" cy="3333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227"/>
                          <a:stretch/>
                        </pic:blipFill>
                        <pic:spPr bwMode="auto">
                          <a:xfrm>
                            <a:off x="0" y="0"/>
                            <a:ext cx="3476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E20F877" w14:textId="77777777" w:rsidR="00D70B56" w:rsidRPr="001C1D16" w:rsidRDefault="00D70B56" w:rsidP="001C1D16">
            <w:pPr>
              <w:jc w:val="center"/>
              <w:rPr>
                <w:lang w:val="en-US"/>
              </w:rPr>
            </w:pPr>
            <w:r w:rsidRPr="001C1D16">
              <w:rPr>
                <w:lang w:val="en-US"/>
              </w:rPr>
              <w:t>(1)</w:t>
            </w:r>
          </w:p>
        </w:tc>
      </w:tr>
      <w:tr w:rsidR="00D70B56" w:rsidRPr="001C1D16" w14:paraId="24591FC2" w14:textId="77777777" w:rsidTr="00D70B56">
        <w:trPr>
          <w:trHeight w:val="700"/>
        </w:trPr>
        <w:tc>
          <w:tcPr>
            <w:tcW w:w="8001" w:type="dxa"/>
            <w:shd w:val="clear" w:color="auto" w:fill="auto"/>
            <w:vAlign w:val="center"/>
          </w:tcPr>
          <w:p w14:paraId="4E142A92" w14:textId="43B35669" w:rsidR="00D70B56" w:rsidRPr="001C1D16" w:rsidRDefault="00D70B56" w:rsidP="001C1D16">
            <w:pPr>
              <w:jc w:val="center"/>
              <w:rPr>
                <w:lang w:val="en-US"/>
              </w:rPr>
            </w:pPr>
            <w:r w:rsidRPr="001C1D16">
              <w:rPr>
                <w:noProof/>
                <w:lang w:val="en-US"/>
              </w:rPr>
              <w:drawing>
                <wp:inline distT="0" distB="0" distL="0" distR="0" wp14:anchorId="52DD83BB" wp14:editId="0DAD66AA">
                  <wp:extent cx="4371975" cy="3524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89"/>
                          <a:stretch/>
                        </pic:blipFill>
                        <pic:spPr bwMode="auto">
                          <a:xfrm>
                            <a:off x="0" y="0"/>
                            <a:ext cx="4371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B1F6E1" w14:textId="77777777" w:rsidR="00D70B56" w:rsidRPr="001C1D16" w:rsidRDefault="00D70B56" w:rsidP="001C1D16">
            <w:pPr>
              <w:jc w:val="center"/>
              <w:rPr>
                <w:lang w:val="en-US"/>
              </w:rPr>
            </w:pPr>
            <w:r w:rsidRPr="001C1D16">
              <w:rPr>
                <w:lang w:val="en-US"/>
              </w:rPr>
              <w:t>(2)</w:t>
            </w:r>
          </w:p>
        </w:tc>
      </w:tr>
    </w:tbl>
    <w:p w14:paraId="346F3DD7" w14:textId="77777777" w:rsidR="00C618D2" w:rsidRPr="001C1D16" w:rsidRDefault="00C618D2" w:rsidP="001C1D16">
      <w:pPr>
        <w:pStyle w:val="Textoindependiente"/>
        <w:spacing w:line="240" w:lineRule="auto"/>
        <w:rPr>
          <w:lang w:val="en-US"/>
        </w:rPr>
      </w:pPr>
    </w:p>
    <w:p w14:paraId="2AA41E79" w14:textId="77777777" w:rsidR="00C618D2" w:rsidRPr="001C1D16" w:rsidRDefault="00C618D2" w:rsidP="001C1D16">
      <w:pPr>
        <w:pStyle w:val="Textoindependiente"/>
        <w:spacing w:line="240" w:lineRule="auto"/>
        <w:rPr>
          <w:lang w:val="en-US"/>
        </w:rPr>
      </w:pPr>
    </w:p>
    <w:p w14:paraId="1454506F" w14:textId="7264703C" w:rsidR="00C618D2" w:rsidRPr="001C1D16" w:rsidRDefault="00C618D2" w:rsidP="001C1D16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t>Final reaction</w:t>
      </w:r>
      <w:r w:rsidR="00D22CB8">
        <w:rPr>
          <w:lang w:val="en-US"/>
        </w:rPr>
        <w:t xml:space="preserve"> [2]</w:t>
      </w:r>
      <w:r w:rsidRPr="001C1D16">
        <w:rPr>
          <w:lang w:val="en-US"/>
        </w:rPr>
        <w:t>: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8075"/>
        <w:gridCol w:w="1134"/>
      </w:tblGrid>
      <w:tr w:rsidR="00D70B56" w:rsidRPr="001C1D16" w14:paraId="0EFABAF9" w14:textId="77777777" w:rsidTr="00D70B56">
        <w:trPr>
          <w:trHeight w:val="636"/>
        </w:trPr>
        <w:tc>
          <w:tcPr>
            <w:tcW w:w="8075" w:type="dxa"/>
            <w:shd w:val="clear" w:color="auto" w:fill="auto"/>
            <w:vAlign w:val="center"/>
          </w:tcPr>
          <w:p w14:paraId="086ABD24" w14:textId="370BF280" w:rsidR="00D70B56" w:rsidRPr="001C1D16" w:rsidRDefault="00D70B56" w:rsidP="001C1D16">
            <w:pPr>
              <w:jc w:val="center"/>
              <w:rPr>
                <w:lang w:val="en-US"/>
              </w:rPr>
            </w:pPr>
            <w:r w:rsidRPr="001C1D16">
              <w:rPr>
                <w:noProof/>
                <w:lang w:val="en-US"/>
              </w:rPr>
              <w:drawing>
                <wp:inline distT="0" distB="0" distL="0" distR="0" wp14:anchorId="385BDF93" wp14:editId="6CB89A29">
                  <wp:extent cx="4572000" cy="2190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605"/>
                          <a:stretch/>
                        </pic:blipFill>
                        <pic:spPr bwMode="auto">
                          <a:xfrm>
                            <a:off x="0" y="0"/>
                            <a:ext cx="457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6D15E" w14:textId="77777777" w:rsidR="00D70B56" w:rsidRPr="001C1D16" w:rsidRDefault="00D70B56" w:rsidP="001C1D16">
            <w:pPr>
              <w:jc w:val="center"/>
              <w:rPr>
                <w:lang w:val="en-US"/>
              </w:rPr>
            </w:pPr>
            <w:r w:rsidRPr="001C1D16">
              <w:rPr>
                <w:lang w:val="en-US"/>
              </w:rPr>
              <w:t>(3)</w:t>
            </w:r>
          </w:p>
        </w:tc>
      </w:tr>
    </w:tbl>
    <w:p w14:paraId="433FE06E" w14:textId="4BB0B5A3" w:rsidR="001C58F5" w:rsidRPr="001C1D16" w:rsidRDefault="001C58F5" w:rsidP="001C1D16">
      <w:pPr>
        <w:pStyle w:val="Textoindependiente"/>
        <w:spacing w:line="240" w:lineRule="auto"/>
        <w:rPr>
          <w:lang w:val="en-US"/>
        </w:rPr>
      </w:pPr>
    </w:p>
    <w:p w14:paraId="27315262" w14:textId="344F59C3" w:rsidR="00D70B56" w:rsidRPr="000C77A9" w:rsidRDefault="00D70B56" w:rsidP="00BB0990">
      <w:pPr>
        <w:pStyle w:val="Textoindependiente"/>
        <w:spacing w:line="240" w:lineRule="auto"/>
        <w:ind w:firstLine="0"/>
        <w:rPr>
          <w:b/>
          <w:bCs/>
          <w:lang w:val="en-US"/>
        </w:rPr>
      </w:pPr>
      <w:r w:rsidRPr="000C77A9">
        <w:rPr>
          <w:b/>
          <w:bCs/>
          <w:lang w:val="en-US"/>
        </w:rPr>
        <w:t xml:space="preserve">2.2 </w:t>
      </w:r>
      <w:r w:rsidR="00BB0990" w:rsidRPr="000C77A9">
        <w:rPr>
          <w:b/>
          <w:bCs/>
          <w:lang w:val="en-US"/>
        </w:rPr>
        <w:tab/>
      </w:r>
      <w:r w:rsidRPr="000C77A9">
        <w:rPr>
          <w:b/>
          <w:bCs/>
          <w:lang w:val="en-US"/>
        </w:rPr>
        <w:t>Process Development</w:t>
      </w:r>
    </w:p>
    <w:p w14:paraId="2A3236F8" w14:textId="77777777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</w:p>
    <w:p w14:paraId="637398DD" w14:textId="3E2CB150" w:rsidR="00D70B56" w:rsidRPr="001C1D16" w:rsidRDefault="00B866F9" w:rsidP="001C1D16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t>In the lab trials, t</w:t>
      </w:r>
      <w:r w:rsidR="00D70B56" w:rsidRPr="001C1D16">
        <w:rPr>
          <w:lang w:val="en-US"/>
        </w:rPr>
        <w:t xml:space="preserve">he uranyl nitrate solution was treated in a stirred reactor of approximately 2 liters, which it was heated to 50 [° C]. The barium chloride is added, which reacts with the sulfates in the solution. Later, ferric chloride and ammonium hydroxide are added simultaneously </w:t>
      </w:r>
      <w:r w:rsidR="004D211E" w:rsidRPr="001C1D16">
        <w:rPr>
          <w:lang w:val="en-US"/>
        </w:rPr>
        <w:t>increasing the</w:t>
      </w:r>
      <w:r w:rsidR="00D70B56" w:rsidRPr="001C1D16">
        <w:rPr>
          <w:lang w:val="en-US"/>
        </w:rPr>
        <w:t xml:space="preserve"> pH </w:t>
      </w:r>
      <w:r w:rsidR="004D211E" w:rsidRPr="001C1D16">
        <w:rPr>
          <w:lang w:val="en-US"/>
        </w:rPr>
        <w:t>from 1.0 to</w:t>
      </w:r>
      <w:r w:rsidR="00D70B56" w:rsidRPr="001C1D16">
        <w:rPr>
          <w:lang w:val="en-US"/>
        </w:rPr>
        <w:t xml:space="preserve"> 7.0</w:t>
      </w:r>
      <w:r w:rsidR="004D211E" w:rsidRPr="001C1D16">
        <w:rPr>
          <w:lang w:val="en-US"/>
        </w:rPr>
        <w:t xml:space="preserve">, </w:t>
      </w:r>
      <w:r w:rsidR="003C2B87">
        <w:rPr>
          <w:lang w:val="en-US"/>
        </w:rPr>
        <w:t>the pH control i</w:t>
      </w:r>
      <w:r w:rsidR="00D70B56" w:rsidRPr="001C1D16">
        <w:rPr>
          <w:lang w:val="en-US"/>
        </w:rPr>
        <w:t xml:space="preserve">s shown in Figure </w:t>
      </w:r>
      <w:r w:rsidR="004D211E" w:rsidRPr="001C1D16">
        <w:rPr>
          <w:lang w:val="en-US"/>
        </w:rPr>
        <w:t>1</w:t>
      </w:r>
      <w:r w:rsidR="00D70B56" w:rsidRPr="001C1D16">
        <w:rPr>
          <w:lang w:val="en-US"/>
        </w:rPr>
        <w:t>.</w:t>
      </w:r>
    </w:p>
    <w:p w14:paraId="64BC4F24" w14:textId="77777777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</w:p>
    <w:p w14:paraId="273517C2" w14:textId="77777777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</w:p>
    <w:p w14:paraId="533CE02B" w14:textId="4976A249" w:rsidR="00D70B56" w:rsidRPr="001C1D16" w:rsidRDefault="004D211E" w:rsidP="001C1D16">
      <w:pPr>
        <w:pStyle w:val="Textoindependiente"/>
        <w:spacing w:line="240" w:lineRule="auto"/>
        <w:jc w:val="center"/>
        <w:rPr>
          <w:lang w:val="en-US"/>
        </w:rPr>
      </w:pPr>
      <w:r w:rsidRPr="001C1D16">
        <w:rPr>
          <w:noProof/>
          <w:lang w:val="en-US"/>
        </w:rPr>
        <w:drawing>
          <wp:inline distT="0" distB="0" distL="0" distR="0" wp14:anchorId="0559D001" wp14:editId="7D1FD68C">
            <wp:extent cx="3429000" cy="19482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6996" t="43153" r="13759" b="27291"/>
                    <a:stretch/>
                  </pic:blipFill>
                  <pic:spPr bwMode="auto">
                    <a:xfrm>
                      <a:off x="0" y="0"/>
                      <a:ext cx="3432342" cy="195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0C396" w14:textId="3C896013" w:rsidR="00D70B56" w:rsidRPr="00996E91" w:rsidRDefault="00D70B56" w:rsidP="001C1D16">
      <w:pPr>
        <w:pStyle w:val="Textoindependiente"/>
        <w:spacing w:line="240" w:lineRule="auto"/>
        <w:jc w:val="center"/>
        <w:rPr>
          <w:i/>
          <w:iCs/>
          <w:lang w:val="en-US"/>
        </w:rPr>
      </w:pPr>
      <w:r w:rsidRPr="00996E91">
        <w:rPr>
          <w:i/>
          <w:iCs/>
          <w:lang w:val="en-US"/>
        </w:rPr>
        <w:t>F</w:t>
      </w:r>
      <w:r w:rsidR="00996E91" w:rsidRPr="00996E91">
        <w:rPr>
          <w:i/>
          <w:iCs/>
          <w:lang w:val="en-US"/>
        </w:rPr>
        <w:t>IG.</w:t>
      </w:r>
      <w:r w:rsidRPr="00996E91">
        <w:rPr>
          <w:i/>
          <w:iCs/>
          <w:lang w:val="en-US"/>
        </w:rPr>
        <w:t xml:space="preserve"> </w:t>
      </w:r>
      <w:r w:rsidR="004D211E" w:rsidRPr="00996E91">
        <w:rPr>
          <w:i/>
          <w:iCs/>
          <w:lang w:val="en-US"/>
        </w:rPr>
        <w:t>1</w:t>
      </w:r>
      <w:r w:rsidRPr="00996E91">
        <w:rPr>
          <w:i/>
          <w:iCs/>
          <w:lang w:val="en-US"/>
        </w:rPr>
        <w:t xml:space="preserve">. pH adjustment </w:t>
      </w:r>
      <w:r w:rsidR="004D211E" w:rsidRPr="00996E91">
        <w:rPr>
          <w:i/>
          <w:iCs/>
          <w:lang w:val="en-US"/>
        </w:rPr>
        <w:t>using</w:t>
      </w:r>
      <w:r w:rsidRPr="00996E91">
        <w:rPr>
          <w:i/>
          <w:iCs/>
          <w:lang w:val="en-US"/>
        </w:rPr>
        <w:t xml:space="preserve"> ammonium hydroxide.</w:t>
      </w:r>
    </w:p>
    <w:p w14:paraId="3E0C35E6" w14:textId="77777777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</w:p>
    <w:p w14:paraId="4393A632" w14:textId="07435031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</w:p>
    <w:p w14:paraId="3C682624" w14:textId="77777777" w:rsidR="00B866F9" w:rsidRPr="001C1D16" w:rsidRDefault="00B866F9" w:rsidP="001C1D16">
      <w:pPr>
        <w:pStyle w:val="Textoindependiente"/>
        <w:spacing w:line="240" w:lineRule="auto"/>
        <w:rPr>
          <w:lang w:val="en-US"/>
        </w:rPr>
      </w:pPr>
    </w:p>
    <w:p w14:paraId="125BA901" w14:textId="5BB2CBD7" w:rsidR="00D70B56" w:rsidRPr="001C1D16" w:rsidRDefault="004D211E" w:rsidP="001C1D16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t>The f</w:t>
      </w:r>
      <w:r w:rsidR="00D70B56" w:rsidRPr="001C1D16">
        <w:rPr>
          <w:lang w:val="en-US"/>
        </w:rPr>
        <w:t xml:space="preserve">erric chloride </w:t>
      </w:r>
      <w:r w:rsidR="003C2B87">
        <w:rPr>
          <w:lang w:val="en-US"/>
        </w:rPr>
        <w:t xml:space="preserve">also </w:t>
      </w:r>
      <w:r w:rsidR="00D70B56" w:rsidRPr="001C1D16">
        <w:rPr>
          <w:lang w:val="en-US"/>
        </w:rPr>
        <w:t xml:space="preserve">allows </w:t>
      </w:r>
      <w:r w:rsidRPr="001C1D16">
        <w:rPr>
          <w:lang w:val="en-US"/>
        </w:rPr>
        <w:t xml:space="preserve">to </w:t>
      </w:r>
      <w:r w:rsidR="00D70B56" w:rsidRPr="001C1D16">
        <w:rPr>
          <w:lang w:val="en-US"/>
        </w:rPr>
        <w:t>obtain uranium in</w:t>
      </w:r>
      <w:r w:rsidRPr="001C1D16">
        <w:rPr>
          <w:lang w:val="en-US"/>
        </w:rPr>
        <w:t xml:space="preserve"> </w:t>
      </w:r>
      <w:r w:rsidR="00D70B56" w:rsidRPr="001C1D16">
        <w:rPr>
          <w:lang w:val="en-US"/>
        </w:rPr>
        <w:t xml:space="preserve">oxidation state (+6) and </w:t>
      </w:r>
      <w:r w:rsidRPr="001C1D16">
        <w:rPr>
          <w:lang w:val="en-US"/>
        </w:rPr>
        <w:t xml:space="preserve">the </w:t>
      </w:r>
      <w:r w:rsidR="00D70B56" w:rsidRPr="001C1D16">
        <w:rPr>
          <w:lang w:val="en-US"/>
        </w:rPr>
        <w:t xml:space="preserve">ammonium hydroxide generates the </w:t>
      </w:r>
      <w:r w:rsidR="003C2B87">
        <w:rPr>
          <w:lang w:val="en-US"/>
        </w:rPr>
        <w:t xml:space="preserve">uranium </w:t>
      </w:r>
      <w:r w:rsidR="00D70B56" w:rsidRPr="001C1D16">
        <w:rPr>
          <w:lang w:val="en-US"/>
        </w:rPr>
        <w:t xml:space="preserve">precipitation, </w:t>
      </w:r>
      <w:r w:rsidRPr="001C1D16">
        <w:rPr>
          <w:lang w:val="en-US"/>
        </w:rPr>
        <w:t>as</w:t>
      </w:r>
      <w:r w:rsidR="00D70B56" w:rsidRPr="001C1D16">
        <w:rPr>
          <w:lang w:val="en-US"/>
        </w:rPr>
        <w:t xml:space="preserve"> ammonium </w:t>
      </w:r>
      <w:proofErr w:type="spellStart"/>
      <w:r w:rsidR="00D70B56" w:rsidRPr="001C1D16">
        <w:rPr>
          <w:lang w:val="en-US"/>
        </w:rPr>
        <w:t>diuranate</w:t>
      </w:r>
      <w:proofErr w:type="spellEnd"/>
      <w:r w:rsidR="00D70B56" w:rsidRPr="001C1D16">
        <w:rPr>
          <w:lang w:val="en-US"/>
        </w:rPr>
        <w:t xml:space="preserve"> (ADU). The reagent</w:t>
      </w:r>
      <w:r w:rsidRPr="001C1D16">
        <w:rPr>
          <w:lang w:val="en-US"/>
        </w:rPr>
        <w:t xml:space="preserve">s addition </w:t>
      </w:r>
      <w:r w:rsidR="00996E91" w:rsidRPr="001C1D16">
        <w:rPr>
          <w:lang w:val="en-US"/>
        </w:rPr>
        <w:t>is</w:t>
      </w:r>
      <w:r w:rsidR="00D70B56" w:rsidRPr="001C1D16">
        <w:rPr>
          <w:lang w:val="en-US"/>
        </w:rPr>
        <w:t xml:space="preserve"> shown in </w:t>
      </w:r>
      <w:r w:rsidR="003C2B87">
        <w:rPr>
          <w:lang w:val="en-US"/>
        </w:rPr>
        <w:t>the following chart</w:t>
      </w:r>
      <w:r w:rsidR="00D70B56" w:rsidRPr="001C1D16">
        <w:rPr>
          <w:lang w:val="en-US"/>
        </w:rPr>
        <w:t>.</w:t>
      </w:r>
    </w:p>
    <w:p w14:paraId="616F40DC" w14:textId="64841B11" w:rsidR="00D70B56" w:rsidRDefault="00D70B56" w:rsidP="001C1D16">
      <w:pPr>
        <w:pStyle w:val="Textoindependiente"/>
        <w:spacing w:line="240" w:lineRule="auto"/>
        <w:rPr>
          <w:lang w:val="en-US"/>
        </w:rPr>
      </w:pPr>
    </w:p>
    <w:p w14:paraId="3B0F3C35" w14:textId="77777777" w:rsidR="00996E91" w:rsidRPr="001C1D16" w:rsidRDefault="00996E91" w:rsidP="001C1D16">
      <w:pPr>
        <w:pStyle w:val="Textoindependiente"/>
        <w:spacing w:line="240" w:lineRule="auto"/>
        <w:rPr>
          <w:lang w:val="en-US"/>
        </w:rPr>
      </w:pPr>
    </w:p>
    <w:p w14:paraId="64AA090B" w14:textId="44BC57F2" w:rsidR="004D211E" w:rsidRPr="001C1D16" w:rsidRDefault="004D211E" w:rsidP="001C1D16">
      <w:pPr>
        <w:jc w:val="center"/>
        <w:rPr>
          <w:sz w:val="20"/>
          <w:lang w:val="en-US"/>
        </w:rPr>
      </w:pPr>
      <w:r w:rsidRPr="001C1D16">
        <w:rPr>
          <w:sz w:val="20"/>
          <w:lang w:val="en-US"/>
        </w:rPr>
        <w:t>T</w:t>
      </w:r>
      <w:r w:rsidR="00996E91">
        <w:rPr>
          <w:sz w:val="20"/>
          <w:lang w:val="en-US"/>
        </w:rPr>
        <w:t>ABLE</w:t>
      </w:r>
      <w:r w:rsidRPr="001C1D16">
        <w:rPr>
          <w:sz w:val="20"/>
          <w:lang w:val="en-US"/>
        </w:rPr>
        <w:t xml:space="preserve"> </w:t>
      </w:r>
      <w:r w:rsidR="00996E91">
        <w:rPr>
          <w:sz w:val="20"/>
          <w:lang w:val="en-US"/>
        </w:rPr>
        <w:t>N° 2</w:t>
      </w:r>
      <w:r w:rsidRPr="001C1D16">
        <w:rPr>
          <w:sz w:val="20"/>
          <w:lang w:val="en-US"/>
        </w:rPr>
        <w:t>:</w:t>
      </w:r>
      <w:r w:rsidR="00B866F9" w:rsidRPr="001C1D16">
        <w:rPr>
          <w:sz w:val="20"/>
          <w:lang w:val="en-US"/>
        </w:rPr>
        <w:t xml:space="preserve"> R</w:t>
      </w:r>
      <w:r w:rsidR="00B866F9" w:rsidRPr="00996E91">
        <w:rPr>
          <w:caps/>
          <w:sz w:val="20"/>
          <w:lang w:val="en-US"/>
        </w:rPr>
        <w:t>eagents</w:t>
      </w:r>
    </w:p>
    <w:tbl>
      <w:tblPr>
        <w:tblW w:w="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682"/>
      </w:tblGrid>
      <w:tr w:rsidR="004D211E" w:rsidRPr="001C1D16" w14:paraId="0A4BD92D" w14:textId="77777777" w:rsidTr="002D425B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6A29D518" w14:textId="4D5D7C8A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Reagents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1E0DB59" w14:textId="68248053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Addition</w:t>
            </w:r>
          </w:p>
        </w:tc>
      </w:tr>
      <w:tr w:rsidR="004D211E" w:rsidRPr="001C1D16" w14:paraId="50B70DD2" w14:textId="77777777" w:rsidTr="002D425B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1AD73FC8" w14:textId="77777777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BaCl2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EB6AA7B" w14:textId="51D959C3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2,4 [mL/ L of waste solution]</w:t>
            </w:r>
          </w:p>
        </w:tc>
      </w:tr>
      <w:tr w:rsidR="004D211E" w:rsidRPr="001C1D16" w14:paraId="6F88E923" w14:textId="77777777" w:rsidTr="002D425B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199A02AA" w14:textId="77777777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FeCl3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464F146" w14:textId="70E5CE94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2,6 [mL/ L of waste solution]</w:t>
            </w:r>
          </w:p>
        </w:tc>
      </w:tr>
      <w:tr w:rsidR="004D211E" w:rsidRPr="001C1D16" w14:paraId="2D71D613" w14:textId="77777777" w:rsidTr="002D425B">
        <w:trPr>
          <w:trHeight w:val="284"/>
          <w:jc w:val="center"/>
        </w:trPr>
        <w:tc>
          <w:tcPr>
            <w:tcW w:w="1323" w:type="dxa"/>
            <w:shd w:val="clear" w:color="auto" w:fill="auto"/>
            <w:vAlign w:val="center"/>
          </w:tcPr>
          <w:p w14:paraId="7264D454" w14:textId="77777777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NH4OH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1329B05" w14:textId="679EAF44" w:rsidR="004D211E" w:rsidRPr="001C1D16" w:rsidRDefault="004D211E" w:rsidP="001C1D16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1C1D16">
              <w:rPr>
                <w:color w:val="auto"/>
                <w:sz w:val="20"/>
                <w:szCs w:val="20"/>
              </w:rPr>
              <w:t>70,5 [mL/ L of waste solution]</w:t>
            </w:r>
          </w:p>
        </w:tc>
      </w:tr>
    </w:tbl>
    <w:p w14:paraId="04182C4A" w14:textId="77777777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</w:p>
    <w:p w14:paraId="65B494C5" w14:textId="2361B98D" w:rsidR="00D70B56" w:rsidRPr="001C1D16" w:rsidRDefault="00D70B56" w:rsidP="001C1D16">
      <w:pPr>
        <w:pStyle w:val="Textoindependiente"/>
        <w:spacing w:line="240" w:lineRule="auto"/>
        <w:rPr>
          <w:lang w:val="en-US"/>
        </w:rPr>
      </w:pPr>
      <w:r w:rsidRPr="001C1D16">
        <w:rPr>
          <w:lang w:val="en-US"/>
        </w:rPr>
        <w:lastRenderedPageBreak/>
        <w:t xml:space="preserve">The </w:t>
      </w:r>
      <w:r w:rsidR="00B35A2C" w:rsidRPr="001C1D16">
        <w:rPr>
          <w:lang w:val="en-US"/>
        </w:rPr>
        <w:t>sludge</w:t>
      </w:r>
      <w:r w:rsidR="003C2B87">
        <w:rPr>
          <w:lang w:val="en-US"/>
        </w:rPr>
        <w:t xml:space="preserve"> (</w:t>
      </w:r>
      <w:r w:rsidRPr="001C1D16">
        <w:rPr>
          <w:lang w:val="en-US"/>
        </w:rPr>
        <w:t>see Figure 3a</w:t>
      </w:r>
      <w:r w:rsidR="003C2B87">
        <w:rPr>
          <w:lang w:val="en-US"/>
        </w:rPr>
        <w:t>)</w:t>
      </w:r>
      <w:r w:rsidR="00B35A2C" w:rsidRPr="001C1D16">
        <w:rPr>
          <w:lang w:val="en-US"/>
        </w:rPr>
        <w:t xml:space="preserve"> goes to a </w:t>
      </w:r>
      <w:r w:rsidRPr="001C1D16">
        <w:rPr>
          <w:lang w:val="en-US"/>
        </w:rPr>
        <w:t>vacuum filt</w:t>
      </w:r>
      <w:r w:rsidR="00B35A2C" w:rsidRPr="001C1D16">
        <w:rPr>
          <w:lang w:val="en-US"/>
        </w:rPr>
        <w:t>ration stage</w:t>
      </w:r>
      <w:r w:rsidRPr="001C1D16">
        <w:rPr>
          <w:lang w:val="en-US"/>
        </w:rPr>
        <w:t xml:space="preserve"> and </w:t>
      </w:r>
      <w:r w:rsidR="00B35A2C" w:rsidRPr="001C1D16">
        <w:rPr>
          <w:lang w:val="en-US"/>
        </w:rPr>
        <w:t xml:space="preserve">then it is </w:t>
      </w:r>
      <w:r w:rsidRPr="001C1D16">
        <w:rPr>
          <w:lang w:val="en-US"/>
        </w:rPr>
        <w:t xml:space="preserve">dried in an oven at 105 [ºC], until </w:t>
      </w:r>
      <w:r w:rsidR="003C2B87">
        <w:rPr>
          <w:lang w:val="en-US"/>
        </w:rPr>
        <w:t>a</w:t>
      </w:r>
      <w:r w:rsidRPr="001C1D16">
        <w:rPr>
          <w:lang w:val="en-US"/>
        </w:rPr>
        <w:t xml:space="preserve"> constant weight</w:t>
      </w:r>
      <w:r w:rsidR="003C2B87">
        <w:rPr>
          <w:lang w:val="en-US"/>
        </w:rPr>
        <w:t xml:space="preserve"> is obtained</w:t>
      </w:r>
      <w:r w:rsidRPr="001C1D16">
        <w:rPr>
          <w:lang w:val="en-US"/>
        </w:rPr>
        <w:t>.</w:t>
      </w:r>
      <w:r w:rsidR="00BB0990" w:rsidRPr="00BB0990">
        <w:rPr>
          <w:lang w:val="en-US"/>
        </w:rPr>
        <w:t xml:space="preserve"> </w:t>
      </w:r>
      <w:r w:rsidR="00BB0990">
        <w:rPr>
          <w:lang w:val="en-US"/>
        </w:rPr>
        <w:t>T</w:t>
      </w:r>
      <w:r w:rsidR="00BB0990" w:rsidRPr="001C1D16">
        <w:rPr>
          <w:lang w:val="en-US"/>
        </w:rPr>
        <w:t>he efficiency of uranium abatement</w:t>
      </w:r>
      <w:r w:rsidR="00996E91">
        <w:rPr>
          <w:lang w:val="en-US"/>
        </w:rPr>
        <w:t xml:space="preserve"> </w:t>
      </w:r>
      <w:r w:rsidR="00BB0990">
        <w:rPr>
          <w:lang w:val="en-US"/>
        </w:rPr>
        <w:t>in t</w:t>
      </w:r>
      <w:r w:rsidRPr="001C1D16">
        <w:rPr>
          <w:lang w:val="en-US"/>
        </w:rPr>
        <w:t xml:space="preserve">he </w:t>
      </w:r>
      <w:r w:rsidR="00B866F9" w:rsidRPr="001C1D16">
        <w:rPr>
          <w:lang w:val="en-US"/>
        </w:rPr>
        <w:t>lab results</w:t>
      </w:r>
      <w:r w:rsidR="00540726">
        <w:rPr>
          <w:lang w:val="en-US"/>
        </w:rPr>
        <w:t xml:space="preserve"> </w:t>
      </w:r>
      <w:r w:rsidR="00B866F9" w:rsidRPr="001C1D16">
        <w:rPr>
          <w:lang w:val="en-US"/>
        </w:rPr>
        <w:t xml:space="preserve">was over </w:t>
      </w:r>
      <w:r w:rsidRPr="001C1D16">
        <w:rPr>
          <w:lang w:val="en-US"/>
        </w:rPr>
        <w:t>99%</w:t>
      </w:r>
      <w:r w:rsidR="00B866F9" w:rsidRPr="001C1D16">
        <w:rPr>
          <w:lang w:val="en-US"/>
        </w:rPr>
        <w:t xml:space="preserve"> in the </w:t>
      </w:r>
      <w:r w:rsidR="001C1D16" w:rsidRPr="001C1D16">
        <w:rPr>
          <w:lang w:val="en-US"/>
        </w:rPr>
        <w:t>decontaminated liquid</w:t>
      </w:r>
      <w:r w:rsidRPr="001C1D16">
        <w:rPr>
          <w:lang w:val="en-US"/>
        </w:rPr>
        <w:t xml:space="preserve">, and </w:t>
      </w:r>
      <w:r w:rsidR="00C55E03">
        <w:rPr>
          <w:lang w:val="en-US"/>
        </w:rPr>
        <w:t>the</w:t>
      </w:r>
      <w:r w:rsidRPr="001C1D16">
        <w:rPr>
          <w:lang w:val="en-US"/>
        </w:rPr>
        <w:t xml:space="preserve"> concentrated</w:t>
      </w:r>
      <w:r w:rsidR="00C55E03">
        <w:rPr>
          <w:lang w:val="en-US"/>
        </w:rPr>
        <w:t xml:space="preserve"> uranium </w:t>
      </w:r>
      <w:r w:rsidRPr="001C1D16">
        <w:rPr>
          <w:lang w:val="en-US"/>
        </w:rPr>
        <w:t xml:space="preserve">in the </w:t>
      </w:r>
      <w:r w:rsidR="00BB0990">
        <w:rPr>
          <w:lang w:val="en-US"/>
        </w:rPr>
        <w:t xml:space="preserve">filter </w:t>
      </w:r>
      <w:r w:rsidR="00C55E03">
        <w:rPr>
          <w:lang w:val="en-US"/>
        </w:rPr>
        <w:t>is</w:t>
      </w:r>
      <w:r w:rsidRPr="001C1D16">
        <w:rPr>
          <w:lang w:val="en-US"/>
        </w:rPr>
        <w:t xml:space="preserve"> between 15% and 20% by weight.</w:t>
      </w:r>
    </w:p>
    <w:p w14:paraId="576AFFA9" w14:textId="55CAE67C" w:rsidR="00B35A2C" w:rsidRDefault="00B35A2C" w:rsidP="001C1D16">
      <w:pPr>
        <w:jc w:val="center"/>
        <w:rPr>
          <w:b/>
          <w:bCs/>
          <w:lang w:val="en-US"/>
        </w:rPr>
      </w:pPr>
    </w:p>
    <w:p w14:paraId="63F90068" w14:textId="77777777" w:rsidR="00996E91" w:rsidRPr="001C1D16" w:rsidRDefault="00996E91" w:rsidP="001C1D16">
      <w:pPr>
        <w:jc w:val="center"/>
        <w:rPr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B35A2C" w:rsidRPr="001C1D16" w14:paraId="296DA4C5" w14:textId="77777777" w:rsidTr="002D425B">
        <w:trPr>
          <w:trHeight w:val="2283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3EDED52E" w14:textId="67640DC7" w:rsidR="00B35A2C" w:rsidRPr="001C1D16" w:rsidRDefault="00B35A2C" w:rsidP="001C1D16">
            <w:pPr>
              <w:jc w:val="center"/>
              <w:rPr>
                <w:szCs w:val="22"/>
                <w:lang w:val="en-US"/>
              </w:rPr>
            </w:pPr>
            <w:r w:rsidRPr="001C1D16">
              <w:rPr>
                <w:noProof/>
                <w:szCs w:val="22"/>
                <w:lang w:val="en-US"/>
              </w:rPr>
              <w:drawing>
                <wp:inline distT="0" distB="0" distL="0" distR="0" wp14:anchorId="66A51CA4" wp14:editId="6D3A0F26">
                  <wp:extent cx="1095375" cy="160972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5A516F0" w14:textId="1352E183" w:rsidR="00B35A2C" w:rsidRPr="001C1D16" w:rsidRDefault="00B35A2C" w:rsidP="001C1D16">
            <w:pPr>
              <w:jc w:val="center"/>
              <w:rPr>
                <w:szCs w:val="22"/>
                <w:lang w:val="en-US"/>
              </w:rPr>
            </w:pPr>
            <w:r w:rsidRPr="001C1D16">
              <w:rPr>
                <w:noProof/>
                <w:szCs w:val="22"/>
                <w:lang w:val="en-US"/>
              </w:rPr>
              <w:drawing>
                <wp:inline distT="0" distB="0" distL="0" distR="0" wp14:anchorId="6748AC12" wp14:editId="74704D50">
                  <wp:extent cx="1781175" cy="16192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2C" w:rsidRPr="001C1D16" w14:paraId="21B40C74" w14:textId="77777777" w:rsidTr="002D425B">
        <w:trPr>
          <w:trHeight w:val="164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6E56DA27" w14:textId="77777777" w:rsidR="00B35A2C" w:rsidRPr="001C1D16" w:rsidRDefault="00B35A2C" w:rsidP="001C1D16">
            <w:pPr>
              <w:jc w:val="center"/>
              <w:rPr>
                <w:szCs w:val="22"/>
                <w:lang w:val="en-US"/>
              </w:rPr>
            </w:pPr>
            <w:r w:rsidRPr="001C1D16">
              <w:rPr>
                <w:szCs w:val="22"/>
                <w:lang w:val="en-US"/>
              </w:rPr>
              <w:t>a)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4FBFA0A" w14:textId="77777777" w:rsidR="00B35A2C" w:rsidRPr="001C1D16" w:rsidRDefault="00B35A2C" w:rsidP="001C1D16">
            <w:pPr>
              <w:jc w:val="center"/>
              <w:rPr>
                <w:szCs w:val="22"/>
                <w:lang w:val="en-US"/>
              </w:rPr>
            </w:pPr>
            <w:r w:rsidRPr="001C1D16">
              <w:rPr>
                <w:szCs w:val="22"/>
                <w:lang w:val="en-US"/>
              </w:rPr>
              <w:t>b)</w:t>
            </w:r>
          </w:p>
        </w:tc>
      </w:tr>
    </w:tbl>
    <w:p w14:paraId="2467823B" w14:textId="1D110ECF" w:rsidR="00B35A2C" w:rsidRPr="00996E91" w:rsidRDefault="00996E91" w:rsidP="001C1D16">
      <w:pPr>
        <w:pStyle w:val="Textoindependiente"/>
        <w:spacing w:line="240" w:lineRule="auto"/>
        <w:jc w:val="center"/>
        <w:rPr>
          <w:i/>
          <w:iCs/>
          <w:lang w:val="en-US"/>
        </w:rPr>
      </w:pPr>
      <w:r w:rsidRPr="00996E91">
        <w:rPr>
          <w:i/>
          <w:iCs/>
          <w:lang w:val="en-US"/>
        </w:rPr>
        <w:t>FIG.</w:t>
      </w:r>
      <w:r w:rsidR="00B35A2C" w:rsidRPr="00996E91">
        <w:rPr>
          <w:i/>
          <w:iCs/>
          <w:lang w:val="en-US"/>
        </w:rPr>
        <w:t xml:space="preserve"> 3. a) Uranium precipitation, sludge formation; b) Filtration.</w:t>
      </w:r>
    </w:p>
    <w:p w14:paraId="134E882C" w14:textId="3270F15A" w:rsidR="00B35A2C" w:rsidRPr="001C1D16" w:rsidRDefault="00B35A2C" w:rsidP="001C1D16">
      <w:pPr>
        <w:rPr>
          <w:b/>
          <w:bCs/>
          <w:lang w:val="en-US"/>
        </w:rPr>
      </w:pPr>
    </w:p>
    <w:p w14:paraId="31E7D227" w14:textId="77777777" w:rsidR="001C1D16" w:rsidRPr="001C1D16" w:rsidRDefault="001C1D16" w:rsidP="001C1D16">
      <w:pPr>
        <w:rPr>
          <w:b/>
          <w:bCs/>
          <w:lang w:val="en-US"/>
        </w:rPr>
      </w:pPr>
    </w:p>
    <w:p w14:paraId="5EB6E882" w14:textId="533E7FF5" w:rsidR="00B35A2C" w:rsidRPr="001C1D16" w:rsidRDefault="001C1D16" w:rsidP="001C1D16">
      <w:pPr>
        <w:jc w:val="both"/>
        <w:rPr>
          <w:sz w:val="20"/>
          <w:lang w:val="en-US"/>
        </w:rPr>
      </w:pPr>
      <w:r w:rsidRPr="001C1D16">
        <w:rPr>
          <w:sz w:val="20"/>
          <w:lang w:val="en-US"/>
        </w:rPr>
        <w:t>3</w:t>
      </w:r>
      <w:r w:rsidR="00B35A2C" w:rsidRPr="001C1D16">
        <w:rPr>
          <w:sz w:val="20"/>
          <w:lang w:val="en-US"/>
        </w:rPr>
        <w:t xml:space="preserve">. </w:t>
      </w:r>
      <w:r w:rsidR="00BB0990">
        <w:rPr>
          <w:sz w:val="20"/>
          <w:lang w:val="en-US"/>
        </w:rPr>
        <w:tab/>
      </w:r>
      <w:r w:rsidR="00B35A2C" w:rsidRPr="001C1D16">
        <w:rPr>
          <w:sz w:val="20"/>
          <w:lang w:val="en-US"/>
        </w:rPr>
        <w:t>RESULTS AND CONCLUSIONS</w:t>
      </w:r>
    </w:p>
    <w:p w14:paraId="42DD1500" w14:textId="77777777" w:rsidR="00B35A2C" w:rsidRPr="001C1D16" w:rsidRDefault="00B35A2C" w:rsidP="001C1D16">
      <w:pPr>
        <w:jc w:val="both"/>
        <w:rPr>
          <w:sz w:val="20"/>
          <w:lang w:val="en-US"/>
        </w:rPr>
      </w:pPr>
    </w:p>
    <w:p w14:paraId="367B8122" w14:textId="4EB783F0" w:rsidR="00B35A2C" w:rsidRDefault="003D784F" w:rsidP="001C1D16">
      <w:pPr>
        <w:ind w:firstLine="567"/>
        <w:jc w:val="both"/>
        <w:rPr>
          <w:sz w:val="20"/>
          <w:lang w:val="en-US"/>
        </w:rPr>
      </w:pPr>
      <w:r w:rsidRPr="001C1D16">
        <w:rPr>
          <w:sz w:val="18"/>
          <w:szCs w:val="18"/>
          <w:lang w:val="en-US"/>
        </w:rPr>
        <w:t xml:space="preserve">The </w:t>
      </w:r>
      <w:r w:rsidR="005E6C47">
        <w:rPr>
          <w:sz w:val="18"/>
          <w:szCs w:val="18"/>
          <w:lang w:val="en-US"/>
        </w:rPr>
        <w:t xml:space="preserve">lab trials </w:t>
      </w:r>
      <w:r w:rsidRPr="001C1D16">
        <w:rPr>
          <w:sz w:val="18"/>
          <w:szCs w:val="18"/>
          <w:lang w:val="en-US"/>
        </w:rPr>
        <w:t xml:space="preserve">results are the basis </w:t>
      </w:r>
      <w:r w:rsidR="005E6C47">
        <w:rPr>
          <w:sz w:val="18"/>
          <w:szCs w:val="18"/>
          <w:lang w:val="en-US"/>
        </w:rPr>
        <w:t>to</w:t>
      </w:r>
      <w:r w:rsidRPr="001C1D16">
        <w:rPr>
          <w:sz w:val="18"/>
          <w:szCs w:val="18"/>
          <w:lang w:val="en-US"/>
        </w:rPr>
        <w:t xml:space="preserve"> </w:t>
      </w:r>
      <w:r w:rsidR="005E6C47">
        <w:rPr>
          <w:sz w:val="18"/>
          <w:szCs w:val="18"/>
          <w:lang w:val="en-US"/>
        </w:rPr>
        <w:t>increase the treatment</w:t>
      </w:r>
      <w:r w:rsidR="00F175BD">
        <w:rPr>
          <w:sz w:val="18"/>
          <w:szCs w:val="18"/>
          <w:lang w:val="en-US"/>
        </w:rPr>
        <w:t xml:space="preserve"> volume</w:t>
      </w:r>
      <w:r w:rsidRPr="001C1D16">
        <w:rPr>
          <w:sz w:val="18"/>
          <w:szCs w:val="18"/>
          <w:lang w:val="en-US"/>
        </w:rPr>
        <w:t xml:space="preserve"> </w:t>
      </w:r>
      <w:r w:rsidR="005E6C47">
        <w:rPr>
          <w:sz w:val="18"/>
          <w:szCs w:val="18"/>
          <w:lang w:val="en-US"/>
        </w:rPr>
        <w:t xml:space="preserve">to </w:t>
      </w:r>
      <w:r>
        <w:rPr>
          <w:sz w:val="18"/>
          <w:szCs w:val="18"/>
          <w:lang w:val="en-US"/>
        </w:rPr>
        <w:t>1,7 [</w:t>
      </w:r>
      <w:r w:rsidRPr="003D784F">
        <w:rPr>
          <w:sz w:val="18"/>
          <w:szCs w:val="18"/>
          <w:lang w:val="en-US"/>
        </w:rPr>
        <w:t>m</w:t>
      </w:r>
      <w:r w:rsidRPr="003D784F">
        <w:rPr>
          <w:sz w:val="18"/>
          <w:szCs w:val="18"/>
          <w:vertAlign w:val="superscript"/>
          <w:lang w:val="en-US"/>
        </w:rPr>
        <w:t>3</w:t>
      </w:r>
      <w:r>
        <w:rPr>
          <w:sz w:val="18"/>
          <w:szCs w:val="18"/>
          <w:lang w:val="en-US"/>
        </w:rPr>
        <w:t xml:space="preserve">] of </w:t>
      </w:r>
      <w:r w:rsidRPr="003D784F">
        <w:rPr>
          <w:sz w:val="18"/>
          <w:szCs w:val="18"/>
          <w:lang w:val="en-US"/>
        </w:rPr>
        <w:t>radioactive</w:t>
      </w:r>
      <w:r w:rsidRPr="001C1D16">
        <w:rPr>
          <w:sz w:val="18"/>
          <w:szCs w:val="18"/>
          <w:lang w:val="en-US"/>
        </w:rPr>
        <w:t xml:space="preserve"> liquid waste</w:t>
      </w:r>
      <w:r w:rsidR="005E6C47">
        <w:rPr>
          <w:sz w:val="18"/>
          <w:szCs w:val="18"/>
          <w:lang w:val="en-US"/>
        </w:rPr>
        <w:t>. T</w:t>
      </w:r>
      <w:r w:rsidR="00B35A2C" w:rsidRPr="001C1D16">
        <w:rPr>
          <w:sz w:val="20"/>
          <w:lang w:val="en-US"/>
        </w:rPr>
        <w:t xml:space="preserve">he </w:t>
      </w:r>
      <w:r w:rsidR="005E6C47">
        <w:rPr>
          <w:sz w:val="20"/>
          <w:lang w:val="en-US"/>
        </w:rPr>
        <w:t>next t</w:t>
      </w:r>
      <w:r w:rsidR="003A10B6">
        <w:rPr>
          <w:sz w:val="20"/>
          <w:lang w:val="en-US"/>
        </w:rPr>
        <w:t>able</w:t>
      </w:r>
      <w:r w:rsidR="005E6C47">
        <w:rPr>
          <w:sz w:val="20"/>
          <w:lang w:val="en-US"/>
        </w:rPr>
        <w:t xml:space="preserve"> </w:t>
      </w:r>
      <w:r w:rsidR="00B35A2C" w:rsidRPr="001C1D16">
        <w:rPr>
          <w:sz w:val="20"/>
          <w:lang w:val="en-US"/>
        </w:rPr>
        <w:t xml:space="preserve">shows the </w:t>
      </w:r>
      <w:r>
        <w:rPr>
          <w:sz w:val="20"/>
          <w:lang w:val="en-US"/>
        </w:rPr>
        <w:t xml:space="preserve">initial </w:t>
      </w:r>
      <w:r w:rsidR="00B35A2C" w:rsidRPr="001C1D16">
        <w:rPr>
          <w:sz w:val="20"/>
          <w:lang w:val="en-US"/>
        </w:rPr>
        <w:t>volume</w:t>
      </w:r>
      <w:r w:rsidR="001C1D16">
        <w:rPr>
          <w:sz w:val="20"/>
          <w:lang w:val="en-US"/>
        </w:rPr>
        <w:t>,</w:t>
      </w:r>
      <w:r w:rsidR="00B35A2C" w:rsidRPr="001C1D16">
        <w:rPr>
          <w:sz w:val="20"/>
          <w:lang w:val="en-US"/>
        </w:rPr>
        <w:t xml:space="preserve"> the streams of </w:t>
      </w:r>
      <w:r w:rsidR="001C1D16" w:rsidRPr="001C1D16">
        <w:rPr>
          <w:sz w:val="20"/>
          <w:lang w:val="en-US"/>
        </w:rPr>
        <w:t>decontaminated</w:t>
      </w:r>
      <w:r w:rsidR="00B35A2C" w:rsidRPr="001C1D16">
        <w:rPr>
          <w:sz w:val="20"/>
          <w:lang w:val="en-US"/>
        </w:rPr>
        <w:t xml:space="preserve"> solution and sludge</w:t>
      </w:r>
      <w:r w:rsidR="001C1D16">
        <w:rPr>
          <w:sz w:val="20"/>
          <w:lang w:val="en-US"/>
        </w:rPr>
        <w:t xml:space="preserve">, and </w:t>
      </w:r>
      <w:r w:rsidR="00F175BD">
        <w:rPr>
          <w:sz w:val="20"/>
          <w:lang w:val="en-US"/>
        </w:rPr>
        <w:t>its</w:t>
      </w:r>
      <w:r w:rsidR="00B35A2C" w:rsidRPr="001C1D16">
        <w:rPr>
          <w:sz w:val="20"/>
          <w:lang w:val="en-US"/>
        </w:rPr>
        <w:t xml:space="preserve"> concentration</w:t>
      </w:r>
      <w:r w:rsidR="001C1D16">
        <w:rPr>
          <w:sz w:val="20"/>
          <w:lang w:val="en-US"/>
        </w:rPr>
        <w:t>s</w:t>
      </w:r>
      <w:r w:rsidR="00B35A2C" w:rsidRPr="001C1D16">
        <w:rPr>
          <w:sz w:val="20"/>
          <w:lang w:val="en-US"/>
        </w:rPr>
        <w:t xml:space="preserve"> of uranium</w:t>
      </w:r>
      <w:r w:rsidR="001C1D16">
        <w:rPr>
          <w:sz w:val="20"/>
          <w:lang w:val="en-US"/>
        </w:rPr>
        <w:t>.</w:t>
      </w:r>
    </w:p>
    <w:p w14:paraId="1BE00A8D" w14:textId="77777777" w:rsidR="001C1D16" w:rsidRPr="001C1D16" w:rsidRDefault="001C1D16" w:rsidP="001C1D16">
      <w:pPr>
        <w:ind w:firstLine="567"/>
        <w:jc w:val="both"/>
        <w:rPr>
          <w:sz w:val="20"/>
          <w:lang w:val="en-US"/>
        </w:rPr>
      </w:pPr>
    </w:p>
    <w:p w14:paraId="1DB2714E" w14:textId="1B1FBEFA" w:rsidR="00B35A2C" w:rsidRPr="003A10B6" w:rsidRDefault="00B35A2C" w:rsidP="001C1D16">
      <w:pPr>
        <w:jc w:val="center"/>
        <w:rPr>
          <w:caps/>
          <w:sz w:val="20"/>
          <w:lang w:val="en-US"/>
        </w:rPr>
      </w:pPr>
      <w:r w:rsidRPr="003A10B6">
        <w:rPr>
          <w:caps/>
          <w:sz w:val="20"/>
          <w:lang w:val="en-US"/>
        </w:rPr>
        <w:t>Table</w:t>
      </w:r>
      <w:r w:rsidR="001C1D16" w:rsidRPr="003A10B6">
        <w:rPr>
          <w:caps/>
          <w:sz w:val="20"/>
          <w:lang w:val="en-US"/>
        </w:rPr>
        <w:t xml:space="preserve"> </w:t>
      </w:r>
      <w:r w:rsidR="003A10B6" w:rsidRPr="003A10B6">
        <w:rPr>
          <w:caps/>
          <w:sz w:val="20"/>
          <w:lang w:val="en-US"/>
        </w:rPr>
        <w:t>N° 3</w:t>
      </w:r>
      <w:r w:rsidRPr="003A10B6">
        <w:rPr>
          <w:caps/>
          <w:sz w:val="20"/>
          <w:lang w:val="en-US"/>
        </w:rPr>
        <w:t xml:space="preserve">: </w:t>
      </w:r>
      <w:r w:rsidR="00BD1F45" w:rsidRPr="003A10B6">
        <w:rPr>
          <w:caps/>
          <w:sz w:val="20"/>
          <w:lang w:val="en-US"/>
        </w:rPr>
        <w:t>V</w:t>
      </w:r>
      <w:r w:rsidRPr="003A10B6">
        <w:rPr>
          <w:caps/>
          <w:sz w:val="20"/>
          <w:lang w:val="en-US"/>
        </w:rPr>
        <w:t xml:space="preserve">olume </w:t>
      </w:r>
      <w:r w:rsidR="00BD1F45" w:rsidRPr="003A10B6">
        <w:rPr>
          <w:caps/>
          <w:sz w:val="20"/>
          <w:lang w:val="en-US"/>
        </w:rPr>
        <w:t xml:space="preserve">and concentration of the </w:t>
      </w:r>
      <w:r w:rsidR="001C1D16" w:rsidRPr="003A10B6">
        <w:rPr>
          <w:caps/>
          <w:sz w:val="20"/>
          <w:lang w:val="en-US"/>
        </w:rPr>
        <w:t>treatment</w:t>
      </w:r>
    </w:p>
    <w:tbl>
      <w:tblPr>
        <w:tblW w:w="73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2486"/>
        <w:gridCol w:w="2446"/>
      </w:tblGrid>
      <w:tr w:rsidR="00B35A2C" w:rsidRPr="001C1D16" w14:paraId="4CC4D9DB" w14:textId="77777777" w:rsidTr="002D425B">
        <w:trPr>
          <w:trHeight w:val="25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A81D" w14:textId="6D782F92" w:rsidR="00B35A2C" w:rsidRPr="001C1D16" w:rsidRDefault="00B35A2C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Proces</w:t>
            </w:r>
            <w:r w:rsidR="00BD1F45" w:rsidRPr="001C1D16">
              <w:rPr>
                <w:rFonts w:cs="Arial"/>
                <w:sz w:val="20"/>
                <w:lang w:val="en-US"/>
              </w:rPr>
              <w:t>sed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066CE" w14:textId="2EC9BB94" w:rsidR="00B35A2C" w:rsidRPr="001C1D16" w:rsidRDefault="00B35A2C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Genera</w:t>
            </w:r>
            <w:r w:rsidR="00BD1F45" w:rsidRPr="001C1D16">
              <w:rPr>
                <w:rFonts w:cs="Arial"/>
                <w:sz w:val="20"/>
                <w:lang w:val="en-US"/>
              </w:rPr>
              <w:t>ted</w:t>
            </w:r>
          </w:p>
        </w:tc>
      </w:tr>
      <w:tr w:rsidR="00B35A2C" w:rsidRPr="001C1D16" w14:paraId="7DE17B65" w14:textId="77777777" w:rsidTr="00BD1F45">
        <w:trPr>
          <w:trHeight w:val="394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8B6A" w14:textId="7327F261" w:rsidR="00B35A2C" w:rsidRPr="001C1D16" w:rsidRDefault="00BD1F45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Uranyl Nitrate Solution</w:t>
            </w:r>
            <w:r w:rsidR="00B35A2C" w:rsidRPr="001C1D16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F27B7" w14:textId="52341440" w:rsidR="00B35A2C" w:rsidRPr="001C1D16" w:rsidRDefault="00BD1F45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Decontaminated Solution</w:t>
            </w:r>
            <w:r w:rsidR="00B35A2C" w:rsidRPr="001C1D16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78E3" w14:textId="7BF8DCB0" w:rsidR="00B35A2C" w:rsidRPr="001C1D16" w:rsidRDefault="00BD1F45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Precipitate</w:t>
            </w:r>
            <w:r w:rsidR="00B35A2C" w:rsidRPr="001C1D16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B35A2C" w:rsidRPr="001C1D16" w14:paraId="7C054F3F" w14:textId="77777777" w:rsidTr="00BD1F45">
        <w:trPr>
          <w:trHeight w:val="25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7D737" w14:textId="221D5033" w:rsidR="00B35A2C" w:rsidRPr="001C1D16" w:rsidRDefault="00B35A2C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1.736,5</w:t>
            </w:r>
            <w:r w:rsidR="00BD1F45" w:rsidRPr="001C1D16">
              <w:rPr>
                <w:rFonts w:cs="Arial"/>
                <w:sz w:val="20"/>
                <w:lang w:val="en-US"/>
              </w:rPr>
              <w:t xml:space="preserve"> [L]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26D5" w14:textId="02E3F6C3" w:rsidR="00B35A2C" w:rsidRPr="001C1D16" w:rsidRDefault="00B35A2C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1.640</w:t>
            </w:r>
            <w:r w:rsidR="00BD1F45" w:rsidRPr="001C1D16">
              <w:rPr>
                <w:rFonts w:cs="Arial"/>
                <w:sz w:val="20"/>
                <w:lang w:val="en-US"/>
              </w:rPr>
              <w:t xml:space="preserve"> [L]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8A6" w14:textId="068D661A" w:rsidR="00B35A2C" w:rsidRPr="001C1D16" w:rsidRDefault="00B35A2C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307</w:t>
            </w:r>
            <w:r w:rsidR="00BD1F45" w:rsidRPr="001C1D16">
              <w:rPr>
                <w:rFonts w:cs="Arial"/>
                <w:sz w:val="20"/>
                <w:lang w:val="en-US"/>
              </w:rPr>
              <w:t xml:space="preserve"> [L]</w:t>
            </w:r>
          </w:p>
        </w:tc>
      </w:tr>
      <w:tr w:rsidR="00BD1F45" w:rsidRPr="001C1D16" w14:paraId="634AC11C" w14:textId="77777777" w:rsidTr="00BD1F45">
        <w:trPr>
          <w:trHeight w:val="25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7B80" w14:textId="368186CE" w:rsidR="00BD1F45" w:rsidRPr="001C1D16" w:rsidRDefault="00BD1F45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2055,5 [ppm]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4AC79" w14:textId="19C8A05E" w:rsidR="00BD1F45" w:rsidRPr="001C1D16" w:rsidRDefault="00BD1F45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&lt; 1 [ppm]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98908" w14:textId="4E3D7670" w:rsidR="00BD1F45" w:rsidRPr="001C1D16" w:rsidRDefault="00BD1F45" w:rsidP="001C1D16">
            <w:pPr>
              <w:jc w:val="center"/>
              <w:rPr>
                <w:rFonts w:cs="Arial"/>
                <w:sz w:val="20"/>
                <w:lang w:val="en-US"/>
              </w:rPr>
            </w:pPr>
            <w:r w:rsidRPr="001C1D16">
              <w:rPr>
                <w:rFonts w:cs="Arial"/>
                <w:sz w:val="20"/>
                <w:lang w:val="en-US"/>
              </w:rPr>
              <w:t>15 % [U]</w:t>
            </w:r>
          </w:p>
        </w:tc>
      </w:tr>
    </w:tbl>
    <w:p w14:paraId="72BE2955" w14:textId="77777777" w:rsidR="00B35A2C" w:rsidRPr="001C1D16" w:rsidRDefault="00B35A2C" w:rsidP="001C1D16">
      <w:pPr>
        <w:ind w:left="360"/>
        <w:jc w:val="both"/>
        <w:rPr>
          <w:rFonts w:cs="Arial"/>
          <w:sz w:val="20"/>
          <w:lang w:val="en-US"/>
        </w:rPr>
      </w:pPr>
    </w:p>
    <w:p w14:paraId="51255D83" w14:textId="3B0C72D4" w:rsidR="00B35A2C" w:rsidRPr="001C1D16" w:rsidRDefault="00B35A2C" w:rsidP="001C1D16">
      <w:pPr>
        <w:ind w:firstLine="567"/>
        <w:jc w:val="both"/>
        <w:rPr>
          <w:sz w:val="20"/>
          <w:lang w:val="en-US"/>
        </w:rPr>
      </w:pPr>
      <w:r w:rsidRPr="001C1D16">
        <w:rPr>
          <w:sz w:val="20"/>
          <w:lang w:val="en-US"/>
        </w:rPr>
        <w:t xml:space="preserve">The </w:t>
      </w:r>
      <w:r w:rsidR="005E6C47">
        <w:rPr>
          <w:sz w:val="20"/>
          <w:lang w:val="en-US"/>
        </w:rPr>
        <w:t xml:space="preserve">uranium </w:t>
      </w:r>
      <w:r w:rsidR="00BD1F45" w:rsidRPr="001C1D16">
        <w:rPr>
          <w:sz w:val="20"/>
          <w:lang w:val="en-US"/>
        </w:rPr>
        <w:t>concentration</w:t>
      </w:r>
      <w:r w:rsidR="005E6C47">
        <w:rPr>
          <w:sz w:val="20"/>
          <w:lang w:val="en-US"/>
        </w:rPr>
        <w:t xml:space="preserve"> </w:t>
      </w:r>
      <w:r w:rsidR="00BD1F45" w:rsidRPr="001C1D16">
        <w:rPr>
          <w:sz w:val="20"/>
          <w:lang w:val="en-US"/>
        </w:rPr>
        <w:t xml:space="preserve">in the decontaminated </w:t>
      </w:r>
      <w:r w:rsidRPr="001C1D16">
        <w:rPr>
          <w:sz w:val="20"/>
          <w:lang w:val="en-US"/>
        </w:rPr>
        <w:t xml:space="preserve">solution is less than 1 [ppm], parts per million or [mg / L], which </w:t>
      </w:r>
      <w:r w:rsidR="003A10B6">
        <w:rPr>
          <w:sz w:val="20"/>
          <w:lang w:val="en-US"/>
        </w:rPr>
        <w:t xml:space="preserve">is </w:t>
      </w:r>
      <w:r w:rsidR="00BD1F45" w:rsidRPr="001C1D16">
        <w:rPr>
          <w:sz w:val="20"/>
          <w:lang w:val="en-US"/>
        </w:rPr>
        <w:t xml:space="preserve">the </w:t>
      </w:r>
      <w:r w:rsidR="00F175BD">
        <w:rPr>
          <w:sz w:val="20"/>
          <w:lang w:val="en-US"/>
        </w:rPr>
        <w:t xml:space="preserve">uranium </w:t>
      </w:r>
      <w:r w:rsidRPr="001C1D16">
        <w:rPr>
          <w:sz w:val="20"/>
          <w:lang w:val="en-US"/>
        </w:rPr>
        <w:t xml:space="preserve">quantification </w:t>
      </w:r>
      <w:r w:rsidR="005E6C47">
        <w:rPr>
          <w:sz w:val="20"/>
          <w:lang w:val="en-US"/>
        </w:rPr>
        <w:t>limit</w:t>
      </w:r>
      <w:r w:rsidR="00F175BD">
        <w:rPr>
          <w:sz w:val="20"/>
          <w:lang w:val="en-US"/>
        </w:rPr>
        <w:t xml:space="preserve"> </w:t>
      </w:r>
      <w:r w:rsidRPr="001C1D16">
        <w:rPr>
          <w:sz w:val="20"/>
          <w:lang w:val="en-US"/>
        </w:rPr>
        <w:t>by the “molecular absorption</w:t>
      </w:r>
      <w:r w:rsidR="001C1D16">
        <w:rPr>
          <w:sz w:val="20"/>
          <w:lang w:val="en-US"/>
        </w:rPr>
        <w:t xml:space="preserve"> </w:t>
      </w:r>
      <w:r w:rsidRPr="001C1D16">
        <w:rPr>
          <w:sz w:val="20"/>
          <w:lang w:val="en-US"/>
        </w:rPr>
        <w:t xml:space="preserve">spectrophotometric” </w:t>
      </w:r>
      <w:r w:rsidR="00F175BD">
        <w:rPr>
          <w:sz w:val="20"/>
          <w:lang w:val="en-US"/>
        </w:rPr>
        <w:t xml:space="preserve">chemical laboratory </w:t>
      </w:r>
      <w:r w:rsidR="00BD1F45" w:rsidRPr="001C1D16">
        <w:rPr>
          <w:sz w:val="20"/>
          <w:lang w:val="en-US"/>
        </w:rPr>
        <w:t>an</w:t>
      </w:r>
      <w:r w:rsidR="001C1D16">
        <w:rPr>
          <w:sz w:val="20"/>
          <w:lang w:val="en-US"/>
        </w:rPr>
        <w:t>a</w:t>
      </w:r>
      <w:r w:rsidR="00BD1F45" w:rsidRPr="001C1D16">
        <w:rPr>
          <w:sz w:val="20"/>
          <w:lang w:val="en-US"/>
        </w:rPr>
        <w:t>l</w:t>
      </w:r>
      <w:r w:rsidR="001C1D16">
        <w:rPr>
          <w:sz w:val="20"/>
          <w:lang w:val="en-US"/>
        </w:rPr>
        <w:t>y</w:t>
      </w:r>
      <w:r w:rsidR="00BD1F45" w:rsidRPr="001C1D16">
        <w:rPr>
          <w:sz w:val="20"/>
          <w:lang w:val="en-US"/>
        </w:rPr>
        <w:t>sis in the commission</w:t>
      </w:r>
      <w:r w:rsidRPr="001C1D16">
        <w:rPr>
          <w:sz w:val="20"/>
          <w:lang w:val="en-US"/>
        </w:rPr>
        <w:t xml:space="preserve">. This result </w:t>
      </w:r>
      <w:r w:rsidR="00BD1F45" w:rsidRPr="001C1D16">
        <w:rPr>
          <w:sz w:val="20"/>
          <w:lang w:val="en-US"/>
        </w:rPr>
        <w:t>represents a</w:t>
      </w:r>
      <w:r w:rsidRPr="001C1D16">
        <w:rPr>
          <w:sz w:val="20"/>
          <w:lang w:val="en-US"/>
        </w:rPr>
        <w:t xml:space="preserve"> </w:t>
      </w:r>
      <w:r w:rsidR="00BD1F45" w:rsidRPr="001C1D16">
        <w:rPr>
          <w:sz w:val="20"/>
          <w:lang w:val="en-US"/>
        </w:rPr>
        <w:t xml:space="preserve">removal </w:t>
      </w:r>
      <w:r w:rsidRPr="001C1D16">
        <w:rPr>
          <w:sz w:val="20"/>
          <w:lang w:val="en-US"/>
        </w:rPr>
        <w:t>efficiency of</w:t>
      </w:r>
      <w:r w:rsidR="00BD1F45" w:rsidRPr="001C1D16">
        <w:rPr>
          <w:sz w:val="20"/>
          <w:lang w:val="en-US"/>
        </w:rPr>
        <w:t xml:space="preserve"> </w:t>
      </w:r>
      <w:r w:rsidRPr="001C1D16">
        <w:rPr>
          <w:sz w:val="20"/>
          <w:lang w:val="en-US"/>
        </w:rPr>
        <w:t xml:space="preserve"> 99.9%.</w:t>
      </w:r>
    </w:p>
    <w:p w14:paraId="218154B1" w14:textId="77777777" w:rsidR="00B35A2C" w:rsidRPr="001C1D16" w:rsidRDefault="00B35A2C" w:rsidP="001C1D16">
      <w:pPr>
        <w:rPr>
          <w:sz w:val="20"/>
          <w:lang w:val="en-US"/>
        </w:rPr>
      </w:pPr>
    </w:p>
    <w:p w14:paraId="55837DE6" w14:textId="1FBFBDA9" w:rsidR="00B35A2C" w:rsidRPr="000C77A9" w:rsidRDefault="001C1D16" w:rsidP="001C1D16">
      <w:pPr>
        <w:rPr>
          <w:b/>
          <w:bCs/>
          <w:sz w:val="20"/>
          <w:lang w:val="en-US"/>
        </w:rPr>
      </w:pPr>
      <w:r w:rsidRPr="000C77A9">
        <w:rPr>
          <w:b/>
          <w:bCs/>
          <w:sz w:val="20"/>
          <w:lang w:val="en-US"/>
        </w:rPr>
        <w:t>3</w:t>
      </w:r>
      <w:r w:rsidR="00B35A2C" w:rsidRPr="000C77A9">
        <w:rPr>
          <w:b/>
          <w:bCs/>
          <w:sz w:val="20"/>
          <w:lang w:val="en-US"/>
        </w:rPr>
        <w:t xml:space="preserve">.1 </w:t>
      </w:r>
      <w:r w:rsidR="00BB0990" w:rsidRPr="000C77A9">
        <w:rPr>
          <w:b/>
          <w:bCs/>
          <w:sz w:val="20"/>
          <w:lang w:val="en-US"/>
        </w:rPr>
        <w:tab/>
      </w:r>
      <w:r w:rsidR="00B35A2C" w:rsidRPr="000C77A9">
        <w:rPr>
          <w:b/>
          <w:bCs/>
          <w:sz w:val="20"/>
          <w:lang w:val="en-US"/>
        </w:rPr>
        <w:t>Decontamination factor</w:t>
      </w:r>
    </w:p>
    <w:p w14:paraId="3081BD51" w14:textId="77777777" w:rsidR="00B35A2C" w:rsidRPr="001C1D16" w:rsidRDefault="00B35A2C" w:rsidP="001C1D16">
      <w:pPr>
        <w:rPr>
          <w:sz w:val="20"/>
          <w:lang w:val="en-US"/>
        </w:rPr>
      </w:pPr>
    </w:p>
    <w:p w14:paraId="268F1E91" w14:textId="083AD285" w:rsidR="00B35A2C" w:rsidRPr="001C1D16" w:rsidRDefault="00BD1F45" w:rsidP="001C1D16">
      <w:pPr>
        <w:ind w:firstLine="567"/>
        <w:jc w:val="both"/>
        <w:rPr>
          <w:sz w:val="20"/>
          <w:lang w:val="en-US"/>
        </w:rPr>
      </w:pPr>
      <w:r w:rsidRPr="001C1D16">
        <w:rPr>
          <w:sz w:val="20"/>
          <w:lang w:val="en-US"/>
        </w:rPr>
        <w:t>The</w:t>
      </w:r>
      <w:r w:rsidR="00B35A2C" w:rsidRPr="001C1D16">
        <w:rPr>
          <w:sz w:val="20"/>
          <w:lang w:val="en-US"/>
        </w:rPr>
        <w:t xml:space="preserve"> decontamination factor is the ratio between </w:t>
      </w:r>
      <w:r w:rsidR="001C1D16">
        <w:rPr>
          <w:sz w:val="20"/>
          <w:lang w:val="en-US"/>
        </w:rPr>
        <w:t xml:space="preserve">the </w:t>
      </w:r>
      <w:r w:rsidR="00B35A2C" w:rsidRPr="001C1D16">
        <w:rPr>
          <w:sz w:val="20"/>
          <w:lang w:val="en-US"/>
        </w:rPr>
        <w:t>initial activity (A</w:t>
      </w:r>
      <w:r w:rsidR="00B35A2C" w:rsidRPr="001C1D16">
        <w:rPr>
          <w:sz w:val="20"/>
          <w:vertAlign w:val="subscript"/>
          <w:lang w:val="en-US"/>
        </w:rPr>
        <w:t>0</w:t>
      </w:r>
      <w:r w:rsidR="00B35A2C" w:rsidRPr="001C1D16">
        <w:rPr>
          <w:sz w:val="20"/>
          <w:lang w:val="en-US"/>
        </w:rPr>
        <w:t xml:space="preserve">) and the </w:t>
      </w:r>
      <w:r w:rsidRPr="001C1D16">
        <w:rPr>
          <w:sz w:val="20"/>
          <w:lang w:val="en-US"/>
        </w:rPr>
        <w:t>final</w:t>
      </w:r>
      <w:r w:rsidR="00B35A2C" w:rsidRPr="001C1D16">
        <w:rPr>
          <w:sz w:val="20"/>
          <w:lang w:val="en-US"/>
        </w:rPr>
        <w:t xml:space="preserve"> </w:t>
      </w:r>
      <w:r w:rsidR="00F175BD">
        <w:rPr>
          <w:sz w:val="20"/>
          <w:lang w:val="en-US"/>
        </w:rPr>
        <w:t>one</w:t>
      </w:r>
      <w:r w:rsidR="00B35A2C" w:rsidRPr="001C1D16">
        <w:rPr>
          <w:sz w:val="20"/>
          <w:lang w:val="en-US"/>
        </w:rPr>
        <w:t xml:space="preserve"> (</w:t>
      </w:r>
      <w:proofErr w:type="spellStart"/>
      <w:r w:rsidR="00B35A2C" w:rsidRPr="001C1D16">
        <w:rPr>
          <w:sz w:val="20"/>
          <w:lang w:val="en-US"/>
        </w:rPr>
        <w:t>A</w:t>
      </w:r>
      <w:r w:rsidR="00B35A2C" w:rsidRPr="001C1D16">
        <w:rPr>
          <w:sz w:val="20"/>
          <w:vertAlign w:val="subscript"/>
          <w:lang w:val="en-US"/>
        </w:rPr>
        <w:t>f</w:t>
      </w:r>
      <w:proofErr w:type="spellEnd"/>
      <w:r w:rsidR="00B35A2C" w:rsidRPr="001C1D16">
        <w:rPr>
          <w:sz w:val="20"/>
          <w:lang w:val="en-US"/>
        </w:rPr>
        <w:t xml:space="preserve">) </w:t>
      </w:r>
      <w:r w:rsidR="005E6C47">
        <w:rPr>
          <w:sz w:val="20"/>
          <w:lang w:val="en-US"/>
        </w:rPr>
        <w:t>(</w:t>
      </w:r>
      <w:r w:rsidRPr="001C1D16">
        <w:rPr>
          <w:sz w:val="20"/>
          <w:lang w:val="en-US"/>
        </w:rPr>
        <w:t>post</w:t>
      </w:r>
      <w:r w:rsidR="005E6C47">
        <w:rPr>
          <w:sz w:val="20"/>
          <w:lang w:val="en-US"/>
        </w:rPr>
        <w:t>-</w:t>
      </w:r>
      <w:r w:rsidR="00B35A2C" w:rsidRPr="001C1D16">
        <w:rPr>
          <w:sz w:val="20"/>
          <w:lang w:val="en-US"/>
        </w:rPr>
        <w:t xml:space="preserve"> treatment</w:t>
      </w:r>
      <w:r w:rsidR="005E6C47">
        <w:rPr>
          <w:sz w:val="20"/>
          <w:lang w:val="en-US"/>
        </w:rPr>
        <w:t>)</w:t>
      </w:r>
      <w:r w:rsidR="00B35A2C" w:rsidRPr="001C1D16">
        <w:rPr>
          <w:sz w:val="20"/>
          <w:lang w:val="en-US"/>
        </w:rPr>
        <w:t xml:space="preserve">. </w:t>
      </w:r>
      <w:r w:rsidRPr="001C1D16">
        <w:rPr>
          <w:sz w:val="20"/>
          <w:lang w:val="en-US"/>
        </w:rPr>
        <w:t>Also</w:t>
      </w:r>
      <w:r w:rsidR="00B35A2C" w:rsidRPr="001C1D16">
        <w:rPr>
          <w:sz w:val="20"/>
          <w:lang w:val="en-US"/>
        </w:rPr>
        <w:t xml:space="preserve">, </w:t>
      </w:r>
      <w:r w:rsidR="00F175BD">
        <w:rPr>
          <w:sz w:val="20"/>
          <w:lang w:val="en-US"/>
        </w:rPr>
        <w:t>the Table N° 3</w:t>
      </w:r>
      <w:r w:rsidR="00B35A2C" w:rsidRPr="001C1D16">
        <w:rPr>
          <w:sz w:val="20"/>
          <w:lang w:val="en-US"/>
        </w:rPr>
        <w:t xml:space="preserve"> results, the volume reduction can be</w:t>
      </w:r>
      <w:r w:rsidRPr="001C1D16">
        <w:rPr>
          <w:sz w:val="20"/>
          <w:lang w:val="en-US"/>
        </w:rPr>
        <w:t xml:space="preserve"> </w:t>
      </w:r>
      <w:r w:rsidR="00B35A2C" w:rsidRPr="001C1D16">
        <w:rPr>
          <w:sz w:val="20"/>
          <w:lang w:val="en-US"/>
        </w:rPr>
        <w:t>determined</w:t>
      </w:r>
      <w:r w:rsidRPr="001C1D16">
        <w:rPr>
          <w:sz w:val="20"/>
          <w:lang w:val="en-US"/>
        </w:rPr>
        <w:t xml:space="preserve"> as the </w:t>
      </w:r>
      <w:r w:rsidR="00B35A2C" w:rsidRPr="001C1D16">
        <w:rPr>
          <w:sz w:val="20"/>
          <w:lang w:val="en-US"/>
        </w:rPr>
        <w:t xml:space="preserve">percentage of </w:t>
      </w:r>
      <w:r w:rsidR="00F175BD">
        <w:rPr>
          <w:sz w:val="20"/>
          <w:lang w:val="en-US"/>
        </w:rPr>
        <w:t xml:space="preserve">final volume </w:t>
      </w:r>
      <w:r w:rsidR="00B35A2C" w:rsidRPr="001C1D16">
        <w:rPr>
          <w:sz w:val="20"/>
          <w:lang w:val="en-US"/>
        </w:rPr>
        <w:t xml:space="preserve">reduction </w:t>
      </w:r>
      <w:r w:rsidRPr="001C1D16">
        <w:rPr>
          <w:sz w:val="20"/>
          <w:lang w:val="en-US"/>
        </w:rPr>
        <w:t xml:space="preserve">over </w:t>
      </w:r>
      <w:r w:rsidR="00B35A2C" w:rsidRPr="001C1D16">
        <w:rPr>
          <w:sz w:val="20"/>
          <w:lang w:val="en-US"/>
        </w:rPr>
        <w:t xml:space="preserve">the initial </w:t>
      </w:r>
      <w:r w:rsidR="00F175BD">
        <w:rPr>
          <w:sz w:val="20"/>
          <w:lang w:val="en-US"/>
        </w:rPr>
        <w:t>one</w:t>
      </w:r>
      <w:r w:rsidR="00B35A2C" w:rsidRPr="001C1D16">
        <w:rPr>
          <w:sz w:val="20"/>
          <w:lang w:val="en-US"/>
        </w:rPr>
        <w:t xml:space="preserve">, based on the </w:t>
      </w:r>
      <w:r w:rsidR="00F175BD">
        <w:rPr>
          <w:sz w:val="20"/>
          <w:lang w:val="en-US"/>
        </w:rPr>
        <w:t xml:space="preserve">contained </w:t>
      </w:r>
      <w:r w:rsidR="00B35A2C" w:rsidRPr="001C1D16">
        <w:rPr>
          <w:sz w:val="20"/>
          <w:lang w:val="en-US"/>
        </w:rPr>
        <w:t>radioactive material</w:t>
      </w:r>
      <w:r w:rsidRPr="001C1D16">
        <w:rPr>
          <w:sz w:val="20"/>
          <w:lang w:val="en-US"/>
        </w:rPr>
        <w:t xml:space="preserve">. </w:t>
      </w:r>
      <w:r w:rsidR="00B35A2C" w:rsidRPr="001C1D16">
        <w:rPr>
          <w:sz w:val="20"/>
          <w:lang w:val="en-US"/>
        </w:rPr>
        <w:t xml:space="preserve">This means that the radioactive material is concentrated in a volume of 17.7% </w:t>
      </w:r>
      <w:r w:rsidR="00F175BD">
        <w:rPr>
          <w:sz w:val="20"/>
          <w:lang w:val="en-US"/>
        </w:rPr>
        <w:t>from</w:t>
      </w:r>
      <w:r w:rsidR="00B35A2C" w:rsidRPr="001C1D16">
        <w:rPr>
          <w:sz w:val="20"/>
          <w:lang w:val="en-US"/>
        </w:rPr>
        <w:t xml:space="preserve"> the initial volume</w:t>
      </w:r>
      <w:r w:rsidR="000377A5">
        <w:rPr>
          <w:sz w:val="20"/>
          <w:lang w:val="en-US"/>
        </w:rPr>
        <w:t xml:space="preserve"> waste (or </w:t>
      </w:r>
      <w:r w:rsidR="00B35A2C" w:rsidRPr="001C1D16">
        <w:rPr>
          <w:sz w:val="20"/>
          <w:lang w:val="en-US"/>
        </w:rPr>
        <w:t xml:space="preserve">307 [L] of </w:t>
      </w:r>
      <w:r w:rsidRPr="001C1D16">
        <w:rPr>
          <w:sz w:val="20"/>
          <w:lang w:val="en-US"/>
        </w:rPr>
        <w:t>sludge</w:t>
      </w:r>
      <w:r w:rsidR="000377A5">
        <w:rPr>
          <w:sz w:val="20"/>
          <w:lang w:val="en-US"/>
        </w:rPr>
        <w:t>)</w:t>
      </w:r>
      <w:r w:rsidR="00B35A2C" w:rsidRPr="001C1D16">
        <w:rPr>
          <w:sz w:val="20"/>
          <w:lang w:val="en-US"/>
        </w:rPr>
        <w:t>.</w:t>
      </w:r>
    </w:p>
    <w:p w14:paraId="5B945845" w14:textId="77777777" w:rsidR="00B35A2C" w:rsidRPr="001C1D16" w:rsidRDefault="00B35A2C" w:rsidP="001C1D16">
      <w:pPr>
        <w:rPr>
          <w:sz w:val="20"/>
          <w:lang w:val="en-US"/>
        </w:rPr>
      </w:pPr>
    </w:p>
    <w:p w14:paraId="7CA52A7A" w14:textId="42CB1926" w:rsidR="00B35A2C" w:rsidRPr="001C1D16" w:rsidRDefault="000377A5" w:rsidP="001C1D16">
      <w:pPr>
        <w:rPr>
          <w:sz w:val="20"/>
          <w:lang w:val="en-US"/>
        </w:rPr>
      </w:pPr>
      <w:r w:rsidRPr="000C77A9">
        <w:rPr>
          <w:b/>
          <w:bCs/>
          <w:sz w:val="20"/>
          <w:lang w:val="en-US"/>
        </w:rPr>
        <w:t>3</w:t>
      </w:r>
      <w:r w:rsidR="00B35A2C" w:rsidRPr="000C77A9">
        <w:rPr>
          <w:b/>
          <w:bCs/>
          <w:sz w:val="20"/>
          <w:lang w:val="en-US"/>
        </w:rPr>
        <w:t>.</w:t>
      </w:r>
      <w:r w:rsidR="00E44481">
        <w:rPr>
          <w:b/>
          <w:bCs/>
          <w:sz w:val="20"/>
          <w:lang w:val="en-US"/>
        </w:rPr>
        <w:t>2</w:t>
      </w:r>
      <w:r w:rsidR="00B35A2C" w:rsidRPr="000C77A9">
        <w:rPr>
          <w:b/>
          <w:bCs/>
          <w:sz w:val="20"/>
          <w:lang w:val="en-US"/>
        </w:rPr>
        <w:t xml:space="preserve"> </w:t>
      </w:r>
      <w:r w:rsidR="00BB0990" w:rsidRPr="000C77A9">
        <w:rPr>
          <w:b/>
          <w:bCs/>
          <w:sz w:val="20"/>
          <w:lang w:val="en-US"/>
        </w:rPr>
        <w:tab/>
      </w:r>
      <w:r w:rsidR="00A16D3F">
        <w:rPr>
          <w:b/>
          <w:bCs/>
          <w:sz w:val="20"/>
          <w:lang w:val="en-US"/>
        </w:rPr>
        <w:t>Results analysis</w:t>
      </w:r>
    </w:p>
    <w:p w14:paraId="675B9383" w14:textId="77777777" w:rsidR="00B35A2C" w:rsidRPr="001C1D16" w:rsidRDefault="00B35A2C" w:rsidP="001C1D16">
      <w:pPr>
        <w:rPr>
          <w:sz w:val="20"/>
          <w:lang w:val="en-US"/>
        </w:rPr>
      </w:pPr>
    </w:p>
    <w:p w14:paraId="3F36F8E8" w14:textId="4FC78518" w:rsidR="00B35A2C" w:rsidRPr="001C1D16" w:rsidRDefault="00B35A2C" w:rsidP="003D784F">
      <w:pPr>
        <w:ind w:firstLine="567"/>
        <w:jc w:val="both"/>
        <w:rPr>
          <w:sz w:val="20"/>
          <w:lang w:val="en-US"/>
        </w:rPr>
      </w:pPr>
      <w:r w:rsidRPr="001C1D16">
        <w:rPr>
          <w:sz w:val="20"/>
          <w:lang w:val="en-US"/>
        </w:rPr>
        <w:t>The specific activity of natural uranium is 26,229.373 [</w:t>
      </w:r>
      <w:proofErr w:type="spellStart"/>
      <w:r w:rsidRPr="001C1D16">
        <w:rPr>
          <w:sz w:val="20"/>
          <w:lang w:val="en-US"/>
        </w:rPr>
        <w:t>Bq</w:t>
      </w:r>
      <w:proofErr w:type="spellEnd"/>
      <w:r w:rsidRPr="001C1D16">
        <w:rPr>
          <w:sz w:val="20"/>
          <w:lang w:val="en-US"/>
        </w:rPr>
        <w:t>/g], and the uranium concentration</w:t>
      </w:r>
      <w:r w:rsidR="003D784F">
        <w:rPr>
          <w:sz w:val="20"/>
          <w:lang w:val="en-US"/>
        </w:rPr>
        <w:t xml:space="preserve"> (post-treatment)</w:t>
      </w:r>
      <w:r w:rsidRPr="001C1D16">
        <w:rPr>
          <w:sz w:val="20"/>
          <w:lang w:val="en-US"/>
        </w:rPr>
        <w:t xml:space="preserve"> is less than 1 [mg/L] in a solution of 1,640 [L]</w:t>
      </w:r>
      <w:r w:rsidR="00947596" w:rsidRPr="001C1D16">
        <w:rPr>
          <w:sz w:val="20"/>
          <w:lang w:val="en-US"/>
        </w:rPr>
        <w:t>. T</w:t>
      </w:r>
      <w:r w:rsidRPr="001C1D16">
        <w:rPr>
          <w:sz w:val="20"/>
          <w:lang w:val="en-US"/>
        </w:rPr>
        <w:t xml:space="preserve">he </w:t>
      </w:r>
      <w:r w:rsidR="00F175BD">
        <w:rPr>
          <w:sz w:val="20"/>
          <w:lang w:val="en-US"/>
        </w:rPr>
        <w:t xml:space="preserve">liquid volume </w:t>
      </w:r>
      <w:r w:rsidRPr="001C1D16">
        <w:rPr>
          <w:sz w:val="20"/>
          <w:lang w:val="en-US"/>
        </w:rPr>
        <w:t xml:space="preserve">calculations can be authorized to start the management of this solution as </w:t>
      </w:r>
      <w:r w:rsidR="000377A5">
        <w:rPr>
          <w:sz w:val="20"/>
          <w:lang w:val="en-US"/>
        </w:rPr>
        <w:t xml:space="preserve">industrial </w:t>
      </w:r>
      <w:r w:rsidRPr="001C1D16">
        <w:rPr>
          <w:sz w:val="20"/>
          <w:lang w:val="en-US"/>
        </w:rPr>
        <w:t>waste.</w:t>
      </w:r>
    </w:p>
    <w:p w14:paraId="779FB352" w14:textId="77777777" w:rsidR="00B35A2C" w:rsidRPr="000C77A9" w:rsidRDefault="00B35A2C" w:rsidP="001C1D16">
      <w:pPr>
        <w:rPr>
          <w:b/>
          <w:bCs/>
          <w:sz w:val="20"/>
          <w:lang w:val="en-US"/>
        </w:rPr>
      </w:pPr>
    </w:p>
    <w:p w14:paraId="3329D303" w14:textId="77777777" w:rsidR="00B35A2C" w:rsidRPr="003D784F" w:rsidRDefault="00B35A2C" w:rsidP="001C1D16">
      <w:pPr>
        <w:rPr>
          <w:sz w:val="20"/>
          <w:lang w:val="en-US"/>
        </w:rPr>
      </w:pPr>
      <w:r w:rsidRPr="003D784F">
        <w:rPr>
          <w:sz w:val="20"/>
          <w:lang w:val="en-US"/>
        </w:rPr>
        <w:t>a) Activity concentration for material exempt from control:</w:t>
      </w:r>
    </w:p>
    <w:p w14:paraId="6690E1CB" w14:textId="77777777" w:rsidR="00B35A2C" w:rsidRPr="003D784F" w:rsidRDefault="00B35A2C" w:rsidP="001C1D16">
      <w:pPr>
        <w:rPr>
          <w:sz w:val="20"/>
          <w:lang w:val="en-US"/>
        </w:rPr>
      </w:pPr>
    </w:p>
    <w:p w14:paraId="5F33226E" w14:textId="2961A48A" w:rsidR="00B35A2C" w:rsidRPr="003D784F" w:rsidRDefault="003D784F" w:rsidP="001C1D16">
      <w:pPr>
        <w:rPr>
          <w:sz w:val="20"/>
          <w:lang w:val="en-US"/>
        </w:rPr>
      </w:pPr>
      <w:r>
        <w:rPr>
          <w:sz w:val="20"/>
          <w:lang w:val="en-US"/>
        </w:rPr>
        <w:t>With the</w:t>
      </w:r>
      <w:r w:rsidR="00B35A2C" w:rsidRPr="003D784F">
        <w:rPr>
          <w:sz w:val="20"/>
          <w:lang w:val="en-US"/>
        </w:rPr>
        <w:t xml:space="preserve"> specific activity of natural uranium</w:t>
      </w:r>
      <w:r>
        <w:rPr>
          <w:sz w:val="20"/>
          <w:lang w:val="en-US"/>
        </w:rPr>
        <w:t>,</w:t>
      </w:r>
      <w:r w:rsidR="00B35A2C" w:rsidRPr="003D784F">
        <w:rPr>
          <w:sz w:val="20"/>
          <w:lang w:val="en-US"/>
        </w:rPr>
        <w:t xml:space="preserve"> </w:t>
      </w:r>
      <w:r w:rsidR="00F317CC">
        <w:rPr>
          <w:sz w:val="20"/>
          <w:lang w:val="en-US"/>
        </w:rPr>
        <w:t xml:space="preserve">its </w:t>
      </w:r>
      <w:r w:rsidR="00B35A2C" w:rsidRPr="003D784F">
        <w:rPr>
          <w:sz w:val="20"/>
          <w:lang w:val="en-US"/>
        </w:rPr>
        <w:t>concentration</w:t>
      </w:r>
      <w:r w:rsidR="00F317CC">
        <w:rPr>
          <w:sz w:val="20"/>
          <w:lang w:val="en-US"/>
        </w:rPr>
        <w:t xml:space="preserve"> </w:t>
      </w:r>
      <w:r w:rsidR="00B35A2C" w:rsidRPr="003D784F">
        <w:rPr>
          <w:sz w:val="20"/>
          <w:lang w:val="en-US"/>
        </w:rPr>
        <w:t>in the solution</w:t>
      </w:r>
      <w:r>
        <w:rPr>
          <w:sz w:val="20"/>
          <w:lang w:val="en-US"/>
        </w:rPr>
        <w:t xml:space="preserve"> (</w:t>
      </w:r>
      <w:r w:rsidR="00B35A2C" w:rsidRPr="003D784F">
        <w:rPr>
          <w:sz w:val="20"/>
          <w:lang w:val="en-US"/>
        </w:rPr>
        <w:t>less than 1 [mg/L]</w:t>
      </w:r>
      <w:r>
        <w:rPr>
          <w:sz w:val="20"/>
          <w:lang w:val="en-US"/>
        </w:rPr>
        <w:t>)</w:t>
      </w:r>
      <w:r w:rsidR="00B35A2C" w:rsidRPr="003D784F">
        <w:rPr>
          <w:sz w:val="20"/>
          <w:lang w:val="en-US"/>
        </w:rPr>
        <w:t xml:space="preserve"> and the total </w:t>
      </w:r>
      <w:r w:rsidR="00F317CC">
        <w:rPr>
          <w:sz w:val="20"/>
          <w:lang w:val="en-US"/>
        </w:rPr>
        <w:t xml:space="preserve">treated </w:t>
      </w:r>
      <w:r w:rsidR="00B35A2C" w:rsidRPr="003D784F">
        <w:rPr>
          <w:sz w:val="20"/>
          <w:lang w:val="en-US"/>
        </w:rPr>
        <w:t>volume</w:t>
      </w:r>
      <w:r>
        <w:rPr>
          <w:sz w:val="20"/>
          <w:lang w:val="en-US"/>
        </w:rPr>
        <w:t xml:space="preserve"> (</w:t>
      </w:r>
      <w:r w:rsidR="00B35A2C" w:rsidRPr="003D784F">
        <w:rPr>
          <w:sz w:val="20"/>
          <w:lang w:val="en-US"/>
        </w:rPr>
        <w:t>1,640 [L]</w:t>
      </w:r>
      <w:r>
        <w:rPr>
          <w:sz w:val="20"/>
          <w:lang w:val="en-US"/>
        </w:rPr>
        <w:t>)</w:t>
      </w:r>
      <w:r w:rsidR="00B35A2C" w:rsidRPr="003D784F">
        <w:rPr>
          <w:sz w:val="20"/>
          <w:lang w:val="en-US"/>
        </w:rPr>
        <w:t xml:space="preserve">, </w:t>
      </w:r>
      <w:r w:rsidR="00F317CC">
        <w:rPr>
          <w:sz w:val="20"/>
          <w:lang w:val="en-US"/>
        </w:rPr>
        <w:t xml:space="preserve">also </w:t>
      </w:r>
      <w:r>
        <w:rPr>
          <w:sz w:val="20"/>
          <w:lang w:val="en-US"/>
        </w:rPr>
        <w:t xml:space="preserve">it can calculate </w:t>
      </w:r>
      <w:r w:rsidR="00B35A2C" w:rsidRPr="003D784F">
        <w:rPr>
          <w:sz w:val="20"/>
          <w:lang w:val="en-US"/>
        </w:rPr>
        <w:t xml:space="preserve">the </w:t>
      </w:r>
      <w:r>
        <w:rPr>
          <w:sz w:val="20"/>
          <w:lang w:val="en-US"/>
        </w:rPr>
        <w:t xml:space="preserve">decontaminated </w:t>
      </w:r>
      <w:r w:rsidR="00B35A2C" w:rsidRPr="003D784F">
        <w:rPr>
          <w:sz w:val="20"/>
          <w:lang w:val="en-US"/>
        </w:rPr>
        <w:t>solution</w:t>
      </w:r>
      <w:r w:rsidR="00F317CC">
        <w:rPr>
          <w:sz w:val="20"/>
          <w:lang w:val="en-US"/>
        </w:rPr>
        <w:t xml:space="preserve"> total activity</w:t>
      </w:r>
      <w:r w:rsidR="00B35A2C" w:rsidRPr="003D784F">
        <w:rPr>
          <w:sz w:val="20"/>
          <w:lang w:val="en-US"/>
        </w:rPr>
        <w:t>:</w:t>
      </w:r>
    </w:p>
    <w:p w14:paraId="1D843391" w14:textId="77777777" w:rsidR="00A16D3F" w:rsidRDefault="00A16D3F" w:rsidP="001C1D16">
      <w:pPr>
        <w:rPr>
          <w:b/>
          <w:bCs/>
          <w:lang w:val="en-US"/>
        </w:rPr>
      </w:pPr>
    </w:p>
    <w:p w14:paraId="2C9A1E2E" w14:textId="628182CF" w:rsidR="00B35A2C" w:rsidRPr="001C1D16" w:rsidRDefault="00B35A2C" w:rsidP="001C1D16">
      <w:pPr>
        <w:rPr>
          <w:b/>
          <w:bCs/>
          <w:lang w:val="en-US"/>
        </w:rPr>
      </w:pPr>
      <w:r w:rsidRPr="001C1D16">
        <w:rPr>
          <w:b/>
          <w:bCs/>
          <w:lang w:val="en-US"/>
        </w:rPr>
        <w:t xml:space="preserve">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2"/>
        <w:gridCol w:w="1115"/>
      </w:tblGrid>
      <w:tr w:rsidR="00947596" w:rsidRPr="001C1D16" w14:paraId="0854C310" w14:textId="77777777" w:rsidTr="002D425B">
        <w:trPr>
          <w:trHeight w:val="889"/>
        </w:trPr>
        <w:tc>
          <w:tcPr>
            <w:tcW w:w="7935" w:type="dxa"/>
            <w:shd w:val="clear" w:color="auto" w:fill="auto"/>
            <w:vAlign w:val="center"/>
          </w:tcPr>
          <w:p w14:paraId="5B2A09E4" w14:textId="77777777" w:rsidR="003D784F" w:rsidRDefault="003D784F" w:rsidP="003D784F">
            <w:pPr>
              <w:jc w:val="center"/>
              <w:rPr>
                <w:bCs/>
                <w:sz w:val="20"/>
                <w:lang w:val="en-US"/>
              </w:rPr>
            </w:pPr>
          </w:p>
          <w:p w14:paraId="5D6F5BE8" w14:textId="11328BCE" w:rsidR="00947596" w:rsidRPr="003D784F" w:rsidRDefault="003D784F" w:rsidP="003D784F">
            <w:pPr>
              <w:jc w:val="center"/>
              <w:rPr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cs="Arial"/>
                    <w:bCs/>
                    <w:sz w:val="20"/>
                    <w:lang w:val="en-US"/>
                  </w:rPr>
                  <m:t xml:space="preserve">Total Activity = </m:t>
                </m:r>
                <m:r>
                  <w:rPr>
                    <w:rFonts w:ascii="Cambria Math" w:cs="Arial"/>
                    <w:sz w:val="20"/>
                    <w:lang w:val="en-US"/>
                  </w:rPr>
                  <m:t>26.229,373[Bq/g]</m:t>
                </m:r>
                <m:r>
                  <w:rPr>
                    <w:rFonts w:ascii="Cambria Math" w:cs="Arial"/>
                    <w:sz w:val="20"/>
                    <w:lang w:val="en-US"/>
                  </w:rPr>
                  <m:t>·</m:t>
                </m:r>
                <m:r>
                  <w:rPr>
                    <w:rFonts w:ascii="Cambria Math" w:cs="Arial"/>
                    <w:sz w:val="20"/>
                    <w:lang w:val="en-US"/>
                  </w:rPr>
                  <m:t>1.640[L]</m:t>
                </m:r>
                <m:r>
                  <w:rPr>
                    <w:rFonts w:ascii="Cambria Math" w:cs="Arial"/>
                    <w:sz w:val="20"/>
                    <w:lang w:val="en-US"/>
                  </w:rPr>
                  <m:t>·</m:t>
                </m:r>
                <m:r>
                  <w:rPr>
                    <w:rFonts w:ascii="Cambria Math" w:cs="Arial"/>
                    <w:sz w:val="20"/>
                    <w:lang w:val="en-US"/>
                  </w:rPr>
                  <m:t>1[mg/L]=43.016,17[Bq]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w:br/>
                </m:r>
              </m:oMath>
            </m:oMathPara>
          </w:p>
        </w:tc>
        <w:tc>
          <w:tcPr>
            <w:tcW w:w="1119" w:type="dxa"/>
            <w:shd w:val="clear" w:color="auto" w:fill="auto"/>
            <w:vAlign w:val="center"/>
          </w:tcPr>
          <w:p w14:paraId="1425C720" w14:textId="77777777" w:rsidR="00947596" w:rsidRPr="001C1D16" w:rsidRDefault="00947596" w:rsidP="001C1D16">
            <w:pPr>
              <w:jc w:val="center"/>
              <w:rPr>
                <w:lang w:val="en-US"/>
              </w:rPr>
            </w:pPr>
            <w:r w:rsidRPr="001C1D16">
              <w:rPr>
                <w:lang w:val="en-US"/>
              </w:rPr>
              <w:t>(4)</w:t>
            </w:r>
          </w:p>
        </w:tc>
      </w:tr>
    </w:tbl>
    <w:p w14:paraId="1BCACFA4" w14:textId="77777777" w:rsidR="003D784F" w:rsidRDefault="003D784F" w:rsidP="001C1D16">
      <w:pPr>
        <w:tabs>
          <w:tab w:val="left" w:pos="567"/>
        </w:tabs>
        <w:jc w:val="both"/>
        <w:rPr>
          <w:rFonts w:cs="Arial"/>
          <w:lang w:val="es-CL"/>
        </w:rPr>
      </w:pPr>
    </w:p>
    <w:p w14:paraId="36CBE546" w14:textId="02A9BD69" w:rsidR="00947596" w:rsidRPr="000C77A9" w:rsidRDefault="003D784F" w:rsidP="001C1D16">
      <w:pPr>
        <w:tabs>
          <w:tab w:val="left" w:pos="567"/>
        </w:tabs>
        <w:jc w:val="both"/>
        <w:rPr>
          <w:sz w:val="20"/>
          <w:lang w:val="en-US"/>
        </w:rPr>
      </w:pPr>
      <w:r w:rsidRPr="000C77A9">
        <w:rPr>
          <w:sz w:val="20"/>
          <w:lang w:val="en-US"/>
        </w:rPr>
        <w:t>The specific a</w:t>
      </w:r>
      <w:r w:rsidR="00947596" w:rsidRPr="000C77A9">
        <w:rPr>
          <w:sz w:val="20"/>
          <w:lang w:val="en-US"/>
        </w:rPr>
        <w:t>ctivi</w:t>
      </w:r>
      <w:r w:rsidRPr="000C77A9">
        <w:rPr>
          <w:sz w:val="20"/>
          <w:lang w:val="en-US"/>
        </w:rPr>
        <w:t>ty</w:t>
      </w:r>
      <w:r w:rsidR="00947596" w:rsidRPr="000C77A9">
        <w:rPr>
          <w:sz w:val="20"/>
          <w:lang w:val="en-US"/>
        </w:rPr>
        <w:t xml:space="preserve">: </w:t>
      </w:r>
    </w:p>
    <w:p w14:paraId="47278B91" w14:textId="77777777" w:rsidR="00947596" w:rsidRPr="000C77A9" w:rsidRDefault="00947596" w:rsidP="001C1D16">
      <w:pPr>
        <w:tabs>
          <w:tab w:val="left" w:pos="567"/>
        </w:tabs>
        <w:jc w:val="both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3"/>
        <w:gridCol w:w="1114"/>
      </w:tblGrid>
      <w:tr w:rsidR="00947596" w:rsidRPr="000C77A9" w14:paraId="2CD16DC8" w14:textId="77777777" w:rsidTr="002D425B">
        <w:tc>
          <w:tcPr>
            <w:tcW w:w="7935" w:type="dxa"/>
            <w:shd w:val="clear" w:color="auto" w:fill="auto"/>
            <w:vAlign w:val="center"/>
          </w:tcPr>
          <w:p w14:paraId="53220B0C" w14:textId="29DFCE95" w:rsidR="00947596" w:rsidRPr="000C77A9" w:rsidRDefault="00C745DB" w:rsidP="003D784F">
            <w:pPr>
              <w:jc w:val="center"/>
              <w:rPr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0"/>
                        <w:lang w:val="en-US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0"/>
                        <w:lang w:val="en-US"/>
                      </w:rPr>
                      <m:t>Activity</m:t>
                    </m:r>
                  </m:num>
                  <m:den>
                    <m:r>
                      <m:rPr>
                        <m:nor/>
                      </m:rPr>
                      <w:rPr>
                        <w:sz w:val="20"/>
                        <w:lang w:val="en-US"/>
                      </w:rPr>
                      <m:t xml:space="preserve">Solution's Volume x Solution's Density </m:t>
                    </m:r>
                  </m:den>
                </m:f>
              </m:oMath>
            </m:oMathPara>
          </w:p>
          <w:p w14:paraId="5C0EAF3D" w14:textId="77777777" w:rsidR="00947596" w:rsidRPr="000C77A9" w:rsidRDefault="00947596" w:rsidP="001C1D16">
            <w:pPr>
              <w:jc w:val="center"/>
              <w:rPr>
                <w:sz w:val="20"/>
                <w:lang w:val="en-US"/>
              </w:rPr>
            </w:pPr>
          </w:p>
          <w:p w14:paraId="3A6595DF" w14:textId="3370F24C" w:rsidR="00947596" w:rsidRPr="00A16D3F" w:rsidRDefault="00947596" w:rsidP="001D2243">
            <w:pPr>
              <w:jc w:val="center"/>
              <w:rPr>
                <w:sz w:val="20"/>
                <w:lang w:val="en-US"/>
              </w:rPr>
            </w:pPr>
            <w:r w:rsidRPr="000C77A9">
              <w:rPr>
                <w:sz w:val="20"/>
                <w:lang w:val="en-U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43.016,17[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]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1.640[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]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1.000[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/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]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=0,0262[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Bq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]</m:t>
              </m:r>
            </m:oMath>
          </w:p>
          <w:p w14:paraId="2F43FB26" w14:textId="77777777" w:rsidR="00947596" w:rsidRDefault="00947596" w:rsidP="001C1D16">
            <w:pPr>
              <w:jc w:val="center"/>
              <w:rPr>
                <w:sz w:val="20"/>
                <w:lang w:val="en-US"/>
              </w:rPr>
            </w:pPr>
          </w:p>
          <w:p w14:paraId="66335643" w14:textId="7F6DB84A" w:rsidR="001D2243" w:rsidRPr="001D2243" w:rsidRDefault="001D2243" w:rsidP="001C1D1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</w:tcPr>
          <w:p w14:paraId="5A8148C4" w14:textId="77777777" w:rsidR="00947596" w:rsidRPr="001D2243" w:rsidRDefault="00947596" w:rsidP="001C1D16">
            <w:pPr>
              <w:jc w:val="center"/>
              <w:rPr>
                <w:sz w:val="20"/>
                <w:lang w:val="en-US"/>
              </w:rPr>
            </w:pPr>
            <w:r w:rsidRPr="001D2243">
              <w:rPr>
                <w:sz w:val="20"/>
                <w:lang w:val="en-US"/>
              </w:rPr>
              <w:t>(5)</w:t>
            </w:r>
          </w:p>
        </w:tc>
      </w:tr>
    </w:tbl>
    <w:p w14:paraId="2DDB8FC0" w14:textId="77777777" w:rsidR="001D2243" w:rsidRPr="000C77A9" w:rsidRDefault="001D2243" w:rsidP="001C1D16">
      <w:pPr>
        <w:tabs>
          <w:tab w:val="left" w:pos="1425"/>
        </w:tabs>
        <w:jc w:val="both"/>
        <w:rPr>
          <w:sz w:val="20"/>
          <w:lang w:val="en-US"/>
        </w:rPr>
      </w:pPr>
    </w:p>
    <w:p w14:paraId="796D5EAE" w14:textId="04CD5376" w:rsidR="00947596" w:rsidRPr="000C77A9" w:rsidRDefault="001D2243" w:rsidP="001C1D16">
      <w:pPr>
        <w:tabs>
          <w:tab w:val="left" w:pos="1425"/>
        </w:tabs>
        <w:jc w:val="both"/>
        <w:rPr>
          <w:sz w:val="20"/>
          <w:lang w:val="en-US"/>
        </w:rPr>
      </w:pPr>
      <w:r w:rsidRPr="000C77A9">
        <w:rPr>
          <w:sz w:val="20"/>
          <w:lang w:val="en-US"/>
        </w:rPr>
        <w:t>Therefore</w:t>
      </w:r>
      <w:r w:rsidR="00947596" w:rsidRPr="000C77A9">
        <w:rPr>
          <w:sz w:val="20"/>
          <w:lang w:val="en-US"/>
        </w:rPr>
        <w:t>,</w:t>
      </w:r>
      <w:r w:rsidRPr="000C77A9">
        <w:rPr>
          <w:sz w:val="20"/>
          <w:lang w:val="en-US"/>
        </w:rPr>
        <w:t xml:space="preserve"> the</w:t>
      </w:r>
      <w:r w:rsidR="00F317CC">
        <w:rPr>
          <w:sz w:val="20"/>
          <w:lang w:val="en-US"/>
        </w:rPr>
        <w:t xml:space="preserve"> uranium </w:t>
      </w:r>
      <w:r w:rsidRPr="000C77A9">
        <w:rPr>
          <w:sz w:val="20"/>
          <w:lang w:val="en-US"/>
        </w:rPr>
        <w:t xml:space="preserve">concentration in the decontaminated solution is less than the </w:t>
      </w:r>
      <w:r w:rsidR="00F317CC">
        <w:rPr>
          <w:sz w:val="20"/>
          <w:lang w:val="en-US"/>
        </w:rPr>
        <w:t xml:space="preserve">GRS-Part 3 </w:t>
      </w:r>
      <w:r w:rsidRPr="000C77A9">
        <w:rPr>
          <w:sz w:val="20"/>
          <w:lang w:val="en-US"/>
        </w:rPr>
        <w:t>recommendations.</w:t>
      </w:r>
    </w:p>
    <w:p w14:paraId="73D62EEC" w14:textId="77777777" w:rsidR="00947596" w:rsidRPr="000C77A9" w:rsidRDefault="00947596" w:rsidP="001C1D16">
      <w:pPr>
        <w:tabs>
          <w:tab w:val="left" w:pos="1425"/>
        </w:tabs>
        <w:jc w:val="both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2"/>
        <w:gridCol w:w="1115"/>
      </w:tblGrid>
      <w:tr w:rsidR="00947596" w:rsidRPr="000C77A9" w14:paraId="6122981E" w14:textId="77777777" w:rsidTr="00F90698">
        <w:trPr>
          <w:trHeight w:val="900"/>
        </w:trPr>
        <w:tc>
          <w:tcPr>
            <w:tcW w:w="7935" w:type="dxa"/>
            <w:shd w:val="clear" w:color="auto" w:fill="auto"/>
            <w:vAlign w:val="center"/>
          </w:tcPr>
          <w:p w14:paraId="7AD2FB5B" w14:textId="4F1F501E" w:rsidR="00947596" w:rsidRPr="000C77A9" w:rsidRDefault="001D2243" w:rsidP="000C77A9">
            <w:pPr>
              <w:jc w:val="center"/>
              <w:rPr>
                <w:sz w:val="20"/>
                <w:lang w:val="en-US"/>
              </w:rPr>
            </w:pPr>
            <w:r w:rsidRPr="000C77A9">
              <w:rPr>
                <w:sz w:val="20"/>
                <w:lang w:val="en-US"/>
              </w:rPr>
              <w:t>Decontaminated solution =</w:t>
            </w:r>
            <w:r w:rsidR="00947596" w:rsidRPr="000C77A9">
              <w:rPr>
                <w:sz w:val="20"/>
                <w:lang w:val="en-US"/>
              </w:rPr>
              <w:t xml:space="preserve"> </w:t>
            </w:r>
            <m:oMath>
              <m:r>
                <w:rPr>
                  <w:rFonts w:ascii="Cambria Math"/>
                  <w:sz w:val="20"/>
                  <w:lang w:val="en-US"/>
                </w:rPr>
                <m:t>0,0262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/>
                          <w:sz w:val="20"/>
                          <w:lang w:val="en-US"/>
                        </w:rPr>
                        <m:t>Bq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/>
                  <w:sz w:val="20"/>
                  <w:lang w:val="en-US"/>
                </w:rPr>
                <m:t>&lt;</m:t>
              </m:r>
              <m:r>
                <m:rPr>
                  <m:nor/>
                </m:rPr>
                <w:rPr>
                  <w:rFonts w:ascii="Cambria Math"/>
                  <w:sz w:val="20"/>
                  <w:lang w:val="en-US"/>
                </w:rPr>
                <m:t>10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/>
                          <w:sz w:val="20"/>
                          <w:lang w:val="en-US"/>
                        </w:rPr>
                        <m:t>Bq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den>
                  </m:f>
                </m:e>
              </m:d>
            </m:oMath>
            <w:r w:rsidR="00947596" w:rsidRPr="000C77A9">
              <w:rPr>
                <w:sz w:val="20"/>
                <w:lang w:val="en-US"/>
              </w:rPr>
              <w:t xml:space="preserve">    = </w:t>
            </w:r>
            <w:r w:rsidR="00F90698">
              <w:rPr>
                <w:sz w:val="20"/>
                <w:lang w:val="en-US"/>
              </w:rPr>
              <w:t>GRS Part 3</w:t>
            </w:r>
            <w:r w:rsidRPr="000C77A9">
              <w:rPr>
                <w:sz w:val="20"/>
                <w:lang w:val="en-US"/>
              </w:rPr>
              <w:t xml:space="preserve"> recommendations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B01DA5B" w14:textId="77777777" w:rsidR="00947596" w:rsidRPr="000C77A9" w:rsidRDefault="00947596" w:rsidP="000C77A9">
            <w:pPr>
              <w:jc w:val="center"/>
              <w:rPr>
                <w:sz w:val="20"/>
                <w:lang w:val="en-US"/>
              </w:rPr>
            </w:pPr>
            <w:r w:rsidRPr="000C77A9">
              <w:rPr>
                <w:sz w:val="20"/>
                <w:lang w:val="en-US"/>
              </w:rPr>
              <w:t>(6)</w:t>
            </w:r>
          </w:p>
        </w:tc>
      </w:tr>
    </w:tbl>
    <w:p w14:paraId="0732A68C" w14:textId="77777777" w:rsidR="00947596" w:rsidRPr="000C77A9" w:rsidRDefault="00947596" w:rsidP="001C1D16">
      <w:pPr>
        <w:tabs>
          <w:tab w:val="left" w:pos="1425"/>
        </w:tabs>
        <w:jc w:val="center"/>
        <w:rPr>
          <w:sz w:val="20"/>
          <w:lang w:val="en-US"/>
        </w:rPr>
      </w:pPr>
    </w:p>
    <w:p w14:paraId="0FCD5461" w14:textId="35872EEF" w:rsidR="00947596" w:rsidRPr="00E44481" w:rsidRDefault="00A16D3F" w:rsidP="00E44481">
      <w:pPr>
        <w:pStyle w:val="Prrafodelista"/>
        <w:numPr>
          <w:ilvl w:val="2"/>
          <w:numId w:val="36"/>
        </w:numPr>
        <w:tabs>
          <w:tab w:val="left" w:pos="567"/>
        </w:tabs>
        <w:ind w:left="567" w:hanging="567"/>
        <w:jc w:val="both"/>
        <w:rPr>
          <w:rFonts w:eastAsia="Times New Roman"/>
          <w:b/>
          <w:bCs/>
          <w:kern w:val="0"/>
          <w:sz w:val="20"/>
          <w:szCs w:val="20"/>
          <w:lang w:val="en-US" w:eastAsia="en-US"/>
        </w:rPr>
      </w:pPr>
      <w:r w:rsidRPr="00E44481">
        <w:rPr>
          <w:b/>
          <w:bCs/>
          <w:sz w:val="20"/>
          <w:lang w:val="en-US"/>
        </w:rPr>
        <w:t>Management of decontaminated liquid: Clearance Authorization</w:t>
      </w:r>
      <w:r w:rsidRPr="00E44481">
        <w:rPr>
          <w:sz w:val="20"/>
          <w:lang w:val="en-US"/>
        </w:rPr>
        <w:t>.</w:t>
      </w:r>
    </w:p>
    <w:p w14:paraId="7A65F5A1" w14:textId="77777777" w:rsidR="00A16D3F" w:rsidRDefault="00A16D3F" w:rsidP="001C1D16">
      <w:pPr>
        <w:tabs>
          <w:tab w:val="left" w:pos="1425"/>
        </w:tabs>
        <w:jc w:val="both"/>
        <w:rPr>
          <w:sz w:val="20"/>
          <w:lang w:val="en-US"/>
        </w:rPr>
      </w:pPr>
    </w:p>
    <w:p w14:paraId="532ACDC0" w14:textId="22F502CB" w:rsidR="00947596" w:rsidRPr="000C77A9" w:rsidRDefault="00F317CC" w:rsidP="001C1D16">
      <w:pPr>
        <w:tabs>
          <w:tab w:val="left" w:pos="1425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>In addition, using</w:t>
      </w:r>
      <w:r w:rsidR="004366C8" w:rsidRPr="000C77A9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="004366C8" w:rsidRPr="000C77A9">
        <w:rPr>
          <w:sz w:val="20"/>
          <w:lang w:val="en-US"/>
        </w:rPr>
        <w:t xml:space="preserve"> moderate amounts of material</w:t>
      </w:r>
      <w:r>
        <w:rPr>
          <w:sz w:val="20"/>
          <w:lang w:val="en-US"/>
        </w:rPr>
        <w:t xml:space="preserve"> levels according to </w:t>
      </w:r>
      <w:r w:rsidR="004366C8" w:rsidRPr="000C77A9">
        <w:rPr>
          <w:sz w:val="20"/>
          <w:lang w:val="en-US"/>
        </w:rPr>
        <w:t xml:space="preserve">GRS Part 3-Table I-1, the </w:t>
      </w:r>
      <w:r>
        <w:rPr>
          <w:sz w:val="20"/>
          <w:lang w:val="en-US"/>
        </w:rPr>
        <w:t xml:space="preserve">uranium </w:t>
      </w:r>
      <w:r w:rsidR="004366C8" w:rsidRPr="000C77A9">
        <w:rPr>
          <w:sz w:val="20"/>
          <w:lang w:val="en-US"/>
        </w:rPr>
        <w:t xml:space="preserve">total activity is </w:t>
      </w:r>
      <w:r w:rsidR="00947596" w:rsidRPr="000C77A9">
        <w:rPr>
          <w:sz w:val="20"/>
          <w:lang w:val="en-US"/>
        </w:rPr>
        <w:t>1x10</w:t>
      </w:r>
      <w:r w:rsidR="00947596" w:rsidRPr="00A16D3F">
        <w:rPr>
          <w:sz w:val="20"/>
          <w:vertAlign w:val="superscript"/>
          <w:lang w:val="en-US"/>
        </w:rPr>
        <w:t>4</w:t>
      </w:r>
      <w:r w:rsidR="00947596" w:rsidRPr="000C77A9">
        <w:rPr>
          <w:sz w:val="20"/>
          <w:lang w:val="en-US"/>
        </w:rPr>
        <w:t xml:space="preserve"> [</w:t>
      </w:r>
      <w:proofErr w:type="spellStart"/>
      <w:r w:rsidR="00947596" w:rsidRPr="000C77A9">
        <w:rPr>
          <w:sz w:val="20"/>
          <w:lang w:val="en-US"/>
        </w:rPr>
        <w:t>Bq</w:t>
      </w:r>
      <w:proofErr w:type="spellEnd"/>
      <w:r w:rsidR="00947596" w:rsidRPr="000C77A9">
        <w:rPr>
          <w:sz w:val="20"/>
          <w:lang w:val="en-US"/>
        </w:rPr>
        <w:t xml:space="preserve">] </w:t>
      </w:r>
      <w:r w:rsidR="004366C8" w:rsidRPr="000C77A9">
        <w:rPr>
          <w:sz w:val="20"/>
          <w:lang w:val="en-US"/>
        </w:rPr>
        <w:t>per year</w:t>
      </w:r>
      <w:r w:rsidR="00947596" w:rsidRPr="000C77A9">
        <w:rPr>
          <w:sz w:val="20"/>
          <w:lang w:val="en-US"/>
        </w:rPr>
        <w:t>.</w:t>
      </w:r>
    </w:p>
    <w:p w14:paraId="2C2427A7" w14:textId="77777777" w:rsidR="00947596" w:rsidRPr="000C77A9" w:rsidRDefault="00947596" w:rsidP="001C1D16">
      <w:pPr>
        <w:tabs>
          <w:tab w:val="left" w:pos="1425"/>
        </w:tabs>
        <w:jc w:val="both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00"/>
        <w:gridCol w:w="517"/>
      </w:tblGrid>
      <w:tr w:rsidR="00947596" w:rsidRPr="000C77A9" w14:paraId="5577A74F" w14:textId="77777777" w:rsidTr="003B3FAE">
        <w:tc>
          <w:tcPr>
            <w:tcW w:w="8500" w:type="dxa"/>
            <w:shd w:val="clear" w:color="auto" w:fill="auto"/>
            <w:vAlign w:val="center"/>
          </w:tcPr>
          <w:p w14:paraId="0211F089" w14:textId="40DD9315" w:rsidR="00947596" w:rsidRPr="000C77A9" w:rsidRDefault="004366C8" w:rsidP="00D73E0E">
            <w:pPr>
              <w:jc w:val="center"/>
              <w:rPr>
                <w:sz w:val="20"/>
                <w:lang w:val="en-US"/>
              </w:rPr>
            </w:pPr>
            <w:r w:rsidRPr="000C77A9">
              <w:rPr>
                <w:sz w:val="20"/>
                <w:lang w:val="en-US"/>
              </w:rPr>
              <w:t xml:space="preserve">Decontaminated </w:t>
            </w:r>
            <w:r w:rsidR="00F90698">
              <w:rPr>
                <w:sz w:val="20"/>
                <w:lang w:val="en-US"/>
              </w:rPr>
              <w:t>s</w:t>
            </w:r>
            <w:r w:rsidRPr="000C77A9">
              <w:rPr>
                <w:sz w:val="20"/>
                <w:lang w:val="en-US"/>
              </w:rPr>
              <w:t>olution</w:t>
            </w:r>
            <w:r w:rsidR="00947596" w:rsidRPr="000C77A9">
              <w:rPr>
                <w:sz w:val="20"/>
                <w:lang w:val="en-US"/>
              </w:rPr>
              <w:t xml:space="preserve"> = </w:t>
            </w:r>
            <m:oMath>
              <m:r>
                <w:rPr>
                  <w:rFonts w:ascii="Cambria Math"/>
                  <w:sz w:val="20"/>
                  <w:lang w:val="en-US"/>
                </w:rPr>
                <m:t>43.016,17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/>
                      <w:sz w:val="20"/>
                      <w:lang w:val="en-US"/>
                    </w:rPr>
                    <m:t>Bq</m:t>
                  </m:r>
                </m:e>
              </m:d>
              <m:r>
                <w:rPr>
                  <w:rFonts w:ascii="Cambria Math"/>
                  <w:sz w:val="20"/>
                  <w:lang w:val="en-US"/>
                </w:rPr>
                <m:t>≥</m:t>
              </m:r>
              <m:r>
                <m:rPr>
                  <m:nor/>
                </m:rPr>
                <w:rPr>
                  <w:rFonts w:ascii="Cambria Math"/>
                  <w:sz w:val="20"/>
                  <w:lang w:val="en-US"/>
                </w:rPr>
                <m:t>10.000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/>
                      <w:sz w:val="20"/>
                      <w:lang w:val="en-US"/>
                    </w:rPr>
                    <m:t>Bq</m:t>
                  </m:r>
                </m:e>
              </m:d>
            </m:oMath>
            <w:r w:rsidR="00947596" w:rsidRPr="000C77A9">
              <w:rPr>
                <w:sz w:val="20"/>
                <w:lang w:val="en-US"/>
              </w:rPr>
              <w:t xml:space="preserve">    = </w:t>
            </w:r>
            <w:r w:rsidRPr="000C77A9">
              <w:rPr>
                <w:sz w:val="20"/>
                <w:lang w:val="en-US"/>
              </w:rPr>
              <w:t xml:space="preserve">GRS Part 3 </w:t>
            </w:r>
            <w:r w:rsidR="00F90698">
              <w:rPr>
                <w:sz w:val="20"/>
                <w:lang w:val="en-US"/>
              </w:rPr>
              <w:t>r</w:t>
            </w:r>
            <w:r w:rsidR="003B3FAE" w:rsidRPr="000C77A9">
              <w:rPr>
                <w:sz w:val="20"/>
                <w:lang w:val="en-US"/>
              </w:rPr>
              <w:t>ecommendation</w:t>
            </w:r>
            <w:r w:rsidR="00947596" w:rsidRPr="000C77A9">
              <w:rPr>
                <w:sz w:val="20"/>
                <w:lang w:val="en-US"/>
              </w:rPr>
              <w:t xml:space="preserve">    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5457A76" w14:textId="77777777" w:rsidR="00947596" w:rsidRPr="000C77A9" w:rsidRDefault="00947596" w:rsidP="001C1D16">
            <w:pPr>
              <w:jc w:val="center"/>
              <w:rPr>
                <w:sz w:val="20"/>
                <w:lang w:val="en-US"/>
              </w:rPr>
            </w:pPr>
            <w:r w:rsidRPr="000C77A9">
              <w:rPr>
                <w:sz w:val="20"/>
                <w:lang w:val="en-US"/>
              </w:rPr>
              <w:t>(7)</w:t>
            </w:r>
          </w:p>
        </w:tc>
      </w:tr>
    </w:tbl>
    <w:p w14:paraId="6A5A5322" w14:textId="77777777" w:rsidR="00947596" w:rsidRPr="000C77A9" w:rsidRDefault="00947596" w:rsidP="001C1D16">
      <w:pPr>
        <w:tabs>
          <w:tab w:val="left" w:pos="1425"/>
        </w:tabs>
        <w:rPr>
          <w:sz w:val="20"/>
          <w:lang w:val="en-US"/>
        </w:rPr>
      </w:pPr>
    </w:p>
    <w:p w14:paraId="3DB91949" w14:textId="51234DDE" w:rsidR="00947596" w:rsidRPr="000C77A9" w:rsidRDefault="00947596" w:rsidP="001C1D16">
      <w:pPr>
        <w:tabs>
          <w:tab w:val="left" w:pos="1425"/>
        </w:tabs>
        <w:rPr>
          <w:sz w:val="20"/>
          <w:lang w:val="en-US"/>
        </w:rPr>
      </w:pPr>
    </w:p>
    <w:p w14:paraId="526F0E6C" w14:textId="3BB668A1" w:rsidR="004366C8" w:rsidRPr="000C77A9" w:rsidRDefault="00F317CC" w:rsidP="001C1D16">
      <w:pPr>
        <w:tabs>
          <w:tab w:val="left" w:pos="1425"/>
        </w:tabs>
        <w:rPr>
          <w:sz w:val="20"/>
          <w:lang w:val="en-US"/>
        </w:rPr>
      </w:pPr>
      <w:r>
        <w:rPr>
          <w:sz w:val="20"/>
          <w:lang w:val="en-US"/>
        </w:rPr>
        <w:t>Finally</w:t>
      </w:r>
      <w:r w:rsidR="004366C8" w:rsidRPr="000C77A9">
        <w:rPr>
          <w:sz w:val="20"/>
          <w:lang w:val="en-US"/>
        </w:rPr>
        <w:t>,</w:t>
      </w:r>
      <w:r w:rsidR="00F90698">
        <w:rPr>
          <w:sz w:val="20"/>
          <w:lang w:val="en-US"/>
        </w:rPr>
        <w:t xml:space="preserve"> this solution </w:t>
      </w:r>
      <w:r>
        <w:rPr>
          <w:sz w:val="20"/>
          <w:lang w:val="en-US"/>
        </w:rPr>
        <w:t xml:space="preserve">clearance </w:t>
      </w:r>
      <w:r w:rsidR="00F90698">
        <w:rPr>
          <w:sz w:val="20"/>
          <w:lang w:val="en-US"/>
        </w:rPr>
        <w:t xml:space="preserve">is </w:t>
      </w:r>
      <w:r w:rsidR="004366C8" w:rsidRPr="000C77A9">
        <w:rPr>
          <w:sz w:val="20"/>
          <w:lang w:val="en-US"/>
        </w:rPr>
        <w:t xml:space="preserve">in 4,3 years, and </w:t>
      </w:r>
      <w:r>
        <w:rPr>
          <w:sz w:val="20"/>
          <w:lang w:val="en-US"/>
        </w:rPr>
        <w:t>its</w:t>
      </w:r>
      <w:r w:rsidR="004366C8" w:rsidRPr="000C77A9">
        <w:rPr>
          <w:sz w:val="20"/>
          <w:lang w:val="en-US"/>
        </w:rPr>
        <w:t xml:space="preserve"> volume to manage is:</w:t>
      </w:r>
    </w:p>
    <w:p w14:paraId="767B5BD9" w14:textId="77777777" w:rsidR="004366C8" w:rsidRPr="000C77A9" w:rsidRDefault="004366C8" w:rsidP="001C1D16">
      <w:pPr>
        <w:tabs>
          <w:tab w:val="left" w:pos="1425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3"/>
        <w:gridCol w:w="1114"/>
      </w:tblGrid>
      <w:tr w:rsidR="00947596" w:rsidRPr="000C77A9" w14:paraId="77C1AD1D" w14:textId="77777777" w:rsidTr="002D425B">
        <w:tc>
          <w:tcPr>
            <w:tcW w:w="7935" w:type="dxa"/>
            <w:shd w:val="clear" w:color="auto" w:fill="auto"/>
            <w:vAlign w:val="center"/>
          </w:tcPr>
          <w:p w14:paraId="010BCCDB" w14:textId="299FCAC4" w:rsidR="00947596" w:rsidRPr="000C77A9" w:rsidRDefault="004366C8" w:rsidP="004366C8">
            <w:pPr>
              <w:jc w:val="center"/>
              <w:rPr>
                <w:sz w:val="20"/>
                <w:lang w:val="en-US"/>
              </w:rPr>
            </w:pPr>
            <m:oMath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Clearance Volume per Year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1.640[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]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4,3[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]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=381,4[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L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]</m:t>
              </m:r>
            </m:oMath>
            <w:r w:rsidR="00947596" w:rsidRPr="000C77A9">
              <w:rPr>
                <w:sz w:val="20"/>
                <w:lang w:val="en-US"/>
              </w:rPr>
              <w:tab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BE9E0A" w14:textId="77777777" w:rsidR="00947596" w:rsidRPr="000C77A9" w:rsidRDefault="00947596" w:rsidP="001C1D16">
            <w:pPr>
              <w:jc w:val="center"/>
              <w:rPr>
                <w:sz w:val="20"/>
                <w:lang w:val="en-US"/>
              </w:rPr>
            </w:pPr>
            <w:r w:rsidRPr="000C77A9">
              <w:rPr>
                <w:sz w:val="20"/>
                <w:lang w:val="en-US"/>
              </w:rPr>
              <w:t>(8)</w:t>
            </w:r>
          </w:p>
        </w:tc>
      </w:tr>
    </w:tbl>
    <w:p w14:paraId="2F313E77" w14:textId="0F361AB3" w:rsidR="00947596" w:rsidRPr="000C77A9" w:rsidRDefault="00947596" w:rsidP="001C1D16">
      <w:pPr>
        <w:rPr>
          <w:sz w:val="20"/>
          <w:lang w:val="en-US"/>
        </w:rPr>
      </w:pPr>
    </w:p>
    <w:p w14:paraId="433FE094" w14:textId="3D8604A8" w:rsidR="00E25B68" w:rsidRDefault="004366C8" w:rsidP="001C1D16">
      <w:pPr>
        <w:pStyle w:val="Textoindependiente"/>
        <w:spacing w:line="240" w:lineRule="auto"/>
        <w:rPr>
          <w:lang w:val="en-US"/>
        </w:rPr>
      </w:pPr>
      <w:r>
        <w:rPr>
          <w:lang w:val="en-US"/>
        </w:rPr>
        <w:br/>
      </w:r>
    </w:p>
    <w:p w14:paraId="596D7F11" w14:textId="7821A619" w:rsidR="00AA26A5" w:rsidRPr="00AA26A5" w:rsidRDefault="00494D94" w:rsidP="00AA26A5">
      <w:pPr>
        <w:pStyle w:val="Textoindependiente"/>
        <w:spacing w:line="240" w:lineRule="auto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>3.3</w:t>
      </w:r>
      <w:r w:rsidR="00AA26A5" w:rsidRPr="00AA26A5">
        <w:rPr>
          <w:b/>
          <w:bCs/>
          <w:lang w:val="en-US"/>
        </w:rPr>
        <w:t>. Conclusions</w:t>
      </w:r>
    </w:p>
    <w:p w14:paraId="4A888353" w14:textId="3C3FB6EC" w:rsidR="00AA26A5" w:rsidRDefault="00AA26A5" w:rsidP="00AA26A5">
      <w:pPr>
        <w:pStyle w:val="Textoindependiente"/>
        <w:spacing w:line="240" w:lineRule="auto"/>
        <w:ind w:firstLine="0"/>
        <w:rPr>
          <w:lang w:val="en-US"/>
        </w:rPr>
      </w:pPr>
    </w:p>
    <w:p w14:paraId="73594576" w14:textId="702A3F25" w:rsidR="00AA26A5" w:rsidRDefault="00AA26A5" w:rsidP="00AA26A5">
      <w:pPr>
        <w:pStyle w:val="Textoindependiente"/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This experimental study on the </w:t>
      </w:r>
      <w:r w:rsidR="00372960">
        <w:rPr>
          <w:lang w:val="en-US"/>
        </w:rPr>
        <w:t xml:space="preserve">uranium </w:t>
      </w:r>
      <w:r>
        <w:rPr>
          <w:lang w:val="en-US"/>
        </w:rPr>
        <w:t>precipitation</w:t>
      </w:r>
      <w:r w:rsidR="00372960">
        <w:rPr>
          <w:lang w:val="en-US"/>
        </w:rPr>
        <w:t xml:space="preserve"> </w:t>
      </w:r>
      <w:r w:rsidR="00A45996">
        <w:rPr>
          <w:lang w:val="en-US"/>
        </w:rPr>
        <w:t xml:space="preserve">in a nitric solution demonstrates one possibility to decontaminate a liquid stream, to reduce the </w:t>
      </w:r>
      <w:r w:rsidR="00372960">
        <w:rPr>
          <w:lang w:val="en-US"/>
        </w:rPr>
        <w:t xml:space="preserve">waste </w:t>
      </w:r>
      <w:r w:rsidR="00A45996">
        <w:rPr>
          <w:lang w:val="en-US"/>
        </w:rPr>
        <w:t>volume</w:t>
      </w:r>
      <w:r w:rsidR="00372960">
        <w:rPr>
          <w:lang w:val="en-US"/>
        </w:rPr>
        <w:t xml:space="preserve"> </w:t>
      </w:r>
      <w:r w:rsidR="00A45996">
        <w:rPr>
          <w:lang w:val="en-US"/>
        </w:rPr>
        <w:t xml:space="preserve">and to obtain a solid waste for future conditioning in the </w:t>
      </w:r>
      <w:proofErr w:type="spellStart"/>
      <w:r w:rsidR="00494D94">
        <w:rPr>
          <w:lang w:val="en-US"/>
        </w:rPr>
        <w:t>c</w:t>
      </w:r>
      <w:r w:rsidR="00372960">
        <w:rPr>
          <w:lang w:val="en-US"/>
        </w:rPr>
        <w:t>hilean</w:t>
      </w:r>
      <w:proofErr w:type="spellEnd"/>
      <w:r w:rsidR="00372960">
        <w:rPr>
          <w:lang w:val="en-US"/>
        </w:rPr>
        <w:t xml:space="preserve"> facility </w:t>
      </w:r>
      <w:r w:rsidR="00A45996">
        <w:rPr>
          <w:lang w:val="en-US"/>
        </w:rPr>
        <w:t xml:space="preserve">storage. This process allows to improve </w:t>
      </w:r>
      <w:r w:rsidR="00372960">
        <w:rPr>
          <w:lang w:val="en-US"/>
        </w:rPr>
        <w:t xml:space="preserve">storage </w:t>
      </w:r>
      <w:r w:rsidR="00A45996">
        <w:rPr>
          <w:lang w:val="en-US"/>
        </w:rPr>
        <w:t>capacities</w:t>
      </w:r>
      <w:r w:rsidR="00372960">
        <w:rPr>
          <w:lang w:val="en-US"/>
        </w:rPr>
        <w:t xml:space="preserve"> and the safety and security conditions in the facility.</w:t>
      </w:r>
      <w:r w:rsidR="00A45996">
        <w:rPr>
          <w:lang w:val="en-US"/>
        </w:rPr>
        <w:t xml:space="preserve"> </w:t>
      </w:r>
    </w:p>
    <w:p w14:paraId="66A25939" w14:textId="7D45CE26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7A027DF7" w14:textId="4CA757CD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4AE0430A" w14:textId="1878C23C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6BC024FA" w14:textId="455778F7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47C8762B" w14:textId="706A32AC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3526F5A2" w14:textId="32AA1926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4293A3B7" w14:textId="34FC8650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56B974F1" w14:textId="23C81F23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4F5F5688" w14:textId="178790ED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46CF8EB1" w14:textId="23A1F7CA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17ABD1E8" w14:textId="35A07CBC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68DE0EC3" w14:textId="29E94035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74510446" w14:textId="631DD528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0A8756BF" w14:textId="0517907E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740EE09A" w14:textId="7B7DFFB8" w:rsidR="004366C8" w:rsidRDefault="004366C8" w:rsidP="001C1D16">
      <w:pPr>
        <w:pStyle w:val="Textoindependiente"/>
        <w:spacing w:line="240" w:lineRule="auto"/>
        <w:rPr>
          <w:lang w:val="en-US"/>
        </w:rPr>
      </w:pPr>
    </w:p>
    <w:p w14:paraId="2BC82351" w14:textId="37FF9C70" w:rsidR="000F2D85" w:rsidRDefault="000F2D85" w:rsidP="001C1D16">
      <w:pPr>
        <w:pStyle w:val="Textoindependiente"/>
        <w:spacing w:line="240" w:lineRule="auto"/>
        <w:rPr>
          <w:lang w:val="en-US"/>
        </w:rPr>
      </w:pPr>
    </w:p>
    <w:p w14:paraId="433FE095" w14:textId="77777777" w:rsidR="00285755" w:rsidRPr="001C1D16" w:rsidRDefault="00285755" w:rsidP="001C1D16">
      <w:pPr>
        <w:pStyle w:val="Otherunnumberedheadings"/>
        <w:spacing w:line="240" w:lineRule="auto"/>
        <w:rPr>
          <w:lang w:val="en-US"/>
        </w:rPr>
      </w:pPr>
      <w:r w:rsidRPr="001C1D16">
        <w:rPr>
          <w:lang w:val="en-US"/>
        </w:rPr>
        <w:lastRenderedPageBreak/>
        <w:t>ACKNOWLEDGEMENTS</w:t>
      </w:r>
    </w:p>
    <w:p w14:paraId="66BE95D2" w14:textId="37E23EF7" w:rsidR="00052ABE" w:rsidRDefault="00052ABE" w:rsidP="00052ABE">
      <w:pPr>
        <w:pStyle w:val="Otherunnumberedheadings"/>
        <w:spacing w:line="240" w:lineRule="auto"/>
        <w:ind w:firstLine="567"/>
        <w:jc w:val="both"/>
        <w:rPr>
          <w:rFonts w:ascii="Times New Roman" w:hAnsi="Times New Roman"/>
          <w:b w:val="0"/>
          <w:caps w:val="0"/>
          <w:lang w:val="en-US"/>
        </w:rPr>
      </w:pPr>
      <w:r w:rsidRPr="00052ABE">
        <w:rPr>
          <w:rFonts w:ascii="Times New Roman" w:hAnsi="Times New Roman"/>
          <w:b w:val="0"/>
          <w:caps w:val="0"/>
          <w:lang w:val="en-US"/>
        </w:rPr>
        <w:t>I would like to thank to the Chilean Nuclear Energy Commission, especially the Radioactive Waste Management Section and their members for trying to do the best job day by day.</w:t>
      </w:r>
      <w:r w:rsidR="00372960">
        <w:rPr>
          <w:rFonts w:ascii="Times New Roman" w:hAnsi="Times New Roman"/>
          <w:b w:val="0"/>
          <w:caps w:val="0"/>
          <w:lang w:val="en-US"/>
        </w:rPr>
        <w:t xml:space="preserve"> And my </w:t>
      </w:r>
      <w:proofErr w:type="spellStart"/>
      <w:r w:rsidR="00372960">
        <w:rPr>
          <w:rFonts w:ascii="Times New Roman" w:hAnsi="Times New Roman"/>
          <w:b w:val="0"/>
          <w:caps w:val="0"/>
          <w:lang w:val="en-US"/>
        </w:rPr>
        <w:t>english</w:t>
      </w:r>
      <w:proofErr w:type="spellEnd"/>
      <w:r w:rsidR="00372960">
        <w:rPr>
          <w:rFonts w:ascii="Times New Roman" w:hAnsi="Times New Roman"/>
          <w:b w:val="0"/>
          <w:caps w:val="0"/>
          <w:lang w:val="en-US"/>
        </w:rPr>
        <w:t xml:space="preserve"> teacher for his patience and support.</w:t>
      </w:r>
    </w:p>
    <w:p w14:paraId="433FE097" w14:textId="42661DA5" w:rsidR="00D26ADA" w:rsidRDefault="00D26ADA" w:rsidP="001C1D16">
      <w:pPr>
        <w:pStyle w:val="Otherunnumberedheadings"/>
        <w:spacing w:line="240" w:lineRule="auto"/>
        <w:rPr>
          <w:lang w:val="en-US"/>
        </w:rPr>
      </w:pPr>
      <w:r w:rsidRPr="001C1D16">
        <w:rPr>
          <w:lang w:val="en-US"/>
        </w:rPr>
        <w:t>References</w:t>
      </w:r>
    </w:p>
    <w:p w14:paraId="33478131" w14:textId="42AB9EA9" w:rsidR="00D22CB8" w:rsidRPr="00D22CB8" w:rsidRDefault="00D22CB8" w:rsidP="00D22CB8">
      <w:pPr>
        <w:overflowPunct/>
        <w:autoSpaceDE/>
        <w:autoSpaceDN/>
        <w:adjustRightInd/>
        <w:ind w:left="709" w:hanging="283"/>
        <w:jc w:val="both"/>
        <w:textAlignment w:val="auto"/>
        <w:rPr>
          <w:sz w:val="18"/>
          <w:szCs w:val="18"/>
          <w:lang w:val="en-US"/>
        </w:rPr>
      </w:pPr>
      <w:r w:rsidRPr="00D22CB8">
        <w:rPr>
          <w:sz w:val="18"/>
          <w:szCs w:val="18"/>
          <w:lang w:val="en-US"/>
        </w:rPr>
        <w:t xml:space="preserve">[1] </w:t>
      </w:r>
      <w:r>
        <w:rPr>
          <w:sz w:val="18"/>
          <w:szCs w:val="18"/>
          <w:lang w:val="en-US"/>
        </w:rPr>
        <w:tab/>
      </w:r>
      <w:r w:rsidRPr="00D22CB8">
        <w:rPr>
          <w:sz w:val="18"/>
          <w:szCs w:val="18"/>
          <w:lang w:val="en-US"/>
        </w:rPr>
        <w:t xml:space="preserve">Lozano, J. C., Fernández, F., Gómez, J. M. </w:t>
      </w:r>
      <w:r w:rsidRPr="00D22CB8">
        <w:rPr>
          <w:i/>
          <w:iCs/>
          <w:sz w:val="18"/>
          <w:szCs w:val="18"/>
          <w:lang w:val="en-US"/>
        </w:rPr>
        <w:t>“Preparation of alpha-spectrometric Sources by Coprecipitation with Fe(OH)</w:t>
      </w:r>
      <w:r w:rsidRPr="00D22CB8">
        <w:rPr>
          <w:i/>
          <w:iCs/>
          <w:sz w:val="18"/>
          <w:szCs w:val="18"/>
          <w:vertAlign w:val="subscript"/>
          <w:lang w:val="en-US"/>
        </w:rPr>
        <w:t>3</w:t>
      </w:r>
      <w:r w:rsidRPr="00D22CB8">
        <w:rPr>
          <w:i/>
          <w:iCs/>
          <w:sz w:val="18"/>
          <w:szCs w:val="18"/>
          <w:lang w:val="en-US"/>
        </w:rPr>
        <w:t>: application to uranium. Applied Radiation and Isotopes”</w:t>
      </w:r>
      <w:r w:rsidRPr="00D22CB8">
        <w:rPr>
          <w:sz w:val="18"/>
          <w:szCs w:val="18"/>
          <w:lang w:val="en-US"/>
        </w:rPr>
        <w:t>, pp.50, 475-477 (1999).</w:t>
      </w:r>
    </w:p>
    <w:p w14:paraId="0592DDD7" w14:textId="77777777" w:rsidR="00D22CB8" w:rsidRDefault="00D22CB8" w:rsidP="00D22CB8">
      <w:pPr>
        <w:overflowPunct/>
        <w:ind w:left="709" w:hanging="283"/>
        <w:jc w:val="both"/>
        <w:textAlignment w:val="auto"/>
        <w:rPr>
          <w:rFonts w:cs="Arial"/>
          <w:sz w:val="18"/>
          <w:szCs w:val="18"/>
          <w:lang w:val="en-US" w:eastAsia="es-CL"/>
        </w:rPr>
      </w:pPr>
      <w:r>
        <w:rPr>
          <w:rFonts w:cs="Arial"/>
          <w:sz w:val="18"/>
          <w:szCs w:val="18"/>
          <w:lang w:val="en-US" w:eastAsia="es-CL"/>
        </w:rPr>
        <w:t>[2]</w:t>
      </w:r>
      <w:r>
        <w:rPr>
          <w:rFonts w:cs="Arial"/>
          <w:sz w:val="18"/>
          <w:szCs w:val="18"/>
          <w:lang w:val="en-US" w:eastAsia="es-CL"/>
        </w:rPr>
        <w:tab/>
      </w:r>
      <w:r w:rsidRPr="00D22CB8">
        <w:rPr>
          <w:rFonts w:cs="Arial"/>
          <w:sz w:val="18"/>
          <w:szCs w:val="18"/>
          <w:lang w:val="en-US" w:eastAsia="es-CL"/>
        </w:rPr>
        <w:t xml:space="preserve">Harrington, C. D., </w:t>
      </w:r>
      <w:proofErr w:type="spellStart"/>
      <w:r w:rsidRPr="00D22CB8">
        <w:rPr>
          <w:rFonts w:cs="Arial"/>
          <w:sz w:val="18"/>
          <w:szCs w:val="18"/>
          <w:lang w:val="en-US" w:eastAsia="es-CL"/>
        </w:rPr>
        <w:t>Ruehle</w:t>
      </w:r>
      <w:proofErr w:type="spellEnd"/>
      <w:r w:rsidRPr="00D22CB8">
        <w:rPr>
          <w:rFonts w:cs="Arial"/>
          <w:sz w:val="18"/>
          <w:szCs w:val="18"/>
          <w:lang w:val="en-US" w:eastAsia="es-CL"/>
        </w:rPr>
        <w:t xml:space="preserve">, A.E. </w:t>
      </w:r>
      <w:r w:rsidRPr="00D22CB8">
        <w:rPr>
          <w:rFonts w:cs="Arial"/>
          <w:i/>
          <w:iCs/>
          <w:sz w:val="18"/>
          <w:szCs w:val="18"/>
          <w:lang w:val="en-US" w:eastAsia="es-CL"/>
        </w:rPr>
        <w:t>“Uranium Production Technology”</w:t>
      </w:r>
      <w:r w:rsidRPr="00D22CB8">
        <w:rPr>
          <w:rFonts w:cs="Arial"/>
          <w:sz w:val="18"/>
          <w:szCs w:val="18"/>
          <w:lang w:val="en-US" w:eastAsia="es-CL"/>
        </w:rPr>
        <w:t>, pp.210 (1959).</w:t>
      </w:r>
    </w:p>
    <w:p w14:paraId="628C167C" w14:textId="77777777" w:rsidR="00D22CB8" w:rsidRPr="00996E91" w:rsidRDefault="00D22CB8" w:rsidP="00D22CB8">
      <w:pPr>
        <w:pStyle w:val="Textoindependiente"/>
        <w:rPr>
          <w:lang w:val="en-US"/>
        </w:rPr>
      </w:pPr>
    </w:p>
    <w:p w14:paraId="433FE0A3" w14:textId="0C96A572" w:rsidR="00662532" w:rsidRPr="004F4543" w:rsidRDefault="00662532" w:rsidP="001C1D16">
      <w:pPr>
        <w:pStyle w:val="Otherunnumberedheadings"/>
        <w:spacing w:line="240" w:lineRule="auto"/>
        <w:rPr>
          <w:lang w:val="en-US"/>
        </w:rPr>
      </w:pPr>
      <w:r w:rsidRPr="004F4543">
        <w:rPr>
          <w:lang w:val="en-US"/>
        </w:rPr>
        <w:t>BIBLIOGRAPHY</w:t>
      </w:r>
    </w:p>
    <w:p w14:paraId="0CFD8979" w14:textId="77777777" w:rsidR="004F4543" w:rsidRDefault="004F4543" w:rsidP="004F4543">
      <w:pPr>
        <w:overflowPunct/>
        <w:jc w:val="both"/>
        <w:textAlignment w:val="auto"/>
        <w:rPr>
          <w:rFonts w:cs="Arial"/>
          <w:color w:val="000000"/>
          <w:sz w:val="18"/>
          <w:szCs w:val="18"/>
          <w:lang w:val="en-US" w:eastAsia="es-CL"/>
        </w:rPr>
      </w:pPr>
      <w:r w:rsidRPr="00D22CB8">
        <w:rPr>
          <w:rFonts w:cs="Arial"/>
          <w:color w:val="000000"/>
          <w:sz w:val="18"/>
          <w:szCs w:val="18"/>
          <w:lang w:val="en-US" w:eastAsia="es-CL"/>
        </w:rPr>
        <w:t xml:space="preserve">IAEA </w:t>
      </w:r>
    </w:p>
    <w:p w14:paraId="1492DA70" w14:textId="369F0131" w:rsidR="004F4543" w:rsidRPr="00996E91" w:rsidRDefault="004F4543" w:rsidP="004F4543">
      <w:pPr>
        <w:overflowPunct/>
        <w:jc w:val="both"/>
        <w:textAlignment w:val="auto"/>
        <w:rPr>
          <w:rFonts w:cs="Arial"/>
          <w:sz w:val="18"/>
          <w:szCs w:val="18"/>
          <w:lang w:val="es-CL" w:eastAsia="es-CL"/>
        </w:rPr>
      </w:pPr>
      <w:r w:rsidRPr="00D22CB8">
        <w:rPr>
          <w:rFonts w:cs="Arial"/>
          <w:color w:val="000000"/>
          <w:sz w:val="18"/>
          <w:szCs w:val="18"/>
          <w:lang w:val="en-US" w:eastAsia="es-CL"/>
        </w:rPr>
        <w:t xml:space="preserve">Safety </w:t>
      </w:r>
      <w:proofErr w:type="spellStart"/>
      <w:r w:rsidRPr="00D22CB8">
        <w:rPr>
          <w:rFonts w:cs="Arial"/>
          <w:color w:val="000000"/>
          <w:sz w:val="18"/>
          <w:szCs w:val="18"/>
          <w:lang w:val="en-US" w:eastAsia="es-CL"/>
        </w:rPr>
        <w:t>Standars</w:t>
      </w:r>
      <w:proofErr w:type="spellEnd"/>
      <w:r w:rsidRPr="00D22CB8">
        <w:rPr>
          <w:rFonts w:cs="Arial"/>
          <w:color w:val="000000"/>
          <w:sz w:val="18"/>
          <w:szCs w:val="18"/>
          <w:lang w:val="en-US" w:eastAsia="es-CL"/>
        </w:rPr>
        <w:t xml:space="preserve">, </w:t>
      </w:r>
      <w:r w:rsidRPr="00D22CB8">
        <w:rPr>
          <w:rFonts w:cs="Arial"/>
          <w:i/>
          <w:iCs/>
          <w:color w:val="000000"/>
          <w:sz w:val="18"/>
          <w:szCs w:val="18"/>
          <w:lang w:val="en-US" w:eastAsia="es-CL"/>
        </w:rPr>
        <w:t>“Radiation Protection and Safety of Radiation Sources: International Basic Safety Standards</w:t>
      </w:r>
      <w:r w:rsidRPr="004F4543">
        <w:rPr>
          <w:rFonts w:cs="Arial"/>
          <w:i/>
          <w:iCs/>
          <w:color w:val="000000"/>
          <w:sz w:val="18"/>
          <w:szCs w:val="18"/>
          <w:lang w:val="en-US" w:eastAsia="es-CL"/>
        </w:rPr>
        <w:t xml:space="preserve">” </w:t>
      </w:r>
      <w:r w:rsidRPr="004F4543">
        <w:rPr>
          <w:rFonts w:cs="Arial"/>
          <w:color w:val="000000"/>
          <w:sz w:val="18"/>
          <w:szCs w:val="18"/>
          <w:lang w:val="en-US" w:eastAsia="es-CL"/>
        </w:rPr>
        <w:t>INTERIM EDITION</w:t>
      </w:r>
      <w:r w:rsidRPr="004F4543">
        <w:rPr>
          <w:rFonts w:cs="Arial"/>
          <w:sz w:val="18"/>
          <w:szCs w:val="18"/>
          <w:lang w:val="en-US" w:eastAsia="es-CL"/>
        </w:rPr>
        <w:t xml:space="preserve">, No. </w:t>
      </w:r>
      <w:r w:rsidRPr="00996E91">
        <w:rPr>
          <w:rFonts w:cs="Arial"/>
          <w:sz w:val="18"/>
          <w:szCs w:val="18"/>
          <w:lang w:val="es-CL" w:eastAsia="es-CL"/>
        </w:rPr>
        <w:t xml:space="preserve">GSR </w:t>
      </w:r>
      <w:proofErr w:type="spellStart"/>
      <w:r w:rsidRPr="00996E91">
        <w:rPr>
          <w:rFonts w:cs="Arial"/>
          <w:sz w:val="18"/>
          <w:szCs w:val="18"/>
          <w:lang w:val="es-CL" w:eastAsia="es-CL"/>
        </w:rPr>
        <w:t>Part</w:t>
      </w:r>
      <w:proofErr w:type="spellEnd"/>
      <w:r w:rsidRPr="00996E91">
        <w:rPr>
          <w:rFonts w:cs="Arial"/>
          <w:sz w:val="18"/>
          <w:szCs w:val="18"/>
          <w:lang w:val="es-CL" w:eastAsia="es-CL"/>
        </w:rPr>
        <w:t xml:space="preserve"> 3 (</w:t>
      </w:r>
      <w:proofErr w:type="spellStart"/>
      <w:r w:rsidRPr="00996E91">
        <w:rPr>
          <w:rFonts w:cs="Arial"/>
          <w:sz w:val="18"/>
          <w:szCs w:val="18"/>
          <w:lang w:val="es-CL" w:eastAsia="es-CL"/>
        </w:rPr>
        <w:t>Interim</w:t>
      </w:r>
      <w:proofErr w:type="spellEnd"/>
      <w:r w:rsidRPr="00996E91">
        <w:rPr>
          <w:rFonts w:cs="Arial"/>
          <w:sz w:val="18"/>
          <w:szCs w:val="18"/>
          <w:lang w:val="es-CL" w:eastAsia="es-CL"/>
        </w:rPr>
        <w:t xml:space="preserve">) General Safety </w:t>
      </w:r>
      <w:proofErr w:type="spellStart"/>
      <w:r w:rsidRPr="00996E91">
        <w:rPr>
          <w:rFonts w:cs="Arial"/>
          <w:sz w:val="18"/>
          <w:szCs w:val="18"/>
          <w:lang w:val="es-CL" w:eastAsia="es-CL"/>
        </w:rPr>
        <w:t>Requirements</w:t>
      </w:r>
      <w:proofErr w:type="spellEnd"/>
      <w:r w:rsidRPr="00996E91">
        <w:rPr>
          <w:rFonts w:cs="Arial"/>
          <w:sz w:val="18"/>
          <w:szCs w:val="18"/>
          <w:lang w:val="es-CL" w:eastAsia="es-CL"/>
        </w:rPr>
        <w:t xml:space="preserve"> </w:t>
      </w:r>
      <w:proofErr w:type="spellStart"/>
      <w:r w:rsidRPr="00996E91">
        <w:rPr>
          <w:rFonts w:cs="Arial"/>
          <w:sz w:val="18"/>
          <w:szCs w:val="18"/>
          <w:lang w:val="es-CL" w:eastAsia="es-CL"/>
        </w:rPr>
        <w:t>Part</w:t>
      </w:r>
      <w:proofErr w:type="spellEnd"/>
      <w:r w:rsidRPr="00996E91">
        <w:rPr>
          <w:rFonts w:cs="Arial"/>
          <w:sz w:val="18"/>
          <w:szCs w:val="18"/>
          <w:lang w:val="es-CL" w:eastAsia="es-CL"/>
        </w:rPr>
        <w:t xml:space="preserve"> 3, (2011)</w:t>
      </w:r>
    </w:p>
    <w:p w14:paraId="4DCDA08A" w14:textId="6494B861" w:rsidR="004F4543" w:rsidRPr="00996E91" w:rsidRDefault="004F4543" w:rsidP="00D22CB8">
      <w:pPr>
        <w:overflowPunct/>
        <w:jc w:val="both"/>
        <w:textAlignment w:val="auto"/>
        <w:rPr>
          <w:caps/>
          <w:sz w:val="18"/>
          <w:szCs w:val="18"/>
          <w:lang w:val="es-CL"/>
        </w:rPr>
      </w:pPr>
    </w:p>
    <w:p w14:paraId="387250CF" w14:textId="77777777" w:rsidR="004F4543" w:rsidRPr="00996E91" w:rsidRDefault="004F4543" w:rsidP="00D22CB8">
      <w:pPr>
        <w:overflowPunct/>
        <w:jc w:val="both"/>
        <w:textAlignment w:val="auto"/>
        <w:rPr>
          <w:caps/>
          <w:sz w:val="18"/>
          <w:szCs w:val="18"/>
          <w:lang w:val="es-CL"/>
        </w:rPr>
      </w:pPr>
    </w:p>
    <w:p w14:paraId="175B9953" w14:textId="38166280" w:rsidR="00D22CB8" w:rsidRPr="00D22CB8" w:rsidRDefault="00D22CB8" w:rsidP="00D22CB8">
      <w:pPr>
        <w:overflowPunct/>
        <w:jc w:val="both"/>
        <w:textAlignment w:val="auto"/>
        <w:rPr>
          <w:rFonts w:cs="Arial"/>
          <w:caps/>
          <w:sz w:val="18"/>
          <w:szCs w:val="18"/>
          <w:lang w:val="es-CL" w:eastAsia="es-CL"/>
        </w:rPr>
      </w:pPr>
      <w:r w:rsidRPr="00D22CB8">
        <w:rPr>
          <w:caps/>
          <w:sz w:val="18"/>
          <w:szCs w:val="18"/>
          <w:lang w:val="es-CL"/>
        </w:rPr>
        <w:t>Ministerio Secretaría General de la Presidencia de la República,</w:t>
      </w:r>
      <w:r w:rsidRPr="00D22CB8">
        <w:rPr>
          <w:rFonts w:cs="Arial"/>
          <w:caps/>
          <w:sz w:val="18"/>
          <w:szCs w:val="18"/>
          <w:lang w:val="es-CL" w:eastAsia="es-CL"/>
        </w:rPr>
        <w:t xml:space="preserve"> </w:t>
      </w:r>
    </w:p>
    <w:p w14:paraId="2668251A" w14:textId="4CB1E627" w:rsidR="00D22CB8" w:rsidRPr="00D22CB8" w:rsidRDefault="00D22CB8" w:rsidP="00D22CB8">
      <w:pPr>
        <w:overflowPunct/>
        <w:jc w:val="both"/>
        <w:textAlignment w:val="auto"/>
        <w:rPr>
          <w:rFonts w:cs="Arial"/>
          <w:sz w:val="18"/>
          <w:szCs w:val="18"/>
          <w:lang w:val="es-CL" w:eastAsia="es-CL"/>
        </w:rPr>
      </w:pPr>
      <w:r w:rsidRPr="00D22CB8">
        <w:rPr>
          <w:rFonts w:cs="Arial"/>
          <w:sz w:val="18"/>
          <w:szCs w:val="18"/>
          <w:lang w:val="es-CL" w:eastAsia="es-CL"/>
        </w:rPr>
        <w:t>Norma Chilena de Emisión D.S.46/02: Descarga de Riles a Aguas Subterráneas</w:t>
      </w:r>
      <w:r w:rsidRPr="00D22CB8">
        <w:rPr>
          <w:sz w:val="18"/>
          <w:szCs w:val="18"/>
          <w:lang w:val="es-CL"/>
        </w:rPr>
        <w:t>, (2002).</w:t>
      </w:r>
    </w:p>
    <w:p w14:paraId="08745B58" w14:textId="77777777" w:rsidR="00D22CB8" w:rsidRPr="00D22CB8" w:rsidRDefault="00D22CB8" w:rsidP="001C1D16">
      <w:pPr>
        <w:pStyle w:val="Textoindependiente"/>
        <w:spacing w:line="240" w:lineRule="auto"/>
        <w:ind w:firstLine="0"/>
        <w:rPr>
          <w:lang w:val="es-CL"/>
        </w:rPr>
      </w:pPr>
    </w:p>
    <w:p w14:paraId="74458103" w14:textId="77777777" w:rsidR="00D22CB8" w:rsidRPr="00D22CB8" w:rsidRDefault="00D22CB8" w:rsidP="00D22CB8">
      <w:pPr>
        <w:overflowPunct/>
        <w:jc w:val="both"/>
        <w:textAlignment w:val="auto"/>
        <w:rPr>
          <w:caps/>
          <w:sz w:val="18"/>
          <w:szCs w:val="18"/>
          <w:lang w:val="es-CL"/>
        </w:rPr>
      </w:pPr>
      <w:r w:rsidRPr="00D22CB8">
        <w:rPr>
          <w:caps/>
          <w:sz w:val="18"/>
          <w:szCs w:val="18"/>
          <w:lang w:val="es-CL"/>
        </w:rPr>
        <w:t xml:space="preserve">Ministerio de Obras Públicas, </w:t>
      </w:r>
    </w:p>
    <w:p w14:paraId="5AA16A34" w14:textId="50E46128" w:rsidR="00D22CB8" w:rsidRPr="00D22CB8" w:rsidRDefault="00D22CB8" w:rsidP="00D22CB8">
      <w:pPr>
        <w:overflowPunct/>
        <w:jc w:val="both"/>
        <w:textAlignment w:val="auto"/>
        <w:rPr>
          <w:rFonts w:cs="Arial"/>
          <w:sz w:val="18"/>
          <w:szCs w:val="18"/>
          <w:lang w:val="es-CL" w:eastAsia="es-CL"/>
        </w:rPr>
      </w:pPr>
      <w:r w:rsidRPr="00D22CB8">
        <w:rPr>
          <w:rFonts w:cs="Arial"/>
          <w:sz w:val="18"/>
          <w:szCs w:val="18"/>
          <w:lang w:val="es-CL" w:eastAsia="es-CL"/>
        </w:rPr>
        <w:t>Norma Chilena de Emisión D.S.609/98: Descarga de Residuos Industriales Líquidos a Sistemas de Alcantarillado,</w:t>
      </w:r>
      <w:r w:rsidRPr="00D22CB8">
        <w:rPr>
          <w:sz w:val="18"/>
          <w:szCs w:val="18"/>
          <w:lang w:val="es-CL"/>
        </w:rPr>
        <w:t xml:space="preserve"> (1998).</w:t>
      </w:r>
    </w:p>
    <w:p w14:paraId="433FE0AE" w14:textId="77777777" w:rsidR="00F45EEE" w:rsidRPr="00D22CB8" w:rsidRDefault="00F45EEE" w:rsidP="001C1D16">
      <w:pPr>
        <w:pStyle w:val="Textoindependiente"/>
        <w:spacing w:line="240" w:lineRule="auto"/>
        <w:ind w:firstLine="0"/>
        <w:jc w:val="left"/>
        <w:rPr>
          <w:lang w:val="es-CL"/>
        </w:rPr>
      </w:pPr>
    </w:p>
    <w:sectPr w:rsidR="00F45EEE" w:rsidRPr="00D22CB8" w:rsidSect="00D73E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F169" w14:textId="77777777" w:rsidR="00C745DB" w:rsidRDefault="00C745DB">
      <w:r>
        <w:separator/>
      </w:r>
    </w:p>
  </w:endnote>
  <w:endnote w:type="continuationSeparator" w:id="0">
    <w:p w14:paraId="7BE00D38" w14:textId="77777777" w:rsidR="00C745DB" w:rsidRDefault="00C7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265079"/>
      <w:docPartObj>
        <w:docPartGallery w:val="Page Numbers (Bottom of Page)"/>
        <w:docPartUnique/>
      </w:docPartObj>
    </w:sdtPr>
    <w:sdtEndPr/>
    <w:sdtContent>
      <w:p w14:paraId="21ED8F77" w14:textId="37CC1ACB" w:rsidR="00D73E0E" w:rsidRDefault="00D73E0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33FE0C7" w14:textId="311F8993" w:rsidR="00E20E70" w:rsidRDefault="00E20E70">
    <w:pPr>
      <w:pStyle w:val="zyxClassification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8" w14:textId="77777777" w:rsidR="00E20E70" w:rsidRDefault="00E20E70">
    <w:pPr>
      <w:pStyle w:val="zyxClassification1"/>
    </w:pPr>
  </w:p>
  <w:p w14:paraId="433FE0C9" w14:textId="1A12A3B3" w:rsidR="00E20E70" w:rsidRPr="00037321" w:rsidRDefault="00ED0A99">
    <w:pPr>
      <w:pStyle w:val="zyxClassification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433FE0D8" w14:textId="77777777">
      <w:trPr>
        <w:cantSplit/>
      </w:trPr>
      <w:tc>
        <w:tcPr>
          <w:tcW w:w="4644" w:type="dxa"/>
        </w:tcPr>
        <w:p w14:paraId="433FE0D4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</w:p>
        <w:p w14:paraId="433FE0D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</w:p>
      </w:tc>
      <w:tc>
        <w:tcPr>
          <w:tcW w:w="5670" w:type="dxa"/>
          <w:tcMar>
            <w:right w:w="249" w:type="dxa"/>
          </w:tcMar>
        </w:tcPr>
        <w:p w14:paraId="433FE0D6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bookmarkStart w:id="1" w:name="DOC_bkmClassification2"/>
        </w:p>
        <w:bookmarkEnd w:id="1"/>
        <w:p w14:paraId="433FE0D7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p w14:paraId="433FE0D9" w14:textId="77777777" w:rsidR="00E20E70" w:rsidRDefault="00EC10FC">
    <w:bookmarkStart w:id="2" w:name="DOC_bkmFileName"/>
    <w:r>
      <w:rPr>
        <w:noProof/>
        <w:sz w:val="16"/>
      </w:rPr>
      <w:t>Example paper.docx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16BB" w14:textId="77777777" w:rsidR="00C745DB" w:rsidRDefault="00C745DB">
      <w:r>
        <w:t>___________________________________________________________________________</w:t>
      </w:r>
    </w:p>
  </w:footnote>
  <w:footnote w:type="continuationSeparator" w:id="0">
    <w:p w14:paraId="68DEECE1" w14:textId="77777777" w:rsidR="00C745DB" w:rsidRDefault="00C745DB">
      <w:r>
        <w:t>___________________________________________________________________________</w:t>
      </w:r>
    </w:p>
  </w:footnote>
  <w:footnote w:type="continuationNotice" w:id="1">
    <w:p w14:paraId="68604430" w14:textId="77777777" w:rsidR="00C745DB" w:rsidRDefault="00C74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0" w14:textId="47876D77" w:rsidR="00CF7AF3" w:rsidRDefault="00CF7AF3" w:rsidP="00CF7AF3">
    <w:pPr>
      <w:pStyle w:val="Runninghead"/>
    </w:pPr>
    <w:r>
      <w:tab/>
    </w:r>
    <w:r w:rsidR="00D73E0E">
      <w:t>ID</w:t>
    </w:r>
    <w:r>
      <w:t>-</w:t>
    </w:r>
    <w:r w:rsidR="004F4543">
      <w:t>112</w:t>
    </w:r>
  </w:p>
  <w:p w14:paraId="433FE0C3" w14:textId="77777777" w:rsidR="00E20E70" w:rsidRDefault="00E20E70">
    <w:pPr>
      <w:pStyle w:val="zyxClassification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5" w14:textId="4BD59BFF" w:rsidR="00037321" w:rsidRPr="009E1558" w:rsidRDefault="007B0D00" w:rsidP="007B0D00">
    <w:pPr>
      <w:pStyle w:val="Runninghead"/>
      <w:rPr>
        <w:color w:val="BFBFBF" w:themeColor="background1" w:themeShade="BF"/>
      </w:rPr>
    </w:pPr>
    <w:r>
      <w:t>MARCELO MENDOZA</w:t>
    </w:r>
    <w:r w:rsidR="00AC5A3A">
      <w:t xml:space="preserve"> and </w:t>
    </w:r>
    <w:r>
      <w:t>VIVIAN PEREIRA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E20E70" w:rsidRDefault="00E20E70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14:paraId="433FE0CC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bookmarkStart w:id="0" w:name="DOC_bkmClassification1"/>
        </w:p>
        <w:bookmarkEnd w:id="0"/>
        <w:p w14:paraId="433FE0CD" w14:textId="77777777" w:rsidR="00E20E70" w:rsidRDefault="00E20E70">
          <w:pPr>
            <w:pStyle w:val="zyxConfid2Red"/>
          </w:pPr>
        </w:p>
      </w:tc>
    </w:tr>
    <w:tr w:rsidR="00E20E70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E20E70" w:rsidRDefault="00E20E70">
          <w:pPr>
            <w:pStyle w:val="Ttulo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E20E70" w:rsidRDefault="00E20E70">
          <w:pPr>
            <w:pStyle w:val="Ttulo9"/>
            <w:spacing w:before="0" w:after="10"/>
          </w:pPr>
        </w:p>
      </w:tc>
    </w:tr>
  </w:tbl>
  <w:p w14:paraId="433FE0D3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70"/>
    <w:multiLevelType w:val="hybridMultilevel"/>
    <w:tmpl w:val="5240D53E"/>
    <w:lvl w:ilvl="0" w:tplc="4FCE2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57A1"/>
    <w:multiLevelType w:val="multilevel"/>
    <w:tmpl w:val="262AA1A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291C"/>
    <w:multiLevelType w:val="multilevel"/>
    <w:tmpl w:val="81D8D8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tulo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tulo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tulo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4" w15:restartNumberingAfterBreak="0">
    <w:nsid w:val="740C4F8C"/>
    <w:multiLevelType w:val="hybridMultilevel"/>
    <w:tmpl w:val="38A437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3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Ttulo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tulo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3"/>
  </w:num>
  <w:num w:numId="12">
    <w:abstractNumId w:val="13"/>
  </w:num>
  <w:num w:numId="13">
    <w:abstractNumId w:val="13"/>
  </w:num>
  <w:num w:numId="14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Ttulo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Ttulo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3"/>
  </w:num>
  <w:num w:numId="22">
    <w:abstractNumId w:val="4"/>
  </w:num>
  <w:num w:numId="23">
    <w:abstractNumId w:val="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8"/>
  </w:num>
  <w:num w:numId="31">
    <w:abstractNumId w:val="8"/>
  </w:num>
  <w:num w:numId="32">
    <w:abstractNumId w:val="13"/>
  </w:num>
  <w:num w:numId="33">
    <w:abstractNumId w:val="14"/>
  </w:num>
  <w:num w:numId="34">
    <w:abstractNumId w:val="1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569A"/>
    <w:rsid w:val="00037321"/>
    <w:rsid w:val="000377A5"/>
    <w:rsid w:val="00043856"/>
    <w:rsid w:val="00047679"/>
    <w:rsid w:val="00052ABE"/>
    <w:rsid w:val="000632EB"/>
    <w:rsid w:val="0007300B"/>
    <w:rsid w:val="000A0299"/>
    <w:rsid w:val="000A2990"/>
    <w:rsid w:val="000C77A9"/>
    <w:rsid w:val="000F2D85"/>
    <w:rsid w:val="000F7E94"/>
    <w:rsid w:val="001119D6"/>
    <w:rsid w:val="001308F2"/>
    <w:rsid w:val="001313E8"/>
    <w:rsid w:val="00183BC4"/>
    <w:rsid w:val="00185A51"/>
    <w:rsid w:val="00185B80"/>
    <w:rsid w:val="001C1D16"/>
    <w:rsid w:val="001C58F5"/>
    <w:rsid w:val="001D2243"/>
    <w:rsid w:val="001D5CEE"/>
    <w:rsid w:val="002071D9"/>
    <w:rsid w:val="00256822"/>
    <w:rsid w:val="0026525A"/>
    <w:rsid w:val="00274790"/>
    <w:rsid w:val="00285755"/>
    <w:rsid w:val="002A1F9C"/>
    <w:rsid w:val="002B29C2"/>
    <w:rsid w:val="002C4208"/>
    <w:rsid w:val="00305054"/>
    <w:rsid w:val="00352DE1"/>
    <w:rsid w:val="003728E6"/>
    <w:rsid w:val="00372960"/>
    <w:rsid w:val="003A10B6"/>
    <w:rsid w:val="003B3FAE"/>
    <w:rsid w:val="003B5E0E"/>
    <w:rsid w:val="003B7465"/>
    <w:rsid w:val="003C2B87"/>
    <w:rsid w:val="003D255A"/>
    <w:rsid w:val="003D784F"/>
    <w:rsid w:val="00416949"/>
    <w:rsid w:val="004366C8"/>
    <w:rsid w:val="004370D8"/>
    <w:rsid w:val="00472C43"/>
    <w:rsid w:val="00494D94"/>
    <w:rsid w:val="004D211E"/>
    <w:rsid w:val="004F4543"/>
    <w:rsid w:val="005347EE"/>
    <w:rsid w:val="00537496"/>
    <w:rsid w:val="00540726"/>
    <w:rsid w:val="00544ED3"/>
    <w:rsid w:val="0058477B"/>
    <w:rsid w:val="0058654F"/>
    <w:rsid w:val="00596ACA"/>
    <w:rsid w:val="005E39BC"/>
    <w:rsid w:val="005E6C47"/>
    <w:rsid w:val="005F00A0"/>
    <w:rsid w:val="006040B9"/>
    <w:rsid w:val="0061345B"/>
    <w:rsid w:val="00642678"/>
    <w:rsid w:val="00647F33"/>
    <w:rsid w:val="00662532"/>
    <w:rsid w:val="006B2274"/>
    <w:rsid w:val="00717C6F"/>
    <w:rsid w:val="007445DA"/>
    <w:rsid w:val="007B0D00"/>
    <w:rsid w:val="007B4FD1"/>
    <w:rsid w:val="00802381"/>
    <w:rsid w:val="00883848"/>
    <w:rsid w:val="00897ED5"/>
    <w:rsid w:val="008B6BB9"/>
    <w:rsid w:val="008D507F"/>
    <w:rsid w:val="00911543"/>
    <w:rsid w:val="00947596"/>
    <w:rsid w:val="009519C9"/>
    <w:rsid w:val="00987E91"/>
    <w:rsid w:val="00996E91"/>
    <w:rsid w:val="009D0B86"/>
    <w:rsid w:val="009E0C13"/>
    <w:rsid w:val="009E0D5B"/>
    <w:rsid w:val="009E1558"/>
    <w:rsid w:val="00A16D3F"/>
    <w:rsid w:val="00A42898"/>
    <w:rsid w:val="00A45996"/>
    <w:rsid w:val="00AA26A5"/>
    <w:rsid w:val="00AA7EFF"/>
    <w:rsid w:val="00AB6ACE"/>
    <w:rsid w:val="00AC5A3A"/>
    <w:rsid w:val="00B35A2C"/>
    <w:rsid w:val="00B4357E"/>
    <w:rsid w:val="00B71E7B"/>
    <w:rsid w:val="00B82FA5"/>
    <w:rsid w:val="00B866F9"/>
    <w:rsid w:val="00BB0990"/>
    <w:rsid w:val="00BD1400"/>
    <w:rsid w:val="00BD1F45"/>
    <w:rsid w:val="00BD605C"/>
    <w:rsid w:val="00BE2A76"/>
    <w:rsid w:val="00C55E03"/>
    <w:rsid w:val="00C618D2"/>
    <w:rsid w:val="00C65E60"/>
    <w:rsid w:val="00C745DB"/>
    <w:rsid w:val="00C82CDF"/>
    <w:rsid w:val="00CE5A52"/>
    <w:rsid w:val="00CF5CE6"/>
    <w:rsid w:val="00CF7AF3"/>
    <w:rsid w:val="00D22CB8"/>
    <w:rsid w:val="00D26ADA"/>
    <w:rsid w:val="00D35A78"/>
    <w:rsid w:val="00D555A1"/>
    <w:rsid w:val="00D64DC2"/>
    <w:rsid w:val="00D70B56"/>
    <w:rsid w:val="00D73E0E"/>
    <w:rsid w:val="00DA46CA"/>
    <w:rsid w:val="00DF21EB"/>
    <w:rsid w:val="00E20E70"/>
    <w:rsid w:val="00E25B68"/>
    <w:rsid w:val="00E44481"/>
    <w:rsid w:val="00E84003"/>
    <w:rsid w:val="00EC10FC"/>
    <w:rsid w:val="00ED0A99"/>
    <w:rsid w:val="00ED7906"/>
    <w:rsid w:val="00EE0041"/>
    <w:rsid w:val="00EE29B9"/>
    <w:rsid w:val="00F004EE"/>
    <w:rsid w:val="00F175BD"/>
    <w:rsid w:val="00F317CC"/>
    <w:rsid w:val="00F42E23"/>
    <w:rsid w:val="00F45EEE"/>
    <w:rsid w:val="00F51E9C"/>
    <w:rsid w:val="00F523CA"/>
    <w:rsid w:val="00F74A9D"/>
    <w:rsid w:val="00F83AD6"/>
    <w:rsid w:val="00F90698"/>
    <w:rsid w:val="00F9185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FE039"/>
  <w15:docId w15:val="{11E613AA-FBCC-4207-88B2-F2EE584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Descripci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link w:val="EncabezadoCar"/>
    <w:uiPriority w:val="9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22"/>
      </w:numPr>
    </w:pPr>
  </w:style>
  <w:style w:type="paragraph" w:styleId="Ttu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paragraph" w:customStyle="1" w:styleId="Default">
    <w:name w:val="Default"/>
    <w:rsid w:val="007B0D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paragraph" w:customStyle="1" w:styleId="Normal1">
    <w:name w:val="Normal1"/>
    <w:rsid w:val="004D211E"/>
    <w:pPr>
      <w:widowControl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locked/>
    <w:rsid w:val="00D22CB8"/>
    <w:pPr>
      <w:overflowPunct/>
      <w:autoSpaceDE/>
      <w:autoSpaceDN/>
      <w:adjustRightInd/>
      <w:ind w:left="708"/>
      <w:textAlignment w:val="auto"/>
    </w:pPr>
    <w:rPr>
      <w:rFonts w:eastAsia="Calibri"/>
      <w:kern w:val="32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3E0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0cca68-9885-4579-a121-0ff71e341cd0">4HWPYYT6XAN2-2121337104-10298</_dlc_DocId>
    <_dlc_DocIdUrl xmlns="9a0cca68-9885-4579-a121-0ff71e341cd0">
      <Url>https://nsns-new.sg.iaea.org/meetings/_layouts/15/DocIdRedir.aspx?ID=4HWPYYT6XAN2-2121337104-10298</Url>
      <Description>4HWPYYT6XAN2-2121337104-10298</Description>
    </_dlc_DocIdUrl>
    <_Version xmlns="http://schemas.microsoft.com/sharepoint/v3/fields" xsi:nil="true"/>
    <_dlc_DocIdPersistId xmlns="9a0cca68-9885-4579-a121-0ff71e341cd0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08C223-214B-47A8-9BCF-CB1A2D24D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  <ds:schemaRef ds:uri="9a0cca68-9885-4579-a121-0ff71e341cd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DE80A72-AF42-44B0-977C-4B86DAC4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381A5A-286A-4FAC-93CF-722742C62A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1315</Words>
  <Characters>7235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marcelo</cp:lastModifiedBy>
  <cp:revision>22</cp:revision>
  <cp:lastPrinted>2015-12-01T10:27:00Z</cp:lastPrinted>
  <dcterms:created xsi:type="dcterms:W3CDTF">2021-06-28T18:04:00Z</dcterms:created>
  <dcterms:modified xsi:type="dcterms:W3CDTF">2021-09-27T16:03:00Z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624d8e63-e3f6-4681-83c2-57c583c02431</vt:lpwstr>
  </property>
</Properties>
</file>