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B83FC" w14:textId="77777777" w:rsidR="003B5E0E" w:rsidRPr="0095279A" w:rsidRDefault="00291F90" w:rsidP="00537496">
      <w:pPr>
        <w:pStyle w:val="Paantrat"/>
      </w:pPr>
      <w:r w:rsidRPr="0095279A">
        <w:rPr>
          <w:rFonts w:ascii="Times New Roman Bold" w:hAnsi="Times New Roman Bold" w:cs="Times New Roman"/>
          <w:i w:val="0"/>
          <w:caps/>
          <w:szCs w:val="20"/>
        </w:rPr>
        <w:t>DECOMISSIONING OF THE RADON TYPE RADIOACTIVE WASTE STORAGE FACILITY IN LITHUANIA</w:t>
      </w:r>
    </w:p>
    <w:p w14:paraId="3CB345D8" w14:textId="77777777" w:rsidR="00802381" w:rsidRPr="0095279A" w:rsidRDefault="00802381" w:rsidP="00537496">
      <w:pPr>
        <w:pStyle w:val="Authornameandaffiliation"/>
      </w:pPr>
    </w:p>
    <w:p w14:paraId="448B4D81" w14:textId="77777777" w:rsidR="00291F90" w:rsidRPr="0095279A" w:rsidRDefault="00291F90" w:rsidP="00291F90">
      <w:pPr>
        <w:pStyle w:val="Authornameandaffiliation"/>
      </w:pPr>
      <w:r w:rsidRPr="0095279A">
        <w:t>A. ŠIMONIS</w:t>
      </w:r>
    </w:p>
    <w:p w14:paraId="2F292621" w14:textId="77777777" w:rsidR="00291F90" w:rsidRPr="0095279A" w:rsidRDefault="00291F90" w:rsidP="00291F90">
      <w:pPr>
        <w:pStyle w:val="Authornameandaffiliation"/>
      </w:pPr>
      <w:r w:rsidRPr="0095279A">
        <w:t>Lithuanian Energy Institute</w:t>
      </w:r>
    </w:p>
    <w:p w14:paraId="58A898C7" w14:textId="77777777" w:rsidR="00291F90" w:rsidRPr="0095279A" w:rsidRDefault="00291F90" w:rsidP="00291F90">
      <w:pPr>
        <w:pStyle w:val="Authornameandaffiliation"/>
      </w:pPr>
      <w:r w:rsidRPr="0095279A">
        <w:t>Kaunas, Lithuania</w:t>
      </w:r>
    </w:p>
    <w:p w14:paraId="56F9ED7F" w14:textId="77777777" w:rsidR="00291F90" w:rsidRPr="0095279A" w:rsidRDefault="00291F90" w:rsidP="00291F90">
      <w:pPr>
        <w:pStyle w:val="Authornameandaffiliation"/>
      </w:pPr>
      <w:r w:rsidRPr="0095279A">
        <w:t>Email: Audrius.Simonis@lei.lt</w:t>
      </w:r>
    </w:p>
    <w:p w14:paraId="4D190DDB" w14:textId="77777777" w:rsidR="00291F90" w:rsidRPr="0095279A" w:rsidRDefault="00291F90" w:rsidP="00291F90">
      <w:pPr>
        <w:pStyle w:val="Authornameandaffiliation"/>
      </w:pPr>
    </w:p>
    <w:p w14:paraId="553579E7" w14:textId="77777777" w:rsidR="00291F90" w:rsidRPr="0095279A" w:rsidRDefault="00291F90" w:rsidP="00291F90">
      <w:pPr>
        <w:pStyle w:val="Authornameandaffiliation"/>
      </w:pPr>
      <w:r w:rsidRPr="0095279A">
        <w:t>G. POŠKAS</w:t>
      </w:r>
    </w:p>
    <w:p w14:paraId="7F92699B" w14:textId="77777777" w:rsidR="00291F90" w:rsidRPr="0095279A" w:rsidRDefault="00291F90" w:rsidP="00291F90">
      <w:pPr>
        <w:pStyle w:val="Authornameandaffiliation"/>
      </w:pPr>
      <w:r w:rsidRPr="0095279A">
        <w:t>Lithuanian Energy Institute</w:t>
      </w:r>
    </w:p>
    <w:p w14:paraId="2EEA6595" w14:textId="77777777" w:rsidR="00291F90" w:rsidRPr="0095279A" w:rsidRDefault="00291F90" w:rsidP="00291F90">
      <w:pPr>
        <w:pStyle w:val="Authornameandaffiliation"/>
      </w:pPr>
      <w:r w:rsidRPr="0095279A">
        <w:t>Kaunas, Lithuania</w:t>
      </w:r>
    </w:p>
    <w:p w14:paraId="7147CBC9" w14:textId="77777777" w:rsidR="00291F90" w:rsidRPr="0095279A" w:rsidRDefault="00291F90" w:rsidP="00291F90">
      <w:pPr>
        <w:pStyle w:val="Authornameandaffiliation"/>
      </w:pPr>
    </w:p>
    <w:p w14:paraId="6A61C2DF" w14:textId="77777777" w:rsidR="00291F90" w:rsidRPr="0095279A" w:rsidRDefault="00291F90" w:rsidP="00291F90">
      <w:pPr>
        <w:pStyle w:val="Authornameandaffiliation"/>
      </w:pPr>
      <w:r w:rsidRPr="0095279A">
        <w:t>P. POŠKAS</w:t>
      </w:r>
    </w:p>
    <w:p w14:paraId="437DD1BC" w14:textId="77777777" w:rsidR="00291F90" w:rsidRPr="0095279A" w:rsidRDefault="00291F90" w:rsidP="00291F90">
      <w:pPr>
        <w:pStyle w:val="Authornameandaffiliation"/>
      </w:pPr>
      <w:r w:rsidRPr="0095279A">
        <w:t>Lithuanian Energy Institute</w:t>
      </w:r>
    </w:p>
    <w:p w14:paraId="4CE3E247" w14:textId="77777777" w:rsidR="00291F90" w:rsidRPr="0095279A" w:rsidRDefault="00291F90" w:rsidP="00291F90">
      <w:pPr>
        <w:pStyle w:val="Authornameandaffiliation"/>
      </w:pPr>
      <w:r w:rsidRPr="0095279A">
        <w:t>Kaunas, Lithuania</w:t>
      </w:r>
    </w:p>
    <w:p w14:paraId="5D6C947C" w14:textId="77777777" w:rsidR="00291F90" w:rsidRPr="0095279A" w:rsidRDefault="00291F90" w:rsidP="00291F90">
      <w:pPr>
        <w:pStyle w:val="Authornameandaffiliation"/>
      </w:pPr>
    </w:p>
    <w:p w14:paraId="298938F5" w14:textId="77777777" w:rsidR="00291F90" w:rsidRPr="0095279A" w:rsidRDefault="00291F90" w:rsidP="00291F90">
      <w:pPr>
        <w:pStyle w:val="Authornameandaffiliation"/>
      </w:pPr>
      <w:r w:rsidRPr="0095279A">
        <w:t>G. KLEVINSKAS</w:t>
      </w:r>
    </w:p>
    <w:p w14:paraId="105AD5AA" w14:textId="77777777" w:rsidR="00291F90" w:rsidRPr="0095279A" w:rsidRDefault="00291F90" w:rsidP="00291F90">
      <w:pPr>
        <w:pStyle w:val="Authornameandaffiliation"/>
      </w:pPr>
      <w:r w:rsidRPr="0095279A">
        <w:t xml:space="preserve">SE </w:t>
      </w:r>
      <w:proofErr w:type="spellStart"/>
      <w:r w:rsidRPr="0095279A">
        <w:t>Ignalina</w:t>
      </w:r>
      <w:proofErr w:type="spellEnd"/>
      <w:r w:rsidRPr="0095279A">
        <w:t xml:space="preserve"> NPP</w:t>
      </w:r>
    </w:p>
    <w:p w14:paraId="07C39940" w14:textId="781FEED3" w:rsidR="00FF386F" w:rsidRPr="0095279A" w:rsidRDefault="00291F90" w:rsidP="00291F90">
      <w:pPr>
        <w:pStyle w:val="Authornameandaffiliation"/>
      </w:pPr>
      <w:proofErr w:type="spellStart"/>
      <w:r w:rsidRPr="0095279A">
        <w:t>Vi</w:t>
      </w:r>
      <w:r w:rsidR="00683FA4">
        <w:t>saginas</w:t>
      </w:r>
      <w:proofErr w:type="spellEnd"/>
      <w:r w:rsidRPr="0095279A">
        <w:t>, Lithuania</w:t>
      </w:r>
    </w:p>
    <w:p w14:paraId="75DAF274" w14:textId="77777777" w:rsidR="00FF386F" w:rsidRPr="0095279A" w:rsidRDefault="00FF386F" w:rsidP="00537496">
      <w:pPr>
        <w:pStyle w:val="Authornameandaffiliation"/>
      </w:pPr>
    </w:p>
    <w:p w14:paraId="6B9453E9" w14:textId="77777777" w:rsidR="00647F33" w:rsidRPr="0095279A" w:rsidRDefault="00647F33" w:rsidP="00537496">
      <w:pPr>
        <w:pStyle w:val="Authornameandaffiliation"/>
        <w:rPr>
          <w:b/>
        </w:rPr>
      </w:pPr>
      <w:r w:rsidRPr="0095279A">
        <w:rPr>
          <w:b/>
        </w:rPr>
        <w:t>Abstract</w:t>
      </w:r>
    </w:p>
    <w:p w14:paraId="3463F094" w14:textId="77777777" w:rsidR="00647F33" w:rsidRPr="0095279A" w:rsidRDefault="00647F33" w:rsidP="00537496">
      <w:pPr>
        <w:pStyle w:val="Authornameandaffiliation"/>
      </w:pPr>
    </w:p>
    <w:p w14:paraId="79113CFF" w14:textId="468F0782" w:rsidR="00647F33" w:rsidRPr="0095279A" w:rsidRDefault="00291F90" w:rsidP="0011795C">
      <w:pPr>
        <w:pStyle w:val="Abstracttext"/>
        <w:jc w:val="both"/>
      </w:pPr>
      <w:proofErr w:type="spellStart"/>
      <w:r w:rsidRPr="0095279A">
        <w:t>Mai</w:t>
      </w:r>
      <w:r w:rsidR="0095279A">
        <w:t>š</w:t>
      </w:r>
      <w:r w:rsidRPr="0095279A">
        <w:t>iagala</w:t>
      </w:r>
      <w:proofErr w:type="spellEnd"/>
      <w:r w:rsidRPr="0095279A">
        <w:t xml:space="preserve"> Radioactive Waste Storage Facility (MRWSF) in Lithuania is a Radon type disposal facility that had been in operation from 1963 till 1988 and was closed in 1989. It consists of a subsurface concrete vault with an overall volume of about 200 m</w:t>
      </w:r>
      <w:r w:rsidRPr="003F4543">
        <w:rPr>
          <w:vertAlign w:val="superscript"/>
        </w:rPr>
        <w:t>3</w:t>
      </w:r>
      <w:r w:rsidRPr="0095279A">
        <w:t xml:space="preserve">. The vault was filled to about 60 % with legacy radioactive waste </w:t>
      </w:r>
      <w:r w:rsidR="00B36404">
        <w:t>(</w:t>
      </w:r>
      <w:r w:rsidRPr="0095279A">
        <w:t>(RW), ~114 m</w:t>
      </w:r>
      <w:r w:rsidRPr="003F4543">
        <w:rPr>
          <w:vertAlign w:val="superscript"/>
        </w:rPr>
        <w:t>3</w:t>
      </w:r>
      <w:r w:rsidRPr="0095279A">
        <w:t xml:space="preserve">) generated at industrial, medical, </w:t>
      </w:r>
      <w:r w:rsidR="00B36404" w:rsidRPr="0095279A">
        <w:t>military,</w:t>
      </w:r>
      <w:r w:rsidRPr="0095279A">
        <w:t xml:space="preserve"> and scientific research institutions. The RW was </w:t>
      </w:r>
      <w:r w:rsidR="005F2199" w:rsidRPr="0095279A">
        <w:t xml:space="preserve">concrete </w:t>
      </w:r>
      <w:r w:rsidRPr="0095279A">
        <w:t xml:space="preserve">grouted layer by layer inside the vault cells. Since 2002 it has been supervised by the SE Radioactive Waste Management Agency (RWMA) established in 2001 to deal with RW disposal. In 2019, after reorganization by merging RWMA to SE </w:t>
      </w:r>
      <w:proofErr w:type="spellStart"/>
      <w:r w:rsidRPr="0095279A">
        <w:t>Ignalina</w:t>
      </w:r>
      <w:proofErr w:type="spellEnd"/>
      <w:r w:rsidRPr="0095279A">
        <w:t xml:space="preserve"> NPP</w:t>
      </w:r>
      <w:r w:rsidR="005F2199" w:rsidRPr="0095279A">
        <w:t>,</w:t>
      </w:r>
      <w:r w:rsidRPr="0095279A">
        <w:t xml:space="preserve"> the supervision of MRWSF was transferred to SE </w:t>
      </w:r>
      <w:proofErr w:type="spellStart"/>
      <w:r w:rsidRPr="0095279A">
        <w:t>Ignalina</w:t>
      </w:r>
      <w:proofErr w:type="spellEnd"/>
      <w:r w:rsidRPr="0095279A">
        <w:t xml:space="preserve"> NPP which is also is charge of MRWSF decommissioning. In 2016 the decision was taken to retrieve </w:t>
      </w:r>
      <w:r w:rsidR="0095279A" w:rsidRPr="0095279A">
        <w:t xml:space="preserve">the </w:t>
      </w:r>
      <w:r w:rsidR="00A243FA" w:rsidRPr="00C31B98">
        <w:t xml:space="preserve">RW from MRWSF and transport it to </w:t>
      </w:r>
      <w:proofErr w:type="spellStart"/>
      <w:r w:rsidR="00A243FA" w:rsidRPr="00C31B98">
        <w:t>Ignalina</w:t>
      </w:r>
      <w:proofErr w:type="spellEnd"/>
      <w:r w:rsidR="00A243FA" w:rsidRPr="00C31B98">
        <w:t xml:space="preserve"> NPP for further management. The site of MRWSF shall be remediated and released for unrestricted use. In the paper, a detailed description of MRWSF and the waste loaded in the vault is provided. The selection of the decommissioning strategy based on the MCDA analysis is described. The auxiliary systems designed in the Demolition Project for the retrieval and transport of RW to </w:t>
      </w:r>
      <w:proofErr w:type="spellStart"/>
      <w:r w:rsidR="00A243FA" w:rsidRPr="00C31B98">
        <w:t>Ignalina</w:t>
      </w:r>
      <w:proofErr w:type="spellEnd"/>
      <w:r w:rsidR="00A243FA" w:rsidRPr="00C31B98">
        <w:t xml:space="preserve"> NPP are analy</w:t>
      </w:r>
      <w:r w:rsidR="0095279A">
        <w:t>z</w:t>
      </w:r>
      <w:r w:rsidR="00A243FA" w:rsidRPr="00C31B98">
        <w:t>ed. Main safety issues analy</w:t>
      </w:r>
      <w:r w:rsidR="00A60295">
        <w:t>z</w:t>
      </w:r>
      <w:r w:rsidR="005F2199" w:rsidRPr="0095279A">
        <w:t>ed</w:t>
      </w:r>
      <w:r w:rsidR="00A243FA" w:rsidRPr="00C31B98">
        <w:t xml:space="preserve"> in the Safety analysis report are highlighted.</w:t>
      </w:r>
    </w:p>
    <w:p w14:paraId="255DFDAC" w14:textId="77777777" w:rsidR="00647F33" w:rsidRPr="00C31B98" w:rsidRDefault="00A243FA" w:rsidP="00537496">
      <w:pPr>
        <w:pStyle w:val="Antrat2"/>
        <w:numPr>
          <w:ilvl w:val="1"/>
          <w:numId w:val="10"/>
        </w:numPr>
        <w:rPr>
          <w:lang w:val="en-US"/>
        </w:rPr>
      </w:pPr>
      <w:r w:rsidRPr="00C31B98">
        <w:rPr>
          <w:lang w:val="en-US"/>
        </w:rPr>
        <w:t>INTRODUCTION</w:t>
      </w:r>
    </w:p>
    <w:p w14:paraId="21D96CDA" w14:textId="1CBC318E" w:rsidR="002D0614" w:rsidRPr="00C31B98" w:rsidRDefault="00A243FA" w:rsidP="00445465">
      <w:pPr>
        <w:pStyle w:val="Pagrindinistekstas"/>
        <w:rPr>
          <w:lang w:val="en-US"/>
        </w:rPr>
      </w:pPr>
      <w:proofErr w:type="spellStart"/>
      <w:r w:rsidRPr="00C31B98">
        <w:rPr>
          <w:lang w:val="en-US"/>
        </w:rPr>
        <w:t>Maišiagala</w:t>
      </w:r>
      <w:proofErr w:type="spellEnd"/>
      <w:r w:rsidRPr="00C31B98">
        <w:rPr>
          <w:lang w:val="en-US"/>
        </w:rPr>
        <w:t xml:space="preserve"> Radioactive Waste Storage Facility (MRWSF) is a Radon type disposal facility that had been in operation from 1963 till 1988 and was closed in 1989. MRWSF is located in </w:t>
      </w:r>
      <w:proofErr w:type="spellStart"/>
      <w:r w:rsidRPr="00C31B98">
        <w:rPr>
          <w:lang w:val="en-US"/>
        </w:rPr>
        <w:t>Bartkuškis</w:t>
      </w:r>
      <w:proofErr w:type="spellEnd"/>
      <w:r w:rsidRPr="00C31B98">
        <w:rPr>
          <w:lang w:val="en-US"/>
        </w:rPr>
        <w:t xml:space="preserve"> forest of </w:t>
      </w:r>
      <w:proofErr w:type="spellStart"/>
      <w:r w:rsidRPr="00C31B98">
        <w:rPr>
          <w:lang w:val="en-US"/>
        </w:rPr>
        <w:t>Žalioji</w:t>
      </w:r>
      <w:proofErr w:type="spellEnd"/>
      <w:r w:rsidRPr="00C31B98">
        <w:rPr>
          <w:lang w:val="en-US"/>
        </w:rPr>
        <w:t xml:space="preserve"> forestry, </w:t>
      </w:r>
      <w:proofErr w:type="spellStart"/>
      <w:r w:rsidRPr="00C31B98">
        <w:rPr>
          <w:lang w:val="en-US"/>
        </w:rPr>
        <w:t>Širvintos</w:t>
      </w:r>
      <w:proofErr w:type="spellEnd"/>
      <w:r w:rsidRPr="00C31B98">
        <w:rPr>
          <w:lang w:val="en-US"/>
        </w:rPr>
        <w:t xml:space="preserve"> district, at the distance of 9 km from </w:t>
      </w:r>
      <w:proofErr w:type="spellStart"/>
      <w:r w:rsidRPr="00C31B98">
        <w:rPr>
          <w:lang w:val="en-US"/>
        </w:rPr>
        <w:t>Maišiagala</w:t>
      </w:r>
      <w:proofErr w:type="spellEnd"/>
      <w:r w:rsidRPr="00C31B98">
        <w:rPr>
          <w:lang w:val="en-US"/>
        </w:rPr>
        <w:t xml:space="preserve"> to the northeast, and 40 km from Vilnius. The area of MRWSF territory is 2.7 ha. In this territory there are </w:t>
      </w:r>
      <w:r w:rsidR="00B36404">
        <w:rPr>
          <w:lang w:val="en-US"/>
        </w:rPr>
        <w:t xml:space="preserve">following facilities erected: </w:t>
      </w:r>
      <w:r w:rsidR="0095279A">
        <w:rPr>
          <w:lang w:val="en-US"/>
        </w:rPr>
        <w:t>an</w:t>
      </w:r>
      <w:r w:rsidRPr="00C31B98">
        <w:rPr>
          <w:lang w:val="en-US"/>
        </w:rPr>
        <w:t xml:space="preserve"> administrative building, </w:t>
      </w:r>
      <w:r w:rsidR="0095279A">
        <w:rPr>
          <w:lang w:val="en-US"/>
        </w:rPr>
        <w:t>a</w:t>
      </w:r>
      <w:r w:rsidRPr="00C31B98">
        <w:rPr>
          <w:lang w:val="en-US"/>
        </w:rPr>
        <w:t xml:space="preserve"> garage, </w:t>
      </w:r>
      <w:r w:rsidR="0095279A">
        <w:rPr>
          <w:lang w:val="en-US"/>
        </w:rPr>
        <w:t>a</w:t>
      </w:r>
      <w:r w:rsidRPr="00C31B98">
        <w:rPr>
          <w:lang w:val="en-US"/>
        </w:rPr>
        <w:t xml:space="preserve"> former decontamination building, </w:t>
      </w:r>
      <w:r w:rsidR="0095279A">
        <w:rPr>
          <w:lang w:val="en-US"/>
        </w:rPr>
        <w:t>a</w:t>
      </w:r>
      <w:r w:rsidRPr="00C31B98">
        <w:rPr>
          <w:lang w:val="en-US"/>
        </w:rPr>
        <w:t xml:space="preserve"> liquid radioactive waste</w:t>
      </w:r>
      <w:r w:rsidR="00A06EA7">
        <w:rPr>
          <w:lang w:val="en-US"/>
        </w:rPr>
        <w:t xml:space="preserve"> tank</w:t>
      </w:r>
      <w:r w:rsidRPr="00C31B98">
        <w:rPr>
          <w:lang w:val="en-US"/>
        </w:rPr>
        <w:t xml:space="preserve"> and the vault for solid waste. </w:t>
      </w:r>
      <w:r w:rsidR="0095279A">
        <w:rPr>
          <w:lang w:val="en-US"/>
        </w:rPr>
        <w:t xml:space="preserve">There is also </w:t>
      </w:r>
      <w:r w:rsidR="00B36404">
        <w:rPr>
          <w:lang w:val="en-US"/>
        </w:rPr>
        <w:t>so called ,,</w:t>
      </w:r>
      <w:r w:rsidR="0095279A">
        <w:rPr>
          <w:lang w:val="en-US"/>
        </w:rPr>
        <w:t>area B</w:t>
      </w:r>
      <w:r w:rsidR="00B36404">
        <w:rPr>
          <w:lang w:val="en-US"/>
        </w:rPr>
        <w:t>”</w:t>
      </w:r>
      <w:r w:rsidR="0095279A">
        <w:rPr>
          <w:lang w:val="en-US"/>
        </w:rPr>
        <w:t xml:space="preserve"> that is an area of several square meters contaminated with </w:t>
      </w:r>
      <w:r w:rsidR="00A60295">
        <w:rPr>
          <w:lang w:val="en-US"/>
        </w:rPr>
        <w:t>Ra-226 salts.</w:t>
      </w:r>
      <w:r w:rsidR="0095279A">
        <w:rPr>
          <w:lang w:val="en-US"/>
        </w:rPr>
        <w:t xml:space="preserve"> </w:t>
      </w:r>
    </w:p>
    <w:p w14:paraId="2D31B7F8" w14:textId="70DC5318" w:rsidR="00291F90" w:rsidRPr="00C31B98" w:rsidRDefault="00A243FA" w:rsidP="00432920">
      <w:pPr>
        <w:pStyle w:val="Pagrindinistekstas"/>
        <w:rPr>
          <w:lang w:val="en-US"/>
        </w:rPr>
      </w:pPr>
      <w:r w:rsidRPr="00C31B98">
        <w:rPr>
          <w:lang w:val="en-US"/>
        </w:rPr>
        <w:t xml:space="preserve">The storage facility consists of </w:t>
      </w:r>
      <w:r w:rsidR="00A60295">
        <w:rPr>
          <w:lang w:val="en-US"/>
        </w:rPr>
        <w:t xml:space="preserve">the </w:t>
      </w:r>
      <w:r w:rsidRPr="00C31B98">
        <w:rPr>
          <w:lang w:val="en-US"/>
        </w:rPr>
        <w:t>rectangular monolith concrete vault with internal dimensions 5 x 15 x 3 m (W x L x D). The overall volume is about 200 m</w:t>
      </w:r>
      <w:r w:rsidRPr="00C31B98">
        <w:rPr>
          <w:vertAlign w:val="superscript"/>
          <w:lang w:val="en-US"/>
        </w:rPr>
        <w:t>3</w:t>
      </w:r>
      <w:r w:rsidRPr="00C31B98">
        <w:rPr>
          <w:lang w:val="en-US"/>
        </w:rPr>
        <w:t xml:space="preserve">. </w:t>
      </w:r>
      <w:r w:rsidR="00A60295">
        <w:rPr>
          <w:lang w:val="en-US"/>
        </w:rPr>
        <w:t xml:space="preserve">The vault is of typical design </w:t>
      </w:r>
      <w:r w:rsidRPr="00C31B98">
        <w:rPr>
          <w:lang w:val="en-US"/>
        </w:rPr>
        <w:t>TP-4891 of repository for special type waste.</w:t>
      </w:r>
    </w:p>
    <w:p w14:paraId="676B7796" w14:textId="06B95716" w:rsidR="00291F90" w:rsidRPr="00C31B98" w:rsidRDefault="00A60295" w:rsidP="00291F90">
      <w:pPr>
        <w:pStyle w:val="Pagrindinistekstas"/>
        <w:rPr>
          <w:lang w:val="en-US"/>
        </w:rPr>
      </w:pPr>
      <w:r>
        <w:rPr>
          <w:lang w:val="en-US"/>
        </w:rPr>
        <w:t>The v</w:t>
      </w:r>
      <w:r w:rsidR="00A243FA" w:rsidRPr="00C31B98">
        <w:rPr>
          <w:lang w:val="en-US"/>
        </w:rPr>
        <w:t xml:space="preserve">ault </w:t>
      </w:r>
      <w:r>
        <w:rPr>
          <w:lang w:val="en-US"/>
        </w:rPr>
        <w:t>is</w:t>
      </w:r>
      <w:r w:rsidR="00A243FA" w:rsidRPr="00C31B98">
        <w:rPr>
          <w:lang w:val="en-US"/>
        </w:rPr>
        <w:t xml:space="preserve"> divided into six sections by wooden walls. The RW was concrete grouted layer by layer inside the vault sections. The concrete absorbs and weakens ionizing radiation emitted by the radionuclides contained in the radioactive waste and prevents them from being washed out with water and </w:t>
      </w:r>
      <w:r w:rsidRPr="0095279A">
        <w:rPr>
          <w:lang w:val="en-US"/>
        </w:rPr>
        <w:t>spreading</w:t>
      </w:r>
      <w:r w:rsidR="00A243FA" w:rsidRPr="00C31B98">
        <w:rPr>
          <w:lang w:val="en-US"/>
        </w:rPr>
        <w:t xml:space="preserve"> f</w:t>
      </w:r>
      <w:r>
        <w:rPr>
          <w:lang w:val="en-US"/>
        </w:rPr>
        <w:t>a</w:t>
      </w:r>
      <w:r w:rsidR="00A243FA" w:rsidRPr="00C31B98">
        <w:rPr>
          <w:lang w:val="en-US"/>
        </w:rPr>
        <w:t>rther.</w:t>
      </w:r>
    </w:p>
    <w:p w14:paraId="20D7B52C" w14:textId="0D2683C3" w:rsidR="00291F90" w:rsidRDefault="00A243FA" w:rsidP="00291F90">
      <w:pPr>
        <w:pStyle w:val="Pagrindinistekstas"/>
        <w:rPr>
          <w:lang w:val="en-US"/>
        </w:rPr>
      </w:pPr>
      <w:r w:rsidRPr="00C31B98">
        <w:rPr>
          <w:lang w:val="en-US"/>
        </w:rPr>
        <w:t xml:space="preserve">Waste loaded to MRWSF </w:t>
      </w:r>
      <w:r w:rsidR="00594E98">
        <w:rPr>
          <w:lang w:val="en-US"/>
        </w:rPr>
        <w:t>is</w:t>
      </w:r>
      <w:r w:rsidR="00594E98" w:rsidRPr="00C31B98">
        <w:rPr>
          <w:lang w:val="en-US"/>
        </w:rPr>
        <w:t xml:space="preserve"> </w:t>
      </w:r>
      <w:r w:rsidRPr="00C31B98">
        <w:rPr>
          <w:lang w:val="en-US"/>
        </w:rPr>
        <w:t xml:space="preserve">radioactive waste generated in industry, military, medicine and scientific research institutions. </w:t>
      </w:r>
      <w:r w:rsidR="00A60295">
        <w:rPr>
          <w:lang w:val="en-US"/>
        </w:rPr>
        <w:t>The w</w:t>
      </w:r>
      <w:r w:rsidRPr="00C31B98">
        <w:rPr>
          <w:lang w:val="en-US"/>
        </w:rPr>
        <w:t xml:space="preserve">aste was transported to the MRSF not only from Lithuania, but also from Kaliningrad region (Russian Federation), Grodno region (Republic of Belarus) and </w:t>
      </w:r>
      <w:r w:rsidR="00A60295">
        <w:rPr>
          <w:lang w:val="en-US"/>
        </w:rPr>
        <w:t xml:space="preserve">a </w:t>
      </w:r>
      <w:r w:rsidRPr="00C31B98">
        <w:rPr>
          <w:lang w:val="en-US"/>
        </w:rPr>
        <w:t xml:space="preserve">small amount of RW from Leningrad (Russian Federation). The waste </w:t>
      </w:r>
      <w:r w:rsidR="00A60295">
        <w:rPr>
          <w:lang w:val="en-US"/>
        </w:rPr>
        <w:t>had been</w:t>
      </w:r>
      <w:r w:rsidRPr="00C31B98">
        <w:rPr>
          <w:lang w:val="en-US"/>
        </w:rPr>
        <w:t xml:space="preserve"> transported to MRWSF until 1989. At 1989 the vau</w:t>
      </w:r>
      <w:r w:rsidR="00A60295">
        <w:rPr>
          <w:lang w:val="en-US"/>
        </w:rPr>
        <w:t>l</w:t>
      </w:r>
      <w:r w:rsidRPr="00C31B98">
        <w:rPr>
          <w:lang w:val="en-US"/>
        </w:rPr>
        <w:t>t was filled by 60 percent. The remaining space was filled by sand, and covered by concrete, bitumen, asphalt and a thick layer of soil.</w:t>
      </w:r>
    </w:p>
    <w:p w14:paraId="0E4E203F" w14:textId="04D0AAC7" w:rsidR="006F2E71" w:rsidRPr="006F2E71" w:rsidRDefault="006F2E71" w:rsidP="006F2E71">
      <w:pPr>
        <w:pStyle w:val="Pagrindinistekstas"/>
        <w:rPr>
          <w:lang w:val="en-US"/>
        </w:rPr>
      </w:pPr>
      <w:r w:rsidRPr="006F2E71">
        <w:rPr>
          <w:lang w:val="en-US"/>
        </w:rPr>
        <w:lastRenderedPageBreak/>
        <w:t>A liquid radioactive waste tank (200 m</w:t>
      </w:r>
      <w:r w:rsidR="00A243FA" w:rsidRPr="00C31B98">
        <w:rPr>
          <w:vertAlign w:val="superscript"/>
          <w:lang w:val="en-US"/>
        </w:rPr>
        <w:t>3</w:t>
      </w:r>
      <w:r w:rsidRPr="006F2E71">
        <w:rPr>
          <w:lang w:val="en-US"/>
        </w:rPr>
        <w:t>) is</w:t>
      </w:r>
      <w:r w:rsidR="00A06EA7">
        <w:rPr>
          <w:lang w:val="en-US"/>
        </w:rPr>
        <w:t xml:space="preserve"> cylindrical shape and is</w:t>
      </w:r>
      <w:r w:rsidRPr="006F2E71">
        <w:rPr>
          <w:lang w:val="en-US"/>
        </w:rPr>
        <w:t xml:space="preserve"> </w:t>
      </w:r>
      <w:r>
        <w:rPr>
          <w:lang w:val="en-US"/>
        </w:rPr>
        <w:t>situated</w:t>
      </w:r>
      <w:r w:rsidRPr="006F2E71">
        <w:rPr>
          <w:lang w:val="en-US"/>
        </w:rPr>
        <w:t xml:space="preserve"> 30 meters </w:t>
      </w:r>
      <w:r w:rsidR="00594E98">
        <w:rPr>
          <w:lang w:val="en-US"/>
        </w:rPr>
        <w:t xml:space="preserve">north-east </w:t>
      </w:r>
      <w:r w:rsidRPr="006F2E71">
        <w:rPr>
          <w:lang w:val="en-US"/>
        </w:rPr>
        <w:t xml:space="preserve">from the </w:t>
      </w:r>
      <w:r>
        <w:rPr>
          <w:lang w:val="en-US"/>
        </w:rPr>
        <w:t>vault</w:t>
      </w:r>
      <w:r w:rsidRPr="006F2E71">
        <w:rPr>
          <w:lang w:val="en-US"/>
        </w:rPr>
        <w:t xml:space="preserve">. The diameter of the tank is about 9 m and the depth is ~ 3 m. The </w:t>
      </w:r>
      <w:r w:rsidR="00594E98">
        <w:rPr>
          <w:lang w:val="en-US"/>
        </w:rPr>
        <w:t xml:space="preserve">concrete </w:t>
      </w:r>
      <w:r w:rsidRPr="006F2E71">
        <w:rPr>
          <w:lang w:val="en-US"/>
        </w:rPr>
        <w:t xml:space="preserve">walls and bottom of the tank are covered with stainless steel plates. This tank was never allowed to be used as intended because its tightness had not been tested. However, due to </w:t>
      </w:r>
      <w:r>
        <w:rPr>
          <w:lang w:val="en-US"/>
        </w:rPr>
        <w:t>irresponsible</w:t>
      </w:r>
      <w:r w:rsidRPr="006F2E71">
        <w:rPr>
          <w:lang w:val="en-US"/>
        </w:rPr>
        <w:t xml:space="preserve"> behavior of workers, the inside of the tank was contaminated.</w:t>
      </w:r>
    </w:p>
    <w:p w14:paraId="4B645F6F" w14:textId="19997BD3" w:rsidR="00291F90" w:rsidRPr="00C31B98" w:rsidRDefault="006F2E71" w:rsidP="00291F90">
      <w:pPr>
        <w:pStyle w:val="Pagrindinistekstas"/>
        <w:rPr>
          <w:lang w:val="en-US"/>
        </w:rPr>
      </w:pPr>
      <w:r w:rsidRPr="008315E9">
        <w:rPr>
          <w:lang w:val="en-US"/>
        </w:rPr>
        <w:t xml:space="preserve">Throughout the long life of </w:t>
      </w:r>
      <w:r w:rsidR="0010738C" w:rsidRPr="008315E9">
        <w:rPr>
          <w:lang w:val="en-US"/>
        </w:rPr>
        <w:t>MR</w:t>
      </w:r>
      <w:r w:rsidR="00A243FA" w:rsidRPr="00C31B98">
        <w:rPr>
          <w:lang w:val="en-US"/>
        </w:rPr>
        <w:t>W</w:t>
      </w:r>
      <w:r w:rsidR="0010738C" w:rsidRPr="008315E9">
        <w:rPr>
          <w:lang w:val="en-US"/>
        </w:rPr>
        <w:t>SF</w:t>
      </w:r>
      <w:r w:rsidRPr="008315E9">
        <w:rPr>
          <w:lang w:val="en-US"/>
        </w:rPr>
        <w:t>, its operators have changed. Since its construction in 1963</w:t>
      </w:r>
      <w:r w:rsidR="00594E98">
        <w:rPr>
          <w:lang w:val="en-US"/>
        </w:rPr>
        <w:t>,</w:t>
      </w:r>
      <w:r w:rsidRPr="008315E9">
        <w:rPr>
          <w:lang w:val="en-US"/>
        </w:rPr>
        <w:t xml:space="preserve"> until</w:t>
      </w:r>
      <w:r w:rsidRPr="006F2E71">
        <w:rPr>
          <w:lang w:val="en-US"/>
        </w:rPr>
        <w:t xml:space="preserve"> 1967 March 1 </w:t>
      </w:r>
      <w:r>
        <w:rPr>
          <w:lang w:val="en-US"/>
        </w:rPr>
        <w:t xml:space="preserve">it had been </w:t>
      </w:r>
      <w:r w:rsidRPr="006F2E71">
        <w:rPr>
          <w:lang w:val="en-US"/>
        </w:rPr>
        <w:t xml:space="preserve">operated </w:t>
      </w:r>
      <w:r>
        <w:rPr>
          <w:lang w:val="en-US"/>
        </w:rPr>
        <w:t xml:space="preserve">by </w:t>
      </w:r>
      <w:r w:rsidRPr="006F2E71">
        <w:rPr>
          <w:lang w:val="en-US"/>
        </w:rPr>
        <w:t>Bath and laundry trust</w:t>
      </w:r>
      <w:r>
        <w:rPr>
          <w:lang w:val="en-US"/>
        </w:rPr>
        <w:t xml:space="preserve"> of Vilnius city. And since 1967 March 1 until 1973 August 1 by the</w:t>
      </w:r>
      <w:r w:rsidRPr="006F2E71">
        <w:rPr>
          <w:lang w:val="en-US"/>
        </w:rPr>
        <w:t xml:space="preserve"> </w:t>
      </w:r>
      <w:r w:rsidR="00A06EA7">
        <w:rPr>
          <w:lang w:val="en-US"/>
        </w:rPr>
        <w:t>C</w:t>
      </w:r>
      <w:r w:rsidRPr="006F2E71">
        <w:rPr>
          <w:lang w:val="en-US"/>
        </w:rPr>
        <w:t>emetery maintenance office</w:t>
      </w:r>
      <w:r>
        <w:rPr>
          <w:lang w:val="en-US"/>
        </w:rPr>
        <w:t xml:space="preserve"> of Vilnius city</w:t>
      </w:r>
      <w:r w:rsidRPr="006F2E71">
        <w:rPr>
          <w:lang w:val="en-US"/>
        </w:rPr>
        <w:t>. 1973 August 1 the repository was transferred to the Institute of Physics</w:t>
      </w:r>
      <w:r w:rsidR="00594E98">
        <w:rPr>
          <w:lang w:val="en-US"/>
        </w:rPr>
        <w:t>.</w:t>
      </w:r>
      <w:r w:rsidRPr="006F2E71">
        <w:rPr>
          <w:lang w:val="en-US"/>
        </w:rPr>
        <w:t xml:space="preserve"> 1st of February 2001 the </w:t>
      </w:r>
      <w:r>
        <w:rPr>
          <w:lang w:val="en-US"/>
        </w:rPr>
        <w:t>SE R</w:t>
      </w:r>
      <w:r w:rsidRPr="006F2E71">
        <w:rPr>
          <w:lang w:val="en-US"/>
        </w:rPr>
        <w:t xml:space="preserve">adioactive </w:t>
      </w:r>
      <w:r>
        <w:rPr>
          <w:lang w:val="en-US"/>
        </w:rPr>
        <w:t>W</w:t>
      </w:r>
      <w:r w:rsidRPr="006F2E71">
        <w:rPr>
          <w:lang w:val="en-US"/>
        </w:rPr>
        <w:t xml:space="preserve">aste </w:t>
      </w:r>
      <w:r>
        <w:rPr>
          <w:lang w:val="en-US"/>
        </w:rPr>
        <w:t>M</w:t>
      </w:r>
      <w:r w:rsidRPr="006F2E71">
        <w:rPr>
          <w:lang w:val="en-US"/>
        </w:rPr>
        <w:t xml:space="preserve">anagement </w:t>
      </w:r>
      <w:r>
        <w:rPr>
          <w:lang w:val="en-US"/>
        </w:rPr>
        <w:t>A</w:t>
      </w:r>
      <w:r w:rsidRPr="006F2E71">
        <w:rPr>
          <w:lang w:val="en-US"/>
        </w:rPr>
        <w:t xml:space="preserve">gency (RWMA) was established by the Lithuanian Government resolution No. 1487. </w:t>
      </w:r>
      <w:r w:rsidR="00B74757">
        <w:rPr>
          <w:lang w:val="en-US"/>
        </w:rPr>
        <w:t>O</w:t>
      </w:r>
      <w:r w:rsidRPr="006F2E71">
        <w:rPr>
          <w:lang w:val="en-US"/>
        </w:rPr>
        <w:t>ne of the RWMA responsibilities was supervis</w:t>
      </w:r>
      <w:r>
        <w:rPr>
          <w:lang w:val="en-US"/>
        </w:rPr>
        <w:t xml:space="preserve">ion </w:t>
      </w:r>
      <w:r w:rsidRPr="006F2E71">
        <w:rPr>
          <w:lang w:val="en-US"/>
        </w:rPr>
        <w:t>of the MRWSF. When the MRWSF was taken over, it was in poor condition, not meeting the standards of the time</w:t>
      </w:r>
      <w:r>
        <w:rPr>
          <w:lang w:val="en-US"/>
        </w:rPr>
        <w:t xml:space="preserve"> </w:t>
      </w:r>
      <w:r w:rsidR="00A243FA" w:rsidRPr="00C31B98">
        <w:rPr>
          <w:lang w:val="en-US"/>
        </w:rPr>
        <w:t xml:space="preserve">(see Figure 1). In 2019, after reorganization by merging RWMA to SE </w:t>
      </w:r>
      <w:proofErr w:type="spellStart"/>
      <w:r w:rsidR="00A243FA" w:rsidRPr="00C31B98">
        <w:rPr>
          <w:lang w:val="en-US"/>
        </w:rPr>
        <w:t>Ignalina</w:t>
      </w:r>
      <w:proofErr w:type="spellEnd"/>
      <w:r w:rsidR="00A243FA" w:rsidRPr="00C31B98">
        <w:rPr>
          <w:lang w:val="en-US"/>
        </w:rPr>
        <w:t xml:space="preserve"> NPP the supervision of MRWSF was transferred to </w:t>
      </w:r>
      <w:proofErr w:type="spellStart"/>
      <w:r w:rsidR="00A243FA" w:rsidRPr="00C31B98">
        <w:rPr>
          <w:lang w:val="en-US"/>
        </w:rPr>
        <w:t>Ignalina</w:t>
      </w:r>
      <w:proofErr w:type="spellEnd"/>
      <w:r w:rsidR="00A243FA" w:rsidRPr="00C31B98">
        <w:rPr>
          <w:lang w:val="en-US"/>
        </w:rPr>
        <w:t xml:space="preserve"> NPP which is also is charge of MRWSF decommissioning.</w:t>
      </w:r>
    </w:p>
    <w:p w14:paraId="64AE0E73" w14:textId="77777777" w:rsidR="00291F90" w:rsidRPr="00C31B98" w:rsidRDefault="00291F90" w:rsidP="00291F90">
      <w:pPr>
        <w:pStyle w:val="Pagrindinistekstas"/>
        <w:rPr>
          <w:lang w:val="en-US"/>
        </w:rPr>
      </w:pPr>
    </w:p>
    <w:p w14:paraId="046D3C8E" w14:textId="77777777" w:rsidR="00432920" w:rsidRPr="00C31B98" w:rsidRDefault="00D55933" w:rsidP="00432920">
      <w:pPr>
        <w:pStyle w:val="Pagrindinistekstas"/>
        <w:jc w:val="center"/>
        <w:rPr>
          <w:lang w:val="en-US"/>
        </w:rPr>
      </w:pPr>
      <w:r w:rsidRPr="00C31B98">
        <w:rPr>
          <w:noProof/>
          <w:lang w:val="lt-LT" w:eastAsia="lt-LT"/>
        </w:rPr>
        <w:drawing>
          <wp:inline distT="0" distB="0" distL="0" distR="0" wp14:anchorId="75D10312" wp14:editId="6E6FB8BB">
            <wp:extent cx="2760345" cy="1845945"/>
            <wp:effectExtent l="0" t="0" r="1905" b="1905"/>
            <wp:docPr id="10248" name="Paveikslėlis 5">
              <a:extLst xmlns:a="http://schemas.openxmlformats.org/drawingml/2006/main">
                <a:ext uri="{FF2B5EF4-FFF2-40B4-BE49-F238E27FC236}">
                  <a16:creationId xmlns:a16="http://schemas.microsoft.com/office/drawing/2014/main" id="{D67CEF95-E394-42CB-80FF-D92427646C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 name="Paveikslėlis 5">
                      <a:extLst>
                        <a:ext uri="{FF2B5EF4-FFF2-40B4-BE49-F238E27FC236}">
                          <a16:creationId xmlns:a16="http://schemas.microsoft.com/office/drawing/2014/main" id="{D67CEF95-E394-42CB-80FF-D92427646C4F}"/>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0345" cy="184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DB8C0D7" w14:textId="7BB3734C" w:rsidR="00432920" w:rsidRPr="00C31B98" w:rsidRDefault="0001353A" w:rsidP="00B30D0A">
      <w:pPr>
        <w:pStyle w:val="Pagrindinistekstas"/>
        <w:jc w:val="center"/>
        <w:rPr>
          <w:lang w:val="en-US"/>
        </w:rPr>
      </w:pPr>
      <w:r>
        <w:rPr>
          <w:noProof/>
          <w:highlight w:val="red"/>
          <w:lang w:val="en-US" w:eastAsia="lt-LT"/>
        </w:rPr>
        <mc:AlternateContent>
          <mc:Choice Requires="wps">
            <w:drawing>
              <wp:anchor distT="0" distB="0" distL="114300" distR="114300" simplePos="0" relativeHeight="251679744" behindDoc="0" locked="0" layoutInCell="1" allowOverlap="1" wp14:anchorId="4F0ECD0D" wp14:editId="25CE7035">
                <wp:simplePos x="0" y="0"/>
                <wp:positionH relativeFrom="margin">
                  <wp:align>center</wp:align>
                </wp:positionH>
                <wp:positionV relativeFrom="paragraph">
                  <wp:posOffset>65405</wp:posOffset>
                </wp:positionV>
                <wp:extent cx="3863340" cy="18542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85420"/>
                        </a:xfrm>
                        <a:prstGeom prst="rect">
                          <a:avLst/>
                        </a:prstGeom>
                        <a:solidFill>
                          <a:prstClr val="white"/>
                        </a:solidFill>
                        <a:ln>
                          <a:noFill/>
                        </a:ln>
                        <a:effectLst/>
                      </wps:spPr>
                      <wps:txbx>
                        <w:txbxContent>
                          <w:p w14:paraId="2A2F6E3F" w14:textId="031B3C67" w:rsidR="004C60EA" w:rsidRPr="00802381" w:rsidRDefault="004C60EA" w:rsidP="00432920">
                            <w:pPr>
                              <w:pStyle w:val="Antrat"/>
                              <w:jc w:val="center"/>
                              <w:rPr>
                                <w:i/>
                                <w:sz w:val="20"/>
                              </w:rPr>
                            </w:pPr>
                            <w:r w:rsidRPr="0020101F">
                              <w:rPr>
                                <w:i/>
                              </w:rPr>
                              <w:t xml:space="preserve">FIG. </w:t>
                            </w:r>
                            <w:r w:rsidR="00A243FA" w:rsidRPr="0020101F">
                              <w:rPr>
                                <w:i/>
                              </w:rPr>
                              <w:fldChar w:fldCharType="begin"/>
                            </w:r>
                            <w:r w:rsidRPr="0020101F">
                              <w:rPr>
                                <w:i/>
                              </w:rPr>
                              <w:instrText xml:space="preserve"> SEQ Figure \* ARABIC </w:instrText>
                            </w:r>
                            <w:r w:rsidR="00A243FA" w:rsidRPr="0020101F">
                              <w:rPr>
                                <w:i/>
                              </w:rPr>
                              <w:fldChar w:fldCharType="separate"/>
                            </w:r>
                            <w:r>
                              <w:rPr>
                                <w:i/>
                                <w:noProof/>
                              </w:rPr>
                              <w:t>1</w:t>
                            </w:r>
                            <w:r w:rsidR="00A243FA" w:rsidRPr="0020101F">
                              <w:rPr>
                                <w:i/>
                              </w:rPr>
                              <w:fldChar w:fldCharType="end"/>
                            </w:r>
                            <w:r w:rsidRPr="0020101F">
                              <w:rPr>
                                <w:i/>
                              </w:rPr>
                              <w:t>.</w:t>
                            </w:r>
                            <w:r>
                              <w:rPr>
                                <w:i/>
                              </w:rPr>
                              <w:t xml:space="preserve"> MRWSF </w:t>
                            </w:r>
                            <w:r w:rsidR="00287178">
                              <w:rPr>
                                <w:i/>
                              </w:rPr>
                              <w:t xml:space="preserve">in </w:t>
                            </w:r>
                            <w:r>
                              <w:rPr>
                                <w:i/>
                              </w:rPr>
                              <w:t>2002.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shapetype w14:anchorId="4F0ECD0D" id="_x0000_t202" coordsize="21600,21600" o:spt="202" path="m,l,21600r21600,l21600,xe">
                <v:stroke joinstyle="miter"/>
                <v:path gradientshapeok="t" o:connecttype="rect"/>
              </v:shapetype>
              <v:shape id="Text Box 2" o:spid="_x0000_s1026" type="#_x0000_t202" style="position:absolute;left:0;text-align:left;margin-left:0;margin-top:5.15pt;width:304.2pt;height:14.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GKPwIAAIcEAAAOAAAAZHJzL2Uyb0RvYy54bWysVE2P2jAQvVfqf7B8L+GrKxQRVpQVVSW0&#10;uxKs9mwch1i1Pa5tSOiv79ghsN32VPViJp43M37zZpjft1qRk3BeginoaDCkRBgOpTSHgr7s1p9m&#10;lPjATMkUGFHQs/D0fvHxw7yxuRhDDaoUjmAS4/PGFrQOweZZ5nktNPMDsMKgswKnWcBPd8hKxxrM&#10;rlU2Hg7vsgZcaR1w4T3ePnROukj5q0rw8FRVXgSiCopvC+l06dzHM1vMWX5wzNaSX57B/uEVmkmD&#10;Ra+pHlhg5OjkH6m05A48VGHAQWdQVZKLxAHZjIbv2GxrZkXigs3x9tom///S8sfTsyOyLOiUEsM0&#10;SrQTbSBfoCXj2J3G+hxBW4uw0OI1qpyYersB/t0jJHuD6QI8omM32srp+Is8CQaiAOdr02MVjpeT&#10;2d1kMkUXR99o9nk6Tqpkt2jrfPgqQJNoFNShqOkF7LTxIdZneQ+JxTwoWa6lUvEjOlbKkRPDAWhq&#10;GUQkhRG/oZSJWAMxqnN3NyJN0KVKZNkRi1Zo9y1Co7mH8ozdcdBNl7d8LbHshvnwzByOE5LDFQlP&#10;eFQKmoLCxaKkBvfzb/cRjyqjl5IGx7Og/seROUGJ+mZQ/zjLveF6Y98b5qhXgIRHuHyWJxMDXFC9&#10;WTnQr7g5y1gFXcxwrFXQ0Jur0C0Jbh4Xy2UC4cRaFjZma3k/BLG9u/aVOXsRJ6Csj9APLsvfadRh&#10;k0p2eQzY8CTgrYuXacJpTypdNjOu09vvhLr9fyx+AQAA//8DAFBLAwQUAAYACAAAACEA4NbH9t4A&#10;AAAGAQAADwAAAGRycy9kb3ducmV2LnhtbEyPwU7DMBBE70j8g7VIXBC1ISEqIU5VVXCAS0XohZsb&#10;b+NAvI5spw1/jzmV486MZt5Wq9kO7Ig+9I4k3C0EMKTW6Z46CbuPl9slsBAVaTU4Qgk/GGBVX15U&#10;qtTuRO94bGLHUgmFUkkwMY4l56E1aFVYuBEpeQfnrYrp9B3XXp1SuR34vRAFt6qntGDUiBuD7Xcz&#10;WQnb/HNrbqbD89s6z/zrbtoUX10j5fXVvH4CFnGO5zD84Sd0qBPT3k2kAxskpEdiUkUGLLmFWObA&#10;9hKyxwfgdcX/49e/AAAA//8DAFBLAQItABQABgAIAAAAIQC2gziS/gAAAOEBAAATAAAAAAAAAAAA&#10;AAAAAAAAAABbQ29udGVudF9UeXBlc10ueG1sUEsBAi0AFAAGAAgAAAAhADj9If/WAAAAlAEAAAsA&#10;AAAAAAAAAAAAAAAALwEAAF9yZWxzLy5yZWxzUEsBAi0AFAAGAAgAAAAhAA9g0Yo/AgAAhwQAAA4A&#10;AAAAAAAAAAAAAAAALgIAAGRycy9lMm9Eb2MueG1sUEsBAi0AFAAGAAgAAAAhAODWx/beAAAABgEA&#10;AA8AAAAAAAAAAAAAAAAAmQQAAGRycy9kb3ducmV2LnhtbFBLBQYAAAAABAAEAPMAAACkBQAAAAA=&#10;" stroked="f">
                <v:textbox style="mso-fit-shape-to-text:t" inset="0,0,0,0">
                  <w:txbxContent>
                    <w:p w14:paraId="2A2F6E3F" w14:textId="031B3C67" w:rsidR="004C60EA" w:rsidRPr="00802381" w:rsidRDefault="004C60EA" w:rsidP="00432920">
                      <w:pPr>
                        <w:pStyle w:val="Antrat"/>
                        <w:jc w:val="center"/>
                        <w:rPr>
                          <w:i/>
                          <w:sz w:val="20"/>
                        </w:rPr>
                      </w:pPr>
                      <w:r w:rsidRPr="0020101F">
                        <w:rPr>
                          <w:i/>
                        </w:rPr>
                        <w:t xml:space="preserve">FIG. </w:t>
                      </w:r>
                      <w:r w:rsidR="00A243FA" w:rsidRPr="0020101F">
                        <w:rPr>
                          <w:i/>
                        </w:rPr>
                        <w:fldChar w:fldCharType="begin"/>
                      </w:r>
                      <w:r w:rsidRPr="0020101F">
                        <w:rPr>
                          <w:i/>
                        </w:rPr>
                        <w:instrText xml:space="preserve"> SEQ Figure \* ARABIC </w:instrText>
                      </w:r>
                      <w:r w:rsidR="00A243FA" w:rsidRPr="0020101F">
                        <w:rPr>
                          <w:i/>
                        </w:rPr>
                        <w:fldChar w:fldCharType="separate"/>
                      </w:r>
                      <w:r>
                        <w:rPr>
                          <w:i/>
                          <w:noProof/>
                        </w:rPr>
                        <w:t>1</w:t>
                      </w:r>
                      <w:r w:rsidR="00A243FA" w:rsidRPr="0020101F">
                        <w:rPr>
                          <w:i/>
                        </w:rPr>
                        <w:fldChar w:fldCharType="end"/>
                      </w:r>
                      <w:r w:rsidRPr="0020101F">
                        <w:rPr>
                          <w:i/>
                        </w:rPr>
                        <w:t>.</w:t>
                      </w:r>
                      <w:r>
                        <w:rPr>
                          <w:i/>
                        </w:rPr>
                        <w:t xml:space="preserve"> MRWSF </w:t>
                      </w:r>
                      <w:r w:rsidR="00287178">
                        <w:rPr>
                          <w:i/>
                        </w:rPr>
                        <w:t xml:space="preserve">in </w:t>
                      </w:r>
                      <w:r>
                        <w:rPr>
                          <w:i/>
                        </w:rPr>
                        <w:t>2002.</w:t>
                      </w:r>
                    </w:p>
                  </w:txbxContent>
                </v:textbox>
                <w10:wrap type="topAndBottom" anchorx="margin"/>
              </v:shape>
            </w:pict>
          </mc:Fallback>
        </mc:AlternateContent>
      </w:r>
    </w:p>
    <w:p w14:paraId="63CAED37" w14:textId="77777777" w:rsidR="00E25B68" w:rsidRPr="00C31B98" w:rsidRDefault="00A243FA" w:rsidP="0026525A">
      <w:pPr>
        <w:pStyle w:val="Antrat2"/>
        <w:numPr>
          <w:ilvl w:val="1"/>
          <w:numId w:val="10"/>
        </w:numPr>
        <w:rPr>
          <w:lang w:val="en-US"/>
        </w:rPr>
      </w:pPr>
      <w:r w:rsidRPr="00C31B98">
        <w:rPr>
          <w:lang w:val="en-US"/>
        </w:rPr>
        <w:t>INVENTORY AND SAFETY UPGRADING</w:t>
      </w:r>
    </w:p>
    <w:p w14:paraId="7AFB5395" w14:textId="30301908" w:rsidR="006F2E71" w:rsidRPr="006F2E71" w:rsidRDefault="00A243FA" w:rsidP="0020101F">
      <w:pPr>
        <w:pStyle w:val="Pagrindinistekstas"/>
        <w:rPr>
          <w:lang w:val="en-US"/>
        </w:rPr>
      </w:pPr>
      <w:r w:rsidRPr="00C31B98">
        <w:rPr>
          <w:lang w:val="en-US"/>
        </w:rPr>
        <w:t xml:space="preserve">The </w:t>
      </w:r>
      <w:r w:rsidR="006F2E71">
        <w:rPr>
          <w:lang w:val="en-US"/>
        </w:rPr>
        <w:t>filling of the vault</w:t>
      </w:r>
      <w:r w:rsidRPr="00C31B98">
        <w:rPr>
          <w:lang w:val="en-US"/>
        </w:rPr>
        <w:t xml:space="preserve"> </w:t>
      </w:r>
      <w:r w:rsidR="006F2E71">
        <w:rPr>
          <w:lang w:val="en-US"/>
        </w:rPr>
        <w:t>started</w:t>
      </w:r>
      <w:r w:rsidRPr="00C31B98">
        <w:rPr>
          <w:lang w:val="en-US"/>
        </w:rPr>
        <w:t xml:space="preserve"> from the first section (see Figure </w:t>
      </w:r>
      <w:r w:rsidR="00BE2C12">
        <w:rPr>
          <w:lang w:val="en-US"/>
        </w:rPr>
        <w:t>2</w:t>
      </w:r>
      <w:r w:rsidRPr="00C31B98">
        <w:rPr>
          <w:lang w:val="en-US"/>
        </w:rPr>
        <w:t xml:space="preserve">). During the </w:t>
      </w:r>
      <w:r w:rsidR="00F3241F">
        <w:rPr>
          <w:lang w:val="en-US"/>
        </w:rPr>
        <w:t>filling</w:t>
      </w:r>
      <w:r w:rsidRPr="00C31B98">
        <w:rPr>
          <w:lang w:val="en-US"/>
        </w:rPr>
        <w:t xml:space="preserve"> of the third section, the wooden partitions collapsed and the stacked waste fell from the third section to the fourth and fifth sections.</w:t>
      </w:r>
    </w:p>
    <w:p w14:paraId="2B5ED724" w14:textId="403D1768" w:rsidR="00011C22" w:rsidRDefault="00011C22" w:rsidP="00011C22">
      <w:pPr>
        <w:pStyle w:val="Pagrindinistekstas"/>
        <w:rPr>
          <w:lang w:val="en-US"/>
        </w:rPr>
      </w:pPr>
      <w:r w:rsidRPr="00011C22">
        <w:rPr>
          <w:lang w:val="en-US"/>
        </w:rPr>
        <w:t xml:space="preserve">Clothes, used filters, paper, plastic waste were placed in plastic bags and thrown </w:t>
      </w:r>
      <w:r w:rsidR="00BE2C12">
        <w:rPr>
          <w:lang w:val="en-US"/>
        </w:rPr>
        <w:t xml:space="preserve">down </w:t>
      </w:r>
      <w:r w:rsidRPr="00011C22">
        <w:rPr>
          <w:lang w:val="en-US"/>
        </w:rPr>
        <w:t xml:space="preserve">through the openings </w:t>
      </w:r>
      <w:r w:rsidRPr="008315E9">
        <w:rPr>
          <w:lang w:val="en-US"/>
        </w:rPr>
        <w:t xml:space="preserve">above the section. </w:t>
      </w:r>
      <w:r w:rsidR="00BE2C12">
        <w:rPr>
          <w:lang w:val="en-US"/>
        </w:rPr>
        <w:t>Disused sealed radioactive sources (</w:t>
      </w:r>
      <w:r w:rsidR="00A243FA" w:rsidRPr="00C31B98">
        <w:rPr>
          <w:lang w:val="en-US"/>
        </w:rPr>
        <w:t>DSRS</w:t>
      </w:r>
      <w:r w:rsidR="00BE2C12">
        <w:rPr>
          <w:lang w:val="en-US"/>
        </w:rPr>
        <w:t>)</w:t>
      </w:r>
      <w:r w:rsidR="001D13EB" w:rsidRPr="008315E9">
        <w:rPr>
          <w:lang w:val="en-US"/>
        </w:rPr>
        <w:t xml:space="preserve"> with </w:t>
      </w:r>
      <w:r w:rsidR="00A06EA7">
        <w:rPr>
          <w:lang w:val="en-US"/>
        </w:rPr>
        <w:t>shielding</w:t>
      </w:r>
      <w:r w:rsidRPr="008315E9">
        <w:rPr>
          <w:lang w:val="en-US"/>
        </w:rPr>
        <w:t xml:space="preserve"> </w:t>
      </w:r>
      <w:r w:rsidR="00BE2C12" w:rsidRPr="008315E9">
        <w:rPr>
          <w:lang w:val="en-US"/>
        </w:rPr>
        <w:t>were</w:t>
      </w:r>
      <w:r w:rsidRPr="008315E9">
        <w:rPr>
          <w:lang w:val="en-US"/>
        </w:rPr>
        <w:t xml:space="preserve"> also thrown </w:t>
      </w:r>
      <w:r w:rsidR="00BE2C12">
        <w:rPr>
          <w:lang w:val="en-US"/>
        </w:rPr>
        <w:t xml:space="preserve">down </w:t>
      </w:r>
      <w:r w:rsidRPr="008315E9">
        <w:rPr>
          <w:lang w:val="en-US"/>
        </w:rPr>
        <w:t xml:space="preserve">into the </w:t>
      </w:r>
      <w:r w:rsidR="008A40A4" w:rsidRPr="008315E9">
        <w:rPr>
          <w:lang w:val="en-US"/>
        </w:rPr>
        <w:t>vault</w:t>
      </w:r>
      <w:r w:rsidRPr="008315E9">
        <w:rPr>
          <w:lang w:val="en-US"/>
        </w:rPr>
        <w:t xml:space="preserve"> </w:t>
      </w:r>
      <w:r w:rsidR="006634B1" w:rsidRPr="008315E9">
        <w:rPr>
          <w:lang w:val="en-US"/>
        </w:rPr>
        <w:t xml:space="preserve">from the vehicle </w:t>
      </w:r>
      <w:r w:rsidR="008A40A4" w:rsidRPr="008315E9">
        <w:rPr>
          <w:lang w:val="en-US"/>
        </w:rPr>
        <w:t xml:space="preserve">through the top opening </w:t>
      </w:r>
      <w:r w:rsidRPr="008315E9">
        <w:rPr>
          <w:lang w:val="en-US"/>
        </w:rPr>
        <w:t>by simply removing one of the floor</w:t>
      </w:r>
      <w:r w:rsidR="006634B1" w:rsidRPr="008315E9">
        <w:rPr>
          <w:lang w:val="en-US"/>
        </w:rPr>
        <w:t xml:space="preserve"> slabs.</w:t>
      </w:r>
      <w:r w:rsidRPr="008315E9">
        <w:rPr>
          <w:lang w:val="en-US"/>
        </w:rPr>
        <w:t xml:space="preserve"> DSRS without </w:t>
      </w:r>
      <w:r w:rsidR="00A06EA7">
        <w:rPr>
          <w:lang w:val="en-US"/>
        </w:rPr>
        <w:t>shielding</w:t>
      </w:r>
      <w:r w:rsidRPr="008315E9">
        <w:rPr>
          <w:lang w:val="en-US"/>
        </w:rPr>
        <w:t xml:space="preserve"> were lowered into stainless steel </w:t>
      </w:r>
      <w:r w:rsidR="006634B1" w:rsidRPr="008315E9">
        <w:rPr>
          <w:lang w:val="en-US"/>
        </w:rPr>
        <w:t xml:space="preserve">containers of 10 liter and </w:t>
      </w:r>
      <w:proofErr w:type="gramStart"/>
      <w:r w:rsidR="006634B1" w:rsidRPr="008315E9">
        <w:rPr>
          <w:lang w:val="en-US"/>
        </w:rPr>
        <w:t>15 li</w:t>
      </w:r>
      <w:r w:rsidRPr="008315E9">
        <w:rPr>
          <w:lang w:val="en-US"/>
        </w:rPr>
        <w:t>ter</w:t>
      </w:r>
      <w:proofErr w:type="gramEnd"/>
      <w:r w:rsidRPr="008315E9">
        <w:rPr>
          <w:lang w:val="en-US"/>
        </w:rPr>
        <w:t xml:space="preserve"> </w:t>
      </w:r>
      <w:r w:rsidR="006634B1" w:rsidRPr="008315E9">
        <w:rPr>
          <w:lang w:val="en-US"/>
        </w:rPr>
        <w:t xml:space="preserve">capacity </w:t>
      </w:r>
      <w:r w:rsidRPr="008315E9">
        <w:rPr>
          <w:lang w:val="en-US"/>
        </w:rPr>
        <w:t>through stainless steel pipes.</w:t>
      </w:r>
    </w:p>
    <w:p w14:paraId="2EF2A62B" w14:textId="52ECFED0" w:rsidR="004C7EC4" w:rsidRDefault="004C7EC4" w:rsidP="00011C22">
      <w:pPr>
        <w:pStyle w:val="Pagrindinistekstas"/>
        <w:rPr>
          <w:lang w:val="lt-LT"/>
        </w:rPr>
      </w:pPr>
      <w:r w:rsidRPr="004C7EC4">
        <w:rPr>
          <w:noProof/>
        </w:rPr>
        <w:drawing>
          <wp:inline distT="0" distB="0" distL="0" distR="0" wp14:anchorId="455E32B6" wp14:editId="243D31E4">
            <wp:extent cx="5732145" cy="21158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2115820"/>
                    </a:xfrm>
                    <a:prstGeom prst="rect">
                      <a:avLst/>
                    </a:prstGeom>
                    <a:noFill/>
                    <a:ln>
                      <a:noFill/>
                    </a:ln>
                  </pic:spPr>
                </pic:pic>
              </a:graphicData>
            </a:graphic>
          </wp:inline>
        </w:drawing>
      </w:r>
    </w:p>
    <w:p w14:paraId="70704469" w14:textId="3DE932B8" w:rsidR="00011C22" w:rsidRPr="008315E9" w:rsidRDefault="0001353A" w:rsidP="00011C22">
      <w:pPr>
        <w:pStyle w:val="Pagrindinistekstas"/>
        <w:rPr>
          <w:lang w:val="en-US"/>
        </w:rPr>
      </w:pPr>
      <w:r>
        <w:rPr>
          <w:noProof/>
          <w:highlight w:val="red"/>
          <w:lang w:val="en-US" w:eastAsia="lt-LT"/>
        </w:rPr>
        <mc:AlternateContent>
          <mc:Choice Requires="wps">
            <w:drawing>
              <wp:anchor distT="0" distB="0" distL="114300" distR="114300" simplePos="0" relativeHeight="251665408" behindDoc="0" locked="0" layoutInCell="1" allowOverlap="1" wp14:anchorId="05DD53F4" wp14:editId="4DE13549">
                <wp:simplePos x="0" y="0"/>
                <wp:positionH relativeFrom="margin">
                  <wp:posOffset>892175</wp:posOffset>
                </wp:positionH>
                <wp:positionV relativeFrom="paragraph">
                  <wp:posOffset>93980</wp:posOffset>
                </wp:positionV>
                <wp:extent cx="3863340" cy="17716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77165"/>
                        </a:xfrm>
                        <a:prstGeom prst="rect">
                          <a:avLst/>
                        </a:prstGeom>
                        <a:solidFill>
                          <a:prstClr val="white"/>
                        </a:solidFill>
                        <a:ln>
                          <a:noFill/>
                        </a:ln>
                        <a:effectLst/>
                      </wps:spPr>
                      <wps:txbx>
                        <w:txbxContent>
                          <w:p w14:paraId="75BC9C3B" w14:textId="50B4C247" w:rsidR="004C60EA" w:rsidRDefault="004C60EA" w:rsidP="00573E12">
                            <w:pPr>
                              <w:pStyle w:val="Antrat"/>
                              <w:jc w:val="center"/>
                              <w:rPr>
                                <w:i/>
                              </w:rPr>
                            </w:pPr>
                            <w:r w:rsidRPr="00802381">
                              <w:rPr>
                                <w:i/>
                              </w:rPr>
                              <w:t xml:space="preserve">FIG. </w:t>
                            </w:r>
                            <w:r w:rsidR="00BE2C12">
                              <w:rPr>
                                <w:i/>
                              </w:rPr>
                              <w:t>2</w:t>
                            </w:r>
                            <w:r w:rsidR="00A243FA" w:rsidRPr="00802381">
                              <w:rPr>
                                <w:i/>
                              </w:rPr>
                              <w:fldChar w:fldCharType="begin"/>
                            </w:r>
                            <w:r w:rsidRPr="00802381">
                              <w:rPr>
                                <w:i/>
                              </w:rPr>
                              <w:instrText xml:space="preserve"> SEQ Figure \* ARABIC </w:instrText>
                            </w:r>
                            <w:r w:rsidR="00A243FA" w:rsidRPr="00802381">
                              <w:rPr>
                                <w:i/>
                              </w:rPr>
                              <w:fldChar w:fldCharType="separate"/>
                            </w:r>
                            <w:r w:rsidR="0011795C">
                              <w:rPr>
                                <w:i/>
                                <w:noProof/>
                              </w:rPr>
                              <w:t>2</w:t>
                            </w:r>
                            <w:r w:rsidR="00A243FA" w:rsidRPr="00802381">
                              <w:rPr>
                                <w:i/>
                              </w:rPr>
                              <w:fldChar w:fldCharType="end"/>
                            </w:r>
                            <w:r>
                              <w:rPr>
                                <w:i/>
                              </w:rPr>
                              <w:t xml:space="preserve">. MRWSF with upgraded </w:t>
                            </w:r>
                            <w:r w:rsidRPr="009562FA">
                              <w:rPr>
                                <w:i/>
                              </w:rPr>
                              <w:t xml:space="preserve">protective engineering </w:t>
                            </w:r>
                            <w:r w:rsidRPr="00445465">
                              <w:rPr>
                                <w:i/>
                              </w:rPr>
                              <w:t>barriers in 2006.</w:t>
                            </w:r>
                          </w:p>
                          <w:p w14:paraId="5FC28848" w14:textId="77777777" w:rsidR="004C60EA" w:rsidRPr="009C6D3A" w:rsidRDefault="004C60EA" w:rsidP="00573E1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D53F4" id="_x0000_t202" coordsize="21600,21600" o:spt="202" path="m,l,21600r21600,l21600,xe">
                <v:stroke joinstyle="miter"/>
                <v:path gradientshapeok="t" o:connecttype="rect"/>
              </v:shapetype>
              <v:shape id="_x0000_s1027" type="#_x0000_t202" style="position:absolute;left:0;text-align:left;margin-left:70.25pt;margin-top:7.4pt;width:304.2pt;height:1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NpQAIAAI8EAAAOAAAAZHJzL2Uyb0RvYy54bWysVE1v2zAMvQ/YfxB0X5yPLS2MOEWWIsOA&#10;oC2QDD0rshwLk0VNUmJnv36UZKddt9Owi0yJT6T4+OjFXdcochbWSdAFnYzGlAjNoZT6WNBv+82H&#10;W0qcZ7pkCrQo6EU4erd8/27RmlxMoQZVCkswiHZ5awpae2/yLHO8Fg1zIzBCo7MC2zCPW3vMSsta&#10;jN6obDoez7MWbGkscOEcnt4nJ13G+FUluH+sKic8UQXFt/m42rgewpotFyw/WmZqyftnsH94RcOk&#10;xqTXUPfMM3Ky8o9QjeQWHFR+xKHJoKokF7EGrGYyflPNrmZGxFqQHGeuNLn/F5Y/nJ8skSX2DunR&#10;rMEe7UXnyWfoyDTQ0xqXI2pnEOc7PEZoLNWZLfDvDiHZK0y64BAd6Ogq24QvFkrwIqa4XFkPWTge&#10;zm7ns9lHdHH0TW5uJvNPIW/2cttY578IaEgwCmqxq/EF7Lx1PkEHSEjmQMlyI5UKm+BYK0vODBXQ&#10;1tKLPvhvKKUDVkO4lQKmExEl1GcJVabCguW7Q5eIG1g6QHlBkiwklTnDNxKzb5nzT8yirLBGHBX/&#10;iEuloC0o9BYlNdiffzsPeOw2eilpUaYFdT9OzApK1FeNOsCQfjDsYBwGQ5+aNWDdExxCw6OJF6xX&#10;g1lZaJ5xglYhC7qY5piroH4w1z4NC04gF6tVBKFyDfNbvTN80EJged89M2v6Hnns7gMMAmb5m1Yl&#10;bOJ8dfJQydjHwGtisRcVqj4qoZ/QMFav9xH18h9Z/gIAAP//AwBQSwMEFAAGAAgAAAAhAFkqFWbe&#10;AAAACQEAAA8AAABkcnMvZG93bnJldi54bWxMjz1PwzAQhnck/oN1SCyIOkShLSFOBS1sMLRUna+x&#10;SSLic2Q7TfrvuU6w3at79H4Uq8l24mR8aB0peJglIAxVTrdUK9h/vd8vQYSIpLFzZBScTYBVeX1V&#10;YK7dSFtz2sVasAmFHBU0Mfa5lKFqjMUwc70h/n07bzGy9LXUHkc2t51Mk2QuLbbECQ32Zt2Y6mc3&#10;WAXzjR/GLa3vNvu3D/zs6/Twej4odXszvTyDiGaKfzBc6nN1KLnT0Q2kg+hYZ8kjo5eDJzCwyJZP&#10;II4KsnQBsizk/wXlLwAAAP//AwBQSwECLQAUAAYACAAAACEAtoM4kv4AAADhAQAAEwAAAAAAAAAA&#10;AAAAAAAAAAAAW0NvbnRlbnRfVHlwZXNdLnhtbFBLAQItABQABgAIAAAAIQA4/SH/1gAAAJQBAAAL&#10;AAAAAAAAAAAAAAAAAC8BAABfcmVscy8ucmVsc1BLAQItABQABgAIAAAAIQAM9nNpQAIAAI8EAAAO&#10;AAAAAAAAAAAAAAAAAC4CAABkcnMvZTJvRG9jLnhtbFBLAQItABQABgAIAAAAIQBZKhVm3gAAAAkB&#10;AAAPAAAAAAAAAAAAAAAAAJoEAABkcnMvZG93bnJldi54bWxQSwUGAAAAAAQABADzAAAApQUAAAAA&#10;" stroked="f">
                <v:textbox inset="0,0,0,0">
                  <w:txbxContent>
                    <w:p w14:paraId="75BC9C3B" w14:textId="50B4C247" w:rsidR="004C60EA" w:rsidRDefault="004C60EA" w:rsidP="00573E12">
                      <w:pPr>
                        <w:pStyle w:val="Antrat"/>
                        <w:jc w:val="center"/>
                        <w:rPr>
                          <w:i/>
                        </w:rPr>
                      </w:pPr>
                      <w:r w:rsidRPr="00802381">
                        <w:rPr>
                          <w:i/>
                        </w:rPr>
                        <w:t xml:space="preserve">FIG. </w:t>
                      </w:r>
                      <w:r w:rsidR="00BE2C12">
                        <w:rPr>
                          <w:i/>
                        </w:rPr>
                        <w:t>2</w:t>
                      </w:r>
                      <w:r w:rsidR="00A243FA" w:rsidRPr="00802381">
                        <w:rPr>
                          <w:i/>
                        </w:rPr>
                        <w:fldChar w:fldCharType="begin"/>
                      </w:r>
                      <w:r w:rsidRPr="00802381">
                        <w:rPr>
                          <w:i/>
                        </w:rPr>
                        <w:instrText xml:space="preserve"> SEQ Figure \* ARABIC </w:instrText>
                      </w:r>
                      <w:r w:rsidR="00A243FA" w:rsidRPr="00802381">
                        <w:rPr>
                          <w:i/>
                        </w:rPr>
                        <w:fldChar w:fldCharType="separate"/>
                      </w:r>
                      <w:r w:rsidR="0011795C">
                        <w:rPr>
                          <w:i/>
                          <w:noProof/>
                        </w:rPr>
                        <w:t>2</w:t>
                      </w:r>
                      <w:r w:rsidR="00A243FA" w:rsidRPr="00802381">
                        <w:rPr>
                          <w:i/>
                        </w:rPr>
                        <w:fldChar w:fldCharType="end"/>
                      </w:r>
                      <w:r>
                        <w:rPr>
                          <w:i/>
                        </w:rPr>
                        <w:t xml:space="preserve">. MRWSF with upgraded </w:t>
                      </w:r>
                      <w:r w:rsidRPr="009562FA">
                        <w:rPr>
                          <w:i/>
                        </w:rPr>
                        <w:t xml:space="preserve">protective engineering </w:t>
                      </w:r>
                      <w:r w:rsidRPr="00445465">
                        <w:rPr>
                          <w:i/>
                        </w:rPr>
                        <w:t>barriers in 2006.</w:t>
                      </w:r>
                    </w:p>
                    <w:p w14:paraId="5FC28848" w14:textId="77777777" w:rsidR="004C60EA" w:rsidRPr="009C6D3A" w:rsidRDefault="004C60EA" w:rsidP="00573E12"/>
                  </w:txbxContent>
                </v:textbox>
                <w10:wrap type="topAndBottom" anchorx="margin"/>
              </v:shape>
            </w:pict>
          </mc:Fallback>
        </mc:AlternateContent>
      </w:r>
      <w:r w:rsidR="00011C22" w:rsidRPr="008315E9">
        <w:rPr>
          <w:lang w:val="en-US"/>
        </w:rPr>
        <w:t xml:space="preserve">Liquid radioactive waste was mostly cemented. However, records have been </w:t>
      </w:r>
      <w:r w:rsidR="006634B1" w:rsidRPr="008315E9">
        <w:rPr>
          <w:lang w:val="en-US"/>
        </w:rPr>
        <w:t>found</w:t>
      </w:r>
      <w:r w:rsidR="00011C22" w:rsidRPr="008315E9">
        <w:rPr>
          <w:lang w:val="en-US"/>
        </w:rPr>
        <w:t xml:space="preserve"> of the arrival and disposal of liquid radioactive waste in the first </w:t>
      </w:r>
      <w:r w:rsidR="006634B1" w:rsidRPr="008315E9">
        <w:rPr>
          <w:lang w:val="en-US"/>
        </w:rPr>
        <w:t>vault</w:t>
      </w:r>
      <w:r w:rsidR="00011C22" w:rsidRPr="008315E9">
        <w:rPr>
          <w:lang w:val="en-US"/>
        </w:rPr>
        <w:t xml:space="preserve"> section. </w:t>
      </w:r>
      <w:r w:rsidR="006634B1" w:rsidRPr="008315E9">
        <w:rPr>
          <w:lang w:val="en-US"/>
        </w:rPr>
        <w:t>In most cases i</w:t>
      </w:r>
      <w:r w:rsidR="00011C22" w:rsidRPr="008315E9">
        <w:rPr>
          <w:lang w:val="en-US"/>
        </w:rPr>
        <w:t>t is self-luminous liquid spirit solution of Ra-226.</w:t>
      </w:r>
    </w:p>
    <w:p w14:paraId="1DFD6329" w14:textId="77777777" w:rsidR="00011C22" w:rsidRPr="008315E9" w:rsidRDefault="00011C22" w:rsidP="00011C22">
      <w:pPr>
        <w:pStyle w:val="Pagrindinistekstas"/>
        <w:rPr>
          <w:lang w:val="en-US"/>
        </w:rPr>
      </w:pPr>
      <w:r w:rsidRPr="008315E9">
        <w:rPr>
          <w:lang w:val="en-US"/>
        </w:rPr>
        <w:lastRenderedPageBreak/>
        <w:t>During the operation of the storage facility, once or twice a year, the waste in the storage facility was covered with a layer of concrete.</w:t>
      </w:r>
    </w:p>
    <w:p w14:paraId="1CD1EED8" w14:textId="02B7BFE9" w:rsidR="00011C22" w:rsidRPr="00011C22" w:rsidRDefault="00011C22" w:rsidP="00011C22">
      <w:pPr>
        <w:pStyle w:val="Pagrindinistekstas"/>
        <w:rPr>
          <w:lang w:val="en-US"/>
        </w:rPr>
      </w:pPr>
      <w:r w:rsidRPr="008315E9">
        <w:rPr>
          <w:lang w:val="en-US"/>
        </w:rPr>
        <w:t xml:space="preserve">High-activity DSRS (two Co-60 gamma therapy sources and one Cs-137 irradiation </w:t>
      </w:r>
      <w:r w:rsidR="00901498">
        <w:rPr>
          <w:lang w:val="en-US"/>
        </w:rPr>
        <w:t xml:space="preserve">source </w:t>
      </w:r>
      <w:r w:rsidRPr="008315E9">
        <w:rPr>
          <w:lang w:val="en-US"/>
        </w:rPr>
        <w:t>for research</w:t>
      </w:r>
      <w:r w:rsidR="00901498">
        <w:rPr>
          <w:lang w:val="en-US"/>
        </w:rPr>
        <w:t xml:space="preserve"> purposes</w:t>
      </w:r>
      <w:r w:rsidRPr="008315E9">
        <w:rPr>
          <w:lang w:val="en-US"/>
        </w:rPr>
        <w:t xml:space="preserve">) were placed separately in the sixth </w:t>
      </w:r>
      <w:r w:rsidR="006634B1" w:rsidRPr="008315E9">
        <w:rPr>
          <w:lang w:val="en-US"/>
        </w:rPr>
        <w:t>vault</w:t>
      </w:r>
      <w:r w:rsidRPr="008315E9">
        <w:rPr>
          <w:lang w:val="en-US"/>
        </w:rPr>
        <w:t xml:space="preserve"> section </w:t>
      </w:r>
      <w:r w:rsidR="006634B1" w:rsidRPr="008315E9">
        <w:rPr>
          <w:lang w:val="en-US"/>
        </w:rPr>
        <w:t>keeping them separate</w:t>
      </w:r>
      <w:r w:rsidR="00901498">
        <w:rPr>
          <w:lang w:val="en-US"/>
        </w:rPr>
        <w:t>d</w:t>
      </w:r>
      <w:r w:rsidR="006634B1" w:rsidRPr="008315E9">
        <w:rPr>
          <w:lang w:val="en-US"/>
        </w:rPr>
        <w:t xml:space="preserve"> from the other waste</w:t>
      </w:r>
      <w:r w:rsidRPr="008315E9">
        <w:rPr>
          <w:lang w:val="en-US"/>
        </w:rPr>
        <w:t>.</w:t>
      </w:r>
    </w:p>
    <w:p w14:paraId="3CC48ADE" w14:textId="5705E05A" w:rsidR="00011C22" w:rsidRDefault="00011C22" w:rsidP="00011C22">
      <w:pPr>
        <w:pStyle w:val="Pagrindinistekstas"/>
        <w:rPr>
          <w:lang w:val="en-US"/>
        </w:rPr>
      </w:pPr>
      <w:r w:rsidRPr="00011C22">
        <w:rPr>
          <w:lang w:val="en-US"/>
        </w:rPr>
        <w:t>The radionuclide composition and activities of the solid R</w:t>
      </w:r>
      <w:r w:rsidR="001D5D03">
        <w:rPr>
          <w:lang w:val="en-US"/>
        </w:rPr>
        <w:t>W</w:t>
      </w:r>
      <w:r w:rsidRPr="00011C22">
        <w:rPr>
          <w:lang w:val="en-US"/>
        </w:rPr>
        <w:t xml:space="preserve"> (without DSRS) in the </w:t>
      </w:r>
      <w:r w:rsidR="001D5D03">
        <w:rPr>
          <w:lang w:val="en-US"/>
        </w:rPr>
        <w:t>vault</w:t>
      </w:r>
      <w:r w:rsidRPr="00011C22">
        <w:rPr>
          <w:lang w:val="en-US"/>
        </w:rPr>
        <w:t xml:space="preserve"> of the </w:t>
      </w:r>
      <w:r w:rsidR="00DE7B0E">
        <w:rPr>
          <w:lang w:val="en-US"/>
        </w:rPr>
        <w:t>M</w:t>
      </w:r>
      <w:r w:rsidR="001D5D03">
        <w:rPr>
          <w:lang w:val="en-US"/>
        </w:rPr>
        <w:t>RWSF</w:t>
      </w:r>
      <w:r w:rsidRPr="00011C22">
        <w:rPr>
          <w:lang w:val="en-US"/>
        </w:rPr>
        <w:t xml:space="preserve"> are summarized in Table 1. The complete list of radionuclides includes 83 radionuclides. As Table 1</w:t>
      </w:r>
      <w:r w:rsidR="001D5D03">
        <w:rPr>
          <w:lang w:val="en-US"/>
        </w:rPr>
        <w:t xml:space="preserve"> shows</w:t>
      </w:r>
      <w:r w:rsidRPr="00011C22">
        <w:rPr>
          <w:lang w:val="en-US"/>
        </w:rPr>
        <w:t>, the short-lived H-3</w:t>
      </w:r>
      <w:r w:rsidR="001D5D03">
        <w:rPr>
          <w:lang w:val="en-US"/>
        </w:rPr>
        <w:t xml:space="preserve"> is the most active radionuclide. </w:t>
      </w:r>
    </w:p>
    <w:p w14:paraId="0261F4B9" w14:textId="77777777" w:rsidR="0026525A" w:rsidRPr="00C31B98" w:rsidRDefault="0026525A" w:rsidP="000A2990">
      <w:pPr>
        <w:pStyle w:val="Pagrindinistekstas"/>
        <w:rPr>
          <w:lang w:val="en-US"/>
        </w:rPr>
      </w:pPr>
    </w:p>
    <w:p w14:paraId="02F60DEA" w14:textId="4F3199AF" w:rsidR="00573E12" w:rsidRPr="00C31B98" w:rsidRDefault="00A243FA" w:rsidP="00573E12">
      <w:pPr>
        <w:pStyle w:val="Pagrindinistekstas"/>
        <w:ind w:firstLine="0"/>
        <w:rPr>
          <w:lang w:val="en-US"/>
        </w:rPr>
      </w:pPr>
      <w:r w:rsidRPr="00C31B98">
        <w:rPr>
          <w:lang w:val="en-US"/>
        </w:rPr>
        <w:t>TABLE 1.</w:t>
      </w:r>
      <w:r w:rsidRPr="00C31B98">
        <w:rPr>
          <w:lang w:val="en-US"/>
        </w:rPr>
        <w:tab/>
        <w:t>ACTIVITY OF RADIOACTI</w:t>
      </w:r>
      <w:r w:rsidR="00901498">
        <w:rPr>
          <w:lang w:val="en-US"/>
        </w:rPr>
        <w:t>V</w:t>
      </w:r>
      <w:r w:rsidRPr="00C31B98">
        <w:rPr>
          <w:lang w:val="en-US"/>
        </w:rPr>
        <w:t>E WASTE (</w:t>
      </w:r>
      <w:r w:rsidR="00901498" w:rsidRPr="00C31B98">
        <w:rPr>
          <w:lang w:val="en-US"/>
        </w:rPr>
        <w:t xml:space="preserve">EXCEPT </w:t>
      </w:r>
      <w:r w:rsidRPr="00C31B98">
        <w:rPr>
          <w:lang w:val="en-US"/>
        </w:rPr>
        <w:t>DSRS) AT MRWSF IN 2020</w:t>
      </w:r>
    </w:p>
    <w:p w14:paraId="34808009" w14:textId="77777777" w:rsidR="00573E12" w:rsidRPr="00C31B98" w:rsidRDefault="00573E12" w:rsidP="00573E12">
      <w:pPr>
        <w:pStyle w:val="Pagrindinistekstas"/>
        <w:ind w:firstLine="0"/>
        <w:rPr>
          <w:lang w:val="en-US"/>
        </w:rPr>
      </w:pPr>
    </w:p>
    <w:tbl>
      <w:tblPr>
        <w:tblW w:w="580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36"/>
        <w:gridCol w:w="1187"/>
        <w:gridCol w:w="1046"/>
        <w:gridCol w:w="1116"/>
        <w:gridCol w:w="1419"/>
      </w:tblGrid>
      <w:tr w:rsidR="00573E12" w:rsidRPr="0095279A" w14:paraId="795F3E51" w14:textId="77777777" w:rsidTr="004F50EC">
        <w:trPr>
          <w:trHeight w:val="149"/>
          <w:tblHeader/>
          <w:jc w:val="center"/>
        </w:trPr>
        <w:tc>
          <w:tcPr>
            <w:tcW w:w="0" w:type="auto"/>
            <w:vAlign w:val="center"/>
          </w:tcPr>
          <w:p w14:paraId="40BCA252" w14:textId="77777777" w:rsidR="00573E12" w:rsidRPr="00C31B98" w:rsidRDefault="00A243FA" w:rsidP="004F50EC">
            <w:pPr>
              <w:rPr>
                <w:bCs/>
                <w:sz w:val="18"/>
                <w:szCs w:val="18"/>
                <w:lang w:val="en-US"/>
              </w:rPr>
            </w:pPr>
            <w:r w:rsidRPr="00C31B98">
              <w:rPr>
                <w:bCs/>
                <w:sz w:val="18"/>
                <w:szCs w:val="18"/>
                <w:lang w:val="en-US"/>
              </w:rPr>
              <w:t>Type</w:t>
            </w:r>
          </w:p>
        </w:tc>
        <w:tc>
          <w:tcPr>
            <w:tcW w:w="0" w:type="auto"/>
            <w:tcBorders>
              <w:bottom w:val="single" w:sz="4" w:space="0" w:color="auto"/>
            </w:tcBorders>
            <w:shd w:val="clear" w:color="auto" w:fill="auto"/>
            <w:vAlign w:val="center"/>
            <w:hideMark/>
          </w:tcPr>
          <w:p w14:paraId="1FABF9CF" w14:textId="77777777" w:rsidR="00573E12" w:rsidRPr="00C31B98" w:rsidRDefault="00A243FA" w:rsidP="004F50EC">
            <w:pPr>
              <w:jc w:val="center"/>
              <w:rPr>
                <w:bCs/>
                <w:sz w:val="18"/>
                <w:szCs w:val="18"/>
                <w:lang w:val="en-US"/>
              </w:rPr>
            </w:pPr>
            <w:bookmarkStart w:id="0" w:name="_Hlk507395817"/>
            <w:r w:rsidRPr="00C31B98">
              <w:rPr>
                <w:bCs/>
                <w:sz w:val="18"/>
                <w:szCs w:val="18"/>
                <w:lang w:val="en-US"/>
              </w:rPr>
              <w:t>Radionuclide</w:t>
            </w:r>
          </w:p>
        </w:tc>
        <w:tc>
          <w:tcPr>
            <w:tcW w:w="0" w:type="auto"/>
            <w:tcBorders>
              <w:bottom w:val="single" w:sz="4" w:space="0" w:color="auto"/>
            </w:tcBorders>
            <w:shd w:val="clear" w:color="auto" w:fill="auto"/>
            <w:vAlign w:val="center"/>
            <w:hideMark/>
          </w:tcPr>
          <w:p w14:paraId="239B41C2" w14:textId="77777777" w:rsidR="00573E12" w:rsidRPr="00C31B98" w:rsidRDefault="00A243FA" w:rsidP="004F50EC">
            <w:pPr>
              <w:jc w:val="center"/>
              <w:rPr>
                <w:bCs/>
                <w:sz w:val="18"/>
                <w:szCs w:val="18"/>
                <w:lang w:val="en-US"/>
              </w:rPr>
            </w:pPr>
            <w:r w:rsidRPr="00C31B98">
              <w:rPr>
                <w:bCs/>
                <w:sz w:val="18"/>
                <w:szCs w:val="18"/>
                <w:lang w:val="en-US"/>
              </w:rPr>
              <w:t>T</w:t>
            </w:r>
            <w:r w:rsidRPr="00C31B98">
              <w:rPr>
                <w:bCs/>
                <w:sz w:val="18"/>
                <w:szCs w:val="18"/>
                <w:vertAlign w:val="subscript"/>
                <w:lang w:val="en-US"/>
              </w:rPr>
              <w:t>1/2</w:t>
            </w:r>
            <w:r w:rsidRPr="00C31B98">
              <w:rPr>
                <w:bCs/>
                <w:sz w:val="18"/>
                <w:szCs w:val="18"/>
                <w:lang w:val="en-US"/>
              </w:rPr>
              <w:t>, y</w:t>
            </w:r>
          </w:p>
        </w:tc>
        <w:tc>
          <w:tcPr>
            <w:tcW w:w="0" w:type="auto"/>
            <w:tcBorders>
              <w:bottom w:val="single" w:sz="4" w:space="0" w:color="auto"/>
            </w:tcBorders>
            <w:shd w:val="clear" w:color="auto" w:fill="auto"/>
            <w:vAlign w:val="center"/>
            <w:hideMark/>
          </w:tcPr>
          <w:p w14:paraId="163674DD" w14:textId="77777777" w:rsidR="00573E12" w:rsidRPr="00C31B98" w:rsidRDefault="00A243FA" w:rsidP="004F50EC">
            <w:pPr>
              <w:jc w:val="center"/>
              <w:rPr>
                <w:bCs/>
                <w:sz w:val="18"/>
                <w:szCs w:val="18"/>
                <w:lang w:val="en-US"/>
              </w:rPr>
            </w:pPr>
            <w:r w:rsidRPr="00C31B98">
              <w:rPr>
                <w:bCs/>
                <w:sz w:val="18"/>
                <w:szCs w:val="18"/>
                <w:lang w:val="en-US"/>
              </w:rPr>
              <w:t xml:space="preserve">Activity, </w:t>
            </w:r>
            <w:proofErr w:type="spellStart"/>
            <w:r w:rsidRPr="00C31B98">
              <w:rPr>
                <w:bCs/>
                <w:sz w:val="18"/>
                <w:szCs w:val="18"/>
                <w:lang w:val="en-US"/>
              </w:rPr>
              <w:t>Bq</w:t>
            </w:r>
            <w:proofErr w:type="spellEnd"/>
          </w:p>
        </w:tc>
        <w:tc>
          <w:tcPr>
            <w:tcW w:w="0" w:type="auto"/>
            <w:tcBorders>
              <w:bottom w:val="single" w:sz="4" w:space="0" w:color="auto"/>
            </w:tcBorders>
            <w:shd w:val="clear" w:color="auto" w:fill="auto"/>
            <w:vAlign w:val="center"/>
            <w:hideMark/>
          </w:tcPr>
          <w:p w14:paraId="422DFD67" w14:textId="77777777" w:rsidR="00573E12" w:rsidRPr="00C31B98" w:rsidRDefault="00A243FA" w:rsidP="004F50EC">
            <w:pPr>
              <w:spacing w:line="280" w:lineRule="atLeast"/>
              <w:ind w:left="360"/>
              <w:jc w:val="center"/>
              <w:rPr>
                <w:bCs/>
                <w:sz w:val="18"/>
                <w:szCs w:val="18"/>
                <w:lang w:val="en-US"/>
              </w:rPr>
            </w:pPr>
            <w:r w:rsidRPr="00C31B98">
              <w:rPr>
                <w:bCs/>
                <w:sz w:val="18"/>
                <w:szCs w:val="18"/>
                <w:lang w:val="en-US"/>
              </w:rPr>
              <w:t>Activity, %</w:t>
            </w:r>
          </w:p>
        </w:tc>
      </w:tr>
      <w:tr w:rsidR="00573E12" w:rsidRPr="0095279A" w14:paraId="01EC40EE" w14:textId="77777777" w:rsidTr="004F50EC">
        <w:trPr>
          <w:trHeight w:val="47"/>
          <w:jc w:val="center"/>
        </w:trPr>
        <w:tc>
          <w:tcPr>
            <w:tcW w:w="0" w:type="auto"/>
            <w:vMerge w:val="restart"/>
            <w:vAlign w:val="center"/>
          </w:tcPr>
          <w:p w14:paraId="55E6AAD3" w14:textId="77777777" w:rsidR="00573E12" w:rsidRPr="00C31B98" w:rsidRDefault="00A243FA" w:rsidP="004F50EC">
            <w:pPr>
              <w:spacing w:line="280" w:lineRule="atLeast"/>
              <w:jc w:val="both"/>
              <w:rPr>
                <w:sz w:val="18"/>
                <w:szCs w:val="18"/>
                <w:lang w:val="en-US"/>
              </w:rPr>
            </w:pPr>
            <w:r w:rsidRPr="00C31B98">
              <w:rPr>
                <w:sz w:val="18"/>
                <w:szCs w:val="18"/>
                <w:lang w:val="en-US"/>
              </w:rPr>
              <w:t>Long-lived</w:t>
            </w:r>
          </w:p>
        </w:tc>
        <w:tc>
          <w:tcPr>
            <w:tcW w:w="0" w:type="auto"/>
            <w:tcBorders>
              <w:bottom w:val="nil"/>
            </w:tcBorders>
            <w:shd w:val="clear" w:color="auto" w:fill="auto"/>
            <w:noWrap/>
            <w:vAlign w:val="center"/>
          </w:tcPr>
          <w:p w14:paraId="0D34552B" w14:textId="77777777" w:rsidR="00573E12" w:rsidRPr="00C31B98" w:rsidRDefault="00A243FA" w:rsidP="004F50EC">
            <w:pPr>
              <w:spacing w:line="280" w:lineRule="atLeast"/>
              <w:jc w:val="center"/>
              <w:rPr>
                <w:sz w:val="18"/>
                <w:szCs w:val="18"/>
                <w:lang w:val="en-US"/>
              </w:rPr>
            </w:pPr>
            <w:r w:rsidRPr="00C31B98">
              <w:rPr>
                <w:sz w:val="18"/>
                <w:szCs w:val="18"/>
                <w:lang w:val="en-US"/>
              </w:rPr>
              <w:t>C-14</w:t>
            </w:r>
          </w:p>
        </w:tc>
        <w:tc>
          <w:tcPr>
            <w:tcW w:w="0" w:type="auto"/>
            <w:tcBorders>
              <w:bottom w:val="nil"/>
            </w:tcBorders>
            <w:shd w:val="clear" w:color="auto" w:fill="auto"/>
            <w:noWrap/>
            <w:vAlign w:val="center"/>
          </w:tcPr>
          <w:p w14:paraId="2BB41768" w14:textId="77777777" w:rsidR="00573E12" w:rsidRPr="00C31B98" w:rsidRDefault="00A243FA" w:rsidP="004F50EC">
            <w:pPr>
              <w:spacing w:line="280" w:lineRule="atLeast"/>
              <w:ind w:left="113"/>
              <w:jc w:val="center"/>
              <w:rPr>
                <w:sz w:val="18"/>
                <w:szCs w:val="18"/>
                <w:lang w:val="en-US"/>
              </w:rPr>
            </w:pPr>
            <w:r w:rsidRPr="00C31B98">
              <w:rPr>
                <w:sz w:val="18"/>
                <w:szCs w:val="18"/>
                <w:lang w:val="en-US"/>
              </w:rPr>
              <w:t>5.73E+03</w:t>
            </w:r>
          </w:p>
        </w:tc>
        <w:tc>
          <w:tcPr>
            <w:tcW w:w="0" w:type="auto"/>
            <w:tcBorders>
              <w:bottom w:val="nil"/>
            </w:tcBorders>
            <w:shd w:val="clear" w:color="auto" w:fill="auto"/>
            <w:noWrap/>
            <w:vAlign w:val="center"/>
          </w:tcPr>
          <w:p w14:paraId="36F2C0E1" w14:textId="77777777" w:rsidR="00573E12" w:rsidRPr="00C31B98" w:rsidRDefault="00A243FA" w:rsidP="004F50EC">
            <w:pPr>
              <w:spacing w:line="280" w:lineRule="atLeast"/>
              <w:ind w:left="113"/>
              <w:jc w:val="center"/>
              <w:rPr>
                <w:sz w:val="18"/>
                <w:szCs w:val="18"/>
                <w:lang w:val="en-US"/>
              </w:rPr>
            </w:pPr>
            <w:r w:rsidRPr="00C31B98">
              <w:rPr>
                <w:sz w:val="18"/>
                <w:szCs w:val="18"/>
                <w:lang w:val="en-US"/>
              </w:rPr>
              <w:t>1.7E+11</w:t>
            </w:r>
          </w:p>
        </w:tc>
        <w:tc>
          <w:tcPr>
            <w:tcW w:w="0" w:type="auto"/>
            <w:tcBorders>
              <w:bottom w:val="nil"/>
            </w:tcBorders>
            <w:shd w:val="clear" w:color="auto" w:fill="auto"/>
            <w:noWrap/>
            <w:vAlign w:val="center"/>
          </w:tcPr>
          <w:p w14:paraId="19DE5840" w14:textId="77777777" w:rsidR="00573E12" w:rsidRPr="00C31B98" w:rsidRDefault="00A243FA" w:rsidP="004F50EC">
            <w:pPr>
              <w:spacing w:line="280" w:lineRule="atLeast"/>
              <w:jc w:val="center"/>
              <w:rPr>
                <w:sz w:val="18"/>
                <w:szCs w:val="18"/>
                <w:lang w:val="en-US"/>
              </w:rPr>
            </w:pPr>
            <w:r w:rsidRPr="00C31B98">
              <w:rPr>
                <w:sz w:val="18"/>
                <w:szCs w:val="18"/>
                <w:lang w:val="en-US"/>
              </w:rPr>
              <w:t>0.34 %</w:t>
            </w:r>
          </w:p>
        </w:tc>
      </w:tr>
      <w:tr w:rsidR="00573E12" w:rsidRPr="0095279A" w14:paraId="1F50D6F4" w14:textId="77777777" w:rsidTr="004F50EC">
        <w:trPr>
          <w:trHeight w:val="288"/>
          <w:jc w:val="center"/>
        </w:trPr>
        <w:tc>
          <w:tcPr>
            <w:tcW w:w="0" w:type="auto"/>
            <w:vMerge/>
            <w:vAlign w:val="center"/>
          </w:tcPr>
          <w:p w14:paraId="5F83AE58" w14:textId="77777777" w:rsidR="00573E12" w:rsidRPr="00C31B98" w:rsidRDefault="00573E12" w:rsidP="004F50EC">
            <w:pPr>
              <w:spacing w:line="280" w:lineRule="atLeast"/>
              <w:ind w:left="567" w:right="567"/>
              <w:outlineLvl w:val="0"/>
              <w:rPr>
                <w:sz w:val="18"/>
                <w:szCs w:val="18"/>
                <w:lang w:val="en-US"/>
              </w:rPr>
            </w:pPr>
          </w:p>
        </w:tc>
        <w:tc>
          <w:tcPr>
            <w:tcW w:w="0" w:type="auto"/>
            <w:tcBorders>
              <w:top w:val="nil"/>
              <w:bottom w:val="nil"/>
            </w:tcBorders>
            <w:shd w:val="clear" w:color="auto" w:fill="auto"/>
            <w:noWrap/>
            <w:vAlign w:val="center"/>
          </w:tcPr>
          <w:p w14:paraId="59C4558A" w14:textId="77777777" w:rsidR="00573E12" w:rsidRPr="00C31B98" w:rsidRDefault="00A243FA" w:rsidP="004F50EC">
            <w:pPr>
              <w:jc w:val="center"/>
              <w:rPr>
                <w:sz w:val="18"/>
                <w:szCs w:val="18"/>
                <w:lang w:val="en-US"/>
              </w:rPr>
            </w:pPr>
            <w:r w:rsidRPr="00C31B98">
              <w:rPr>
                <w:sz w:val="18"/>
                <w:szCs w:val="18"/>
                <w:lang w:val="en-US"/>
              </w:rPr>
              <w:t>Ra-226</w:t>
            </w:r>
          </w:p>
        </w:tc>
        <w:tc>
          <w:tcPr>
            <w:tcW w:w="0" w:type="auto"/>
            <w:tcBorders>
              <w:top w:val="nil"/>
              <w:bottom w:val="nil"/>
            </w:tcBorders>
            <w:shd w:val="clear" w:color="auto" w:fill="auto"/>
            <w:noWrap/>
            <w:vAlign w:val="center"/>
          </w:tcPr>
          <w:p w14:paraId="5C126B5E" w14:textId="77777777" w:rsidR="00573E12" w:rsidRPr="00C31B98" w:rsidRDefault="00A243FA" w:rsidP="004F50EC">
            <w:pPr>
              <w:jc w:val="center"/>
              <w:rPr>
                <w:sz w:val="18"/>
                <w:szCs w:val="18"/>
                <w:lang w:val="en-US"/>
              </w:rPr>
            </w:pPr>
            <w:r w:rsidRPr="00C31B98">
              <w:rPr>
                <w:sz w:val="18"/>
                <w:szCs w:val="18"/>
                <w:lang w:val="en-US"/>
              </w:rPr>
              <w:t>1.60E+03</w:t>
            </w:r>
          </w:p>
        </w:tc>
        <w:tc>
          <w:tcPr>
            <w:tcW w:w="0" w:type="auto"/>
            <w:tcBorders>
              <w:top w:val="nil"/>
              <w:bottom w:val="nil"/>
            </w:tcBorders>
            <w:shd w:val="clear" w:color="auto" w:fill="auto"/>
            <w:noWrap/>
            <w:vAlign w:val="center"/>
          </w:tcPr>
          <w:p w14:paraId="49ADE5FD" w14:textId="77777777" w:rsidR="00573E12" w:rsidRPr="00C31B98" w:rsidRDefault="00A243FA" w:rsidP="004F50EC">
            <w:pPr>
              <w:jc w:val="center"/>
              <w:rPr>
                <w:sz w:val="18"/>
                <w:szCs w:val="18"/>
                <w:lang w:val="en-US"/>
              </w:rPr>
            </w:pPr>
            <w:r w:rsidRPr="00C31B98">
              <w:rPr>
                <w:sz w:val="18"/>
                <w:szCs w:val="18"/>
                <w:lang w:val="en-US"/>
              </w:rPr>
              <w:t>1.0E+11</w:t>
            </w:r>
          </w:p>
        </w:tc>
        <w:tc>
          <w:tcPr>
            <w:tcW w:w="0" w:type="auto"/>
            <w:tcBorders>
              <w:top w:val="nil"/>
              <w:bottom w:val="nil"/>
            </w:tcBorders>
            <w:shd w:val="clear" w:color="auto" w:fill="auto"/>
            <w:noWrap/>
            <w:vAlign w:val="center"/>
          </w:tcPr>
          <w:p w14:paraId="2F5D09E1" w14:textId="77777777" w:rsidR="00573E12" w:rsidRPr="00C31B98" w:rsidRDefault="00A243FA" w:rsidP="004F50EC">
            <w:pPr>
              <w:jc w:val="center"/>
              <w:rPr>
                <w:sz w:val="18"/>
                <w:szCs w:val="18"/>
                <w:lang w:val="en-US"/>
              </w:rPr>
            </w:pPr>
            <w:r w:rsidRPr="00C31B98">
              <w:rPr>
                <w:sz w:val="18"/>
                <w:szCs w:val="18"/>
                <w:lang w:val="en-US"/>
              </w:rPr>
              <w:t>0.21 %</w:t>
            </w:r>
          </w:p>
        </w:tc>
      </w:tr>
      <w:tr w:rsidR="00573E12" w:rsidRPr="0095279A" w14:paraId="41FA5D9E" w14:textId="77777777" w:rsidTr="004F50EC">
        <w:trPr>
          <w:trHeight w:val="288"/>
          <w:jc w:val="center"/>
        </w:trPr>
        <w:tc>
          <w:tcPr>
            <w:tcW w:w="0" w:type="auto"/>
            <w:vMerge/>
            <w:vAlign w:val="center"/>
          </w:tcPr>
          <w:p w14:paraId="7B531CCA" w14:textId="77777777" w:rsidR="00573E12" w:rsidRPr="00C31B98" w:rsidRDefault="00573E12" w:rsidP="004F50EC">
            <w:pPr>
              <w:spacing w:line="280" w:lineRule="atLeast"/>
              <w:ind w:left="567" w:right="567"/>
              <w:outlineLvl w:val="0"/>
              <w:rPr>
                <w:sz w:val="18"/>
                <w:szCs w:val="18"/>
                <w:lang w:val="en-US"/>
              </w:rPr>
            </w:pPr>
          </w:p>
        </w:tc>
        <w:tc>
          <w:tcPr>
            <w:tcW w:w="0" w:type="auto"/>
            <w:tcBorders>
              <w:top w:val="nil"/>
              <w:bottom w:val="nil"/>
            </w:tcBorders>
            <w:shd w:val="clear" w:color="auto" w:fill="auto"/>
            <w:noWrap/>
            <w:vAlign w:val="center"/>
          </w:tcPr>
          <w:p w14:paraId="3E845C88" w14:textId="77777777" w:rsidR="00573E12" w:rsidRPr="00C31B98" w:rsidRDefault="00A243FA" w:rsidP="004F50EC">
            <w:pPr>
              <w:jc w:val="center"/>
              <w:rPr>
                <w:sz w:val="18"/>
                <w:szCs w:val="18"/>
                <w:lang w:val="en-US"/>
              </w:rPr>
            </w:pPr>
            <w:r w:rsidRPr="00C31B98">
              <w:rPr>
                <w:sz w:val="18"/>
                <w:szCs w:val="18"/>
                <w:lang w:val="en-US"/>
              </w:rPr>
              <w:t>Ni-63</w:t>
            </w:r>
          </w:p>
        </w:tc>
        <w:tc>
          <w:tcPr>
            <w:tcW w:w="0" w:type="auto"/>
            <w:tcBorders>
              <w:top w:val="nil"/>
              <w:bottom w:val="nil"/>
            </w:tcBorders>
            <w:shd w:val="clear" w:color="auto" w:fill="auto"/>
            <w:noWrap/>
            <w:vAlign w:val="center"/>
          </w:tcPr>
          <w:p w14:paraId="76DE9DA7" w14:textId="77777777" w:rsidR="00573E12" w:rsidRPr="00C31B98" w:rsidRDefault="00A243FA" w:rsidP="004F50EC">
            <w:pPr>
              <w:jc w:val="center"/>
              <w:rPr>
                <w:sz w:val="18"/>
                <w:szCs w:val="18"/>
                <w:lang w:val="en-US"/>
              </w:rPr>
            </w:pPr>
            <w:r w:rsidRPr="00C31B98">
              <w:rPr>
                <w:sz w:val="18"/>
                <w:szCs w:val="18"/>
                <w:lang w:val="en-US"/>
              </w:rPr>
              <w:t>96.0</w:t>
            </w:r>
          </w:p>
        </w:tc>
        <w:tc>
          <w:tcPr>
            <w:tcW w:w="0" w:type="auto"/>
            <w:tcBorders>
              <w:top w:val="nil"/>
              <w:bottom w:val="nil"/>
            </w:tcBorders>
            <w:shd w:val="clear" w:color="auto" w:fill="auto"/>
            <w:noWrap/>
            <w:vAlign w:val="center"/>
          </w:tcPr>
          <w:p w14:paraId="5552FE1C" w14:textId="77777777" w:rsidR="00573E12" w:rsidRPr="00C31B98" w:rsidRDefault="00A243FA" w:rsidP="004F50EC">
            <w:pPr>
              <w:jc w:val="center"/>
              <w:rPr>
                <w:sz w:val="18"/>
                <w:szCs w:val="18"/>
                <w:lang w:val="en-US"/>
              </w:rPr>
            </w:pPr>
            <w:r w:rsidRPr="00C31B98">
              <w:rPr>
                <w:sz w:val="18"/>
                <w:szCs w:val="18"/>
                <w:lang w:val="en-US"/>
              </w:rPr>
              <w:t>3.3E+10</w:t>
            </w:r>
          </w:p>
        </w:tc>
        <w:tc>
          <w:tcPr>
            <w:tcW w:w="0" w:type="auto"/>
            <w:tcBorders>
              <w:top w:val="nil"/>
              <w:bottom w:val="nil"/>
            </w:tcBorders>
            <w:shd w:val="clear" w:color="auto" w:fill="auto"/>
            <w:noWrap/>
            <w:vAlign w:val="center"/>
          </w:tcPr>
          <w:p w14:paraId="6BEB6E7B" w14:textId="77777777" w:rsidR="00573E12" w:rsidRPr="00C31B98" w:rsidRDefault="00A243FA" w:rsidP="004F50EC">
            <w:pPr>
              <w:jc w:val="center"/>
              <w:rPr>
                <w:sz w:val="18"/>
                <w:szCs w:val="18"/>
                <w:lang w:val="en-US"/>
              </w:rPr>
            </w:pPr>
            <w:r w:rsidRPr="00C31B98">
              <w:rPr>
                <w:sz w:val="18"/>
                <w:szCs w:val="18"/>
                <w:lang w:val="en-US"/>
              </w:rPr>
              <w:t>0.07 %</w:t>
            </w:r>
          </w:p>
        </w:tc>
      </w:tr>
      <w:tr w:rsidR="00573E12" w:rsidRPr="0095279A" w14:paraId="39647323" w14:textId="77777777" w:rsidTr="004F50EC">
        <w:trPr>
          <w:trHeight w:val="288"/>
          <w:jc w:val="center"/>
        </w:trPr>
        <w:tc>
          <w:tcPr>
            <w:tcW w:w="0" w:type="auto"/>
            <w:vMerge/>
            <w:vAlign w:val="center"/>
          </w:tcPr>
          <w:p w14:paraId="3CE656D5" w14:textId="77777777" w:rsidR="00573E12" w:rsidRPr="00C31B98" w:rsidRDefault="00573E12" w:rsidP="004F50EC">
            <w:pPr>
              <w:spacing w:line="280" w:lineRule="atLeast"/>
              <w:ind w:left="567" w:right="567"/>
              <w:outlineLvl w:val="0"/>
              <w:rPr>
                <w:sz w:val="18"/>
                <w:szCs w:val="18"/>
                <w:lang w:val="en-US"/>
              </w:rPr>
            </w:pPr>
          </w:p>
        </w:tc>
        <w:tc>
          <w:tcPr>
            <w:tcW w:w="0" w:type="auto"/>
            <w:tcBorders>
              <w:top w:val="nil"/>
              <w:bottom w:val="nil"/>
            </w:tcBorders>
            <w:shd w:val="clear" w:color="auto" w:fill="auto"/>
            <w:noWrap/>
            <w:vAlign w:val="center"/>
          </w:tcPr>
          <w:p w14:paraId="6B9DFA73" w14:textId="77777777" w:rsidR="00573E12" w:rsidRPr="00C31B98" w:rsidRDefault="00A243FA" w:rsidP="004F50EC">
            <w:pPr>
              <w:jc w:val="center"/>
              <w:rPr>
                <w:sz w:val="18"/>
                <w:szCs w:val="18"/>
                <w:lang w:val="en-US"/>
              </w:rPr>
            </w:pPr>
            <w:r w:rsidRPr="00C31B98">
              <w:rPr>
                <w:sz w:val="18"/>
                <w:szCs w:val="18"/>
                <w:lang w:val="en-US"/>
              </w:rPr>
              <w:t>Cl-36</w:t>
            </w:r>
          </w:p>
        </w:tc>
        <w:tc>
          <w:tcPr>
            <w:tcW w:w="0" w:type="auto"/>
            <w:tcBorders>
              <w:top w:val="nil"/>
              <w:bottom w:val="nil"/>
            </w:tcBorders>
            <w:shd w:val="clear" w:color="auto" w:fill="auto"/>
            <w:noWrap/>
            <w:vAlign w:val="center"/>
          </w:tcPr>
          <w:p w14:paraId="269DFC26" w14:textId="77777777" w:rsidR="00573E12" w:rsidRPr="00C31B98" w:rsidRDefault="00A243FA" w:rsidP="004F50EC">
            <w:pPr>
              <w:jc w:val="center"/>
              <w:rPr>
                <w:sz w:val="18"/>
                <w:szCs w:val="18"/>
                <w:lang w:val="en-US"/>
              </w:rPr>
            </w:pPr>
            <w:r w:rsidRPr="00C31B98">
              <w:rPr>
                <w:sz w:val="18"/>
                <w:szCs w:val="18"/>
                <w:lang w:val="en-US"/>
              </w:rPr>
              <w:t>3.01E+05</w:t>
            </w:r>
          </w:p>
        </w:tc>
        <w:tc>
          <w:tcPr>
            <w:tcW w:w="0" w:type="auto"/>
            <w:tcBorders>
              <w:top w:val="nil"/>
              <w:bottom w:val="nil"/>
            </w:tcBorders>
            <w:shd w:val="clear" w:color="auto" w:fill="auto"/>
            <w:noWrap/>
            <w:vAlign w:val="center"/>
          </w:tcPr>
          <w:p w14:paraId="15DF06B6" w14:textId="77777777" w:rsidR="00573E12" w:rsidRPr="00C31B98" w:rsidRDefault="00A243FA" w:rsidP="004F50EC">
            <w:pPr>
              <w:jc w:val="center"/>
              <w:rPr>
                <w:sz w:val="18"/>
                <w:szCs w:val="18"/>
                <w:lang w:val="en-US"/>
              </w:rPr>
            </w:pPr>
            <w:r w:rsidRPr="00C31B98">
              <w:rPr>
                <w:sz w:val="18"/>
                <w:szCs w:val="18"/>
                <w:lang w:val="en-US"/>
              </w:rPr>
              <w:t>1.2E+09</w:t>
            </w:r>
          </w:p>
        </w:tc>
        <w:tc>
          <w:tcPr>
            <w:tcW w:w="0" w:type="auto"/>
            <w:tcBorders>
              <w:top w:val="nil"/>
              <w:bottom w:val="nil"/>
            </w:tcBorders>
            <w:shd w:val="clear" w:color="auto" w:fill="auto"/>
            <w:noWrap/>
            <w:vAlign w:val="center"/>
          </w:tcPr>
          <w:p w14:paraId="281143D8" w14:textId="77777777" w:rsidR="00573E12" w:rsidRPr="00C31B98" w:rsidRDefault="00A243FA" w:rsidP="004F50EC">
            <w:pPr>
              <w:jc w:val="center"/>
              <w:rPr>
                <w:sz w:val="18"/>
                <w:szCs w:val="18"/>
                <w:lang w:val="en-US"/>
              </w:rPr>
            </w:pPr>
            <w:r w:rsidRPr="00C31B98">
              <w:rPr>
                <w:sz w:val="18"/>
                <w:szCs w:val="18"/>
                <w:lang w:val="en-US"/>
              </w:rPr>
              <w:t>0.002 %</w:t>
            </w:r>
          </w:p>
        </w:tc>
      </w:tr>
      <w:tr w:rsidR="00573E12" w:rsidRPr="0095279A" w14:paraId="1CA8DCC2" w14:textId="77777777" w:rsidTr="004F50EC">
        <w:trPr>
          <w:trHeight w:val="288"/>
          <w:jc w:val="center"/>
        </w:trPr>
        <w:tc>
          <w:tcPr>
            <w:tcW w:w="0" w:type="auto"/>
            <w:vMerge/>
            <w:vAlign w:val="center"/>
          </w:tcPr>
          <w:p w14:paraId="5DA1CBFF" w14:textId="77777777" w:rsidR="00573E12" w:rsidRPr="00C31B98" w:rsidRDefault="00573E12" w:rsidP="004F50EC">
            <w:pPr>
              <w:spacing w:line="280" w:lineRule="atLeast"/>
              <w:ind w:left="567" w:right="567"/>
              <w:outlineLvl w:val="0"/>
              <w:rPr>
                <w:sz w:val="18"/>
                <w:szCs w:val="18"/>
                <w:lang w:val="en-US"/>
              </w:rPr>
            </w:pPr>
          </w:p>
        </w:tc>
        <w:tc>
          <w:tcPr>
            <w:tcW w:w="0" w:type="auto"/>
            <w:tcBorders>
              <w:top w:val="nil"/>
              <w:bottom w:val="nil"/>
            </w:tcBorders>
            <w:shd w:val="clear" w:color="auto" w:fill="auto"/>
            <w:noWrap/>
            <w:vAlign w:val="center"/>
          </w:tcPr>
          <w:p w14:paraId="231BDE04" w14:textId="77777777" w:rsidR="00573E12" w:rsidRPr="00C31B98" w:rsidRDefault="00A243FA" w:rsidP="004F50EC">
            <w:pPr>
              <w:jc w:val="center"/>
              <w:rPr>
                <w:sz w:val="18"/>
                <w:szCs w:val="18"/>
                <w:lang w:val="en-US"/>
              </w:rPr>
            </w:pPr>
            <w:r w:rsidRPr="00C31B98">
              <w:rPr>
                <w:sz w:val="18"/>
                <w:szCs w:val="18"/>
                <w:lang w:val="en-US"/>
              </w:rPr>
              <w:t>Pu-239</w:t>
            </w:r>
          </w:p>
        </w:tc>
        <w:tc>
          <w:tcPr>
            <w:tcW w:w="0" w:type="auto"/>
            <w:tcBorders>
              <w:top w:val="nil"/>
              <w:bottom w:val="nil"/>
            </w:tcBorders>
            <w:shd w:val="clear" w:color="auto" w:fill="auto"/>
            <w:noWrap/>
            <w:vAlign w:val="center"/>
          </w:tcPr>
          <w:p w14:paraId="7F20F3E6" w14:textId="77777777" w:rsidR="00573E12" w:rsidRPr="00C31B98" w:rsidRDefault="00A243FA" w:rsidP="004F50EC">
            <w:pPr>
              <w:jc w:val="center"/>
              <w:rPr>
                <w:sz w:val="18"/>
                <w:szCs w:val="18"/>
                <w:lang w:val="en-US"/>
              </w:rPr>
            </w:pPr>
            <w:r w:rsidRPr="00C31B98">
              <w:rPr>
                <w:sz w:val="18"/>
                <w:szCs w:val="18"/>
                <w:lang w:val="en-US"/>
              </w:rPr>
              <w:t>2.41E+04</w:t>
            </w:r>
          </w:p>
        </w:tc>
        <w:tc>
          <w:tcPr>
            <w:tcW w:w="0" w:type="auto"/>
            <w:tcBorders>
              <w:top w:val="nil"/>
              <w:bottom w:val="nil"/>
            </w:tcBorders>
            <w:shd w:val="clear" w:color="auto" w:fill="auto"/>
            <w:noWrap/>
            <w:vAlign w:val="center"/>
          </w:tcPr>
          <w:p w14:paraId="2E39C474" w14:textId="77777777" w:rsidR="00573E12" w:rsidRPr="00C31B98" w:rsidRDefault="00A243FA" w:rsidP="004F50EC">
            <w:pPr>
              <w:jc w:val="center"/>
              <w:rPr>
                <w:sz w:val="18"/>
                <w:szCs w:val="18"/>
                <w:lang w:val="en-US"/>
              </w:rPr>
            </w:pPr>
            <w:r w:rsidRPr="00C31B98">
              <w:rPr>
                <w:sz w:val="18"/>
                <w:szCs w:val="18"/>
                <w:lang w:val="en-US"/>
              </w:rPr>
              <w:t>3.0E+08</w:t>
            </w:r>
          </w:p>
        </w:tc>
        <w:tc>
          <w:tcPr>
            <w:tcW w:w="0" w:type="auto"/>
            <w:tcBorders>
              <w:top w:val="nil"/>
              <w:bottom w:val="nil"/>
            </w:tcBorders>
            <w:shd w:val="clear" w:color="auto" w:fill="auto"/>
            <w:noWrap/>
            <w:vAlign w:val="center"/>
          </w:tcPr>
          <w:p w14:paraId="79326064" w14:textId="77777777" w:rsidR="00573E12" w:rsidRPr="00C31B98" w:rsidRDefault="00A243FA" w:rsidP="004F50EC">
            <w:pPr>
              <w:jc w:val="center"/>
              <w:rPr>
                <w:sz w:val="18"/>
                <w:szCs w:val="18"/>
                <w:lang w:val="en-US"/>
              </w:rPr>
            </w:pPr>
            <w:r w:rsidRPr="00C31B98">
              <w:rPr>
                <w:sz w:val="18"/>
                <w:szCs w:val="18"/>
                <w:lang w:val="en-US"/>
              </w:rPr>
              <w:t>0.001 %</w:t>
            </w:r>
          </w:p>
        </w:tc>
      </w:tr>
      <w:tr w:rsidR="00573E12" w:rsidRPr="0095279A" w14:paraId="0E7841B2" w14:textId="77777777" w:rsidTr="004F50EC">
        <w:trPr>
          <w:trHeight w:val="47"/>
          <w:jc w:val="center"/>
        </w:trPr>
        <w:tc>
          <w:tcPr>
            <w:tcW w:w="0" w:type="auto"/>
            <w:vMerge/>
            <w:vAlign w:val="center"/>
          </w:tcPr>
          <w:p w14:paraId="1529BED8" w14:textId="77777777" w:rsidR="00573E12" w:rsidRPr="00C31B98" w:rsidRDefault="00573E12" w:rsidP="004F50EC">
            <w:pPr>
              <w:spacing w:line="280" w:lineRule="atLeast"/>
              <w:ind w:left="567" w:right="567"/>
              <w:outlineLvl w:val="0"/>
              <w:rPr>
                <w:sz w:val="18"/>
                <w:szCs w:val="18"/>
                <w:lang w:val="en-US"/>
              </w:rPr>
            </w:pPr>
          </w:p>
        </w:tc>
        <w:tc>
          <w:tcPr>
            <w:tcW w:w="0" w:type="auto"/>
            <w:tcBorders>
              <w:top w:val="nil"/>
              <w:bottom w:val="single" w:sz="4" w:space="0" w:color="auto"/>
            </w:tcBorders>
            <w:shd w:val="clear" w:color="auto" w:fill="auto"/>
            <w:noWrap/>
            <w:vAlign w:val="center"/>
          </w:tcPr>
          <w:p w14:paraId="7D8B1911" w14:textId="77777777" w:rsidR="00573E12" w:rsidRPr="00C31B98" w:rsidRDefault="00A243FA" w:rsidP="004F50EC">
            <w:pPr>
              <w:jc w:val="center"/>
              <w:rPr>
                <w:sz w:val="18"/>
                <w:szCs w:val="18"/>
                <w:lang w:val="en-US"/>
              </w:rPr>
            </w:pPr>
            <w:r w:rsidRPr="00C31B98">
              <w:rPr>
                <w:sz w:val="18"/>
                <w:szCs w:val="18"/>
                <w:lang w:val="en-US"/>
              </w:rPr>
              <w:t>Others</w:t>
            </w:r>
          </w:p>
        </w:tc>
        <w:tc>
          <w:tcPr>
            <w:tcW w:w="0" w:type="auto"/>
            <w:tcBorders>
              <w:top w:val="nil"/>
              <w:bottom w:val="single" w:sz="4" w:space="0" w:color="auto"/>
            </w:tcBorders>
            <w:shd w:val="clear" w:color="auto" w:fill="auto"/>
            <w:noWrap/>
            <w:vAlign w:val="center"/>
          </w:tcPr>
          <w:p w14:paraId="5C4D8EA5" w14:textId="77777777" w:rsidR="00573E12" w:rsidRPr="00C31B98" w:rsidRDefault="00573E12" w:rsidP="004F50EC">
            <w:pPr>
              <w:spacing w:line="280" w:lineRule="atLeast"/>
              <w:ind w:left="567" w:right="567"/>
              <w:jc w:val="center"/>
              <w:outlineLvl w:val="0"/>
              <w:rPr>
                <w:sz w:val="18"/>
                <w:szCs w:val="18"/>
                <w:lang w:val="en-US"/>
              </w:rPr>
            </w:pPr>
          </w:p>
        </w:tc>
        <w:tc>
          <w:tcPr>
            <w:tcW w:w="0" w:type="auto"/>
            <w:tcBorders>
              <w:top w:val="nil"/>
              <w:bottom w:val="single" w:sz="4" w:space="0" w:color="auto"/>
            </w:tcBorders>
            <w:shd w:val="clear" w:color="auto" w:fill="auto"/>
            <w:noWrap/>
            <w:vAlign w:val="center"/>
          </w:tcPr>
          <w:p w14:paraId="26663852" w14:textId="77777777" w:rsidR="00573E12" w:rsidRPr="00C31B98" w:rsidRDefault="00A243FA" w:rsidP="004F50EC">
            <w:pPr>
              <w:jc w:val="center"/>
              <w:rPr>
                <w:sz w:val="18"/>
                <w:szCs w:val="18"/>
                <w:lang w:val="en-US"/>
              </w:rPr>
            </w:pPr>
            <w:r w:rsidRPr="00C31B98">
              <w:rPr>
                <w:sz w:val="18"/>
                <w:szCs w:val="18"/>
                <w:lang w:val="en-US"/>
              </w:rPr>
              <w:t>4.1E+07</w:t>
            </w:r>
          </w:p>
        </w:tc>
        <w:tc>
          <w:tcPr>
            <w:tcW w:w="0" w:type="auto"/>
            <w:tcBorders>
              <w:top w:val="nil"/>
              <w:bottom w:val="single" w:sz="4" w:space="0" w:color="auto"/>
            </w:tcBorders>
            <w:shd w:val="clear" w:color="auto" w:fill="auto"/>
            <w:noWrap/>
            <w:vAlign w:val="center"/>
          </w:tcPr>
          <w:p w14:paraId="3A8B563D" w14:textId="77777777" w:rsidR="00573E12" w:rsidRPr="00C31B98" w:rsidRDefault="00A243FA" w:rsidP="004F50EC">
            <w:pPr>
              <w:jc w:val="center"/>
              <w:rPr>
                <w:sz w:val="18"/>
                <w:szCs w:val="18"/>
                <w:lang w:val="en-US"/>
              </w:rPr>
            </w:pPr>
            <w:r w:rsidRPr="00C31B98">
              <w:rPr>
                <w:sz w:val="18"/>
                <w:szCs w:val="18"/>
                <w:lang w:val="en-US"/>
              </w:rPr>
              <w:t>&lt; 0.0001 %</w:t>
            </w:r>
          </w:p>
        </w:tc>
      </w:tr>
      <w:tr w:rsidR="00573E12" w:rsidRPr="0095279A" w14:paraId="7C7CCFDA" w14:textId="77777777" w:rsidTr="004F50EC">
        <w:trPr>
          <w:trHeight w:val="47"/>
          <w:jc w:val="center"/>
        </w:trPr>
        <w:tc>
          <w:tcPr>
            <w:tcW w:w="0" w:type="auto"/>
            <w:vMerge w:val="restart"/>
            <w:vAlign w:val="center"/>
          </w:tcPr>
          <w:p w14:paraId="367D13D8" w14:textId="77777777" w:rsidR="00573E12" w:rsidRPr="00C31B98" w:rsidRDefault="00A243FA" w:rsidP="004F50EC">
            <w:pPr>
              <w:rPr>
                <w:sz w:val="18"/>
                <w:szCs w:val="18"/>
                <w:lang w:val="en-US"/>
              </w:rPr>
            </w:pPr>
            <w:r w:rsidRPr="00C31B98">
              <w:rPr>
                <w:sz w:val="18"/>
                <w:szCs w:val="18"/>
                <w:lang w:val="en-US"/>
              </w:rPr>
              <w:t>Short-lived</w:t>
            </w:r>
          </w:p>
        </w:tc>
        <w:tc>
          <w:tcPr>
            <w:tcW w:w="0" w:type="auto"/>
            <w:tcBorders>
              <w:bottom w:val="nil"/>
            </w:tcBorders>
            <w:shd w:val="clear" w:color="auto" w:fill="auto"/>
            <w:noWrap/>
            <w:vAlign w:val="center"/>
          </w:tcPr>
          <w:p w14:paraId="776F1890" w14:textId="77777777" w:rsidR="00573E12" w:rsidRPr="00C31B98" w:rsidRDefault="00A243FA" w:rsidP="004F50EC">
            <w:pPr>
              <w:jc w:val="center"/>
              <w:rPr>
                <w:sz w:val="18"/>
                <w:szCs w:val="18"/>
                <w:lang w:val="en-US"/>
              </w:rPr>
            </w:pPr>
            <w:r w:rsidRPr="00C31B98">
              <w:rPr>
                <w:sz w:val="18"/>
                <w:szCs w:val="18"/>
                <w:lang w:val="en-US"/>
              </w:rPr>
              <w:t>H-3</w:t>
            </w:r>
          </w:p>
        </w:tc>
        <w:tc>
          <w:tcPr>
            <w:tcW w:w="0" w:type="auto"/>
            <w:tcBorders>
              <w:bottom w:val="nil"/>
            </w:tcBorders>
            <w:shd w:val="clear" w:color="auto" w:fill="auto"/>
            <w:noWrap/>
            <w:vAlign w:val="center"/>
          </w:tcPr>
          <w:p w14:paraId="7C0E3702" w14:textId="77777777" w:rsidR="00573E12" w:rsidRPr="00C31B98" w:rsidRDefault="00A243FA" w:rsidP="004F50EC">
            <w:pPr>
              <w:jc w:val="center"/>
              <w:rPr>
                <w:sz w:val="18"/>
                <w:szCs w:val="18"/>
                <w:lang w:val="en-US"/>
              </w:rPr>
            </w:pPr>
            <w:r w:rsidRPr="00C31B98">
              <w:rPr>
                <w:sz w:val="18"/>
                <w:szCs w:val="18"/>
                <w:lang w:val="en-US"/>
              </w:rPr>
              <w:t>12.3</w:t>
            </w:r>
          </w:p>
        </w:tc>
        <w:tc>
          <w:tcPr>
            <w:tcW w:w="0" w:type="auto"/>
            <w:tcBorders>
              <w:bottom w:val="nil"/>
            </w:tcBorders>
            <w:shd w:val="clear" w:color="auto" w:fill="auto"/>
            <w:noWrap/>
            <w:vAlign w:val="center"/>
          </w:tcPr>
          <w:p w14:paraId="48613ABE" w14:textId="77777777" w:rsidR="00573E12" w:rsidRPr="00C31B98" w:rsidRDefault="00A243FA" w:rsidP="004F50EC">
            <w:pPr>
              <w:jc w:val="center"/>
              <w:rPr>
                <w:sz w:val="18"/>
                <w:szCs w:val="18"/>
                <w:lang w:val="en-US"/>
              </w:rPr>
            </w:pPr>
            <w:r w:rsidRPr="00C31B98">
              <w:rPr>
                <w:sz w:val="18"/>
                <w:szCs w:val="18"/>
                <w:lang w:val="en-US"/>
              </w:rPr>
              <w:t>4.8E+13</w:t>
            </w:r>
          </w:p>
        </w:tc>
        <w:tc>
          <w:tcPr>
            <w:tcW w:w="0" w:type="auto"/>
            <w:tcBorders>
              <w:bottom w:val="nil"/>
            </w:tcBorders>
            <w:shd w:val="clear" w:color="auto" w:fill="auto"/>
            <w:noWrap/>
            <w:vAlign w:val="center"/>
          </w:tcPr>
          <w:p w14:paraId="55175DF8" w14:textId="77777777" w:rsidR="00573E12" w:rsidRPr="00C31B98" w:rsidRDefault="00A243FA" w:rsidP="004F50EC">
            <w:pPr>
              <w:jc w:val="center"/>
              <w:rPr>
                <w:sz w:val="18"/>
                <w:szCs w:val="18"/>
                <w:lang w:val="en-US"/>
              </w:rPr>
            </w:pPr>
            <w:r w:rsidRPr="00C31B98">
              <w:rPr>
                <w:sz w:val="18"/>
                <w:szCs w:val="18"/>
                <w:lang w:val="en-US"/>
              </w:rPr>
              <w:t>99.4 %</w:t>
            </w:r>
          </w:p>
        </w:tc>
      </w:tr>
      <w:tr w:rsidR="00573E12" w:rsidRPr="0095279A" w14:paraId="6D7A58FA" w14:textId="77777777" w:rsidTr="004F50EC">
        <w:trPr>
          <w:trHeight w:val="47"/>
          <w:jc w:val="center"/>
        </w:trPr>
        <w:tc>
          <w:tcPr>
            <w:tcW w:w="0" w:type="auto"/>
            <w:vMerge/>
            <w:vAlign w:val="center"/>
          </w:tcPr>
          <w:p w14:paraId="5B3ED973" w14:textId="77777777" w:rsidR="00573E12" w:rsidRPr="00C31B98" w:rsidRDefault="00573E12" w:rsidP="004F50EC">
            <w:pPr>
              <w:spacing w:line="280" w:lineRule="atLeast"/>
              <w:ind w:left="360" w:right="567"/>
              <w:outlineLvl w:val="0"/>
              <w:rPr>
                <w:sz w:val="18"/>
                <w:szCs w:val="18"/>
                <w:lang w:val="en-US"/>
              </w:rPr>
            </w:pPr>
          </w:p>
        </w:tc>
        <w:tc>
          <w:tcPr>
            <w:tcW w:w="0" w:type="auto"/>
            <w:tcBorders>
              <w:top w:val="nil"/>
              <w:bottom w:val="nil"/>
            </w:tcBorders>
            <w:shd w:val="clear" w:color="auto" w:fill="auto"/>
            <w:noWrap/>
            <w:vAlign w:val="center"/>
            <w:hideMark/>
          </w:tcPr>
          <w:p w14:paraId="15290957" w14:textId="77777777" w:rsidR="00573E12" w:rsidRPr="00C31B98" w:rsidRDefault="00A243FA" w:rsidP="004F50EC">
            <w:pPr>
              <w:jc w:val="center"/>
              <w:rPr>
                <w:sz w:val="18"/>
                <w:szCs w:val="18"/>
                <w:lang w:val="en-US"/>
              </w:rPr>
            </w:pPr>
            <w:r w:rsidRPr="00C31B98">
              <w:rPr>
                <w:sz w:val="18"/>
                <w:szCs w:val="18"/>
                <w:lang w:val="en-US"/>
              </w:rPr>
              <w:t>Cs-137</w:t>
            </w:r>
          </w:p>
        </w:tc>
        <w:tc>
          <w:tcPr>
            <w:tcW w:w="0" w:type="auto"/>
            <w:tcBorders>
              <w:top w:val="nil"/>
              <w:bottom w:val="nil"/>
            </w:tcBorders>
            <w:shd w:val="clear" w:color="auto" w:fill="auto"/>
            <w:noWrap/>
            <w:vAlign w:val="center"/>
            <w:hideMark/>
          </w:tcPr>
          <w:p w14:paraId="62580C0B" w14:textId="77777777" w:rsidR="00573E12" w:rsidRPr="00C31B98" w:rsidRDefault="00A243FA" w:rsidP="004F50EC">
            <w:pPr>
              <w:jc w:val="center"/>
              <w:rPr>
                <w:sz w:val="18"/>
                <w:szCs w:val="18"/>
                <w:lang w:val="en-US"/>
              </w:rPr>
            </w:pPr>
            <w:r w:rsidRPr="00C31B98">
              <w:rPr>
                <w:sz w:val="18"/>
                <w:szCs w:val="18"/>
                <w:lang w:val="en-US"/>
              </w:rPr>
              <w:t>30.0</w:t>
            </w:r>
          </w:p>
        </w:tc>
        <w:tc>
          <w:tcPr>
            <w:tcW w:w="0" w:type="auto"/>
            <w:tcBorders>
              <w:top w:val="nil"/>
              <w:bottom w:val="nil"/>
            </w:tcBorders>
            <w:shd w:val="clear" w:color="auto" w:fill="auto"/>
            <w:noWrap/>
            <w:vAlign w:val="center"/>
            <w:hideMark/>
          </w:tcPr>
          <w:p w14:paraId="66D30019" w14:textId="77777777" w:rsidR="00573E12" w:rsidRPr="00C31B98" w:rsidRDefault="00A243FA" w:rsidP="004F50EC">
            <w:pPr>
              <w:jc w:val="center"/>
              <w:rPr>
                <w:sz w:val="18"/>
                <w:szCs w:val="18"/>
                <w:lang w:val="en-US"/>
              </w:rPr>
            </w:pPr>
            <w:r w:rsidRPr="00C31B98">
              <w:rPr>
                <w:sz w:val="18"/>
                <w:szCs w:val="18"/>
                <w:lang w:val="en-US"/>
              </w:rPr>
              <w:t>1.2E+09</w:t>
            </w:r>
          </w:p>
        </w:tc>
        <w:tc>
          <w:tcPr>
            <w:tcW w:w="0" w:type="auto"/>
            <w:tcBorders>
              <w:top w:val="nil"/>
              <w:bottom w:val="nil"/>
            </w:tcBorders>
            <w:shd w:val="clear" w:color="auto" w:fill="auto"/>
            <w:noWrap/>
            <w:vAlign w:val="center"/>
            <w:hideMark/>
          </w:tcPr>
          <w:p w14:paraId="47B7B3D2" w14:textId="77777777" w:rsidR="00573E12" w:rsidRPr="00C31B98" w:rsidRDefault="00A243FA" w:rsidP="004F50EC">
            <w:pPr>
              <w:spacing w:line="280" w:lineRule="atLeast"/>
              <w:jc w:val="center"/>
              <w:rPr>
                <w:sz w:val="18"/>
                <w:szCs w:val="18"/>
                <w:lang w:val="en-US"/>
              </w:rPr>
            </w:pPr>
            <w:r w:rsidRPr="00C31B98">
              <w:rPr>
                <w:sz w:val="18"/>
                <w:szCs w:val="18"/>
                <w:lang w:val="en-US"/>
              </w:rPr>
              <w:t>0.003 %</w:t>
            </w:r>
          </w:p>
        </w:tc>
      </w:tr>
      <w:tr w:rsidR="00573E12" w:rsidRPr="0095279A" w14:paraId="692C0C28" w14:textId="77777777" w:rsidTr="004F50EC">
        <w:trPr>
          <w:trHeight w:val="47"/>
          <w:jc w:val="center"/>
        </w:trPr>
        <w:tc>
          <w:tcPr>
            <w:tcW w:w="0" w:type="auto"/>
            <w:vMerge/>
            <w:vAlign w:val="center"/>
          </w:tcPr>
          <w:p w14:paraId="09B458EC" w14:textId="77777777" w:rsidR="00573E12" w:rsidRPr="00C31B98" w:rsidRDefault="00573E12" w:rsidP="004F50EC">
            <w:pPr>
              <w:spacing w:line="280" w:lineRule="atLeast"/>
              <w:ind w:left="360" w:right="567"/>
              <w:outlineLvl w:val="0"/>
              <w:rPr>
                <w:sz w:val="18"/>
                <w:szCs w:val="18"/>
                <w:lang w:val="en-US"/>
              </w:rPr>
            </w:pPr>
          </w:p>
        </w:tc>
        <w:tc>
          <w:tcPr>
            <w:tcW w:w="0" w:type="auto"/>
            <w:tcBorders>
              <w:top w:val="nil"/>
              <w:bottom w:val="nil"/>
            </w:tcBorders>
            <w:shd w:val="clear" w:color="auto" w:fill="auto"/>
            <w:noWrap/>
            <w:vAlign w:val="center"/>
          </w:tcPr>
          <w:p w14:paraId="66C41100" w14:textId="77777777" w:rsidR="00573E12" w:rsidRPr="00C31B98" w:rsidRDefault="00A243FA" w:rsidP="004F50EC">
            <w:pPr>
              <w:jc w:val="center"/>
              <w:rPr>
                <w:sz w:val="18"/>
                <w:szCs w:val="18"/>
                <w:lang w:val="en-US"/>
              </w:rPr>
            </w:pPr>
            <w:r w:rsidRPr="00C31B98">
              <w:rPr>
                <w:sz w:val="18"/>
                <w:szCs w:val="18"/>
                <w:lang w:val="en-US"/>
              </w:rPr>
              <w:t>Sr-90</w:t>
            </w:r>
          </w:p>
        </w:tc>
        <w:tc>
          <w:tcPr>
            <w:tcW w:w="0" w:type="auto"/>
            <w:tcBorders>
              <w:top w:val="nil"/>
              <w:bottom w:val="nil"/>
            </w:tcBorders>
            <w:shd w:val="clear" w:color="auto" w:fill="auto"/>
            <w:noWrap/>
            <w:vAlign w:val="center"/>
          </w:tcPr>
          <w:p w14:paraId="0ACD20D8" w14:textId="77777777" w:rsidR="00573E12" w:rsidRPr="00C31B98" w:rsidRDefault="00A243FA" w:rsidP="004F50EC">
            <w:pPr>
              <w:jc w:val="center"/>
              <w:rPr>
                <w:sz w:val="18"/>
                <w:szCs w:val="18"/>
                <w:lang w:val="en-US"/>
              </w:rPr>
            </w:pPr>
            <w:r w:rsidRPr="00C31B98">
              <w:rPr>
                <w:sz w:val="18"/>
                <w:szCs w:val="18"/>
                <w:lang w:val="en-US"/>
              </w:rPr>
              <w:t>29.1</w:t>
            </w:r>
          </w:p>
        </w:tc>
        <w:tc>
          <w:tcPr>
            <w:tcW w:w="0" w:type="auto"/>
            <w:tcBorders>
              <w:top w:val="nil"/>
              <w:bottom w:val="nil"/>
            </w:tcBorders>
            <w:shd w:val="clear" w:color="auto" w:fill="auto"/>
            <w:noWrap/>
            <w:vAlign w:val="center"/>
          </w:tcPr>
          <w:p w14:paraId="7A71AAE6" w14:textId="77777777" w:rsidR="00573E12" w:rsidRPr="00C31B98" w:rsidRDefault="00A243FA" w:rsidP="004F50EC">
            <w:pPr>
              <w:jc w:val="center"/>
              <w:rPr>
                <w:sz w:val="18"/>
                <w:szCs w:val="18"/>
                <w:lang w:val="en-US"/>
              </w:rPr>
            </w:pPr>
            <w:r w:rsidRPr="00C31B98">
              <w:rPr>
                <w:sz w:val="18"/>
                <w:szCs w:val="18"/>
                <w:lang w:val="en-US"/>
              </w:rPr>
              <w:t>8.7E+08</w:t>
            </w:r>
          </w:p>
        </w:tc>
        <w:tc>
          <w:tcPr>
            <w:tcW w:w="0" w:type="auto"/>
            <w:tcBorders>
              <w:top w:val="nil"/>
              <w:bottom w:val="nil"/>
            </w:tcBorders>
            <w:shd w:val="clear" w:color="auto" w:fill="auto"/>
            <w:noWrap/>
            <w:vAlign w:val="center"/>
          </w:tcPr>
          <w:p w14:paraId="75B62EBD" w14:textId="77777777" w:rsidR="00573E12" w:rsidRPr="00C31B98" w:rsidRDefault="00A243FA" w:rsidP="004F50EC">
            <w:pPr>
              <w:jc w:val="center"/>
              <w:rPr>
                <w:sz w:val="18"/>
                <w:szCs w:val="18"/>
                <w:lang w:val="en-US"/>
              </w:rPr>
            </w:pPr>
            <w:r w:rsidRPr="00C31B98">
              <w:rPr>
                <w:sz w:val="18"/>
                <w:szCs w:val="18"/>
                <w:lang w:val="en-US"/>
              </w:rPr>
              <w:t>0.002 %</w:t>
            </w:r>
          </w:p>
        </w:tc>
      </w:tr>
      <w:tr w:rsidR="00573E12" w:rsidRPr="0095279A" w14:paraId="5F1BBF87" w14:textId="77777777" w:rsidTr="004F50EC">
        <w:trPr>
          <w:trHeight w:val="47"/>
          <w:jc w:val="center"/>
        </w:trPr>
        <w:tc>
          <w:tcPr>
            <w:tcW w:w="0" w:type="auto"/>
            <w:vMerge/>
            <w:vAlign w:val="center"/>
          </w:tcPr>
          <w:p w14:paraId="59DB5257" w14:textId="77777777" w:rsidR="00573E12" w:rsidRPr="00C31B98" w:rsidRDefault="00573E12" w:rsidP="004F50EC">
            <w:pPr>
              <w:spacing w:line="280" w:lineRule="atLeast"/>
              <w:ind w:left="360" w:right="567"/>
              <w:outlineLvl w:val="0"/>
              <w:rPr>
                <w:sz w:val="18"/>
                <w:szCs w:val="18"/>
                <w:lang w:val="en-US"/>
              </w:rPr>
            </w:pPr>
          </w:p>
        </w:tc>
        <w:tc>
          <w:tcPr>
            <w:tcW w:w="0" w:type="auto"/>
            <w:tcBorders>
              <w:top w:val="nil"/>
            </w:tcBorders>
            <w:shd w:val="clear" w:color="auto" w:fill="auto"/>
            <w:noWrap/>
            <w:vAlign w:val="center"/>
          </w:tcPr>
          <w:p w14:paraId="4DF2BE74" w14:textId="77777777" w:rsidR="00573E12" w:rsidRPr="00C31B98" w:rsidRDefault="00A243FA" w:rsidP="004F50EC">
            <w:pPr>
              <w:jc w:val="center"/>
              <w:rPr>
                <w:sz w:val="18"/>
                <w:szCs w:val="18"/>
                <w:lang w:val="en-US"/>
              </w:rPr>
            </w:pPr>
            <w:r w:rsidRPr="00C31B98">
              <w:rPr>
                <w:sz w:val="18"/>
                <w:szCs w:val="18"/>
                <w:lang w:val="en-US"/>
              </w:rPr>
              <w:t>Others</w:t>
            </w:r>
          </w:p>
        </w:tc>
        <w:tc>
          <w:tcPr>
            <w:tcW w:w="0" w:type="auto"/>
            <w:tcBorders>
              <w:top w:val="nil"/>
            </w:tcBorders>
            <w:shd w:val="clear" w:color="auto" w:fill="auto"/>
            <w:noWrap/>
            <w:vAlign w:val="center"/>
          </w:tcPr>
          <w:p w14:paraId="748142BA" w14:textId="77777777" w:rsidR="00573E12" w:rsidRPr="00C31B98" w:rsidRDefault="00573E12" w:rsidP="004F50EC">
            <w:pPr>
              <w:spacing w:line="280" w:lineRule="atLeast"/>
              <w:ind w:right="567"/>
              <w:jc w:val="center"/>
              <w:outlineLvl w:val="0"/>
              <w:rPr>
                <w:sz w:val="18"/>
                <w:szCs w:val="18"/>
                <w:lang w:val="en-US"/>
              </w:rPr>
            </w:pPr>
          </w:p>
        </w:tc>
        <w:tc>
          <w:tcPr>
            <w:tcW w:w="0" w:type="auto"/>
            <w:tcBorders>
              <w:top w:val="nil"/>
            </w:tcBorders>
            <w:shd w:val="clear" w:color="auto" w:fill="auto"/>
            <w:noWrap/>
            <w:vAlign w:val="center"/>
          </w:tcPr>
          <w:p w14:paraId="1DE9CA91" w14:textId="77777777" w:rsidR="00573E12" w:rsidRPr="00C31B98" w:rsidRDefault="00A243FA" w:rsidP="004F50EC">
            <w:pPr>
              <w:spacing w:line="280" w:lineRule="atLeast"/>
              <w:jc w:val="center"/>
              <w:rPr>
                <w:sz w:val="18"/>
                <w:szCs w:val="18"/>
                <w:lang w:val="en-US"/>
              </w:rPr>
            </w:pPr>
            <w:r w:rsidRPr="00C31B98">
              <w:rPr>
                <w:sz w:val="18"/>
                <w:szCs w:val="18"/>
                <w:lang w:val="en-US"/>
              </w:rPr>
              <w:t>4.1E+07</w:t>
            </w:r>
          </w:p>
        </w:tc>
        <w:tc>
          <w:tcPr>
            <w:tcW w:w="0" w:type="auto"/>
            <w:tcBorders>
              <w:top w:val="nil"/>
            </w:tcBorders>
            <w:shd w:val="clear" w:color="auto" w:fill="auto"/>
            <w:noWrap/>
            <w:vAlign w:val="center"/>
          </w:tcPr>
          <w:p w14:paraId="2D0CCCDB" w14:textId="77777777" w:rsidR="00573E12" w:rsidRPr="00C31B98" w:rsidRDefault="00A243FA" w:rsidP="004F50EC">
            <w:pPr>
              <w:spacing w:line="280" w:lineRule="atLeast"/>
              <w:jc w:val="center"/>
              <w:rPr>
                <w:sz w:val="18"/>
                <w:szCs w:val="18"/>
                <w:lang w:val="en-US"/>
              </w:rPr>
            </w:pPr>
            <w:r w:rsidRPr="00C31B98">
              <w:rPr>
                <w:sz w:val="18"/>
                <w:szCs w:val="18"/>
                <w:lang w:val="en-US"/>
              </w:rPr>
              <w:t>&lt; 0.0001 %</w:t>
            </w:r>
          </w:p>
        </w:tc>
      </w:tr>
      <w:tr w:rsidR="00573E12" w:rsidRPr="0095279A" w14:paraId="6C079110" w14:textId="77777777" w:rsidTr="004F50EC">
        <w:trPr>
          <w:trHeight w:val="47"/>
          <w:jc w:val="center"/>
        </w:trPr>
        <w:tc>
          <w:tcPr>
            <w:tcW w:w="0" w:type="auto"/>
            <w:vAlign w:val="center"/>
          </w:tcPr>
          <w:p w14:paraId="468F934E" w14:textId="77777777" w:rsidR="00573E12" w:rsidRPr="00C31B98" w:rsidRDefault="00A243FA" w:rsidP="004F50EC">
            <w:pPr>
              <w:spacing w:line="280" w:lineRule="atLeast"/>
              <w:rPr>
                <w:bCs/>
                <w:sz w:val="18"/>
                <w:szCs w:val="18"/>
                <w:lang w:val="en-US"/>
              </w:rPr>
            </w:pPr>
            <w:r w:rsidRPr="00C31B98">
              <w:rPr>
                <w:bCs/>
                <w:sz w:val="18"/>
                <w:szCs w:val="18"/>
                <w:lang w:val="en-US"/>
              </w:rPr>
              <w:t>Total:</w:t>
            </w:r>
          </w:p>
        </w:tc>
        <w:tc>
          <w:tcPr>
            <w:tcW w:w="0" w:type="auto"/>
            <w:shd w:val="clear" w:color="auto" w:fill="auto"/>
            <w:noWrap/>
            <w:vAlign w:val="center"/>
            <w:hideMark/>
          </w:tcPr>
          <w:p w14:paraId="0D12FB72" w14:textId="77777777" w:rsidR="00573E12" w:rsidRPr="00C31B98" w:rsidRDefault="00573E12" w:rsidP="004F50EC">
            <w:pPr>
              <w:ind w:left="360"/>
              <w:jc w:val="center"/>
              <w:rPr>
                <w:bCs/>
                <w:sz w:val="18"/>
                <w:szCs w:val="18"/>
                <w:lang w:val="en-US"/>
              </w:rPr>
            </w:pPr>
          </w:p>
        </w:tc>
        <w:tc>
          <w:tcPr>
            <w:tcW w:w="0" w:type="auto"/>
            <w:shd w:val="clear" w:color="auto" w:fill="auto"/>
            <w:noWrap/>
            <w:vAlign w:val="center"/>
            <w:hideMark/>
          </w:tcPr>
          <w:p w14:paraId="2C44EB4E" w14:textId="77777777" w:rsidR="00573E12" w:rsidRPr="00C31B98" w:rsidRDefault="00573E12" w:rsidP="004F50EC">
            <w:pPr>
              <w:jc w:val="center"/>
              <w:rPr>
                <w:bCs/>
                <w:sz w:val="18"/>
                <w:szCs w:val="18"/>
                <w:lang w:val="en-US"/>
              </w:rPr>
            </w:pPr>
          </w:p>
        </w:tc>
        <w:tc>
          <w:tcPr>
            <w:tcW w:w="0" w:type="auto"/>
            <w:shd w:val="clear" w:color="auto" w:fill="auto"/>
            <w:noWrap/>
            <w:vAlign w:val="center"/>
            <w:hideMark/>
          </w:tcPr>
          <w:p w14:paraId="6B03CD39" w14:textId="77777777" w:rsidR="00573E12" w:rsidRPr="00C31B98" w:rsidRDefault="00A243FA" w:rsidP="004F50EC">
            <w:pPr>
              <w:jc w:val="center"/>
              <w:rPr>
                <w:bCs/>
                <w:sz w:val="18"/>
                <w:szCs w:val="18"/>
                <w:lang w:val="en-US"/>
              </w:rPr>
            </w:pPr>
            <w:r w:rsidRPr="00C31B98">
              <w:rPr>
                <w:bCs/>
                <w:sz w:val="18"/>
                <w:szCs w:val="18"/>
                <w:lang w:val="en-US"/>
              </w:rPr>
              <w:t>4.8E+13</w:t>
            </w:r>
          </w:p>
        </w:tc>
        <w:tc>
          <w:tcPr>
            <w:tcW w:w="0" w:type="auto"/>
            <w:shd w:val="clear" w:color="auto" w:fill="auto"/>
            <w:noWrap/>
            <w:vAlign w:val="center"/>
            <w:hideMark/>
          </w:tcPr>
          <w:p w14:paraId="0BE50543" w14:textId="77777777" w:rsidR="00573E12" w:rsidRPr="00C31B98" w:rsidRDefault="00A243FA" w:rsidP="004F50EC">
            <w:pPr>
              <w:jc w:val="center"/>
              <w:rPr>
                <w:bCs/>
                <w:sz w:val="18"/>
                <w:szCs w:val="18"/>
                <w:lang w:val="en-US"/>
              </w:rPr>
            </w:pPr>
            <w:r w:rsidRPr="00C31B98">
              <w:rPr>
                <w:bCs/>
                <w:sz w:val="18"/>
                <w:szCs w:val="18"/>
                <w:lang w:val="en-US"/>
              </w:rPr>
              <w:t>100</w:t>
            </w:r>
          </w:p>
        </w:tc>
      </w:tr>
      <w:bookmarkEnd w:id="0"/>
    </w:tbl>
    <w:p w14:paraId="7954F5B7" w14:textId="77777777" w:rsidR="00573E12" w:rsidRPr="00C31B98" w:rsidRDefault="00573E12" w:rsidP="00573E12">
      <w:pPr>
        <w:pStyle w:val="Pagrindinistekstas"/>
        <w:rPr>
          <w:lang w:val="en-US"/>
        </w:rPr>
      </w:pPr>
    </w:p>
    <w:p w14:paraId="4B6364B1" w14:textId="35D51065" w:rsidR="00D770D3" w:rsidRDefault="00D770D3" w:rsidP="00B90B22">
      <w:pPr>
        <w:pStyle w:val="Pagrindinistekstas"/>
        <w:rPr>
          <w:lang w:val="en-US"/>
        </w:rPr>
      </w:pPr>
      <w:r w:rsidRPr="00D770D3">
        <w:rPr>
          <w:lang w:val="en-US"/>
        </w:rPr>
        <w:t>Radionuclide activity in the DSRS is shown in Table 2. Short-lived Cs-137 predomi</w:t>
      </w:r>
      <w:r>
        <w:rPr>
          <w:lang w:val="en-US"/>
        </w:rPr>
        <w:t xml:space="preserve">nates in terms of </w:t>
      </w:r>
      <w:r w:rsidRPr="008315E9">
        <w:rPr>
          <w:lang w:val="en-US"/>
        </w:rPr>
        <w:t xml:space="preserve">radionuclide activity. Its total activity is about 95 percent of the activity of the </w:t>
      </w:r>
      <w:r w:rsidR="004F50EC">
        <w:rPr>
          <w:lang w:val="en-US"/>
        </w:rPr>
        <w:t>DSRS</w:t>
      </w:r>
      <w:r w:rsidRPr="008315E9">
        <w:rPr>
          <w:lang w:val="en-US"/>
        </w:rPr>
        <w:t xml:space="preserve"> in storage. Other significant radionuclides are short-lived Sr-</w:t>
      </w:r>
      <w:r w:rsidR="00271981" w:rsidRPr="008315E9">
        <w:rPr>
          <w:lang w:val="en-US"/>
        </w:rPr>
        <w:t>90, Co-60 and long-lived Pu-239</w:t>
      </w:r>
      <w:r w:rsidR="001D13EB" w:rsidRPr="008315E9">
        <w:rPr>
          <w:lang w:val="en-US"/>
        </w:rPr>
        <w:t>, which are dominant in respect of</w:t>
      </w:r>
      <w:r w:rsidRPr="008315E9">
        <w:rPr>
          <w:lang w:val="en-US"/>
        </w:rPr>
        <w:t xml:space="preserve"> the accumulated activity and the </w:t>
      </w:r>
      <w:r w:rsidR="001D13EB" w:rsidRPr="008315E9">
        <w:rPr>
          <w:lang w:val="en-US"/>
        </w:rPr>
        <w:t>existing</w:t>
      </w:r>
      <w:r w:rsidRPr="008315E9">
        <w:rPr>
          <w:lang w:val="en-US"/>
        </w:rPr>
        <w:t xml:space="preserve"> number of </w:t>
      </w:r>
      <w:r w:rsidR="004F50EC">
        <w:rPr>
          <w:lang w:val="en-US"/>
        </w:rPr>
        <w:t>DSRS</w:t>
      </w:r>
      <w:r w:rsidRPr="008315E9">
        <w:rPr>
          <w:lang w:val="en-US"/>
        </w:rPr>
        <w:t xml:space="preserve"> units. Cs-137 and Co-60 are various DSRSs</w:t>
      </w:r>
      <w:r w:rsidR="001D13EB" w:rsidRPr="008315E9">
        <w:rPr>
          <w:lang w:val="en-US"/>
        </w:rPr>
        <w:t xml:space="preserve"> </w:t>
      </w:r>
      <w:r w:rsidRPr="008315E9">
        <w:rPr>
          <w:lang w:val="en-US"/>
        </w:rPr>
        <w:t>use</w:t>
      </w:r>
      <w:r w:rsidR="001D13EB" w:rsidRPr="008315E9">
        <w:rPr>
          <w:lang w:val="en-US"/>
        </w:rPr>
        <w:t>d</w:t>
      </w:r>
      <w:r w:rsidRPr="008315E9">
        <w:rPr>
          <w:lang w:val="en-US"/>
        </w:rPr>
        <w:t xml:space="preserve"> in industry or research, </w:t>
      </w:r>
      <w:proofErr w:type="spellStart"/>
      <w:r w:rsidRPr="008315E9">
        <w:rPr>
          <w:lang w:val="en-US"/>
        </w:rPr>
        <w:t>i</w:t>
      </w:r>
      <w:proofErr w:type="spellEnd"/>
      <w:r w:rsidRPr="008315E9">
        <w:rPr>
          <w:lang w:val="en-US"/>
        </w:rPr>
        <w:t>.</w:t>
      </w:r>
      <w:r w:rsidR="001D13EB" w:rsidRPr="008315E9">
        <w:rPr>
          <w:lang w:val="en-US"/>
        </w:rPr>
        <w:t xml:space="preserve"> e.,</w:t>
      </w:r>
      <w:r w:rsidRPr="008315E9">
        <w:rPr>
          <w:lang w:val="en-US"/>
        </w:rPr>
        <w:t xml:space="preserve"> mainly BGI-A (Russian: БГИ-А) and EM (Russian: ЭМ) type sources with their biological protection. DSRS with Pu-239 are mainly AIP-N (Russian: АИП-Н) type neutralizer plates and </w:t>
      </w:r>
      <w:r w:rsidR="001D13EB" w:rsidRPr="008315E9">
        <w:rPr>
          <w:lang w:val="en-US"/>
        </w:rPr>
        <w:t xml:space="preserve">sources used in </w:t>
      </w:r>
      <w:r w:rsidRPr="008315E9">
        <w:rPr>
          <w:lang w:val="en-US"/>
        </w:rPr>
        <w:t>AIP-RID (Russian: АИП-РИД) type smoke detectors. DSRS with Sr-90 are RIO (Russian: РИО) type sources used as icing sensors in aviation.</w:t>
      </w:r>
    </w:p>
    <w:p w14:paraId="3F1AB3D7" w14:textId="7DBD9BCE" w:rsidR="000D25C1" w:rsidRPr="00C31B98" w:rsidRDefault="000D25C1" w:rsidP="00B90B22">
      <w:pPr>
        <w:pStyle w:val="Pagrindinistekstas"/>
        <w:rPr>
          <w:lang w:val="en-US"/>
        </w:rPr>
      </w:pPr>
    </w:p>
    <w:p w14:paraId="7E721B44" w14:textId="77777777" w:rsidR="000D25C1" w:rsidRPr="00C31B98" w:rsidRDefault="000D25C1" w:rsidP="000D25C1">
      <w:pPr>
        <w:pStyle w:val="Pagrindinistekstas"/>
        <w:rPr>
          <w:lang w:val="en-US"/>
        </w:rPr>
      </w:pPr>
    </w:p>
    <w:p w14:paraId="7A8CE993" w14:textId="77777777" w:rsidR="000D25C1" w:rsidRPr="00C31B98" w:rsidRDefault="00A243FA" w:rsidP="000D25C1">
      <w:pPr>
        <w:pStyle w:val="Pagrindinistekstas"/>
        <w:ind w:firstLine="0"/>
        <w:rPr>
          <w:lang w:val="en-US"/>
        </w:rPr>
      </w:pPr>
      <w:r w:rsidRPr="00C31B98">
        <w:rPr>
          <w:lang w:val="en-US"/>
        </w:rPr>
        <w:t>TABLE 2.</w:t>
      </w:r>
      <w:r w:rsidRPr="00C31B98">
        <w:rPr>
          <w:lang w:val="en-US"/>
        </w:rPr>
        <w:tab/>
        <w:t>ACTIVITY OF DSRS AT MRWSF IN 2020</w:t>
      </w:r>
    </w:p>
    <w:p w14:paraId="0AE99F92" w14:textId="77777777" w:rsidR="000D25C1" w:rsidRPr="00C31B98" w:rsidRDefault="000D25C1" w:rsidP="000D25C1">
      <w:pPr>
        <w:pStyle w:val="Pagrindinistekstas"/>
        <w:rPr>
          <w:lang w:val="en-US"/>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26"/>
        <w:gridCol w:w="1536"/>
        <w:gridCol w:w="1283"/>
        <w:gridCol w:w="1466"/>
        <w:gridCol w:w="1406"/>
        <w:gridCol w:w="1857"/>
      </w:tblGrid>
      <w:tr w:rsidR="000D25C1" w:rsidRPr="0095279A" w14:paraId="724F4286" w14:textId="77777777" w:rsidTr="004F50EC">
        <w:trPr>
          <w:trHeight w:val="47"/>
          <w:tblHeader/>
          <w:jc w:val="center"/>
        </w:trPr>
        <w:tc>
          <w:tcPr>
            <w:tcW w:w="0" w:type="auto"/>
            <w:tcBorders>
              <w:bottom w:val="single" w:sz="4" w:space="0" w:color="auto"/>
            </w:tcBorders>
            <w:vAlign w:val="center"/>
          </w:tcPr>
          <w:p w14:paraId="3F9B5E8F" w14:textId="77777777" w:rsidR="000D25C1" w:rsidRPr="00C31B98" w:rsidRDefault="00A243FA" w:rsidP="004F50EC">
            <w:pPr>
              <w:rPr>
                <w:bCs/>
                <w:sz w:val="18"/>
                <w:szCs w:val="18"/>
                <w:lang w:val="en-US"/>
              </w:rPr>
            </w:pPr>
            <w:r w:rsidRPr="00C31B98">
              <w:rPr>
                <w:bCs/>
                <w:sz w:val="18"/>
                <w:szCs w:val="18"/>
                <w:lang w:val="en-US"/>
              </w:rPr>
              <w:t>Type</w:t>
            </w:r>
          </w:p>
        </w:tc>
        <w:tc>
          <w:tcPr>
            <w:tcW w:w="0" w:type="auto"/>
            <w:tcBorders>
              <w:bottom w:val="single" w:sz="4" w:space="0" w:color="auto"/>
            </w:tcBorders>
            <w:shd w:val="clear" w:color="auto" w:fill="auto"/>
            <w:vAlign w:val="center"/>
            <w:hideMark/>
          </w:tcPr>
          <w:p w14:paraId="46876878" w14:textId="77777777" w:rsidR="000D25C1" w:rsidRPr="00C31B98" w:rsidRDefault="00A243FA" w:rsidP="004F50EC">
            <w:pPr>
              <w:ind w:left="360"/>
              <w:jc w:val="center"/>
              <w:rPr>
                <w:bCs/>
                <w:sz w:val="18"/>
                <w:szCs w:val="18"/>
                <w:lang w:val="en-US"/>
              </w:rPr>
            </w:pPr>
            <w:r w:rsidRPr="00C31B98">
              <w:rPr>
                <w:bCs/>
                <w:sz w:val="18"/>
                <w:szCs w:val="18"/>
                <w:lang w:val="en-US"/>
              </w:rPr>
              <w:t>Radionuclide</w:t>
            </w:r>
          </w:p>
        </w:tc>
        <w:tc>
          <w:tcPr>
            <w:tcW w:w="0" w:type="auto"/>
            <w:tcBorders>
              <w:bottom w:val="single" w:sz="4" w:space="0" w:color="auto"/>
            </w:tcBorders>
            <w:shd w:val="clear" w:color="auto" w:fill="auto"/>
            <w:vAlign w:val="center"/>
            <w:hideMark/>
          </w:tcPr>
          <w:p w14:paraId="53BF993C" w14:textId="77777777" w:rsidR="000D25C1" w:rsidRPr="00C31B98" w:rsidRDefault="00A243FA" w:rsidP="004F50EC">
            <w:pPr>
              <w:ind w:left="360"/>
              <w:jc w:val="center"/>
              <w:rPr>
                <w:bCs/>
                <w:sz w:val="18"/>
                <w:szCs w:val="18"/>
                <w:lang w:val="en-US"/>
              </w:rPr>
            </w:pPr>
            <w:r w:rsidRPr="00C31B98">
              <w:rPr>
                <w:bCs/>
                <w:sz w:val="18"/>
                <w:szCs w:val="18"/>
                <w:lang w:val="en-US"/>
              </w:rPr>
              <w:t>T1/2, y</w:t>
            </w:r>
          </w:p>
        </w:tc>
        <w:tc>
          <w:tcPr>
            <w:tcW w:w="0" w:type="auto"/>
            <w:tcBorders>
              <w:bottom w:val="single" w:sz="4" w:space="0" w:color="auto"/>
            </w:tcBorders>
            <w:shd w:val="clear" w:color="auto" w:fill="auto"/>
            <w:vAlign w:val="center"/>
            <w:hideMark/>
          </w:tcPr>
          <w:p w14:paraId="7866843C" w14:textId="77777777" w:rsidR="000D25C1" w:rsidRPr="00C31B98" w:rsidRDefault="00A243FA" w:rsidP="004F50EC">
            <w:pPr>
              <w:ind w:left="360"/>
              <w:jc w:val="center"/>
              <w:rPr>
                <w:bCs/>
                <w:sz w:val="18"/>
                <w:szCs w:val="18"/>
                <w:lang w:val="en-US"/>
              </w:rPr>
            </w:pPr>
            <w:r w:rsidRPr="00C31B98">
              <w:rPr>
                <w:bCs/>
                <w:sz w:val="18"/>
                <w:szCs w:val="18"/>
                <w:lang w:val="en-US"/>
              </w:rPr>
              <w:t xml:space="preserve">Activity, </w:t>
            </w:r>
            <w:proofErr w:type="spellStart"/>
            <w:r w:rsidRPr="00C31B98">
              <w:rPr>
                <w:bCs/>
                <w:sz w:val="18"/>
                <w:szCs w:val="18"/>
                <w:lang w:val="en-US"/>
              </w:rPr>
              <w:t>Bq</w:t>
            </w:r>
            <w:proofErr w:type="spellEnd"/>
          </w:p>
        </w:tc>
        <w:tc>
          <w:tcPr>
            <w:tcW w:w="0" w:type="auto"/>
            <w:tcBorders>
              <w:bottom w:val="single" w:sz="4" w:space="0" w:color="auto"/>
            </w:tcBorders>
            <w:vAlign w:val="center"/>
          </w:tcPr>
          <w:p w14:paraId="0FEBF227" w14:textId="77777777" w:rsidR="000D25C1" w:rsidRPr="00C31B98" w:rsidRDefault="00A243FA" w:rsidP="004F50EC">
            <w:pPr>
              <w:ind w:left="360"/>
              <w:jc w:val="center"/>
              <w:rPr>
                <w:bCs/>
                <w:sz w:val="18"/>
                <w:szCs w:val="18"/>
                <w:lang w:val="en-US"/>
              </w:rPr>
            </w:pPr>
            <w:r w:rsidRPr="00C31B98">
              <w:rPr>
                <w:bCs/>
                <w:sz w:val="18"/>
                <w:szCs w:val="18"/>
                <w:lang w:val="en-US"/>
              </w:rPr>
              <w:t>Activity, %</w:t>
            </w:r>
          </w:p>
        </w:tc>
        <w:tc>
          <w:tcPr>
            <w:tcW w:w="0" w:type="auto"/>
            <w:tcBorders>
              <w:bottom w:val="single" w:sz="4" w:space="0" w:color="auto"/>
            </w:tcBorders>
            <w:shd w:val="clear" w:color="auto" w:fill="auto"/>
            <w:vAlign w:val="center"/>
            <w:hideMark/>
          </w:tcPr>
          <w:p w14:paraId="69B57B7C" w14:textId="77777777" w:rsidR="000D25C1" w:rsidRPr="00C31B98" w:rsidRDefault="00A243FA" w:rsidP="004F50EC">
            <w:pPr>
              <w:ind w:left="360"/>
              <w:jc w:val="center"/>
              <w:rPr>
                <w:bCs/>
                <w:sz w:val="18"/>
                <w:szCs w:val="18"/>
                <w:lang w:val="en-US"/>
              </w:rPr>
            </w:pPr>
            <w:r w:rsidRPr="00C31B98">
              <w:rPr>
                <w:bCs/>
                <w:sz w:val="18"/>
                <w:szCs w:val="18"/>
                <w:lang w:val="en-US"/>
              </w:rPr>
              <w:t>N</w:t>
            </w:r>
            <w:r w:rsidR="001D13EB" w:rsidRPr="004F50EC">
              <w:rPr>
                <w:bCs/>
                <w:sz w:val="18"/>
                <w:szCs w:val="18"/>
                <w:lang w:val="en-US"/>
              </w:rPr>
              <w:t>u</w:t>
            </w:r>
            <w:r w:rsidRPr="00C31B98">
              <w:rPr>
                <w:bCs/>
                <w:sz w:val="18"/>
                <w:szCs w:val="18"/>
                <w:lang w:val="en-US"/>
              </w:rPr>
              <w:t>mber of DSRS</w:t>
            </w:r>
          </w:p>
        </w:tc>
      </w:tr>
      <w:tr w:rsidR="00A068AE" w:rsidRPr="0095279A" w14:paraId="08C4AA3A" w14:textId="77777777" w:rsidTr="004F50EC">
        <w:trPr>
          <w:trHeight w:val="47"/>
          <w:jc w:val="center"/>
        </w:trPr>
        <w:tc>
          <w:tcPr>
            <w:tcW w:w="0" w:type="auto"/>
            <w:vMerge w:val="restart"/>
            <w:tcBorders>
              <w:bottom w:val="nil"/>
            </w:tcBorders>
            <w:vAlign w:val="center"/>
          </w:tcPr>
          <w:p w14:paraId="65B7FFE5" w14:textId="77777777" w:rsidR="00A068AE" w:rsidRPr="00C31B98" w:rsidRDefault="00A243FA" w:rsidP="004F50EC">
            <w:pPr>
              <w:rPr>
                <w:bCs/>
                <w:sz w:val="18"/>
                <w:szCs w:val="18"/>
                <w:lang w:val="en-US"/>
              </w:rPr>
            </w:pPr>
            <w:r w:rsidRPr="00C31B98">
              <w:rPr>
                <w:sz w:val="18"/>
                <w:szCs w:val="18"/>
                <w:lang w:val="en-US"/>
              </w:rPr>
              <w:t>Long-lived</w:t>
            </w:r>
          </w:p>
        </w:tc>
        <w:tc>
          <w:tcPr>
            <w:tcW w:w="0" w:type="auto"/>
            <w:tcBorders>
              <w:bottom w:val="nil"/>
            </w:tcBorders>
            <w:shd w:val="clear" w:color="auto" w:fill="auto"/>
            <w:noWrap/>
            <w:vAlign w:val="center"/>
            <w:hideMark/>
          </w:tcPr>
          <w:p w14:paraId="5EE0DFB6" w14:textId="77777777" w:rsidR="00A068AE" w:rsidRPr="00C31B98" w:rsidRDefault="00A243FA" w:rsidP="004F50EC">
            <w:pPr>
              <w:ind w:left="360"/>
              <w:jc w:val="center"/>
              <w:rPr>
                <w:bCs/>
                <w:sz w:val="18"/>
                <w:szCs w:val="18"/>
                <w:lang w:val="en-US"/>
              </w:rPr>
            </w:pPr>
            <w:r w:rsidRPr="00C31B98">
              <w:rPr>
                <w:bCs/>
                <w:sz w:val="18"/>
                <w:szCs w:val="18"/>
                <w:lang w:val="en-US"/>
              </w:rPr>
              <w:t>Pu-239/Be</w:t>
            </w:r>
          </w:p>
        </w:tc>
        <w:tc>
          <w:tcPr>
            <w:tcW w:w="0" w:type="auto"/>
            <w:tcBorders>
              <w:bottom w:val="nil"/>
            </w:tcBorders>
            <w:shd w:val="clear" w:color="auto" w:fill="auto"/>
            <w:noWrap/>
            <w:vAlign w:val="center"/>
            <w:hideMark/>
          </w:tcPr>
          <w:p w14:paraId="73F33C0E" w14:textId="77777777" w:rsidR="00A068AE" w:rsidRPr="00C31B98" w:rsidRDefault="00A243FA" w:rsidP="004F50EC">
            <w:pPr>
              <w:ind w:left="360"/>
              <w:jc w:val="center"/>
              <w:rPr>
                <w:bCs/>
                <w:sz w:val="18"/>
                <w:szCs w:val="18"/>
                <w:lang w:val="en-US"/>
              </w:rPr>
            </w:pPr>
            <w:r w:rsidRPr="00C31B98">
              <w:rPr>
                <w:bCs/>
                <w:sz w:val="18"/>
                <w:szCs w:val="18"/>
                <w:lang w:val="en-US"/>
              </w:rPr>
              <w:t>2.41E+04</w:t>
            </w:r>
          </w:p>
        </w:tc>
        <w:tc>
          <w:tcPr>
            <w:tcW w:w="0" w:type="auto"/>
            <w:tcBorders>
              <w:bottom w:val="nil"/>
            </w:tcBorders>
            <w:shd w:val="clear" w:color="auto" w:fill="auto"/>
            <w:noWrap/>
            <w:vAlign w:val="center"/>
            <w:hideMark/>
          </w:tcPr>
          <w:p w14:paraId="5553D75A" w14:textId="77777777" w:rsidR="00A068AE" w:rsidRPr="00C31B98" w:rsidRDefault="00A243FA" w:rsidP="004F50EC">
            <w:pPr>
              <w:ind w:left="360"/>
              <w:jc w:val="center"/>
              <w:rPr>
                <w:bCs/>
                <w:sz w:val="18"/>
                <w:szCs w:val="18"/>
                <w:lang w:val="en-US"/>
              </w:rPr>
            </w:pPr>
            <w:r w:rsidRPr="00C31B98">
              <w:rPr>
                <w:bCs/>
                <w:sz w:val="18"/>
                <w:szCs w:val="18"/>
                <w:lang w:val="en-US"/>
              </w:rPr>
              <w:t>6.0E+11</w:t>
            </w:r>
          </w:p>
        </w:tc>
        <w:tc>
          <w:tcPr>
            <w:tcW w:w="0" w:type="auto"/>
            <w:tcBorders>
              <w:bottom w:val="nil"/>
            </w:tcBorders>
            <w:vAlign w:val="center"/>
          </w:tcPr>
          <w:p w14:paraId="0C7971B0" w14:textId="77777777" w:rsidR="00A068AE" w:rsidRPr="00C31B98" w:rsidRDefault="00A243FA" w:rsidP="004F50EC">
            <w:pPr>
              <w:ind w:left="360"/>
              <w:jc w:val="center"/>
              <w:rPr>
                <w:bCs/>
                <w:sz w:val="18"/>
                <w:szCs w:val="18"/>
                <w:lang w:val="en-US"/>
              </w:rPr>
            </w:pPr>
            <w:r w:rsidRPr="00C31B98">
              <w:rPr>
                <w:bCs/>
                <w:sz w:val="18"/>
                <w:szCs w:val="18"/>
                <w:lang w:val="en-US"/>
              </w:rPr>
              <w:t>2.1 %</w:t>
            </w:r>
          </w:p>
        </w:tc>
        <w:tc>
          <w:tcPr>
            <w:tcW w:w="0" w:type="auto"/>
            <w:tcBorders>
              <w:bottom w:val="nil"/>
            </w:tcBorders>
            <w:shd w:val="clear" w:color="auto" w:fill="auto"/>
            <w:noWrap/>
            <w:vAlign w:val="center"/>
            <w:hideMark/>
          </w:tcPr>
          <w:p w14:paraId="2A0B262F" w14:textId="77777777" w:rsidR="00A068AE" w:rsidRPr="00C31B98" w:rsidRDefault="00A243FA" w:rsidP="004F50EC">
            <w:pPr>
              <w:ind w:left="360"/>
              <w:jc w:val="center"/>
              <w:rPr>
                <w:bCs/>
                <w:sz w:val="18"/>
                <w:szCs w:val="18"/>
                <w:lang w:val="en-US"/>
              </w:rPr>
            </w:pPr>
            <w:r w:rsidRPr="00C31B98">
              <w:rPr>
                <w:bCs/>
                <w:sz w:val="18"/>
                <w:szCs w:val="18"/>
                <w:lang w:val="en-US"/>
              </w:rPr>
              <w:t>8</w:t>
            </w:r>
          </w:p>
        </w:tc>
      </w:tr>
      <w:tr w:rsidR="00A068AE" w:rsidRPr="0095279A" w14:paraId="37CF8CE4" w14:textId="77777777" w:rsidTr="004F50EC">
        <w:trPr>
          <w:trHeight w:val="57"/>
          <w:jc w:val="center"/>
        </w:trPr>
        <w:tc>
          <w:tcPr>
            <w:tcW w:w="0" w:type="auto"/>
            <w:vMerge/>
            <w:tcBorders>
              <w:top w:val="nil"/>
              <w:bottom w:val="nil"/>
            </w:tcBorders>
            <w:vAlign w:val="center"/>
          </w:tcPr>
          <w:p w14:paraId="7BC31BAE" w14:textId="77777777" w:rsidR="00A068AE" w:rsidRPr="00C31B98" w:rsidRDefault="00A068AE" w:rsidP="004F50EC">
            <w:pPr>
              <w:spacing w:line="280" w:lineRule="atLeast"/>
              <w:ind w:left="360" w:right="567"/>
              <w:outlineLvl w:val="0"/>
              <w:rPr>
                <w:bCs/>
                <w:sz w:val="18"/>
                <w:szCs w:val="18"/>
                <w:lang w:val="en-US"/>
              </w:rPr>
            </w:pPr>
          </w:p>
        </w:tc>
        <w:tc>
          <w:tcPr>
            <w:tcW w:w="0" w:type="auto"/>
            <w:tcBorders>
              <w:top w:val="nil"/>
              <w:bottom w:val="nil"/>
            </w:tcBorders>
            <w:shd w:val="clear" w:color="auto" w:fill="auto"/>
            <w:noWrap/>
            <w:vAlign w:val="center"/>
            <w:hideMark/>
          </w:tcPr>
          <w:p w14:paraId="0709CD4A" w14:textId="77777777" w:rsidR="00A068AE" w:rsidRPr="00C31B98" w:rsidRDefault="00A243FA" w:rsidP="004F50EC">
            <w:pPr>
              <w:ind w:left="360"/>
              <w:jc w:val="center"/>
              <w:rPr>
                <w:bCs/>
                <w:sz w:val="18"/>
                <w:szCs w:val="18"/>
                <w:lang w:val="en-US"/>
              </w:rPr>
            </w:pPr>
            <w:r w:rsidRPr="00C31B98">
              <w:rPr>
                <w:bCs/>
                <w:sz w:val="18"/>
                <w:szCs w:val="18"/>
                <w:lang w:val="en-US"/>
              </w:rPr>
              <w:t>Pu-239</w:t>
            </w:r>
          </w:p>
        </w:tc>
        <w:tc>
          <w:tcPr>
            <w:tcW w:w="0" w:type="auto"/>
            <w:tcBorders>
              <w:top w:val="nil"/>
              <w:bottom w:val="nil"/>
            </w:tcBorders>
            <w:shd w:val="clear" w:color="auto" w:fill="auto"/>
            <w:noWrap/>
            <w:vAlign w:val="center"/>
            <w:hideMark/>
          </w:tcPr>
          <w:p w14:paraId="1E1532BA" w14:textId="77777777" w:rsidR="00A068AE" w:rsidRPr="00C31B98" w:rsidRDefault="00A243FA" w:rsidP="004F50EC">
            <w:pPr>
              <w:ind w:left="360"/>
              <w:jc w:val="center"/>
              <w:rPr>
                <w:bCs/>
                <w:sz w:val="18"/>
                <w:szCs w:val="18"/>
                <w:lang w:val="en-US"/>
              </w:rPr>
            </w:pPr>
            <w:r w:rsidRPr="00C31B98">
              <w:rPr>
                <w:bCs/>
                <w:sz w:val="18"/>
                <w:szCs w:val="18"/>
                <w:lang w:val="en-US"/>
              </w:rPr>
              <w:t>2.41E+04</w:t>
            </w:r>
          </w:p>
        </w:tc>
        <w:tc>
          <w:tcPr>
            <w:tcW w:w="0" w:type="auto"/>
            <w:tcBorders>
              <w:top w:val="nil"/>
              <w:bottom w:val="nil"/>
            </w:tcBorders>
            <w:shd w:val="clear" w:color="auto" w:fill="auto"/>
            <w:noWrap/>
            <w:vAlign w:val="center"/>
            <w:hideMark/>
          </w:tcPr>
          <w:p w14:paraId="2E47CECE" w14:textId="77777777" w:rsidR="00A068AE" w:rsidRPr="00C31B98" w:rsidRDefault="00A243FA" w:rsidP="004F50EC">
            <w:pPr>
              <w:ind w:left="360"/>
              <w:jc w:val="center"/>
              <w:rPr>
                <w:bCs/>
                <w:sz w:val="18"/>
                <w:szCs w:val="18"/>
                <w:lang w:val="en-US"/>
              </w:rPr>
            </w:pPr>
            <w:r w:rsidRPr="00C31B98">
              <w:rPr>
                <w:bCs/>
                <w:sz w:val="18"/>
                <w:szCs w:val="18"/>
                <w:lang w:val="en-US"/>
              </w:rPr>
              <w:t>3.2E+11</w:t>
            </w:r>
          </w:p>
        </w:tc>
        <w:tc>
          <w:tcPr>
            <w:tcW w:w="0" w:type="auto"/>
            <w:tcBorders>
              <w:top w:val="nil"/>
              <w:bottom w:val="nil"/>
            </w:tcBorders>
            <w:vAlign w:val="center"/>
          </w:tcPr>
          <w:p w14:paraId="13D58862" w14:textId="77777777" w:rsidR="00A068AE" w:rsidRPr="00C31B98" w:rsidRDefault="00A243FA" w:rsidP="004F50EC">
            <w:pPr>
              <w:ind w:left="360"/>
              <w:jc w:val="center"/>
              <w:rPr>
                <w:bCs/>
                <w:sz w:val="18"/>
                <w:szCs w:val="18"/>
                <w:lang w:val="en-US"/>
              </w:rPr>
            </w:pPr>
            <w:r w:rsidRPr="00C31B98">
              <w:rPr>
                <w:bCs/>
                <w:sz w:val="18"/>
                <w:szCs w:val="18"/>
                <w:lang w:val="en-US"/>
              </w:rPr>
              <w:t>1.1 %</w:t>
            </w:r>
          </w:p>
        </w:tc>
        <w:tc>
          <w:tcPr>
            <w:tcW w:w="0" w:type="auto"/>
            <w:tcBorders>
              <w:top w:val="nil"/>
              <w:bottom w:val="nil"/>
            </w:tcBorders>
            <w:shd w:val="clear" w:color="auto" w:fill="auto"/>
            <w:noWrap/>
            <w:vAlign w:val="center"/>
            <w:hideMark/>
          </w:tcPr>
          <w:p w14:paraId="01DDDF63" w14:textId="77777777" w:rsidR="00A068AE" w:rsidRPr="00C31B98" w:rsidRDefault="00A243FA" w:rsidP="004F50EC">
            <w:pPr>
              <w:ind w:left="360"/>
              <w:jc w:val="center"/>
              <w:rPr>
                <w:bCs/>
                <w:sz w:val="18"/>
                <w:szCs w:val="18"/>
                <w:lang w:val="en-US"/>
              </w:rPr>
            </w:pPr>
            <w:r w:rsidRPr="00C31B98">
              <w:rPr>
                <w:bCs/>
                <w:sz w:val="18"/>
                <w:szCs w:val="18"/>
                <w:lang w:val="en-US"/>
              </w:rPr>
              <w:t>2324</w:t>
            </w:r>
          </w:p>
        </w:tc>
      </w:tr>
      <w:tr w:rsidR="00A068AE" w:rsidRPr="0095279A" w14:paraId="641A2BB1" w14:textId="77777777" w:rsidTr="004F50EC">
        <w:trPr>
          <w:trHeight w:val="57"/>
          <w:jc w:val="center"/>
        </w:trPr>
        <w:tc>
          <w:tcPr>
            <w:tcW w:w="0" w:type="auto"/>
            <w:vMerge/>
            <w:tcBorders>
              <w:top w:val="nil"/>
              <w:bottom w:val="single" w:sz="4" w:space="0" w:color="auto"/>
            </w:tcBorders>
            <w:vAlign w:val="center"/>
          </w:tcPr>
          <w:p w14:paraId="305CDBF3" w14:textId="77777777" w:rsidR="00A068AE" w:rsidRPr="00C31B98" w:rsidRDefault="00A068AE" w:rsidP="004F50EC">
            <w:pPr>
              <w:spacing w:line="280" w:lineRule="atLeast"/>
              <w:ind w:left="360" w:right="567"/>
              <w:outlineLvl w:val="0"/>
              <w:rPr>
                <w:bCs/>
                <w:sz w:val="18"/>
                <w:szCs w:val="18"/>
                <w:lang w:val="en-US"/>
              </w:rPr>
            </w:pPr>
          </w:p>
        </w:tc>
        <w:tc>
          <w:tcPr>
            <w:tcW w:w="0" w:type="auto"/>
            <w:tcBorders>
              <w:top w:val="nil"/>
              <w:bottom w:val="single" w:sz="4" w:space="0" w:color="auto"/>
            </w:tcBorders>
            <w:shd w:val="clear" w:color="auto" w:fill="auto"/>
            <w:noWrap/>
            <w:vAlign w:val="center"/>
          </w:tcPr>
          <w:p w14:paraId="756ED0F1" w14:textId="77777777" w:rsidR="00A068AE" w:rsidRPr="00C31B98" w:rsidRDefault="00A243FA" w:rsidP="004F50EC">
            <w:pPr>
              <w:ind w:left="360"/>
              <w:jc w:val="center"/>
              <w:rPr>
                <w:bCs/>
                <w:sz w:val="18"/>
                <w:szCs w:val="18"/>
                <w:lang w:val="en-US"/>
              </w:rPr>
            </w:pPr>
            <w:r w:rsidRPr="00C31B98">
              <w:rPr>
                <w:bCs/>
                <w:sz w:val="18"/>
                <w:szCs w:val="18"/>
                <w:lang w:val="en-US"/>
              </w:rPr>
              <w:t>Others</w:t>
            </w:r>
          </w:p>
        </w:tc>
        <w:tc>
          <w:tcPr>
            <w:tcW w:w="0" w:type="auto"/>
            <w:tcBorders>
              <w:top w:val="nil"/>
              <w:bottom w:val="single" w:sz="4" w:space="0" w:color="auto"/>
            </w:tcBorders>
            <w:shd w:val="clear" w:color="auto" w:fill="auto"/>
            <w:noWrap/>
            <w:vAlign w:val="center"/>
          </w:tcPr>
          <w:p w14:paraId="37529B52" w14:textId="77777777" w:rsidR="00A068AE" w:rsidRPr="00C31B98" w:rsidRDefault="00A068AE" w:rsidP="004F50EC">
            <w:pPr>
              <w:spacing w:line="280" w:lineRule="atLeast"/>
              <w:ind w:left="360" w:right="567"/>
              <w:jc w:val="center"/>
              <w:outlineLvl w:val="0"/>
              <w:rPr>
                <w:bCs/>
                <w:sz w:val="18"/>
                <w:szCs w:val="18"/>
                <w:lang w:val="en-US"/>
              </w:rPr>
            </w:pPr>
          </w:p>
        </w:tc>
        <w:tc>
          <w:tcPr>
            <w:tcW w:w="0" w:type="auto"/>
            <w:tcBorders>
              <w:top w:val="nil"/>
              <w:bottom w:val="single" w:sz="4" w:space="0" w:color="auto"/>
            </w:tcBorders>
            <w:shd w:val="clear" w:color="auto" w:fill="auto"/>
            <w:noWrap/>
            <w:vAlign w:val="center"/>
          </w:tcPr>
          <w:p w14:paraId="771D76AC" w14:textId="77777777" w:rsidR="00A068AE" w:rsidRPr="00C31B98" w:rsidRDefault="00A243FA" w:rsidP="004F50EC">
            <w:pPr>
              <w:ind w:left="360"/>
              <w:jc w:val="center"/>
              <w:rPr>
                <w:bCs/>
                <w:sz w:val="18"/>
                <w:szCs w:val="18"/>
                <w:lang w:val="en-US"/>
              </w:rPr>
            </w:pPr>
            <w:r w:rsidRPr="00C31B98">
              <w:rPr>
                <w:bCs/>
                <w:sz w:val="18"/>
                <w:szCs w:val="18"/>
                <w:lang w:val="en-US"/>
              </w:rPr>
              <w:t>6.5E+08</w:t>
            </w:r>
          </w:p>
        </w:tc>
        <w:tc>
          <w:tcPr>
            <w:tcW w:w="0" w:type="auto"/>
            <w:tcBorders>
              <w:top w:val="nil"/>
              <w:bottom w:val="single" w:sz="4" w:space="0" w:color="auto"/>
            </w:tcBorders>
            <w:vAlign w:val="center"/>
          </w:tcPr>
          <w:p w14:paraId="405E952D" w14:textId="77777777" w:rsidR="00A068AE" w:rsidRPr="00C31B98" w:rsidRDefault="00A243FA" w:rsidP="004F50EC">
            <w:pPr>
              <w:ind w:left="360"/>
              <w:jc w:val="center"/>
              <w:rPr>
                <w:bCs/>
                <w:sz w:val="18"/>
                <w:szCs w:val="18"/>
                <w:lang w:val="en-US"/>
              </w:rPr>
            </w:pPr>
            <w:r w:rsidRPr="00C31B98">
              <w:rPr>
                <w:bCs/>
                <w:sz w:val="18"/>
                <w:szCs w:val="18"/>
                <w:lang w:val="en-US"/>
              </w:rPr>
              <w:t>&lt; 0.002 %</w:t>
            </w:r>
          </w:p>
        </w:tc>
        <w:tc>
          <w:tcPr>
            <w:tcW w:w="0" w:type="auto"/>
            <w:tcBorders>
              <w:top w:val="nil"/>
              <w:bottom w:val="single" w:sz="4" w:space="0" w:color="auto"/>
            </w:tcBorders>
            <w:shd w:val="clear" w:color="auto" w:fill="auto"/>
            <w:noWrap/>
            <w:vAlign w:val="center"/>
          </w:tcPr>
          <w:p w14:paraId="078DC062" w14:textId="77777777" w:rsidR="00A068AE" w:rsidRPr="00C31B98" w:rsidRDefault="00A243FA" w:rsidP="004F50EC">
            <w:pPr>
              <w:ind w:left="360"/>
              <w:jc w:val="center"/>
              <w:rPr>
                <w:bCs/>
                <w:sz w:val="18"/>
                <w:szCs w:val="18"/>
                <w:lang w:val="en-US"/>
              </w:rPr>
            </w:pPr>
            <w:r w:rsidRPr="00C31B98">
              <w:rPr>
                <w:bCs/>
                <w:sz w:val="18"/>
                <w:szCs w:val="18"/>
                <w:lang w:val="en-US"/>
              </w:rPr>
              <w:t>40</w:t>
            </w:r>
          </w:p>
        </w:tc>
      </w:tr>
      <w:tr w:rsidR="00A068AE" w:rsidRPr="0095279A" w14:paraId="16F2E835" w14:textId="77777777" w:rsidTr="004F50EC">
        <w:trPr>
          <w:trHeight w:val="47"/>
          <w:jc w:val="center"/>
        </w:trPr>
        <w:tc>
          <w:tcPr>
            <w:tcW w:w="0" w:type="auto"/>
            <w:vMerge w:val="restart"/>
            <w:tcBorders>
              <w:top w:val="single" w:sz="4" w:space="0" w:color="auto"/>
              <w:bottom w:val="nil"/>
            </w:tcBorders>
            <w:vAlign w:val="center"/>
          </w:tcPr>
          <w:p w14:paraId="5B0B1910" w14:textId="77777777" w:rsidR="00A068AE" w:rsidRPr="00C31B98" w:rsidRDefault="00A243FA" w:rsidP="004F50EC">
            <w:pPr>
              <w:spacing w:line="280" w:lineRule="atLeast"/>
              <w:rPr>
                <w:bCs/>
                <w:sz w:val="18"/>
                <w:szCs w:val="18"/>
                <w:lang w:val="en-US"/>
              </w:rPr>
            </w:pPr>
            <w:r w:rsidRPr="00C31B98">
              <w:rPr>
                <w:sz w:val="18"/>
                <w:szCs w:val="18"/>
                <w:lang w:val="en-US"/>
              </w:rPr>
              <w:t>Short-lived</w:t>
            </w:r>
          </w:p>
        </w:tc>
        <w:tc>
          <w:tcPr>
            <w:tcW w:w="0" w:type="auto"/>
            <w:tcBorders>
              <w:top w:val="single" w:sz="4" w:space="0" w:color="auto"/>
              <w:bottom w:val="nil"/>
            </w:tcBorders>
            <w:shd w:val="clear" w:color="auto" w:fill="auto"/>
            <w:noWrap/>
            <w:vAlign w:val="center"/>
            <w:hideMark/>
          </w:tcPr>
          <w:p w14:paraId="53CD6D01" w14:textId="77777777" w:rsidR="00A068AE" w:rsidRPr="00C31B98" w:rsidRDefault="00A243FA" w:rsidP="004F50EC">
            <w:pPr>
              <w:spacing w:line="280" w:lineRule="atLeast"/>
              <w:ind w:left="357"/>
              <w:jc w:val="center"/>
              <w:rPr>
                <w:bCs/>
                <w:sz w:val="18"/>
                <w:szCs w:val="18"/>
                <w:lang w:val="en-US"/>
              </w:rPr>
            </w:pPr>
            <w:r w:rsidRPr="00C31B98">
              <w:rPr>
                <w:bCs/>
                <w:sz w:val="18"/>
                <w:szCs w:val="18"/>
                <w:lang w:val="en-US"/>
              </w:rPr>
              <w:t>Cs-137</w:t>
            </w:r>
          </w:p>
        </w:tc>
        <w:tc>
          <w:tcPr>
            <w:tcW w:w="0" w:type="auto"/>
            <w:tcBorders>
              <w:top w:val="single" w:sz="4" w:space="0" w:color="auto"/>
              <w:bottom w:val="nil"/>
            </w:tcBorders>
            <w:shd w:val="clear" w:color="auto" w:fill="auto"/>
            <w:noWrap/>
            <w:vAlign w:val="center"/>
            <w:hideMark/>
          </w:tcPr>
          <w:p w14:paraId="0ADB9250" w14:textId="77777777" w:rsidR="00A068AE" w:rsidRPr="00C31B98" w:rsidRDefault="00A243FA" w:rsidP="004F50EC">
            <w:pPr>
              <w:spacing w:line="280" w:lineRule="atLeast"/>
              <w:ind w:left="357"/>
              <w:jc w:val="center"/>
              <w:rPr>
                <w:bCs/>
                <w:sz w:val="18"/>
                <w:szCs w:val="18"/>
                <w:lang w:val="en-US"/>
              </w:rPr>
            </w:pPr>
            <w:r w:rsidRPr="00C31B98">
              <w:rPr>
                <w:bCs/>
                <w:sz w:val="18"/>
                <w:szCs w:val="18"/>
                <w:lang w:val="en-US"/>
              </w:rPr>
              <w:t>30.0</w:t>
            </w:r>
          </w:p>
        </w:tc>
        <w:tc>
          <w:tcPr>
            <w:tcW w:w="0" w:type="auto"/>
            <w:tcBorders>
              <w:top w:val="single" w:sz="4" w:space="0" w:color="auto"/>
              <w:bottom w:val="nil"/>
            </w:tcBorders>
            <w:shd w:val="clear" w:color="auto" w:fill="auto"/>
            <w:noWrap/>
            <w:vAlign w:val="center"/>
            <w:hideMark/>
          </w:tcPr>
          <w:p w14:paraId="2488BD76" w14:textId="77777777" w:rsidR="00A068AE" w:rsidRPr="00C31B98" w:rsidRDefault="00A243FA" w:rsidP="004F50EC">
            <w:pPr>
              <w:spacing w:line="280" w:lineRule="atLeast"/>
              <w:ind w:left="357"/>
              <w:jc w:val="center"/>
              <w:rPr>
                <w:bCs/>
                <w:sz w:val="18"/>
                <w:szCs w:val="18"/>
                <w:lang w:val="en-US"/>
              </w:rPr>
            </w:pPr>
            <w:r w:rsidRPr="00C31B98">
              <w:rPr>
                <w:bCs/>
                <w:sz w:val="18"/>
                <w:szCs w:val="18"/>
                <w:lang w:val="en-US"/>
              </w:rPr>
              <w:t>2.7E+13</w:t>
            </w:r>
          </w:p>
        </w:tc>
        <w:tc>
          <w:tcPr>
            <w:tcW w:w="0" w:type="auto"/>
            <w:tcBorders>
              <w:top w:val="single" w:sz="4" w:space="0" w:color="auto"/>
              <w:bottom w:val="nil"/>
            </w:tcBorders>
            <w:vAlign w:val="center"/>
          </w:tcPr>
          <w:p w14:paraId="2CD92CC3" w14:textId="77777777" w:rsidR="00A068AE" w:rsidRPr="00C31B98" w:rsidRDefault="00A243FA" w:rsidP="004F50EC">
            <w:pPr>
              <w:spacing w:line="280" w:lineRule="atLeast"/>
              <w:ind w:left="357"/>
              <w:jc w:val="center"/>
              <w:rPr>
                <w:bCs/>
                <w:sz w:val="18"/>
                <w:szCs w:val="18"/>
                <w:lang w:val="en-US"/>
              </w:rPr>
            </w:pPr>
            <w:r w:rsidRPr="00C31B98">
              <w:rPr>
                <w:bCs/>
                <w:sz w:val="18"/>
                <w:szCs w:val="18"/>
                <w:lang w:val="en-US"/>
              </w:rPr>
              <w:t>95.2 %</w:t>
            </w:r>
          </w:p>
        </w:tc>
        <w:tc>
          <w:tcPr>
            <w:tcW w:w="0" w:type="auto"/>
            <w:tcBorders>
              <w:top w:val="single" w:sz="4" w:space="0" w:color="auto"/>
              <w:bottom w:val="nil"/>
            </w:tcBorders>
            <w:shd w:val="clear" w:color="auto" w:fill="auto"/>
            <w:noWrap/>
            <w:vAlign w:val="center"/>
            <w:hideMark/>
          </w:tcPr>
          <w:p w14:paraId="229706F7" w14:textId="77777777" w:rsidR="00A068AE" w:rsidRPr="00C31B98" w:rsidRDefault="00A243FA" w:rsidP="004F50EC">
            <w:pPr>
              <w:spacing w:line="280" w:lineRule="atLeast"/>
              <w:ind w:left="357"/>
              <w:jc w:val="center"/>
              <w:rPr>
                <w:bCs/>
                <w:sz w:val="18"/>
                <w:szCs w:val="18"/>
                <w:lang w:val="en-US"/>
              </w:rPr>
            </w:pPr>
            <w:r w:rsidRPr="00C31B98">
              <w:rPr>
                <w:bCs/>
                <w:sz w:val="18"/>
                <w:szCs w:val="18"/>
                <w:lang w:val="en-US"/>
              </w:rPr>
              <w:t>366</w:t>
            </w:r>
          </w:p>
        </w:tc>
      </w:tr>
      <w:tr w:rsidR="000D25C1" w:rsidRPr="0095279A" w14:paraId="7ABEEC23" w14:textId="77777777" w:rsidTr="004F50EC">
        <w:trPr>
          <w:trHeight w:val="285"/>
          <w:jc w:val="center"/>
        </w:trPr>
        <w:tc>
          <w:tcPr>
            <w:tcW w:w="0" w:type="auto"/>
            <w:vMerge/>
            <w:tcBorders>
              <w:top w:val="nil"/>
              <w:bottom w:val="nil"/>
            </w:tcBorders>
            <w:vAlign w:val="center"/>
          </w:tcPr>
          <w:p w14:paraId="7FC2EEC0" w14:textId="77777777" w:rsidR="000D25C1" w:rsidRPr="00C31B98" w:rsidRDefault="000D25C1" w:rsidP="004F50EC">
            <w:pPr>
              <w:spacing w:line="280" w:lineRule="atLeast"/>
              <w:ind w:left="360" w:right="567"/>
              <w:outlineLvl w:val="0"/>
              <w:rPr>
                <w:bCs/>
                <w:sz w:val="18"/>
                <w:szCs w:val="18"/>
                <w:lang w:val="en-US"/>
              </w:rPr>
            </w:pPr>
          </w:p>
        </w:tc>
        <w:tc>
          <w:tcPr>
            <w:tcW w:w="0" w:type="auto"/>
            <w:tcBorders>
              <w:top w:val="nil"/>
              <w:bottom w:val="nil"/>
            </w:tcBorders>
            <w:shd w:val="clear" w:color="auto" w:fill="auto"/>
            <w:noWrap/>
            <w:vAlign w:val="center"/>
            <w:hideMark/>
          </w:tcPr>
          <w:p w14:paraId="744E301C" w14:textId="77777777" w:rsidR="000D25C1" w:rsidRPr="00C31B98" w:rsidRDefault="00A243FA" w:rsidP="004F50EC">
            <w:pPr>
              <w:ind w:left="360"/>
              <w:jc w:val="center"/>
              <w:rPr>
                <w:bCs/>
                <w:sz w:val="18"/>
                <w:szCs w:val="18"/>
                <w:lang w:val="en-US"/>
              </w:rPr>
            </w:pPr>
            <w:r w:rsidRPr="00C31B98">
              <w:rPr>
                <w:bCs/>
                <w:sz w:val="18"/>
                <w:szCs w:val="18"/>
                <w:lang w:val="en-US"/>
              </w:rPr>
              <w:t>Sr-90</w:t>
            </w:r>
          </w:p>
        </w:tc>
        <w:tc>
          <w:tcPr>
            <w:tcW w:w="0" w:type="auto"/>
            <w:tcBorders>
              <w:top w:val="nil"/>
              <w:bottom w:val="nil"/>
            </w:tcBorders>
            <w:shd w:val="clear" w:color="auto" w:fill="auto"/>
            <w:noWrap/>
            <w:vAlign w:val="center"/>
            <w:hideMark/>
          </w:tcPr>
          <w:p w14:paraId="7698A5D1" w14:textId="77777777" w:rsidR="000D25C1" w:rsidRPr="00C31B98" w:rsidRDefault="00A243FA" w:rsidP="004F50EC">
            <w:pPr>
              <w:ind w:left="360"/>
              <w:jc w:val="center"/>
              <w:rPr>
                <w:bCs/>
                <w:sz w:val="18"/>
                <w:szCs w:val="18"/>
                <w:lang w:val="en-US"/>
              </w:rPr>
            </w:pPr>
            <w:r w:rsidRPr="00C31B98">
              <w:rPr>
                <w:bCs/>
                <w:sz w:val="18"/>
                <w:szCs w:val="18"/>
                <w:lang w:val="en-US"/>
              </w:rPr>
              <w:t>29.1</w:t>
            </w:r>
          </w:p>
        </w:tc>
        <w:tc>
          <w:tcPr>
            <w:tcW w:w="0" w:type="auto"/>
            <w:tcBorders>
              <w:top w:val="nil"/>
              <w:bottom w:val="nil"/>
            </w:tcBorders>
            <w:shd w:val="clear" w:color="auto" w:fill="auto"/>
            <w:noWrap/>
            <w:vAlign w:val="center"/>
            <w:hideMark/>
          </w:tcPr>
          <w:p w14:paraId="591E48AC" w14:textId="77777777" w:rsidR="000D25C1" w:rsidRPr="00C31B98" w:rsidRDefault="00A243FA" w:rsidP="004F50EC">
            <w:pPr>
              <w:ind w:left="360"/>
              <w:jc w:val="center"/>
              <w:rPr>
                <w:bCs/>
                <w:sz w:val="18"/>
                <w:szCs w:val="18"/>
                <w:lang w:val="en-US"/>
              </w:rPr>
            </w:pPr>
            <w:r w:rsidRPr="00C31B98">
              <w:rPr>
                <w:bCs/>
                <w:sz w:val="18"/>
                <w:szCs w:val="18"/>
                <w:lang w:val="en-US"/>
              </w:rPr>
              <w:t>3.0E+11</w:t>
            </w:r>
          </w:p>
        </w:tc>
        <w:tc>
          <w:tcPr>
            <w:tcW w:w="0" w:type="auto"/>
            <w:tcBorders>
              <w:top w:val="nil"/>
              <w:bottom w:val="nil"/>
            </w:tcBorders>
            <w:vAlign w:val="center"/>
          </w:tcPr>
          <w:p w14:paraId="79D6D129" w14:textId="77777777" w:rsidR="000D25C1" w:rsidRPr="00C31B98" w:rsidRDefault="00A243FA" w:rsidP="004F50EC">
            <w:pPr>
              <w:ind w:left="360"/>
              <w:jc w:val="center"/>
              <w:rPr>
                <w:bCs/>
                <w:sz w:val="18"/>
                <w:szCs w:val="18"/>
                <w:lang w:val="en-US"/>
              </w:rPr>
            </w:pPr>
            <w:r w:rsidRPr="00C31B98">
              <w:rPr>
                <w:bCs/>
                <w:sz w:val="18"/>
                <w:szCs w:val="18"/>
                <w:lang w:val="en-US"/>
              </w:rPr>
              <w:t>1.1 %</w:t>
            </w:r>
          </w:p>
        </w:tc>
        <w:tc>
          <w:tcPr>
            <w:tcW w:w="0" w:type="auto"/>
            <w:tcBorders>
              <w:top w:val="nil"/>
              <w:bottom w:val="nil"/>
            </w:tcBorders>
            <w:shd w:val="clear" w:color="auto" w:fill="auto"/>
            <w:noWrap/>
            <w:vAlign w:val="center"/>
            <w:hideMark/>
          </w:tcPr>
          <w:p w14:paraId="41231A90" w14:textId="77777777" w:rsidR="000D25C1" w:rsidRPr="00C31B98" w:rsidRDefault="00A243FA" w:rsidP="004F50EC">
            <w:pPr>
              <w:ind w:left="360"/>
              <w:jc w:val="center"/>
              <w:rPr>
                <w:bCs/>
                <w:sz w:val="18"/>
                <w:szCs w:val="18"/>
                <w:lang w:val="en-US"/>
              </w:rPr>
            </w:pPr>
            <w:r w:rsidRPr="00C31B98">
              <w:rPr>
                <w:bCs/>
                <w:sz w:val="18"/>
                <w:szCs w:val="18"/>
                <w:lang w:val="en-US"/>
              </w:rPr>
              <w:t>1449</w:t>
            </w:r>
          </w:p>
        </w:tc>
      </w:tr>
      <w:tr w:rsidR="000D25C1" w:rsidRPr="0095279A" w14:paraId="0E239D02" w14:textId="77777777" w:rsidTr="004F50EC">
        <w:trPr>
          <w:trHeight w:val="57"/>
          <w:jc w:val="center"/>
        </w:trPr>
        <w:tc>
          <w:tcPr>
            <w:tcW w:w="0" w:type="auto"/>
            <w:vMerge/>
            <w:tcBorders>
              <w:top w:val="nil"/>
              <w:bottom w:val="nil"/>
            </w:tcBorders>
            <w:vAlign w:val="center"/>
          </w:tcPr>
          <w:p w14:paraId="0975F527" w14:textId="77777777" w:rsidR="000D25C1" w:rsidRPr="00C31B98" w:rsidRDefault="000D25C1" w:rsidP="004F50EC">
            <w:pPr>
              <w:spacing w:line="280" w:lineRule="atLeast"/>
              <w:ind w:left="360" w:right="567"/>
              <w:outlineLvl w:val="0"/>
              <w:rPr>
                <w:bCs/>
                <w:sz w:val="18"/>
                <w:szCs w:val="18"/>
                <w:lang w:val="en-US"/>
              </w:rPr>
            </w:pPr>
          </w:p>
        </w:tc>
        <w:tc>
          <w:tcPr>
            <w:tcW w:w="0" w:type="auto"/>
            <w:tcBorders>
              <w:top w:val="nil"/>
              <w:bottom w:val="nil"/>
            </w:tcBorders>
            <w:shd w:val="clear" w:color="auto" w:fill="auto"/>
            <w:noWrap/>
            <w:vAlign w:val="center"/>
            <w:hideMark/>
          </w:tcPr>
          <w:p w14:paraId="0D4A8528" w14:textId="77777777" w:rsidR="000D25C1" w:rsidRPr="00C31B98" w:rsidRDefault="00A243FA" w:rsidP="004F50EC">
            <w:pPr>
              <w:ind w:left="360"/>
              <w:jc w:val="center"/>
              <w:rPr>
                <w:bCs/>
                <w:sz w:val="18"/>
                <w:szCs w:val="18"/>
                <w:lang w:val="en-US"/>
              </w:rPr>
            </w:pPr>
            <w:r w:rsidRPr="00C31B98">
              <w:rPr>
                <w:bCs/>
                <w:sz w:val="18"/>
                <w:szCs w:val="18"/>
                <w:lang w:val="en-US"/>
              </w:rPr>
              <w:t>Co-60</w:t>
            </w:r>
          </w:p>
        </w:tc>
        <w:tc>
          <w:tcPr>
            <w:tcW w:w="0" w:type="auto"/>
            <w:tcBorders>
              <w:top w:val="nil"/>
              <w:bottom w:val="nil"/>
            </w:tcBorders>
            <w:shd w:val="clear" w:color="auto" w:fill="auto"/>
            <w:noWrap/>
            <w:vAlign w:val="center"/>
            <w:hideMark/>
          </w:tcPr>
          <w:p w14:paraId="7EE2F48B" w14:textId="77777777" w:rsidR="000D25C1" w:rsidRPr="00C31B98" w:rsidRDefault="00A243FA" w:rsidP="004F50EC">
            <w:pPr>
              <w:ind w:left="360"/>
              <w:jc w:val="center"/>
              <w:rPr>
                <w:bCs/>
                <w:sz w:val="18"/>
                <w:szCs w:val="18"/>
                <w:lang w:val="en-US"/>
              </w:rPr>
            </w:pPr>
            <w:r w:rsidRPr="00C31B98">
              <w:rPr>
                <w:bCs/>
                <w:sz w:val="18"/>
                <w:szCs w:val="18"/>
                <w:lang w:val="en-US"/>
              </w:rPr>
              <w:t>5.27</w:t>
            </w:r>
          </w:p>
        </w:tc>
        <w:tc>
          <w:tcPr>
            <w:tcW w:w="0" w:type="auto"/>
            <w:tcBorders>
              <w:top w:val="nil"/>
              <w:bottom w:val="nil"/>
            </w:tcBorders>
            <w:shd w:val="clear" w:color="auto" w:fill="auto"/>
            <w:noWrap/>
            <w:vAlign w:val="center"/>
            <w:hideMark/>
          </w:tcPr>
          <w:p w14:paraId="63CC6E5B" w14:textId="77777777" w:rsidR="000D25C1" w:rsidRPr="00C31B98" w:rsidRDefault="00A243FA" w:rsidP="004F50EC">
            <w:pPr>
              <w:ind w:left="360"/>
              <w:jc w:val="center"/>
              <w:rPr>
                <w:bCs/>
                <w:sz w:val="18"/>
                <w:szCs w:val="18"/>
                <w:lang w:val="en-US"/>
              </w:rPr>
            </w:pPr>
            <w:r w:rsidRPr="00C31B98">
              <w:rPr>
                <w:bCs/>
                <w:sz w:val="18"/>
                <w:szCs w:val="18"/>
                <w:lang w:val="en-US"/>
              </w:rPr>
              <w:t>1.2E+11</w:t>
            </w:r>
          </w:p>
        </w:tc>
        <w:tc>
          <w:tcPr>
            <w:tcW w:w="0" w:type="auto"/>
            <w:tcBorders>
              <w:top w:val="nil"/>
              <w:bottom w:val="nil"/>
            </w:tcBorders>
            <w:vAlign w:val="center"/>
          </w:tcPr>
          <w:p w14:paraId="34B28E9F" w14:textId="77777777" w:rsidR="000D25C1" w:rsidRPr="00C31B98" w:rsidRDefault="00A243FA" w:rsidP="004F50EC">
            <w:pPr>
              <w:ind w:left="360"/>
              <w:jc w:val="center"/>
              <w:rPr>
                <w:bCs/>
                <w:sz w:val="18"/>
                <w:szCs w:val="18"/>
                <w:lang w:val="en-US"/>
              </w:rPr>
            </w:pPr>
            <w:r w:rsidRPr="00C31B98">
              <w:rPr>
                <w:bCs/>
                <w:sz w:val="18"/>
                <w:szCs w:val="18"/>
                <w:lang w:val="en-US"/>
              </w:rPr>
              <w:t>0.4 %</w:t>
            </w:r>
          </w:p>
        </w:tc>
        <w:tc>
          <w:tcPr>
            <w:tcW w:w="0" w:type="auto"/>
            <w:tcBorders>
              <w:top w:val="nil"/>
              <w:bottom w:val="nil"/>
            </w:tcBorders>
            <w:shd w:val="clear" w:color="auto" w:fill="auto"/>
            <w:noWrap/>
            <w:vAlign w:val="center"/>
            <w:hideMark/>
          </w:tcPr>
          <w:p w14:paraId="41164360" w14:textId="77777777" w:rsidR="000D25C1" w:rsidRPr="00C31B98" w:rsidRDefault="00A243FA" w:rsidP="004F50EC">
            <w:pPr>
              <w:ind w:left="360"/>
              <w:jc w:val="center"/>
              <w:rPr>
                <w:bCs/>
                <w:sz w:val="18"/>
                <w:szCs w:val="18"/>
                <w:lang w:val="en-US"/>
              </w:rPr>
            </w:pPr>
            <w:r w:rsidRPr="00C31B98">
              <w:rPr>
                <w:bCs/>
                <w:sz w:val="18"/>
                <w:szCs w:val="18"/>
                <w:lang w:val="en-US"/>
              </w:rPr>
              <w:t>2167</w:t>
            </w:r>
          </w:p>
        </w:tc>
      </w:tr>
      <w:tr w:rsidR="000D25C1" w:rsidRPr="0095279A" w14:paraId="038886E3" w14:textId="77777777" w:rsidTr="004F50EC">
        <w:trPr>
          <w:trHeight w:val="57"/>
          <w:jc w:val="center"/>
        </w:trPr>
        <w:tc>
          <w:tcPr>
            <w:tcW w:w="0" w:type="auto"/>
            <w:vMerge/>
            <w:tcBorders>
              <w:top w:val="nil"/>
            </w:tcBorders>
            <w:vAlign w:val="center"/>
          </w:tcPr>
          <w:p w14:paraId="074B151F" w14:textId="77777777" w:rsidR="000D25C1" w:rsidRPr="00C31B98" w:rsidRDefault="000D25C1" w:rsidP="004F50EC">
            <w:pPr>
              <w:spacing w:line="280" w:lineRule="atLeast"/>
              <w:ind w:left="360" w:right="567"/>
              <w:outlineLvl w:val="0"/>
              <w:rPr>
                <w:bCs/>
                <w:sz w:val="18"/>
                <w:szCs w:val="18"/>
                <w:lang w:val="en-US"/>
              </w:rPr>
            </w:pPr>
          </w:p>
        </w:tc>
        <w:tc>
          <w:tcPr>
            <w:tcW w:w="0" w:type="auto"/>
            <w:tcBorders>
              <w:top w:val="nil"/>
            </w:tcBorders>
            <w:shd w:val="clear" w:color="auto" w:fill="auto"/>
            <w:noWrap/>
            <w:vAlign w:val="center"/>
          </w:tcPr>
          <w:p w14:paraId="6675ECFF" w14:textId="77777777" w:rsidR="000D25C1" w:rsidRPr="00C31B98" w:rsidRDefault="00A243FA" w:rsidP="004F50EC">
            <w:pPr>
              <w:ind w:left="360"/>
              <w:jc w:val="center"/>
              <w:rPr>
                <w:bCs/>
                <w:sz w:val="18"/>
                <w:szCs w:val="18"/>
                <w:lang w:val="en-US"/>
              </w:rPr>
            </w:pPr>
            <w:r w:rsidRPr="00C31B98">
              <w:rPr>
                <w:bCs/>
                <w:sz w:val="18"/>
                <w:szCs w:val="18"/>
                <w:lang w:val="en-US"/>
              </w:rPr>
              <w:t>Others</w:t>
            </w:r>
          </w:p>
        </w:tc>
        <w:tc>
          <w:tcPr>
            <w:tcW w:w="0" w:type="auto"/>
            <w:tcBorders>
              <w:top w:val="nil"/>
            </w:tcBorders>
            <w:shd w:val="clear" w:color="auto" w:fill="auto"/>
            <w:noWrap/>
            <w:vAlign w:val="center"/>
          </w:tcPr>
          <w:p w14:paraId="5511EF51" w14:textId="77777777" w:rsidR="000D25C1" w:rsidRPr="00C31B98" w:rsidRDefault="000D25C1" w:rsidP="004F50EC">
            <w:pPr>
              <w:spacing w:line="280" w:lineRule="atLeast"/>
              <w:ind w:left="360" w:right="567"/>
              <w:jc w:val="center"/>
              <w:outlineLvl w:val="0"/>
              <w:rPr>
                <w:bCs/>
                <w:sz w:val="18"/>
                <w:szCs w:val="18"/>
                <w:lang w:val="en-US"/>
              </w:rPr>
            </w:pPr>
          </w:p>
        </w:tc>
        <w:tc>
          <w:tcPr>
            <w:tcW w:w="0" w:type="auto"/>
            <w:tcBorders>
              <w:top w:val="nil"/>
            </w:tcBorders>
            <w:shd w:val="clear" w:color="auto" w:fill="auto"/>
            <w:noWrap/>
            <w:vAlign w:val="center"/>
          </w:tcPr>
          <w:p w14:paraId="2C16D9DB" w14:textId="77777777" w:rsidR="000D25C1" w:rsidRPr="00C31B98" w:rsidRDefault="00A243FA" w:rsidP="004F50EC">
            <w:pPr>
              <w:ind w:left="360"/>
              <w:jc w:val="center"/>
              <w:rPr>
                <w:bCs/>
                <w:sz w:val="18"/>
                <w:szCs w:val="18"/>
                <w:lang w:val="en-US"/>
              </w:rPr>
            </w:pPr>
            <w:r w:rsidRPr="00C31B98">
              <w:rPr>
                <w:bCs/>
                <w:sz w:val="18"/>
                <w:szCs w:val="18"/>
                <w:lang w:val="en-US"/>
              </w:rPr>
              <w:t>1.1E+10</w:t>
            </w:r>
          </w:p>
        </w:tc>
        <w:tc>
          <w:tcPr>
            <w:tcW w:w="0" w:type="auto"/>
            <w:tcBorders>
              <w:top w:val="nil"/>
            </w:tcBorders>
            <w:vAlign w:val="center"/>
          </w:tcPr>
          <w:p w14:paraId="03B081D3" w14:textId="77777777" w:rsidR="000D25C1" w:rsidRPr="00C31B98" w:rsidRDefault="00A243FA" w:rsidP="004F50EC">
            <w:pPr>
              <w:ind w:left="360"/>
              <w:jc w:val="center"/>
              <w:rPr>
                <w:bCs/>
                <w:sz w:val="18"/>
                <w:szCs w:val="18"/>
                <w:lang w:val="en-US"/>
              </w:rPr>
            </w:pPr>
            <w:r w:rsidRPr="00C31B98">
              <w:rPr>
                <w:bCs/>
                <w:sz w:val="18"/>
                <w:szCs w:val="18"/>
                <w:lang w:val="en-US"/>
              </w:rPr>
              <w:t>&lt; 0.04 %</w:t>
            </w:r>
          </w:p>
        </w:tc>
        <w:tc>
          <w:tcPr>
            <w:tcW w:w="0" w:type="auto"/>
            <w:tcBorders>
              <w:top w:val="nil"/>
            </w:tcBorders>
            <w:shd w:val="clear" w:color="auto" w:fill="auto"/>
            <w:noWrap/>
            <w:vAlign w:val="center"/>
          </w:tcPr>
          <w:p w14:paraId="25713845" w14:textId="77777777" w:rsidR="000D25C1" w:rsidRPr="00C31B98" w:rsidRDefault="00A243FA" w:rsidP="004F50EC">
            <w:pPr>
              <w:ind w:left="360"/>
              <w:jc w:val="center"/>
              <w:rPr>
                <w:bCs/>
                <w:sz w:val="18"/>
                <w:szCs w:val="18"/>
                <w:lang w:val="en-US"/>
              </w:rPr>
            </w:pPr>
            <w:r w:rsidRPr="00C31B98">
              <w:rPr>
                <w:bCs/>
                <w:sz w:val="18"/>
                <w:szCs w:val="18"/>
                <w:lang w:val="en-US"/>
              </w:rPr>
              <w:t>351</w:t>
            </w:r>
          </w:p>
        </w:tc>
      </w:tr>
      <w:tr w:rsidR="000D25C1" w:rsidRPr="0095279A" w14:paraId="694E7D9B" w14:textId="77777777" w:rsidTr="004F50EC">
        <w:trPr>
          <w:trHeight w:val="285"/>
          <w:jc w:val="center"/>
        </w:trPr>
        <w:tc>
          <w:tcPr>
            <w:tcW w:w="0" w:type="auto"/>
            <w:vAlign w:val="center"/>
          </w:tcPr>
          <w:p w14:paraId="27AB6172" w14:textId="77777777" w:rsidR="000D25C1" w:rsidRPr="00C31B98" w:rsidRDefault="00A243FA" w:rsidP="004F50EC">
            <w:pPr>
              <w:rPr>
                <w:bCs/>
                <w:sz w:val="18"/>
                <w:szCs w:val="18"/>
                <w:lang w:val="en-US"/>
              </w:rPr>
            </w:pPr>
            <w:r w:rsidRPr="00C31B98">
              <w:rPr>
                <w:bCs/>
                <w:sz w:val="18"/>
                <w:szCs w:val="18"/>
                <w:lang w:val="en-US"/>
              </w:rPr>
              <w:t>Total:</w:t>
            </w:r>
          </w:p>
        </w:tc>
        <w:tc>
          <w:tcPr>
            <w:tcW w:w="0" w:type="auto"/>
            <w:shd w:val="clear" w:color="auto" w:fill="auto"/>
            <w:noWrap/>
            <w:vAlign w:val="center"/>
          </w:tcPr>
          <w:p w14:paraId="74C627FB" w14:textId="77777777" w:rsidR="000D25C1" w:rsidRPr="00C31B98" w:rsidRDefault="000D25C1" w:rsidP="004F50EC">
            <w:pPr>
              <w:ind w:left="360"/>
              <w:jc w:val="center"/>
              <w:rPr>
                <w:bCs/>
                <w:sz w:val="18"/>
                <w:szCs w:val="18"/>
                <w:lang w:val="en-US"/>
              </w:rPr>
            </w:pPr>
          </w:p>
        </w:tc>
        <w:tc>
          <w:tcPr>
            <w:tcW w:w="0" w:type="auto"/>
            <w:shd w:val="clear" w:color="auto" w:fill="auto"/>
            <w:noWrap/>
            <w:vAlign w:val="center"/>
          </w:tcPr>
          <w:p w14:paraId="70F8B2A7" w14:textId="77777777" w:rsidR="000D25C1" w:rsidRPr="00C31B98" w:rsidRDefault="000D25C1" w:rsidP="004F50EC">
            <w:pPr>
              <w:ind w:left="360"/>
              <w:jc w:val="center"/>
              <w:rPr>
                <w:bCs/>
                <w:sz w:val="18"/>
                <w:szCs w:val="18"/>
                <w:lang w:val="en-US"/>
              </w:rPr>
            </w:pPr>
          </w:p>
        </w:tc>
        <w:tc>
          <w:tcPr>
            <w:tcW w:w="0" w:type="auto"/>
            <w:shd w:val="clear" w:color="auto" w:fill="auto"/>
            <w:noWrap/>
            <w:vAlign w:val="center"/>
          </w:tcPr>
          <w:p w14:paraId="0FEAB538" w14:textId="77777777" w:rsidR="000D25C1" w:rsidRPr="00C31B98" w:rsidRDefault="00A243FA" w:rsidP="004F50EC">
            <w:pPr>
              <w:ind w:left="360"/>
              <w:jc w:val="center"/>
              <w:rPr>
                <w:bCs/>
                <w:sz w:val="18"/>
                <w:szCs w:val="18"/>
                <w:lang w:val="en-US"/>
              </w:rPr>
            </w:pPr>
            <w:r w:rsidRPr="00C31B98">
              <w:rPr>
                <w:bCs/>
                <w:sz w:val="18"/>
                <w:szCs w:val="18"/>
                <w:lang w:val="en-US"/>
              </w:rPr>
              <w:t>2.8E+13</w:t>
            </w:r>
          </w:p>
        </w:tc>
        <w:tc>
          <w:tcPr>
            <w:tcW w:w="0" w:type="auto"/>
            <w:vAlign w:val="center"/>
          </w:tcPr>
          <w:p w14:paraId="3A36E542" w14:textId="77777777" w:rsidR="000D25C1" w:rsidRPr="00C31B98" w:rsidRDefault="00A243FA" w:rsidP="004F50EC">
            <w:pPr>
              <w:ind w:left="360"/>
              <w:jc w:val="center"/>
              <w:rPr>
                <w:bCs/>
                <w:sz w:val="18"/>
                <w:szCs w:val="18"/>
                <w:lang w:val="en-US"/>
              </w:rPr>
            </w:pPr>
            <w:r w:rsidRPr="00C31B98">
              <w:rPr>
                <w:bCs/>
                <w:sz w:val="18"/>
                <w:szCs w:val="18"/>
                <w:lang w:val="en-US"/>
              </w:rPr>
              <w:t>100 %</w:t>
            </w:r>
          </w:p>
        </w:tc>
        <w:tc>
          <w:tcPr>
            <w:tcW w:w="0" w:type="auto"/>
            <w:shd w:val="clear" w:color="auto" w:fill="auto"/>
            <w:noWrap/>
            <w:vAlign w:val="center"/>
          </w:tcPr>
          <w:p w14:paraId="6705EC7E" w14:textId="77777777" w:rsidR="000D25C1" w:rsidRPr="00C31B98" w:rsidRDefault="00A243FA" w:rsidP="004F50EC">
            <w:pPr>
              <w:ind w:left="360"/>
              <w:jc w:val="center"/>
              <w:rPr>
                <w:bCs/>
                <w:sz w:val="18"/>
                <w:szCs w:val="18"/>
                <w:lang w:val="en-US"/>
              </w:rPr>
            </w:pPr>
            <w:r w:rsidRPr="00C31B98">
              <w:rPr>
                <w:bCs/>
                <w:sz w:val="18"/>
                <w:szCs w:val="18"/>
                <w:lang w:val="en-US"/>
              </w:rPr>
              <w:t>9872</w:t>
            </w:r>
          </w:p>
        </w:tc>
      </w:tr>
    </w:tbl>
    <w:p w14:paraId="0335895D" w14:textId="77777777" w:rsidR="000D25C1" w:rsidRPr="00C31B98" w:rsidRDefault="000D25C1" w:rsidP="000D25C1">
      <w:pPr>
        <w:pStyle w:val="Pagrindinistekstas"/>
        <w:rPr>
          <w:lang w:val="en-US"/>
        </w:rPr>
      </w:pPr>
    </w:p>
    <w:p w14:paraId="37E37766" w14:textId="70EED9EF" w:rsidR="000D25C1" w:rsidRPr="00C31B98" w:rsidRDefault="008470F8" w:rsidP="000D25C1">
      <w:pPr>
        <w:pStyle w:val="Pagrindinistekstas"/>
        <w:rPr>
          <w:lang w:val="en-US"/>
        </w:rPr>
      </w:pPr>
      <w:r>
        <w:rPr>
          <w:lang w:val="en-US"/>
        </w:rPr>
        <w:t>C</w:t>
      </w:r>
      <w:r w:rsidRPr="00C31B98">
        <w:rPr>
          <w:lang w:val="en-US"/>
        </w:rPr>
        <w:t xml:space="preserve">omparatively small amounts of radioactive waste are accumulated </w:t>
      </w:r>
      <w:r>
        <w:rPr>
          <w:lang w:val="en-US"/>
        </w:rPr>
        <w:t>a</w:t>
      </w:r>
      <w:r w:rsidRPr="00C31B98">
        <w:rPr>
          <w:lang w:val="en-US"/>
        </w:rPr>
        <w:t xml:space="preserve">t </w:t>
      </w:r>
      <w:r w:rsidR="00A243FA" w:rsidRPr="00C31B98">
        <w:rPr>
          <w:lang w:val="en-US"/>
        </w:rPr>
        <w:t xml:space="preserve">MRWSF, but there are different types of waste: short-lived very </w:t>
      </w:r>
      <w:proofErr w:type="gramStart"/>
      <w:r w:rsidR="00A243FA" w:rsidRPr="00C31B98">
        <w:rPr>
          <w:lang w:val="en-US"/>
        </w:rPr>
        <w:t>low level</w:t>
      </w:r>
      <w:proofErr w:type="gramEnd"/>
      <w:r w:rsidR="00A243FA" w:rsidRPr="00C31B98">
        <w:rPr>
          <w:lang w:val="en-US"/>
        </w:rPr>
        <w:t xml:space="preserve"> waste, short-lived low level and intermediate level waste and long-lived waste. </w:t>
      </w:r>
    </w:p>
    <w:p w14:paraId="2C6849E4" w14:textId="1F9C399C" w:rsidR="00D66A57" w:rsidRPr="00C31B98" w:rsidRDefault="00A243FA" w:rsidP="001D23D5">
      <w:pPr>
        <w:pStyle w:val="Pagrindinistekstas"/>
        <w:rPr>
          <w:lang w:val="en-US"/>
        </w:rPr>
      </w:pPr>
      <w:r w:rsidRPr="00C31B98">
        <w:rPr>
          <w:lang w:val="en-US"/>
        </w:rPr>
        <w:t>During groundwater monitoring</w:t>
      </w:r>
      <w:r w:rsidR="008315E9">
        <w:rPr>
          <w:lang w:val="en-US"/>
        </w:rPr>
        <w:t>,</w:t>
      </w:r>
      <w:r w:rsidRPr="00C31B98">
        <w:rPr>
          <w:lang w:val="en-US"/>
        </w:rPr>
        <w:t xml:space="preserve"> increas</w:t>
      </w:r>
      <w:r w:rsidR="008315E9">
        <w:rPr>
          <w:lang w:val="en-US"/>
        </w:rPr>
        <w:t>ed</w:t>
      </w:r>
      <w:r w:rsidRPr="00C31B98">
        <w:rPr>
          <w:lang w:val="en-US"/>
        </w:rPr>
        <w:t xml:space="preserve"> tritium (H-3) leakage was determined. The preliminary long term safety assessment of MRWSF showed that after </w:t>
      </w:r>
      <w:r w:rsidR="008315E9">
        <w:rPr>
          <w:lang w:val="en-US"/>
        </w:rPr>
        <w:t xml:space="preserve">the degradation of </w:t>
      </w:r>
      <w:r w:rsidRPr="00C31B98">
        <w:rPr>
          <w:lang w:val="en-US"/>
        </w:rPr>
        <w:t>concrete barriers</w:t>
      </w:r>
      <w:r w:rsidR="008315E9">
        <w:rPr>
          <w:lang w:val="en-US"/>
        </w:rPr>
        <w:t xml:space="preserve">, </w:t>
      </w:r>
      <w:r w:rsidRPr="00C31B98">
        <w:rPr>
          <w:lang w:val="en-US"/>
        </w:rPr>
        <w:t xml:space="preserve">the concentrations of H-3 and Cl-36 in groundwater can exceed acceptable values [1, 2]. </w:t>
      </w:r>
      <w:r w:rsidR="008315E9">
        <w:rPr>
          <w:lang w:val="en-US"/>
        </w:rPr>
        <w:t>The m</w:t>
      </w:r>
      <w:r w:rsidRPr="00C31B98">
        <w:rPr>
          <w:lang w:val="en-US"/>
        </w:rPr>
        <w:t>odeling of radionuclide migration [3] showed that MRWSF is</w:t>
      </w:r>
      <w:r w:rsidR="008315E9">
        <w:rPr>
          <w:lang w:val="en-US"/>
        </w:rPr>
        <w:t xml:space="preserve"> </w:t>
      </w:r>
      <w:r w:rsidRPr="00C31B98">
        <w:rPr>
          <w:lang w:val="en-US"/>
        </w:rPr>
        <w:t>n</w:t>
      </w:r>
      <w:r w:rsidR="008315E9">
        <w:rPr>
          <w:lang w:val="en-US"/>
        </w:rPr>
        <w:t>o</w:t>
      </w:r>
      <w:r w:rsidRPr="00C31B98">
        <w:rPr>
          <w:lang w:val="en-US"/>
        </w:rPr>
        <w:t xml:space="preserve">t safe enough to prevent its surroundings from contamination with radionuclides in the </w:t>
      </w:r>
      <w:r w:rsidRPr="00C31B98">
        <w:rPr>
          <w:lang w:val="en-US"/>
        </w:rPr>
        <w:lastRenderedPageBreak/>
        <w:t xml:space="preserve">future. H-3, Cl-36 and Pu-239 concentration in the groundwater can be significantly higher than acceptable limits and can cause doses </w:t>
      </w:r>
      <w:r w:rsidR="008470F8">
        <w:rPr>
          <w:lang w:val="en-US"/>
        </w:rPr>
        <w:t>above</w:t>
      </w:r>
      <w:r w:rsidRPr="00C31B98">
        <w:rPr>
          <w:lang w:val="en-US"/>
        </w:rPr>
        <w:t xml:space="preserve"> 1 mSv/y. </w:t>
      </w:r>
      <w:r w:rsidR="008315E9">
        <w:rPr>
          <w:lang w:val="en-US"/>
        </w:rPr>
        <w:t>As demonstrated in</w:t>
      </w:r>
      <w:r w:rsidRPr="00C31B98">
        <w:rPr>
          <w:lang w:val="en-US"/>
        </w:rPr>
        <w:t xml:space="preserve"> [4]</w:t>
      </w:r>
      <w:r w:rsidR="008315E9">
        <w:rPr>
          <w:lang w:val="en-US"/>
        </w:rPr>
        <w:t>,</w:t>
      </w:r>
      <w:r w:rsidRPr="00C31B98">
        <w:rPr>
          <w:lang w:val="en-US"/>
        </w:rPr>
        <w:t xml:space="preserve"> the most important processes forming radionuclide (especially H-3) distribution in </w:t>
      </w:r>
      <w:r w:rsidR="008315E9">
        <w:rPr>
          <w:lang w:val="en-US"/>
        </w:rPr>
        <w:t xml:space="preserve">the </w:t>
      </w:r>
      <w:r w:rsidRPr="00C31B98">
        <w:rPr>
          <w:lang w:val="en-US"/>
        </w:rPr>
        <w:t>unsaturated zone and groundwater of the MRWSF are</w:t>
      </w:r>
      <w:r w:rsidR="008315E9">
        <w:rPr>
          <w:lang w:val="en-US"/>
        </w:rPr>
        <w:t xml:space="preserve"> the following</w:t>
      </w:r>
      <w:r w:rsidRPr="00C31B98">
        <w:rPr>
          <w:lang w:val="en-US"/>
        </w:rPr>
        <w:t xml:space="preserve">: advection in unsaturated and saturated zones, infiltration recharge, capillary elevation and evaporation. The highest activity concentration of H-3 (29 800 ± 1500) </w:t>
      </w:r>
      <w:proofErr w:type="spellStart"/>
      <w:r w:rsidRPr="00C31B98">
        <w:rPr>
          <w:lang w:val="en-US"/>
        </w:rPr>
        <w:t>Bq</w:t>
      </w:r>
      <w:proofErr w:type="spellEnd"/>
      <w:r w:rsidRPr="00C31B98">
        <w:rPr>
          <w:lang w:val="en-US"/>
        </w:rPr>
        <w:t xml:space="preserve">/l was measured in </w:t>
      </w:r>
      <w:r w:rsidR="008315E9">
        <w:rPr>
          <w:lang w:val="en-US"/>
        </w:rPr>
        <w:t>a</w:t>
      </w:r>
      <w:r w:rsidRPr="00C31B98">
        <w:rPr>
          <w:lang w:val="en-US"/>
        </w:rPr>
        <w:t xml:space="preserve"> sample taken in December 2005. </w:t>
      </w:r>
    </w:p>
    <w:p w14:paraId="37E78566" w14:textId="612B78B7" w:rsidR="00A068AE" w:rsidRPr="00C31B98" w:rsidRDefault="00A243FA" w:rsidP="00D66A57">
      <w:pPr>
        <w:pStyle w:val="Pagrindinistekstas"/>
        <w:rPr>
          <w:lang w:val="en-US"/>
        </w:rPr>
      </w:pPr>
      <w:r w:rsidRPr="00C31B98">
        <w:rPr>
          <w:lang w:val="en-US"/>
        </w:rPr>
        <w:t>In 2005</w:t>
      </w:r>
      <w:r w:rsidR="008470F8">
        <w:rPr>
          <w:lang w:val="en-US"/>
        </w:rPr>
        <w:t>,</w:t>
      </w:r>
      <w:r w:rsidRPr="00C31B98">
        <w:rPr>
          <w:lang w:val="en-US"/>
        </w:rPr>
        <w:t xml:space="preserve"> the technical state of the MRWSF was assessed</w:t>
      </w:r>
      <w:r w:rsidR="008470F8" w:rsidRPr="008470F8">
        <w:rPr>
          <w:lang w:val="en-US"/>
        </w:rPr>
        <w:t xml:space="preserve"> </w:t>
      </w:r>
      <w:r w:rsidR="008470F8" w:rsidRPr="00C31B98">
        <w:rPr>
          <w:lang w:val="en-US"/>
        </w:rPr>
        <w:t>under the EU PHARE project [5]</w:t>
      </w:r>
      <w:r w:rsidR="008470F8">
        <w:rPr>
          <w:lang w:val="en-US"/>
        </w:rPr>
        <w:t>:</w:t>
      </w:r>
      <w:r w:rsidRPr="00C31B98">
        <w:rPr>
          <w:lang w:val="en-US"/>
        </w:rPr>
        <w:t xml:space="preserve"> its safety</w:t>
      </w:r>
      <w:r w:rsidR="008315E9" w:rsidRPr="008315E9">
        <w:rPr>
          <w:lang w:val="en-US"/>
        </w:rPr>
        <w:t xml:space="preserve"> </w:t>
      </w:r>
      <w:r w:rsidR="008315E9" w:rsidRPr="0010738C">
        <w:rPr>
          <w:lang w:val="en-US"/>
        </w:rPr>
        <w:t>evaluated</w:t>
      </w:r>
      <w:r w:rsidRPr="00C31B98">
        <w:rPr>
          <w:lang w:val="en-US"/>
        </w:rPr>
        <w:t>,</w:t>
      </w:r>
      <w:r w:rsidR="008315E9">
        <w:rPr>
          <w:lang w:val="en-US"/>
        </w:rPr>
        <w:t xml:space="preserve"> </w:t>
      </w:r>
      <w:r w:rsidR="008315E9" w:rsidRPr="008315E9">
        <w:rPr>
          <w:lang w:val="en-US"/>
        </w:rPr>
        <w:t>safety improvement solutions were proposed and the database of R</w:t>
      </w:r>
      <w:r w:rsidR="008315E9">
        <w:rPr>
          <w:lang w:val="en-US"/>
        </w:rPr>
        <w:t>W</w:t>
      </w:r>
      <w:r w:rsidR="008315E9" w:rsidRPr="008315E9">
        <w:rPr>
          <w:lang w:val="en-US"/>
        </w:rPr>
        <w:t xml:space="preserve"> inventory in the </w:t>
      </w:r>
      <w:r w:rsidR="008315E9">
        <w:rPr>
          <w:lang w:val="en-US"/>
        </w:rPr>
        <w:t>vault</w:t>
      </w:r>
      <w:r w:rsidR="008315E9" w:rsidRPr="008315E9">
        <w:rPr>
          <w:lang w:val="en-US"/>
        </w:rPr>
        <w:t xml:space="preserve"> of </w:t>
      </w:r>
      <w:r w:rsidR="003E1F01">
        <w:rPr>
          <w:lang w:val="en-US"/>
        </w:rPr>
        <w:t xml:space="preserve">the </w:t>
      </w:r>
      <w:r w:rsidR="00335F01">
        <w:rPr>
          <w:lang w:val="en-US"/>
        </w:rPr>
        <w:t>MRWSF</w:t>
      </w:r>
      <w:r w:rsidR="008315E9" w:rsidRPr="008315E9">
        <w:rPr>
          <w:lang w:val="en-US"/>
        </w:rPr>
        <w:t xml:space="preserve"> was </w:t>
      </w:r>
      <w:r w:rsidR="008470F8">
        <w:rPr>
          <w:lang w:val="en-US"/>
        </w:rPr>
        <w:t>developed</w:t>
      </w:r>
      <w:r w:rsidR="008315E9" w:rsidRPr="008315E9">
        <w:rPr>
          <w:lang w:val="en-US"/>
        </w:rPr>
        <w:t xml:space="preserve">. The database </w:t>
      </w:r>
      <w:r w:rsidR="008315E9">
        <w:rPr>
          <w:lang w:val="en-US"/>
        </w:rPr>
        <w:t>was developed</w:t>
      </w:r>
      <w:r w:rsidR="008315E9" w:rsidRPr="008315E9">
        <w:rPr>
          <w:lang w:val="en-US"/>
        </w:rPr>
        <w:t xml:space="preserve"> based on the </w:t>
      </w:r>
      <w:r w:rsidR="008470F8">
        <w:rPr>
          <w:lang w:val="en-US"/>
        </w:rPr>
        <w:t>remained</w:t>
      </w:r>
      <w:r w:rsidR="008470F8" w:rsidRPr="008315E9">
        <w:rPr>
          <w:lang w:val="en-US"/>
        </w:rPr>
        <w:t xml:space="preserve"> </w:t>
      </w:r>
      <w:r w:rsidR="008315E9" w:rsidRPr="008315E9">
        <w:rPr>
          <w:lang w:val="en-US"/>
        </w:rPr>
        <w:t>R</w:t>
      </w:r>
      <w:r w:rsidR="008315E9">
        <w:rPr>
          <w:lang w:val="en-US"/>
        </w:rPr>
        <w:t>W</w:t>
      </w:r>
      <w:r w:rsidR="008315E9" w:rsidRPr="008315E9">
        <w:rPr>
          <w:lang w:val="en-US"/>
        </w:rPr>
        <w:t xml:space="preserve"> acceptance and accounting records (passports, bills of lading) and</w:t>
      </w:r>
      <w:r w:rsidR="008315E9">
        <w:rPr>
          <w:lang w:val="en-US"/>
        </w:rPr>
        <w:t xml:space="preserve"> the</w:t>
      </w:r>
      <w:r w:rsidR="008315E9" w:rsidRPr="008315E9">
        <w:rPr>
          <w:lang w:val="en-US"/>
        </w:rPr>
        <w:t xml:space="preserve"> expert evaluation of these records [6]. According to the database, more than 30</w:t>
      </w:r>
      <w:r w:rsidR="008470F8">
        <w:rPr>
          <w:lang w:val="en-US"/>
        </w:rPr>
        <w:t xml:space="preserve"> </w:t>
      </w:r>
      <w:r w:rsidR="008315E9" w:rsidRPr="008315E9">
        <w:rPr>
          <w:lang w:val="en-US"/>
        </w:rPr>
        <w:t xml:space="preserve">000 items are stored in the </w:t>
      </w:r>
      <w:r w:rsidR="008315E9">
        <w:rPr>
          <w:lang w:val="en-US"/>
        </w:rPr>
        <w:t>vault</w:t>
      </w:r>
      <w:r w:rsidRPr="00C31B98">
        <w:rPr>
          <w:lang w:val="en-US"/>
        </w:rPr>
        <w:t>.</w:t>
      </w:r>
    </w:p>
    <w:p w14:paraId="47F55E2A" w14:textId="78323339" w:rsidR="000D25C1" w:rsidRPr="00C31B98" w:rsidRDefault="00A243FA" w:rsidP="000D25C1">
      <w:pPr>
        <w:pStyle w:val="Pagrindinistekstas"/>
        <w:rPr>
          <w:lang w:val="en-US"/>
        </w:rPr>
      </w:pPr>
      <w:r w:rsidRPr="00C31B98">
        <w:rPr>
          <w:lang w:val="en-US"/>
        </w:rPr>
        <w:t xml:space="preserve">To prevent an increase </w:t>
      </w:r>
      <w:r w:rsidR="008315E9">
        <w:rPr>
          <w:lang w:val="en-US"/>
        </w:rPr>
        <w:t>in</w:t>
      </w:r>
      <w:r w:rsidRPr="00C31B98">
        <w:rPr>
          <w:lang w:val="en-US"/>
        </w:rPr>
        <w:t xml:space="preserve"> the precipitation infiltration, a vault capping system was proposed and implemented (see Figures </w:t>
      </w:r>
      <w:r w:rsidR="008470F8">
        <w:rPr>
          <w:lang w:val="en-US"/>
        </w:rPr>
        <w:t>3</w:t>
      </w:r>
      <w:r w:rsidRPr="00C31B98">
        <w:rPr>
          <w:lang w:val="en-US"/>
        </w:rPr>
        <w:t xml:space="preserve">, </w:t>
      </w:r>
      <w:r w:rsidR="008470F8">
        <w:rPr>
          <w:lang w:val="en-US"/>
        </w:rPr>
        <w:t>4</w:t>
      </w:r>
      <w:r w:rsidRPr="00C31B98">
        <w:rPr>
          <w:lang w:val="en-US"/>
        </w:rPr>
        <w:t xml:space="preserve">). The system of protective engineering barriers </w:t>
      </w:r>
      <w:r w:rsidR="008315E9">
        <w:rPr>
          <w:lang w:val="en-US"/>
        </w:rPr>
        <w:t>i</w:t>
      </w:r>
      <w:r w:rsidRPr="00C31B98">
        <w:rPr>
          <w:lang w:val="en-US"/>
        </w:rPr>
        <w:t xml:space="preserve">s comprised of two layers of very low permeability high-density polyethylene (HDPE) membranes with the </w:t>
      </w:r>
      <w:r w:rsidR="008470F8">
        <w:rPr>
          <w:lang w:val="en-US"/>
        </w:rPr>
        <w:t xml:space="preserve">warranty of </w:t>
      </w:r>
      <w:r w:rsidR="008470F8" w:rsidRPr="00C31B98">
        <w:rPr>
          <w:lang w:val="en-US"/>
        </w:rPr>
        <w:t xml:space="preserve">durability </w:t>
      </w:r>
      <w:r w:rsidRPr="00C31B98">
        <w:rPr>
          <w:lang w:val="en-US"/>
        </w:rPr>
        <w:t>not shorter than 30 years.</w:t>
      </w:r>
    </w:p>
    <w:p w14:paraId="2B2A4F5F" w14:textId="3360B998" w:rsidR="000D25C1" w:rsidRPr="00C31B98" w:rsidRDefault="0001353A" w:rsidP="000D25C1">
      <w:pPr>
        <w:pStyle w:val="Pagrindinistekstas"/>
        <w:jc w:val="center"/>
        <w:rPr>
          <w:lang w:val="en-US"/>
        </w:rPr>
      </w:pPr>
      <w:r>
        <w:rPr>
          <w:noProof/>
          <w:highlight w:val="red"/>
          <w:lang w:val="en-US" w:eastAsia="lt-LT"/>
        </w:rPr>
        <mc:AlternateContent>
          <mc:Choice Requires="wps">
            <w:drawing>
              <wp:anchor distT="0" distB="0" distL="114300" distR="114300" simplePos="0" relativeHeight="251667456" behindDoc="0" locked="0" layoutInCell="1" allowOverlap="1" wp14:anchorId="60C43E58" wp14:editId="2CE04917">
                <wp:simplePos x="0" y="0"/>
                <wp:positionH relativeFrom="margin">
                  <wp:align>center</wp:align>
                </wp:positionH>
                <wp:positionV relativeFrom="paragraph">
                  <wp:posOffset>2298065</wp:posOffset>
                </wp:positionV>
                <wp:extent cx="3863340" cy="18542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85420"/>
                        </a:xfrm>
                        <a:prstGeom prst="rect">
                          <a:avLst/>
                        </a:prstGeom>
                        <a:solidFill>
                          <a:prstClr val="white"/>
                        </a:solidFill>
                        <a:ln>
                          <a:noFill/>
                        </a:ln>
                        <a:effectLst/>
                      </wps:spPr>
                      <wps:txbx>
                        <w:txbxContent>
                          <w:p w14:paraId="3B6AC3F2" w14:textId="1E694C60" w:rsidR="004C60EA" w:rsidRPr="00802381" w:rsidRDefault="004C60EA" w:rsidP="000D25C1">
                            <w:pPr>
                              <w:pStyle w:val="Antrat"/>
                              <w:jc w:val="center"/>
                              <w:rPr>
                                <w:i/>
                                <w:sz w:val="20"/>
                              </w:rPr>
                            </w:pPr>
                            <w:r w:rsidRPr="00802381">
                              <w:rPr>
                                <w:i/>
                              </w:rPr>
                              <w:t xml:space="preserve">FIG. </w:t>
                            </w:r>
                            <w:r w:rsidR="00A243FA" w:rsidRPr="00802381">
                              <w:rPr>
                                <w:i/>
                              </w:rPr>
                              <w:fldChar w:fldCharType="begin"/>
                            </w:r>
                            <w:r w:rsidRPr="00802381">
                              <w:rPr>
                                <w:i/>
                              </w:rPr>
                              <w:instrText xml:space="preserve"> SEQ Figure \* ARABIC </w:instrText>
                            </w:r>
                            <w:r w:rsidR="00A243FA" w:rsidRPr="00802381">
                              <w:rPr>
                                <w:i/>
                              </w:rPr>
                              <w:fldChar w:fldCharType="separate"/>
                            </w:r>
                            <w:r w:rsidR="0011795C">
                              <w:rPr>
                                <w:i/>
                                <w:noProof/>
                              </w:rPr>
                              <w:t>3</w:t>
                            </w:r>
                            <w:r w:rsidR="00A243FA" w:rsidRPr="00802381">
                              <w:rPr>
                                <w:i/>
                              </w:rPr>
                              <w:fldChar w:fldCharType="end"/>
                            </w:r>
                            <w:r>
                              <w:rPr>
                                <w:i/>
                              </w:rPr>
                              <w:t xml:space="preserve">. </w:t>
                            </w:r>
                            <w:r w:rsidRPr="008F0DD2">
                              <w:rPr>
                                <w:i/>
                                <w:lang w:val="en-GB"/>
                              </w:rPr>
                              <w:t>Installation of new protection barriers at the facility</w:t>
                            </w:r>
                            <w:r>
                              <w:rPr>
                                <w:i/>
                                <w:lang w:val="en-GB"/>
                              </w:rPr>
                              <w:t xml:space="preserve"> </w:t>
                            </w:r>
                            <w:r>
                              <w:rPr>
                                <w:i/>
                              </w:rPr>
                              <w:t>in 2006.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0C43E58" id="_x0000_s1028" type="#_x0000_t202" style="position:absolute;left:0;text-align:left;margin-left:0;margin-top:180.95pt;width:304.2pt;height:14.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RNQgIAAI4EAAAOAAAAZHJzL2Uyb0RvYy54bWysVF1v2jAUfZ+0/2D5fYSPtkIRoWJUTJNQ&#10;WwmmPhvHIdZsX882JOzX79pJaNftadqLufH98j3nXBb3rVbkLJyXYAo6GY0pEYZDKc2xoN/2m09z&#10;SnxgpmQKjCjoRXh6v/z4YdHYXEyhBlUKR7CI8XljC1qHYPMs87wWmvkRWGHQWYHTLOCnO2alYw1W&#10;1yqbjsd3WQOutA648B5vHzonXab6VSV4eKoqLwJRBcW3hXS6dB7imS0XLD86ZmvJ+2ewf3iFZtJg&#10;02upBxYYOTn5RyktuQMPVRhx0BlUleQizYDTTMbvptnVzIo0C4Lj7RUm///K8sfzsyOyLOgtJYZp&#10;pGgv2kA+Q0umEZ3G+hyDdhbDQovXyHKa1Nst8O8eQ7I3MV2Cx+iIRls5HX9xToKJSMDlCnrswvFy&#10;Nr+bzW7QxdE3md/eTBMr2Wu2dT58EaBJNArqkNT0Anbe+hD7s3wIic08KFlupFLxIzrWypEzQwE0&#10;tQwiDoUZv0UpE2MNxKzO3d2IpKC+S5yyGyxaoT20CbcrSgcoLwiSg05k3vKNxO5b5sMzc6gqnBE3&#10;JTzhUSloCgq9RUkN7uff7mM8ko1eShpUaUH9jxNzghL11aAMoqQHww3GYTDMSa8B557gDlqeTExw&#10;QQ1m5UC/4AKtYhd0McOxV0HDYK5Dtyu4gFysVikIhWtZ2Jqd5YMWIsr79oU523MUkN1HGPTL8ndU&#10;dbGJLLs6BcQ98Rhx7VDsRYWiT2T1Cxq36u13inr9G1n+AgAA//8DAFBLAwQUAAYACAAAACEAiQDM&#10;xuAAAAAIAQAADwAAAGRycy9kb3ducmV2LnhtbEyPwU7DMBBE70j8g7VIXBB1QqOoDXGqqoIDXCpC&#10;L9zceBsH4nUUO234e5YTHGdnNfOm3MyuF2ccQ+dJQbpIQCA13nTUKji8P9+vQISoyejeEyr4xgCb&#10;6vqq1IXxF3rDcx1bwSEUCq3AxjgUUobGotNh4Qck9k5+dDqyHFtpRn3hcNfLhyTJpdMdcYPVA+4s&#10;Nl/15BTss4+9vZtOT6/bbDm+HKZd/tnWSt3ezNtHEBHn+PcMv/iMDhUzHf1EJoheAQ+JCpZ5ugbB&#10;dp6sMhBHvqzTFGRVyv8Dqh8AAAD//wMAUEsBAi0AFAAGAAgAAAAhALaDOJL+AAAA4QEAABMAAAAA&#10;AAAAAAAAAAAAAAAAAFtDb250ZW50X1R5cGVzXS54bWxQSwECLQAUAAYACAAAACEAOP0h/9YAAACU&#10;AQAACwAAAAAAAAAAAAAAAAAvAQAAX3JlbHMvLnJlbHNQSwECLQAUAAYACAAAACEA41EETUICAACO&#10;BAAADgAAAAAAAAAAAAAAAAAuAgAAZHJzL2Uyb0RvYy54bWxQSwECLQAUAAYACAAAACEAiQDMxuAA&#10;AAAIAQAADwAAAAAAAAAAAAAAAACcBAAAZHJzL2Rvd25yZXYueG1sUEsFBgAAAAAEAAQA8wAAAKkF&#10;AAAAAA==&#10;" stroked="f">
                <v:textbox style="mso-fit-shape-to-text:t" inset="0,0,0,0">
                  <w:txbxContent>
                    <w:p w14:paraId="3B6AC3F2" w14:textId="1E694C60" w:rsidR="004C60EA" w:rsidRPr="00802381" w:rsidRDefault="004C60EA" w:rsidP="000D25C1">
                      <w:pPr>
                        <w:pStyle w:val="Antrat"/>
                        <w:jc w:val="center"/>
                        <w:rPr>
                          <w:i/>
                          <w:sz w:val="20"/>
                        </w:rPr>
                      </w:pPr>
                      <w:r w:rsidRPr="00802381">
                        <w:rPr>
                          <w:i/>
                        </w:rPr>
                        <w:t xml:space="preserve">FIG. </w:t>
                      </w:r>
                      <w:r w:rsidR="00A243FA" w:rsidRPr="00802381">
                        <w:rPr>
                          <w:i/>
                        </w:rPr>
                        <w:fldChar w:fldCharType="begin"/>
                      </w:r>
                      <w:r w:rsidRPr="00802381">
                        <w:rPr>
                          <w:i/>
                        </w:rPr>
                        <w:instrText xml:space="preserve"> SEQ Figure \* ARABIC </w:instrText>
                      </w:r>
                      <w:r w:rsidR="00A243FA" w:rsidRPr="00802381">
                        <w:rPr>
                          <w:i/>
                        </w:rPr>
                        <w:fldChar w:fldCharType="separate"/>
                      </w:r>
                      <w:r w:rsidR="0011795C">
                        <w:rPr>
                          <w:i/>
                          <w:noProof/>
                        </w:rPr>
                        <w:t>3</w:t>
                      </w:r>
                      <w:r w:rsidR="00A243FA" w:rsidRPr="00802381">
                        <w:rPr>
                          <w:i/>
                        </w:rPr>
                        <w:fldChar w:fldCharType="end"/>
                      </w:r>
                      <w:r>
                        <w:rPr>
                          <w:i/>
                        </w:rPr>
                        <w:t xml:space="preserve">. </w:t>
                      </w:r>
                      <w:r w:rsidRPr="008F0DD2">
                        <w:rPr>
                          <w:i/>
                          <w:lang w:val="en-GB"/>
                        </w:rPr>
                        <w:t>Installation of new protection barriers at the facility</w:t>
                      </w:r>
                      <w:r>
                        <w:rPr>
                          <w:i/>
                          <w:lang w:val="en-GB"/>
                        </w:rPr>
                        <w:t xml:space="preserve"> </w:t>
                      </w:r>
                      <w:r>
                        <w:rPr>
                          <w:i/>
                        </w:rPr>
                        <w:t>in 2006.</w:t>
                      </w:r>
                    </w:p>
                  </w:txbxContent>
                </v:textbox>
                <w10:wrap type="topAndBottom" anchorx="margin"/>
              </v:shape>
            </w:pict>
          </mc:Fallback>
        </mc:AlternateContent>
      </w:r>
      <w:r w:rsidR="00D55933" w:rsidRPr="00C31B98">
        <w:rPr>
          <w:noProof/>
          <w:lang w:val="lt-LT" w:eastAsia="lt-LT"/>
        </w:rPr>
        <w:drawing>
          <wp:inline distT="0" distB="0" distL="0" distR="0" wp14:anchorId="6398901B" wp14:editId="6EDD495A">
            <wp:extent cx="3124200" cy="2247900"/>
            <wp:effectExtent l="0" t="0" r="0" b="0"/>
            <wp:docPr id="10249" name="Paveikslėlis 7">
              <a:extLst xmlns:a="http://schemas.openxmlformats.org/drawingml/2006/main">
                <a:ext uri="{FF2B5EF4-FFF2-40B4-BE49-F238E27FC236}">
                  <a16:creationId xmlns:a16="http://schemas.microsoft.com/office/drawing/2014/main" id="{04B3E4BC-4934-49D2-9DA7-06F7D7C0F3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9" name="Paveikslėlis 7">
                      <a:extLst>
                        <a:ext uri="{FF2B5EF4-FFF2-40B4-BE49-F238E27FC236}">
                          <a16:creationId xmlns:a16="http://schemas.microsoft.com/office/drawing/2014/main" id="{04B3E4BC-4934-49D2-9DA7-06F7D7C0F32E}"/>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133A863" w14:textId="77777777" w:rsidR="000D25C1" w:rsidRPr="00C31B98" w:rsidRDefault="000D25C1" w:rsidP="000D25C1">
      <w:pPr>
        <w:pStyle w:val="Pagrindinistekstas"/>
        <w:rPr>
          <w:lang w:val="en-US"/>
        </w:rPr>
      </w:pPr>
    </w:p>
    <w:p w14:paraId="05CF8C46" w14:textId="77777777" w:rsidR="000D25C1" w:rsidRPr="00C31B98" w:rsidRDefault="00D55933" w:rsidP="000D25C1">
      <w:pPr>
        <w:pStyle w:val="Pagrindinistekstas"/>
        <w:jc w:val="center"/>
        <w:rPr>
          <w:lang w:val="en-US"/>
        </w:rPr>
      </w:pPr>
      <w:r w:rsidRPr="00C31B98">
        <w:rPr>
          <w:noProof/>
          <w:lang w:val="lt-LT" w:eastAsia="lt-LT"/>
        </w:rPr>
        <w:drawing>
          <wp:inline distT="0" distB="0" distL="0" distR="0" wp14:anchorId="3A53F0F7" wp14:editId="41500388">
            <wp:extent cx="2954337" cy="2182812"/>
            <wp:effectExtent l="0" t="0" r="0" b="8255"/>
            <wp:docPr id="10250" name="Paveikslėlis 9">
              <a:extLst xmlns:a="http://schemas.openxmlformats.org/drawingml/2006/main">
                <a:ext uri="{FF2B5EF4-FFF2-40B4-BE49-F238E27FC236}">
                  <a16:creationId xmlns:a16="http://schemas.microsoft.com/office/drawing/2014/main" id="{3928ED1D-01E7-434F-B73C-A0C4179452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0" name="Paveikslėlis 9">
                      <a:extLst>
                        <a:ext uri="{FF2B5EF4-FFF2-40B4-BE49-F238E27FC236}">
                          <a16:creationId xmlns:a16="http://schemas.microsoft.com/office/drawing/2014/main" id="{3928ED1D-01E7-434F-B73C-A0C4179452A6}"/>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4337" cy="2182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64516A6" w14:textId="6AEEB986" w:rsidR="000D25C1" w:rsidRPr="0095279A" w:rsidRDefault="0001353A" w:rsidP="000D25C1">
      <w:pPr>
        <w:pStyle w:val="Pagrindinistekstas"/>
        <w:jc w:val="center"/>
        <w:rPr>
          <w:lang w:val="en-US"/>
        </w:rPr>
      </w:pPr>
      <w:r>
        <w:rPr>
          <w:noProof/>
          <w:highlight w:val="red"/>
          <w:lang w:val="en-US" w:eastAsia="lt-LT"/>
        </w:rPr>
        <mc:AlternateContent>
          <mc:Choice Requires="wps">
            <w:drawing>
              <wp:anchor distT="0" distB="0" distL="114300" distR="114300" simplePos="0" relativeHeight="251668480" behindDoc="0" locked="0" layoutInCell="1" allowOverlap="1" wp14:anchorId="35A43D0B" wp14:editId="0FEF5078">
                <wp:simplePos x="0" y="0"/>
                <wp:positionH relativeFrom="margin">
                  <wp:align>center</wp:align>
                </wp:positionH>
                <wp:positionV relativeFrom="paragraph">
                  <wp:posOffset>219075</wp:posOffset>
                </wp:positionV>
                <wp:extent cx="3863340" cy="18542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85420"/>
                        </a:xfrm>
                        <a:prstGeom prst="rect">
                          <a:avLst/>
                        </a:prstGeom>
                        <a:solidFill>
                          <a:prstClr val="white"/>
                        </a:solidFill>
                        <a:ln>
                          <a:noFill/>
                        </a:ln>
                        <a:effectLst/>
                      </wps:spPr>
                      <wps:txbx>
                        <w:txbxContent>
                          <w:p w14:paraId="3D38D4DA" w14:textId="1D03C44F" w:rsidR="004C60EA" w:rsidRPr="00802381" w:rsidRDefault="004C60EA" w:rsidP="000D25C1">
                            <w:pPr>
                              <w:pStyle w:val="Antrat"/>
                              <w:jc w:val="center"/>
                              <w:rPr>
                                <w:i/>
                                <w:sz w:val="20"/>
                              </w:rPr>
                            </w:pPr>
                            <w:r w:rsidRPr="00802381">
                              <w:rPr>
                                <w:i/>
                              </w:rPr>
                              <w:t xml:space="preserve">FIG. </w:t>
                            </w:r>
                            <w:r w:rsidR="00A243FA" w:rsidRPr="00802381">
                              <w:rPr>
                                <w:i/>
                              </w:rPr>
                              <w:fldChar w:fldCharType="begin"/>
                            </w:r>
                            <w:r w:rsidRPr="00802381">
                              <w:rPr>
                                <w:i/>
                              </w:rPr>
                              <w:instrText xml:space="preserve"> SEQ Figure \* ARABIC </w:instrText>
                            </w:r>
                            <w:r w:rsidR="00A243FA" w:rsidRPr="00802381">
                              <w:rPr>
                                <w:i/>
                              </w:rPr>
                              <w:fldChar w:fldCharType="separate"/>
                            </w:r>
                            <w:r w:rsidR="0011795C">
                              <w:rPr>
                                <w:i/>
                                <w:noProof/>
                              </w:rPr>
                              <w:t>4</w:t>
                            </w:r>
                            <w:r w:rsidR="00A243FA" w:rsidRPr="00802381">
                              <w:rPr>
                                <w:i/>
                              </w:rPr>
                              <w:fldChar w:fldCharType="end"/>
                            </w:r>
                            <w:r>
                              <w:rPr>
                                <w:i/>
                              </w:rPr>
                              <w:t xml:space="preserve">. </w:t>
                            </w:r>
                            <w:r w:rsidRPr="008F0DD2">
                              <w:rPr>
                                <w:i/>
                                <w:lang w:val="en-GB"/>
                              </w:rPr>
                              <w:t>Installation of HDPE at the facility</w:t>
                            </w:r>
                            <w:r>
                              <w:rPr>
                                <w:i/>
                                <w:lang w:val="en-GB"/>
                              </w:rPr>
                              <w:t xml:space="preserve"> </w:t>
                            </w:r>
                            <w:r>
                              <w:rPr>
                                <w:i/>
                              </w:rPr>
                              <w:t>in 2006.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5A43D0B" id="_x0000_s1029" type="#_x0000_t202" style="position:absolute;left:0;text-align:left;margin-left:0;margin-top:17.25pt;width:304.2pt;height:14.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p3QwIAAI4EAAAOAAAAZHJzL2Uyb0RvYy54bWysVF1v2jAUfZ+0/2D5fYSPDlURoWJUTJNQ&#10;WwmqPhvHIdZsX882JOzX79pJaNftadqLufH98j3nXBZ3rVbkLJyXYAo6GY0pEYZDKc2xoM/7zadb&#10;SnxgpmQKjCjoRXh6t/z4YdHYXEyhBlUKR7CI8XljC1qHYPMs87wWmvkRWGHQWYHTLOCnO2alYw1W&#10;1yqbjsfzrAFXWgdceI+3952TLlP9qhI8PFaVF4GoguLbQjpdOg/xzJYLlh8ds7Xk/TPYP7xCM2mw&#10;6bXUPQuMnJz8o5SW3IGHKow46AyqSnKRZsBpJuN30+xqZkWaBcHx9gqT/39l+cP5yRFZFnROiWEa&#10;KdqLNpAv0JJpRKexPsegncWw0OI1spwm9XYL/LvHkOxNTJfgMTqi0VZOx1+ck2AiEnC5gh67cLyc&#10;3c5nsxt0cfRNbj/fTBMr2Wu2dT58FaBJNArqkNT0Anbe+hD7s3wIic08KFlupFLxIzrWypEzQwE0&#10;tQwiDoUZv0UpE2MNxKzO3d2IpKC+S5yyGyxaoT20CbfZgNIByguC5KATmbd8I7H7lvnwxByqCmfE&#10;TQmPeFQKmoJCb1FSg/v5t/sYj2Sjl5IGVVpQ/+PEnKBEfTMogyjpwXCDcRgMc9JrwLknuIOWJxMT&#10;XFCDWTnQL7hAq9gFXcxw7FXQMJjr0O0KLiAXq1UKQuFaFrZmZ/mghYjyvn1hzvYcBWT3AQb9svwd&#10;VV1sIsuuTgFxTzxGXDsUe1Gh6BNZ/YLGrXr7naJe/0aWvwAAAP//AwBQSwMEFAAGAAgAAAAhAMyr&#10;tj/eAAAABgEAAA8AAABkcnMvZG93bnJldi54bWxMj8FOwzAQRO9I/IO1SFwQdSAhVCFOVVVwgEtF&#10;6IWbG2/jQLyOYqcNf89yKrcdzWjmbbmaXS+OOIbOk4K7RQICqfGmo1bB7uPldgkiRE1G955QwQ8G&#10;WFWXF6UujD/ROx7r2AouoVBoBTbGoZAyNBadDgs/ILF38KPTkeXYSjPqE5e7Xt4nSS6d7ogXrB5w&#10;Y7H5rienYJt9bu3NdHh+W2fp+LqbNvlXWyt1fTWvn0BEnOM5DH/4jA4VM+39RCaIXgE/EhWk2QMI&#10;dvNkmYHY85E+gqxK+R+/+gUAAP//AwBQSwECLQAUAAYACAAAACEAtoM4kv4AAADhAQAAEwAAAAAA&#10;AAAAAAAAAAAAAAAAW0NvbnRlbnRfVHlwZXNdLnhtbFBLAQItABQABgAIAAAAIQA4/SH/1gAAAJQB&#10;AAALAAAAAAAAAAAAAAAAAC8BAABfcmVscy8ucmVsc1BLAQItABQABgAIAAAAIQAsiVp3QwIAAI4E&#10;AAAOAAAAAAAAAAAAAAAAAC4CAABkcnMvZTJvRG9jLnhtbFBLAQItABQABgAIAAAAIQDMq7Y/3gAA&#10;AAYBAAAPAAAAAAAAAAAAAAAAAJ0EAABkcnMvZG93bnJldi54bWxQSwUGAAAAAAQABADzAAAAqAUA&#10;AAAA&#10;" stroked="f">
                <v:textbox style="mso-fit-shape-to-text:t" inset="0,0,0,0">
                  <w:txbxContent>
                    <w:p w14:paraId="3D38D4DA" w14:textId="1D03C44F" w:rsidR="004C60EA" w:rsidRPr="00802381" w:rsidRDefault="004C60EA" w:rsidP="000D25C1">
                      <w:pPr>
                        <w:pStyle w:val="Antrat"/>
                        <w:jc w:val="center"/>
                        <w:rPr>
                          <w:i/>
                          <w:sz w:val="20"/>
                        </w:rPr>
                      </w:pPr>
                      <w:r w:rsidRPr="00802381">
                        <w:rPr>
                          <w:i/>
                        </w:rPr>
                        <w:t xml:space="preserve">FIG. </w:t>
                      </w:r>
                      <w:r w:rsidR="00A243FA" w:rsidRPr="00802381">
                        <w:rPr>
                          <w:i/>
                        </w:rPr>
                        <w:fldChar w:fldCharType="begin"/>
                      </w:r>
                      <w:r w:rsidRPr="00802381">
                        <w:rPr>
                          <w:i/>
                        </w:rPr>
                        <w:instrText xml:space="preserve"> SEQ Figure \* ARABIC </w:instrText>
                      </w:r>
                      <w:r w:rsidR="00A243FA" w:rsidRPr="00802381">
                        <w:rPr>
                          <w:i/>
                        </w:rPr>
                        <w:fldChar w:fldCharType="separate"/>
                      </w:r>
                      <w:r w:rsidR="0011795C">
                        <w:rPr>
                          <w:i/>
                          <w:noProof/>
                        </w:rPr>
                        <w:t>4</w:t>
                      </w:r>
                      <w:r w:rsidR="00A243FA" w:rsidRPr="00802381">
                        <w:rPr>
                          <w:i/>
                        </w:rPr>
                        <w:fldChar w:fldCharType="end"/>
                      </w:r>
                      <w:r>
                        <w:rPr>
                          <w:i/>
                        </w:rPr>
                        <w:t xml:space="preserve">. </w:t>
                      </w:r>
                      <w:r w:rsidRPr="008F0DD2">
                        <w:rPr>
                          <w:i/>
                          <w:lang w:val="en-GB"/>
                        </w:rPr>
                        <w:t>Installation of HDPE at the facility</w:t>
                      </w:r>
                      <w:r>
                        <w:rPr>
                          <w:i/>
                          <w:lang w:val="en-GB"/>
                        </w:rPr>
                        <w:t xml:space="preserve"> </w:t>
                      </w:r>
                      <w:r>
                        <w:rPr>
                          <w:i/>
                        </w:rPr>
                        <w:t>in 2006.</w:t>
                      </w:r>
                    </w:p>
                  </w:txbxContent>
                </v:textbox>
                <w10:wrap type="topAndBottom" anchorx="margin"/>
              </v:shape>
            </w:pict>
          </mc:Fallback>
        </mc:AlternateContent>
      </w:r>
    </w:p>
    <w:p w14:paraId="2382A125" w14:textId="1F5AB69D" w:rsidR="001D23D5" w:rsidRPr="00C31B98" w:rsidRDefault="00A243FA" w:rsidP="000D25C1">
      <w:pPr>
        <w:pStyle w:val="Pagrindinistekstas"/>
        <w:rPr>
          <w:lang w:val="en-US"/>
        </w:rPr>
      </w:pPr>
      <w:r w:rsidRPr="00C31B98">
        <w:rPr>
          <w:lang w:val="en-US"/>
        </w:rPr>
        <w:t xml:space="preserve">The </w:t>
      </w:r>
      <w:r w:rsidR="00513044">
        <w:rPr>
          <w:lang w:val="en-US"/>
        </w:rPr>
        <w:t>entire</w:t>
      </w:r>
      <w:r w:rsidR="00513044" w:rsidRPr="00C31B98">
        <w:rPr>
          <w:lang w:val="en-US"/>
        </w:rPr>
        <w:t xml:space="preserve"> </w:t>
      </w:r>
      <w:r w:rsidRPr="00C31B98">
        <w:rPr>
          <w:lang w:val="en-US"/>
        </w:rPr>
        <w:t xml:space="preserve">territory of </w:t>
      </w:r>
      <w:r w:rsidR="008315E9">
        <w:rPr>
          <w:lang w:val="en-US"/>
        </w:rPr>
        <w:t xml:space="preserve">the </w:t>
      </w:r>
      <w:r w:rsidRPr="00C31B98">
        <w:rPr>
          <w:lang w:val="en-US"/>
        </w:rPr>
        <w:t xml:space="preserve">MRWSF was fenced with </w:t>
      </w:r>
      <w:r w:rsidR="008315E9">
        <w:rPr>
          <w:lang w:val="en-US"/>
        </w:rPr>
        <w:t>a</w:t>
      </w:r>
      <w:r w:rsidRPr="00C31B98">
        <w:rPr>
          <w:lang w:val="en-US"/>
        </w:rPr>
        <w:t xml:space="preserve"> double fence. </w:t>
      </w:r>
      <w:r w:rsidR="008315E9">
        <w:rPr>
          <w:lang w:val="en-US"/>
        </w:rPr>
        <w:t>V</w:t>
      </w:r>
      <w:r w:rsidR="008315E9" w:rsidRPr="0010738C">
        <w:rPr>
          <w:lang w:val="en-US"/>
        </w:rPr>
        <w:t>ideo cameras were installed</w:t>
      </w:r>
      <w:r w:rsidR="008315E9">
        <w:rPr>
          <w:lang w:val="en-US"/>
        </w:rPr>
        <w:t xml:space="preserve"> in order t</w:t>
      </w:r>
      <w:r w:rsidRPr="00C31B98">
        <w:rPr>
          <w:lang w:val="en-US"/>
        </w:rPr>
        <w:t xml:space="preserve">o </w:t>
      </w:r>
      <w:r w:rsidR="008315E9">
        <w:rPr>
          <w:lang w:val="en-US"/>
        </w:rPr>
        <w:t xml:space="preserve">perform </w:t>
      </w:r>
      <w:r w:rsidRPr="00C31B98">
        <w:rPr>
          <w:lang w:val="en-US"/>
        </w:rPr>
        <w:t>continuous monitoring</w:t>
      </w:r>
      <w:r w:rsidR="008315E9">
        <w:rPr>
          <w:lang w:val="en-US"/>
        </w:rPr>
        <w:t xml:space="preserve"> of</w:t>
      </w:r>
      <w:r w:rsidRPr="00C31B98">
        <w:rPr>
          <w:lang w:val="en-US"/>
        </w:rPr>
        <w:t xml:space="preserve"> the territory of </w:t>
      </w:r>
      <w:r w:rsidR="008315E9">
        <w:rPr>
          <w:lang w:val="en-US"/>
        </w:rPr>
        <w:t xml:space="preserve">the </w:t>
      </w:r>
      <w:r w:rsidRPr="00C31B98">
        <w:rPr>
          <w:lang w:val="en-US"/>
        </w:rPr>
        <w:t xml:space="preserve">MRWSF. In </w:t>
      </w:r>
      <w:r w:rsidR="008315E9">
        <w:rPr>
          <w:lang w:val="en-US"/>
        </w:rPr>
        <w:t xml:space="preserve">a </w:t>
      </w:r>
      <w:r w:rsidRPr="00C31B98">
        <w:rPr>
          <w:lang w:val="en-US"/>
        </w:rPr>
        <w:t xml:space="preserve">such way the physical security of the MRWSF was improved (see Figure </w:t>
      </w:r>
      <w:r w:rsidR="00513044">
        <w:rPr>
          <w:lang w:val="en-US"/>
        </w:rPr>
        <w:t>5</w:t>
      </w:r>
      <w:r w:rsidRPr="00C31B98">
        <w:rPr>
          <w:lang w:val="en-US"/>
        </w:rPr>
        <w:t xml:space="preserve">). </w:t>
      </w:r>
    </w:p>
    <w:p w14:paraId="35928E13" w14:textId="3D3E929E" w:rsidR="000D25C1" w:rsidRPr="00C31B98" w:rsidRDefault="0001353A" w:rsidP="000D25C1">
      <w:pPr>
        <w:pStyle w:val="Pagrindinistekstas"/>
        <w:jc w:val="center"/>
        <w:rPr>
          <w:lang w:val="en-US"/>
        </w:rPr>
      </w:pPr>
      <w:r>
        <w:rPr>
          <w:noProof/>
          <w:highlight w:val="red"/>
          <w:lang w:val="en-US" w:eastAsia="lt-LT"/>
        </w:rPr>
        <w:lastRenderedPageBreak/>
        <mc:AlternateContent>
          <mc:Choice Requires="wps">
            <w:drawing>
              <wp:anchor distT="0" distB="0" distL="114300" distR="114300" simplePos="0" relativeHeight="251669504" behindDoc="0" locked="0" layoutInCell="1" allowOverlap="1" wp14:anchorId="78C69128" wp14:editId="3952EC43">
                <wp:simplePos x="0" y="0"/>
                <wp:positionH relativeFrom="margin">
                  <wp:align>center</wp:align>
                </wp:positionH>
                <wp:positionV relativeFrom="paragraph">
                  <wp:posOffset>2321560</wp:posOffset>
                </wp:positionV>
                <wp:extent cx="3863340" cy="1854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85420"/>
                        </a:xfrm>
                        <a:prstGeom prst="rect">
                          <a:avLst/>
                        </a:prstGeom>
                        <a:solidFill>
                          <a:prstClr val="white"/>
                        </a:solidFill>
                        <a:ln>
                          <a:noFill/>
                        </a:ln>
                        <a:effectLst/>
                      </wps:spPr>
                      <wps:txbx>
                        <w:txbxContent>
                          <w:p w14:paraId="6FE21FA5" w14:textId="30EA435E" w:rsidR="004C60EA" w:rsidRPr="00802381" w:rsidRDefault="004C60EA" w:rsidP="000D25C1">
                            <w:pPr>
                              <w:pStyle w:val="Antrat"/>
                              <w:jc w:val="center"/>
                              <w:rPr>
                                <w:i/>
                                <w:sz w:val="20"/>
                              </w:rPr>
                            </w:pPr>
                            <w:r w:rsidRPr="00802381">
                              <w:rPr>
                                <w:i/>
                              </w:rPr>
                              <w:t xml:space="preserve">FIG. </w:t>
                            </w:r>
                            <w:r w:rsidR="0011795C" w:rsidRPr="00802381">
                              <w:rPr>
                                <w:i/>
                              </w:rPr>
                              <w:fldChar w:fldCharType="begin"/>
                            </w:r>
                            <w:r w:rsidR="0011795C" w:rsidRPr="00802381">
                              <w:rPr>
                                <w:i/>
                              </w:rPr>
                              <w:instrText xml:space="preserve"> SEQ Figure \* ARABIC </w:instrText>
                            </w:r>
                            <w:r w:rsidR="0011795C" w:rsidRPr="00802381">
                              <w:rPr>
                                <w:i/>
                              </w:rPr>
                              <w:fldChar w:fldCharType="separate"/>
                            </w:r>
                            <w:r w:rsidR="0011795C">
                              <w:rPr>
                                <w:i/>
                                <w:noProof/>
                              </w:rPr>
                              <w:t>5</w:t>
                            </w:r>
                            <w:r w:rsidR="0011795C" w:rsidRPr="00802381">
                              <w:rPr>
                                <w:i/>
                              </w:rPr>
                              <w:fldChar w:fldCharType="end"/>
                            </w:r>
                            <w:r>
                              <w:rPr>
                                <w:i/>
                              </w:rPr>
                              <w:t>. MRWSF territory after upgrading in 2006.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8C69128" id="_x0000_s1030" type="#_x0000_t202" style="position:absolute;left:0;text-align:left;margin-left:0;margin-top:182.8pt;width:304.2pt;height:14.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BSQgIAAI4EAAAOAAAAZHJzL2Uyb0RvYy54bWysVMtu2zAQvBfoPxC81/KrQSBYDlwHLgoY&#10;SQA7yJmmKIsoyWVJ2pL79V1SkpOmPRW90Cvuizsz68VdqxU5C+clmIJORmNKhOFQSnMs6PN+8+mW&#10;Eh+YKZkCIwp6EZ7eLT9+WDQ2F1OoQZXCESxifN7YgtYh2DzLPK+FZn4EVhh0VuA0C/jpjlnpWIPV&#10;tcqm4/FN1oArrQMuvMfb+85Jl6l+VQkeHqvKi0BUQfFtIZ0unYd4ZssFy4+O2Vry/hnsH16hmTTY&#10;9FrqngVGTk7+UUpL7sBDFUYcdAZVJblIM+A0k/G7aXY1syLNguB4e4XJ/7+y/OH85IgsC4pEGaaR&#10;or1oA/kCLZlGdBrrcwzaWQwLLV4jy2lSb7fAv3sMyd7EdAkeoyMabeV0/MU5CSYiAZcr6LELx8vZ&#10;7c1sNkcXR9/k9vN8mljJXrOt8+GrAE2iUVCHpKYXsPPWh9if5UNIbOZByXIjlYof0bFWjpwZCqCp&#10;ZRBxKMz4LUqZGGsgZnXu7kYkBfVd4pTdYNEK7aFNuM0HlA5QXhAkB53IvOUbid23zIcn5lBVOCNu&#10;SnjEo1LQFBR6i5Ia3M+/3cd4JBu9lDSo0oL6HyfmBCXqm0EZREkPhhuMw2CYk14Dzj3BHbQ8mZjg&#10;ghrMyoF+wQVaxS7oYoZjr4KGwVyHbldwAblYrVIQCteysDU7ywctRJT37QtztucoILsPMOiX5e+o&#10;6mITWXZ1Coh74jHi2qHYiwpFn8jqFzRu1dvvFPX6N7L8BQAA//8DAFBLAwQUAAYACAAAACEAoXQh&#10;gN8AAAAIAQAADwAAAGRycy9kb3ducmV2LnhtbEyPwU7DMBBE70j8g7VIXBB1oMEKIU5VVXCAS0Xo&#10;hZsbb+NAbEe204a/ZzmV4+ysZt5Uq9kO7Igh9t5JuFtkwNC1Xveuk7D7eLktgMWknFaDdyjhByOs&#10;6suLSpXan9w7HpvUMQpxsVQSTEpjyXlsDVoVF35ER97BB6sSydBxHdSJwu3A77NMcKt6Rw1Gjbgx&#10;2H43k5WwzT+35mY6PL+t82V43U0b8dU1Ul5fzesnYAnndH6GP3xCh5qY9n5yOrJBAg1JEpbiQQAj&#10;W2RFDmxPl8e8AF5X/P+A+hcAAP//AwBQSwECLQAUAAYACAAAACEAtoM4kv4AAADhAQAAEwAAAAAA&#10;AAAAAAAAAAAAAAAAW0NvbnRlbnRfVHlwZXNdLnhtbFBLAQItABQABgAIAAAAIQA4/SH/1gAAAJQB&#10;AAALAAAAAAAAAAAAAAAAAC8BAABfcmVscy8ucmVsc1BLAQItABQABgAIAAAAIQDYqjBSQgIAAI4E&#10;AAAOAAAAAAAAAAAAAAAAAC4CAABkcnMvZTJvRG9jLnhtbFBLAQItABQABgAIAAAAIQChdCGA3wAA&#10;AAgBAAAPAAAAAAAAAAAAAAAAAJwEAABkcnMvZG93bnJldi54bWxQSwUGAAAAAAQABADzAAAAqAUA&#10;AAAA&#10;" stroked="f">
                <v:textbox style="mso-fit-shape-to-text:t" inset="0,0,0,0">
                  <w:txbxContent>
                    <w:p w14:paraId="6FE21FA5" w14:textId="30EA435E" w:rsidR="004C60EA" w:rsidRPr="00802381" w:rsidRDefault="004C60EA" w:rsidP="000D25C1">
                      <w:pPr>
                        <w:pStyle w:val="Antrat"/>
                        <w:jc w:val="center"/>
                        <w:rPr>
                          <w:i/>
                          <w:sz w:val="20"/>
                        </w:rPr>
                      </w:pPr>
                      <w:r w:rsidRPr="00802381">
                        <w:rPr>
                          <w:i/>
                        </w:rPr>
                        <w:t xml:space="preserve">FIG. </w:t>
                      </w:r>
                      <w:r w:rsidR="0011795C" w:rsidRPr="00802381">
                        <w:rPr>
                          <w:i/>
                        </w:rPr>
                        <w:fldChar w:fldCharType="begin"/>
                      </w:r>
                      <w:r w:rsidR="0011795C" w:rsidRPr="00802381">
                        <w:rPr>
                          <w:i/>
                        </w:rPr>
                        <w:instrText xml:space="preserve"> SEQ Figure \* ARABIC </w:instrText>
                      </w:r>
                      <w:r w:rsidR="0011795C" w:rsidRPr="00802381">
                        <w:rPr>
                          <w:i/>
                        </w:rPr>
                        <w:fldChar w:fldCharType="separate"/>
                      </w:r>
                      <w:r w:rsidR="0011795C">
                        <w:rPr>
                          <w:i/>
                          <w:noProof/>
                        </w:rPr>
                        <w:t>5</w:t>
                      </w:r>
                      <w:r w:rsidR="0011795C" w:rsidRPr="00802381">
                        <w:rPr>
                          <w:i/>
                        </w:rPr>
                        <w:fldChar w:fldCharType="end"/>
                      </w:r>
                      <w:r>
                        <w:rPr>
                          <w:i/>
                        </w:rPr>
                        <w:t>. MRWSF territory after upgrading in 2006.</w:t>
                      </w:r>
                    </w:p>
                  </w:txbxContent>
                </v:textbox>
                <w10:wrap type="topAndBottom" anchorx="margin"/>
              </v:shape>
            </w:pict>
          </mc:Fallback>
        </mc:AlternateContent>
      </w:r>
      <w:r w:rsidR="00D55933" w:rsidRPr="00C31B98">
        <w:rPr>
          <w:noProof/>
          <w:lang w:val="lt-LT" w:eastAsia="lt-LT"/>
        </w:rPr>
        <w:drawing>
          <wp:inline distT="0" distB="0" distL="0" distR="0" wp14:anchorId="74BB9447" wp14:editId="5B346599">
            <wp:extent cx="2992120" cy="2245995"/>
            <wp:effectExtent l="0" t="0" r="0" b="1905"/>
            <wp:docPr id="7" name="Paveikslėlis 7" descr="Maišiagala RW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šiagala RWS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2120" cy="2245995"/>
                    </a:xfrm>
                    <a:prstGeom prst="rect">
                      <a:avLst/>
                    </a:prstGeom>
                    <a:noFill/>
                    <a:ln>
                      <a:noFill/>
                    </a:ln>
                  </pic:spPr>
                </pic:pic>
              </a:graphicData>
            </a:graphic>
          </wp:inline>
        </w:drawing>
      </w:r>
    </w:p>
    <w:p w14:paraId="03237C4E" w14:textId="5C0CF6E3" w:rsidR="00335F01" w:rsidRPr="00C31B98" w:rsidRDefault="00513044" w:rsidP="00335F01">
      <w:pPr>
        <w:pStyle w:val="Pagrindinistekstas"/>
        <w:rPr>
          <w:lang w:val="en-US"/>
        </w:rPr>
      </w:pPr>
      <w:r>
        <w:rPr>
          <w:lang w:val="en-US"/>
        </w:rPr>
        <w:t>Based on the results of the</w:t>
      </w:r>
      <w:r w:rsidRPr="00C31B98">
        <w:rPr>
          <w:lang w:val="en-US"/>
        </w:rPr>
        <w:t xml:space="preserve"> </w:t>
      </w:r>
      <w:r w:rsidR="00335F01" w:rsidRPr="00C31B98">
        <w:rPr>
          <w:lang w:val="en-US"/>
        </w:rPr>
        <w:t>safety assessment [5] of the MRWSF</w:t>
      </w:r>
      <w:r>
        <w:rPr>
          <w:lang w:val="en-US"/>
        </w:rPr>
        <w:t>, it was concluded</w:t>
      </w:r>
      <w:r w:rsidR="00335F01" w:rsidRPr="00C31B98">
        <w:rPr>
          <w:lang w:val="en-US"/>
        </w:rPr>
        <w:t xml:space="preserve"> that the engineering barriers placed on the ground surface cannot provide long term protection against the spread of radionuclides (do not meet long-term safety requirements)</w:t>
      </w:r>
      <w:r w:rsidR="00335F01">
        <w:rPr>
          <w:lang w:val="en-US"/>
        </w:rPr>
        <w:t>, and</w:t>
      </w:r>
      <w:r w:rsidR="00335F01" w:rsidRPr="00C31B98">
        <w:rPr>
          <w:lang w:val="en-US"/>
        </w:rPr>
        <w:t xml:space="preserve"> therefore, the MRWSF cannot be licen</w:t>
      </w:r>
      <w:r w:rsidR="00335F01">
        <w:rPr>
          <w:lang w:val="en-US"/>
        </w:rPr>
        <w:t>s</w:t>
      </w:r>
      <w:r w:rsidR="00335F01" w:rsidRPr="00C31B98">
        <w:rPr>
          <w:lang w:val="en-US"/>
        </w:rPr>
        <w:t xml:space="preserve">ed as </w:t>
      </w:r>
      <w:r w:rsidR="00335F01">
        <w:rPr>
          <w:lang w:val="en-US"/>
        </w:rPr>
        <w:t xml:space="preserve">a </w:t>
      </w:r>
      <w:r w:rsidR="00335F01" w:rsidRPr="00C31B98">
        <w:rPr>
          <w:lang w:val="en-US"/>
        </w:rPr>
        <w:t>repository</w:t>
      </w:r>
      <w:r w:rsidR="00335F01">
        <w:rPr>
          <w:lang w:val="en-US"/>
        </w:rPr>
        <w:t>. Thus</w:t>
      </w:r>
      <w:r w:rsidR="00335F01" w:rsidRPr="00C31B98">
        <w:rPr>
          <w:lang w:val="en-US"/>
        </w:rPr>
        <w:t>, in 2006 the regulator licensed</w:t>
      </w:r>
      <w:r w:rsidR="00335F01">
        <w:rPr>
          <w:lang w:val="en-US"/>
        </w:rPr>
        <w:t xml:space="preserve"> the</w:t>
      </w:r>
      <w:r w:rsidR="00335F01" w:rsidRPr="00C31B98">
        <w:rPr>
          <w:lang w:val="en-US"/>
        </w:rPr>
        <w:t xml:space="preserve"> MRWSF as </w:t>
      </w:r>
      <w:r w:rsidR="00335F01">
        <w:rPr>
          <w:lang w:val="en-US"/>
        </w:rPr>
        <w:t xml:space="preserve">a </w:t>
      </w:r>
      <w:r w:rsidR="00335F01" w:rsidRPr="00C31B98">
        <w:rPr>
          <w:lang w:val="en-US"/>
        </w:rPr>
        <w:t>storage facility.</w:t>
      </w:r>
    </w:p>
    <w:p w14:paraId="03645C56" w14:textId="6053E499" w:rsidR="00335F01" w:rsidRPr="00C31B98" w:rsidRDefault="00335F01" w:rsidP="00335F01">
      <w:pPr>
        <w:pStyle w:val="Pagrindinistekstas"/>
        <w:rPr>
          <w:lang w:val="en-US"/>
        </w:rPr>
      </w:pPr>
      <w:r w:rsidRPr="00C31B98">
        <w:rPr>
          <w:lang w:val="en-US"/>
        </w:rPr>
        <w:t xml:space="preserve">The H-3 activity concentration in the </w:t>
      </w:r>
      <w:r w:rsidR="007434B3">
        <w:rPr>
          <w:lang w:val="en-US"/>
        </w:rPr>
        <w:t xml:space="preserve">underground water </w:t>
      </w:r>
      <w:r w:rsidRPr="00C31B98">
        <w:rPr>
          <w:lang w:val="en-US"/>
        </w:rPr>
        <w:t xml:space="preserve">monitoring wells started to decrease </w:t>
      </w:r>
      <w:r w:rsidR="00513044">
        <w:rPr>
          <w:lang w:val="en-US"/>
        </w:rPr>
        <w:t>thus proving</w:t>
      </w:r>
      <w:r w:rsidRPr="00C31B98">
        <w:rPr>
          <w:lang w:val="en-US"/>
        </w:rPr>
        <w:t xml:space="preserve"> </w:t>
      </w:r>
      <w:r>
        <w:rPr>
          <w:lang w:val="en-US"/>
        </w:rPr>
        <w:t>the</w:t>
      </w:r>
      <w:r w:rsidRPr="00C31B98">
        <w:rPr>
          <w:lang w:val="en-US"/>
        </w:rPr>
        <w:t xml:space="preserve"> effectiveness of </w:t>
      </w:r>
      <w:r>
        <w:rPr>
          <w:lang w:val="en-US"/>
        </w:rPr>
        <w:t xml:space="preserve">the </w:t>
      </w:r>
      <w:r w:rsidRPr="00C31B98">
        <w:rPr>
          <w:lang w:val="en-US"/>
        </w:rPr>
        <w:t xml:space="preserve">new barriers installed during the facility upgrading. </w:t>
      </w:r>
    </w:p>
    <w:p w14:paraId="781F5EFA" w14:textId="43051F64" w:rsidR="000D25C1" w:rsidRPr="00C31B98" w:rsidRDefault="00A243FA" w:rsidP="000D25C1">
      <w:pPr>
        <w:pStyle w:val="Pagrindinistekstas"/>
        <w:rPr>
          <w:lang w:val="en-US"/>
        </w:rPr>
      </w:pPr>
      <w:r w:rsidRPr="00C31B98">
        <w:rPr>
          <w:lang w:val="en-US"/>
        </w:rPr>
        <w:t>Howe</w:t>
      </w:r>
      <w:r w:rsidR="001D13EB">
        <w:rPr>
          <w:lang w:val="en-US"/>
        </w:rPr>
        <w:t>v</w:t>
      </w:r>
      <w:r w:rsidRPr="00C31B98">
        <w:rPr>
          <w:lang w:val="en-US"/>
        </w:rPr>
        <w:t>er</w:t>
      </w:r>
      <w:r w:rsidR="001F06D6">
        <w:rPr>
          <w:lang w:val="en-US"/>
        </w:rPr>
        <w:t>,</w:t>
      </w:r>
      <w:r w:rsidRPr="00C31B98">
        <w:rPr>
          <w:lang w:val="en-US"/>
        </w:rPr>
        <w:t xml:space="preserve"> analysis of the collected data concerning groundwater showed [7] that the radionuclide</w:t>
      </w:r>
      <w:r w:rsidR="00513044">
        <w:rPr>
          <w:lang w:val="en-US"/>
        </w:rPr>
        <w:t xml:space="preserve"> </w:t>
      </w:r>
      <w:r w:rsidR="00480096">
        <w:rPr>
          <w:lang w:val="en-US"/>
        </w:rPr>
        <w:t>Pb-210</w:t>
      </w:r>
      <w:r w:rsidRPr="00C31B98">
        <w:rPr>
          <w:lang w:val="en-US"/>
        </w:rPr>
        <w:t xml:space="preserve"> </w:t>
      </w:r>
      <w:r w:rsidR="00513044">
        <w:rPr>
          <w:lang w:val="en-US"/>
        </w:rPr>
        <w:t>is</w:t>
      </w:r>
      <w:r w:rsidR="00513044" w:rsidRPr="00C31B98">
        <w:rPr>
          <w:lang w:val="en-US"/>
        </w:rPr>
        <w:t xml:space="preserve"> </w:t>
      </w:r>
      <w:r w:rsidRPr="00C31B98">
        <w:rPr>
          <w:lang w:val="en-US"/>
        </w:rPr>
        <w:t xml:space="preserve">yet being released into local environment at sufficiently short distances from the vault. </w:t>
      </w:r>
    </w:p>
    <w:p w14:paraId="668BA470" w14:textId="77777777" w:rsidR="00EE0041" w:rsidRPr="00C31B98" w:rsidRDefault="00A243FA" w:rsidP="0026525A">
      <w:pPr>
        <w:pStyle w:val="Antrat2"/>
        <w:numPr>
          <w:ilvl w:val="1"/>
          <w:numId w:val="10"/>
        </w:numPr>
        <w:rPr>
          <w:lang w:val="en-US"/>
        </w:rPr>
      </w:pPr>
      <w:r w:rsidRPr="00C31B98">
        <w:rPr>
          <w:lang w:val="en-US"/>
        </w:rPr>
        <w:t>PREPARATION FOR DECOMMISSIONING</w:t>
      </w:r>
    </w:p>
    <w:p w14:paraId="16305433" w14:textId="2ACC999A" w:rsidR="000D25C1" w:rsidRPr="00C31B98" w:rsidRDefault="00FA3C64" w:rsidP="001971CB">
      <w:pPr>
        <w:pStyle w:val="Pagrindinistekstas"/>
        <w:rPr>
          <w:lang w:val="en-US"/>
        </w:rPr>
      </w:pPr>
      <w:r>
        <w:rPr>
          <w:lang w:val="en-US"/>
        </w:rPr>
        <w:t xml:space="preserve">In </w:t>
      </w:r>
      <w:r w:rsidR="00A243FA" w:rsidRPr="00C31B98">
        <w:rPr>
          <w:lang w:val="en-US"/>
        </w:rPr>
        <w:t xml:space="preserve">RWM Strategy </w:t>
      </w:r>
      <w:r w:rsidR="00CC74F5">
        <w:rPr>
          <w:lang w:val="en-US"/>
        </w:rPr>
        <w:t>adopted by the Gove</w:t>
      </w:r>
      <w:r>
        <w:rPr>
          <w:lang w:val="en-US"/>
        </w:rPr>
        <w:t>rnment i</w:t>
      </w:r>
      <w:r w:rsidR="00CC74F5" w:rsidRPr="00C31B98">
        <w:rPr>
          <w:lang w:val="en-US"/>
        </w:rPr>
        <w:t xml:space="preserve">n 2008 </w:t>
      </w:r>
      <w:r w:rsidR="00A243FA" w:rsidRPr="00C31B98">
        <w:rPr>
          <w:lang w:val="en-US"/>
        </w:rPr>
        <w:t xml:space="preserve">it was decided to retrieve RW from the MRWSF and transport it to the </w:t>
      </w:r>
      <w:proofErr w:type="spellStart"/>
      <w:r w:rsidR="00A243FA" w:rsidRPr="00C31B98">
        <w:rPr>
          <w:lang w:val="en-US"/>
        </w:rPr>
        <w:t>Ignalina</w:t>
      </w:r>
      <w:proofErr w:type="spellEnd"/>
      <w:r w:rsidR="00A243FA" w:rsidRPr="00C31B98">
        <w:rPr>
          <w:lang w:val="en-US"/>
        </w:rPr>
        <w:t xml:space="preserve"> NPP for further processing. From that time preparation for </w:t>
      </w:r>
      <w:r w:rsidR="00705AB6">
        <w:rPr>
          <w:lang w:val="en-US"/>
        </w:rPr>
        <w:t>d</w:t>
      </w:r>
      <w:r w:rsidR="00705AB6" w:rsidRPr="00C31B98">
        <w:rPr>
          <w:lang w:val="en-US"/>
        </w:rPr>
        <w:t xml:space="preserve">ecommissioning </w:t>
      </w:r>
      <w:r w:rsidR="00A243FA" w:rsidRPr="00C31B98">
        <w:rPr>
          <w:lang w:val="en-US"/>
        </w:rPr>
        <w:t xml:space="preserve">of the MRWSF </w:t>
      </w:r>
      <w:r w:rsidR="00705AB6">
        <w:rPr>
          <w:lang w:val="en-US"/>
        </w:rPr>
        <w:t>launched</w:t>
      </w:r>
      <w:r w:rsidR="00A243FA" w:rsidRPr="00C31B98">
        <w:rPr>
          <w:lang w:val="en-US"/>
        </w:rPr>
        <w:t>. In 2011</w:t>
      </w:r>
      <w:r w:rsidR="001F06D6">
        <w:rPr>
          <w:lang w:val="en-US"/>
        </w:rPr>
        <w:t xml:space="preserve"> the</w:t>
      </w:r>
      <w:r w:rsidR="00A243FA" w:rsidRPr="00C31B98">
        <w:rPr>
          <w:lang w:val="en-US"/>
        </w:rPr>
        <w:t xml:space="preserve"> Preliminary Decommissioning Plan of the MRWSF [8] was prepared by RWMA and approved by </w:t>
      </w:r>
      <w:r w:rsidR="001F06D6">
        <w:rPr>
          <w:lang w:val="en-US"/>
        </w:rPr>
        <w:t xml:space="preserve">the </w:t>
      </w:r>
      <w:r w:rsidR="00A243FA" w:rsidRPr="00C31B98">
        <w:rPr>
          <w:lang w:val="en-US"/>
        </w:rPr>
        <w:t>regulator.</w:t>
      </w:r>
    </w:p>
    <w:p w14:paraId="571AF780" w14:textId="7D65D8E5" w:rsidR="000D25C1" w:rsidRPr="00C31B98" w:rsidRDefault="00A243FA" w:rsidP="000D25C1">
      <w:pPr>
        <w:pStyle w:val="Pagrindinistekstas"/>
        <w:rPr>
          <w:lang w:val="en-US"/>
        </w:rPr>
      </w:pPr>
      <w:r w:rsidRPr="00C31B98">
        <w:rPr>
          <w:lang w:val="en-US"/>
        </w:rPr>
        <w:t>During the project implementation, in 2017</w:t>
      </w:r>
      <w:r w:rsidR="001F06D6">
        <w:rPr>
          <w:lang w:val="en-US"/>
        </w:rPr>
        <w:t>–</w:t>
      </w:r>
      <w:r w:rsidRPr="00C31B98">
        <w:rPr>
          <w:lang w:val="en-US"/>
        </w:rPr>
        <w:t xml:space="preserve">2018, the Environmental Impact Assessment Report [9] was prepared and agreed with the regulatory institutions. Public hearings were </w:t>
      </w:r>
      <w:r w:rsidR="005C2885">
        <w:rPr>
          <w:lang w:val="en-US"/>
        </w:rPr>
        <w:t>organized</w:t>
      </w:r>
      <w:r w:rsidR="005C2885" w:rsidRPr="00C31B98">
        <w:rPr>
          <w:lang w:val="en-US"/>
        </w:rPr>
        <w:t xml:space="preserve"> </w:t>
      </w:r>
      <w:r w:rsidRPr="00C31B98">
        <w:rPr>
          <w:lang w:val="en-US"/>
        </w:rPr>
        <w:t>at</w:t>
      </w:r>
      <w:r w:rsidR="001F06D6">
        <w:rPr>
          <w:lang w:val="en-US"/>
        </w:rPr>
        <w:t xml:space="preserve"> the</w:t>
      </w:r>
      <w:r w:rsidRPr="00C31B98">
        <w:rPr>
          <w:lang w:val="en-US"/>
        </w:rPr>
        <w:t xml:space="preserve"> municipality of </w:t>
      </w:r>
      <w:proofErr w:type="spellStart"/>
      <w:r w:rsidRPr="00C31B98">
        <w:rPr>
          <w:lang w:val="en-US"/>
        </w:rPr>
        <w:t>Širvintai</w:t>
      </w:r>
      <w:proofErr w:type="spellEnd"/>
      <w:r w:rsidRPr="00C31B98">
        <w:rPr>
          <w:lang w:val="en-US"/>
        </w:rPr>
        <w:t xml:space="preserve"> district </w:t>
      </w:r>
      <w:r w:rsidR="00357DE8">
        <w:rPr>
          <w:lang w:val="en-US"/>
        </w:rPr>
        <w:t xml:space="preserve">in </w:t>
      </w:r>
      <w:r w:rsidRPr="00C31B98">
        <w:rPr>
          <w:lang w:val="en-US"/>
        </w:rPr>
        <w:t xml:space="preserve">October, 2017. </w:t>
      </w:r>
      <w:r w:rsidR="001F06D6">
        <w:rPr>
          <w:lang w:val="en-US"/>
        </w:rPr>
        <w:t xml:space="preserve">On </w:t>
      </w:r>
      <w:r w:rsidRPr="00C31B98">
        <w:rPr>
          <w:lang w:val="en-US"/>
        </w:rPr>
        <w:t>June 5, 2018 the responsible institution</w:t>
      </w:r>
      <w:r w:rsidR="001F06D6">
        <w:rPr>
          <w:lang w:val="en-US"/>
        </w:rPr>
        <w:t>, the</w:t>
      </w:r>
      <w:r w:rsidRPr="00C31B98">
        <w:rPr>
          <w:lang w:val="en-US"/>
        </w:rPr>
        <w:t xml:space="preserve"> Environmental Protection Agency</w:t>
      </w:r>
      <w:r w:rsidR="001F06D6">
        <w:rPr>
          <w:lang w:val="en-US"/>
        </w:rPr>
        <w:t>,</w:t>
      </w:r>
      <w:r w:rsidRPr="00C31B98">
        <w:rPr>
          <w:lang w:val="en-US"/>
        </w:rPr>
        <w:t xml:space="preserve"> made the decision on the admissibility of the planned economic activity.</w:t>
      </w:r>
    </w:p>
    <w:p w14:paraId="24FB12F0" w14:textId="202F6D8E" w:rsidR="000D25C1" w:rsidRPr="00C31B98" w:rsidRDefault="00A243FA" w:rsidP="000D25C1">
      <w:pPr>
        <w:pStyle w:val="Pagrindinistekstas"/>
        <w:rPr>
          <w:lang w:val="en-US"/>
        </w:rPr>
      </w:pPr>
      <w:r w:rsidRPr="00C31B98">
        <w:rPr>
          <w:lang w:val="en-US"/>
        </w:rPr>
        <w:t>In 2017</w:t>
      </w:r>
      <w:r w:rsidR="001D13EB">
        <w:rPr>
          <w:lang w:val="en-US"/>
        </w:rPr>
        <w:t>–</w:t>
      </w:r>
      <w:r w:rsidRPr="00C31B98">
        <w:rPr>
          <w:lang w:val="en-US"/>
        </w:rPr>
        <w:t xml:space="preserve">2018, the Final Decommissioning </w:t>
      </w:r>
      <w:r w:rsidR="000F0AE9" w:rsidRPr="00C31B98">
        <w:rPr>
          <w:lang w:val="en-US"/>
        </w:rPr>
        <w:t xml:space="preserve">Plan </w:t>
      </w:r>
      <w:r w:rsidRPr="00C31B98">
        <w:rPr>
          <w:lang w:val="en-US"/>
        </w:rPr>
        <w:t>of the MRWSF [10] was prepared and</w:t>
      </w:r>
      <w:r w:rsidR="001F06D6">
        <w:rPr>
          <w:lang w:val="en-US"/>
        </w:rPr>
        <w:t>,</w:t>
      </w:r>
      <w:r w:rsidRPr="00C31B98">
        <w:rPr>
          <w:lang w:val="en-US"/>
        </w:rPr>
        <w:t xml:space="preserve"> after coordination with regulatory institutions, approved </w:t>
      </w:r>
      <w:r w:rsidR="000F0AE9" w:rsidRPr="00C31B98">
        <w:rPr>
          <w:lang w:val="en-US"/>
        </w:rPr>
        <w:t>on 5 October 2018</w:t>
      </w:r>
      <w:r w:rsidR="000F0AE9">
        <w:rPr>
          <w:lang w:val="en-US"/>
        </w:rPr>
        <w:t xml:space="preserve"> </w:t>
      </w:r>
      <w:r w:rsidRPr="00C31B98">
        <w:rPr>
          <w:lang w:val="en-US"/>
        </w:rPr>
        <w:t xml:space="preserve">by </w:t>
      </w:r>
      <w:r w:rsidR="000F0AE9">
        <w:rPr>
          <w:lang w:val="en-US"/>
        </w:rPr>
        <w:t xml:space="preserve">the </w:t>
      </w:r>
      <w:r w:rsidRPr="00C31B98">
        <w:rPr>
          <w:lang w:val="en-US"/>
        </w:rPr>
        <w:t xml:space="preserve">Order No. 1-272 of the Minister of Energy of the Republic of Lithuania. This plan outlines how the process of MRWSF decommissioning will be implemented. </w:t>
      </w:r>
    </w:p>
    <w:p w14:paraId="4F124898" w14:textId="79BD48E7" w:rsidR="00EE0041" w:rsidRPr="00C31B98" w:rsidRDefault="00A243FA" w:rsidP="007173F7">
      <w:pPr>
        <w:pStyle w:val="Pagrindinistekstas"/>
        <w:rPr>
          <w:lang w:val="en-US"/>
        </w:rPr>
      </w:pPr>
      <w:r w:rsidRPr="00C31B98">
        <w:rPr>
          <w:lang w:val="en-US"/>
        </w:rPr>
        <w:t>In 2020</w:t>
      </w:r>
      <w:r w:rsidR="001F06D6">
        <w:rPr>
          <w:lang w:val="en-US"/>
        </w:rPr>
        <w:t>–</w:t>
      </w:r>
      <w:r w:rsidRPr="00C31B98">
        <w:rPr>
          <w:lang w:val="en-US"/>
        </w:rPr>
        <w:t xml:space="preserve">2021, the Description of Decommissioning Project [11], the Safety Analysis Report [12], the Discharge into the Environment Plan, the Radiation Protection </w:t>
      </w:r>
      <w:proofErr w:type="spellStart"/>
      <w:r w:rsidRPr="00C31B98">
        <w:rPr>
          <w:lang w:val="en-US"/>
        </w:rPr>
        <w:t>Programme</w:t>
      </w:r>
      <w:proofErr w:type="spellEnd"/>
      <w:r w:rsidRPr="00C31B98">
        <w:rPr>
          <w:lang w:val="en-US"/>
        </w:rPr>
        <w:t xml:space="preserve">, the Demolition Project and other </w:t>
      </w:r>
      <w:r w:rsidR="004C60EA" w:rsidRPr="0010738C">
        <w:rPr>
          <w:lang w:val="en-US"/>
        </w:rPr>
        <w:t xml:space="preserve">documents </w:t>
      </w:r>
      <w:r w:rsidRPr="00C31B98">
        <w:rPr>
          <w:lang w:val="en-US"/>
        </w:rPr>
        <w:t xml:space="preserve">required </w:t>
      </w:r>
      <w:r w:rsidR="004C60EA">
        <w:rPr>
          <w:lang w:val="en-US"/>
        </w:rPr>
        <w:t>in order to obtain the decommissioning</w:t>
      </w:r>
      <w:r w:rsidRPr="00C31B98">
        <w:rPr>
          <w:lang w:val="en-US"/>
        </w:rPr>
        <w:t xml:space="preserve"> </w:t>
      </w:r>
      <w:r w:rsidR="00C31B98" w:rsidRPr="00C31B98">
        <w:rPr>
          <w:lang w:val="en-US"/>
        </w:rPr>
        <w:t>licen</w:t>
      </w:r>
      <w:r w:rsidR="00C31B98">
        <w:rPr>
          <w:lang w:val="en-US"/>
        </w:rPr>
        <w:t>s</w:t>
      </w:r>
      <w:r w:rsidR="00C31B98" w:rsidRPr="00C31B98">
        <w:rPr>
          <w:lang w:val="en-US"/>
        </w:rPr>
        <w:t>e</w:t>
      </w:r>
      <w:r w:rsidRPr="00C31B98">
        <w:rPr>
          <w:lang w:val="en-US"/>
        </w:rPr>
        <w:t xml:space="preserve"> </w:t>
      </w:r>
      <w:r w:rsidR="00B54E04">
        <w:rPr>
          <w:lang w:val="en-US"/>
        </w:rPr>
        <w:t>and necessary con</w:t>
      </w:r>
      <w:r w:rsidR="000E1EA6">
        <w:rPr>
          <w:lang w:val="en-US"/>
        </w:rPr>
        <w:t>s</w:t>
      </w:r>
      <w:r w:rsidR="00B54E04">
        <w:rPr>
          <w:lang w:val="en-US"/>
        </w:rPr>
        <w:t xml:space="preserve">truction permits </w:t>
      </w:r>
      <w:r w:rsidRPr="00C31B98">
        <w:rPr>
          <w:lang w:val="en-US"/>
        </w:rPr>
        <w:t>were prepared</w:t>
      </w:r>
      <w:r w:rsidR="000E1EA6">
        <w:rPr>
          <w:lang w:val="en-US"/>
        </w:rPr>
        <w:t>, revie</w:t>
      </w:r>
      <w:r w:rsidR="00722055">
        <w:rPr>
          <w:lang w:val="en-US"/>
        </w:rPr>
        <w:t>wed</w:t>
      </w:r>
      <w:r w:rsidRPr="00C31B98">
        <w:rPr>
          <w:lang w:val="en-US"/>
        </w:rPr>
        <w:t xml:space="preserve"> and approved by regulatory institutions. </w:t>
      </w:r>
      <w:r w:rsidR="004C60EA">
        <w:rPr>
          <w:lang w:val="en-US"/>
        </w:rPr>
        <w:t xml:space="preserve">On </w:t>
      </w:r>
      <w:r w:rsidRPr="00C31B98">
        <w:rPr>
          <w:lang w:val="en-US"/>
        </w:rPr>
        <w:t xml:space="preserve">May 13, 2021, SE </w:t>
      </w:r>
      <w:proofErr w:type="spellStart"/>
      <w:r w:rsidRPr="00C31B98">
        <w:rPr>
          <w:lang w:val="en-US"/>
        </w:rPr>
        <w:t>Ignalina</w:t>
      </w:r>
      <w:proofErr w:type="spellEnd"/>
      <w:r w:rsidRPr="00C31B98">
        <w:rPr>
          <w:lang w:val="en-US"/>
        </w:rPr>
        <w:t xml:space="preserve"> </w:t>
      </w:r>
      <w:r w:rsidR="00480096">
        <w:rPr>
          <w:lang w:val="en-US"/>
        </w:rPr>
        <w:t>NPP</w:t>
      </w:r>
      <w:r w:rsidRPr="00C31B98">
        <w:rPr>
          <w:lang w:val="en-US"/>
        </w:rPr>
        <w:t xml:space="preserve"> received a </w:t>
      </w:r>
      <w:r w:rsidR="00C31B98" w:rsidRPr="00C31B98">
        <w:rPr>
          <w:lang w:val="en-US"/>
        </w:rPr>
        <w:t>licen</w:t>
      </w:r>
      <w:r w:rsidR="00C31B98">
        <w:rPr>
          <w:lang w:val="en-US"/>
        </w:rPr>
        <w:t>s</w:t>
      </w:r>
      <w:r w:rsidR="00C31B98" w:rsidRPr="00C31B98">
        <w:rPr>
          <w:lang w:val="en-US"/>
        </w:rPr>
        <w:t>e</w:t>
      </w:r>
      <w:r w:rsidRPr="00C31B98">
        <w:rPr>
          <w:lang w:val="en-US"/>
        </w:rPr>
        <w:t xml:space="preserve"> to decommission the MRWSF.</w:t>
      </w:r>
    </w:p>
    <w:p w14:paraId="0E016F45" w14:textId="0C77E935" w:rsidR="00AB12D1" w:rsidRPr="00C31B98" w:rsidRDefault="004C60EA" w:rsidP="00AB12D1">
      <w:pPr>
        <w:pStyle w:val="Pagrindinistekstas"/>
        <w:rPr>
          <w:lang w:val="en-US"/>
        </w:rPr>
      </w:pPr>
      <w:r w:rsidRPr="004C60EA">
        <w:rPr>
          <w:lang w:val="en-US"/>
        </w:rPr>
        <w:t>As foreseen in the Radioactive Waste Management Development Program</w:t>
      </w:r>
      <w:r>
        <w:rPr>
          <w:lang w:val="en-US"/>
        </w:rPr>
        <w:t xml:space="preserve"> approved</w:t>
      </w:r>
      <w:r w:rsidR="00AB4C4C">
        <w:rPr>
          <w:lang w:val="en-US"/>
        </w:rPr>
        <w:t xml:space="preserve"> by the Government of Lithuania</w:t>
      </w:r>
      <w:r>
        <w:rPr>
          <w:lang w:val="en-US"/>
        </w:rPr>
        <w:t xml:space="preserve"> in 2015</w:t>
      </w:r>
      <w:r w:rsidRPr="004C60EA">
        <w:rPr>
          <w:lang w:val="en-US"/>
        </w:rPr>
        <w:t xml:space="preserve">, by 2023 </w:t>
      </w:r>
      <w:r>
        <w:rPr>
          <w:lang w:val="en-US"/>
        </w:rPr>
        <w:t xml:space="preserve">the </w:t>
      </w:r>
      <w:r w:rsidRPr="004C60EA">
        <w:rPr>
          <w:lang w:val="en-US"/>
        </w:rPr>
        <w:t>R</w:t>
      </w:r>
      <w:r>
        <w:rPr>
          <w:lang w:val="en-US"/>
        </w:rPr>
        <w:t>W</w:t>
      </w:r>
      <w:r w:rsidRPr="004C60EA">
        <w:rPr>
          <w:lang w:val="en-US"/>
        </w:rPr>
        <w:t xml:space="preserve"> will be removed from </w:t>
      </w:r>
      <w:r w:rsidR="003E1F01">
        <w:rPr>
          <w:lang w:val="en-US"/>
        </w:rPr>
        <w:t>the M</w:t>
      </w:r>
      <w:r w:rsidRPr="004C60EA">
        <w:rPr>
          <w:lang w:val="en-US"/>
        </w:rPr>
        <w:t>R</w:t>
      </w:r>
      <w:r>
        <w:rPr>
          <w:lang w:val="en-US"/>
        </w:rPr>
        <w:t>WSF</w:t>
      </w:r>
      <w:r w:rsidR="00722055">
        <w:rPr>
          <w:lang w:val="en-US"/>
        </w:rPr>
        <w:t xml:space="preserve"> and transported to </w:t>
      </w:r>
      <w:proofErr w:type="spellStart"/>
      <w:r w:rsidR="00722055">
        <w:rPr>
          <w:lang w:val="en-US"/>
        </w:rPr>
        <w:t>Ignalina</w:t>
      </w:r>
      <w:proofErr w:type="spellEnd"/>
      <w:r w:rsidR="00722055">
        <w:rPr>
          <w:lang w:val="en-US"/>
        </w:rPr>
        <w:t xml:space="preserve"> NPP</w:t>
      </w:r>
      <w:r>
        <w:rPr>
          <w:lang w:val="en-US"/>
        </w:rPr>
        <w:t>,</w:t>
      </w:r>
      <w:r w:rsidRPr="004C60EA">
        <w:rPr>
          <w:lang w:val="en-US"/>
        </w:rPr>
        <w:t xml:space="preserve"> </w:t>
      </w:r>
      <w:r w:rsidR="00722055">
        <w:rPr>
          <w:lang w:val="en-US"/>
        </w:rPr>
        <w:t xml:space="preserve">afterwards </w:t>
      </w:r>
      <w:r w:rsidRPr="004C60EA">
        <w:rPr>
          <w:lang w:val="en-US"/>
        </w:rPr>
        <w:t xml:space="preserve">the site will be </w:t>
      </w:r>
      <w:r w:rsidR="00A243FA" w:rsidRPr="00C31B98">
        <w:rPr>
          <w:lang w:val="en-US"/>
        </w:rPr>
        <w:t>remediated and released for unrestricted use</w:t>
      </w:r>
      <w:r>
        <w:rPr>
          <w:lang w:val="en-US"/>
        </w:rPr>
        <w:t xml:space="preserve">. </w:t>
      </w:r>
    </w:p>
    <w:p w14:paraId="681668DB" w14:textId="77777777" w:rsidR="00F004EE" w:rsidRPr="00C31B98" w:rsidRDefault="00A243FA" w:rsidP="00537496">
      <w:pPr>
        <w:pStyle w:val="Antrat2"/>
        <w:rPr>
          <w:lang w:val="en-US"/>
        </w:rPr>
      </w:pPr>
      <w:r w:rsidRPr="00C31B98">
        <w:rPr>
          <w:lang w:val="en-US"/>
        </w:rPr>
        <w:t>DECOMMISSIONING PERIOD</w:t>
      </w:r>
    </w:p>
    <w:p w14:paraId="3EC17BA4" w14:textId="77777777" w:rsidR="000D25C1" w:rsidRPr="00C31B98" w:rsidRDefault="00A243FA" w:rsidP="000D25C1">
      <w:pPr>
        <w:pStyle w:val="Antrat3"/>
        <w:numPr>
          <w:ilvl w:val="2"/>
          <w:numId w:val="33"/>
        </w:numPr>
        <w:rPr>
          <w:lang w:val="en-US"/>
        </w:rPr>
      </w:pPr>
      <w:r w:rsidRPr="00C31B98">
        <w:rPr>
          <w:lang w:val="en-US"/>
        </w:rPr>
        <w:t>Decommissioning strategy and its alternative</w:t>
      </w:r>
    </w:p>
    <w:p w14:paraId="1FB11381" w14:textId="34A23A45" w:rsidR="000D25C1" w:rsidRPr="00C31B98" w:rsidRDefault="00A243FA" w:rsidP="000D25C1">
      <w:pPr>
        <w:pStyle w:val="Pagrindinistekstas"/>
        <w:rPr>
          <w:lang w:val="en-US"/>
        </w:rPr>
      </w:pPr>
      <w:r w:rsidRPr="00C31B98">
        <w:rPr>
          <w:lang w:val="en-US"/>
        </w:rPr>
        <w:t xml:space="preserve">The </w:t>
      </w:r>
      <w:r w:rsidR="00A76E85">
        <w:rPr>
          <w:lang w:val="en-US"/>
        </w:rPr>
        <w:t>F</w:t>
      </w:r>
      <w:r w:rsidR="00083837">
        <w:rPr>
          <w:lang w:val="en-US"/>
        </w:rPr>
        <w:t xml:space="preserve">inal </w:t>
      </w:r>
      <w:r w:rsidR="00A76E85">
        <w:rPr>
          <w:lang w:val="en-US"/>
        </w:rPr>
        <w:t>D</w:t>
      </w:r>
      <w:r w:rsidR="00083837">
        <w:rPr>
          <w:lang w:val="en-US"/>
        </w:rPr>
        <w:t xml:space="preserve">ecommissioning </w:t>
      </w:r>
      <w:r w:rsidR="00A76E85">
        <w:rPr>
          <w:lang w:val="en-US"/>
        </w:rPr>
        <w:t>P</w:t>
      </w:r>
      <w:r w:rsidR="00083837">
        <w:rPr>
          <w:lang w:val="en-US"/>
        </w:rPr>
        <w:t>lan</w:t>
      </w:r>
      <w:r w:rsidRPr="00C31B98">
        <w:rPr>
          <w:lang w:val="en-US"/>
        </w:rPr>
        <w:t xml:space="preserve"> </w:t>
      </w:r>
      <w:r w:rsidR="00BF7937" w:rsidRPr="00C31B98">
        <w:rPr>
          <w:lang w:val="en-US"/>
        </w:rPr>
        <w:t xml:space="preserve">of the MRWSF </w:t>
      </w:r>
      <w:r w:rsidRPr="00C31B98">
        <w:rPr>
          <w:lang w:val="en-US"/>
        </w:rPr>
        <w:t>[</w:t>
      </w:r>
      <w:r w:rsidR="00BF7937">
        <w:rPr>
          <w:lang w:val="en-US"/>
        </w:rPr>
        <w:t>10</w:t>
      </w:r>
      <w:r w:rsidRPr="00C31B98">
        <w:rPr>
          <w:lang w:val="en-US"/>
        </w:rPr>
        <w:t xml:space="preserve">] </w:t>
      </w:r>
      <w:r w:rsidR="00C47045">
        <w:rPr>
          <w:lang w:val="en-US"/>
        </w:rPr>
        <w:t>includes</w:t>
      </w:r>
      <w:r w:rsidR="004C60EA">
        <w:rPr>
          <w:lang w:val="en-US"/>
        </w:rPr>
        <w:t xml:space="preserve"> analyses </w:t>
      </w:r>
      <w:r w:rsidR="00C47045">
        <w:rPr>
          <w:lang w:val="en-US"/>
        </w:rPr>
        <w:t xml:space="preserve">of </w:t>
      </w:r>
      <w:r w:rsidR="004C60EA">
        <w:rPr>
          <w:lang w:val="en-US"/>
        </w:rPr>
        <w:t xml:space="preserve">and </w:t>
      </w:r>
      <w:r w:rsidR="00C47045">
        <w:rPr>
          <w:lang w:val="en-US"/>
        </w:rPr>
        <w:t xml:space="preserve">reasoning for alternatives of </w:t>
      </w:r>
      <w:r w:rsidR="00083837">
        <w:rPr>
          <w:lang w:val="en-US"/>
        </w:rPr>
        <w:t>M</w:t>
      </w:r>
      <w:r w:rsidR="004C60EA">
        <w:rPr>
          <w:lang w:val="en-US"/>
        </w:rPr>
        <w:t>RWSF</w:t>
      </w:r>
      <w:r w:rsidR="00C47045">
        <w:rPr>
          <w:lang w:val="en-US"/>
        </w:rPr>
        <w:t xml:space="preserve"> decommissioning strategy implementation</w:t>
      </w:r>
      <w:r w:rsidRPr="00C31B98">
        <w:rPr>
          <w:lang w:val="en-US"/>
        </w:rPr>
        <w:t xml:space="preserve">. To select the preferable decommissioning alternative, MCDA method – AHP (Analytic Hierarchy Process) was applied. </w:t>
      </w:r>
      <w:r w:rsidR="00C47045">
        <w:rPr>
          <w:lang w:val="en-US"/>
        </w:rPr>
        <w:t xml:space="preserve">The analyzed alternatives were assessed based </w:t>
      </w:r>
      <w:r w:rsidR="00C47045">
        <w:rPr>
          <w:lang w:val="en-US"/>
        </w:rPr>
        <w:lastRenderedPageBreak/>
        <w:t xml:space="preserve">on the following criteria: waste routes, economics, duration, safety, technology, and environment. Three alternatives were analyzed and the below described alternative was selected: </w:t>
      </w:r>
    </w:p>
    <w:p w14:paraId="6745F5EE" w14:textId="77777777" w:rsidR="00C47045" w:rsidRPr="00C47045" w:rsidRDefault="00C47045" w:rsidP="00C31B98">
      <w:pPr>
        <w:pStyle w:val="ListEmdash"/>
        <w:numPr>
          <w:ilvl w:val="0"/>
          <w:numId w:val="20"/>
        </w:numPr>
        <w:ind w:left="709"/>
        <w:rPr>
          <w:lang w:val="en-US"/>
        </w:rPr>
      </w:pPr>
      <w:r w:rsidRPr="00C47045">
        <w:rPr>
          <w:lang w:val="en-US"/>
        </w:rPr>
        <w:t>R</w:t>
      </w:r>
      <w:r>
        <w:rPr>
          <w:lang w:val="en-US"/>
        </w:rPr>
        <w:t>W</w:t>
      </w:r>
      <w:r w:rsidRPr="00C47045">
        <w:rPr>
          <w:lang w:val="en-US"/>
        </w:rPr>
        <w:t xml:space="preserve"> </w:t>
      </w:r>
      <w:r>
        <w:rPr>
          <w:lang w:val="en-US"/>
        </w:rPr>
        <w:t>is</w:t>
      </w:r>
      <w:r w:rsidRPr="00C47045">
        <w:rPr>
          <w:lang w:val="en-US"/>
        </w:rPr>
        <w:t xml:space="preserve"> removed </w:t>
      </w:r>
      <w:r>
        <w:rPr>
          <w:lang w:val="en-US"/>
        </w:rPr>
        <w:t xml:space="preserve">from the vault </w:t>
      </w:r>
      <w:r w:rsidRPr="00C47045">
        <w:rPr>
          <w:lang w:val="en-US"/>
        </w:rPr>
        <w:t xml:space="preserve">and treated </w:t>
      </w:r>
      <w:r>
        <w:rPr>
          <w:lang w:val="en-US"/>
        </w:rPr>
        <w:t xml:space="preserve">separately from </w:t>
      </w:r>
      <w:r w:rsidRPr="00C47045">
        <w:rPr>
          <w:lang w:val="en-US"/>
        </w:rPr>
        <w:t xml:space="preserve">potentially contaminated </w:t>
      </w:r>
      <w:r>
        <w:rPr>
          <w:lang w:val="en-US"/>
        </w:rPr>
        <w:t xml:space="preserve">materials of </w:t>
      </w:r>
      <w:r w:rsidRPr="00C47045">
        <w:rPr>
          <w:lang w:val="en-US"/>
        </w:rPr>
        <w:t>engineer</w:t>
      </w:r>
      <w:r>
        <w:rPr>
          <w:lang w:val="en-US"/>
        </w:rPr>
        <w:t>ed</w:t>
      </w:r>
      <w:r w:rsidRPr="00C47045">
        <w:rPr>
          <w:lang w:val="en-US"/>
        </w:rPr>
        <w:t xml:space="preserve"> barrier</w:t>
      </w:r>
      <w:r>
        <w:rPr>
          <w:lang w:val="en-US"/>
        </w:rPr>
        <w:t>s</w:t>
      </w:r>
      <w:r w:rsidRPr="00C47045">
        <w:rPr>
          <w:lang w:val="en-US"/>
        </w:rPr>
        <w:t xml:space="preserve"> and </w:t>
      </w:r>
      <w:r>
        <w:rPr>
          <w:lang w:val="en-US"/>
        </w:rPr>
        <w:t>structures</w:t>
      </w:r>
      <w:r w:rsidRPr="00C47045">
        <w:rPr>
          <w:lang w:val="en-US"/>
        </w:rPr>
        <w:t xml:space="preserve"> and soil.</w:t>
      </w:r>
    </w:p>
    <w:p w14:paraId="01F8A2E7" w14:textId="5B43DD5F" w:rsidR="00C47045" w:rsidRPr="00C47045" w:rsidRDefault="00C47045" w:rsidP="00C31B98">
      <w:pPr>
        <w:pStyle w:val="ListEmdash"/>
        <w:numPr>
          <w:ilvl w:val="0"/>
          <w:numId w:val="20"/>
        </w:numPr>
        <w:ind w:left="709"/>
        <w:rPr>
          <w:lang w:val="en-US"/>
        </w:rPr>
      </w:pPr>
      <w:r w:rsidRPr="00C47045">
        <w:rPr>
          <w:lang w:val="en-US"/>
        </w:rPr>
        <w:t xml:space="preserve">Radiological characterization of the </w:t>
      </w:r>
      <w:r>
        <w:rPr>
          <w:lang w:val="en-US"/>
        </w:rPr>
        <w:t>vault</w:t>
      </w:r>
      <w:r w:rsidRPr="00C47045">
        <w:rPr>
          <w:lang w:val="en-US"/>
        </w:rPr>
        <w:t xml:space="preserve"> </w:t>
      </w:r>
      <w:r w:rsidR="00394309">
        <w:rPr>
          <w:lang w:val="en-US"/>
        </w:rPr>
        <w:t xml:space="preserve">soil </w:t>
      </w:r>
      <w:r>
        <w:rPr>
          <w:lang w:val="en-US"/>
        </w:rPr>
        <w:t>cover</w:t>
      </w:r>
      <w:r w:rsidRPr="00C47045">
        <w:rPr>
          <w:lang w:val="en-US"/>
        </w:rPr>
        <w:t xml:space="preserve"> and </w:t>
      </w:r>
      <w:r w:rsidR="00394309">
        <w:rPr>
          <w:lang w:val="en-US"/>
        </w:rPr>
        <w:t xml:space="preserve">surrounding </w:t>
      </w:r>
      <w:r w:rsidRPr="00C47045">
        <w:rPr>
          <w:lang w:val="en-US"/>
        </w:rPr>
        <w:t xml:space="preserve">soil is performed on site and compliance with the </w:t>
      </w:r>
      <w:r w:rsidR="003E1F01">
        <w:rPr>
          <w:lang w:val="en-US"/>
        </w:rPr>
        <w:t>clearance level</w:t>
      </w:r>
      <w:r w:rsidRPr="00C47045">
        <w:rPr>
          <w:lang w:val="en-US"/>
        </w:rPr>
        <w:t xml:space="preserve"> is determined.</w:t>
      </w:r>
    </w:p>
    <w:p w14:paraId="3A8E1990" w14:textId="77777777" w:rsidR="00C47045" w:rsidRPr="00C47045" w:rsidRDefault="00C47045" w:rsidP="00C31B98">
      <w:pPr>
        <w:pStyle w:val="ListEmdash"/>
        <w:numPr>
          <w:ilvl w:val="0"/>
          <w:numId w:val="20"/>
        </w:numPr>
        <w:ind w:left="709"/>
        <w:rPr>
          <w:lang w:val="en-US"/>
        </w:rPr>
      </w:pPr>
      <w:r w:rsidRPr="00C47045">
        <w:rPr>
          <w:lang w:val="en-US"/>
        </w:rPr>
        <w:t xml:space="preserve">Partial decontamination of the </w:t>
      </w:r>
      <w:r w:rsidR="00CE625D">
        <w:rPr>
          <w:lang w:val="en-US"/>
        </w:rPr>
        <w:t>vault</w:t>
      </w:r>
      <w:r w:rsidRPr="00C47045">
        <w:rPr>
          <w:lang w:val="en-US"/>
        </w:rPr>
        <w:t xml:space="preserve"> walls and bottom is carried out on site to allow safe further dismantling and excavation work</w:t>
      </w:r>
      <w:r w:rsidR="00CE625D">
        <w:rPr>
          <w:lang w:val="en-US"/>
        </w:rPr>
        <w:t>s</w:t>
      </w:r>
      <w:r w:rsidRPr="00C47045">
        <w:rPr>
          <w:lang w:val="en-US"/>
        </w:rPr>
        <w:t>.</w:t>
      </w:r>
    </w:p>
    <w:p w14:paraId="78777224" w14:textId="7610C567" w:rsidR="00C47045" w:rsidRPr="00C47045" w:rsidRDefault="00C47045" w:rsidP="00C31B98">
      <w:pPr>
        <w:pStyle w:val="ListEmdash"/>
        <w:numPr>
          <w:ilvl w:val="0"/>
          <w:numId w:val="20"/>
        </w:numPr>
        <w:ind w:left="709"/>
        <w:rPr>
          <w:lang w:val="en-US"/>
        </w:rPr>
      </w:pPr>
      <w:r w:rsidRPr="00C47045">
        <w:rPr>
          <w:lang w:val="en-US"/>
        </w:rPr>
        <w:t>R</w:t>
      </w:r>
      <w:r w:rsidR="00CE625D">
        <w:rPr>
          <w:lang w:val="en-US"/>
        </w:rPr>
        <w:t>W</w:t>
      </w:r>
      <w:r w:rsidRPr="00C47045">
        <w:rPr>
          <w:lang w:val="en-US"/>
        </w:rPr>
        <w:t xml:space="preserve"> </w:t>
      </w:r>
      <w:r w:rsidR="00CE625D">
        <w:rPr>
          <w:lang w:val="en-US"/>
        </w:rPr>
        <w:t>from the vault</w:t>
      </w:r>
      <w:r w:rsidRPr="00C47045">
        <w:rPr>
          <w:lang w:val="en-US"/>
        </w:rPr>
        <w:t xml:space="preserve"> </w:t>
      </w:r>
      <w:r w:rsidR="00CE625D">
        <w:rPr>
          <w:lang w:val="en-US"/>
        </w:rPr>
        <w:t>is</w:t>
      </w:r>
      <w:r w:rsidRPr="00C47045">
        <w:rPr>
          <w:lang w:val="en-US"/>
        </w:rPr>
        <w:t xml:space="preserve"> pre-sorted on site (visually separated </w:t>
      </w:r>
      <w:r w:rsidR="00654733">
        <w:rPr>
          <w:lang w:val="en-US"/>
        </w:rPr>
        <w:t>DSRS</w:t>
      </w:r>
      <w:r w:rsidRPr="00C47045">
        <w:rPr>
          <w:lang w:val="en-US"/>
        </w:rPr>
        <w:t xml:space="preserve"> and R</w:t>
      </w:r>
      <w:r w:rsidR="00CE625D">
        <w:rPr>
          <w:lang w:val="en-US"/>
        </w:rPr>
        <w:t>W</w:t>
      </w:r>
      <w:r w:rsidRPr="00C47045">
        <w:rPr>
          <w:lang w:val="en-US"/>
        </w:rPr>
        <w:t xml:space="preserve"> with </w:t>
      </w:r>
      <w:r w:rsidR="00654733">
        <w:rPr>
          <w:lang w:val="en-US"/>
        </w:rPr>
        <w:t>DSRS</w:t>
      </w:r>
      <w:r w:rsidRPr="00C47045">
        <w:rPr>
          <w:lang w:val="en-US"/>
        </w:rPr>
        <w:t xml:space="preserve">) and placed in containers according to their location in the </w:t>
      </w:r>
      <w:r w:rsidR="00CE625D">
        <w:rPr>
          <w:lang w:val="en-US"/>
        </w:rPr>
        <w:t>vault</w:t>
      </w:r>
      <w:r w:rsidRPr="00C47045">
        <w:rPr>
          <w:lang w:val="en-US"/>
        </w:rPr>
        <w:t xml:space="preserve">, </w:t>
      </w:r>
      <w:proofErr w:type="spellStart"/>
      <w:r w:rsidRPr="00C47045">
        <w:rPr>
          <w:lang w:val="en-US"/>
        </w:rPr>
        <w:t>i</w:t>
      </w:r>
      <w:proofErr w:type="spellEnd"/>
      <w:r w:rsidRPr="00C47045">
        <w:rPr>
          <w:lang w:val="en-US"/>
        </w:rPr>
        <w:t xml:space="preserve">. </w:t>
      </w:r>
      <w:r w:rsidR="00CE625D">
        <w:rPr>
          <w:lang w:val="en-US"/>
        </w:rPr>
        <w:t>e</w:t>
      </w:r>
      <w:r w:rsidRPr="00C47045">
        <w:rPr>
          <w:lang w:val="en-US"/>
        </w:rPr>
        <w:t xml:space="preserve">. </w:t>
      </w:r>
      <w:r w:rsidR="00CE625D">
        <w:rPr>
          <w:lang w:val="en-US"/>
        </w:rPr>
        <w:t>not</w:t>
      </w:r>
      <w:r w:rsidRPr="00C47045">
        <w:rPr>
          <w:lang w:val="en-US"/>
        </w:rPr>
        <w:t xml:space="preserve"> mixing </w:t>
      </w:r>
      <w:r w:rsidR="00CE625D">
        <w:rPr>
          <w:lang w:val="en-US"/>
        </w:rPr>
        <w:t>RW</w:t>
      </w:r>
      <w:r w:rsidRPr="00C47045">
        <w:rPr>
          <w:lang w:val="en-US"/>
        </w:rPr>
        <w:t xml:space="preserve"> </w:t>
      </w:r>
      <w:r w:rsidR="00CE625D">
        <w:rPr>
          <w:lang w:val="en-US"/>
        </w:rPr>
        <w:t>from</w:t>
      </w:r>
      <w:r w:rsidRPr="00C47045">
        <w:rPr>
          <w:lang w:val="en-US"/>
        </w:rPr>
        <w:t xml:space="preserve"> different sections</w:t>
      </w:r>
      <w:r w:rsidR="00CE625D">
        <w:rPr>
          <w:lang w:val="en-US"/>
        </w:rPr>
        <w:t>,</w:t>
      </w:r>
      <w:r w:rsidRPr="00C47045">
        <w:rPr>
          <w:lang w:val="en-US"/>
        </w:rPr>
        <w:t xml:space="preserve"> and transported to </w:t>
      </w:r>
      <w:proofErr w:type="spellStart"/>
      <w:r w:rsidRPr="00C47045">
        <w:rPr>
          <w:lang w:val="en-US"/>
        </w:rPr>
        <w:t>Ignalina</w:t>
      </w:r>
      <w:proofErr w:type="spellEnd"/>
      <w:r w:rsidRPr="00C47045">
        <w:rPr>
          <w:lang w:val="en-US"/>
        </w:rPr>
        <w:t xml:space="preserve"> NPP for their </w:t>
      </w:r>
      <w:r w:rsidR="00083837">
        <w:rPr>
          <w:lang w:val="en-US"/>
        </w:rPr>
        <w:t xml:space="preserve">final </w:t>
      </w:r>
      <w:r w:rsidRPr="00C47045">
        <w:rPr>
          <w:lang w:val="en-US"/>
        </w:rPr>
        <w:t xml:space="preserve">sorting and </w:t>
      </w:r>
      <w:r w:rsidR="00D57D78">
        <w:rPr>
          <w:lang w:val="en-US"/>
        </w:rPr>
        <w:t xml:space="preserve">storage and </w:t>
      </w:r>
      <w:r w:rsidRPr="00C47045">
        <w:rPr>
          <w:lang w:val="en-US"/>
        </w:rPr>
        <w:t>final disposal.</w:t>
      </w:r>
    </w:p>
    <w:p w14:paraId="1962D534" w14:textId="4E2E0976" w:rsidR="00C47045" w:rsidRPr="00C47045" w:rsidRDefault="00C47045" w:rsidP="00C31B98">
      <w:pPr>
        <w:pStyle w:val="ListEmdash"/>
        <w:numPr>
          <w:ilvl w:val="0"/>
          <w:numId w:val="20"/>
        </w:numPr>
        <w:ind w:left="709"/>
        <w:rPr>
          <w:lang w:val="en-US"/>
        </w:rPr>
      </w:pPr>
      <w:r w:rsidRPr="00C47045">
        <w:rPr>
          <w:lang w:val="en-US"/>
        </w:rPr>
        <w:t>R</w:t>
      </w:r>
      <w:r w:rsidR="00CE625D">
        <w:rPr>
          <w:lang w:val="en-US"/>
        </w:rPr>
        <w:t>W</w:t>
      </w:r>
      <w:r w:rsidRPr="00C47045">
        <w:rPr>
          <w:lang w:val="en-US"/>
        </w:rPr>
        <w:t xml:space="preserve"> </w:t>
      </w:r>
      <w:r w:rsidR="00CE625D">
        <w:rPr>
          <w:lang w:val="en-US"/>
        </w:rPr>
        <w:t>is</w:t>
      </w:r>
      <w:r w:rsidRPr="00C47045">
        <w:rPr>
          <w:lang w:val="en-US"/>
        </w:rPr>
        <w:t xml:space="preserve"> </w:t>
      </w:r>
      <w:r w:rsidR="00083837">
        <w:rPr>
          <w:lang w:val="en-US"/>
        </w:rPr>
        <w:t>retrieved</w:t>
      </w:r>
      <w:r w:rsidRPr="00C47045">
        <w:rPr>
          <w:lang w:val="en-US"/>
        </w:rPr>
        <w:t xml:space="preserve"> from the </w:t>
      </w:r>
      <w:r w:rsidR="00CE625D">
        <w:rPr>
          <w:lang w:val="en-US"/>
        </w:rPr>
        <w:t>vault</w:t>
      </w:r>
      <w:r w:rsidRPr="00C47045">
        <w:rPr>
          <w:lang w:val="en-US"/>
        </w:rPr>
        <w:t xml:space="preserve"> using remote control equipment</w:t>
      </w:r>
      <w:r w:rsidR="00CE625D">
        <w:rPr>
          <w:lang w:val="en-US"/>
        </w:rPr>
        <w:t xml:space="preserve"> as much as possible</w:t>
      </w:r>
      <w:r w:rsidRPr="00C47045">
        <w:rPr>
          <w:lang w:val="en-US"/>
        </w:rPr>
        <w:t>.</w:t>
      </w:r>
    </w:p>
    <w:p w14:paraId="7F99E4C2" w14:textId="13A98563" w:rsidR="00C47045" w:rsidRDefault="00C47045" w:rsidP="00C31B98">
      <w:pPr>
        <w:pStyle w:val="ListEmdash"/>
        <w:numPr>
          <w:ilvl w:val="0"/>
          <w:numId w:val="20"/>
        </w:numPr>
        <w:ind w:left="709"/>
        <w:rPr>
          <w:lang w:val="en-US"/>
        </w:rPr>
      </w:pPr>
      <w:bookmarkStart w:id="1" w:name="_Hlk77059853"/>
      <w:r w:rsidRPr="00C47045">
        <w:rPr>
          <w:lang w:val="en-US"/>
        </w:rPr>
        <w:t xml:space="preserve">Decommissioning waste is transported from </w:t>
      </w:r>
      <w:r w:rsidR="00083837">
        <w:rPr>
          <w:lang w:val="en-US"/>
        </w:rPr>
        <w:t>M</w:t>
      </w:r>
      <w:r w:rsidR="00CE625D">
        <w:rPr>
          <w:lang w:val="en-US"/>
        </w:rPr>
        <w:t>RWSF</w:t>
      </w:r>
      <w:r w:rsidRPr="00C47045">
        <w:rPr>
          <w:lang w:val="en-US"/>
        </w:rPr>
        <w:t xml:space="preserve"> to </w:t>
      </w:r>
      <w:proofErr w:type="spellStart"/>
      <w:r w:rsidRPr="00C47045">
        <w:rPr>
          <w:lang w:val="en-US"/>
        </w:rPr>
        <w:t>Ignalina</w:t>
      </w:r>
      <w:proofErr w:type="spellEnd"/>
      <w:r w:rsidRPr="00C47045">
        <w:rPr>
          <w:lang w:val="en-US"/>
        </w:rPr>
        <w:t xml:space="preserve"> NPP by road.</w:t>
      </w:r>
    </w:p>
    <w:bookmarkEnd w:id="1"/>
    <w:p w14:paraId="7AA656C6" w14:textId="461DE1DC" w:rsidR="000D25C1" w:rsidRPr="00C31B98" w:rsidRDefault="000D25C1" w:rsidP="000D25C1">
      <w:pPr>
        <w:pStyle w:val="ListEmdash"/>
        <w:ind w:left="1287"/>
        <w:rPr>
          <w:lang w:val="en-US"/>
        </w:rPr>
      </w:pPr>
    </w:p>
    <w:p w14:paraId="25F91449" w14:textId="4FD55CA2" w:rsidR="003B220C" w:rsidRPr="00C31B98" w:rsidRDefault="00A76E85" w:rsidP="003B220C">
      <w:pPr>
        <w:pStyle w:val="Pagrindinistekstas"/>
        <w:rPr>
          <w:lang w:val="en-US"/>
        </w:rPr>
      </w:pPr>
      <w:r w:rsidRPr="00A76E85">
        <w:rPr>
          <w:lang w:val="en-US"/>
        </w:rPr>
        <w:t xml:space="preserve">The concept of radioactive waste removal from the MRWSF </w:t>
      </w:r>
      <w:r>
        <w:rPr>
          <w:lang w:val="en-US"/>
        </w:rPr>
        <w:t>vault</w:t>
      </w:r>
      <w:r w:rsidRPr="00A76E85">
        <w:rPr>
          <w:lang w:val="en-US"/>
        </w:rPr>
        <w:t xml:space="preserve"> was presented </w:t>
      </w:r>
      <w:r>
        <w:rPr>
          <w:lang w:val="en-US"/>
        </w:rPr>
        <w:t>in</w:t>
      </w:r>
      <w:r w:rsidRPr="00A76E85">
        <w:rPr>
          <w:lang w:val="en-US"/>
        </w:rPr>
        <w:t xml:space="preserve"> </w:t>
      </w:r>
      <w:r>
        <w:rPr>
          <w:lang w:val="en-US"/>
        </w:rPr>
        <w:t>the F</w:t>
      </w:r>
      <w:r w:rsidR="00083837">
        <w:rPr>
          <w:lang w:val="en-US"/>
        </w:rPr>
        <w:t xml:space="preserve">inal Decommissioning </w:t>
      </w:r>
      <w:r>
        <w:rPr>
          <w:lang w:val="en-US"/>
        </w:rPr>
        <w:t>P</w:t>
      </w:r>
      <w:r w:rsidR="00083837">
        <w:rPr>
          <w:lang w:val="en-US"/>
        </w:rPr>
        <w:t>lan</w:t>
      </w:r>
      <w:r w:rsidRPr="00A76E85">
        <w:rPr>
          <w:lang w:val="en-US"/>
        </w:rPr>
        <w:t xml:space="preserve"> [</w:t>
      </w:r>
      <w:r w:rsidR="005C7A9D">
        <w:rPr>
          <w:lang w:val="en-US"/>
        </w:rPr>
        <w:t>10</w:t>
      </w:r>
      <w:r w:rsidRPr="00A76E85">
        <w:rPr>
          <w:lang w:val="en-US"/>
        </w:rPr>
        <w:t xml:space="preserve">]. This concept was </w:t>
      </w:r>
      <w:r w:rsidR="00F416B6">
        <w:rPr>
          <w:lang w:val="en-US"/>
        </w:rPr>
        <w:t xml:space="preserve">further </w:t>
      </w:r>
      <w:r w:rsidRPr="00A76E85">
        <w:rPr>
          <w:lang w:val="en-US"/>
        </w:rPr>
        <w:t>developed in the Decommissioning Project Description [</w:t>
      </w:r>
      <w:r w:rsidR="005C7A9D" w:rsidRPr="00A76E85">
        <w:rPr>
          <w:lang w:val="en-US"/>
        </w:rPr>
        <w:t>1</w:t>
      </w:r>
      <w:r w:rsidR="005C7A9D">
        <w:rPr>
          <w:lang w:val="en-US"/>
        </w:rPr>
        <w:t>1</w:t>
      </w:r>
      <w:r w:rsidRPr="00A76E85">
        <w:rPr>
          <w:lang w:val="en-US"/>
        </w:rPr>
        <w:t>]. The essence of the concept is that the system used consists of two confinements</w:t>
      </w:r>
      <w:r w:rsidR="00A243FA" w:rsidRPr="00C31B98">
        <w:rPr>
          <w:lang w:val="en-US"/>
        </w:rPr>
        <w:t>:</w:t>
      </w:r>
    </w:p>
    <w:p w14:paraId="495E4AE8" w14:textId="77777777" w:rsidR="00C878F9" w:rsidRDefault="00C878F9" w:rsidP="00C878F9">
      <w:pPr>
        <w:pStyle w:val="ListEmdash"/>
        <w:numPr>
          <w:ilvl w:val="0"/>
          <w:numId w:val="20"/>
        </w:numPr>
        <w:ind w:left="709"/>
        <w:rPr>
          <w:lang w:val="en-US"/>
        </w:rPr>
      </w:pPr>
      <w:r w:rsidRPr="00C31B98">
        <w:rPr>
          <w:lang w:val="en-US"/>
        </w:rPr>
        <w:t xml:space="preserve">Primary Confinement </w:t>
      </w:r>
      <w:r>
        <w:rPr>
          <w:lang w:val="en-US"/>
        </w:rPr>
        <w:t>means a cover made of light structures and covering the whole vault area to protect outside areas from radioactive contamination</w:t>
      </w:r>
      <w:r w:rsidRPr="00C31B98">
        <w:rPr>
          <w:lang w:val="en-US"/>
        </w:rPr>
        <w:t>.</w:t>
      </w:r>
    </w:p>
    <w:p w14:paraId="13273957" w14:textId="2CBCA26E" w:rsidR="003110CF" w:rsidRPr="00C31B98" w:rsidRDefault="00C878F9" w:rsidP="000008E9">
      <w:pPr>
        <w:pStyle w:val="ListEmdash"/>
        <w:numPr>
          <w:ilvl w:val="0"/>
          <w:numId w:val="20"/>
        </w:numPr>
        <w:ind w:left="709"/>
        <w:rPr>
          <w:lang w:val="en-US"/>
        </w:rPr>
      </w:pPr>
      <w:r w:rsidRPr="00C31B98">
        <w:rPr>
          <w:lang w:val="en-US"/>
        </w:rPr>
        <w:t>Secondary Confin</w:t>
      </w:r>
      <w:r>
        <w:rPr>
          <w:lang w:val="en-US"/>
        </w:rPr>
        <w:t>e</w:t>
      </w:r>
      <w:r w:rsidRPr="00C31B98">
        <w:rPr>
          <w:lang w:val="en-US"/>
        </w:rPr>
        <w:t xml:space="preserve">ment </w:t>
      </w:r>
      <w:r>
        <w:rPr>
          <w:lang w:val="en-US"/>
        </w:rPr>
        <w:t>means a construction made of light structures to protect the environment from radioactive contamination</w:t>
      </w:r>
      <w:r w:rsidRPr="00C31B98">
        <w:rPr>
          <w:lang w:val="en-US"/>
        </w:rPr>
        <w:t>.</w:t>
      </w:r>
      <w:r w:rsidR="009416C4">
        <w:rPr>
          <w:lang w:val="en-US"/>
        </w:rPr>
        <w:t xml:space="preserve"> </w:t>
      </w:r>
      <w:r w:rsidR="00A243FA" w:rsidRPr="00C31B98">
        <w:rPr>
          <w:lang w:val="en-US"/>
        </w:rPr>
        <w:t xml:space="preserve">Simplified layout of radioactive waste retrieval presented in Figure </w:t>
      </w:r>
      <w:r w:rsidR="009416C4">
        <w:rPr>
          <w:lang w:val="en-US"/>
        </w:rPr>
        <w:t>6</w:t>
      </w:r>
      <w:r w:rsidR="00A243FA" w:rsidRPr="00C31B98">
        <w:rPr>
          <w:lang w:val="en-US"/>
        </w:rPr>
        <w:t>.</w:t>
      </w:r>
    </w:p>
    <w:p w14:paraId="62CF6DE2" w14:textId="17B967D8" w:rsidR="003110CF" w:rsidRPr="00C31B98" w:rsidRDefault="009416C4" w:rsidP="003110CF">
      <w:pPr>
        <w:pStyle w:val="Pagrindinistekstas"/>
        <w:jc w:val="center"/>
        <w:rPr>
          <w:lang w:val="en-US" w:eastAsia="lt-LT"/>
        </w:rPr>
      </w:pPr>
      <w:r>
        <w:rPr>
          <w:noProof/>
          <w:lang w:val="en-US" w:eastAsia="lt-LT"/>
        </w:rPr>
        <mc:AlternateContent>
          <mc:Choice Requires="wps">
            <w:drawing>
              <wp:anchor distT="0" distB="0" distL="114300" distR="114300" simplePos="0" relativeHeight="251673600" behindDoc="0" locked="0" layoutInCell="1" allowOverlap="1" wp14:anchorId="38000801" wp14:editId="36622558">
                <wp:simplePos x="0" y="0"/>
                <wp:positionH relativeFrom="margin">
                  <wp:posOffset>1401776</wp:posOffset>
                </wp:positionH>
                <wp:positionV relativeFrom="paragraph">
                  <wp:posOffset>3554868</wp:posOffset>
                </wp:positionV>
                <wp:extent cx="3863340" cy="185420"/>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85420"/>
                        </a:xfrm>
                        <a:prstGeom prst="rect">
                          <a:avLst/>
                        </a:prstGeom>
                        <a:solidFill>
                          <a:prstClr val="white"/>
                        </a:solidFill>
                        <a:ln>
                          <a:noFill/>
                        </a:ln>
                        <a:effectLst/>
                      </wps:spPr>
                      <wps:txbx>
                        <w:txbxContent>
                          <w:p w14:paraId="04B8C698" w14:textId="09EF963B" w:rsidR="004C60EA" w:rsidRPr="00802381" w:rsidRDefault="004C60EA" w:rsidP="003110CF">
                            <w:pPr>
                              <w:pStyle w:val="Antrat"/>
                              <w:jc w:val="center"/>
                              <w:rPr>
                                <w:i/>
                                <w:sz w:val="20"/>
                              </w:rPr>
                            </w:pPr>
                            <w:r w:rsidRPr="0020101F">
                              <w:rPr>
                                <w:i/>
                              </w:rPr>
                              <w:t xml:space="preserve">FIG. </w:t>
                            </w:r>
                            <w:r w:rsidR="009416C4" w:rsidRPr="00802381">
                              <w:rPr>
                                <w:i/>
                              </w:rPr>
                              <w:fldChar w:fldCharType="begin"/>
                            </w:r>
                            <w:r w:rsidR="009416C4" w:rsidRPr="00802381">
                              <w:rPr>
                                <w:i/>
                              </w:rPr>
                              <w:instrText xml:space="preserve"> SEQ Figure \* ARABIC </w:instrText>
                            </w:r>
                            <w:r w:rsidR="009416C4" w:rsidRPr="00802381">
                              <w:rPr>
                                <w:i/>
                              </w:rPr>
                              <w:fldChar w:fldCharType="separate"/>
                            </w:r>
                            <w:r w:rsidR="009416C4">
                              <w:rPr>
                                <w:i/>
                                <w:noProof/>
                              </w:rPr>
                              <w:t>6</w:t>
                            </w:r>
                            <w:r w:rsidR="009416C4" w:rsidRPr="00802381">
                              <w:rPr>
                                <w:i/>
                              </w:rPr>
                              <w:fldChar w:fldCharType="end"/>
                            </w:r>
                            <w:r w:rsidRPr="0020101F">
                              <w:rPr>
                                <w:i/>
                              </w:rPr>
                              <w:t>.</w:t>
                            </w:r>
                            <w:r>
                              <w:rPr>
                                <w:i/>
                              </w:rPr>
                              <w:t xml:space="preserve"> Simplified layout of radioactive waste retrieval</w:t>
                            </w:r>
                            <w:r w:rsidR="00B37F89">
                              <w:rPr>
                                <w:i/>
                              </w:rPr>
                              <w:t xml:space="preserve"> facility</w:t>
                            </w:r>
                            <w:r w:rsidR="00455B40">
                              <w:rPr>
                                <w:i/>
                              </w:rPr>
                              <w:t xml:space="preserve"> at MRWSF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8000801" id="_x0000_s1031" type="#_x0000_t202" style="position:absolute;left:0;text-align:left;margin-left:110.4pt;margin-top:279.9pt;width:304.2pt;height:1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VRAIAAI8EAAAOAAAAZHJzL2Uyb0RvYy54bWysVE1v2zAMvQ/YfxB0X5yPtgiMOEWWIsOA&#10;oC2QDD0rshwLk0RNUmJnv36UbKddt9Owi0KLj6T4HpnFfasVOQvnJZiCTkZjSoThUEpzLOi3/ebT&#10;nBIfmCmZAiMKehGe3i8/flg0NhdTqEGVwhFMYnze2ILWIdg8yzyvhWZ+BFYYdFbgNAv46Y5Z6ViD&#10;2bXKpuPxXdaAK60DLrzH24fOSZcpf1UJHp6qyotAVEHxbSGdLp2HeGbLBcuPjtla8v4Z7B9eoZk0&#10;WPSa6oEFRk5O/pFKS+7AQxVGHHQGVSW5SD1gN5Pxu252NbMi9YLkeHulyf+/tPzx/OyILFG7KSWG&#10;adRoL9pAPkNLppGexvocUTuLuNDiNUJTq95ugX/3CMneYLoAj+hIR1s5HX+xUYKBqMDlynqswvFy&#10;Nr+bzW7QxdE3md/eTJMs2Wu0dT58EaBJNArqUNX0Anbe+hDrs3yAxGIelCw3Uqn4ER1r5ciZ4QQ0&#10;tQwiNoURv6GUiVgDMapzdzcijVBfJXbZNRat0B7aRNztwNIByguS5KCbMm/5RmL1LfPhmTkcK+wR&#10;VyU84VEpaAoKvUVJDe7n3+4jHtVGLyUNjmlB/Y8Tc4IS9dXgHMSZHgw3GIfBMCe9Bux7gktoeTIx&#10;wAU1mJUD/YIbtIpV0MUMx1oFDYO5Dt2y4AZysVolEE6uZWFrdpYPsxBZ3rcvzNleo4DqPsIwwCx/&#10;J1WHTWLZ1Skg70nHyGvHYj9UOPVJrH5D41q9/U6o1/+R5S8AAAD//wMAUEsDBBQABgAIAAAAIQC5&#10;p3wm4gAAAAsBAAAPAAAAZHJzL2Rvd25yZXYueG1sTI8xT8MwEIV3JP6DdUgsiNqYtkrSOFVVwQBL&#10;RejSzY3dOBDbke204d9zTGW7e/f03nflerI9OesQO+8EPM0YEO0arzrXCth/vj5mQGKSTsneOy3g&#10;R0dYV7c3pSyUv7gPfa5TSzDExUIKMCkNBaWxMdrKOPODdng7+WBlwjW0VAV5wXDbU87YklrZOWww&#10;ctBbo5vverQCdvPDzjyMp5f3zfw5vO3H7fKrrYW4v5s2KyBJT+lqhj98RIcKmY5+dCqSXgDnDNGT&#10;gMUixwEdGc85kCMqWc6AViX9/0P1CwAA//8DAFBLAQItABQABgAIAAAAIQC2gziS/gAAAOEBAAAT&#10;AAAAAAAAAAAAAAAAAAAAAABbQ29udGVudF9UeXBlc10ueG1sUEsBAi0AFAAGAAgAAAAhADj9If/W&#10;AAAAlAEAAAsAAAAAAAAAAAAAAAAALwEAAF9yZWxzLy5yZWxzUEsBAi0AFAAGAAgAAAAhALfhL5VE&#10;AgAAjwQAAA4AAAAAAAAAAAAAAAAALgIAAGRycy9lMm9Eb2MueG1sUEsBAi0AFAAGAAgAAAAhALmn&#10;fCbiAAAACwEAAA8AAAAAAAAAAAAAAAAAngQAAGRycy9kb3ducmV2LnhtbFBLBQYAAAAABAAEAPMA&#10;AACtBQAAAAA=&#10;" stroked="f">
                <v:textbox style="mso-fit-shape-to-text:t" inset="0,0,0,0">
                  <w:txbxContent>
                    <w:p w14:paraId="04B8C698" w14:textId="09EF963B" w:rsidR="004C60EA" w:rsidRPr="00802381" w:rsidRDefault="004C60EA" w:rsidP="003110CF">
                      <w:pPr>
                        <w:pStyle w:val="Antrat"/>
                        <w:jc w:val="center"/>
                        <w:rPr>
                          <w:i/>
                          <w:sz w:val="20"/>
                        </w:rPr>
                      </w:pPr>
                      <w:r w:rsidRPr="0020101F">
                        <w:rPr>
                          <w:i/>
                        </w:rPr>
                        <w:t xml:space="preserve">FIG. </w:t>
                      </w:r>
                      <w:r w:rsidR="009416C4" w:rsidRPr="00802381">
                        <w:rPr>
                          <w:i/>
                        </w:rPr>
                        <w:fldChar w:fldCharType="begin"/>
                      </w:r>
                      <w:r w:rsidR="009416C4" w:rsidRPr="00802381">
                        <w:rPr>
                          <w:i/>
                        </w:rPr>
                        <w:instrText xml:space="preserve"> SEQ Figure \* ARABIC </w:instrText>
                      </w:r>
                      <w:r w:rsidR="009416C4" w:rsidRPr="00802381">
                        <w:rPr>
                          <w:i/>
                        </w:rPr>
                        <w:fldChar w:fldCharType="separate"/>
                      </w:r>
                      <w:r w:rsidR="009416C4">
                        <w:rPr>
                          <w:i/>
                          <w:noProof/>
                        </w:rPr>
                        <w:t>6</w:t>
                      </w:r>
                      <w:r w:rsidR="009416C4" w:rsidRPr="00802381">
                        <w:rPr>
                          <w:i/>
                        </w:rPr>
                        <w:fldChar w:fldCharType="end"/>
                      </w:r>
                      <w:r w:rsidRPr="0020101F">
                        <w:rPr>
                          <w:i/>
                        </w:rPr>
                        <w:t>.</w:t>
                      </w:r>
                      <w:r>
                        <w:rPr>
                          <w:i/>
                        </w:rPr>
                        <w:t xml:space="preserve"> Simplified layout of radioactive waste retrieval</w:t>
                      </w:r>
                      <w:r w:rsidR="00B37F89">
                        <w:rPr>
                          <w:i/>
                        </w:rPr>
                        <w:t xml:space="preserve"> facility</w:t>
                      </w:r>
                      <w:r w:rsidR="00455B40">
                        <w:rPr>
                          <w:i/>
                        </w:rPr>
                        <w:t xml:space="preserve"> at MRWSF</w:t>
                      </w:r>
                    </w:p>
                  </w:txbxContent>
                </v:textbox>
                <w10:wrap type="topAndBottom" anchorx="margin"/>
              </v:shape>
            </w:pict>
          </mc:Fallback>
        </mc:AlternateContent>
      </w:r>
      <w:r w:rsidR="009C580D" w:rsidRPr="009C580D">
        <w:drawing>
          <wp:inline distT="0" distB="0" distL="0" distR="0" wp14:anchorId="1E22FE72" wp14:editId="740F9603">
            <wp:extent cx="5732145" cy="3473450"/>
            <wp:effectExtent l="0" t="0" r="190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3473450"/>
                    </a:xfrm>
                    <a:prstGeom prst="rect">
                      <a:avLst/>
                    </a:prstGeom>
                    <a:noFill/>
                    <a:ln>
                      <a:noFill/>
                    </a:ln>
                  </pic:spPr>
                </pic:pic>
              </a:graphicData>
            </a:graphic>
          </wp:inline>
        </w:drawing>
      </w:r>
      <w:r w:rsidR="009C580D" w:rsidRPr="009C580D">
        <w:t xml:space="preserve"> </w:t>
      </w:r>
    </w:p>
    <w:p w14:paraId="4AB7688B" w14:textId="41029A4C" w:rsidR="003B220C" w:rsidRPr="00C31B98" w:rsidRDefault="003B220C" w:rsidP="003110CF">
      <w:pPr>
        <w:pStyle w:val="Pagrindinistekstas"/>
        <w:rPr>
          <w:lang w:val="en-US"/>
        </w:rPr>
      </w:pPr>
    </w:p>
    <w:p w14:paraId="7932767B" w14:textId="23058824" w:rsidR="00610165" w:rsidRPr="00C31B98" w:rsidRDefault="00B64B29" w:rsidP="003110CF">
      <w:pPr>
        <w:pStyle w:val="Pagrindinistekstas"/>
        <w:rPr>
          <w:lang w:val="en-US"/>
        </w:rPr>
      </w:pPr>
      <w:r>
        <w:rPr>
          <w:lang w:val="en-US"/>
        </w:rPr>
        <w:t>The following technological systems shall be installed in order to successfully retrieve the RW from the vault</w:t>
      </w:r>
      <w:r w:rsidR="00A243FA" w:rsidRPr="00C31B98">
        <w:rPr>
          <w:lang w:val="en-US"/>
        </w:rPr>
        <w:t>:</w:t>
      </w:r>
    </w:p>
    <w:p w14:paraId="1FF852A8" w14:textId="405CC6EE" w:rsidR="00342F87" w:rsidRPr="00C31B98" w:rsidRDefault="00B64B29" w:rsidP="00D4128D">
      <w:pPr>
        <w:pStyle w:val="ListEmdash"/>
        <w:numPr>
          <w:ilvl w:val="0"/>
          <w:numId w:val="20"/>
        </w:numPr>
        <w:ind w:left="709"/>
        <w:rPr>
          <w:lang w:val="en-US"/>
        </w:rPr>
      </w:pPr>
      <w:r>
        <w:rPr>
          <w:lang w:val="en-US"/>
        </w:rPr>
        <w:t>radiation monitoring (control) system</w:t>
      </w:r>
      <w:r w:rsidR="00A243FA" w:rsidRPr="00C31B98">
        <w:rPr>
          <w:lang w:val="en-US"/>
        </w:rPr>
        <w:t>;</w:t>
      </w:r>
    </w:p>
    <w:p w14:paraId="1487C82E" w14:textId="77777777" w:rsidR="00070E85" w:rsidRPr="00C31B98" w:rsidRDefault="00A243FA" w:rsidP="00D4128D">
      <w:pPr>
        <w:pStyle w:val="ListEmdash"/>
        <w:numPr>
          <w:ilvl w:val="0"/>
          <w:numId w:val="20"/>
        </w:numPr>
        <w:ind w:left="709"/>
        <w:rPr>
          <w:lang w:val="en-US"/>
        </w:rPr>
      </w:pPr>
      <w:r w:rsidRPr="00C31B98">
        <w:rPr>
          <w:lang w:val="en-US"/>
        </w:rPr>
        <w:t>radioactive waste retrieval and transportation system with main components:</w:t>
      </w:r>
    </w:p>
    <w:p w14:paraId="38175BB0" w14:textId="77777777" w:rsidR="00070E85" w:rsidRPr="00C31B98" w:rsidRDefault="00A243FA" w:rsidP="00D4128D">
      <w:pPr>
        <w:pStyle w:val="Pagrindinistekstas"/>
        <w:numPr>
          <w:ilvl w:val="1"/>
          <w:numId w:val="20"/>
        </w:numPr>
        <w:ind w:left="709" w:firstLine="0"/>
        <w:rPr>
          <w:lang w:val="en-US"/>
        </w:rPr>
      </w:pPr>
      <w:r w:rsidRPr="00C31B98">
        <w:rPr>
          <w:lang w:val="en-US"/>
        </w:rPr>
        <w:t>Remote Demolition Machine for retrieval of waste;</w:t>
      </w:r>
    </w:p>
    <w:p w14:paraId="732533A5" w14:textId="3A11A271" w:rsidR="00070E85" w:rsidRPr="00C31B98" w:rsidRDefault="00A243FA" w:rsidP="00D4128D">
      <w:pPr>
        <w:pStyle w:val="Pagrindinistekstas"/>
        <w:numPr>
          <w:ilvl w:val="1"/>
          <w:numId w:val="20"/>
        </w:numPr>
        <w:ind w:left="709" w:firstLine="0"/>
        <w:rPr>
          <w:lang w:val="en-US"/>
        </w:rPr>
      </w:pPr>
      <w:r w:rsidRPr="00C31B98">
        <w:rPr>
          <w:lang w:val="en-US"/>
        </w:rPr>
        <w:t xml:space="preserve">Gantry crane </w:t>
      </w:r>
      <w:r w:rsidR="00455B40">
        <w:rPr>
          <w:lang w:val="en-US"/>
        </w:rPr>
        <w:t xml:space="preserve">of </w:t>
      </w:r>
      <w:r w:rsidRPr="00C31B98">
        <w:rPr>
          <w:lang w:val="en-US"/>
        </w:rPr>
        <w:t xml:space="preserve">capacity </w:t>
      </w:r>
      <w:r w:rsidR="00455B40">
        <w:rPr>
          <w:lang w:val="en-US"/>
        </w:rPr>
        <w:t xml:space="preserve">of </w:t>
      </w:r>
      <w:r w:rsidRPr="00C31B98">
        <w:rPr>
          <w:lang w:val="en-US"/>
        </w:rPr>
        <w:t xml:space="preserve">5 t for removal of large size items, 200 l drums, RW packages, </w:t>
      </w:r>
      <w:r w:rsidR="0087191A">
        <w:rPr>
          <w:lang w:val="en-US"/>
        </w:rPr>
        <w:t>remote demoli</w:t>
      </w:r>
      <w:r w:rsidR="00455B40">
        <w:rPr>
          <w:lang w:val="en-US"/>
        </w:rPr>
        <w:t>t</w:t>
      </w:r>
      <w:r w:rsidR="0087191A">
        <w:rPr>
          <w:lang w:val="en-US"/>
        </w:rPr>
        <w:t xml:space="preserve">ion machine for RW </w:t>
      </w:r>
      <w:r w:rsidRPr="00C31B98">
        <w:rPr>
          <w:lang w:val="en-US"/>
        </w:rPr>
        <w:t>retrieval from the vault;</w:t>
      </w:r>
    </w:p>
    <w:p w14:paraId="753B306F" w14:textId="77777777" w:rsidR="00342F87" w:rsidRPr="00C31B98" w:rsidRDefault="00A243FA" w:rsidP="00D4128D">
      <w:pPr>
        <w:pStyle w:val="ListEmdash"/>
        <w:numPr>
          <w:ilvl w:val="0"/>
          <w:numId w:val="20"/>
        </w:numPr>
        <w:ind w:left="709"/>
        <w:rPr>
          <w:lang w:val="en-US"/>
        </w:rPr>
      </w:pPr>
      <w:r w:rsidRPr="00C31B98">
        <w:rPr>
          <w:lang w:val="en-US"/>
        </w:rPr>
        <w:t>ventilation system;</w:t>
      </w:r>
    </w:p>
    <w:p w14:paraId="7ABDF6F3" w14:textId="77777777" w:rsidR="00070E85" w:rsidRPr="00C31B98" w:rsidRDefault="00A243FA" w:rsidP="00D4128D">
      <w:pPr>
        <w:pStyle w:val="Pagrindinistekstas"/>
        <w:numPr>
          <w:ilvl w:val="1"/>
          <w:numId w:val="20"/>
        </w:numPr>
        <w:ind w:left="709" w:firstLine="0"/>
        <w:rPr>
          <w:lang w:val="en-US"/>
        </w:rPr>
      </w:pPr>
      <w:r w:rsidRPr="00C31B98">
        <w:rPr>
          <w:lang w:val="en-US"/>
        </w:rPr>
        <w:t>ventilation system with HEPA filtration for Primary Confinement</w:t>
      </w:r>
    </w:p>
    <w:p w14:paraId="64B7C661" w14:textId="77777777" w:rsidR="00070E85" w:rsidRPr="00C31B98" w:rsidRDefault="00A243FA" w:rsidP="00D4128D">
      <w:pPr>
        <w:pStyle w:val="Pagrindinistekstas"/>
        <w:numPr>
          <w:ilvl w:val="1"/>
          <w:numId w:val="20"/>
        </w:numPr>
        <w:ind w:left="709" w:firstLine="0"/>
        <w:rPr>
          <w:lang w:val="en-US"/>
        </w:rPr>
      </w:pPr>
      <w:r w:rsidRPr="00C31B98">
        <w:rPr>
          <w:lang w:val="en-US"/>
        </w:rPr>
        <w:lastRenderedPageBreak/>
        <w:t>ventilation system with HEPA filtration for Secondary Confinement</w:t>
      </w:r>
    </w:p>
    <w:p w14:paraId="79426C0C" w14:textId="77777777" w:rsidR="00445465" w:rsidRPr="00C31B98" w:rsidRDefault="00A243FA" w:rsidP="00D4128D">
      <w:pPr>
        <w:pStyle w:val="Pagrindinistekstas"/>
        <w:numPr>
          <w:ilvl w:val="1"/>
          <w:numId w:val="20"/>
        </w:numPr>
        <w:ind w:left="709" w:firstLine="0"/>
        <w:rPr>
          <w:lang w:val="en-US"/>
        </w:rPr>
      </w:pPr>
      <w:r w:rsidRPr="00C31B98">
        <w:rPr>
          <w:lang w:val="en-US"/>
        </w:rPr>
        <w:t>mobile filtration unit (MFU) inside Primary Confinement</w:t>
      </w:r>
    </w:p>
    <w:p w14:paraId="04380F62" w14:textId="77777777" w:rsidR="00350FCD" w:rsidRPr="00C31B98" w:rsidRDefault="00A243FA" w:rsidP="00D4128D">
      <w:pPr>
        <w:pStyle w:val="Pagrindinistekstas"/>
        <w:numPr>
          <w:ilvl w:val="1"/>
          <w:numId w:val="20"/>
        </w:numPr>
        <w:ind w:left="709" w:firstLine="0"/>
        <w:rPr>
          <w:lang w:val="en-US"/>
        </w:rPr>
      </w:pPr>
      <w:r w:rsidRPr="00C31B98">
        <w:rPr>
          <w:lang w:val="en-US"/>
        </w:rPr>
        <w:t>heating and cooling ventilation inlet system</w:t>
      </w:r>
    </w:p>
    <w:p w14:paraId="75B2E25D" w14:textId="77777777" w:rsidR="00F06E9C" w:rsidRPr="00C31B98" w:rsidRDefault="00A243FA" w:rsidP="00D4128D">
      <w:pPr>
        <w:pStyle w:val="ListEmdash"/>
        <w:numPr>
          <w:ilvl w:val="0"/>
          <w:numId w:val="20"/>
        </w:numPr>
        <w:ind w:left="709"/>
        <w:rPr>
          <w:lang w:val="en-US"/>
        </w:rPr>
      </w:pPr>
      <w:r w:rsidRPr="00C31B98">
        <w:rPr>
          <w:lang w:val="en-US"/>
        </w:rPr>
        <w:t>packaging:</w:t>
      </w:r>
    </w:p>
    <w:p w14:paraId="6AA2F9BA" w14:textId="77777777" w:rsidR="00F06E9C" w:rsidRPr="00C31B98" w:rsidRDefault="00A243FA" w:rsidP="00D4128D">
      <w:pPr>
        <w:pStyle w:val="Pagrindinistekstas"/>
        <w:numPr>
          <w:ilvl w:val="1"/>
          <w:numId w:val="20"/>
        </w:numPr>
        <w:ind w:left="709" w:firstLine="0"/>
        <w:rPr>
          <w:lang w:val="en-US"/>
        </w:rPr>
      </w:pPr>
      <w:r w:rsidRPr="00C31B98">
        <w:rPr>
          <w:lang w:val="en-US"/>
        </w:rPr>
        <w:t>FIBC for soil/crashed concrete waste;</w:t>
      </w:r>
    </w:p>
    <w:p w14:paraId="09533CCD" w14:textId="77777777" w:rsidR="00F06E9C" w:rsidRPr="00C31B98" w:rsidRDefault="00A243FA" w:rsidP="00D4128D">
      <w:pPr>
        <w:pStyle w:val="Pagrindinistekstas"/>
        <w:numPr>
          <w:ilvl w:val="1"/>
          <w:numId w:val="20"/>
        </w:numPr>
        <w:ind w:left="709" w:firstLine="0"/>
        <w:rPr>
          <w:lang w:val="en-US"/>
        </w:rPr>
      </w:pPr>
      <w:r w:rsidRPr="00C31B98">
        <w:rPr>
          <w:lang w:val="en-US"/>
        </w:rPr>
        <w:t>200 l drums for mixed radioactive waste;</w:t>
      </w:r>
    </w:p>
    <w:p w14:paraId="59502AFC" w14:textId="77777777" w:rsidR="00F06E9C" w:rsidRPr="00C31B98" w:rsidRDefault="00A243FA" w:rsidP="00D4128D">
      <w:pPr>
        <w:pStyle w:val="Pagrindinistekstas"/>
        <w:numPr>
          <w:ilvl w:val="1"/>
          <w:numId w:val="20"/>
        </w:numPr>
        <w:ind w:left="709" w:firstLine="0"/>
        <w:rPr>
          <w:lang w:val="en-US"/>
        </w:rPr>
      </w:pPr>
      <w:r w:rsidRPr="00C31B98">
        <w:rPr>
          <w:lang w:val="en-US"/>
        </w:rPr>
        <w:t>200 l drums IP-2 type for retrieved packages with liquid waste;</w:t>
      </w:r>
    </w:p>
    <w:p w14:paraId="738DED52" w14:textId="77777777" w:rsidR="00F06E9C" w:rsidRPr="00C31B98" w:rsidRDefault="00A243FA" w:rsidP="00D4128D">
      <w:pPr>
        <w:pStyle w:val="Pagrindinistekstas"/>
        <w:numPr>
          <w:ilvl w:val="1"/>
          <w:numId w:val="20"/>
        </w:numPr>
        <w:ind w:left="709" w:firstLine="0"/>
        <w:rPr>
          <w:lang w:val="en-US"/>
        </w:rPr>
      </w:pPr>
      <w:r w:rsidRPr="00C31B98">
        <w:rPr>
          <w:lang w:val="en-US"/>
        </w:rPr>
        <w:t xml:space="preserve">A </w:t>
      </w:r>
      <w:proofErr w:type="gramStart"/>
      <w:r w:rsidRPr="00C31B98">
        <w:rPr>
          <w:lang w:val="en-US"/>
        </w:rPr>
        <w:t>type containers</w:t>
      </w:r>
      <w:proofErr w:type="gramEnd"/>
      <w:r w:rsidRPr="00C31B98">
        <w:rPr>
          <w:lang w:val="en-US"/>
        </w:rPr>
        <w:t xml:space="preserve"> for transportation of loaded 200 l drums;</w:t>
      </w:r>
    </w:p>
    <w:p w14:paraId="26D65295" w14:textId="77777777" w:rsidR="00F06E9C" w:rsidRPr="00C31B98" w:rsidRDefault="00A243FA" w:rsidP="00D4128D">
      <w:pPr>
        <w:pStyle w:val="Pagrindinistekstas"/>
        <w:numPr>
          <w:ilvl w:val="1"/>
          <w:numId w:val="20"/>
        </w:numPr>
        <w:ind w:left="709" w:firstLine="0"/>
        <w:rPr>
          <w:lang w:val="en-US"/>
        </w:rPr>
      </w:pPr>
      <w:r w:rsidRPr="00C31B98">
        <w:rPr>
          <w:lang w:val="en-US"/>
        </w:rPr>
        <w:t xml:space="preserve">A </w:t>
      </w:r>
      <w:proofErr w:type="gramStart"/>
      <w:r w:rsidRPr="00C31B98">
        <w:rPr>
          <w:lang w:val="en-US"/>
        </w:rPr>
        <w:t>type containers</w:t>
      </w:r>
      <w:proofErr w:type="gramEnd"/>
      <w:r w:rsidRPr="00C31B98">
        <w:rPr>
          <w:lang w:val="en-US"/>
        </w:rPr>
        <w:t xml:space="preserve"> for transportation of the large size items/ and large DSRS;</w:t>
      </w:r>
    </w:p>
    <w:p w14:paraId="072AF845" w14:textId="334F3A4A" w:rsidR="00F06E9C" w:rsidRPr="00C31B98" w:rsidRDefault="00A243FA" w:rsidP="00D4128D">
      <w:pPr>
        <w:pStyle w:val="Pagrindinistekstas"/>
        <w:numPr>
          <w:ilvl w:val="1"/>
          <w:numId w:val="20"/>
        </w:numPr>
        <w:ind w:left="709" w:firstLine="0"/>
        <w:rPr>
          <w:lang w:val="en-US"/>
        </w:rPr>
      </w:pPr>
      <w:r w:rsidRPr="00C31B98">
        <w:rPr>
          <w:lang w:val="en-US"/>
        </w:rPr>
        <w:t>Special steel containers (</w:t>
      </w:r>
      <w:r w:rsidR="008F72F0">
        <w:rPr>
          <w:lang w:val="en-US"/>
        </w:rPr>
        <w:t xml:space="preserve">type </w:t>
      </w:r>
      <w:r w:rsidRPr="00C31B98">
        <w:rPr>
          <w:lang w:val="en-US"/>
        </w:rPr>
        <w:t>K-100/K-150/K-190) for 10 litter, 15 litter containers with DSRS and neutron sources;</w:t>
      </w:r>
    </w:p>
    <w:p w14:paraId="16833640" w14:textId="77777777" w:rsidR="00F06E9C" w:rsidRPr="00C31B98" w:rsidRDefault="00A243FA" w:rsidP="00D4128D">
      <w:pPr>
        <w:pStyle w:val="Pagrindinistekstas"/>
        <w:numPr>
          <w:ilvl w:val="1"/>
          <w:numId w:val="20"/>
        </w:numPr>
        <w:ind w:left="709" w:firstLine="0"/>
        <w:rPr>
          <w:lang w:val="en-US"/>
        </w:rPr>
      </w:pPr>
      <w:r w:rsidRPr="00C31B98">
        <w:rPr>
          <w:lang w:val="en-US"/>
        </w:rPr>
        <w:t>ILW-LLS container as overpack for special steel containers;</w:t>
      </w:r>
    </w:p>
    <w:p w14:paraId="42C4FE28" w14:textId="77777777" w:rsidR="00342F87" w:rsidRPr="00C31B98" w:rsidRDefault="00A243FA" w:rsidP="00D4128D">
      <w:pPr>
        <w:pStyle w:val="ListEmdash"/>
        <w:numPr>
          <w:ilvl w:val="0"/>
          <w:numId w:val="20"/>
        </w:numPr>
        <w:ind w:left="709"/>
        <w:rPr>
          <w:lang w:val="en-US"/>
        </w:rPr>
      </w:pPr>
      <w:r w:rsidRPr="00C31B98">
        <w:rPr>
          <w:lang w:val="en-US"/>
        </w:rPr>
        <w:t>video monitoring system inside Primary Confinement;</w:t>
      </w:r>
    </w:p>
    <w:p w14:paraId="1A571442" w14:textId="42486929" w:rsidR="00342F87" w:rsidRPr="00C31B98" w:rsidRDefault="00B64B29" w:rsidP="00D4128D">
      <w:pPr>
        <w:pStyle w:val="ListEmdash"/>
        <w:numPr>
          <w:ilvl w:val="0"/>
          <w:numId w:val="20"/>
        </w:numPr>
        <w:ind w:left="709"/>
        <w:rPr>
          <w:lang w:val="en-US"/>
        </w:rPr>
      </w:pPr>
      <w:r>
        <w:rPr>
          <w:lang w:val="en-US"/>
        </w:rPr>
        <w:t>fire safety system</w:t>
      </w:r>
      <w:r w:rsidR="00A243FA" w:rsidRPr="00C31B98">
        <w:rPr>
          <w:lang w:val="en-US"/>
        </w:rPr>
        <w:t>;</w:t>
      </w:r>
    </w:p>
    <w:p w14:paraId="19B0E5A5" w14:textId="17FDADAC" w:rsidR="00342F87" w:rsidRPr="00C31B98" w:rsidRDefault="00B64B29" w:rsidP="00D4128D">
      <w:pPr>
        <w:pStyle w:val="ListEmdash"/>
        <w:numPr>
          <w:ilvl w:val="0"/>
          <w:numId w:val="20"/>
        </w:numPr>
        <w:ind w:left="709"/>
        <w:rPr>
          <w:lang w:val="en-US"/>
        </w:rPr>
      </w:pPr>
      <w:r>
        <w:rPr>
          <w:lang w:val="en-US"/>
        </w:rPr>
        <w:t>lighting, including emergency lighting</w:t>
      </w:r>
      <w:r w:rsidR="00A243FA" w:rsidRPr="00C31B98">
        <w:rPr>
          <w:lang w:val="en-US"/>
        </w:rPr>
        <w:t>;</w:t>
      </w:r>
    </w:p>
    <w:p w14:paraId="3266B13A" w14:textId="62F2D76A" w:rsidR="00342F87" w:rsidRPr="00C31B98" w:rsidRDefault="00B64B29" w:rsidP="00D4128D">
      <w:pPr>
        <w:pStyle w:val="ListEmdash"/>
        <w:numPr>
          <w:ilvl w:val="0"/>
          <w:numId w:val="20"/>
        </w:numPr>
        <w:ind w:left="709"/>
        <w:rPr>
          <w:lang w:val="en-US"/>
        </w:rPr>
      </w:pPr>
      <w:r>
        <w:rPr>
          <w:lang w:val="en-US"/>
        </w:rPr>
        <w:t>power supply system</w:t>
      </w:r>
      <w:r w:rsidR="00A243FA" w:rsidRPr="00C31B98">
        <w:rPr>
          <w:lang w:val="en-US"/>
        </w:rPr>
        <w:t>;</w:t>
      </w:r>
    </w:p>
    <w:p w14:paraId="28A9C015" w14:textId="3ACFFDF0" w:rsidR="00342F87" w:rsidRPr="00C31B98" w:rsidRDefault="00B64B29" w:rsidP="00D4128D">
      <w:pPr>
        <w:pStyle w:val="ListEmdash"/>
        <w:numPr>
          <w:ilvl w:val="0"/>
          <w:numId w:val="20"/>
        </w:numPr>
        <w:ind w:left="709"/>
        <w:rPr>
          <w:lang w:val="en-US"/>
        </w:rPr>
      </w:pPr>
      <w:r>
        <w:rPr>
          <w:lang w:val="en-US"/>
        </w:rPr>
        <w:t>compressed air system for personnel to breathe when hazmat suits are used</w:t>
      </w:r>
      <w:r w:rsidR="00A243FA" w:rsidRPr="00C31B98">
        <w:rPr>
          <w:lang w:val="en-US"/>
        </w:rPr>
        <w:t>.</w:t>
      </w:r>
    </w:p>
    <w:p w14:paraId="4FF58E95" w14:textId="70F8F25F" w:rsidR="000D25C1" w:rsidRPr="00C31B98" w:rsidRDefault="00A243FA" w:rsidP="000D25C1">
      <w:pPr>
        <w:pStyle w:val="ListEmdash"/>
        <w:numPr>
          <w:ilvl w:val="0"/>
          <w:numId w:val="20"/>
        </w:numPr>
        <w:ind w:left="709"/>
        <w:rPr>
          <w:lang w:val="en-US"/>
        </w:rPr>
      </w:pPr>
      <w:r w:rsidRPr="00C31B98">
        <w:rPr>
          <w:lang w:val="en-US"/>
        </w:rPr>
        <w:t>H</w:t>
      </w:r>
      <w:r w:rsidRPr="003F4543">
        <w:rPr>
          <w:vertAlign w:val="subscript"/>
          <w:lang w:val="en-US"/>
        </w:rPr>
        <w:t>2</w:t>
      </w:r>
      <w:r w:rsidRPr="00C31B98">
        <w:rPr>
          <w:lang w:val="en-US"/>
        </w:rPr>
        <w:t>/CH</w:t>
      </w:r>
      <w:r w:rsidRPr="003F4543">
        <w:rPr>
          <w:vertAlign w:val="subscript"/>
          <w:lang w:val="en-US"/>
        </w:rPr>
        <w:t>4</w:t>
      </w:r>
      <w:r w:rsidRPr="00C31B98">
        <w:rPr>
          <w:lang w:val="en-US"/>
        </w:rPr>
        <w:t xml:space="preserve"> (</w:t>
      </w:r>
      <w:r w:rsidR="00731FA9" w:rsidRPr="00C31B98">
        <w:rPr>
          <w:lang w:val="en-US"/>
        </w:rPr>
        <w:t>hydrogen</w:t>
      </w:r>
      <w:r w:rsidRPr="00C31B98">
        <w:rPr>
          <w:lang w:val="en-US"/>
        </w:rPr>
        <w:t>/</w:t>
      </w:r>
      <w:r w:rsidR="00731FA9" w:rsidRPr="00C31B98">
        <w:rPr>
          <w:lang w:val="en-US"/>
        </w:rPr>
        <w:t>methane</w:t>
      </w:r>
      <w:r w:rsidRPr="00C31B98">
        <w:rPr>
          <w:lang w:val="en-US"/>
        </w:rPr>
        <w:t xml:space="preserve">) </w:t>
      </w:r>
      <w:r w:rsidR="00731FA9" w:rsidRPr="00C31B98">
        <w:rPr>
          <w:lang w:val="en-US"/>
        </w:rPr>
        <w:t>detection system.</w:t>
      </w:r>
    </w:p>
    <w:p w14:paraId="1A6BDAAC" w14:textId="77777777" w:rsidR="000D25C1" w:rsidRPr="00C31B98" w:rsidRDefault="00A243FA" w:rsidP="000D25C1">
      <w:pPr>
        <w:pStyle w:val="Antrat3"/>
        <w:numPr>
          <w:ilvl w:val="2"/>
          <w:numId w:val="33"/>
        </w:numPr>
        <w:rPr>
          <w:lang w:val="en-US"/>
        </w:rPr>
      </w:pPr>
      <w:r w:rsidRPr="00C31B98">
        <w:rPr>
          <w:lang w:val="en-US"/>
        </w:rPr>
        <w:t>Main safety issues</w:t>
      </w:r>
    </w:p>
    <w:p w14:paraId="36B0CB95" w14:textId="36F58674" w:rsidR="000D25C1" w:rsidRPr="00C31B98" w:rsidRDefault="00F16027" w:rsidP="000D25C1">
      <w:pPr>
        <w:pStyle w:val="Pagrindinistekstas"/>
        <w:rPr>
          <w:lang w:val="en-US"/>
        </w:rPr>
      </w:pPr>
      <w:r>
        <w:rPr>
          <w:lang w:val="en-US"/>
        </w:rPr>
        <w:t xml:space="preserve">In order to evaluate the safety related issues, </w:t>
      </w:r>
      <w:r w:rsidR="00A243FA" w:rsidRPr="00C31B98">
        <w:rPr>
          <w:lang w:val="en-US"/>
        </w:rPr>
        <w:t xml:space="preserve">Safety </w:t>
      </w:r>
      <w:r>
        <w:rPr>
          <w:lang w:val="en-US"/>
        </w:rPr>
        <w:t>A</w:t>
      </w:r>
      <w:r w:rsidRPr="00C31B98">
        <w:rPr>
          <w:lang w:val="en-US"/>
        </w:rPr>
        <w:t xml:space="preserve">nalysis </w:t>
      </w:r>
      <w:r w:rsidR="00A243FA" w:rsidRPr="00C31B98">
        <w:rPr>
          <w:lang w:val="en-US"/>
        </w:rPr>
        <w:t>Report [</w:t>
      </w:r>
      <w:r w:rsidR="0010354B" w:rsidRPr="00C31B98">
        <w:rPr>
          <w:lang w:val="en-US"/>
        </w:rPr>
        <w:t>1</w:t>
      </w:r>
      <w:r w:rsidR="0010354B">
        <w:rPr>
          <w:lang w:val="en-US"/>
        </w:rPr>
        <w:t>2</w:t>
      </w:r>
      <w:r w:rsidR="00A243FA" w:rsidRPr="00C31B98">
        <w:rPr>
          <w:lang w:val="en-US"/>
        </w:rPr>
        <w:t>] was prepared.</w:t>
      </w:r>
      <w:r w:rsidR="00731FA9">
        <w:rPr>
          <w:lang w:val="en-US"/>
        </w:rPr>
        <w:t xml:space="preserve"> The</w:t>
      </w:r>
      <w:r w:rsidR="00731FA9" w:rsidRPr="00731FA9">
        <w:rPr>
          <w:lang w:val="en-US"/>
        </w:rPr>
        <w:t xml:space="preserve"> safety analysis </w:t>
      </w:r>
      <w:r w:rsidR="00731FA9">
        <w:rPr>
          <w:lang w:val="en-US"/>
        </w:rPr>
        <w:t xml:space="preserve">was performed </w:t>
      </w:r>
      <w:r w:rsidR="00441D87">
        <w:rPr>
          <w:lang w:val="en-US"/>
        </w:rPr>
        <w:t xml:space="preserve">for </w:t>
      </w:r>
      <w:r w:rsidR="00731FA9" w:rsidRPr="00731FA9">
        <w:rPr>
          <w:lang w:val="en-US"/>
        </w:rPr>
        <w:t>normal decommissioning conditions and for design and non-design basis accidents</w:t>
      </w:r>
      <w:r w:rsidR="00684250">
        <w:rPr>
          <w:lang w:val="en-US"/>
        </w:rPr>
        <w:t xml:space="preserve"> b</w:t>
      </w:r>
      <w:r w:rsidR="00ED7D2F">
        <w:rPr>
          <w:lang w:val="en-US"/>
        </w:rPr>
        <w:t>oth during the R</w:t>
      </w:r>
      <w:r w:rsidR="000008E9">
        <w:rPr>
          <w:lang w:val="en-US"/>
        </w:rPr>
        <w:t>W</w:t>
      </w:r>
      <w:r w:rsidR="00ED7D2F">
        <w:rPr>
          <w:lang w:val="en-US"/>
        </w:rPr>
        <w:t xml:space="preserve"> retrieval and transport from the site to </w:t>
      </w:r>
      <w:proofErr w:type="spellStart"/>
      <w:r w:rsidR="00ED7D2F">
        <w:rPr>
          <w:lang w:val="en-US"/>
        </w:rPr>
        <w:t>Ignalina</w:t>
      </w:r>
      <w:proofErr w:type="spellEnd"/>
      <w:r w:rsidR="00ED7D2F">
        <w:rPr>
          <w:lang w:val="en-US"/>
        </w:rPr>
        <w:t xml:space="preserve"> NPP</w:t>
      </w:r>
      <w:r w:rsidR="00731FA9" w:rsidRPr="00731FA9">
        <w:rPr>
          <w:lang w:val="en-US"/>
        </w:rPr>
        <w:t>. An impact assessment was carried out for workers and residents. A fire hazard analysis was also performed</w:t>
      </w:r>
      <w:r w:rsidR="00731FA9">
        <w:rPr>
          <w:lang w:val="en-US"/>
        </w:rPr>
        <w:t>.</w:t>
      </w:r>
    </w:p>
    <w:p w14:paraId="377ED777" w14:textId="22AE1864" w:rsidR="00441D87" w:rsidRDefault="00441D87" w:rsidP="000D25C1">
      <w:pPr>
        <w:pStyle w:val="Pagrindinistekstas"/>
        <w:rPr>
          <w:lang w:val="en-US"/>
        </w:rPr>
      </w:pPr>
      <w:r>
        <w:rPr>
          <w:lang w:val="en-US"/>
        </w:rPr>
        <w:t>The m</w:t>
      </w:r>
      <w:r w:rsidRPr="00441D87">
        <w:rPr>
          <w:lang w:val="en-US"/>
        </w:rPr>
        <w:t xml:space="preserve">odeling of direct gamma radiation dose rates was performed using the VISIPLAN 3D ALARA Planning Tool. Since neutron sources are also located in the </w:t>
      </w:r>
      <w:r>
        <w:rPr>
          <w:lang w:val="en-US"/>
        </w:rPr>
        <w:t>vault</w:t>
      </w:r>
      <w:r w:rsidRPr="00441D87">
        <w:rPr>
          <w:lang w:val="en-US"/>
        </w:rPr>
        <w:t xml:space="preserve"> of </w:t>
      </w:r>
      <w:r>
        <w:rPr>
          <w:lang w:val="en-US"/>
        </w:rPr>
        <w:t>the MRWSF</w:t>
      </w:r>
      <w:r w:rsidRPr="00441D87">
        <w:rPr>
          <w:lang w:val="en-US"/>
        </w:rPr>
        <w:t xml:space="preserve">, the modeling of neutron dose rates was performed using the </w:t>
      </w:r>
      <w:r>
        <w:rPr>
          <w:lang w:val="en-US"/>
        </w:rPr>
        <w:t>MCNP</w:t>
      </w:r>
      <w:r w:rsidRPr="00441D87">
        <w:rPr>
          <w:lang w:val="en-US"/>
        </w:rPr>
        <w:t>5</w:t>
      </w:r>
      <w:r>
        <w:rPr>
          <w:lang w:val="en-US"/>
        </w:rPr>
        <w:t xml:space="preserve"> code</w:t>
      </w:r>
      <w:r w:rsidRPr="00441D87">
        <w:rPr>
          <w:lang w:val="en-US"/>
        </w:rPr>
        <w:t xml:space="preserve">. The program </w:t>
      </w:r>
      <w:proofErr w:type="spellStart"/>
      <w:r w:rsidRPr="00441D87">
        <w:rPr>
          <w:lang w:val="en-US"/>
        </w:rPr>
        <w:t>MicroSkyshine</w:t>
      </w:r>
      <w:proofErr w:type="spellEnd"/>
      <w:r w:rsidRPr="00441D87">
        <w:rPr>
          <w:lang w:val="en-US"/>
        </w:rPr>
        <w:t xml:space="preserve"> 2 was used to estimate </w:t>
      </w:r>
      <w:r w:rsidR="00684250">
        <w:rPr>
          <w:lang w:val="en-US"/>
        </w:rPr>
        <w:t xml:space="preserve">the </w:t>
      </w:r>
      <w:proofErr w:type="spellStart"/>
      <w:r>
        <w:rPr>
          <w:lang w:val="en-US"/>
        </w:rPr>
        <w:t>skyshine</w:t>
      </w:r>
      <w:proofErr w:type="spellEnd"/>
      <w:r w:rsidR="00684250">
        <w:rPr>
          <w:lang w:val="en-US"/>
        </w:rPr>
        <w:t xml:space="preserve"> effects.</w:t>
      </w:r>
    </w:p>
    <w:p w14:paraId="2186FCF9" w14:textId="584DA74B" w:rsidR="00441D87" w:rsidRPr="00441D87" w:rsidRDefault="00441D87" w:rsidP="00441D87">
      <w:pPr>
        <w:pStyle w:val="Pagrindinistekstas"/>
        <w:rPr>
          <w:lang w:val="en-US"/>
        </w:rPr>
      </w:pPr>
      <w:r w:rsidRPr="00441D87">
        <w:rPr>
          <w:lang w:val="en-US"/>
        </w:rPr>
        <w:t xml:space="preserve">From a safety point of view, the most dangerous sources </w:t>
      </w:r>
      <w:r>
        <w:rPr>
          <w:lang w:val="en-US"/>
        </w:rPr>
        <w:t>during the retrieval of the</w:t>
      </w:r>
      <w:r w:rsidRPr="00441D87">
        <w:rPr>
          <w:lang w:val="en-US"/>
        </w:rPr>
        <w:t xml:space="preserve"> radioactive waste </w:t>
      </w:r>
      <w:r>
        <w:rPr>
          <w:lang w:val="en-US"/>
        </w:rPr>
        <w:t xml:space="preserve">are the 10 liter and </w:t>
      </w:r>
      <w:proofErr w:type="gramStart"/>
      <w:r>
        <w:rPr>
          <w:lang w:val="en-US"/>
        </w:rPr>
        <w:t>15 lit</w:t>
      </w:r>
      <w:r w:rsidRPr="00441D87">
        <w:rPr>
          <w:lang w:val="en-US"/>
        </w:rPr>
        <w:t>er</w:t>
      </w:r>
      <w:proofErr w:type="gramEnd"/>
      <w:r w:rsidRPr="00441D87">
        <w:rPr>
          <w:lang w:val="en-US"/>
        </w:rPr>
        <w:t xml:space="preserve"> containers </w:t>
      </w:r>
      <w:r w:rsidR="0001353A" w:rsidRPr="00441D87">
        <w:rPr>
          <w:lang w:val="en-US"/>
        </w:rPr>
        <w:t xml:space="preserve">filled </w:t>
      </w:r>
      <w:r w:rsidR="0001353A">
        <w:rPr>
          <w:lang w:val="en-US"/>
        </w:rPr>
        <w:t>with</w:t>
      </w:r>
      <w:r w:rsidR="0001353A" w:rsidRPr="00441D87">
        <w:rPr>
          <w:lang w:val="en-US"/>
        </w:rPr>
        <w:t xml:space="preserve"> DSRS </w:t>
      </w:r>
      <w:r w:rsidRPr="00441D87">
        <w:rPr>
          <w:lang w:val="en-US"/>
        </w:rPr>
        <w:t xml:space="preserve">without shielding. The </w:t>
      </w:r>
      <w:r>
        <w:rPr>
          <w:lang w:val="en-US"/>
        </w:rPr>
        <w:t>modeled surface dose rate is about 240–270 mSv/</w:t>
      </w:r>
      <w:r w:rsidRPr="00441D87">
        <w:rPr>
          <w:lang w:val="en-US"/>
        </w:rPr>
        <w:t>h.</w:t>
      </w:r>
    </w:p>
    <w:p w14:paraId="6FDB80F0" w14:textId="229D2425" w:rsidR="00F4689E" w:rsidRPr="00C31B98" w:rsidRDefault="00441D87" w:rsidP="000D25C1">
      <w:pPr>
        <w:pStyle w:val="Pagrindinistekstas"/>
        <w:rPr>
          <w:lang w:val="en-US"/>
        </w:rPr>
      </w:pPr>
      <w:r w:rsidRPr="00441D87">
        <w:rPr>
          <w:lang w:val="en-US"/>
        </w:rPr>
        <w:t>The assessment of worker exposure showed that the maximum annual d</w:t>
      </w:r>
      <w:r>
        <w:rPr>
          <w:lang w:val="en-US"/>
        </w:rPr>
        <w:t xml:space="preserve">ose is </w:t>
      </w:r>
      <w:r w:rsidR="00401194">
        <w:rPr>
          <w:lang w:val="en-US"/>
        </w:rPr>
        <w:t>for</w:t>
      </w:r>
      <w:r w:rsidR="00401194">
        <w:rPr>
          <w:lang w:val="en-US"/>
        </w:rPr>
        <w:t xml:space="preserve"> </w:t>
      </w:r>
      <w:r>
        <w:rPr>
          <w:lang w:val="en-US"/>
        </w:rPr>
        <w:t>the</w:t>
      </w:r>
      <w:r w:rsidRPr="00441D87">
        <w:rPr>
          <w:lang w:val="en-US"/>
        </w:rPr>
        <w:t xml:space="preserve"> </w:t>
      </w:r>
      <w:r w:rsidR="00401194">
        <w:rPr>
          <w:lang w:val="en-US"/>
        </w:rPr>
        <w:t>radiation protection specialist</w:t>
      </w:r>
      <w:r>
        <w:rPr>
          <w:lang w:val="en-US"/>
        </w:rPr>
        <w:t>; however, it does not exceed 5 mSv</w:t>
      </w:r>
      <w:r w:rsidRPr="00441D87">
        <w:rPr>
          <w:lang w:val="en-US"/>
        </w:rPr>
        <w:t xml:space="preserve">/y, which is 4 times </w:t>
      </w:r>
      <w:r w:rsidR="00C34AEA">
        <w:rPr>
          <w:lang w:val="en-US"/>
        </w:rPr>
        <w:t>lower than the dose limit of 20 mSv</w:t>
      </w:r>
      <w:r w:rsidRPr="00441D87">
        <w:rPr>
          <w:lang w:val="en-US"/>
        </w:rPr>
        <w:t xml:space="preserve">/y. Therefore, </w:t>
      </w:r>
      <w:r w:rsidR="00C34AEA">
        <w:rPr>
          <w:lang w:val="en-US"/>
        </w:rPr>
        <w:t>the MRWSF</w:t>
      </w:r>
      <w:r w:rsidRPr="00441D87">
        <w:rPr>
          <w:lang w:val="en-US"/>
        </w:rPr>
        <w:t xml:space="preserve"> decommissioning can be carried out by ensuring that occupational exposure does not exceed the limit values</w:t>
      </w:r>
      <w:r w:rsidR="00C34AEA">
        <w:rPr>
          <w:lang w:val="en-US"/>
        </w:rPr>
        <w:t>.</w:t>
      </w:r>
    </w:p>
    <w:p w14:paraId="78564035" w14:textId="77777777" w:rsidR="00E20E70" w:rsidRPr="00C31B98" w:rsidRDefault="00A243FA" w:rsidP="00537496">
      <w:pPr>
        <w:pStyle w:val="Antrat2"/>
        <w:rPr>
          <w:lang w:val="en-US"/>
        </w:rPr>
      </w:pPr>
      <w:r w:rsidRPr="00C31B98">
        <w:rPr>
          <w:lang w:val="en-US"/>
        </w:rPr>
        <w:t>SUMMARY</w:t>
      </w:r>
    </w:p>
    <w:p w14:paraId="1FEA28B1" w14:textId="358F1A7F" w:rsidR="003110CF" w:rsidRPr="00C31B98" w:rsidRDefault="00A243FA" w:rsidP="003110CF">
      <w:pPr>
        <w:pStyle w:val="Pagrindinistekstas"/>
        <w:rPr>
          <w:lang w:val="en-US"/>
        </w:rPr>
      </w:pPr>
      <w:r w:rsidRPr="00C31B98">
        <w:rPr>
          <w:lang w:val="en-US"/>
        </w:rPr>
        <w:t xml:space="preserve">After </w:t>
      </w:r>
      <w:r w:rsidR="00C34AEA">
        <w:rPr>
          <w:lang w:val="en-US"/>
        </w:rPr>
        <w:t xml:space="preserve">a </w:t>
      </w:r>
      <w:r w:rsidRPr="00C31B98">
        <w:rPr>
          <w:lang w:val="en-US"/>
        </w:rPr>
        <w:t xml:space="preserve">long period of </w:t>
      </w:r>
      <w:r w:rsidR="00C34AEA">
        <w:rPr>
          <w:lang w:val="en-US"/>
        </w:rPr>
        <w:t xml:space="preserve">the </w:t>
      </w:r>
      <w:r w:rsidRPr="00C31B98">
        <w:rPr>
          <w:lang w:val="en-US"/>
        </w:rPr>
        <w:t>MRWSF operation (1963</w:t>
      </w:r>
      <w:r w:rsidR="00C34AEA">
        <w:rPr>
          <w:lang w:val="en-US"/>
        </w:rPr>
        <w:t>–</w:t>
      </w:r>
      <w:r w:rsidRPr="00C31B98">
        <w:rPr>
          <w:lang w:val="en-US"/>
        </w:rPr>
        <w:t>1989), preparation for decommissioning was started in 2008. In 2011</w:t>
      </w:r>
      <w:r w:rsidR="00C34AEA">
        <w:rPr>
          <w:lang w:val="en-US"/>
        </w:rPr>
        <w:t>–</w:t>
      </w:r>
      <w:r w:rsidRPr="00C31B98">
        <w:rPr>
          <w:lang w:val="en-US"/>
        </w:rPr>
        <w:t xml:space="preserve">2021 decommissioning documents were prepared. In 2021, SE </w:t>
      </w:r>
      <w:proofErr w:type="spellStart"/>
      <w:r w:rsidRPr="00C31B98">
        <w:rPr>
          <w:lang w:val="en-US"/>
        </w:rPr>
        <w:t>Ignalina</w:t>
      </w:r>
      <w:proofErr w:type="spellEnd"/>
      <w:r w:rsidRPr="00C31B98">
        <w:rPr>
          <w:lang w:val="en-US"/>
        </w:rPr>
        <w:t xml:space="preserve"> </w:t>
      </w:r>
      <w:r w:rsidR="00480096">
        <w:rPr>
          <w:lang w:val="en-US"/>
        </w:rPr>
        <w:t>NPP</w:t>
      </w:r>
      <w:r w:rsidRPr="00C31B98">
        <w:rPr>
          <w:lang w:val="en-US"/>
        </w:rPr>
        <w:t xml:space="preserve"> received a </w:t>
      </w:r>
      <w:r w:rsidR="00C31B98" w:rsidRPr="00C31B98">
        <w:rPr>
          <w:lang w:val="en-US"/>
        </w:rPr>
        <w:t>licen</w:t>
      </w:r>
      <w:r w:rsidR="00C31B98">
        <w:rPr>
          <w:lang w:val="en-US"/>
        </w:rPr>
        <w:t>s</w:t>
      </w:r>
      <w:r w:rsidR="00C31B98" w:rsidRPr="00C31B98">
        <w:rPr>
          <w:lang w:val="en-US"/>
        </w:rPr>
        <w:t>e</w:t>
      </w:r>
      <w:r w:rsidRPr="00C31B98">
        <w:rPr>
          <w:lang w:val="en-US"/>
        </w:rPr>
        <w:t xml:space="preserve"> to decommission the MRWSF</w:t>
      </w:r>
      <w:r w:rsidR="0010354B">
        <w:rPr>
          <w:lang w:val="en-US"/>
        </w:rPr>
        <w:t xml:space="preserve"> and </w:t>
      </w:r>
      <w:r w:rsidR="00401194">
        <w:rPr>
          <w:lang w:val="en-US"/>
        </w:rPr>
        <w:t>construction</w:t>
      </w:r>
      <w:r w:rsidR="0010354B">
        <w:rPr>
          <w:lang w:val="en-US"/>
        </w:rPr>
        <w:t xml:space="preserve"> permits to erect the </w:t>
      </w:r>
      <w:r w:rsidR="00570702">
        <w:rPr>
          <w:lang w:val="en-US"/>
        </w:rPr>
        <w:t xml:space="preserve">necessary infrastructure for </w:t>
      </w:r>
      <w:r w:rsidR="00480096">
        <w:rPr>
          <w:lang w:val="en-US"/>
        </w:rPr>
        <w:t>decommissioning</w:t>
      </w:r>
      <w:r w:rsidRPr="00C31B98">
        <w:rPr>
          <w:lang w:val="en-US"/>
        </w:rPr>
        <w:t>. It is planned that</w:t>
      </w:r>
      <w:r w:rsidR="00C34AEA">
        <w:rPr>
          <w:lang w:val="en-US"/>
        </w:rPr>
        <w:t xml:space="preserve"> by 2023 the RW shall be retrieved from the facility and the site</w:t>
      </w:r>
      <w:r w:rsidRPr="00C31B98">
        <w:rPr>
          <w:lang w:val="en-US"/>
        </w:rPr>
        <w:t xml:space="preserve"> shall be remediated and released for unrestricted use.</w:t>
      </w:r>
    </w:p>
    <w:p w14:paraId="7527D674" w14:textId="77777777" w:rsidR="00D26ADA" w:rsidRPr="00C31B98" w:rsidRDefault="00A243FA" w:rsidP="00537496">
      <w:pPr>
        <w:pStyle w:val="Otherunnumberedheadings"/>
        <w:rPr>
          <w:lang w:val="en-US"/>
        </w:rPr>
      </w:pPr>
      <w:r w:rsidRPr="00C31B98">
        <w:rPr>
          <w:lang w:val="en-US"/>
        </w:rPr>
        <w:t>References</w:t>
      </w:r>
    </w:p>
    <w:p w14:paraId="145B1D46" w14:textId="77777777" w:rsidR="00445465" w:rsidRPr="00C31B98" w:rsidRDefault="00A243FA" w:rsidP="00B2042B">
      <w:pPr>
        <w:pStyle w:val="Referencelist"/>
        <w:rPr>
          <w:lang w:val="en-US"/>
        </w:rPr>
      </w:pPr>
      <w:bookmarkStart w:id="2" w:name="_Hlk75997087"/>
      <w:r w:rsidRPr="00C31B98">
        <w:rPr>
          <w:lang w:val="en-US"/>
        </w:rPr>
        <w:t xml:space="preserve">SKB. Assessment of long-term safety of the existing storage facility for radioactive waste at </w:t>
      </w:r>
      <w:proofErr w:type="spellStart"/>
      <w:r w:rsidRPr="00C31B98">
        <w:rPr>
          <w:lang w:val="en-US"/>
        </w:rPr>
        <w:t>Maisiagala</w:t>
      </w:r>
      <w:proofErr w:type="spellEnd"/>
      <w:r w:rsidRPr="00C31B98">
        <w:rPr>
          <w:lang w:val="en-US"/>
        </w:rPr>
        <w:t>. 1996.</w:t>
      </w:r>
    </w:p>
    <w:p w14:paraId="067EC719" w14:textId="77777777" w:rsidR="00B2042B" w:rsidRPr="00C31B98" w:rsidRDefault="00A243FA" w:rsidP="00B2042B">
      <w:pPr>
        <w:pStyle w:val="Referencelist"/>
        <w:rPr>
          <w:lang w:val="en-US"/>
        </w:rPr>
      </w:pPr>
      <w:r w:rsidRPr="00C31B98">
        <w:rPr>
          <w:lang w:val="en-US"/>
        </w:rPr>
        <w:t xml:space="preserve">RAGAISIS V., ZVIRBLYTE D., POSKAS P. Preliminary long term Safety Assessment of </w:t>
      </w:r>
      <w:proofErr w:type="spellStart"/>
      <w:r w:rsidRPr="00C31B98">
        <w:rPr>
          <w:lang w:val="en-US"/>
        </w:rPr>
        <w:t>Maisiagala</w:t>
      </w:r>
      <w:proofErr w:type="spellEnd"/>
      <w:r w:rsidRPr="00C31B98">
        <w:rPr>
          <w:lang w:val="en-US"/>
        </w:rPr>
        <w:t xml:space="preserve"> Radioactive Waste Repository // Heat Engineering and Technology (In Lithuanian), 84-94 (1997). </w:t>
      </w:r>
    </w:p>
    <w:p w14:paraId="48A8B431" w14:textId="77777777" w:rsidR="00445465" w:rsidRPr="00C31B98" w:rsidRDefault="00A243FA" w:rsidP="00445465">
      <w:pPr>
        <w:pStyle w:val="Referencelist"/>
        <w:rPr>
          <w:lang w:val="en-US"/>
        </w:rPr>
      </w:pPr>
      <w:r w:rsidRPr="00C31B98">
        <w:rPr>
          <w:lang w:val="en-US"/>
        </w:rPr>
        <w:t xml:space="preserve">GRIGALIŪNIENĖ D., POŠKAS P., RAGAIŠIS V. Modelling of nuclide migration from </w:t>
      </w:r>
      <w:proofErr w:type="spellStart"/>
      <w:r w:rsidRPr="00C31B98">
        <w:rPr>
          <w:lang w:val="en-US"/>
        </w:rPr>
        <w:t>Maišiagala</w:t>
      </w:r>
      <w:proofErr w:type="spellEnd"/>
      <w:r w:rsidRPr="00C31B98">
        <w:rPr>
          <w:lang w:val="en-US"/>
        </w:rPr>
        <w:t xml:space="preserve"> RADON-type radwaste disposal facility in Lithuania. Proceed. of Intern. Conf. on Radioactive Waste Disposal. Berlin, Germany, 528-533 (2000).</w:t>
      </w:r>
    </w:p>
    <w:p w14:paraId="0B1598CA" w14:textId="77777777" w:rsidR="003110CF" w:rsidRPr="00C31B98" w:rsidRDefault="00A243FA" w:rsidP="003110CF">
      <w:pPr>
        <w:pStyle w:val="Referencelist"/>
        <w:rPr>
          <w:lang w:val="en-US"/>
        </w:rPr>
      </w:pPr>
      <w:r w:rsidRPr="00C31B98">
        <w:rPr>
          <w:lang w:val="en-US"/>
        </w:rPr>
        <w:lastRenderedPageBreak/>
        <w:t>MAŽEIKA, J., PETROŠIUS, R., JAKIMAVIČIŪTĖ-MASELIENĖ, V., and others, Evaluation of processes and parameters governing radionuclide transfer in hydrogeological systems, Environmental and Chemical Physics. Vol. 25, No. 4 (2003) 191-201.</w:t>
      </w:r>
    </w:p>
    <w:p w14:paraId="569340D1" w14:textId="77777777" w:rsidR="00445465" w:rsidRPr="00C31B98" w:rsidRDefault="00A243FA" w:rsidP="00445465">
      <w:pPr>
        <w:pStyle w:val="Referencelist"/>
        <w:rPr>
          <w:lang w:val="en-US"/>
        </w:rPr>
      </w:pPr>
      <w:r w:rsidRPr="00C31B98">
        <w:rPr>
          <w:lang w:val="en-US"/>
        </w:rPr>
        <w:t xml:space="preserve">THALES, ANDRA, Institute of Physics, Lithuanian Energy Institute. Safety assessment and upgrading of </w:t>
      </w:r>
      <w:proofErr w:type="spellStart"/>
      <w:r w:rsidRPr="00C31B98">
        <w:rPr>
          <w:lang w:val="en-US"/>
        </w:rPr>
        <w:t>Maišiagala</w:t>
      </w:r>
      <w:proofErr w:type="spellEnd"/>
      <w:r w:rsidRPr="00C31B98">
        <w:rPr>
          <w:lang w:val="en-US"/>
        </w:rPr>
        <w:t xml:space="preserve"> Repository (Lithuania). Upgraded Facility Safety Analysis Report. Vol. 1, 2005.</w:t>
      </w:r>
    </w:p>
    <w:p w14:paraId="6A2A7E0C" w14:textId="77777777" w:rsidR="00445465" w:rsidRPr="00C31B98" w:rsidRDefault="00A243FA" w:rsidP="00445465">
      <w:pPr>
        <w:pStyle w:val="Referencelist"/>
        <w:rPr>
          <w:lang w:val="en-US"/>
        </w:rPr>
      </w:pPr>
      <w:r w:rsidRPr="00C31B98">
        <w:rPr>
          <w:lang w:val="en-US"/>
        </w:rPr>
        <w:t xml:space="preserve">POSKAS P., ZUJUS R., SIMONIS V., KOLESNIKOVAS J. The development of the radioactive waste inventory for </w:t>
      </w:r>
      <w:proofErr w:type="spellStart"/>
      <w:r w:rsidRPr="00C31B98">
        <w:rPr>
          <w:lang w:val="en-US"/>
        </w:rPr>
        <w:t>Maisiagala</w:t>
      </w:r>
      <w:proofErr w:type="spellEnd"/>
      <w:r w:rsidRPr="00C31B98">
        <w:rPr>
          <w:lang w:val="en-US"/>
        </w:rPr>
        <w:t xml:space="preserve"> repository. ICEM05-1241. 10th Int. Conf. on Environmental Remediation and Radioactive Waste Management, (2005).</w:t>
      </w:r>
    </w:p>
    <w:p w14:paraId="7B327051" w14:textId="77777777" w:rsidR="003110CF" w:rsidRPr="00C31B98" w:rsidRDefault="00A243FA" w:rsidP="003110CF">
      <w:pPr>
        <w:pStyle w:val="Referencelist"/>
        <w:rPr>
          <w:lang w:val="en-US"/>
        </w:rPr>
      </w:pPr>
      <w:r w:rsidRPr="00C31B98">
        <w:rPr>
          <w:lang w:val="en-US"/>
        </w:rPr>
        <w:t xml:space="preserve">GUDELIS, A., GORINA, I., On release of radionuclides from a near-surface radioactive waste repository to the environment, </w:t>
      </w:r>
      <w:proofErr w:type="spellStart"/>
      <w:r w:rsidRPr="00C31B98">
        <w:rPr>
          <w:lang w:val="en-US"/>
        </w:rPr>
        <w:t>Nukleonika</w:t>
      </w:r>
      <w:proofErr w:type="spellEnd"/>
      <w:r w:rsidRPr="00C31B98">
        <w:rPr>
          <w:lang w:val="en-US"/>
        </w:rPr>
        <w:t xml:space="preserve"> 60(3) (2015) 551-555 </w:t>
      </w:r>
      <w:proofErr w:type="spellStart"/>
      <w:r w:rsidRPr="00C31B98">
        <w:rPr>
          <w:lang w:val="en-US"/>
        </w:rPr>
        <w:t>doi</w:t>
      </w:r>
      <w:proofErr w:type="spellEnd"/>
      <w:r w:rsidRPr="00C31B98">
        <w:rPr>
          <w:lang w:val="en-US"/>
        </w:rPr>
        <w:t>: 10.1515/nuka-2015-0091.</w:t>
      </w:r>
    </w:p>
    <w:p w14:paraId="590BCB16" w14:textId="02D464F2" w:rsidR="00800C05" w:rsidRPr="00C31B98" w:rsidRDefault="00A243FA" w:rsidP="003110CF">
      <w:pPr>
        <w:pStyle w:val="Referencelist"/>
        <w:rPr>
          <w:lang w:val="en-US"/>
        </w:rPr>
      </w:pPr>
      <w:r w:rsidRPr="00C31B98">
        <w:rPr>
          <w:lang w:val="en-US"/>
        </w:rPr>
        <w:t xml:space="preserve">Radioactive Waste Management Agency. Preliminary </w:t>
      </w:r>
      <w:r w:rsidR="00EF623C">
        <w:rPr>
          <w:lang w:val="en-US"/>
        </w:rPr>
        <w:t>D</w:t>
      </w:r>
      <w:r w:rsidR="00EF623C" w:rsidRPr="00C31B98">
        <w:rPr>
          <w:lang w:val="en-US"/>
        </w:rPr>
        <w:t xml:space="preserve">ecommissioning </w:t>
      </w:r>
      <w:r w:rsidR="00EF623C">
        <w:rPr>
          <w:lang w:val="en-US"/>
        </w:rPr>
        <w:t>P</w:t>
      </w:r>
      <w:r w:rsidR="00EF623C" w:rsidRPr="00C31B98">
        <w:rPr>
          <w:lang w:val="en-US"/>
        </w:rPr>
        <w:t xml:space="preserve">lan </w:t>
      </w:r>
      <w:r w:rsidRPr="00C31B98">
        <w:rPr>
          <w:lang w:val="en-US"/>
        </w:rPr>
        <w:t>of MRWSF, 2011.</w:t>
      </w:r>
    </w:p>
    <w:p w14:paraId="347AE7FB" w14:textId="77777777" w:rsidR="00445465" w:rsidRPr="00C31B98" w:rsidRDefault="00A243FA" w:rsidP="00445465">
      <w:pPr>
        <w:pStyle w:val="Referencelist"/>
        <w:rPr>
          <w:lang w:val="en-US"/>
        </w:rPr>
      </w:pPr>
      <w:r w:rsidRPr="00C31B98">
        <w:rPr>
          <w:lang w:val="en-US"/>
        </w:rPr>
        <w:t xml:space="preserve">Lithuanian Energy Institute. Environmental Impact Assessment Report on the planned economic activity “Decommissioning of the </w:t>
      </w:r>
      <w:proofErr w:type="spellStart"/>
      <w:r w:rsidRPr="00C31B98">
        <w:rPr>
          <w:lang w:val="en-US"/>
        </w:rPr>
        <w:t>Maišiagala</w:t>
      </w:r>
      <w:proofErr w:type="spellEnd"/>
      <w:r w:rsidRPr="00C31B98">
        <w:rPr>
          <w:lang w:val="en-US"/>
        </w:rPr>
        <w:t xml:space="preserve"> Radioactive Waste Storage Facility”, S/14-1670.16.18-PAVA:05, 2018.</w:t>
      </w:r>
    </w:p>
    <w:p w14:paraId="6A224B9E" w14:textId="0A45A04C" w:rsidR="00D9604F" w:rsidRPr="00C31B98" w:rsidRDefault="00A243FA" w:rsidP="003110CF">
      <w:pPr>
        <w:pStyle w:val="Referencelist"/>
        <w:rPr>
          <w:lang w:val="en-US"/>
        </w:rPr>
      </w:pPr>
      <w:r w:rsidRPr="00C31B98">
        <w:rPr>
          <w:lang w:val="en-US"/>
        </w:rPr>
        <w:t xml:space="preserve">Lithuanian Energy Institute. Final </w:t>
      </w:r>
      <w:r w:rsidR="00EF623C">
        <w:rPr>
          <w:lang w:val="en-US"/>
        </w:rPr>
        <w:t>D</w:t>
      </w:r>
      <w:r w:rsidR="00EF623C" w:rsidRPr="00C31B98">
        <w:rPr>
          <w:lang w:val="en-US"/>
        </w:rPr>
        <w:t xml:space="preserve">ecommissioning </w:t>
      </w:r>
      <w:r w:rsidR="00EF623C">
        <w:rPr>
          <w:lang w:val="en-US"/>
        </w:rPr>
        <w:t>P</w:t>
      </w:r>
      <w:r w:rsidRPr="00C31B98">
        <w:rPr>
          <w:lang w:val="en-US"/>
        </w:rPr>
        <w:t>lan of MRWSF. S/14-1670.16.18-GENP:03.4, 2018.</w:t>
      </w:r>
    </w:p>
    <w:bookmarkEnd w:id="2"/>
    <w:p w14:paraId="40BBD885" w14:textId="165E0D4C" w:rsidR="00B428F3" w:rsidRPr="00C31B98" w:rsidRDefault="00A243FA" w:rsidP="00B428F3">
      <w:pPr>
        <w:pStyle w:val="Referencelist"/>
        <w:rPr>
          <w:lang w:val="en-US"/>
        </w:rPr>
      </w:pPr>
      <w:r w:rsidRPr="00C31B98">
        <w:rPr>
          <w:lang w:val="en-US"/>
        </w:rPr>
        <w:t xml:space="preserve">Lithuanian Energy Institute. Description of Decommissioning </w:t>
      </w:r>
      <w:r w:rsidR="005C7A9D">
        <w:rPr>
          <w:lang w:val="en-US"/>
        </w:rPr>
        <w:t>Project</w:t>
      </w:r>
      <w:r w:rsidR="005C7A9D" w:rsidRPr="00C31B98">
        <w:rPr>
          <w:lang w:val="en-US"/>
        </w:rPr>
        <w:t xml:space="preserve"> </w:t>
      </w:r>
      <w:r w:rsidRPr="00C31B98">
        <w:rPr>
          <w:lang w:val="en-US"/>
        </w:rPr>
        <w:t>of MRWSF. S/14-1919.19.20/ENP/V:G03.04, 2020.</w:t>
      </w:r>
    </w:p>
    <w:p w14:paraId="7E3E2916" w14:textId="4F17744E" w:rsidR="00F45EEE" w:rsidRPr="000E1EA6" w:rsidRDefault="00A243FA" w:rsidP="000008E9">
      <w:pPr>
        <w:pStyle w:val="Referencelist"/>
        <w:rPr>
          <w:lang w:val="en-US"/>
        </w:rPr>
      </w:pPr>
      <w:r w:rsidRPr="00C31B98">
        <w:rPr>
          <w:lang w:val="en-US"/>
        </w:rPr>
        <w:t xml:space="preserve">Lithuanian Energy Institute. Safety </w:t>
      </w:r>
      <w:r w:rsidR="00095EF1">
        <w:rPr>
          <w:lang w:val="en-US"/>
        </w:rPr>
        <w:t>A</w:t>
      </w:r>
      <w:r w:rsidRPr="00C31B98">
        <w:rPr>
          <w:lang w:val="en-US"/>
        </w:rPr>
        <w:t xml:space="preserve">nalysis </w:t>
      </w:r>
      <w:r w:rsidR="00095EF1">
        <w:rPr>
          <w:lang w:val="en-US"/>
        </w:rPr>
        <w:t>R</w:t>
      </w:r>
      <w:r w:rsidR="00095EF1" w:rsidRPr="00C31B98">
        <w:rPr>
          <w:lang w:val="en-US"/>
        </w:rPr>
        <w:t xml:space="preserve">eport </w:t>
      </w:r>
      <w:r w:rsidRPr="00C31B98">
        <w:rPr>
          <w:lang w:val="en-US"/>
        </w:rPr>
        <w:t>of MRWSF, S/14-1919.19.20/SAA/V:03.02, 2020.</w:t>
      </w:r>
    </w:p>
    <w:p w14:paraId="31BB3445" w14:textId="77777777" w:rsidR="00B428F3" w:rsidRPr="00C31B98" w:rsidRDefault="00B428F3">
      <w:pPr>
        <w:pStyle w:val="Pagrindinistekstas"/>
        <w:ind w:firstLine="0"/>
        <w:jc w:val="left"/>
        <w:rPr>
          <w:lang w:val="en-US"/>
        </w:rPr>
      </w:pPr>
    </w:p>
    <w:sectPr w:rsidR="00B428F3" w:rsidRPr="00C31B98" w:rsidSect="0026525A">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24AC8" w14:textId="77777777" w:rsidR="00DA076F" w:rsidRDefault="00DA076F">
      <w:r>
        <w:separator/>
      </w:r>
    </w:p>
  </w:endnote>
  <w:endnote w:type="continuationSeparator" w:id="0">
    <w:p w14:paraId="5A34E18F" w14:textId="77777777" w:rsidR="00DA076F" w:rsidRDefault="00DA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CA23" w14:textId="77777777" w:rsidR="004C60EA" w:rsidRDefault="00A243FA">
    <w:pPr>
      <w:pStyle w:val="zyxClassification2"/>
    </w:pPr>
    <w:r>
      <w:fldChar w:fldCharType="begin"/>
    </w:r>
    <w:r w:rsidR="004C60EA">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3AC6F" w14:textId="77777777" w:rsidR="004C60EA" w:rsidRDefault="00A243FA">
    <w:pPr>
      <w:pStyle w:val="zyxClassification1"/>
    </w:pPr>
    <w:r>
      <w:fldChar w:fldCharType="begin"/>
    </w:r>
    <w:r w:rsidR="004C60EA">
      <w:instrText xml:space="preserve"> DOCPROPERTY "IaeaClassification"  \* MERGEFORMAT </w:instrText>
    </w:r>
    <w:r>
      <w:fldChar w:fldCharType="end"/>
    </w:r>
  </w:p>
  <w:p w14:paraId="633B239F" w14:textId="77777777" w:rsidR="004C60EA" w:rsidRPr="00037321" w:rsidRDefault="00A243FA">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4C60EA"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0234A">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4C60EA"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4C60EA" w14:paraId="04C2FBA8" w14:textId="77777777">
      <w:trPr>
        <w:cantSplit/>
      </w:trPr>
      <w:tc>
        <w:tcPr>
          <w:tcW w:w="4644" w:type="dxa"/>
        </w:tcPr>
        <w:p w14:paraId="3390902D" w14:textId="77777777" w:rsidR="004C60EA" w:rsidRDefault="00A243FA">
          <w:pPr>
            <w:pStyle w:val="zyxDistribution"/>
            <w:framePr w:wrap="auto" w:vAnchor="margin" w:hAnchor="text" w:xAlign="left" w:yAlign="inline"/>
            <w:suppressOverlap w:val="0"/>
          </w:pPr>
          <w:r>
            <w:fldChar w:fldCharType="begin"/>
          </w:r>
          <w:r w:rsidR="004C60EA">
            <w:instrText xml:space="preserve"> DOCPROPERTY "IaeaDistribution"  \* MERGEFORMAT </w:instrText>
          </w:r>
          <w:r>
            <w:fldChar w:fldCharType="end"/>
          </w:r>
        </w:p>
        <w:p w14:paraId="4BF7D90D" w14:textId="77777777" w:rsidR="004C60EA" w:rsidRDefault="00A243FA">
          <w:pPr>
            <w:pStyle w:val="zyxSensitivity"/>
            <w:framePr w:wrap="auto" w:vAnchor="margin" w:hAnchor="text" w:xAlign="left" w:yAlign="inline"/>
            <w:suppressOverlap w:val="0"/>
          </w:pPr>
          <w:r>
            <w:fldChar w:fldCharType="begin"/>
          </w:r>
          <w:r w:rsidR="004C60EA">
            <w:instrText xml:space="preserve"> DOCPROPERTY "IaeaSensitivity"  \* MERGEFORMAT </w:instrText>
          </w:r>
          <w:r>
            <w:fldChar w:fldCharType="end"/>
          </w:r>
        </w:p>
      </w:tc>
      <w:bookmarkStart w:id="4" w:name="DOC_bkmClassification2"/>
      <w:tc>
        <w:tcPr>
          <w:tcW w:w="5670" w:type="dxa"/>
          <w:tcMar>
            <w:right w:w="249" w:type="dxa"/>
          </w:tcMar>
        </w:tcPr>
        <w:p w14:paraId="7E4EA53B" w14:textId="77777777" w:rsidR="004C60EA" w:rsidRDefault="00A243FA">
          <w:pPr>
            <w:pStyle w:val="zyxConfidBlack"/>
            <w:framePr w:wrap="auto" w:vAnchor="margin" w:hAnchor="text" w:xAlign="left" w:yAlign="inline"/>
            <w:suppressOverlap w:val="0"/>
          </w:pPr>
          <w:r>
            <w:fldChar w:fldCharType="begin"/>
          </w:r>
          <w:r w:rsidR="004C60EA">
            <w:instrText xml:space="preserve"> DOCPROPERTY "IaeaClassification"  \* MERGEFORMAT </w:instrText>
          </w:r>
          <w:r>
            <w:fldChar w:fldCharType="end"/>
          </w:r>
          <w:bookmarkEnd w:id="4"/>
        </w:p>
        <w:p w14:paraId="2A25BCA6" w14:textId="77777777" w:rsidR="004C60EA" w:rsidRDefault="00A243FA">
          <w:pPr>
            <w:spacing w:after="20" w:line="220" w:lineRule="exact"/>
            <w:jc w:val="right"/>
            <w:rPr>
              <w:rFonts w:ascii="Arial" w:hAnsi="Arial" w:cs="Arial"/>
              <w:color w:val="FF0000"/>
            </w:rPr>
          </w:pPr>
          <w:r>
            <w:rPr>
              <w:rFonts w:ascii="Arial" w:hAnsi="Arial"/>
              <w:b/>
            </w:rPr>
            <w:fldChar w:fldCharType="begin"/>
          </w:r>
          <w:r w:rsidR="004C60EA">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4C60EA">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14:paraId="473D1D38" w14:textId="77777777" w:rsidR="004C60EA" w:rsidRDefault="00A243FA">
    <w:r>
      <w:rPr>
        <w:sz w:val="16"/>
      </w:rPr>
      <w:fldChar w:fldCharType="begin"/>
    </w:r>
    <w:r w:rsidR="004C60EA">
      <w:rPr>
        <w:sz w:val="16"/>
      </w:rPr>
      <w:instrText xml:space="preserve"> FILENAME \* MERGEFORMAT </w:instrText>
    </w:r>
    <w:r>
      <w:rPr>
        <w:sz w:val="16"/>
      </w:rPr>
      <w:fldChar w:fldCharType="separate"/>
    </w:r>
    <w:r w:rsidR="004C60EA">
      <w:rPr>
        <w:noProof/>
        <w:sz w:val="16"/>
      </w:rPr>
      <w:t>Example paper.docx</w:t>
    </w:r>
    <w:r>
      <w:rPr>
        <w:sz w:val="16"/>
      </w:rP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BD370" w14:textId="77777777" w:rsidR="00DA076F" w:rsidRDefault="00DA076F">
      <w:r>
        <w:t>___________________________________________________________________________</w:t>
      </w:r>
    </w:p>
  </w:footnote>
  <w:footnote w:type="continuationSeparator" w:id="0">
    <w:p w14:paraId="33DDE7C2" w14:textId="77777777" w:rsidR="00DA076F" w:rsidRDefault="00DA076F">
      <w:r>
        <w:t>___________________________________________________________________________</w:t>
      </w:r>
    </w:p>
  </w:footnote>
  <w:footnote w:type="continuationNotice" w:id="1">
    <w:p w14:paraId="168042DA" w14:textId="77777777" w:rsidR="00DA076F" w:rsidRDefault="00DA0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AF7F" w14:textId="77777777" w:rsidR="004C60EA" w:rsidRDefault="004C60EA" w:rsidP="00CF7AF3">
    <w:pPr>
      <w:pStyle w:val="Runninghead"/>
    </w:pPr>
    <w:r>
      <w:t>IAEA-CN-294</w:t>
    </w:r>
  </w:p>
  <w:p w14:paraId="01AA9294" w14:textId="77777777" w:rsidR="004C60EA" w:rsidRPr="00D4128D" w:rsidRDefault="004C60EA" w:rsidP="00CF7AF3">
    <w:pPr>
      <w:jc w:val="center"/>
      <w:rPr>
        <w:b/>
        <w:bCs/>
        <w:color w:val="BFBFBF" w:themeColor="background1" w:themeShade="BF"/>
        <w:sz w:val="16"/>
        <w:szCs w:val="16"/>
      </w:rPr>
    </w:pPr>
    <w:r w:rsidRPr="00D4128D">
      <w:rPr>
        <w:b/>
        <w:bCs/>
        <w:sz w:val="16"/>
        <w:szCs w:val="16"/>
      </w:rPr>
      <w:t>ID #95</w:t>
    </w:r>
  </w:p>
  <w:p w14:paraId="07C5D990" w14:textId="77777777" w:rsidR="004C60EA" w:rsidRPr="003F4543" w:rsidRDefault="004C60EA" w:rsidP="00CF7AF3">
    <w:pPr>
      <w:pStyle w:val="zyxClassification1"/>
      <w:tabs>
        <w:tab w:val="left" w:pos="3956"/>
        <w:tab w:val="right" w:pos="9071"/>
      </w:tabs>
      <w:jc w:val="left"/>
      <w:rPr>
        <w:rFonts w:ascii="Times New Roman" w:hAnsi="Times New Roman" w:cs="Times New Roman"/>
      </w:rPr>
    </w:pPr>
    <w:r>
      <w:tab/>
    </w:r>
    <w:r w:rsidR="00A243FA" w:rsidRPr="003F4543">
      <w:rPr>
        <w:rFonts w:ascii="Times New Roman" w:hAnsi="Times New Roman" w:cs="Times New Roman"/>
      </w:rPr>
      <w:fldChar w:fldCharType="begin"/>
    </w:r>
    <w:r w:rsidRPr="003F4543">
      <w:rPr>
        <w:rFonts w:ascii="Times New Roman" w:hAnsi="Times New Roman" w:cs="Times New Roman"/>
      </w:rPr>
      <w:instrText xml:space="preserve"> DOCPROPERTY "IaeaClassification"  \* MERGEFORMAT </w:instrText>
    </w:r>
    <w:r w:rsidR="00A243FA" w:rsidRPr="003F4543">
      <w:rPr>
        <w:rFonts w:ascii="Times New Roman" w:hAnsi="Times New Roman" w:cs="Times New Roman"/>
      </w:rPr>
      <w:fldChar w:fldCharType="end"/>
    </w:r>
  </w:p>
  <w:p w14:paraId="4C3819B8" w14:textId="77777777" w:rsidR="004C60EA" w:rsidRPr="003F4543" w:rsidRDefault="00A243FA">
    <w:pPr>
      <w:pStyle w:val="zyxClassification2"/>
      <w:rPr>
        <w:rFonts w:ascii="Times New Roman" w:hAnsi="Times New Roman" w:cs="Times New Roman"/>
      </w:rPr>
    </w:pPr>
    <w:r w:rsidRPr="003F4543">
      <w:rPr>
        <w:rFonts w:ascii="Times New Roman" w:hAnsi="Times New Roman" w:cs="Times New Roman"/>
      </w:rPr>
      <w:fldChar w:fldCharType="begin"/>
    </w:r>
    <w:r w:rsidR="004C60EA" w:rsidRPr="003F4543">
      <w:rPr>
        <w:rFonts w:ascii="Times New Roman" w:hAnsi="Times New Roman" w:cs="Times New Roman"/>
      </w:rPr>
      <w:instrText>DOCPROPERTY "IaeaClassification2"  \* MERGEFORMAT</w:instrText>
    </w:r>
    <w:r w:rsidRPr="003F4543">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703E" w14:textId="77777777" w:rsidR="004C60EA" w:rsidRDefault="004C60EA" w:rsidP="00B82FA5">
    <w:pPr>
      <w:pStyle w:val="Runninghead"/>
    </w:pPr>
    <w:r>
      <w:t>A. ŠIMONIS, G. POŠKAS,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4C60EA" w14:paraId="560BA151" w14:textId="77777777">
      <w:trPr>
        <w:cantSplit/>
        <w:trHeight w:val="716"/>
      </w:trPr>
      <w:tc>
        <w:tcPr>
          <w:tcW w:w="979" w:type="dxa"/>
          <w:vMerge w:val="restart"/>
        </w:tcPr>
        <w:p w14:paraId="1939304F" w14:textId="77777777" w:rsidR="004C60EA" w:rsidRDefault="004C60EA">
          <w:pPr>
            <w:spacing w:before="180"/>
            <w:ind w:left="17"/>
          </w:pPr>
        </w:p>
      </w:tc>
      <w:tc>
        <w:tcPr>
          <w:tcW w:w="3638" w:type="dxa"/>
          <w:vAlign w:val="bottom"/>
        </w:tcPr>
        <w:p w14:paraId="41FF0411" w14:textId="77777777" w:rsidR="004C60EA" w:rsidRDefault="004C60EA">
          <w:pPr>
            <w:spacing w:after="20"/>
          </w:pPr>
        </w:p>
      </w:tc>
      <w:bookmarkStart w:id="3" w:name="DOC_bkmClassification1"/>
      <w:tc>
        <w:tcPr>
          <w:tcW w:w="5702" w:type="dxa"/>
          <w:vMerge w:val="restart"/>
          <w:tcMar>
            <w:right w:w="193" w:type="dxa"/>
          </w:tcMar>
        </w:tcPr>
        <w:p w14:paraId="6F4BD0F2" w14:textId="77777777" w:rsidR="004C60EA" w:rsidRDefault="00A243FA">
          <w:pPr>
            <w:pStyle w:val="zyxConfidBlack"/>
            <w:framePr w:wrap="auto" w:vAnchor="margin" w:hAnchor="text" w:xAlign="left" w:yAlign="inline"/>
            <w:suppressOverlap w:val="0"/>
          </w:pPr>
          <w:r>
            <w:fldChar w:fldCharType="begin"/>
          </w:r>
          <w:r w:rsidR="004C60EA">
            <w:instrText xml:space="preserve"> DOCPROPERTY "IaeaClassification"  \* MERGEFORMAT </w:instrText>
          </w:r>
          <w:r>
            <w:fldChar w:fldCharType="end"/>
          </w:r>
          <w:bookmarkEnd w:id="3"/>
        </w:p>
        <w:p w14:paraId="4A9BCCC6" w14:textId="77777777" w:rsidR="004C60EA" w:rsidRDefault="00A243FA">
          <w:pPr>
            <w:pStyle w:val="zyxConfid2Red"/>
          </w:pPr>
          <w:r>
            <w:fldChar w:fldCharType="begin"/>
          </w:r>
          <w:r w:rsidR="004C60EA">
            <w:instrText>DOCPROPERTY "IaeaClassification2"  \* MERGEFORMAT</w:instrText>
          </w:r>
          <w:r>
            <w:fldChar w:fldCharType="end"/>
          </w:r>
        </w:p>
      </w:tc>
    </w:tr>
    <w:tr w:rsidR="004C60EA" w14:paraId="79449776" w14:textId="77777777">
      <w:trPr>
        <w:cantSplit/>
        <w:trHeight w:val="167"/>
      </w:trPr>
      <w:tc>
        <w:tcPr>
          <w:tcW w:w="979" w:type="dxa"/>
          <w:vMerge/>
        </w:tcPr>
        <w:p w14:paraId="17389504" w14:textId="77777777" w:rsidR="004C60EA" w:rsidRDefault="004C60EA">
          <w:pPr>
            <w:spacing w:before="57"/>
          </w:pPr>
        </w:p>
      </w:tc>
      <w:tc>
        <w:tcPr>
          <w:tcW w:w="3638" w:type="dxa"/>
          <w:vAlign w:val="bottom"/>
        </w:tcPr>
        <w:p w14:paraId="70B98634" w14:textId="77777777" w:rsidR="004C60EA" w:rsidRDefault="004C60EA">
          <w:pPr>
            <w:pStyle w:val="Antrat9"/>
            <w:spacing w:before="0" w:after="10"/>
          </w:pPr>
        </w:p>
      </w:tc>
      <w:tc>
        <w:tcPr>
          <w:tcW w:w="5702" w:type="dxa"/>
          <w:vMerge/>
          <w:vAlign w:val="bottom"/>
        </w:tcPr>
        <w:p w14:paraId="185E6B3C" w14:textId="77777777" w:rsidR="004C60EA" w:rsidRDefault="004C60EA">
          <w:pPr>
            <w:pStyle w:val="Antrat9"/>
            <w:spacing w:before="0" w:after="10"/>
          </w:pPr>
        </w:p>
      </w:tc>
    </w:tr>
  </w:tbl>
  <w:p w14:paraId="577392AF" w14:textId="77777777" w:rsidR="004C60EA" w:rsidRDefault="004C60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AA587F52"/>
    <w:name w:val="HeadingTemplate2"/>
    <w:lvl w:ilvl="0" w:tplc="EDCE82DC">
      <w:start w:val="1"/>
      <w:numFmt w:val="bullet"/>
      <w:lvlText w:val="—"/>
      <w:lvlJc w:val="left"/>
      <w:pPr>
        <w:ind w:left="1287" w:hanging="360"/>
      </w:pPr>
      <w:rPr>
        <w:rFonts w:ascii="Times New Roman" w:hAnsi="Times New Roman" w:cs="Times New Roman"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112A4"/>
    <w:multiLevelType w:val="hybridMultilevel"/>
    <w:tmpl w:val="A25C40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A414A32"/>
    <w:multiLevelType w:val="hybridMultilevel"/>
    <w:tmpl w:val="2D1A8F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D3DE8"/>
    <w:multiLevelType w:val="hybridMultilevel"/>
    <w:tmpl w:val="A588EC32"/>
    <w:lvl w:ilvl="0" w:tplc="C680C3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Antrat2"/>
      <w:suff w:val="space"/>
      <w:lvlText w:val="%1%2."/>
      <w:lvlJc w:val="left"/>
      <w:pPr>
        <w:ind w:left="0" w:firstLine="0"/>
      </w:pPr>
      <w:rPr>
        <w:rFonts w:hint="default"/>
        <w:color w:val="auto"/>
      </w:rPr>
    </w:lvl>
    <w:lvl w:ilvl="2">
      <w:start w:val="1"/>
      <w:numFmt w:val="decimal"/>
      <w:lvlRestart w:val="0"/>
      <w:pStyle w:val="Antrat3"/>
      <w:lvlText w:val="%1%2.%3."/>
      <w:lvlJc w:val="left"/>
      <w:pPr>
        <w:ind w:left="0" w:firstLine="0"/>
      </w:pPr>
      <w:rPr>
        <w:rFonts w:hint="default"/>
      </w:rPr>
    </w:lvl>
    <w:lvl w:ilvl="3">
      <w:start w:val="1"/>
      <w:numFmt w:val="decimal"/>
      <w:lvlRestart w:val="0"/>
      <w:pStyle w:val="Antra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0B80919"/>
    <w:multiLevelType w:val="hybridMultilevel"/>
    <w:tmpl w:val="6A129A2A"/>
    <w:lvl w:ilvl="0" w:tplc="EDCE82DC">
      <w:start w:val="1"/>
      <w:numFmt w:val="bullet"/>
      <w:lvlText w:val="—"/>
      <w:lvlJc w:val="left"/>
      <w:pPr>
        <w:ind w:left="1287" w:hanging="360"/>
      </w:pPr>
      <w:rPr>
        <w:rFonts w:ascii="Times New Roman" w:hAnsi="Times New Roman" w:cs="Times New Roman" w:hint="default"/>
      </w:rPr>
    </w:lvl>
    <w:lvl w:ilvl="1" w:tplc="0427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4"/>
  </w:num>
  <w:num w:numId="3">
    <w:abstractNumId w:val="13"/>
  </w:num>
  <w:num w:numId="4">
    <w:abstractNumId w:val="13"/>
  </w:num>
  <w:num w:numId="5">
    <w:abstractNumId w:val="13"/>
  </w:num>
  <w:num w:numId="6">
    <w:abstractNumId w:val="7"/>
  </w:num>
  <w:num w:numId="7">
    <w:abstractNumId w:val="10"/>
  </w:num>
  <w:num w:numId="8">
    <w:abstractNumId w:val="15"/>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Antrat2"/>
        <w:lvlText w:val="%1%2."/>
        <w:lvlJc w:val="left"/>
        <w:pPr>
          <w:ind w:left="0" w:firstLine="0"/>
        </w:pPr>
        <w:rPr>
          <w:rFonts w:hint="default"/>
          <w:color w:val="auto"/>
        </w:rPr>
      </w:lvl>
    </w:lvlOverride>
    <w:lvlOverride w:ilvl="2">
      <w:lvl w:ilvl="2">
        <w:start w:val="1"/>
        <w:numFmt w:val="decimal"/>
        <w:lvlRestart w:val="0"/>
        <w:pStyle w:val="Antrat3"/>
        <w:lvlText w:val="%1%2.%3."/>
        <w:lvlJc w:val="left"/>
        <w:pPr>
          <w:ind w:left="0" w:firstLine="0"/>
        </w:pPr>
        <w:rPr>
          <w:rFonts w:hint="default"/>
        </w:rPr>
      </w:lvl>
    </w:lvlOverride>
    <w:lvlOverride w:ilvl="3">
      <w:lvl w:ilvl="3">
        <w:start w:val="1"/>
        <w:numFmt w:val="none"/>
        <w:lvlRestart w:val="0"/>
        <w:pStyle w:val="Antra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Antrat2"/>
        <w:suff w:val="space"/>
        <w:lvlText w:val="%1%2."/>
        <w:lvlJc w:val="left"/>
        <w:pPr>
          <w:ind w:left="0" w:firstLine="0"/>
        </w:pPr>
        <w:rPr>
          <w:rFonts w:hint="default"/>
          <w:color w:val="auto"/>
        </w:rPr>
      </w:lvl>
    </w:lvlOverride>
    <w:lvlOverride w:ilvl="2">
      <w:lvl w:ilvl="2">
        <w:start w:val="1"/>
        <w:numFmt w:val="decimal"/>
        <w:lvlRestart w:val="0"/>
        <w:pStyle w:val="Antrat3"/>
        <w:suff w:val="space"/>
        <w:lvlText w:val="%1%2.%3."/>
        <w:lvlJc w:val="left"/>
        <w:pPr>
          <w:ind w:left="0" w:firstLine="0"/>
        </w:pPr>
        <w:rPr>
          <w:rFonts w:hint="default"/>
        </w:rPr>
      </w:lvl>
    </w:lvlOverride>
    <w:lvlOverride w:ilvl="3">
      <w:lvl w:ilvl="3">
        <w:start w:val="1"/>
        <w:numFmt w:val="decimal"/>
        <w:lvlRestart w:val="0"/>
        <w:pStyle w:val="Antrat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3"/>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8"/>
  </w:num>
  <w:num w:numId="31">
    <w:abstractNumId w:val="8"/>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5"/>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8E9"/>
    <w:rsid w:val="0000234A"/>
    <w:rsid w:val="00011C22"/>
    <w:rsid w:val="0001353A"/>
    <w:rsid w:val="000229AB"/>
    <w:rsid w:val="0002569A"/>
    <w:rsid w:val="00037321"/>
    <w:rsid w:val="00070E85"/>
    <w:rsid w:val="00083837"/>
    <w:rsid w:val="00095EF1"/>
    <w:rsid w:val="000A0299"/>
    <w:rsid w:val="000A2990"/>
    <w:rsid w:val="000B4C57"/>
    <w:rsid w:val="000C62A8"/>
    <w:rsid w:val="000C7415"/>
    <w:rsid w:val="000D25C1"/>
    <w:rsid w:val="000E1EA6"/>
    <w:rsid w:val="000F0AE9"/>
    <w:rsid w:val="000F7487"/>
    <w:rsid w:val="000F7E94"/>
    <w:rsid w:val="0010354B"/>
    <w:rsid w:val="0010738C"/>
    <w:rsid w:val="001119D6"/>
    <w:rsid w:val="0011795C"/>
    <w:rsid w:val="001308F2"/>
    <w:rsid w:val="001313E8"/>
    <w:rsid w:val="0015454E"/>
    <w:rsid w:val="00156F0A"/>
    <w:rsid w:val="00183BC4"/>
    <w:rsid w:val="00185A51"/>
    <w:rsid w:val="001971CB"/>
    <w:rsid w:val="0019726E"/>
    <w:rsid w:val="001C58F5"/>
    <w:rsid w:val="001D0678"/>
    <w:rsid w:val="001D13EB"/>
    <w:rsid w:val="001D23D5"/>
    <w:rsid w:val="001D5CEE"/>
    <w:rsid w:val="001D5D03"/>
    <w:rsid w:val="001F06D6"/>
    <w:rsid w:val="001F20AE"/>
    <w:rsid w:val="0020101F"/>
    <w:rsid w:val="002071D9"/>
    <w:rsid w:val="00256822"/>
    <w:rsid w:val="0026525A"/>
    <w:rsid w:val="00271981"/>
    <w:rsid w:val="00274790"/>
    <w:rsid w:val="00285755"/>
    <w:rsid w:val="00287178"/>
    <w:rsid w:val="00291F90"/>
    <w:rsid w:val="002A1F9C"/>
    <w:rsid w:val="002B29C2"/>
    <w:rsid w:val="002C4208"/>
    <w:rsid w:val="002D0614"/>
    <w:rsid w:val="002F313A"/>
    <w:rsid w:val="003110CF"/>
    <w:rsid w:val="00335F01"/>
    <w:rsid w:val="00342F87"/>
    <w:rsid w:val="00350FCD"/>
    <w:rsid w:val="00352DE1"/>
    <w:rsid w:val="00357DE8"/>
    <w:rsid w:val="003728E6"/>
    <w:rsid w:val="00394309"/>
    <w:rsid w:val="003A024B"/>
    <w:rsid w:val="003B220C"/>
    <w:rsid w:val="003B5E0E"/>
    <w:rsid w:val="003D255A"/>
    <w:rsid w:val="003E1F01"/>
    <w:rsid w:val="003F4543"/>
    <w:rsid w:val="00401194"/>
    <w:rsid w:val="00416949"/>
    <w:rsid w:val="00420929"/>
    <w:rsid w:val="00425A9B"/>
    <w:rsid w:val="00432920"/>
    <w:rsid w:val="004370D8"/>
    <w:rsid w:val="00441D87"/>
    <w:rsid w:val="00445465"/>
    <w:rsid w:val="00455B40"/>
    <w:rsid w:val="00472C43"/>
    <w:rsid w:val="0047360F"/>
    <w:rsid w:val="00480096"/>
    <w:rsid w:val="00490418"/>
    <w:rsid w:val="004C60EA"/>
    <w:rsid w:val="004C7B8C"/>
    <w:rsid w:val="004C7EC4"/>
    <w:rsid w:val="004F50EC"/>
    <w:rsid w:val="00513044"/>
    <w:rsid w:val="00537496"/>
    <w:rsid w:val="00544ED3"/>
    <w:rsid w:val="005613D8"/>
    <w:rsid w:val="00570702"/>
    <w:rsid w:val="00573E12"/>
    <w:rsid w:val="00583BDE"/>
    <w:rsid w:val="0058477B"/>
    <w:rsid w:val="0058654F"/>
    <w:rsid w:val="00594E98"/>
    <w:rsid w:val="00596ACA"/>
    <w:rsid w:val="005C2885"/>
    <w:rsid w:val="005C7A9D"/>
    <w:rsid w:val="005E39BC"/>
    <w:rsid w:val="005F00A0"/>
    <w:rsid w:val="005F2199"/>
    <w:rsid w:val="00610165"/>
    <w:rsid w:val="00634F34"/>
    <w:rsid w:val="00647F33"/>
    <w:rsid w:val="00654733"/>
    <w:rsid w:val="00662532"/>
    <w:rsid w:val="006634B1"/>
    <w:rsid w:val="006765B9"/>
    <w:rsid w:val="00683FA4"/>
    <w:rsid w:val="00684250"/>
    <w:rsid w:val="006B2274"/>
    <w:rsid w:val="006C3324"/>
    <w:rsid w:val="006F2E71"/>
    <w:rsid w:val="006F4667"/>
    <w:rsid w:val="00705AB6"/>
    <w:rsid w:val="007173F7"/>
    <w:rsid w:val="00717C6F"/>
    <w:rsid w:val="00722055"/>
    <w:rsid w:val="00731FA9"/>
    <w:rsid w:val="007434B3"/>
    <w:rsid w:val="007445DA"/>
    <w:rsid w:val="00755CAA"/>
    <w:rsid w:val="00785C20"/>
    <w:rsid w:val="007B4EA6"/>
    <w:rsid w:val="007B4FD1"/>
    <w:rsid w:val="007E2C47"/>
    <w:rsid w:val="00800C05"/>
    <w:rsid w:val="00802381"/>
    <w:rsid w:val="00820A29"/>
    <w:rsid w:val="008315E9"/>
    <w:rsid w:val="00835B9E"/>
    <w:rsid w:val="008470F8"/>
    <w:rsid w:val="00847DE2"/>
    <w:rsid w:val="0085010D"/>
    <w:rsid w:val="0087191A"/>
    <w:rsid w:val="00883848"/>
    <w:rsid w:val="00897ED5"/>
    <w:rsid w:val="008A40A4"/>
    <w:rsid w:val="008B6BB9"/>
    <w:rsid w:val="008C3CD8"/>
    <w:rsid w:val="008D507F"/>
    <w:rsid w:val="008F72F0"/>
    <w:rsid w:val="00901498"/>
    <w:rsid w:val="00911543"/>
    <w:rsid w:val="009416C4"/>
    <w:rsid w:val="00942DB4"/>
    <w:rsid w:val="0094443F"/>
    <w:rsid w:val="009519C9"/>
    <w:rsid w:val="0095279A"/>
    <w:rsid w:val="00987436"/>
    <w:rsid w:val="00987E91"/>
    <w:rsid w:val="009C580D"/>
    <w:rsid w:val="009D0B86"/>
    <w:rsid w:val="009E0D5B"/>
    <w:rsid w:val="009E1558"/>
    <w:rsid w:val="00A068AE"/>
    <w:rsid w:val="00A06EA7"/>
    <w:rsid w:val="00A2320F"/>
    <w:rsid w:val="00A243FA"/>
    <w:rsid w:val="00A42898"/>
    <w:rsid w:val="00A60295"/>
    <w:rsid w:val="00A65A70"/>
    <w:rsid w:val="00A76E85"/>
    <w:rsid w:val="00A96BF6"/>
    <w:rsid w:val="00AB12D1"/>
    <w:rsid w:val="00AB4C4C"/>
    <w:rsid w:val="00AB6ACE"/>
    <w:rsid w:val="00AC5A3A"/>
    <w:rsid w:val="00AD5D45"/>
    <w:rsid w:val="00B2042B"/>
    <w:rsid w:val="00B213A6"/>
    <w:rsid w:val="00B30D0A"/>
    <w:rsid w:val="00B36404"/>
    <w:rsid w:val="00B37F89"/>
    <w:rsid w:val="00B428F3"/>
    <w:rsid w:val="00B54E04"/>
    <w:rsid w:val="00B64B29"/>
    <w:rsid w:val="00B74757"/>
    <w:rsid w:val="00B7757C"/>
    <w:rsid w:val="00B82FA5"/>
    <w:rsid w:val="00B90B22"/>
    <w:rsid w:val="00B97DA3"/>
    <w:rsid w:val="00BB0845"/>
    <w:rsid w:val="00BB6D7A"/>
    <w:rsid w:val="00BD1400"/>
    <w:rsid w:val="00BD22DB"/>
    <w:rsid w:val="00BD605C"/>
    <w:rsid w:val="00BE2A76"/>
    <w:rsid w:val="00BE2C12"/>
    <w:rsid w:val="00BF7937"/>
    <w:rsid w:val="00C069DB"/>
    <w:rsid w:val="00C31B98"/>
    <w:rsid w:val="00C34AEA"/>
    <w:rsid w:val="00C46AA6"/>
    <w:rsid w:val="00C47045"/>
    <w:rsid w:val="00C65E60"/>
    <w:rsid w:val="00C878F9"/>
    <w:rsid w:val="00CC74F5"/>
    <w:rsid w:val="00CD2778"/>
    <w:rsid w:val="00CE5A52"/>
    <w:rsid w:val="00CE625D"/>
    <w:rsid w:val="00CF7AF3"/>
    <w:rsid w:val="00D26ADA"/>
    <w:rsid w:val="00D35A78"/>
    <w:rsid w:val="00D4128D"/>
    <w:rsid w:val="00D555A1"/>
    <w:rsid w:val="00D55933"/>
    <w:rsid w:val="00D57D78"/>
    <w:rsid w:val="00D64DC2"/>
    <w:rsid w:val="00D66A57"/>
    <w:rsid w:val="00D770D3"/>
    <w:rsid w:val="00D909ED"/>
    <w:rsid w:val="00D9604F"/>
    <w:rsid w:val="00DA076F"/>
    <w:rsid w:val="00DA46CA"/>
    <w:rsid w:val="00DE7B0E"/>
    <w:rsid w:val="00DF21EB"/>
    <w:rsid w:val="00E20E70"/>
    <w:rsid w:val="00E25B68"/>
    <w:rsid w:val="00E4003F"/>
    <w:rsid w:val="00E436EA"/>
    <w:rsid w:val="00E460FD"/>
    <w:rsid w:val="00E84003"/>
    <w:rsid w:val="00EA19D9"/>
    <w:rsid w:val="00EB7C2D"/>
    <w:rsid w:val="00EC10FC"/>
    <w:rsid w:val="00ED0A99"/>
    <w:rsid w:val="00ED4CE0"/>
    <w:rsid w:val="00ED7D2F"/>
    <w:rsid w:val="00EE0041"/>
    <w:rsid w:val="00EE29B9"/>
    <w:rsid w:val="00EF0336"/>
    <w:rsid w:val="00EF623C"/>
    <w:rsid w:val="00F004EE"/>
    <w:rsid w:val="00F06E9C"/>
    <w:rsid w:val="00F16027"/>
    <w:rsid w:val="00F23AC4"/>
    <w:rsid w:val="00F3241F"/>
    <w:rsid w:val="00F416B6"/>
    <w:rsid w:val="00F42E23"/>
    <w:rsid w:val="00F45EEE"/>
    <w:rsid w:val="00F4689E"/>
    <w:rsid w:val="00F51E9C"/>
    <w:rsid w:val="00F523CA"/>
    <w:rsid w:val="00F74A9D"/>
    <w:rsid w:val="00F82CD0"/>
    <w:rsid w:val="00FA3C64"/>
    <w:rsid w:val="00FA74D1"/>
    <w:rsid w:val="00FF2C48"/>
    <w:rsid w:val="00FF38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8A8DE"/>
  <w15:docId w15:val="{7ACA1075-81A4-4213-A932-C6ABC9E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prastasis">
    <w:name w:val="Normal"/>
    <w:uiPriority w:val="49"/>
    <w:rsid w:val="00CF7AF3"/>
    <w:pPr>
      <w:overflowPunct w:val="0"/>
      <w:autoSpaceDE w:val="0"/>
      <w:autoSpaceDN w:val="0"/>
      <w:adjustRightInd w:val="0"/>
      <w:textAlignment w:val="baseline"/>
    </w:pPr>
    <w:rPr>
      <w:sz w:val="22"/>
      <w:lang w:eastAsia="en-US"/>
    </w:rPr>
  </w:style>
  <w:style w:type="paragraph" w:styleId="Antrat1">
    <w:name w:val="heading 1"/>
    <w:aliases w:val="Paper title"/>
    <w:next w:val="Paantrat"/>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Antrat2">
    <w:name w:val="heading 2"/>
    <w:aliases w:val="1st level paper heading"/>
    <w:next w:val="Pagrindinistekstas"/>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Antrat3">
    <w:name w:val="heading 3"/>
    <w:aliases w:val="2nd level paper heading"/>
    <w:next w:val="Pagrindinistekstas"/>
    <w:uiPriority w:val="4"/>
    <w:qFormat/>
    <w:rsid w:val="00897ED5"/>
    <w:pPr>
      <w:widowControl w:val="0"/>
      <w:numPr>
        <w:ilvl w:val="2"/>
        <w:numId w:val="12"/>
      </w:numPr>
      <w:spacing w:before="240" w:after="240" w:line="240" w:lineRule="exact"/>
      <w:outlineLvl w:val="2"/>
    </w:pPr>
    <w:rPr>
      <w:b/>
      <w:lang w:eastAsia="en-US"/>
    </w:rPr>
  </w:style>
  <w:style w:type="paragraph" w:styleId="Antrat4">
    <w:name w:val="heading 4"/>
    <w:aliases w:val="3rd level paper heading"/>
    <w:basedOn w:val="prastasis"/>
    <w:next w:val="Pagrindinistekstas"/>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Antrat5">
    <w:name w:val="heading 5"/>
    <w:basedOn w:val="prastasis"/>
    <w:next w:val="prastasis"/>
    <w:uiPriority w:val="19"/>
    <w:locked/>
    <w:rsid w:val="00490418"/>
    <w:pPr>
      <w:overflowPunct/>
      <w:autoSpaceDE/>
      <w:autoSpaceDN/>
      <w:adjustRightInd/>
      <w:spacing w:before="240" w:after="60"/>
      <w:textAlignment w:val="auto"/>
      <w:outlineLvl w:val="4"/>
    </w:pPr>
    <w:rPr>
      <w:b/>
      <w:bCs/>
      <w:i/>
      <w:iCs/>
      <w:sz w:val="26"/>
      <w:szCs w:val="26"/>
      <w:lang w:val="en-US"/>
    </w:rPr>
  </w:style>
  <w:style w:type="paragraph" w:styleId="Antrat6">
    <w:name w:val="heading 6"/>
    <w:basedOn w:val="prastasis"/>
    <w:next w:val="prastasis"/>
    <w:uiPriority w:val="19"/>
    <w:locked/>
    <w:rsid w:val="00490418"/>
    <w:pPr>
      <w:overflowPunct/>
      <w:autoSpaceDE/>
      <w:autoSpaceDN/>
      <w:adjustRightInd/>
      <w:spacing w:before="240" w:after="60"/>
      <w:textAlignment w:val="auto"/>
      <w:outlineLvl w:val="5"/>
    </w:pPr>
    <w:rPr>
      <w:b/>
      <w:bCs/>
      <w:szCs w:val="22"/>
      <w:lang w:val="en-US"/>
    </w:rPr>
  </w:style>
  <w:style w:type="paragraph" w:styleId="Antrat7">
    <w:name w:val="heading 7"/>
    <w:basedOn w:val="prastasis"/>
    <w:next w:val="prastasis"/>
    <w:uiPriority w:val="19"/>
    <w:locked/>
    <w:rsid w:val="00490418"/>
    <w:pPr>
      <w:overflowPunct/>
      <w:autoSpaceDE/>
      <w:autoSpaceDN/>
      <w:adjustRightInd/>
      <w:spacing w:before="240" w:after="60"/>
      <w:textAlignment w:val="auto"/>
      <w:outlineLvl w:val="6"/>
    </w:pPr>
    <w:rPr>
      <w:szCs w:val="24"/>
      <w:lang w:val="en-US"/>
    </w:rPr>
  </w:style>
  <w:style w:type="paragraph" w:styleId="Antrat8">
    <w:name w:val="heading 8"/>
    <w:basedOn w:val="prastasis"/>
    <w:next w:val="prastasis"/>
    <w:uiPriority w:val="19"/>
    <w:locked/>
    <w:rsid w:val="00490418"/>
    <w:pPr>
      <w:overflowPunct/>
      <w:autoSpaceDE/>
      <w:autoSpaceDN/>
      <w:adjustRightInd/>
      <w:spacing w:before="240" w:after="60"/>
      <w:textAlignment w:val="auto"/>
      <w:outlineLvl w:val="7"/>
    </w:pPr>
    <w:rPr>
      <w:i/>
      <w:iCs/>
      <w:szCs w:val="24"/>
      <w:lang w:val="en-US"/>
    </w:rPr>
  </w:style>
  <w:style w:type="paragraph" w:styleId="Antrat9">
    <w:name w:val="heading 9"/>
    <w:basedOn w:val="prastasis"/>
    <w:next w:val="prastasis"/>
    <w:uiPriority w:val="19"/>
    <w:locked/>
    <w:rsid w:val="00490418"/>
    <w:pPr>
      <w:overflowPunct/>
      <w:autoSpaceDE/>
      <w:autoSpaceDN/>
      <w:adjustRightInd/>
      <w:spacing w:before="240" w:after="60"/>
      <w:textAlignment w:val="auto"/>
      <w:outlineLvl w:val="8"/>
    </w:pPr>
    <w:rPr>
      <w:rFonts w:ascii="Arial" w:hAnsi="Arial" w:cs="Arial"/>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link w:val="PagrindinistekstasDiagrama"/>
    <w:qFormat/>
    <w:rsid w:val="00647F33"/>
    <w:pPr>
      <w:spacing w:line="260" w:lineRule="atLeast"/>
      <w:ind w:firstLine="567"/>
      <w:contextualSpacing/>
      <w:jc w:val="both"/>
    </w:pPr>
    <w:rPr>
      <w:lang w:eastAsia="en-US"/>
    </w:rPr>
  </w:style>
  <w:style w:type="paragraph" w:styleId="Pagrindiniotekstotrauka">
    <w:name w:val="Body Text Indent"/>
    <w:basedOn w:val="Pagrindinistekstas"/>
    <w:uiPriority w:val="49"/>
    <w:locked/>
    <w:rsid w:val="00490418"/>
    <w:pPr>
      <w:ind w:left="1134" w:hanging="675"/>
    </w:pPr>
  </w:style>
  <w:style w:type="paragraph" w:customStyle="1" w:styleId="BodyTextMultiline">
    <w:name w:val="Body Text Multiline"/>
    <w:basedOn w:val="Pagrindinistekstas"/>
    <w:locked/>
    <w:rsid w:val="00490418"/>
    <w:pPr>
      <w:numPr>
        <w:numId w:val="1"/>
      </w:numPr>
    </w:pPr>
  </w:style>
  <w:style w:type="paragraph" w:customStyle="1" w:styleId="BodyTextSummary">
    <w:name w:val="Body Text Summary"/>
    <w:uiPriority w:val="49"/>
    <w:locked/>
    <w:rsid w:val="00490418"/>
    <w:pPr>
      <w:numPr>
        <w:numId w:val="2"/>
      </w:numPr>
      <w:tabs>
        <w:tab w:val="clear" w:pos="720"/>
      </w:tabs>
      <w:spacing w:after="170" w:line="280" w:lineRule="atLeast"/>
      <w:ind w:left="572" w:hanging="459"/>
      <w:jc w:val="both"/>
    </w:pPr>
    <w:rPr>
      <w:sz w:val="22"/>
      <w:szCs w:val="22"/>
      <w:lang w:eastAsia="en-US"/>
    </w:rPr>
  </w:style>
  <w:style w:type="paragraph" w:styleId="Antrat">
    <w:name w:val="caption"/>
    <w:next w:val="prastasis"/>
    <w:uiPriority w:val="49"/>
    <w:rsid w:val="00490418"/>
    <w:pPr>
      <w:spacing w:after="85"/>
    </w:pPr>
    <w:rPr>
      <w:bCs/>
      <w:sz w:val="18"/>
      <w:lang w:val="en-US" w:eastAsia="en-US"/>
    </w:rPr>
  </w:style>
  <w:style w:type="paragraph" w:styleId="Porat">
    <w:name w:val="footer"/>
    <w:basedOn w:val="prastasis"/>
    <w:link w:val="PoratDiagrama"/>
    <w:uiPriority w:val="99"/>
    <w:locked/>
    <w:rsid w:val="00490418"/>
    <w:pPr>
      <w:overflowPunct/>
      <w:autoSpaceDE/>
      <w:autoSpaceDN/>
      <w:adjustRightInd/>
      <w:textAlignment w:val="auto"/>
    </w:pPr>
    <w:rPr>
      <w:sz w:val="2"/>
      <w:lang w:val="en-US"/>
    </w:rPr>
  </w:style>
  <w:style w:type="paragraph" w:styleId="Puslapioinaostekstas">
    <w:name w:val="footnote text"/>
    <w:semiHidden/>
    <w:locked/>
    <w:rsid w:val="00490418"/>
    <w:pPr>
      <w:tabs>
        <w:tab w:val="left" w:pos="459"/>
      </w:tabs>
      <w:spacing w:before="142"/>
      <w:ind w:left="459"/>
      <w:jc w:val="both"/>
    </w:pPr>
    <w:rPr>
      <w:sz w:val="18"/>
      <w:lang w:eastAsia="en-US"/>
    </w:rPr>
  </w:style>
  <w:style w:type="paragraph" w:styleId="Antrats">
    <w:name w:val="header"/>
    <w:next w:val="Pagrindinistekstas"/>
    <w:uiPriority w:val="49"/>
    <w:locked/>
    <w:rsid w:val="00490418"/>
    <w:pPr>
      <w:spacing w:after="85"/>
    </w:pPr>
    <w:rPr>
      <w:sz w:val="18"/>
      <w:lang w:val="en-US" w:eastAsia="en-US"/>
    </w:rPr>
  </w:style>
  <w:style w:type="paragraph" w:customStyle="1" w:styleId="ListBulleted">
    <w:name w:val="List Bulleted"/>
    <w:uiPriority w:val="7"/>
    <w:qFormat/>
    <w:locked/>
    <w:rsid w:val="00490418"/>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Pagrindinistekstas"/>
    <w:uiPriority w:val="6"/>
    <w:qFormat/>
    <w:rsid w:val="00717C6F"/>
    <w:pPr>
      <w:ind w:firstLine="0"/>
    </w:pPr>
  </w:style>
  <w:style w:type="paragraph" w:customStyle="1" w:styleId="ListNumbered">
    <w:name w:val="List Numbered"/>
    <w:basedOn w:val="Pagrindinistekstas"/>
    <w:uiPriority w:val="5"/>
    <w:qFormat/>
    <w:locked/>
    <w:rsid w:val="00717C6F"/>
    <w:pPr>
      <w:numPr>
        <w:numId w:val="22"/>
      </w:numPr>
    </w:pPr>
  </w:style>
  <w:style w:type="paragraph" w:styleId="Pavadinimas">
    <w:name w:val="Title"/>
    <w:uiPriority w:val="2"/>
    <w:locked/>
    <w:rsid w:val="00490418"/>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prastasis"/>
    <w:uiPriority w:val="49"/>
    <w:locked/>
    <w:rsid w:val="00490418"/>
    <w:pPr>
      <w:spacing w:after="20" w:line="220" w:lineRule="exact"/>
      <w:jc w:val="right"/>
    </w:pPr>
    <w:rPr>
      <w:rFonts w:ascii="Arial" w:hAnsi="Arial" w:cs="Arial"/>
      <w:color w:val="FF0000"/>
    </w:rPr>
  </w:style>
  <w:style w:type="paragraph" w:customStyle="1" w:styleId="zyxConfidRed">
    <w:name w:val="zyxConfidRed"/>
    <w:uiPriority w:val="49"/>
    <w:locked/>
    <w:rsid w:val="0049041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49041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prastasis"/>
    <w:uiPriority w:val="49"/>
    <w:locked/>
    <w:rsid w:val="00490418"/>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490418"/>
    <w:pPr>
      <w:spacing w:after="60" w:line="280" w:lineRule="exact"/>
      <w:ind w:left="113"/>
    </w:pPr>
    <w:rPr>
      <w:sz w:val="22"/>
      <w:lang w:eastAsia="en-US"/>
    </w:rPr>
  </w:style>
  <w:style w:type="paragraph" w:customStyle="1" w:styleId="zyxFillIn">
    <w:name w:val="zyxFill_In"/>
    <w:basedOn w:val="zyxPrePrint"/>
    <w:uiPriority w:val="49"/>
    <w:locked/>
    <w:rsid w:val="00490418"/>
    <w:rPr>
      <w:b/>
    </w:rPr>
  </w:style>
  <w:style w:type="paragraph" w:customStyle="1" w:styleId="zyxLogo">
    <w:name w:val="zyxLogo"/>
    <w:basedOn w:val="prastasis"/>
    <w:uiPriority w:val="49"/>
    <w:locked/>
    <w:rsid w:val="00490418"/>
    <w:pPr>
      <w:keepNext/>
      <w:spacing w:after="10"/>
    </w:pPr>
    <w:rPr>
      <w:rFonts w:ascii="Arial" w:hAnsi="Arial"/>
      <w:b/>
      <w:sz w:val="13"/>
    </w:rPr>
  </w:style>
  <w:style w:type="paragraph" w:customStyle="1" w:styleId="zyxP1Footer">
    <w:name w:val="zyxP1_Footer"/>
    <w:basedOn w:val="prastasis"/>
    <w:uiPriority w:val="49"/>
    <w:locked/>
    <w:rsid w:val="00490418"/>
    <w:pPr>
      <w:widowControl w:val="0"/>
      <w:spacing w:line="160" w:lineRule="exact"/>
      <w:ind w:left="108"/>
    </w:pPr>
    <w:rPr>
      <w:sz w:val="14"/>
    </w:rPr>
  </w:style>
  <w:style w:type="paragraph" w:customStyle="1" w:styleId="zyxSensitivity">
    <w:name w:val="zyxSensitivity"/>
    <w:basedOn w:val="prastasis"/>
    <w:uiPriority w:val="49"/>
    <w:locked/>
    <w:rsid w:val="00490418"/>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prastasis"/>
    <w:uiPriority w:val="49"/>
    <w:locked/>
    <w:rsid w:val="00490418"/>
    <w:pPr>
      <w:keepNext/>
      <w:spacing w:line="420" w:lineRule="exact"/>
    </w:pPr>
    <w:rPr>
      <w:rFonts w:ascii="Arial" w:hAnsi="Arial"/>
      <w:sz w:val="40"/>
    </w:rPr>
  </w:style>
  <w:style w:type="character" w:styleId="Puslapioinaosnuoroda">
    <w:name w:val="footnote reference"/>
    <w:basedOn w:val="Numatytasispastraiposriftas"/>
    <w:semiHidden/>
    <w:locked/>
    <w:rsid w:val="00490418"/>
    <w:rPr>
      <w:vertAlign w:val="superscript"/>
    </w:rPr>
  </w:style>
  <w:style w:type="paragraph" w:styleId="Paantrat">
    <w:name w:val="Subtitle"/>
    <w:next w:val="Pagrindinistekstas"/>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490418"/>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Pagrindinistekstas"/>
    <w:uiPriority w:val="49"/>
    <w:locked/>
    <w:rsid w:val="00490418"/>
    <w:pPr>
      <w:spacing w:line="280" w:lineRule="exact"/>
      <w:jc w:val="right"/>
    </w:pPr>
    <w:rPr>
      <w:rFonts w:ascii="Arial" w:hAnsi="Arial" w:cs="Arial"/>
      <w:b/>
      <w:bCs/>
      <w:caps/>
      <w:sz w:val="24"/>
    </w:rPr>
  </w:style>
  <w:style w:type="paragraph" w:customStyle="1" w:styleId="zyxClassification2">
    <w:name w:val="zyxClassification2"/>
    <w:basedOn w:val="Porat"/>
    <w:uiPriority w:val="49"/>
    <w:locked/>
    <w:rsid w:val="00490418"/>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oratDiagrama">
    <w:name w:val="Poraštė Diagrama"/>
    <w:basedOn w:val="Numatytasispastraiposriftas"/>
    <w:link w:val="Porat"/>
    <w:uiPriority w:val="99"/>
    <w:rsid w:val="00037321"/>
    <w:rPr>
      <w:sz w:val="2"/>
      <w:lang w:val="en-US" w:eastAsia="en-US"/>
    </w:rPr>
  </w:style>
  <w:style w:type="paragraph" w:customStyle="1" w:styleId="Runninghead">
    <w:name w:val="Running head"/>
    <w:basedOn w:val="prastasis"/>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Numatytasispastraiposriftas"/>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PagrindinistekstasDiagrama">
    <w:name w:val="Pagrindinis tekstas Diagrama"/>
    <w:basedOn w:val="Numatytasispastraiposriftas"/>
    <w:link w:val="Pagrindinistekstas"/>
    <w:rsid w:val="00647F33"/>
    <w:rPr>
      <w:lang w:eastAsia="en-US"/>
    </w:rPr>
  </w:style>
  <w:style w:type="character" w:customStyle="1" w:styleId="AuthornameandaffiliationChar">
    <w:name w:val="Author name and affiliation Char"/>
    <w:basedOn w:val="PagrindinistekstasDiagrama"/>
    <w:link w:val="Authornameandaffiliation"/>
    <w:uiPriority w:val="49"/>
    <w:rsid w:val="00647F33"/>
    <w:rPr>
      <w:lang w:val="en-US" w:eastAsia="en-US"/>
    </w:rPr>
  </w:style>
  <w:style w:type="table" w:styleId="Lentelstinklelis">
    <w:name w:val="Table Grid"/>
    <w:basedOn w:val="prastojilente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Debesliotekstas">
    <w:name w:val="Balloon Text"/>
    <w:basedOn w:val="prastasis"/>
    <w:link w:val="DebesliotekstasDiagrama"/>
    <w:uiPriority w:val="49"/>
    <w:locked/>
    <w:rsid w:val="005F00A0"/>
    <w:rPr>
      <w:rFonts w:ascii="Tahoma" w:hAnsi="Tahoma" w:cs="Tahoma"/>
      <w:sz w:val="16"/>
      <w:szCs w:val="16"/>
    </w:rPr>
  </w:style>
  <w:style w:type="character" w:customStyle="1" w:styleId="DebesliotekstasDiagrama">
    <w:name w:val="Debesėlio tekstas Diagrama"/>
    <w:basedOn w:val="Numatytasispastraiposriftas"/>
    <w:link w:val="Debesliotekstas"/>
    <w:uiPriority w:val="49"/>
    <w:rsid w:val="005F00A0"/>
    <w:rPr>
      <w:rFonts w:ascii="Tahoma" w:hAnsi="Tahoma" w:cs="Tahoma"/>
      <w:sz w:val="16"/>
      <w:szCs w:val="16"/>
      <w:lang w:eastAsia="en-US"/>
    </w:rPr>
  </w:style>
  <w:style w:type="paragraph" w:customStyle="1" w:styleId="Figurecaption">
    <w:name w:val="Figure caption"/>
    <w:basedOn w:val="Pagrindinistekstas"/>
    <w:link w:val="FigurecaptionChar"/>
    <w:uiPriority w:val="49"/>
    <w:qFormat/>
    <w:locked/>
    <w:rsid w:val="00717C6F"/>
    <w:pPr>
      <w:jc w:val="center"/>
    </w:pPr>
    <w:rPr>
      <w:i/>
      <w:sz w:val="18"/>
    </w:rPr>
  </w:style>
  <w:style w:type="paragraph" w:customStyle="1" w:styleId="Otherunnumberedheadings">
    <w:name w:val="Other unnumbered headings"/>
    <w:next w:val="Pagrindinistekstas"/>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PagrindinistekstasDiagrama"/>
    <w:link w:val="Figurecaption"/>
    <w:uiPriority w:val="49"/>
    <w:rsid w:val="00717C6F"/>
    <w:rPr>
      <w:i/>
      <w:sz w:val="18"/>
      <w:lang w:eastAsia="en-US"/>
    </w:rPr>
  </w:style>
  <w:style w:type="paragraph" w:customStyle="1" w:styleId="Referencelist">
    <w:name w:val="Reference list"/>
    <w:basedOn w:val="Pagrindinistekstas"/>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PagrindinistekstasDiagrama"/>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PagrindinistekstasDiagrama"/>
    <w:link w:val="Referencelist"/>
    <w:uiPriority w:val="49"/>
    <w:rsid w:val="009E0D5B"/>
    <w:rPr>
      <w:sz w:val="18"/>
      <w:szCs w:val="18"/>
      <w:lang w:eastAsia="en-US"/>
    </w:rPr>
  </w:style>
  <w:style w:type="paragraph" w:customStyle="1" w:styleId="Tabletext">
    <w:name w:val="Table text"/>
    <w:basedOn w:val="Pagrindinistekstas"/>
    <w:link w:val="TabletextChar"/>
    <w:uiPriority w:val="49"/>
    <w:qFormat/>
    <w:rsid w:val="00883848"/>
    <w:pPr>
      <w:ind w:firstLine="0"/>
    </w:pPr>
  </w:style>
  <w:style w:type="character" w:customStyle="1" w:styleId="TabletextChar">
    <w:name w:val="Table text Char"/>
    <w:basedOn w:val="PagrindinistekstasDiagrama"/>
    <w:link w:val="Tabletext"/>
    <w:uiPriority w:val="49"/>
    <w:rsid w:val="00883848"/>
    <w:rPr>
      <w:lang w:eastAsia="en-US"/>
    </w:rPr>
  </w:style>
  <w:style w:type="character" w:styleId="Komentaronuoroda">
    <w:name w:val="annotation reference"/>
    <w:basedOn w:val="Numatytasispastraiposriftas"/>
    <w:uiPriority w:val="49"/>
    <w:semiHidden/>
    <w:unhideWhenUsed/>
    <w:locked/>
    <w:rsid w:val="006F2E71"/>
    <w:rPr>
      <w:sz w:val="16"/>
      <w:szCs w:val="16"/>
    </w:rPr>
  </w:style>
  <w:style w:type="paragraph" w:styleId="Komentarotekstas">
    <w:name w:val="annotation text"/>
    <w:basedOn w:val="prastasis"/>
    <w:link w:val="KomentarotekstasDiagrama"/>
    <w:uiPriority w:val="49"/>
    <w:semiHidden/>
    <w:unhideWhenUsed/>
    <w:locked/>
    <w:rsid w:val="006F2E71"/>
    <w:rPr>
      <w:sz w:val="20"/>
    </w:rPr>
  </w:style>
  <w:style w:type="character" w:customStyle="1" w:styleId="KomentarotekstasDiagrama">
    <w:name w:val="Komentaro tekstas Diagrama"/>
    <w:basedOn w:val="Numatytasispastraiposriftas"/>
    <w:link w:val="Komentarotekstas"/>
    <w:uiPriority w:val="49"/>
    <w:semiHidden/>
    <w:rsid w:val="006F2E71"/>
    <w:rPr>
      <w:lang w:eastAsia="en-US"/>
    </w:rPr>
  </w:style>
  <w:style w:type="paragraph" w:styleId="Komentarotema">
    <w:name w:val="annotation subject"/>
    <w:basedOn w:val="Komentarotekstas"/>
    <w:next w:val="Komentarotekstas"/>
    <w:link w:val="KomentarotemaDiagrama"/>
    <w:uiPriority w:val="49"/>
    <w:semiHidden/>
    <w:unhideWhenUsed/>
    <w:locked/>
    <w:rsid w:val="006F2E71"/>
    <w:rPr>
      <w:b/>
      <w:bCs/>
    </w:rPr>
  </w:style>
  <w:style w:type="character" w:customStyle="1" w:styleId="KomentarotemaDiagrama">
    <w:name w:val="Komentaro tema Diagrama"/>
    <w:basedOn w:val="KomentarotekstasDiagrama"/>
    <w:link w:val="Komentarotema"/>
    <w:uiPriority w:val="49"/>
    <w:semiHidden/>
    <w:rsid w:val="006F2E71"/>
    <w:rPr>
      <w:b/>
      <w:bCs/>
      <w:lang w:eastAsia="en-US"/>
    </w:rPr>
  </w:style>
  <w:style w:type="paragraph" w:styleId="Pataisymai">
    <w:name w:val="Revision"/>
    <w:hidden/>
    <w:uiPriority w:val="99"/>
    <w:semiHidden/>
    <w:rsid w:val="006F2E71"/>
    <w:rPr>
      <w:sz w:val="22"/>
      <w:lang w:eastAsia="en-US"/>
    </w:rPr>
  </w:style>
  <w:style w:type="paragraph" w:styleId="Sraopastraipa">
    <w:name w:val="List Paragraph"/>
    <w:basedOn w:val="prastasis"/>
    <w:uiPriority w:val="49"/>
    <w:locked/>
    <w:rsid w:val="004C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5.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F175437C-6591-4A86-863B-E877384D4D6A}">
  <ds:schemaRefs>
    <ds:schemaRef ds:uri="http://schemas.openxmlformats.org/officeDocument/2006/bibliography"/>
  </ds:schemaRefs>
</ds:datastoreItem>
</file>

<file path=customXml/itemProps5.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4</TotalTime>
  <Pages>8</Pages>
  <Words>12724</Words>
  <Characters>7253</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Audrius</cp:lastModifiedBy>
  <cp:revision>3</cp:revision>
  <cp:lastPrinted>2015-12-01T10:27:00Z</cp:lastPrinted>
  <dcterms:created xsi:type="dcterms:W3CDTF">2021-07-13T19:25:00Z</dcterms:created>
  <dcterms:modified xsi:type="dcterms:W3CDTF">2021-07-13T19:26:00Z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