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97FAF" w14:textId="77777777" w:rsidR="00293491" w:rsidRDefault="00293491" w:rsidP="00537496">
      <w:pPr>
        <w:pStyle w:val="Nagwek1"/>
      </w:pPr>
      <w:r w:rsidRPr="00293491">
        <w:t>Treatment of liquid radioactive waste containing organic substances</w:t>
      </w:r>
    </w:p>
    <w:p w14:paraId="433FE03F" w14:textId="77777777" w:rsidR="00802381" w:rsidRDefault="00802381" w:rsidP="00537496">
      <w:pPr>
        <w:pStyle w:val="Authornameandaffiliation"/>
      </w:pPr>
    </w:p>
    <w:p w14:paraId="33319F25" w14:textId="3D2DAC4C" w:rsidR="00293491" w:rsidRDefault="00293491" w:rsidP="00293491">
      <w:pPr>
        <w:pStyle w:val="Authornameandaffiliation"/>
      </w:pPr>
      <w:r>
        <w:t xml:space="preserve">A. MISKIEWICZ </w:t>
      </w:r>
    </w:p>
    <w:p w14:paraId="11B31973" w14:textId="77777777" w:rsidR="00293491" w:rsidRDefault="00293491" w:rsidP="00293491">
      <w:pPr>
        <w:pStyle w:val="Authornameandaffiliation"/>
      </w:pPr>
      <w:r>
        <w:t xml:space="preserve">Institute of Nuclear Chemistry and Technology </w:t>
      </w:r>
    </w:p>
    <w:p w14:paraId="1EE3FD70" w14:textId="77777777" w:rsidR="00293491" w:rsidRDefault="00293491" w:rsidP="00293491">
      <w:pPr>
        <w:pStyle w:val="Authornameandaffiliation"/>
      </w:pPr>
      <w:r>
        <w:t>Warsaw, Poland</w:t>
      </w:r>
    </w:p>
    <w:p w14:paraId="2B7E6F0E" w14:textId="41472A11" w:rsidR="00293491" w:rsidRDefault="00293491" w:rsidP="00293491">
      <w:pPr>
        <w:pStyle w:val="Authornameandaffiliation"/>
      </w:pPr>
      <w:r>
        <w:t>Email: a.miskiewicz@ichtj.waw.pl</w:t>
      </w:r>
    </w:p>
    <w:p w14:paraId="2C773CDC" w14:textId="77777777" w:rsidR="00293491" w:rsidRDefault="00293491" w:rsidP="00293491">
      <w:pPr>
        <w:pStyle w:val="Authornameandaffiliation"/>
      </w:pPr>
    </w:p>
    <w:p w14:paraId="7566966A" w14:textId="1AE39063" w:rsidR="00293491" w:rsidRPr="004A7072" w:rsidRDefault="00293491" w:rsidP="00293491">
      <w:pPr>
        <w:pStyle w:val="Authornameandaffiliation"/>
        <w:rPr>
          <w:lang w:val="pl-PL"/>
        </w:rPr>
      </w:pPr>
      <w:r w:rsidRPr="004A7072">
        <w:rPr>
          <w:lang w:val="pl-PL"/>
        </w:rPr>
        <w:t>K. KIEGIEL, I. HERDZIK-KONIECKO, L. FUKS, G. ZAKRZEWSKA-KOŁTUNIEWICZ</w:t>
      </w:r>
    </w:p>
    <w:p w14:paraId="1267D8B3" w14:textId="77777777" w:rsidR="00293491" w:rsidRDefault="00293491" w:rsidP="00293491">
      <w:pPr>
        <w:pStyle w:val="Authornameandaffiliation"/>
      </w:pPr>
      <w:r>
        <w:t xml:space="preserve">Institute of Nuclear Chemistry and Technology </w:t>
      </w:r>
    </w:p>
    <w:p w14:paraId="1AE4FD9C" w14:textId="77777777" w:rsidR="00293491" w:rsidRDefault="00293491" w:rsidP="00293491">
      <w:pPr>
        <w:pStyle w:val="Authornameandaffiliation"/>
      </w:pPr>
      <w:r>
        <w:t>Warsaw, Poland</w:t>
      </w:r>
    </w:p>
    <w:p w14:paraId="433FE044"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4917236" w14:textId="14238D49" w:rsidR="000F5F93" w:rsidRDefault="000F5F93" w:rsidP="000F5F93">
      <w:pPr>
        <w:pStyle w:val="Abstracttext"/>
      </w:pPr>
      <w:r>
        <w:t>Polish research laboratories and hospitals produce liquid organic waste among which are organic solvent waste and aqueous waste contaminated with organic pollutants (waste with high COD), sometimes containing long-lived alpha emitters that require different treatment pathways. The presence of organic substances affects further stages of radioactive waste processing and the safety of its final disposal. Therefore, it is advisable to render this admixtures harmless in an appropriate manner before the next stages of the treatment. The removal of organic compounds could be achie</w:t>
      </w:r>
      <w:r w:rsidR="00C7658D">
        <w:t xml:space="preserve">ved by </w:t>
      </w:r>
      <w:r w:rsidR="00586E40" w:rsidRPr="00586E40">
        <w:t>various methods, including</w:t>
      </w:r>
      <w:r w:rsidR="00586E40">
        <w:t xml:space="preserve"> </w:t>
      </w:r>
      <w:r w:rsidR="00C7658D">
        <w:t xml:space="preserve">sorption </w:t>
      </w:r>
      <w:r>
        <w:t>or a</w:t>
      </w:r>
      <w:r w:rsidR="00C7658D">
        <w:t>dvanced oxidation process</w:t>
      </w:r>
      <w:r>
        <w:t>.</w:t>
      </w:r>
      <w:r w:rsidR="004A7072">
        <w:t xml:space="preserve"> </w:t>
      </w:r>
      <w:r>
        <w:t xml:space="preserve">In </w:t>
      </w:r>
      <w:r w:rsidR="00C7658D">
        <w:t>the paper</w:t>
      </w:r>
      <w:r>
        <w:t xml:space="preserve"> three methods of removing organic compounds from the low-level liquid radioactive waste were </w:t>
      </w:r>
      <w:r w:rsidR="00CE7E4B">
        <w:t>considered</w:t>
      </w:r>
      <w:r>
        <w:t xml:space="preserve"> i) physical separation of organic compounds by</w:t>
      </w:r>
      <w:r w:rsidR="00047C67">
        <w:t xml:space="preserve"> adsorption</w:t>
      </w:r>
      <w:r>
        <w:t xml:space="preserve">; ii) chemical </w:t>
      </w:r>
      <w:r w:rsidR="00F954E6">
        <w:t xml:space="preserve">decomposition </w:t>
      </w:r>
      <w:r>
        <w:t xml:space="preserve">of organic compounds by ozonation </w:t>
      </w:r>
      <w:r w:rsidR="00F954E6">
        <w:t xml:space="preserve">process </w:t>
      </w:r>
      <w:r>
        <w:t>and iii) separation of organic substances from inorganic compounds (including radioisotopes) using a electromembrane</w:t>
      </w:r>
      <w:r w:rsidR="00E02AB5">
        <w:t xml:space="preserve"> process – electrodialysis (ED)</w:t>
      </w:r>
      <w:r w:rsidR="00C7658D">
        <w:t xml:space="preserve">. </w:t>
      </w:r>
      <w:r>
        <w:t>The research on the treatment of liquid radioactive waste was accompanied by development of analytical methods necessary for process control and characterization of the waste at each stage of processing. The main techniques of characterization of liquid waste streams was th</w:t>
      </w:r>
      <w:r w:rsidR="002F4F97">
        <w:t>e Gamma spectrometry</w:t>
      </w:r>
      <w:r>
        <w:t xml:space="preserve"> and Total Organic Carbon (TOC) </w:t>
      </w:r>
      <w:r w:rsidR="00F85715">
        <w:t>analysis</w:t>
      </w:r>
      <w:r>
        <w:t>.</w:t>
      </w:r>
    </w:p>
    <w:p w14:paraId="433FE04C" w14:textId="77777777" w:rsidR="00647F33" w:rsidRDefault="00F523CA" w:rsidP="00537496">
      <w:pPr>
        <w:pStyle w:val="Nagwek2"/>
        <w:numPr>
          <w:ilvl w:val="1"/>
          <w:numId w:val="10"/>
        </w:numPr>
      </w:pPr>
      <w:r>
        <w:t>INTRODUCTION</w:t>
      </w:r>
    </w:p>
    <w:p w14:paraId="05105A9F" w14:textId="064AC0AA" w:rsidR="00DC1259" w:rsidRDefault="00E13FA0" w:rsidP="00537496">
      <w:pPr>
        <w:pStyle w:val="Tekstpodstawowy"/>
      </w:pPr>
      <w:r w:rsidRPr="00E13FA0">
        <w:t xml:space="preserve">Low-level radioactive liquid wastes (LLWs) from industrial and medical applications typically contain short-lived radionuclides and </w:t>
      </w:r>
      <w:r>
        <w:t>sometimes</w:t>
      </w:r>
      <w:r w:rsidRPr="00E13FA0">
        <w:t xml:space="preserve"> trace concentrations of long-lived radionuclides. Such wastes may also include s</w:t>
      </w:r>
      <w:r>
        <w:t>ome</w:t>
      </w:r>
      <w:r w:rsidRPr="00E13FA0">
        <w:t xml:space="preserve"> amounts of </w:t>
      </w:r>
      <w:r>
        <w:t>organic substance</w:t>
      </w:r>
      <w:r w:rsidR="002F7AA8">
        <w:t>s</w:t>
      </w:r>
      <w:r>
        <w:t xml:space="preserve">: </w:t>
      </w:r>
      <w:r w:rsidRPr="00E13FA0">
        <w:t>spent acids and bases, analytical solutio</w:t>
      </w:r>
      <w:r>
        <w:t>ns, scintillation cocktails, de</w:t>
      </w:r>
      <w:r w:rsidRPr="00E13FA0">
        <w:t>conta</w:t>
      </w:r>
      <w:r w:rsidR="00176F22">
        <w:t>mination and cleaning solutions or waste oils</w:t>
      </w:r>
      <w:r w:rsidR="00DC1259">
        <w:t xml:space="preserve"> [1]</w:t>
      </w:r>
      <w:r w:rsidR="00176F22">
        <w:t>. Generally,</w:t>
      </w:r>
      <w:r w:rsidRPr="00E13FA0">
        <w:t xml:space="preserve"> </w:t>
      </w:r>
      <w:r w:rsidR="00DC1259" w:rsidRPr="00DC1259">
        <w:t>LLWs are very complex solutions and therefore require appropriate, sometimes specific, treatment. The presence of organic substances affects later stages of radioactive waste processing and the general safety of its final disposal. Therefore, it is advisable to separate such compounds before the next treatment stages.</w:t>
      </w:r>
    </w:p>
    <w:p w14:paraId="0CC14AAC" w14:textId="6492D2AB" w:rsidR="00DC1259" w:rsidRDefault="00E13FA0" w:rsidP="00537496">
      <w:pPr>
        <w:pStyle w:val="Tekstpodstawowy"/>
      </w:pPr>
      <w:r w:rsidRPr="00E13FA0">
        <w:t xml:space="preserve">Various methods have been employed for the treatment of </w:t>
      </w:r>
      <w:r w:rsidR="00047C67" w:rsidRPr="00047C67">
        <w:t>organic contaminated</w:t>
      </w:r>
      <w:r w:rsidR="00047C67">
        <w:t xml:space="preserve"> r</w:t>
      </w:r>
      <w:r w:rsidRPr="00E13FA0">
        <w:t>adioactive waste</w:t>
      </w:r>
      <w:r w:rsidR="00047C67">
        <w:t>, e.g.</w:t>
      </w:r>
      <w:r w:rsidRPr="00E13FA0">
        <w:t xml:space="preserve"> </w:t>
      </w:r>
      <w:r w:rsidR="000512A7" w:rsidRPr="000512A7">
        <w:t xml:space="preserve"> evaporation</w:t>
      </w:r>
      <w:r w:rsidR="000512A7">
        <w:t>,</w:t>
      </w:r>
      <w:r w:rsidR="000512A7" w:rsidRPr="000512A7">
        <w:t xml:space="preserve"> </w:t>
      </w:r>
      <w:r w:rsidR="004D5425">
        <w:t>adsorption</w:t>
      </w:r>
      <w:r w:rsidR="00922A06">
        <w:t xml:space="preserve">, </w:t>
      </w:r>
      <w:r w:rsidR="004D5425">
        <w:t xml:space="preserve">wet </w:t>
      </w:r>
      <w:r w:rsidR="000512A7">
        <w:t xml:space="preserve">or advanced </w:t>
      </w:r>
      <w:r w:rsidR="000512A7" w:rsidRPr="000512A7">
        <w:t>chemical oxidation</w:t>
      </w:r>
      <w:r w:rsidR="000512A7">
        <w:t>,</w:t>
      </w:r>
      <w:r w:rsidR="000512A7" w:rsidRPr="000512A7">
        <w:t xml:space="preserve"> </w:t>
      </w:r>
      <w:r w:rsidR="000512A7">
        <w:t>e</w:t>
      </w:r>
      <w:r w:rsidR="000512A7" w:rsidRPr="000512A7">
        <w:t xml:space="preserve">lectrochemical methods </w:t>
      </w:r>
      <w:r w:rsidR="000512A7">
        <w:t>etc.</w:t>
      </w:r>
      <w:r w:rsidRPr="00E13FA0">
        <w:t xml:space="preserve"> [2]. </w:t>
      </w:r>
      <w:r w:rsidR="004D5425">
        <w:t>Advanced oxidation processes are a class of treatment methods that include the use of ultraviolet light and such oxidants as H</w:t>
      </w:r>
      <w:r w:rsidR="004D5425" w:rsidRPr="004D5425">
        <w:rPr>
          <w:vertAlign w:val="subscript"/>
        </w:rPr>
        <w:t>2</w:t>
      </w:r>
      <w:r w:rsidR="004D5425">
        <w:t>O</w:t>
      </w:r>
      <w:r w:rsidR="004D5425" w:rsidRPr="004D5425">
        <w:rPr>
          <w:vertAlign w:val="subscript"/>
        </w:rPr>
        <w:t>2</w:t>
      </w:r>
      <w:r w:rsidR="004D5425">
        <w:t xml:space="preserve"> or O</w:t>
      </w:r>
      <w:r w:rsidR="004D5425" w:rsidRPr="004D5425">
        <w:rPr>
          <w:vertAlign w:val="subscript"/>
        </w:rPr>
        <w:t>3</w:t>
      </w:r>
      <w:r w:rsidR="004D5425">
        <w:t xml:space="preserve"> to destroy organic compounds, producing carbon dioxide and water. These techniques can be applied industrially to wastewaters containing small amounts of organic species [</w:t>
      </w:r>
      <w:r w:rsidR="00922A06">
        <w:t>3</w:t>
      </w:r>
      <w:r w:rsidR="004D5425" w:rsidRPr="00E869CA">
        <w:t>].</w:t>
      </w:r>
      <w:r w:rsidR="00656D99" w:rsidRPr="00E869CA">
        <w:t xml:space="preserve"> </w:t>
      </w:r>
      <w:r w:rsidR="00922A06" w:rsidRPr="00E869CA">
        <w:t xml:space="preserve">Physical separation of organic compounds by adsorption </w:t>
      </w:r>
      <w:r w:rsidR="001C71D2" w:rsidRPr="00E869CA">
        <w:t>is usually used for decontamination of radioactive liquid waste</w:t>
      </w:r>
      <w:r w:rsidR="00E869CA" w:rsidRPr="00E869CA">
        <w:t xml:space="preserve"> [4]..</w:t>
      </w:r>
      <w:r w:rsidR="001C71D2" w:rsidRPr="00E869CA">
        <w:t xml:space="preserve"> </w:t>
      </w:r>
      <w:r w:rsidR="00047C67" w:rsidRPr="00E869CA">
        <w:t xml:space="preserve">Many </w:t>
      </w:r>
      <w:r w:rsidR="00922A06" w:rsidRPr="00E869CA">
        <w:t>other methods</w:t>
      </w:r>
      <w:r w:rsidR="00047C67" w:rsidRPr="00E869CA">
        <w:t xml:space="preserve"> are </w:t>
      </w:r>
      <w:r w:rsidR="00922A06" w:rsidRPr="00E869CA">
        <w:t>considered</w:t>
      </w:r>
      <w:r w:rsidR="00922A06">
        <w:t xml:space="preserve"> as potential technique</w:t>
      </w:r>
      <w:r w:rsidR="00D87EB6">
        <w:t>s</w:t>
      </w:r>
      <w:r w:rsidR="00047C67">
        <w:t xml:space="preserve"> for separation of organic compounds form liquid radioactive waste, among others electrodialysis - </w:t>
      </w:r>
      <w:r w:rsidR="00CE7E4B">
        <w:t>one of the el</w:t>
      </w:r>
      <w:r w:rsidR="00047C67">
        <w:t>ectrochemical membrane process</w:t>
      </w:r>
      <w:r w:rsidR="00D87EB6">
        <w:t>es</w:t>
      </w:r>
      <w:r w:rsidR="00CE7E4B">
        <w:t>.</w:t>
      </w:r>
      <w:r w:rsidR="000512A7">
        <w:t xml:space="preserve"> </w:t>
      </w:r>
      <w:r w:rsidR="00DC1259">
        <w:t>T</w:t>
      </w:r>
      <w:r w:rsidR="00DC1259" w:rsidRPr="00DC1259">
        <w:t>here are reports that describe the application of ED in the nuclear field—namely, the separation of molybdenum, carbonate, and bicarbonate ions from liquid waste containing uranium in the uranium ore leaching process [</w:t>
      </w:r>
      <w:r w:rsidR="00922A06">
        <w:t>5</w:t>
      </w:r>
      <w:r w:rsidR="00DC1259" w:rsidRPr="00DC1259">
        <w:t xml:space="preserve">]. The results of these studies confirmed the high retention of carbonate ions and selective separation of molybdenum from uranium. Electrodialysis combined with diffusion dialysis was tested for the separation of </w:t>
      </w:r>
      <w:r w:rsidR="00DC1259" w:rsidRPr="00DC1259">
        <w:rPr>
          <w:vertAlign w:val="superscript"/>
        </w:rPr>
        <w:t>137</w:t>
      </w:r>
      <w:r w:rsidR="00DC1259" w:rsidRPr="00DC1259">
        <w:t xml:space="preserve">Cs and </w:t>
      </w:r>
      <w:r w:rsidR="00DC1259" w:rsidRPr="00DC1259">
        <w:rPr>
          <w:vertAlign w:val="superscript"/>
        </w:rPr>
        <w:t>90</w:t>
      </w:r>
      <w:r w:rsidR="00DC1259" w:rsidRPr="00DC1259">
        <w:t>Sr from concentrated nitric acid solutions [</w:t>
      </w:r>
      <w:r w:rsidR="00922A06">
        <w:t>6</w:t>
      </w:r>
      <w:r w:rsidR="00265C4F">
        <w:t>]</w:t>
      </w:r>
      <w:r w:rsidR="00DC1259" w:rsidRPr="00DC1259">
        <w:t>.</w:t>
      </w:r>
    </w:p>
    <w:p w14:paraId="5926761B" w14:textId="5E36A9A0" w:rsidR="00922A06" w:rsidRDefault="00922A06" w:rsidP="00537496">
      <w:pPr>
        <w:pStyle w:val="Tekstpodstawowy"/>
      </w:pPr>
      <w:r>
        <w:t>In the paper the possibility of the organic compounds removal from the low-level liquid radioactive waste was evaluated. For this purpose three different methods were considered: adsorption</w:t>
      </w:r>
      <w:r w:rsidR="00D87EB6">
        <w:t xml:space="preserve">, </w:t>
      </w:r>
      <w:r>
        <w:t>ozonation and electrodialysis (ED).</w:t>
      </w:r>
    </w:p>
    <w:p w14:paraId="433FE04F" w14:textId="6AA7AC9E" w:rsidR="00E25B68" w:rsidRDefault="0064617F" w:rsidP="0026525A">
      <w:pPr>
        <w:pStyle w:val="Nagwek2"/>
        <w:numPr>
          <w:ilvl w:val="1"/>
          <w:numId w:val="10"/>
        </w:numPr>
      </w:pPr>
      <w:r>
        <w:t>materials and m</w:t>
      </w:r>
      <w:r w:rsidR="004D79A8">
        <w:t>ethods</w:t>
      </w:r>
    </w:p>
    <w:p w14:paraId="4D446F85" w14:textId="635454EF" w:rsidR="002F4F97" w:rsidRDefault="002F4F97" w:rsidP="002F4F97">
      <w:pPr>
        <w:pStyle w:val="Tekstpodstawowy"/>
      </w:pPr>
      <w:r w:rsidRPr="00BF6324">
        <w:lastRenderedPageBreak/>
        <w:t xml:space="preserve">In the experimental work, model solutions prepared on the basis of the composition of </w:t>
      </w:r>
      <w:r w:rsidR="001E75AC">
        <w:t xml:space="preserve">typical </w:t>
      </w:r>
      <w:r w:rsidRPr="00BF6324">
        <w:t xml:space="preserve">liquid low-level waste collected and processed by the RWMP </w:t>
      </w:r>
      <w:r w:rsidR="001D222D">
        <w:t xml:space="preserve">(Świerk, Poland) </w:t>
      </w:r>
      <w:r w:rsidRPr="00BF6324">
        <w:t>were used</w:t>
      </w:r>
      <w:r w:rsidR="008D2874">
        <w:t xml:space="preserve"> (Table 1)</w:t>
      </w:r>
      <w:r w:rsidRPr="00BF6324">
        <w:t>. The main radioactive components of this waste were</w:t>
      </w:r>
      <w:r w:rsidR="001D222D">
        <w:t>:</w:t>
      </w:r>
      <w:r w:rsidRPr="00BF6324">
        <w:t xml:space="preserve"> </w:t>
      </w:r>
      <w:r>
        <w:rPr>
          <w:vertAlign w:val="superscript"/>
        </w:rPr>
        <w:t>137</w:t>
      </w:r>
      <w:r w:rsidRPr="00BF6324">
        <w:t xml:space="preserve">Cs, </w:t>
      </w:r>
      <w:r>
        <w:rPr>
          <w:vertAlign w:val="superscript"/>
        </w:rPr>
        <w:t>134</w:t>
      </w:r>
      <w:r>
        <w:t xml:space="preserve">Cs and </w:t>
      </w:r>
      <w:r>
        <w:rPr>
          <w:vertAlign w:val="superscript"/>
        </w:rPr>
        <w:t>60</w:t>
      </w:r>
      <w:r w:rsidRPr="00BF6324">
        <w:t>Co</w:t>
      </w:r>
      <w:r>
        <w:t xml:space="preserve">.  </w:t>
      </w:r>
      <w:r w:rsidRPr="00BF6324">
        <w:t xml:space="preserve">Furthermore, they contain a certain amount of </w:t>
      </w:r>
      <w:r>
        <w:rPr>
          <w:vertAlign w:val="superscript"/>
        </w:rPr>
        <w:t>51</w:t>
      </w:r>
      <w:r>
        <w:t xml:space="preserve">Cr, </w:t>
      </w:r>
      <w:r>
        <w:rPr>
          <w:vertAlign w:val="superscript"/>
        </w:rPr>
        <w:t>106</w:t>
      </w:r>
      <w:r>
        <w:t>Ru,</w:t>
      </w:r>
      <w:r w:rsidRPr="00BF6324">
        <w:t xml:space="preserve"> </w:t>
      </w:r>
      <w:r>
        <w:rPr>
          <w:vertAlign w:val="superscript"/>
        </w:rPr>
        <w:t>125</w:t>
      </w:r>
      <w:r>
        <w:t>Sb</w:t>
      </w:r>
      <w:r w:rsidRPr="00BF6324">
        <w:t xml:space="preserve"> and </w:t>
      </w:r>
      <w:r w:rsidR="00B618F4" w:rsidRPr="00B618F4">
        <w:rPr>
          <w:vertAlign w:val="superscript"/>
        </w:rPr>
        <w:t>235</w:t>
      </w:r>
      <w:r w:rsidRPr="00BF6324">
        <w:t>U.</w:t>
      </w:r>
      <w:r w:rsidRPr="00647845">
        <w:t xml:space="preserve"> This waste was quite saline as </w:t>
      </w:r>
      <w:r w:rsidR="001E75AC">
        <w:t xml:space="preserve">was </w:t>
      </w:r>
      <w:r w:rsidRPr="00647845">
        <w:t>shown</w:t>
      </w:r>
      <w:r w:rsidR="00A55C70">
        <w:t xml:space="preserve"> by the TDS value of 2 to 4.3</w:t>
      </w:r>
      <w:r>
        <w:t xml:space="preserve"> g/</w:t>
      </w:r>
      <w:r w:rsidRPr="00647845">
        <w:t>L. The content of organic compounds in the waste, measured as T</w:t>
      </w:r>
      <w:r>
        <w:t xml:space="preserve">otal </w:t>
      </w:r>
      <w:r w:rsidRPr="00647845">
        <w:t>O</w:t>
      </w:r>
      <w:r>
        <w:t xml:space="preserve">rganic </w:t>
      </w:r>
      <w:r w:rsidRPr="00647845">
        <w:t>C</w:t>
      </w:r>
      <w:r>
        <w:t>arbon (TOC</w:t>
      </w:r>
      <w:r w:rsidR="001D222D">
        <w:t xml:space="preserve">) concentration, ranged from 15 to </w:t>
      </w:r>
      <w:r>
        <w:t>75 mg/</w:t>
      </w:r>
      <w:r w:rsidRPr="00647845">
        <w:t>L.</w:t>
      </w:r>
    </w:p>
    <w:p w14:paraId="02AA5815" w14:textId="77777777" w:rsidR="00A55C70" w:rsidRDefault="00A55C70" w:rsidP="002F4F97">
      <w:pPr>
        <w:pStyle w:val="Tekstpodstawowy"/>
      </w:pPr>
    </w:p>
    <w:p w14:paraId="7EC2044E" w14:textId="2C6F1392" w:rsidR="00A55C70" w:rsidRDefault="00A55C70" w:rsidP="00A55C70">
      <w:pPr>
        <w:pStyle w:val="Tekstpodstawowy"/>
        <w:ind w:firstLine="0"/>
      </w:pPr>
      <w:r>
        <w:t>TABLE 1.</w:t>
      </w:r>
      <w:r>
        <w:tab/>
      </w:r>
      <w:r w:rsidR="008D2874">
        <w:rPr>
          <w:rStyle w:val="jlqj4b"/>
          <w:lang w:val="en"/>
        </w:rPr>
        <w:t>GENERAL CHARACTERISTICS OF THE SAMPLES SUBJECTED TO TREATMENT.</w:t>
      </w:r>
    </w:p>
    <w:p w14:paraId="742C30C0" w14:textId="77777777" w:rsidR="00A55C70" w:rsidRDefault="00A55C70" w:rsidP="00A55C70">
      <w:pPr>
        <w:pStyle w:val="Tekstpodstawowy"/>
      </w:pPr>
    </w:p>
    <w:tbl>
      <w:tblPr>
        <w:tblStyle w:val="Tabela-Siatk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1276"/>
        <w:gridCol w:w="1613"/>
        <w:gridCol w:w="1506"/>
      </w:tblGrid>
      <w:tr w:rsidR="00A55C70" w14:paraId="2E99D4CE" w14:textId="5E7045F7" w:rsidTr="00A55C70">
        <w:trPr>
          <w:jc w:val="center"/>
        </w:trPr>
        <w:tc>
          <w:tcPr>
            <w:tcW w:w="3359" w:type="dxa"/>
            <w:tcBorders>
              <w:top w:val="single" w:sz="4" w:space="0" w:color="auto"/>
              <w:bottom w:val="single" w:sz="4" w:space="0" w:color="auto"/>
            </w:tcBorders>
          </w:tcPr>
          <w:p w14:paraId="5E571EDF" w14:textId="7ABDFAC3" w:rsidR="00A55C70" w:rsidRDefault="00A55C70" w:rsidP="001B3AA3">
            <w:pPr>
              <w:pStyle w:val="Tekstpodstawowy"/>
              <w:ind w:firstLine="0"/>
            </w:pPr>
          </w:p>
        </w:tc>
        <w:tc>
          <w:tcPr>
            <w:tcW w:w="1276" w:type="dxa"/>
            <w:tcBorders>
              <w:top w:val="single" w:sz="4" w:space="0" w:color="auto"/>
              <w:bottom w:val="single" w:sz="4" w:space="0" w:color="auto"/>
            </w:tcBorders>
          </w:tcPr>
          <w:p w14:paraId="4F484B38" w14:textId="59B5D4B4" w:rsidR="00A55C70" w:rsidRDefault="00A55C70" w:rsidP="001B3AA3">
            <w:pPr>
              <w:pStyle w:val="Tekstpodstawowy"/>
              <w:ind w:firstLine="0"/>
              <w:jc w:val="center"/>
            </w:pPr>
            <w:r>
              <w:t>Sample No 1</w:t>
            </w:r>
          </w:p>
        </w:tc>
        <w:tc>
          <w:tcPr>
            <w:tcW w:w="1613" w:type="dxa"/>
            <w:tcBorders>
              <w:top w:val="single" w:sz="4" w:space="0" w:color="auto"/>
              <w:bottom w:val="single" w:sz="4" w:space="0" w:color="auto"/>
            </w:tcBorders>
          </w:tcPr>
          <w:p w14:paraId="237A8700" w14:textId="77DAFB91" w:rsidR="00A55C70" w:rsidRDefault="00A55C70" w:rsidP="001B3AA3">
            <w:pPr>
              <w:pStyle w:val="Tekstpodstawowy"/>
              <w:ind w:firstLine="0"/>
              <w:jc w:val="center"/>
            </w:pPr>
            <w:r>
              <w:t>Sample No 2</w:t>
            </w:r>
          </w:p>
        </w:tc>
        <w:tc>
          <w:tcPr>
            <w:tcW w:w="1506" w:type="dxa"/>
            <w:tcBorders>
              <w:top w:val="single" w:sz="4" w:space="0" w:color="auto"/>
              <w:bottom w:val="single" w:sz="4" w:space="0" w:color="auto"/>
            </w:tcBorders>
          </w:tcPr>
          <w:p w14:paraId="143908CC" w14:textId="0895ED51" w:rsidR="00A55C70" w:rsidRDefault="00A55C70" w:rsidP="001B3AA3">
            <w:pPr>
              <w:pStyle w:val="Tekstpodstawowy"/>
              <w:ind w:firstLine="0"/>
              <w:jc w:val="center"/>
            </w:pPr>
            <w:r>
              <w:t>Sample No 3</w:t>
            </w:r>
          </w:p>
        </w:tc>
      </w:tr>
      <w:tr w:rsidR="00A55C70" w14:paraId="3AF69A43" w14:textId="6B133B72" w:rsidTr="00A55C70">
        <w:trPr>
          <w:jc w:val="center"/>
        </w:trPr>
        <w:tc>
          <w:tcPr>
            <w:tcW w:w="3359" w:type="dxa"/>
            <w:tcBorders>
              <w:top w:val="single" w:sz="4" w:space="0" w:color="auto"/>
            </w:tcBorders>
          </w:tcPr>
          <w:p w14:paraId="5E85B974" w14:textId="654E6E77" w:rsidR="00A55C70" w:rsidRDefault="00A55C70" w:rsidP="001B3AA3">
            <w:pPr>
              <w:pStyle w:val="Tekstpodstawowy"/>
              <w:ind w:firstLine="0"/>
            </w:pPr>
            <w:r>
              <w:rPr>
                <w:rStyle w:val="TabletextChar"/>
              </w:rPr>
              <w:t>TOC, mg/L</w:t>
            </w:r>
          </w:p>
        </w:tc>
        <w:tc>
          <w:tcPr>
            <w:tcW w:w="1276" w:type="dxa"/>
            <w:tcBorders>
              <w:top w:val="single" w:sz="4" w:space="0" w:color="auto"/>
            </w:tcBorders>
          </w:tcPr>
          <w:p w14:paraId="4B287015" w14:textId="08AB81B0" w:rsidR="00A55C70" w:rsidRDefault="00A55C70" w:rsidP="001B3AA3">
            <w:pPr>
              <w:pStyle w:val="Tekstpodstawowy"/>
              <w:ind w:firstLine="0"/>
              <w:jc w:val="center"/>
            </w:pPr>
            <w:r>
              <w:t>15</w:t>
            </w:r>
          </w:p>
        </w:tc>
        <w:tc>
          <w:tcPr>
            <w:tcW w:w="1613" w:type="dxa"/>
            <w:tcBorders>
              <w:top w:val="single" w:sz="4" w:space="0" w:color="auto"/>
            </w:tcBorders>
          </w:tcPr>
          <w:p w14:paraId="6960A068" w14:textId="6FAFD391" w:rsidR="00A55C70" w:rsidRDefault="00A55C70" w:rsidP="001B3AA3">
            <w:pPr>
              <w:pStyle w:val="Tekstpodstawowy"/>
              <w:ind w:firstLine="0"/>
              <w:jc w:val="center"/>
            </w:pPr>
            <w:r>
              <w:t>55</w:t>
            </w:r>
          </w:p>
        </w:tc>
        <w:tc>
          <w:tcPr>
            <w:tcW w:w="1506" w:type="dxa"/>
            <w:tcBorders>
              <w:top w:val="single" w:sz="4" w:space="0" w:color="auto"/>
            </w:tcBorders>
          </w:tcPr>
          <w:p w14:paraId="5BDC6D3D" w14:textId="4754591D" w:rsidR="00A55C70" w:rsidRDefault="00A55C70" w:rsidP="001B3AA3">
            <w:pPr>
              <w:pStyle w:val="Tekstpodstawowy"/>
              <w:ind w:firstLine="0"/>
              <w:jc w:val="center"/>
            </w:pPr>
            <w:r>
              <w:t>75</w:t>
            </w:r>
          </w:p>
        </w:tc>
      </w:tr>
      <w:tr w:rsidR="00A55C70" w14:paraId="4FFFFEE7" w14:textId="32579B7F" w:rsidTr="00A55C70">
        <w:trPr>
          <w:jc w:val="center"/>
        </w:trPr>
        <w:tc>
          <w:tcPr>
            <w:tcW w:w="3359" w:type="dxa"/>
          </w:tcPr>
          <w:p w14:paraId="2188C612" w14:textId="28CD1AF6" w:rsidR="00A55C70" w:rsidRDefault="00A55C70" w:rsidP="001B3AA3">
            <w:pPr>
              <w:pStyle w:val="Tekstpodstawowy"/>
              <w:ind w:firstLine="0"/>
            </w:pPr>
            <w:r>
              <w:t>TDS, g/L</w:t>
            </w:r>
          </w:p>
        </w:tc>
        <w:tc>
          <w:tcPr>
            <w:tcW w:w="1276" w:type="dxa"/>
          </w:tcPr>
          <w:p w14:paraId="17237031" w14:textId="0F988EC3" w:rsidR="00A55C70" w:rsidRDefault="00A55C70" w:rsidP="001B3AA3">
            <w:pPr>
              <w:pStyle w:val="Tekstpodstawowy"/>
              <w:ind w:firstLine="0"/>
              <w:jc w:val="center"/>
            </w:pPr>
            <w:r>
              <w:t>3.9</w:t>
            </w:r>
          </w:p>
        </w:tc>
        <w:tc>
          <w:tcPr>
            <w:tcW w:w="1613" w:type="dxa"/>
          </w:tcPr>
          <w:p w14:paraId="4593BE80" w14:textId="0666132B" w:rsidR="00A55C70" w:rsidRDefault="00A55C70" w:rsidP="001B3AA3">
            <w:pPr>
              <w:pStyle w:val="Tekstpodstawowy"/>
              <w:ind w:firstLine="0"/>
              <w:jc w:val="center"/>
            </w:pPr>
            <w:r>
              <w:t>4.3</w:t>
            </w:r>
          </w:p>
        </w:tc>
        <w:tc>
          <w:tcPr>
            <w:tcW w:w="1506" w:type="dxa"/>
          </w:tcPr>
          <w:p w14:paraId="65F524E9" w14:textId="14FA03DC" w:rsidR="00A55C70" w:rsidRDefault="00A55C70" w:rsidP="001B3AA3">
            <w:pPr>
              <w:pStyle w:val="Tekstpodstawowy"/>
              <w:ind w:firstLine="0"/>
              <w:jc w:val="center"/>
            </w:pPr>
            <w:r>
              <w:t>2.1</w:t>
            </w:r>
          </w:p>
        </w:tc>
      </w:tr>
      <w:tr w:rsidR="00A55C70" w14:paraId="62FAEC41" w14:textId="77777777" w:rsidTr="00A55C70">
        <w:trPr>
          <w:jc w:val="center"/>
        </w:trPr>
        <w:tc>
          <w:tcPr>
            <w:tcW w:w="3359" w:type="dxa"/>
          </w:tcPr>
          <w:p w14:paraId="6DF06D10" w14:textId="614C2B54" w:rsidR="00A55C70" w:rsidRDefault="00A55C70" w:rsidP="001B3AA3">
            <w:pPr>
              <w:pStyle w:val="Tekstpodstawowy"/>
              <w:ind w:firstLine="0"/>
            </w:pPr>
            <w:r>
              <w:t>Sum of gamma radioactivity</w:t>
            </w:r>
            <w:r w:rsidR="00C67871">
              <w:t>,</w:t>
            </w:r>
            <w:r>
              <w:t xml:space="preserve"> Bq/L</w:t>
            </w:r>
          </w:p>
        </w:tc>
        <w:tc>
          <w:tcPr>
            <w:tcW w:w="1276" w:type="dxa"/>
          </w:tcPr>
          <w:p w14:paraId="3B94EBAF" w14:textId="76CAB3C3" w:rsidR="00A55C70" w:rsidRDefault="00A55C70" w:rsidP="001B3AA3">
            <w:pPr>
              <w:pStyle w:val="Tekstpodstawowy"/>
              <w:ind w:firstLine="0"/>
              <w:jc w:val="center"/>
            </w:pPr>
            <w:r>
              <w:t>1190</w:t>
            </w:r>
          </w:p>
        </w:tc>
        <w:tc>
          <w:tcPr>
            <w:tcW w:w="1613" w:type="dxa"/>
          </w:tcPr>
          <w:p w14:paraId="5B226F91" w14:textId="3CA3A708" w:rsidR="00A55C70" w:rsidRDefault="00A55C70" w:rsidP="001B3AA3">
            <w:pPr>
              <w:pStyle w:val="Tekstpodstawowy"/>
              <w:ind w:firstLine="0"/>
              <w:jc w:val="center"/>
            </w:pPr>
            <w:r>
              <w:t>1210</w:t>
            </w:r>
          </w:p>
        </w:tc>
        <w:tc>
          <w:tcPr>
            <w:tcW w:w="1506" w:type="dxa"/>
          </w:tcPr>
          <w:p w14:paraId="531EE318" w14:textId="35682055" w:rsidR="00A55C70" w:rsidRDefault="00A55C70" w:rsidP="001B3AA3">
            <w:pPr>
              <w:pStyle w:val="Tekstpodstawowy"/>
              <w:ind w:firstLine="0"/>
              <w:jc w:val="center"/>
            </w:pPr>
            <w:r>
              <w:t>500</w:t>
            </w:r>
          </w:p>
        </w:tc>
      </w:tr>
    </w:tbl>
    <w:p w14:paraId="5C01D4A0" w14:textId="77777777" w:rsidR="00A55C70" w:rsidRDefault="00A55C70" w:rsidP="002F4F97">
      <w:pPr>
        <w:pStyle w:val="Tekstpodstawowy"/>
      </w:pPr>
    </w:p>
    <w:p w14:paraId="6ECDC5E9" w14:textId="4DFEBB9E" w:rsidR="00990BB6" w:rsidRDefault="00656D99" w:rsidP="00990BB6">
      <w:pPr>
        <w:pStyle w:val="Tekstpodstawowy"/>
      </w:pPr>
      <w:r>
        <w:t xml:space="preserve">In the </w:t>
      </w:r>
      <w:r w:rsidR="002F4F97">
        <w:t xml:space="preserve">adsorption </w:t>
      </w:r>
      <w:r>
        <w:t>studie</w:t>
      </w:r>
      <w:r w:rsidR="00E869CA">
        <w:t>s, commercially available activated</w:t>
      </w:r>
      <w:r>
        <w:t xml:space="preserve"> carbon: Impex BAK 40 was used. </w:t>
      </w:r>
      <w:r w:rsidR="00E869CA">
        <w:t>The activated</w:t>
      </w:r>
      <w:r w:rsidR="000067EB" w:rsidRPr="000067EB">
        <w:t xml:space="preserve"> carbon was placed </w:t>
      </w:r>
      <w:r w:rsidR="001E75AC">
        <w:t>in</w:t>
      </w:r>
      <w:r w:rsidR="001E75AC" w:rsidRPr="000067EB">
        <w:t xml:space="preserve"> </w:t>
      </w:r>
      <w:r w:rsidR="000067EB" w:rsidRPr="000067EB">
        <w:t xml:space="preserve">a chromatography column with a frit </w:t>
      </w:r>
      <w:r w:rsidR="000067EB">
        <w:t xml:space="preserve">(Fig. 1a) </w:t>
      </w:r>
      <w:r w:rsidR="000067EB" w:rsidRPr="000067EB">
        <w:t>and treatment of radioactive wastewater samples was carried out on the bed prepared in this way.</w:t>
      </w:r>
      <w:r w:rsidR="000067EB">
        <w:t xml:space="preserve"> </w:t>
      </w:r>
      <w:r>
        <w:t>In the ozonation process a DST 30 ozone generator was used</w:t>
      </w:r>
      <w:r w:rsidR="00990BB6">
        <w:t xml:space="preserve">. </w:t>
      </w:r>
      <w:r>
        <w:t>The source of oxygen was the oxygen concentrator. The flow rate of gas during the process was equal to 2 dm</w:t>
      </w:r>
      <w:r w:rsidRPr="00D0495A">
        <w:rPr>
          <w:vertAlign w:val="superscript"/>
        </w:rPr>
        <w:t>3</w:t>
      </w:r>
      <w:r>
        <w:t>/min.</w:t>
      </w:r>
      <w:r w:rsidRPr="00E13FA0">
        <w:t xml:space="preserve"> </w:t>
      </w:r>
      <w:r w:rsidR="00990BB6" w:rsidRPr="00990BB6">
        <w:t>The ozona</w:t>
      </w:r>
      <w:r w:rsidR="00990BB6">
        <w:t>tion system is shown in Fig. 1</w:t>
      </w:r>
      <w:r w:rsidR="000067EB">
        <w:t>b</w:t>
      </w:r>
      <w:r w:rsidR="00990BB6">
        <w:t>.</w:t>
      </w:r>
    </w:p>
    <w:p w14:paraId="5E1F6398" w14:textId="77777777" w:rsidR="000067EB" w:rsidRDefault="000067EB" w:rsidP="00990BB6">
      <w:pPr>
        <w:pStyle w:val="Tekstpodstawowy"/>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8"/>
        <w:gridCol w:w="6269"/>
      </w:tblGrid>
      <w:tr w:rsidR="000067EB" w14:paraId="2D898BFB" w14:textId="77777777" w:rsidTr="000067EB">
        <w:tc>
          <w:tcPr>
            <w:tcW w:w="2943" w:type="dxa"/>
          </w:tcPr>
          <w:p w14:paraId="1E138A7F" w14:textId="1180F1E2" w:rsidR="000067EB" w:rsidRDefault="000067EB" w:rsidP="00990BB6">
            <w:pPr>
              <w:pStyle w:val="Tekstpodstawowy"/>
              <w:ind w:firstLine="0"/>
            </w:pPr>
            <w:r>
              <w:t>a)</w:t>
            </w:r>
          </w:p>
        </w:tc>
        <w:tc>
          <w:tcPr>
            <w:tcW w:w="6300" w:type="dxa"/>
          </w:tcPr>
          <w:p w14:paraId="6EB4EA33" w14:textId="1ACC16DD" w:rsidR="000067EB" w:rsidRDefault="000067EB" w:rsidP="00990BB6">
            <w:pPr>
              <w:pStyle w:val="Tekstpodstawowy"/>
              <w:ind w:firstLine="0"/>
            </w:pPr>
            <w:r>
              <w:t>b)</w:t>
            </w:r>
          </w:p>
        </w:tc>
      </w:tr>
      <w:tr w:rsidR="000067EB" w14:paraId="376190A6" w14:textId="77777777" w:rsidTr="000067EB">
        <w:tc>
          <w:tcPr>
            <w:tcW w:w="2943" w:type="dxa"/>
          </w:tcPr>
          <w:p w14:paraId="10CBF3EE" w14:textId="6BABA402" w:rsidR="000067EB" w:rsidRDefault="000067EB" w:rsidP="00990BB6">
            <w:pPr>
              <w:pStyle w:val="Tekstpodstawowy"/>
              <w:ind w:firstLine="0"/>
            </w:pPr>
            <w:r>
              <w:rPr>
                <w:noProof/>
                <w:lang w:val="pl-PL" w:eastAsia="pl-PL"/>
              </w:rPr>
              <w:drawing>
                <wp:inline distT="0" distB="0" distL="0" distR="0" wp14:anchorId="32BFD8FD" wp14:editId="7339BD96">
                  <wp:extent cx="1663700" cy="2241550"/>
                  <wp:effectExtent l="0" t="0" r="0" b="6350"/>
                  <wp:docPr id="6" name="Obraz 6" descr="C:\Users\a.miskiewicz\AppData\Local\Microsoft\Windows\Temporary Internet Files\Content.Word\IMG_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skiewicz\AppData\Local\Microsoft\Windows\Temporary Internet Files\Content.Word\IMG_67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604" cy="2245463"/>
                          </a:xfrm>
                          <a:prstGeom prst="rect">
                            <a:avLst/>
                          </a:prstGeom>
                          <a:noFill/>
                          <a:ln>
                            <a:noFill/>
                          </a:ln>
                        </pic:spPr>
                      </pic:pic>
                    </a:graphicData>
                  </a:graphic>
                </wp:inline>
              </w:drawing>
            </w:r>
          </w:p>
        </w:tc>
        <w:tc>
          <w:tcPr>
            <w:tcW w:w="6300" w:type="dxa"/>
          </w:tcPr>
          <w:p w14:paraId="7B599978" w14:textId="43245D48" w:rsidR="000067EB" w:rsidRDefault="000067EB" w:rsidP="00990BB6">
            <w:pPr>
              <w:pStyle w:val="Tekstpodstawowy"/>
              <w:ind w:firstLine="0"/>
            </w:pPr>
            <w:r>
              <w:rPr>
                <w:noProof/>
                <w:lang w:val="pl-PL" w:eastAsia="pl-PL"/>
              </w:rPr>
              <w:drawing>
                <wp:inline distT="0" distB="0" distL="0" distR="0" wp14:anchorId="651B710A" wp14:editId="47A1492C">
                  <wp:extent cx="3957515" cy="2241550"/>
                  <wp:effectExtent l="0" t="0" r="5080" b="6350"/>
                  <wp:docPr id="3" name="Obraz 3" descr="G:\Zdjęcia aparatury\NF, jonity, TOC, RO,alfa\IMG_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djęcia aparatury\NF, jonity, TOC, RO,alfa\IMG_67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705" cy="2243357"/>
                          </a:xfrm>
                          <a:prstGeom prst="rect">
                            <a:avLst/>
                          </a:prstGeom>
                          <a:noFill/>
                          <a:ln>
                            <a:noFill/>
                          </a:ln>
                        </pic:spPr>
                      </pic:pic>
                    </a:graphicData>
                  </a:graphic>
                </wp:inline>
              </w:drawing>
            </w:r>
          </w:p>
        </w:tc>
      </w:tr>
    </w:tbl>
    <w:p w14:paraId="2042A6BD" w14:textId="699A3C02" w:rsidR="00990BB6" w:rsidRPr="00802381" w:rsidRDefault="00990BB6" w:rsidP="00990BB6">
      <w:pPr>
        <w:pStyle w:val="Legenda"/>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r w:rsidRPr="00990BB6">
        <w:rPr>
          <w:i/>
        </w:rPr>
        <w:t xml:space="preserve">The </w:t>
      </w:r>
      <w:r w:rsidR="00C21264" w:rsidRPr="00C21264">
        <w:rPr>
          <w:i/>
        </w:rPr>
        <w:t>pictures of the system</w:t>
      </w:r>
      <w:r w:rsidR="001E75AC">
        <w:rPr>
          <w:i/>
        </w:rPr>
        <w:t>s</w:t>
      </w:r>
      <w:r w:rsidR="00C21264" w:rsidRPr="00C21264">
        <w:rPr>
          <w:i/>
        </w:rPr>
        <w:t xml:space="preserve"> for adsorption and ozonation </w:t>
      </w:r>
      <w:r>
        <w:rPr>
          <w:i/>
        </w:rPr>
        <w:t>used in experiments.</w:t>
      </w:r>
    </w:p>
    <w:p w14:paraId="2F5ABB05" w14:textId="77777777" w:rsidR="00990BB6" w:rsidRPr="00990BB6" w:rsidRDefault="00990BB6" w:rsidP="00E13FA0">
      <w:pPr>
        <w:pStyle w:val="Tekstpodstawowy"/>
        <w:rPr>
          <w:lang w:val="en-US"/>
        </w:rPr>
      </w:pPr>
    </w:p>
    <w:p w14:paraId="2B020A1A" w14:textId="70BED46F" w:rsidR="00CE2E1E" w:rsidRDefault="00CE2E1E" w:rsidP="00E13FA0">
      <w:pPr>
        <w:pStyle w:val="Tekstpodstawowy"/>
      </w:pPr>
      <w:r w:rsidRPr="00CE2E1E">
        <w:t xml:space="preserve">The experiments </w:t>
      </w:r>
      <w:r>
        <w:t xml:space="preserve">with electrodialysis process </w:t>
      </w:r>
      <w:r w:rsidRPr="00CE2E1E">
        <w:t>were conducted with the ED installation, BED 1-2 Compact (PCCell GmbH, Germany) equipped with an electrodialysis cell (</w:t>
      </w:r>
      <w:r w:rsidR="007A2F82">
        <w:t>Fig. 2</w:t>
      </w:r>
      <w:r>
        <w:t>).</w:t>
      </w:r>
      <w:r w:rsidR="00D0495A" w:rsidRPr="00D0495A">
        <w:t xml:space="preserve"> </w:t>
      </w:r>
    </w:p>
    <w:p w14:paraId="5B24E4A0" w14:textId="19866628" w:rsidR="007A2F82" w:rsidRDefault="007A2F82" w:rsidP="007A2F82">
      <w:pPr>
        <w:pStyle w:val="Tekstpodstawowy"/>
        <w:jc w:val="center"/>
      </w:pPr>
      <w:r>
        <w:rPr>
          <w:noProof/>
          <w:lang w:val="pl-PL" w:eastAsia="pl-PL"/>
        </w:rPr>
        <w:drawing>
          <wp:inline distT="0" distB="0" distL="0" distR="0" wp14:anchorId="2E6826FE" wp14:editId="2D832919">
            <wp:extent cx="3155950" cy="1879600"/>
            <wp:effectExtent l="0" t="0" r="6350" b="6350"/>
            <wp:docPr id="4" name="Obraz 4" descr="G:\STUDENCI\Studenci 2017\Elektrodializa-A.Nowak\Zdjęcia elektrodializera\ce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UDENCI\Studenci 2017\Elektrodializa-A.Nowak\Zdjęcia elektrodializera\cel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4691" cy="1878850"/>
                    </a:xfrm>
                    <a:prstGeom prst="rect">
                      <a:avLst/>
                    </a:prstGeom>
                    <a:noFill/>
                    <a:ln>
                      <a:noFill/>
                    </a:ln>
                  </pic:spPr>
                </pic:pic>
              </a:graphicData>
            </a:graphic>
          </wp:inline>
        </w:drawing>
      </w:r>
    </w:p>
    <w:p w14:paraId="3BC57B7C" w14:textId="6DC70C2F" w:rsidR="007A2F82" w:rsidRPr="00802381" w:rsidRDefault="007A2F82" w:rsidP="007A2F82">
      <w:pPr>
        <w:pStyle w:val="Legenda"/>
        <w:jc w:val="center"/>
        <w:rPr>
          <w:i/>
          <w:sz w:val="20"/>
        </w:rPr>
      </w:pPr>
      <w:r w:rsidRPr="00802381">
        <w:rPr>
          <w:i/>
        </w:rPr>
        <w:t xml:space="preserve">FIG. </w:t>
      </w:r>
      <w:r>
        <w:rPr>
          <w:i/>
        </w:rPr>
        <w:t xml:space="preserve">2. </w:t>
      </w:r>
      <w:r w:rsidRPr="00990BB6">
        <w:rPr>
          <w:i/>
        </w:rPr>
        <w:t xml:space="preserve">The </w:t>
      </w:r>
      <w:r w:rsidR="00C21264">
        <w:rPr>
          <w:i/>
        </w:rPr>
        <w:t xml:space="preserve">electrodialysis cell used </w:t>
      </w:r>
      <w:r>
        <w:rPr>
          <w:i/>
        </w:rPr>
        <w:t xml:space="preserve"> in experiments.</w:t>
      </w:r>
    </w:p>
    <w:p w14:paraId="1BCC7B87" w14:textId="77777777" w:rsidR="007A2F82" w:rsidRPr="007A2F82" w:rsidRDefault="007A2F82" w:rsidP="007A2F82">
      <w:pPr>
        <w:pStyle w:val="Tekstpodstawowy"/>
        <w:jc w:val="center"/>
        <w:rPr>
          <w:lang w:val="en-US"/>
        </w:rPr>
      </w:pPr>
    </w:p>
    <w:p w14:paraId="68208722" w14:textId="0F0C2D87" w:rsidR="009F6015" w:rsidRDefault="004D79A8" w:rsidP="009F6015">
      <w:pPr>
        <w:pStyle w:val="Tekstpodstawowy"/>
      </w:pPr>
      <w:r>
        <w:lastRenderedPageBreak/>
        <w:t>TOC analysis was performed by using the Analytik Jena AG multi N/C 3100 apparatus. The TOC content was determined using a carbon analyzer equipped with a Nondispersive Infrared Sensor – NDIR detector.</w:t>
      </w:r>
      <w:r w:rsidR="002F4F97">
        <w:t xml:space="preserve"> </w:t>
      </w:r>
      <w:r w:rsidR="009F6015" w:rsidRPr="009F6015">
        <w:t>Based on these measurements, the re</w:t>
      </w:r>
      <w:r w:rsidR="009F6015">
        <w:t>moval of organic substances</w:t>
      </w:r>
      <w:r w:rsidR="009F6015" w:rsidRPr="009F6015">
        <w:t xml:space="preserve"> (R) was calculated </w:t>
      </w:r>
      <w:r w:rsidR="009F6015">
        <w:t>according to equation:</w:t>
      </w:r>
    </w:p>
    <w:p w14:paraId="38397361" w14:textId="2A22FF13" w:rsidR="009F6015" w:rsidRDefault="009F6015" w:rsidP="009F6015">
      <w:pPr>
        <w:pStyle w:val="Tekstpodstawowy"/>
      </w:pPr>
      <m:oMathPara>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num>
            <m:den>
              <m:sSub>
                <m:sSubPr>
                  <m:ctrlPr>
                    <w:rPr>
                      <w:rFonts w:ascii="Cambria Math" w:hAnsi="Cambria Math"/>
                      <w:i/>
                    </w:rPr>
                  </m:ctrlPr>
                </m:sSubPr>
                <m:e>
                  <m:r>
                    <w:rPr>
                      <w:rFonts w:ascii="Cambria Math" w:hAnsi="Cambria Math"/>
                    </w:rPr>
                    <m:t>C</m:t>
                  </m:r>
                </m:e>
                <m:sub>
                  <m:r>
                    <w:rPr>
                      <w:rFonts w:ascii="Cambria Math" w:hAnsi="Cambria Math"/>
                    </w:rPr>
                    <m:t>0</m:t>
                  </m:r>
                </m:sub>
              </m:sSub>
            </m:den>
          </m:f>
          <m:r>
            <w:rPr>
              <w:rFonts w:ascii="Cambria Math" w:hAnsi="Cambria Math"/>
            </w:rPr>
            <m:t>×100%</m:t>
          </m:r>
        </m:oMath>
      </m:oMathPara>
    </w:p>
    <w:p w14:paraId="54570515" w14:textId="77777777" w:rsidR="00E869CA" w:rsidRDefault="00E869CA" w:rsidP="009F6015">
      <w:pPr>
        <w:pStyle w:val="Tekstpodstawowy"/>
        <w:ind w:firstLine="0"/>
      </w:pPr>
    </w:p>
    <w:p w14:paraId="4F454F81" w14:textId="0797FF7C" w:rsidR="009F6015" w:rsidRDefault="009F6015" w:rsidP="009F6015">
      <w:pPr>
        <w:pStyle w:val="Tekstpodstawowy"/>
        <w:ind w:firstLine="0"/>
      </w:pPr>
      <w:r>
        <w:t>where C</w:t>
      </w:r>
      <w:r w:rsidRPr="009F6015">
        <w:rPr>
          <w:vertAlign w:val="subscript"/>
        </w:rPr>
        <w:t>0</w:t>
      </w:r>
      <w:r>
        <w:t xml:space="preserve"> and C</w:t>
      </w:r>
      <w:r w:rsidRPr="009F6015">
        <w:rPr>
          <w:vertAlign w:val="subscript"/>
        </w:rPr>
        <w:t>f</w:t>
      </w:r>
      <w:r>
        <w:rPr>
          <w:vertAlign w:val="subscript"/>
        </w:rPr>
        <w:t xml:space="preserve"> </w:t>
      </w:r>
      <w:r>
        <w:t>are the initial and final concentrations of organic substances in the sample, respectively.</w:t>
      </w:r>
    </w:p>
    <w:p w14:paraId="640F0306" w14:textId="1F90DBFE" w:rsidR="004D79A8" w:rsidRDefault="00C444F9" w:rsidP="00BF45DD">
      <w:pPr>
        <w:pStyle w:val="Tekstpodstawowy"/>
      </w:pPr>
      <w:r>
        <w:t>T</w:t>
      </w:r>
      <w:r w:rsidRPr="00C444F9">
        <w:t xml:space="preserve">he conductivity of each sample was measured using a benchtop conductivity meter (Oakton pH/Con 510 Series, EUTECH Instruments). </w:t>
      </w:r>
      <w:r w:rsidR="00BF45DD" w:rsidRPr="00BF45DD">
        <w:t xml:space="preserve">The total concentrations of radionuclides in the samples were determined using a gamma counter (LG-1b type, INCT, Warsaw, Poland), while the concentrations of specific radionuclides were measured </w:t>
      </w:r>
      <w:r w:rsidR="00FA5974">
        <w:t>with</w:t>
      </w:r>
      <w:r w:rsidR="00FA5974" w:rsidRPr="00BF45DD">
        <w:t xml:space="preserve"> </w:t>
      </w:r>
      <w:r w:rsidR="00BF45DD" w:rsidRPr="00BF45DD">
        <w:t>an automatic gamma counter (PerkinElmer 2480 Wizard2©).</w:t>
      </w:r>
    </w:p>
    <w:p w14:paraId="433FE059" w14:textId="356839B8" w:rsidR="00F004EE" w:rsidRDefault="00D57843" w:rsidP="00537496">
      <w:pPr>
        <w:pStyle w:val="Nagwek2"/>
      </w:pPr>
      <w:r>
        <w:t>results and discussion</w:t>
      </w:r>
    </w:p>
    <w:p w14:paraId="677877FD" w14:textId="7BC87D1B" w:rsidR="00E9523B" w:rsidRDefault="006E5646" w:rsidP="00117C45">
      <w:pPr>
        <w:pStyle w:val="Tekstpodstawowy"/>
      </w:pPr>
      <w:r>
        <w:t>When</w:t>
      </w:r>
      <w:r w:rsidR="00E869CA">
        <w:t xml:space="preserve"> adsorption process </w:t>
      </w:r>
      <w:r w:rsidR="00455043">
        <w:t xml:space="preserve">with </w:t>
      </w:r>
      <w:r w:rsidR="00E869CA">
        <w:t>activate</w:t>
      </w:r>
      <w:r w:rsidR="00FA5974">
        <w:t>d</w:t>
      </w:r>
      <w:r>
        <w:t xml:space="preserve"> carbon was </w:t>
      </w:r>
      <w:r w:rsidR="00455043">
        <w:t xml:space="preserve">used </w:t>
      </w:r>
      <w:r>
        <w:t>as a method for organic compounds removal</w:t>
      </w:r>
      <w:r w:rsidR="0096226E">
        <w:t>,</w:t>
      </w:r>
      <w:r>
        <w:t xml:space="preserve"> a very promising results were achieved. As shown in Fig. 3. </w:t>
      </w:r>
      <w:r w:rsidR="00BF5F8E">
        <w:t>f</w:t>
      </w:r>
      <w:r>
        <w:t>or samples of TOC content in the range from 15 to 75 mg/L</w:t>
      </w:r>
      <w:r w:rsidR="00BF5F8E">
        <w:t>,</w:t>
      </w:r>
      <w:r>
        <w:t xml:space="preserve"> </w:t>
      </w:r>
      <w:r w:rsidR="00BF5F8E">
        <w:t>about</w:t>
      </w:r>
      <w:r w:rsidR="00BF5F8E" w:rsidRPr="00BF5F8E">
        <w:t xml:space="preserve"> 70% removal of organic compounds was achieved</w:t>
      </w:r>
      <w:r w:rsidR="00BF5F8E">
        <w:t xml:space="preserve">. </w:t>
      </w:r>
      <w:r w:rsidR="00BF5F8E" w:rsidRPr="00BF5F8E">
        <w:t xml:space="preserve"> The highest efficiency of the process was observed for the sample with the highest initial content of organic compounds</w:t>
      </w:r>
      <w:r w:rsidR="00BF5F8E">
        <w:t xml:space="preserve"> (R=73%)</w:t>
      </w:r>
      <w:r w:rsidR="00BF5F8E" w:rsidRPr="00BF5F8E">
        <w:t xml:space="preserve">,  while for the </w:t>
      </w:r>
      <w:r w:rsidR="00BF5F8E">
        <w:t>other</w:t>
      </w:r>
      <w:r w:rsidR="00BF5F8E" w:rsidRPr="00BF5F8E">
        <w:t xml:space="preserve"> two samples</w:t>
      </w:r>
      <w:r w:rsidR="00BF5F8E">
        <w:t>,</w:t>
      </w:r>
      <w:r w:rsidR="00BF5F8E" w:rsidRPr="00BF5F8E">
        <w:t xml:space="preserve"> the removal was at a similar level</w:t>
      </w:r>
      <w:r w:rsidR="00BF5F8E">
        <w:t xml:space="preserve"> (66% - 68%)</w:t>
      </w:r>
      <w:r w:rsidR="00BF5F8E" w:rsidRPr="00BF5F8E">
        <w:t>.</w:t>
      </w:r>
      <w:r w:rsidR="00117C45">
        <w:t xml:space="preserve"> </w:t>
      </w:r>
      <w:r w:rsidR="00117C45" w:rsidRPr="00117C45">
        <w:t>However, in the ozonation process,</w:t>
      </w:r>
      <w:r w:rsidR="002B509C" w:rsidRPr="00F065BD">
        <w:t xml:space="preserve"> </w:t>
      </w:r>
      <w:r w:rsidR="00117C45" w:rsidRPr="00F065BD">
        <w:t>the satisfactory results of organic compounds removal</w:t>
      </w:r>
      <w:r w:rsidR="00FF6C89" w:rsidRPr="00FF6C89">
        <w:t xml:space="preserve"> </w:t>
      </w:r>
      <w:r w:rsidR="00FF6C89" w:rsidRPr="00F065BD">
        <w:t>were not obtained</w:t>
      </w:r>
      <w:r w:rsidR="00117C45" w:rsidRPr="00117C45">
        <w:t>. Especially in the case of model wastewater samples with lower content of organic compounds. In this case, R was only 12</w:t>
      </w:r>
      <w:r w:rsidR="00117C45">
        <w:t>%</w:t>
      </w:r>
      <w:r w:rsidR="00117C45" w:rsidRPr="00117C45">
        <w:t xml:space="preserve"> and 22</w:t>
      </w:r>
      <w:r w:rsidR="00117C45">
        <w:t>%</w:t>
      </w:r>
      <w:r w:rsidR="00117C45" w:rsidRPr="00117C45">
        <w:t xml:space="preserve"> for samples with TOC concentrations of 15</w:t>
      </w:r>
      <w:r w:rsidR="00117C45">
        <w:t xml:space="preserve"> mg/L and 55 mg/</w:t>
      </w:r>
      <w:r w:rsidR="00117C45" w:rsidRPr="00117C45">
        <w:t>L, respectively.</w:t>
      </w:r>
      <w:r w:rsidR="00C67871">
        <w:t xml:space="preserve"> </w:t>
      </w:r>
      <w:r w:rsidR="00117C45">
        <w:t xml:space="preserve">Only for the sample containing the highest concentration of organic compounds </w:t>
      </w:r>
      <w:r w:rsidR="00117C45" w:rsidRPr="00117C45">
        <w:t>a satisfactory removal of</w:t>
      </w:r>
      <w:r w:rsidR="00FF6C89">
        <w:t xml:space="preserve"> </w:t>
      </w:r>
      <w:r w:rsidR="00FF6C89" w:rsidRPr="00117C45">
        <w:t>60%</w:t>
      </w:r>
      <w:r w:rsidR="00117C45" w:rsidRPr="00117C45">
        <w:t xml:space="preserve"> was achieved. </w:t>
      </w:r>
      <w:r w:rsidR="00C67871" w:rsidRPr="00C67871">
        <w:t>This can be explained by the difference in the salinity of these samples, namely samples with lower content of organic admixtures contained much higher concentration of dissolved salts</w:t>
      </w:r>
      <w:r w:rsidR="00C67871">
        <w:t xml:space="preserve"> measured as TDS</w:t>
      </w:r>
      <w:r w:rsidR="00C67871" w:rsidRPr="00C67871">
        <w:rPr>
          <w:lang w:val="en-US"/>
        </w:rPr>
        <w:t xml:space="preserve"> than a sample with the highest TOC</w:t>
      </w:r>
      <w:r w:rsidR="00C67871" w:rsidRPr="00C67871">
        <w:t xml:space="preserve"> content</w:t>
      </w:r>
      <w:r w:rsidR="00C67871">
        <w:t xml:space="preserve"> (see Tab. 1.)</w:t>
      </w:r>
      <w:r w:rsidR="00C67871" w:rsidRPr="00C67871">
        <w:t>.</w:t>
      </w:r>
      <w:r w:rsidR="00491A70" w:rsidRPr="00491A70">
        <w:t xml:space="preserve"> Salinity may hinder the removal of organic compounds in the ozonation process due to the consumption of oxidants.</w:t>
      </w:r>
      <w:r w:rsidR="00491A70" w:rsidRPr="00491A70">
        <w:rPr>
          <w:lang w:val="en"/>
        </w:rPr>
        <w:t xml:space="preserve"> </w:t>
      </w:r>
      <w:r w:rsidR="00491A70">
        <w:rPr>
          <w:rStyle w:val="jlqj4b"/>
          <w:lang w:val="en"/>
        </w:rPr>
        <w:t>In order to improve the efficiency of the ozonation in such a case, an extension of the process</w:t>
      </w:r>
      <w:r w:rsidR="004641AA">
        <w:rPr>
          <w:rStyle w:val="jlqj4b"/>
          <w:lang w:val="en"/>
        </w:rPr>
        <w:t xml:space="preserve"> duration</w:t>
      </w:r>
      <w:r w:rsidR="00491A70">
        <w:rPr>
          <w:rStyle w:val="jlqj4b"/>
          <w:lang w:val="en"/>
        </w:rPr>
        <w:t xml:space="preserve"> can be considered.</w:t>
      </w:r>
      <w:r w:rsidR="00E9523B" w:rsidRPr="00E9523B">
        <w:t xml:space="preserve"> </w:t>
      </w:r>
    </w:p>
    <w:p w14:paraId="3837D45B" w14:textId="202E57F4" w:rsidR="00DD47A1" w:rsidRDefault="00DD47A1" w:rsidP="00DD47A1">
      <w:pPr>
        <w:pStyle w:val="Tekstpodstawowy"/>
        <w:jc w:val="center"/>
      </w:pPr>
      <w:r w:rsidRPr="00DD47A1">
        <w:rPr>
          <w:noProof/>
          <w:sz w:val="18"/>
          <w:lang w:val="pl-PL" w:eastAsia="pl-PL"/>
        </w:rPr>
        <w:drawing>
          <wp:inline distT="0" distB="0" distL="0" distR="0" wp14:anchorId="2CF0E0EB" wp14:editId="18111F41">
            <wp:extent cx="3877056" cy="2465222"/>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22044B" w14:textId="6CF4A4C4" w:rsidR="00CC339A" w:rsidRPr="00802381" w:rsidRDefault="00CC339A" w:rsidP="00CC339A">
      <w:pPr>
        <w:pStyle w:val="Legenda"/>
        <w:jc w:val="center"/>
        <w:rPr>
          <w:i/>
          <w:sz w:val="20"/>
        </w:rPr>
      </w:pPr>
      <w:r w:rsidRPr="00802381">
        <w:rPr>
          <w:i/>
        </w:rPr>
        <w:t xml:space="preserve">FIG. </w:t>
      </w:r>
      <w:r>
        <w:rPr>
          <w:i/>
        </w:rPr>
        <w:t xml:space="preserve">3. A comparison of the organics removal by application </w:t>
      </w:r>
      <w:r w:rsidR="00C21264">
        <w:rPr>
          <w:i/>
        </w:rPr>
        <w:t xml:space="preserve">of </w:t>
      </w:r>
      <w:r>
        <w:rPr>
          <w:i/>
        </w:rPr>
        <w:t xml:space="preserve">two processes: </w:t>
      </w:r>
      <w:r w:rsidRPr="00990BB6">
        <w:rPr>
          <w:i/>
        </w:rPr>
        <w:t xml:space="preserve">ozonation </w:t>
      </w:r>
      <w:r>
        <w:rPr>
          <w:i/>
        </w:rPr>
        <w:t>and adsorption on activ</w:t>
      </w:r>
      <w:r w:rsidR="00A339B3">
        <w:rPr>
          <w:i/>
        </w:rPr>
        <w:t>ated</w:t>
      </w:r>
      <w:r>
        <w:rPr>
          <w:i/>
        </w:rPr>
        <w:t xml:space="preserve"> carbon.</w:t>
      </w:r>
    </w:p>
    <w:p w14:paraId="264253F7" w14:textId="4A059A7C" w:rsidR="00CC339A" w:rsidRDefault="00E9523B" w:rsidP="007248FE">
      <w:pPr>
        <w:pStyle w:val="Tekstpodstawowy"/>
        <w:rPr>
          <w:rStyle w:val="jlqj4b"/>
          <w:lang w:val="en"/>
        </w:rPr>
      </w:pPr>
      <w:r w:rsidRPr="00E9523B">
        <w:rPr>
          <w:rStyle w:val="jlqj4b"/>
          <w:lang w:val="en"/>
        </w:rPr>
        <w:t xml:space="preserve">The results of the separation of organic compounds </w:t>
      </w:r>
      <w:r w:rsidR="002F2820" w:rsidRPr="00E9523B">
        <w:rPr>
          <w:rStyle w:val="jlqj4b"/>
          <w:lang w:val="en"/>
        </w:rPr>
        <w:t>usi</w:t>
      </w:r>
      <w:r w:rsidR="002F2820">
        <w:rPr>
          <w:rStyle w:val="jlqj4b"/>
          <w:lang w:val="en"/>
        </w:rPr>
        <w:t>ng</w:t>
      </w:r>
      <w:r w:rsidRPr="00E9523B">
        <w:rPr>
          <w:rStyle w:val="jlqj4b"/>
          <w:lang w:val="en"/>
        </w:rPr>
        <w:t xml:space="preserve"> the electrodialysis</w:t>
      </w:r>
      <w:r w:rsidR="00227D55">
        <w:rPr>
          <w:rStyle w:val="jlqj4b"/>
          <w:lang w:val="en"/>
        </w:rPr>
        <w:t xml:space="preserve"> process </w:t>
      </w:r>
      <w:r w:rsidR="00B02164">
        <w:rPr>
          <w:rStyle w:val="jlqj4b"/>
          <w:lang w:val="en"/>
        </w:rPr>
        <w:t xml:space="preserve">(ED) </w:t>
      </w:r>
      <w:r w:rsidR="00227D55">
        <w:rPr>
          <w:rStyle w:val="jlqj4b"/>
          <w:lang w:val="en"/>
        </w:rPr>
        <w:t>are presented in Fig. 4</w:t>
      </w:r>
      <w:r w:rsidRPr="00E9523B">
        <w:rPr>
          <w:rStyle w:val="jlqj4b"/>
          <w:lang w:val="en"/>
        </w:rPr>
        <w:t>.</w:t>
      </w:r>
      <w:r w:rsidR="00B02164">
        <w:rPr>
          <w:rStyle w:val="jlqj4b"/>
          <w:lang w:val="en"/>
        </w:rPr>
        <w:t xml:space="preserve"> In this case only one sample of model radioactive wastewater solution was tested. </w:t>
      </w:r>
      <w:r w:rsidR="00B02164" w:rsidRPr="00B02164">
        <w:rPr>
          <w:rStyle w:val="jlqj4b"/>
          <w:lang w:val="en"/>
        </w:rPr>
        <w:t>The TOC con</w:t>
      </w:r>
      <w:r w:rsidR="00B02164">
        <w:rPr>
          <w:rStyle w:val="jlqj4b"/>
          <w:lang w:val="en"/>
        </w:rPr>
        <w:t>tent of this sample was 55 mg/</w:t>
      </w:r>
      <w:r w:rsidR="00B02164" w:rsidRPr="00B02164">
        <w:rPr>
          <w:rStyle w:val="jlqj4b"/>
          <w:lang w:val="en"/>
        </w:rPr>
        <w:t>L.</w:t>
      </w:r>
      <w:r w:rsidR="00B02164" w:rsidRPr="00B02164">
        <w:t xml:space="preserve"> </w:t>
      </w:r>
      <w:r w:rsidR="00B02164" w:rsidRPr="00B02164">
        <w:rPr>
          <w:rStyle w:val="jlqj4b"/>
          <w:lang w:val="en"/>
        </w:rPr>
        <w:t xml:space="preserve">At the beginning of the ED experiments, the </w:t>
      </w:r>
      <w:r w:rsidR="00CA1634">
        <w:rPr>
          <w:rStyle w:val="jlqj4b"/>
          <w:lang w:val="en"/>
        </w:rPr>
        <w:t xml:space="preserve">feed </w:t>
      </w:r>
      <w:r w:rsidR="00B02164" w:rsidRPr="00B02164">
        <w:rPr>
          <w:rStyle w:val="jlqj4b"/>
          <w:lang w:val="en"/>
        </w:rPr>
        <w:t xml:space="preserve">solution was placed in the diluate </w:t>
      </w:r>
      <w:r w:rsidR="00B02164">
        <w:rPr>
          <w:rStyle w:val="jlqj4b"/>
          <w:lang w:val="en"/>
        </w:rPr>
        <w:t xml:space="preserve">tank while a concentrate tank </w:t>
      </w:r>
      <w:r w:rsidR="007248FE" w:rsidRPr="007248FE">
        <w:rPr>
          <w:rStyle w:val="jlqj4b"/>
          <w:lang w:val="en"/>
        </w:rPr>
        <w:t>contained a solution of 10</w:t>
      </w:r>
      <w:r w:rsidR="007248FE">
        <w:rPr>
          <w:rStyle w:val="jlqj4b"/>
          <w:lang w:val="en"/>
        </w:rPr>
        <w:t>-</w:t>
      </w:r>
      <w:r w:rsidR="007248FE" w:rsidRPr="007248FE">
        <w:rPr>
          <w:rStyle w:val="jlqj4b"/>
          <w:lang w:val="en"/>
        </w:rPr>
        <w:t xml:space="preserve"> </w:t>
      </w:r>
      <w:r w:rsidR="00CA1634">
        <w:rPr>
          <w:rStyle w:val="jlqj4b"/>
          <w:lang w:val="en"/>
        </w:rPr>
        <w:t>fold</w:t>
      </w:r>
      <w:r w:rsidR="00CA1634" w:rsidRPr="007248FE">
        <w:rPr>
          <w:rStyle w:val="jlqj4b"/>
          <w:lang w:val="en"/>
        </w:rPr>
        <w:t xml:space="preserve"> </w:t>
      </w:r>
      <w:r w:rsidR="007248FE" w:rsidRPr="007248FE">
        <w:rPr>
          <w:rStyle w:val="jlqj4b"/>
          <w:lang w:val="en"/>
        </w:rPr>
        <w:t>lower concentration and no organic compounds.</w:t>
      </w:r>
      <w:r w:rsidR="007248FE">
        <w:rPr>
          <w:rStyle w:val="jlqj4b"/>
          <w:lang w:val="en"/>
        </w:rPr>
        <w:t xml:space="preserve"> </w:t>
      </w:r>
      <w:r w:rsidR="00B02164" w:rsidRPr="00B02164">
        <w:rPr>
          <w:rStyle w:val="jlqj4b"/>
          <w:lang w:val="en"/>
        </w:rPr>
        <w:t>A solution of 0.1 M Na</w:t>
      </w:r>
      <w:r w:rsidR="00B02164" w:rsidRPr="00C444F9">
        <w:rPr>
          <w:rStyle w:val="jlqj4b"/>
          <w:vertAlign w:val="subscript"/>
          <w:lang w:val="en"/>
        </w:rPr>
        <w:t>2</w:t>
      </w:r>
      <w:r w:rsidR="00B02164" w:rsidRPr="00B02164">
        <w:rPr>
          <w:rStyle w:val="jlqj4b"/>
          <w:lang w:val="en"/>
        </w:rPr>
        <w:t>SO</w:t>
      </w:r>
      <w:r w:rsidR="00B02164" w:rsidRPr="00C444F9">
        <w:rPr>
          <w:rStyle w:val="jlqj4b"/>
          <w:vertAlign w:val="subscript"/>
          <w:lang w:val="en"/>
        </w:rPr>
        <w:t>4</w:t>
      </w:r>
      <w:r w:rsidR="00B02164" w:rsidRPr="00B02164">
        <w:rPr>
          <w:rStyle w:val="jlqj4b"/>
          <w:lang w:val="en"/>
        </w:rPr>
        <w:t xml:space="preserve"> was used as the electrolyte, and the concentrate and diluate solutions we</w:t>
      </w:r>
      <w:r w:rsidR="00CA1634">
        <w:rPr>
          <w:rStyle w:val="jlqj4b"/>
          <w:lang w:val="en"/>
        </w:rPr>
        <w:t>re circulated through the ED in</w:t>
      </w:r>
      <w:r w:rsidR="00B02164" w:rsidRPr="00B02164">
        <w:rPr>
          <w:rStyle w:val="jlqj4b"/>
          <w:lang w:val="en"/>
        </w:rPr>
        <w:t xml:space="preserve">stallation. During the ED experiments, samples of both circulated solutions were </w:t>
      </w:r>
      <w:r w:rsidR="00CA1634">
        <w:rPr>
          <w:rStyle w:val="jlqj4b"/>
          <w:lang w:val="en"/>
        </w:rPr>
        <w:t xml:space="preserve">drawn </w:t>
      </w:r>
      <w:r w:rsidR="007248FE">
        <w:rPr>
          <w:rStyle w:val="jlqj4b"/>
          <w:lang w:val="en"/>
        </w:rPr>
        <w:t xml:space="preserve">at the same time intervals. </w:t>
      </w:r>
      <w:r w:rsidR="00B02164" w:rsidRPr="00B02164">
        <w:rPr>
          <w:rStyle w:val="jlqj4b"/>
          <w:lang w:val="en"/>
        </w:rPr>
        <w:t xml:space="preserve"> </w:t>
      </w:r>
      <w:r w:rsidR="007248FE" w:rsidRPr="007248FE">
        <w:rPr>
          <w:rStyle w:val="jlqj4b"/>
          <w:lang w:val="en"/>
        </w:rPr>
        <w:t>Then conductivity, TOC content and total activit</w:t>
      </w:r>
      <w:r w:rsidR="007248FE">
        <w:rPr>
          <w:rStyle w:val="jlqj4b"/>
          <w:lang w:val="en"/>
        </w:rPr>
        <w:t>y were measured in all collected samples.</w:t>
      </w:r>
      <w:r w:rsidR="00B02164" w:rsidRPr="00B02164">
        <w:rPr>
          <w:rStyle w:val="jlqj4b"/>
          <w:lang w:val="en"/>
        </w:rPr>
        <w:t xml:space="preserve"> </w:t>
      </w:r>
    </w:p>
    <w:p w14:paraId="296AE91F" w14:textId="77777777" w:rsidR="00E869CA" w:rsidRPr="007248FE" w:rsidRDefault="00E869CA" w:rsidP="007248FE">
      <w:pPr>
        <w:pStyle w:val="Tekstpodstawowy"/>
        <w:rPr>
          <w:lang w:val="en"/>
        </w:rPr>
      </w:pPr>
    </w:p>
    <w:p w14:paraId="0FCBCE7B" w14:textId="77777777" w:rsidR="00CC339A" w:rsidRDefault="00CC339A" w:rsidP="00DD47A1">
      <w:pPr>
        <w:pStyle w:val="Tekstpodstawowy"/>
        <w:jc w:val="cente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554"/>
      </w:tblGrid>
      <w:tr w:rsidR="00CC339A" w14:paraId="4EC34BDF" w14:textId="77777777" w:rsidTr="00CC339A">
        <w:tc>
          <w:tcPr>
            <w:tcW w:w="4580" w:type="dxa"/>
          </w:tcPr>
          <w:p w14:paraId="1925C2A1" w14:textId="4EEE43C5" w:rsidR="00CC339A" w:rsidRPr="00CC339A" w:rsidRDefault="00CC339A" w:rsidP="00CC339A">
            <w:pPr>
              <w:pStyle w:val="Tekstpodstawowy"/>
              <w:ind w:firstLine="0"/>
              <w:jc w:val="left"/>
              <w:rPr>
                <w:b/>
              </w:rPr>
            </w:pPr>
            <w:r w:rsidRPr="00CC339A">
              <w:rPr>
                <w:b/>
              </w:rPr>
              <w:t>a</w:t>
            </w:r>
            <w:r>
              <w:rPr>
                <w:b/>
              </w:rPr>
              <w:t>)</w:t>
            </w:r>
          </w:p>
        </w:tc>
        <w:tc>
          <w:tcPr>
            <w:tcW w:w="4663" w:type="dxa"/>
          </w:tcPr>
          <w:p w14:paraId="58A861F8" w14:textId="25AACB03" w:rsidR="00CC339A" w:rsidRPr="00CC339A" w:rsidRDefault="00CC339A" w:rsidP="00CC339A">
            <w:pPr>
              <w:pStyle w:val="Tekstpodstawowy"/>
              <w:ind w:firstLine="0"/>
              <w:jc w:val="left"/>
              <w:rPr>
                <w:b/>
              </w:rPr>
            </w:pPr>
            <w:r w:rsidRPr="00CC339A">
              <w:rPr>
                <w:b/>
              </w:rPr>
              <w:t>b</w:t>
            </w:r>
            <w:r>
              <w:rPr>
                <w:b/>
              </w:rPr>
              <w:t>)</w:t>
            </w:r>
          </w:p>
        </w:tc>
      </w:tr>
      <w:tr w:rsidR="00CC339A" w14:paraId="053AF5E0" w14:textId="77777777" w:rsidTr="00CC339A">
        <w:tc>
          <w:tcPr>
            <w:tcW w:w="4580" w:type="dxa"/>
          </w:tcPr>
          <w:p w14:paraId="35428F9E" w14:textId="1D32028D" w:rsidR="00CC339A" w:rsidRDefault="00CC339A" w:rsidP="00CC339A">
            <w:pPr>
              <w:pStyle w:val="Tekstpodstawowy"/>
              <w:ind w:firstLine="0"/>
              <w:jc w:val="left"/>
            </w:pPr>
            <w:r>
              <w:rPr>
                <w:noProof/>
                <w:lang w:val="pl-PL" w:eastAsia="pl-PL"/>
              </w:rPr>
              <w:drawing>
                <wp:inline distT="0" distB="0" distL="0" distR="0" wp14:anchorId="2298A3FB" wp14:editId="1124E917">
                  <wp:extent cx="2823667" cy="1887321"/>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63" w:type="dxa"/>
          </w:tcPr>
          <w:p w14:paraId="558C5F90" w14:textId="064F6F75" w:rsidR="00CC339A" w:rsidRDefault="00CC339A" w:rsidP="00CC339A">
            <w:pPr>
              <w:pStyle w:val="Tekstpodstawowy"/>
              <w:ind w:firstLine="0"/>
              <w:jc w:val="left"/>
            </w:pPr>
            <w:r w:rsidRPr="00CC339A">
              <w:rPr>
                <w:noProof/>
                <w:sz w:val="16"/>
                <w:lang w:val="pl-PL" w:eastAsia="pl-PL"/>
              </w:rPr>
              <w:drawing>
                <wp:inline distT="0" distB="0" distL="0" distR="0" wp14:anchorId="307385D7" wp14:editId="4EA81E7F">
                  <wp:extent cx="2874873" cy="1887321"/>
                  <wp:effectExtent l="0" t="0" r="190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CC339A" w14:paraId="63A72622" w14:textId="77777777" w:rsidTr="00CC339A">
        <w:tc>
          <w:tcPr>
            <w:tcW w:w="4580" w:type="dxa"/>
          </w:tcPr>
          <w:p w14:paraId="41F74EB1" w14:textId="243B01E4" w:rsidR="00CC339A" w:rsidRPr="00CC339A" w:rsidRDefault="00CC339A" w:rsidP="00CC339A">
            <w:pPr>
              <w:pStyle w:val="Tekstpodstawowy"/>
              <w:ind w:firstLine="0"/>
              <w:jc w:val="left"/>
              <w:rPr>
                <w:b/>
              </w:rPr>
            </w:pPr>
            <w:r w:rsidRPr="00CC339A">
              <w:rPr>
                <w:b/>
              </w:rPr>
              <w:t>c</w:t>
            </w:r>
            <w:r>
              <w:rPr>
                <w:b/>
              </w:rPr>
              <w:t>)</w:t>
            </w:r>
          </w:p>
        </w:tc>
        <w:tc>
          <w:tcPr>
            <w:tcW w:w="4663" w:type="dxa"/>
          </w:tcPr>
          <w:p w14:paraId="4792BE9B" w14:textId="77777777" w:rsidR="00CC339A" w:rsidRDefault="00CC339A" w:rsidP="00CC339A">
            <w:pPr>
              <w:pStyle w:val="Tekstpodstawowy"/>
              <w:ind w:firstLine="0"/>
              <w:jc w:val="left"/>
            </w:pPr>
          </w:p>
        </w:tc>
      </w:tr>
      <w:tr w:rsidR="00CC339A" w14:paraId="39E28EC9" w14:textId="77777777" w:rsidTr="00CC339A">
        <w:tc>
          <w:tcPr>
            <w:tcW w:w="4580" w:type="dxa"/>
          </w:tcPr>
          <w:p w14:paraId="1E6EE0C9" w14:textId="4C70A3AE" w:rsidR="00CC339A" w:rsidRDefault="00CC339A" w:rsidP="00CC339A">
            <w:pPr>
              <w:pStyle w:val="Tekstpodstawowy"/>
              <w:ind w:firstLine="0"/>
              <w:jc w:val="left"/>
            </w:pPr>
            <w:r>
              <w:rPr>
                <w:noProof/>
                <w:lang w:val="pl-PL" w:eastAsia="pl-PL"/>
              </w:rPr>
              <w:drawing>
                <wp:inline distT="0" distB="0" distL="0" distR="0" wp14:anchorId="184437C2" wp14:editId="4E3E7F57">
                  <wp:extent cx="2787092" cy="2018995"/>
                  <wp:effectExtent l="0" t="0" r="0" b="63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63" w:type="dxa"/>
          </w:tcPr>
          <w:p w14:paraId="1EB25138" w14:textId="77777777" w:rsidR="00CC339A" w:rsidRDefault="00CC339A" w:rsidP="00CC339A">
            <w:pPr>
              <w:pStyle w:val="Tekstpodstawowy"/>
              <w:ind w:firstLine="0"/>
              <w:jc w:val="left"/>
            </w:pPr>
          </w:p>
        </w:tc>
      </w:tr>
    </w:tbl>
    <w:p w14:paraId="76B98FB8" w14:textId="36F56C93" w:rsidR="00047010" w:rsidRPr="00802381" w:rsidRDefault="00047010" w:rsidP="00047010">
      <w:pPr>
        <w:pStyle w:val="Legenda"/>
        <w:jc w:val="center"/>
        <w:rPr>
          <w:i/>
          <w:sz w:val="20"/>
        </w:rPr>
      </w:pPr>
      <w:r w:rsidRPr="00802381">
        <w:rPr>
          <w:i/>
        </w:rPr>
        <w:t xml:space="preserve">FIG. </w:t>
      </w:r>
      <w:r>
        <w:rPr>
          <w:i/>
        </w:rPr>
        <w:t>4. Results from electrodialysis process</w:t>
      </w:r>
      <w:bookmarkStart w:id="0" w:name="_GoBack"/>
      <w:bookmarkEnd w:id="0"/>
      <w:r>
        <w:rPr>
          <w:i/>
        </w:rPr>
        <w:t>.</w:t>
      </w:r>
    </w:p>
    <w:p w14:paraId="36F20E2E" w14:textId="56258DC5" w:rsidR="007248FE" w:rsidRDefault="007248FE" w:rsidP="007248FE">
      <w:pPr>
        <w:pStyle w:val="Tekstpodstawowy"/>
        <w:ind w:firstLine="0"/>
      </w:pPr>
      <w:r>
        <w:rPr>
          <w:rStyle w:val="jlqj4b"/>
          <w:lang w:val="en"/>
        </w:rPr>
        <w:t>As can be observed, in the final product of the process</w:t>
      </w:r>
      <w:r w:rsidR="005F0D86">
        <w:rPr>
          <w:rStyle w:val="jlqj4b"/>
          <w:lang w:val="en"/>
        </w:rPr>
        <w:t xml:space="preserve">, </w:t>
      </w:r>
      <w:r>
        <w:rPr>
          <w:rStyle w:val="jlqj4b"/>
          <w:lang w:val="en"/>
        </w:rPr>
        <w:t>concentrate</w:t>
      </w:r>
      <w:r w:rsidR="005F0D86">
        <w:rPr>
          <w:rStyle w:val="jlqj4b"/>
          <w:lang w:val="en"/>
        </w:rPr>
        <w:t xml:space="preserve">, </w:t>
      </w:r>
      <w:r>
        <w:rPr>
          <w:rStyle w:val="jlqj4b"/>
          <w:lang w:val="en"/>
        </w:rPr>
        <w:t>a separation of organic compounds from other components of the initial solution</w:t>
      </w:r>
      <w:r w:rsidR="00E869CA">
        <w:rPr>
          <w:rStyle w:val="jlqj4b"/>
          <w:lang w:val="en"/>
        </w:rPr>
        <w:t>,</w:t>
      </w:r>
      <w:r>
        <w:rPr>
          <w:rStyle w:val="jlqj4b"/>
          <w:lang w:val="en"/>
        </w:rPr>
        <w:t xml:space="preserve"> was achieved.</w:t>
      </w:r>
      <w:r w:rsidRPr="00B02164">
        <w:rPr>
          <w:rStyle w:val="jlqj4b"/>
          <w:lang w:val="en"/>
        </w:rPr>
        <w:t xml:space="preserve"> </w:t>
      </w:r>
      <w:r w:rsidRPr="007248FE">
        <w:rPr>
          <w:rStyle w:val="jlqj4b"/>
          <w:lang w:val="en"/>
        </w:rPr>
        <w:t xml:space="preserve">All components of the </w:t>
      </w:r>
      <w:r>
        <w:rPr>
          <w:rStyle w:val="jlqj4b"/>
          <w:lang w:val="en"/>
        </w:rPr>
        <w:t xml:space="preserve">initial </w:t>
      </w:r>
      <w:r w:rsidRPr="007248FE">
        <w:rPr>
          <w:rStyle w:val="jlqj4b"/>
          <w:lang w:val="en"/>
        </w:rPr>
        <w:t>solution from the diluate stream, except the organic compounds, were transferred</w:t>
      </w:r>
      <w:r w:rsidR="005A1826">
        <w:rPr>
          <w:rStyle w:val="jlqj4b"/>
          <w:lang w:val="en"/>
        </w:rPr>
        <w:t xml:space="preserve"> from diluate </w:t>
      </w:r>
      <w:r w:rsidRPr="007248FE">
        <w:rPr>
          <w:rStyle w:val="jlqj4b"/>
          <w:lang w:val="en"/>
        </w:rPr>
        <w:t>into the concentrate stream</w:t>
      </w:r>
      <w:r>
        <w:rPr>
          <w:rStyle w:val="jlqj4b"/>
          <w:lang w:val="en"/>
        </w:rPr>
        <w:t xml:space="preserve"> (Fig 4</w:t>
      </w:r>
      <w:r w:rsidR="00D9185C">
        <w:rPr>
          <w:rStyle w:val="jlqj4b"/>
          <w:lang w:val="en"/>
        </w:rPr>
        <w:t>b</w:t>
      </w:r>
      <w:r>
        <w:rPr>
          <w:rStyle w:val="jlqj4b"/>
          <w:lang w:val="en"/>
        </w:rPr>
        <w:t xml:space="preserve"> and 4</w:t>
      </w:r>
      <w:r w:rsidR="00D9185C">
        <w:rPr>
          <w:rStyle w:val="jlqj4b"/>
          <w:lang w:val="en"/>
        </w:rPr>
        <w:t>c</w:t>
      </w:r>
      <w:r>
        <w:rPr>
          <w:rStyle w:val="jlqj4b"/>
          <w:lang w:val="en"/>
        </w:rPr>
        <w:t>)</w:t>
      </w:r>
      <w:r w:rsidRPr="007248FE">
        <w:rPr>
          <w:rStyle w:val="jlqj4b"/>
          <w:lang w:val="en"/>
        </w:rPr>
        <w:t>. The organic compounds remained in the diluate. Only a small amount pass</w:t>
      </w:r>
      <w:r w:rsidR="00735B79">
        <w:rPr>
          <w:rStyle w:val="jlqj4b"/>
          <w:lang w:val="en"/>
        </w:rPr>
        <w:t>ed</w:t>
      </w:r>
      <w:r w:rsidRPr="007248FE">
        <w:rPr>
          <w:rStyle w:val="jlqj4b"/>
          <w:lang w:val="en"/>
        </w:rPr>
        <w:t xml:space="preserve"> into the concentrate as evidenced by a slight increase in the TOC content in the concentrate with a simultaneous decrease </w:t>
      </w:r>
      <w:r w:rsidR="005F0D86">
        <w:rPr>
          <w:rStyle w:val="jlqj4b"/>
          <w:lang w:val="en"/>
        </w:rPr>
        <w:t>of</w:t>
      </w:r>
      <w:r w:rsidRPr="007248FE">
        <w:rPr>
          <w:rStyle w:val="jlqj4b"/>
          <w:lang w:val="en"/>
        </w:rPr>
        <w:t xml:space="preserve"> TOC in the diluate</w:t>
      </w:r>
      <w:r>
        <w:rPr>
          <w:rStyle w:val="jlqj4b"/>
          <w:lang w:val="en"/>
        </w:rPr>
        <w:t xml:space="preserve"> (Fig 4a)</w:t>
      </w:r>
      <w:r w:rsidRPr="007248FE">
        <w:rPr>
          <w:rStyle w:val="jlqj4b"/>
          <w:lang w:val="en"/>
        </w:rPr>
        <w:t>.</w:t>
      </w:r>
    </w:p>
    <w:p w14:paraId="433FE05B" w14:textId="620719E4" w:rsidR="00E20E70" w:rsidRDefault="00D57843" w:rsidP="00537496">
      <w:pPr>
        <w:pStyle w:val="Nagwek2"/>
      </w:pPr>
      <w:r>
        <w:t>conclusions</w:t>
      </w:r>
    </w:p>
    <w:p w14:paraId="433FE05C" w14:textId="422592D6" w:rsidR="00F004EE" w:rsidRDefault="0080251D" w:rsidP="00537496">
      <w:pPr>
        <w:pStyle w:val="Tekstpodstawowy"/>
      </w:pPr>
      <w:r w:rsidRPr="0080251D">
        <w:t xml:space="preserve">The paper </w:t>
      </w:r>
      <w:r w:rsidR="00E869CA" w:rsidRPr="00E869CA">
        <w:t xml:space="preserve">describes attempts to </w:t>
      </w:r>
      <w:r w:rsidR="00745E03">
        <w:t xml:space="preserve">remove </w:t>
      </w:r>
      <w:r w:rsidR="00E869CA" w:rsidRPr="00E869CA">
        <w:t xml:space="preserve">organic compounds from liquid radioactive waste by using three different methods: </w:t>
      </w:r>
      <w:r w:rsidR="00E869CA">
        <w:t>adsorption using activated carbon, ozonation process and ele</w:t>
      </w:r>
      <w:r w:rsidR="00C16316">
        <w:t>c</w:t>
      </w:r>
      <w:r w:rsidR="00E869CA">
        <w:t xml:space="preserve">trodialysis process. </w:t>
      </w:r>
      <w:r w:rsidR="00745E03" w:rsidRPr="00745E03">
        <w:t xml:space="preserve">The obtained results showed a greater efficiency in the removal of organic components from selected model samples of liquid </w:t>
      </w:r>
      <w:r w:rsidR="00745E03">
        <w:t xml:space="preserve">radioactive </w:t>
      </w:r>
      <w:r w:rsidR="00745E03" w:rsidRPr="00745E03">
        <w:t>waste by the use of the adsorption process than ozonation</w:t>
      </w:r>
      <w:r w:rsidR="00745E03">
        <w:t>. Whereas</w:t>
      </w:r>
      <w:r w:rsidR="00745E03" w:rsidRPr="00745E03">
        <w:t>, the use of the electrodialysis process enables the selective separation of organic compounds from other components of the treated wastewater. As a result, valuable components, if any, can be recovered from the stream with the organic phase, while the aqueous phase, which is a concentrate of inorganic components, including radioactive components, can be further concentrated to ensure safe disposal of waste.</w:t>
      </w:r>
    </w:p>
    <w:p w14:paraId="559EE5DB" w14:textId="77777777" w:rsidR="00745FDA" w:rsidRDefault="00745FDA" w:rsidP="00745FDA">
      <w:pPr>
        <w:pStyle w:val="Nagwek2"/>
      </w:pPr>
      <w:r>
        <w:t>Additional information</w:t>
      </w:r>
    </w:p>
    <w:p w14:paraId="4BE4F6B2" w14:textId="77777777" w:rsidR="00745FDA" w:rsidRDefault="00745FDA" w:rsidP="00745FDA">
      <w:pPr>
        <w:pStyle w:val="Tekstpodstawowy"/>
      </w:pPr>
      <w:r>
        <w:t>The authors state that there is no conflict of interest in presented work.</w:t>
      </w:r>
    </w:p>
    <w:p w14:paraId="433FE095" w14:textId="3B6E0ADA" w:rsidR="00285755" w:rsidRPr="00745FDA" w:rsidRDefault="00285755" w:rsidP="00745FDA">
      <w:pPr>
        <w:pStyle w:val="Nagwek2"/>
        <w:numPr>
          <w:ilvl w:val="0"/>
          <w:numId w:val="0"/>
        </w:numPr>
        <w:jc w:val="center"/>
        <w:rPr>
          <w:b/>
        </w:rPr>
      </w:pPr>
      <w:r w:rsidRPr="00745FDA">
        <w:rPr>
          <w:b/>
        </w:rPr>
        <w:t>ACKNOWLEDGEMENTS</w:t>
      </w:r>
    </w:p>
    <w:p w14:paraId="433FE096" w14:textId="68BB5F00" w:rsidR="00D26ADA" w:rsidRDefault="00AA430C" w:rsidP="00537496">
      <w:pPr>
        <w:pStyle w:val="Tekstpodstawowy"/>
      </w:pPr>
      <w:r w:rsidRPr="00AA430C">
        <w:t>This research was funded by the International Atomic Energy Agency for Coordinated Research Project on the Management of Wastes Containing Long lived Alpha Emitters (T13017).</w:t>
      </w:r>
    </w:p>
    <w:p w14:paraId="433FE097" w14:textId="77777777" w:rsidR="00D26ADA" w:rsidRDefault="00D26ADA" w:rsidP="00537496">
      <w:pPr>
        <w:pStyle w:val="Otherunnumberedheadings"/>
      </w:pPr>
      <w:r>
        <w:t>References</w:t>
      </w:r>
    </w:p>
    <w:p w14:paraId="5DED5C7B" w14:textId="5E34367F" w:rsidR="00DC1259" w:rsidRDefault="00745FDA" w:rsidP="00DC1259">
      <w:pPr>
        <w:pStyle w:val="Referencelist"/>
      </w:pPr>
      <w:r>
        <w:t xml:space="preserve">Classification of Radioactive Waste, General Safety Guide No. GSG-1, </w:t>
      </w:r>
      <w:r w:rsidR="00DC1259">
        <w:t xml:space="preserve">IAEA, </w:t>
      </w:r>
      <w:r>
        <w:t>Vienna</w:t>
      </w:r>
      <w:r w:rsidR="00DC1259">
        <w:t xml:space="preserve"> </w:t>
      </w:r>
      <w:r>
        <w:t>(</w:t>
      </w:r>
      <w:r w:rsidR="00DC1259">
        <w:t>2009</w:t>
      </w:r>
      <w:r>
        <w:t>)</w:t>
      </w:r>
      <w:r w:rsidR="00DC1259">
        <w:t>.</w:t>
      </w:r>
    </w:p>
    <w:p w14:paraId="46D7E40C" w14:textId="7A3C0FB5" w:rsidR="00DC1259" w:rsidRDefault="00745FDA" w:rsidP="00DE3127">
      <w:pPr>
        <w:pStyle w:val="Referencelist"/>
      </w:pPr>
      <w:r>
        <w:t xml:space="preserve">Predisposal Management of Organic Radioactive Waste,  Technical Reports Series No. 427, </w:t>
      </w:r>
      <w:r w:rsidR="00DC1259">
        <w:t>IAEA</w:t>
      </w:r>
      <w:r>
        <w:t xml:space="preserve">, </w:t>
      </w:r>
      <w:r w:rsidR="00DC1259">
        <w:t>Vie</w:t>
      </w:r>
      <w:r>
        <w:t>nna (</w:t>
      </w:r>
      <w:r w:rsidR="00DE3127">
        <w:t>2004</w:t>
      </w:r>
      <w:r>
        <w:t>)</w:t>
      </w:r>
      <w:r w:rsidR="00DC1259">
        <w:t>.</w:t>
      </w:r>
    </w:p>
    <w:p w14:paraId="3050D18A" w14:textId="57897186" w:rsidR="004D5425" w:rsidRDefault="006216B0" w:rsidP="007A050E">
      <w:pPr>
        <w:pStyle w:val="Referencelist"/>
      </w:pPr>
      <w:r w:rsidRPr="006216B0">
        <w:t>SE-MOON P.</w:t>
      </w:r>
      <w:r w:rsidR="004D5425" w:rsidRPr="006216B0">
        <w:t>, et al</w:t>
      </w:r>
      <w:r w:rsidRPr="006216B0">
        <w:t>., “</w:t>
      </w:r>
      <w:r w:rsidR="004D5425" w:rsidRPr="006216B0">
        <w:t>Feasibility</w:t>
      </w:r>
      <w:r w:rsidR="004D5425">
        <w:t xml:space="preserve"> of UV-Photo degradation technology for detergent removal from laundry radioactive waste” (Proc. Int. LLW EPRI Conf. San Antonio, 2000), Rep. EPRI 1000671, Electric Power Research Institute, Palo Alto, CA (2000).</w:t>
      </w:r>
    </w:p>
    <w:p w14:paraId="7012FF19" w14:textId="096E61BC" w:rsidR="006F785D" w:rsidRDefault="006F785D" w:rsidP="006F785D">
      <w:pPr>
        <w:pStyle w:val="Referencelist"/>
      </w:pPr>
      <w:r>
        <w:t xml:space="preserve">AHMED, I.M., AGLAN, R.F., HAMED, M.M., Removal of Arsenazo-III and Thorin from radioactive waste solutions by adsorption onto low-cost adsorbent, </w:t>
      </w:r>
      <w:r w:rsidRPr="006F785D">
        <w:t>J</w:t>
      </w:r>
      <w:r>
        <w:t>.</w:t>
      </w:r>
      <w:r w:rsidRPr="006F785D">
        <w:t xml:space="preserve"> Radioanal</w:t>
      </w:r>
      <w:r>
        <w:t>.</w:t>
      </w:r>
      <w:r w:rsidRPr="006F785D">
        <w:t xml:space="preserve"> Nucl</w:t>
      </w:r>
      <w:r>
        <w:t>.</w:t>
      </w:r>
      <w:r w:rsidRPr="006F785D">
        <w:t xml:space="preserve"> Chem</w:t>
      </w:r>
      <w:r>
        <w:t>.</w:t>
      </w:r>
      <w:r w:rsidRPr="006F785D">
        <w:t xml:space="preserve"> </w:t>
      </w:r>
      <w:r w:rsidRPr="006F785D">
        <w:rPr>
          <w:b/>
        </w:rPr>
        <w:t xml:space="preserve">314 </w:t>
      </w:r>
      <w:r w:rsidRPr="006F785D">
        <w:t>(2017)</w:t>
      </w:r>
      <w:r>
        <w:t xml:space="preserve"> </w:t>
      </w:r>
      <w:r w:rsidRPr="006F785D">
        <w:t>2253–2262</w:t>
      </w:r>
      <w:r>
        <w:t>.</w:t>
      </w:r>
    </w:p>
    <w:p w14:paraId="080410E1" w14:textId="047F281D" w:rsidR="000512A7" w:rsidRDefault="00893E00" w:rsidP="000512A7">
      <w:pPr>
        <w:pStyle w:val="Referencelist"/>
      </w:pPr>
      <w:r w:rsidRPr="000512A7">
        <w:t>LOUNIS</w:t>
      </w:r>
      <w:r>
        <w:t>, A.,</w:t>
      </w:r>
      <w:r w:rsidR="000512A7" w:rsidRPr="000512A7">
        <w:t xml:space="preserve"> </w:t>
      </w:r>
      <w:r w:rsidRPr="000512A7">
        <w:t>GAVACH</w:t>
      </w:r>
      <w:r w:rsidR="000512A7" w:rsidRPr="000512A7">
        <w:t>, C.</w:t>
      </w:r>
      <w:r>
        <w:t>,</w:t>
      </w:r>
      <w:r w:rsidR="000512A7" w:rsidRPr="000512A7">
        <w:t xml:space="preserve"> Treatment of uranium leach solutions by electrodialys</w:t>
      </w:r>
      <w:r w:rsidR="00922A06">
        <w:t>is for anion impurities removal,</w:t>
      </w:r>
      <w:r w:rsidR="000512A7" w:rsidRPr="000512A7">
        <w:t xml:space="preserve"> Hyd</w:t>
      </w:r>
      <w:r w:rsidR="000512A7">
        <w:t xml:space="preserve">rometallurgy </w:t>
      </w:r>
      <w:r w:rsidRPr="00893E00">
        <w:rPr>
          <w:b/>
        </w:rPr>
        <w:t>44</w:t>
      </w:r>
      <w:r>
        <w:t xml:space="preserve"> (</w:t>
      </w:r>
      <w:r w:rsidR="000512A7">
        <w:t>1997</w:t>
      </w:r>
      <w:r>
        <w:t>)</w:t>
      </w:r>
      <w:r w:rsidR="000512A7">
        <w:t xml:space="preserve"> 83–96</w:t>
      </w:r>
      <w:r>
        <w:t>.</w:t>
      </w:r>
    </w:p>
    <w:p w14:paraId="79619E74" w14:textId="23499D2C" w:rsidR="000512A7" w:rsidRPr="00922A06" w:rsidRDefault="00EF7F08" w:rsidP="000512A7">
      <w:pPr>
        <w:pStyle w:val="Referencelist"/>
      </w:pPr>
      <w:r w:rsidRPr="00922A06">
        <w:t>MATHUR</w:t>
      </w:r>
      <w:r>
        <w:t>, J.N.,</w:t>
      </w:r>
      <w:r w:rsidR="000512A7" w:rsidRPr="00922A06">
        <w:t xml:space="preserve"> </w:t>
      </w:r>
      <w:r w:rsidRPr="00922A06">
        <w:t>MURALI</w:t>
      </w:r>
      <w:r>
        <w:t>, M.S.,</w:t>
      </w:r>
      <w:r w:rsidR="000512A7" w:rsidRPr="00922A06">
        <w:t xml:space="preserve"> </w:t>
      </w:r>
      <w:r w:rsidRPr="00922A06">
        <w:t>BALARAMA KRISHNA</w:t>
      </w:r>
      <w:r>
        <w:t>, M.V.,</w:t>
      </w:r>
      <w:r w:rsidR="000512A7" w:rsidRPr="00922A06">
        <w:t xml:space="preserve"> </w:t>
      </w:r>
      <w:r w:rsidRPr="00922A06">
        <w:t>RAMAHANDHRAN</w:t>
      </w:r>
      <w:r>
        <w:t>, V.,</w:t>
      </w:r>
      <w:r w:rsidR="000512A7" w:rsidRPr="00922A06">
        <w:t xml:space="preserve"> </w:t>
      </w:r>
      <w:r w:rsidRPr="00922A06">
        <w:t>HANRA</w:t>
      </w:r>
      <w:r>
        <w:t>, M.S.,</w:t>
      </w:r>
      <w:r w:rsidR="000512A7" w:rsidRPr="00922A06">
        <w:t xml:space="preserve"> </w:t>
      </w:r>
      <w:r w:rsidRPr="00922A06">
        <w:t>MISRA,</w:t>
      </w:r>
      <w:r w:rsidR="000512A7" w:rsidRPr="00922A06">
        <w:t xml:space="preserve"> B.M.</w:t>
      </w:r>
      <w:r>
        <w:t>,</w:t>
      </w:r>
      <w:r w:rsidR="000512A7" w:rsidRPr="00922A06">
        <w:t xml:space="preserve"> Diffusion dialysis aided electrodialysis process for concentration of radionuclides in acid medium. J. Radioanal. Nucl. Chem. </w:t>
      </w:r>
      <w:r w:rsidRPr="00EF7F08">
        <w:rPr>
          <w:b/>
        </w:rPr>
        <w:t>232</w:t>
      </w:r>
      <w:r>
        <w:t xml:space="preserve"> (</w:t>
      </w:r>
      <w:r w:rsidR="000512A7" w:rsidRPr="00922A06">
        <w:t>1998</w:t>
      </w:r>
      <w:r>
        <w:t>)</w:t>
      </w:r>
      <w:r w:rsidR="000512A7" w:rsidRPr="00922A06">
        <w:t xml:space="preserve"> 237–240</w:t>
      </w:r>
      <w:r>
        <w:t>.</w:t>
      </w:r>
    </w:p>
    <w:p w14:paraId="4D60E734" w14:textId="7C4D75F1" w:rsidR="004D79A8" w:rsidRDefault="00EF7F08" w:rsidP="00BB6E9B">
      <w:pPr>
        <w:pStyle w:val="Referencelist"/>
      </w:pPr>
      <w:r w:rsidRPr="00BB6E9B">
        <w:t>MIŚKIEWICZ</w:t>
      </w:r>
      <w:r w:rsidR="00BB6E9B" w:rsidRPr="00BB6E9B">
        <w:t>, A</w:t>
      </w:r>
      <w:r w:rsidR="00BB6E9B">
        <w:t>.,</w:t>
      </w:r>
      <w:r w:rsidR="00BB6E9B" w:rsidRPr="00BB6E9B">
        <w:t xml:space="preserve"> </w:t>
      </w:r>
      <w:r>
        <w:t>NOWAK</w:t>
      </w:r>
      <w:r w:rsidR="00BB6E9B">
        <w:t xml:space="preserve">, </w:t>
      </w:r>
      <w:r w:rsidR="00BB6E9B" w:rsidRPr="00BB6E9B">
        <w:t>A</w:t>
      </w:r>
      <w:r w:rsidR="00BB6E9B">
        <w:t xml:space="preserve">., </w:t>
      </w:r>
      <w:r>
        <w:t>PAŁKA</w:t>
      </w:r>
      <w:r w:rsidR="00BB6E9B">
        <w:t>,</w:t>
      </w:r>
      <w:r w:rsidR="00BB6E9B" w:rsidRPr="00BB6E9B">
        <w:t xml:space="preserve"> </w:t>
      </w:r>
      <w:r w:rsidR="00BB6E9B">
        <w:t xml:space="preserve">J., </w:t>
      </w:r>
      <w:r w:rsidRPr="00BB6E9B">
        <w:t>ZAKRZEWSKA-KOŁTUNIEWICZ</w:t>
      </w:r>
      <w:r w:rsidR="00BB6E9B">
        <w:t xml:space="preserve">, </w:t>
      </w:r>
      <w:r w:rsidR="00BB6E9B" w:rsidRPr="00BB6E9B">
        <w:t>G</w:t>
      </w:r>
      <w:r w:rsidR="00BB6E9B">
        <w:t>.,</w:t>
      </w:r>
      <w:r w:rsidR="00BB6E9B" w:rsidRPr="00BB6E9B">
        <w:t xml:space="preserve"> </w:t>
      </w:r>
      <w:r w:rsidR="00BB6E9B">
        <w:t xml:space="preserve">Liquid Low-Level Radioactive Waste Treatment Using an Electrodialysis Process, Membranes </w:t>
      </w:r>
      <w:r w:rsidR="00BB6E9B" w:rsidRPr="00BB6E9B">
        <w:rPr>
          <w:b/>
        </w:rPr>
        <w:t>11(</w:t>
      </w:r>
      <w:r>
        <w:t>5)</w:t>
      </w:r>
      <w:r w:rsidR="00BB6E9B">
        <w:t xml:space="preserve"> (2021) 324</w:t>
      </w:r>
      <w:r>
        <w:t>.</w:t>
      </w:r>
    </w:p>
    <w:sectPr w:rsidR="004D79A8" w:rsidSect="0026525A">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E6944" w14:textId="77777777" w:rsidR="00AB58E4" w:rsidRDefault="00AB58E4">
      <w:r>
        <w:separator/>
      </w:r>
    </w:p>
  </w:endnote>
  <w:endnote w:type="continuationSeparator" w:id="0">
    <w:p w14:paraId="7AF01885" w14:textId="77777777" w:rsidR="00AB58E4" w:rsidRDefault="00AB5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326F0058"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DE133E">
      <w:rPr>
        <w:rFonts w:ascii="Times New Roman" w:hAnsi="Times New Roman" w:cs="Times New Roman"/>
        <w:noProof/>
        <w:sz w:val="20"/>
      </w:rPr>
      <w:t>5</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4081A" w14:textId="77777777" w:rsidR="00AB58E4" w:rsidRDefault="00AB58E4">
      <w:r>
        <w:t>___________________________________________________________________________</w:t>
      </w:r>
    </w:p>
  </w:footnote>
  <w:footnote w:type="continuationSeparator" w:id="0">
    <w:p w14:paraId="10BC1100" w14:textId="77777777" w:rsidR="00AB58E4" w:rsidRDefault="00AB58E4">
      <w:r>
        <w:t>___________________________________________________________________________</w:t>
      </w:r>
    </w:p>
  </w:footnote>
  <w:footnote w:type="continuationNotice" w:id="1">
    <w:p w14:paraId="7FCBD43A" w14:textId="77777777" w:rsidR="00AB58E4" w:rsidRDefault="00AB58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2" w14:textId="575587EE" w:rsidR="00E20E70" w:rsidRDefault="00CF7AF3" w:rsidP="005A1826">
    <w:pPr>
      <w:pStyle w:val="Runninghead"/>
    </w:pPr>
    <w:r>
      <w:tab/>
      <w:t>IAEA-CN-</w:t>
    </w:r>
    <w:r w:rsidR="00185A51">
      <w:t>294</w:t>
    </w: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5" w14:textId="282372CC" w:rsidR="00037321" w:rsidRPr="005A1826" w:rsidRDefault="005A1826" w:rsidP="005A1826">
    <w:pPr>
      <w:pStyle w:val="Runninghead"/>
      <w:ind w:left="360"/>
    </w:pPr>
    <w:r w:rsidRPr="005A1826">
      <w:t>A. MISKIEWICZ</w:t>
    </w:r>
    <w:r>
      <w:t xml:space="preserve"> et 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Nagwek9"/>
            <w:spacing w:before="0" w:after="10"/>
          </w:pPr>
        </w:p>
      </w:tc>
      <w:tc>
        <w:tcPr>
          <w:tcW w:w="5702" w:type="dxa"/>
          <w:vMerge/>
          <w:vAlign w:val="bottom"/>
        </w:tcPr>
        <w:p w14:paraId="433FE0D1" w14:textId="77777777" w:rsidR="00E20E70" w:rsidRDefault="00E20E70">
          <w:pPr>
            <w:pStyle w:val="Nagwek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56D602D"/>
    <w:multiLevelType w:val="hybridMultilevel"/>
    <w:tmpl w:val="506E1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70881"/>
    <w:multiLevelType w:val="hybridMultilevel"/>
    <w:tmpl w:val="D826D6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Nagwek2"/>
      <w:suff w:val="space"/>
      <w:lvlText w:val="%1%2."/>
      <w:lvlJc w:val="left"/>
      <w:pPr>
        <w:ind w:left="0" w:firstLine="0"/>
      </w:pPr>
      <w:rPr>
        <w:rFonts w:hint="default"/>
        <w:color w:val="auto"/>
      </w:rPr>
    </w:lvl>
    <w:lvl w:ilvl="2">
      <w:start w:val="1"/>
      <w:numFmt w:val="decimal"/>
      <w:lvlRestart w:val="0"/>
      <w:pStyle w:val="Nagwek3"/>
      <w:lvlText w:val="%1%2.%3."/>
      <w:lvlJc w:val="left"/>
      <w:pPr>
        <w:ind w:left="0" w:firstLine="0"/>
      </w:pPr>
      <w:rPr>
        <w:rFonts w:hint="default"/>
      </w:rPr>
    </w:lvl>
    <w:lvl w:ilvl="3">
      <w:start w:val="1"/>
      <w:numFmt w:val="decimal"/>
      <w:lvlRestart w:val="0"/>
      <w:pStyle w:val="Nagwek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4"/>
  </w:num>
  <w:num w:numId="3">
    <w:abstractNumId w:val="12"/>
  </w:num>
  <w:num w:numId="4">
    <w:abstractNumId w:val="12"/>
  </w:num>
  <w:num w:numId="5">
    <w:abstractNumId w:val="12"/>
  </w:num>
  <w:num w:numId="6">
    <w:abstractNumId w:val="5"/>
  </w:num>
  <w:num w:numId="7">
    <w:abstractNumId w:val="10"/>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Nagwek2"/>
        <w:lvlText w:val="%1%2."/>
        <w:lvlJc w:val="left"/>
        <w:pPr>
          <w:ind w:left="0" w:firstLine="0"/>
        </w:pPr>
        <w:rPr>
          <w:rFonts w:hint="default"/>
          <w:color w:val="auto"/>
        </w:rPr>
      </w:lvl>
    </w:lvlOverride>
    <w:lvlOverride w:ilvl="2">
      <w:lvl w:ilvl="2">
        <w:start w:val="1"/>
        <w:numFmt w:val="decimal"/>
        <w:lvlRestart w:val="0"/>
        <w:pStyle w:val="Nagwek3"/>
        <w:lvlText w:val="%1%2.%3."/>
        <w:lvlJc w:val="left"/>
        <w:pPr>
          <w:ind w:left="0" w:firstLine="0"/>
        </w:pPr>
        <w:rPr>
          <w:rFonts w:hint="default"/>
        </w:rPr>
      </w:lvl>
    </w:lvlOverride>
    <w:lvlOverride w:ilvl="3">
      <w:lvl w:ilvl="3">
        <w:start w:val="1"/>
        <w:numFmt w:val="none"/>
        <w:lvlRestart w:val="0"/>
        <w:pStyle w:val="Nagwek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Nagwek2"/>
        <w:suff w:val="space"/>
        <w:lvlText w:val="%1%2."/>
        <w:lvlJc w:val="left"/>
        <w:pPr>
          <w:ind w:left="0" w:firstLine="0"/>
        </w:pPr>
        <w:rPr>
          <w:rFonts w:hint="default"/>
          <w:color w:val="auto"/>
        </w:rPr>
      </w:lvl>
    </w:lvlOverride>
    <w:lvlOverride w:ilvl="2">
      <w:lvl w:ilvl="2">
        <w:start w:val="1"/>
        <w:numFmt w:val="decimal"/>
        <w:lvlRestart w:val="0"/>
        <w:pStyle w:val="Nagwek3"/>
        <w:suff w:val="space"/>
        <w:lvlText w:val="%1%2.%3."/>
        <w:lvlJc w:val="left"/>
        <w:pPr>
          <w:ind w:left="0" w:firstLine="0"/>
        </w:pPr>
        <w:rPr>
          <w:rFonts w:hint="default"/>
        </w:rPr>
      </w:lvl>
    </w:lvlOverride>
    <w:lvlOverride w:ilvl="3">
      <w:lvl w:ilvl="3">
        <w:start w:val="1"/>
        <w:numFmt w:val="decimal"/>
        <w:lvlRestart w:val="0"/>
        <w:pStyle w:val="Nagwek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3"/>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8"/>
  </w:num>
  <w:num w:numId="31">
    <w:abstractNumId w:val="8"/>
  </w:num>
  <w:num w:numId="32">
    <w:abstractNumId w:val="12"/>
  </w:num>
  <w:num w:numId="33">
    <w:abstractNumId w:val="7"/>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67EB"/>
    <w:rsid w:val="000229AB"/>
    <w:rsid w:val="0002569A"/>
    <w:rsid w:val="00037321"/>
    <w:rsid w:val="00047010"/>
    <w:rsid w:val="00047C67"/>
    <w:rsid w:val="000512A7"/>
    <w:rsid w:val="0009704A"/>
    <w:rsid w:val="000A0299"/>
    <w:rsid w:val="000A2990"/>
    <w:rsid w:val="000F2166"/>
    <w:rsid w:val="000F5F93"/>
    <w:rsid w:val="000F7E94"/>
    <w:rsid w:val="0010664F"/>
    <w:rsid w:val="001119D6"/>
    <w:rsid w:val="00117C45"/>
    <w:rsid w:val="001308F2"/>
    <w:rsid w:val="001313E8"/>
    <w:rsid w:val="00167A68"/>
    <w:rsid w:val="00176F22"/>
    <w:rsid w:val="00183BC4"/>
    <w:rsid w:val="00185A51"/>
    <w:rsid w:val="001B41FD"/>
    <w:rsid w:val="001C4647"/>
    <w:rsid w:val="001C58F5"/>
    <w:rsid w:val="001C71D2"/>
    <w:rsid w:val="001D222D"/>
    <w:rsid w:val="001D5CEE"/>
    <w:rsid w:val="001E75AC"/>
    <w:rsid w:val="002071D9"/>
    <w:rsid w:val="00227D55"/>
    <w:rsid w:val="00246B8F"/>
    <w:rsid w:val="00256822"/>
    <w:rsid w:val="0026525A"/>
    <w:rsid w:val="00265C4F"/>
    <w:rsid w:val="00274790"/>
    <w:rsid w:val="00285755"/>
    <w:rsid w:val="00293491"/>
    <w:rsid w:val="002A1F9C"/>
    <w:rsid w:val="002B29C2"/>
    <w:rsid w:val="002B509C"/>
    <w:rsid w:val="002C4208"/>
    <w:rsid w:val="002F2820"/>
    <w:rsid w:val="002F4F97"/>
    <w:rsid w:val="002F7AA8"/>
    <w:rsid w:val="00303401"/>
    <w:rsid w:val="00352DE1"/>
    <w:rsid w:val="003728E6"/>
    <w:rsid w:val="003805B2"/>
    <w:rsid w:val="00395551"/>
    <w:rsid w:val="003B5E0E"/>
    <w:rsid w:val="003D255A"/>
    <w:rsid w:val="003E34BF"/>
    <w:rsid w:val="00416949"/>
    <w:rsid w:val="004370D8"/>
    <w:rsid w:val="00455043"/>
    <w:rsid w:val="004641AA"/>
    <w:rsid w:val="00472C43"/>
    <w:rsid w:val="00491A70"/>
    <w:rsid w:val="004A7072"/>
    <w:rsid w:val="004D5425"/>
    <w:rsid w:val="004D79A8"/>
    <w:rsid w:val="004E1E17"/>
    <w:rsid w:val="00534C27"/>
    <w:rsid w:val="00537496"/>
    <w:rsid w:val="00544ED3"/>
    <w:rsid w:val="0058477B"/>
    <w:rsid w:val="0058654F"/>
    <w:rsid w:val="00586E40"/>
    <w:rsid w:val="00596ACA"/>
    <w:rsid w:val="005A1826"/>
    <w:rsid w:val="005E39BC"/>
    <w:rsid w:val="005F00A0"/>
    <w:rsid w:val="005F0D86"/>
    <w:rsid w:val="005F419C"/>
    <w:rsid w:val="006216B0"/>
    <w:rsid w:val="0064617F"/>
    <w:rsid w:val="00647845"/>
    <w:rsid w:val="00647F33"/>
    <w:rsid w:val="006526FA"/>
    <w:rsid w:val="00656D99"/>
    <w:rsid w:val="00662532"/>
    <w:rsid w:val="006B2274"/>
    <w:rsid w:val="006E5646"/>
    <w:rsid w:val="006F785D"/>
    <w:rsid w:val="00717C6F"/>
    <w:rsid w:val="007248FE"/>
    <w:rsid w:val="00735B79"/>
    <w:rsid w:val="007445DA"/>
    <w:rsid w:val="00745E03"/>
    <w:rsid w:val="00745FDA"/>
    <w:rsid w:val="007A2F82"/>
    <w:rsid w:val="007B4FD1"/>
    <w:rsid w:val="00802381"/>
    <w:rsid w:val="0080251D"/>
    <w:rsid w:val="0086654E"/>
    <w:rsid w:val="00883848"/>
    <w:rsid w:val="00893E00"/>
    <w:rsid w:val="00897ED5"/>
    <w:rsid w:val="008B6BB9"/>
    <w:rsid w:val="008D2874"/>
    <w:rsid w:val="008D507F"/>
    <w:rsid w:val="00911543"/>
    <w:rsid w:val="00922A06"/>
    <w:rsid w:val="009519C9"/>
    <w:rsid w:val="0096226E"/>
    <w:rsid w:val="00987E91"/>
    <w:rsid w:val="00990BB6"/>
    <w:rsid w:val="009D0B86"/>
    <w:rsid w:val="009E0D5B"/>
    <w:rsid w:val="009E1558"/>
    <w:rsid w:val="009F6015"/>
    <w:rsid w:val="00A033F2"/>
    <w:rsid w:val="00A339B3"/>
    <w:rsid w:val="00A370AA"/>
    <w:rsid w:val="00A42898"/>
    <w:rsid w:val="00A55C70"/>
    <w:rsid w:val="00A65309"/>
    <w:rsid w:val="00AA430C"/>
    <w:rsid w:val="00AB58E4"/>
    <w:rsid w:val="00AB6ACE"/>
    <w:rsid w:val="00AC5A3A"/>
    <w:rsid w:val="00B02164"/>
    <w:rsid w:val="00B23401"/>
    <w:rsid w:val="00B618F4"/>
    <w:rsid w:val="00B82FA5"/>
    <w:rsid w:val="00BB6E9B"/>
    <w:rsid w:val="00BC29B8"/>
    <w:rsid w:val="00BD1400"/>
    <w:rsid w:val="00BD605C"/>
    <w:rsid w:val="00BE2A76"/>
    <w:rsid w:val="00BF45DD"/>
    <w:rsid w:val="00BF5F8E"/>
    <w:rsid w:val="00BF6324"/>
    <w:rsid w:val="00C16316"/>
    <w:rsid w:val="00C21264"/>
    <w:rsid w:val="00C41016"/>
    <w:rsid w:val="00C444F9"/>
    <w:rsid w:val="00C65E60"/>
    <w:rsid w:val="00C67871"/>
    <w:rsid w:val="00C724C7"/>
    <w:rsid w:val="00C7658D"/>
    <w:rsid w:val="00CA1634"/>
    <w:rsid w:val="00CC339A"/>
    <w:rsid w:val="00CE2E1E"/>
    <w:rsid w:val="00CE5A52"/>
    <w:rsid w:val="00CE7E4B"/>
    <w:rsid w:val="00CF7AF3"/>
    <w:rsid w:val="00D0495A"/>
    <w:rsid w:val="00D26ADA"/>
    <w:rsid w:val="00D35A78"/>
    <w:rsid w:val="00D54720"/>
    <w:rsid w:val="00D555A1"/>
    <w:rsid w:val="00D57843"/>
    <w:rsid w:val="00D64DC2"/>
    <w:rsid w:val="00D87EB6"/>
    <w:rsid w:val="00D9185C"/>
    <w:rsid w:val="00DA46CA"/>
    <w:rsid w:val="00DC1259"/>
    <w:rsid w:val="00DD47A1"/>
    <w:rsid w:val="00DE133E"/>
    <w:rsid w:val="00DE3127"/>
    <w:rsid w:val="00DF21EB"/>
    <w:rsid w:val="00E02AB5"/>
    <w:rsid w:val="00E13FA0"/>
    <w:rsid w:val="00E20E70"/>
    <w:rsid w:val="00E25B68"/>
    <w:rsid w:val="00E84003"/>
    <w:rsid w:val="00E869CA"/>
    <w:rsid w:val="00E9523B"/>
    <w:rsid w:val="00EC10FC"/>
    <w:rsid w:val="00ED0A99"/>
    <w:rsid w:val="00EE0041"/>
    <w:rsid w:val="00EE29B9"/>
    <w:rsid w:val="00EE61C3"/>
    <w:rsid w:val="00EF7F08"/>
    <w:rsid w:val="00F004EE"/>
    <w:rsid w:val="00F065BD"/>
    <w:rsid w:val="00F24C16"/>
    <w:rsid w:val="00F31676"/>
    <w:rsid w:val="00F42E23"/>
    <w:rsid w:val="00F45EEE"/>
    <w:rsid w:val="00F51E9C"/>
    <w:rsid w:val="00F523CA"/>
    <w:rsid w:val="00F74A9D"/>
    <w:rsid w:val="00F85715"/>
    <w:rsid w:val="00F954E6"/>
    <w:rsid w:val="00FA5974"/>
    <w:rsid w:val="00FF386F"/>
    <w:rsid w:val="00FF6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3FE039"/>
  <w15:docId w15:val="{8485C253-4388-4747-AFB6-3B2EE772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ny">
    <w:name w:val="Normal"/>
    <w:uiPriority w:val="49"/>
    <w:rsid w:val="00CF7AF3"/>
    <w:pPr>
      <w:overflowPunct w:val="0"/>
      <w:autoSpaceDE w:val="0"/>
      <w:autoSpaceDN w:val="0"/>
      <w:adjustRightInd w:val="0"/>
      <w:textAlignment w:val="baseline"/>
    </w:pPr>
    <w:rPr>
      <w:sz w:val="22"/>
      <w:lang w:eastAsia="en-US"/>
    </w:rPr>
  </w:style>
  <w:style w:type="paragraph" w:styleId="Nagwek1">
    <w:name w:val="heading 1"/>
    <w:aliases w:val="Paper title"/>
    <w:next w:val="Podtytu"/>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Nagwek2">
    <w:name w:val="heading 2"/>
    <w:aliases w:val="1st level paper heading"/>
    <w:next w:val="Tekstpodstawowy"/>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Nagwek3">
    <w:name w:val="heading 3"/>
    <w:aliases w:val="2nd level paper heading"/>
    <w:next w:val="Tekstpodstawowy"/>
    <w:uiPriority w:val="4"/>
    <w:qFormat/>
    <w:rsid w:val="00897ED5"/>
    <w:pPr>
      <w:widowControl w:val="0"/>
      <w:numPr>
        <w:ilvl w:val="2"/>
        <w:numId w:val="12"/>
      </w:numPr>
      <w:spacing w:before="240" w:after="240" w:line="240" w:lineRule="exact"/>
      <w:outlineLvl w:val="2"/>
    </w:pPr>
    <w:rPr>
      <w:b/>
      <w:lang w:eastAsia="en-US"/>
    </w:rPr>
  </w:style>
  <w:style w:type="paragraph" w:styleId="Nagwek4">
    <w:name w:val="heading 4"/>
    <w:aliases w:val="3rd level paper heading"/>
    <w:basedOn w:val="Normalny"/>
    <w:next w:val="Tekstpodstawowy"/>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Nagwek5">
    <w:name w:val="heading 5"/>
    <w:basedOn w:val="Normalny"/>
    <w:next w:val="Normalny"/>
    <w:uiPriority w:val="19"/>
    <w:locked/>
    <w:pPr>
      <w:overflowPunct/>
      <w:autoSpaceDE/>
      <w:autoSpaceDN/>
      <w:adjustRightInd/>
      <w:spacing w:before="240" w:after="60"/>
      <w:textAlignment w:val="auto"/>
      <w:outlineLvl w:val="4"/>
    </w:pPr>
    <w:rPr>
      <w:b/>
      <w:bCs/>
      <w:i/>
      <w:iCs/>
      <w:sz w:val="26"/>
      <w:szCs w:val="26"/>
      <w:lang w:val="en-US"/>
    </w:rPr>
  </w:style>
  <w:style w:type="paragraph" w:styleId="Nagwek6">
    <w:name w:val="heading 6"/>
    <w:basedOn w:val="Normalny"/>
    <w:next w:val="Normalny"/>
    <w:uiPriority w:val="19"/>
    <w:locked/>
    <w:pPr>
      <w:overflowPunct/>
      <w:autoSpaceDE/>
      <w:autoSpaceDN/>
      <w:adjustRightInd/>
      <w:spacing w:before="240" w:after="60"/>
      <w:textAlignment w:val="auto"/>
      <w:outlineLvl w:val="5"/>
    </w:pPr>
    <w:rPr>
      <w:b/>
      <w:bCs/>
      <w:szCs w:val="22"/>
      <w:lang w:val="en-US"/>
    </w:rPr>
  </w:style>
  <w:style w:type="paragraph" w:styleId="Nagwek7">
    <w:name w:val="heading 7"/>
    <w:basedOn w:val="Normalny"/>
    <w:next w:val="Normalny"/>
    <w:uiPriority w:val="19"/>
    <w:locked/>
    <w:pPr>
      <w:overflowPunct/>
      <w:autoSpaceDE/>
      <w:autoSpaceDN/>
      <w:adjustRightInd/>
      <w:spacing w:before="240" w:after="60"/>
      <w:textAlignment w:val="auto"/>
      <w:outlineLvl w:val="6"/>
    </w:pPr>
    <w:rPr>
      <w:szCs w:val="24"/>
      <w:lang w:val="en-US"/>
    </w:rPr>
  </w:style>
  <w:style w:type="paragraph" w:styleId="Nagwek8">
    <w:name w:val="heading 8"/>
    <w:basedOn w:val="Normalny"/>
    <w:next w:val="Normalny"/>
    <w:uiPriority w:val="19"/>
    <w:locked/>
    <w:pPr>
      <w:overflowPunct/>
      <w:autoSpaceDE/>
      <w:autoSpaceDN/>
      <w:adjustRightInd/>
      <w:spacing w:before="240" w:after="60"/>
      <w:textAlignment w:val="auto"/>
      <w:outlineLvl w:val="7"/>
    </w:pPr>
    <w:rPr>
      <w:i/>
      <w:iCs/>
      <w:szCs w:val="24"/>
      <w:lang w:val="en-US"/>
    </w:rPr>
  </w:style>
  <w:style w:type="paragraph" w:styleId="Nagwek9">
    <w:name w:val="heading 9"/>
    <w:basedOn w:val="Normalny"/>
    <w:next w:val="Normalny"/>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link w:val="TekstpodstawowyZnak"/>
    <w:qFormat/>
    <w:rsid w:val="00647F33"/>
    <w:pPr>
      <w:spacing w:line="260" w:lineRule="atLeast"/>
      <w:ind w:firstLine="567"/>
      <w:contextualSpacing/>
      <w:jc w:val="both"/>
    </w:pPr>
    <w:rPr>
      <w:lang w:eastAsia="en-US"/>
    </w:rPr>
  </w:style>
  <w:style w:type="paragraph" w:styleId="Tekstpodstawowywcity">
    <w:name w:val="Body Text Indent"/>
    <w:basedOn w:val="Tekstpodstawowy"/>
    <w:uiPriority w:val="49"/>
    <w:locked/>
    <w:pPr>
      <w:ind w:left="1134" w:hanging="675"/>
    </w:pPr>
  </w:style>
  <w:style w:type="paragraph" w:customStyle="1" w:styleId="BodyTextMultiline">
    <w:name w:val="Body Text Multiline"/>
    <w:basedOn w:val="Tekstpodstawowy"/>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egenda">
    <w:name w:val="caption"/>
    <w:next w:val="Normalny"/>
    <w:uiPriority w:val="49"/>
    <w:pPr>
      <w:spacing w:after="85"/>
    </w:pPr>
    <w:rPr>
      <w:bCs/>
      <w:sz w:val="18"/>
      <w:lang w:val="en-US" w:eastAsia="en-US"/>
    </w:rPr>
  </w:style>
  <w:style w:type="paragraph" w:styleId="Stopka">
    <w:name w:val="footer"/>
    <w:basedOn w:val="Normalny"/>
    <w:link w:val="StopkaZnak"/>
    <w:uiPriority w:val="99"/>
    <w:locked/>
    <w:pPr>
      <w:overflowPunct/>
      <w:autoSpaceDE/>
      <w:autoSpaceDN/>
      <w:adjustRightInd/>
      <w:textAlignment w:val="auto"/>
    </w:pPr>
    <w:rPr>
      <w:sz w:val="2"/>
      <w:lang w:val="en-US"/>
    </w:rPr>
  </w:style>
  <w:style w:type="paragraph" w:styleId="Tekstprzypisudolnego">
    <w:name w:val="footnote text"/>
    <w:semiHidden/>
    <w:locked/>
    <w:pPr>
      <w:tabs>
        <w:tab w:val="left" w:pos="459"/>
      </w:tabs>
      <w:spacing w:before="142"/>
      <w:ind w:left="459"/>
      <w:jc w:val="both"/>
    </w:pPr>
    <w:rPr>
      <w:sz w:val="18"/>
      <w:lang w:eastAsia="en-US"/>
    </w:rPr>
  </w:style>
  <w:style w:type="paragraph" w:styleId="Nagwek">
    <w:name w:val="header"/>
    <w:next w:val="Tekstpodstawowy"/>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kstpodstawowy"/>
    <w:uiPriority w:val="6"/>
    <w:qFormat/>
    <w:rsid w:val="00717C6F"/>
    <w:pPr>
      <w:numPr>
        <w:numId w:val="20"/>
      </w:numPr>
      <w:ind w:left="709"/>
    </w:pPr>
  </w:style>
  <w:style w:type="paragraph" w:customStyle="1" w:styleId="ListNumbered">
    <w:name w:val="List Numbered"/>
    <w:basedOn w:val="Tekstpodstawowy"/>
    <w:uiPriority w:val="5"/>
    <w:qFormat/>
    <w:locked/>
    <w:rsid w:val="00717C6F"/>
    <w:pPr>
      <w:numPr>
        <w:numId w:val="22"/>
      </w:numPr>
    </w:pPr>
  </w:style>
  <w:style w:type="paragraph" w:styleId="Tytu">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ny"/>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ny"/>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ny"/>
    <w:uiPriority w:val="49"/>
    <w:locked/>
    <w:pPr>
      <w:keepNext/>
      <w:spacing w:after="10"/>
    </w:pPr>
    <w:rPr>
      <w:rFonts w:ascii="Arial" w:hAnsi="Arial"/>
      <w:b/>
      <w:sz w:val="13"/>
    </w:rPr>
  </w:style>
  <w:style w:type="paragraph" w:customStyle="1" w:styleId="zyxP1Footer">
    <w:name w:val="zyxP1_Footer"/>
    <w:basedOn w:val="Normalny"/>
    <w:uiPriority w:val="49"/>
    <w:locked/>
    <w:pPr>
      <w:widowControl w:val="0"/>
      <w:spacing w:line="160" w:lineRule="exact"/>
      <w:ind w:left="108"/>
    </w:pPr>
    <w:rPr>
      <w:sz w:val="14"/>
    </w:rPr>
  </w:style>
  <w:style w:type="paragraph" w:customStyle="1" w:styleId="zyxSensitivity">
    <w:name w:val="zyxSensitivity"/>
    <w:basedOn w:val="Normalny"/>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ny"/>
    <w:uiPriority w:val="49"/>
    <w:locked/>
    <w:pPr>
      <w:keepNext/>
      <w:spacing w:line="420" w:lineRule="exact"/>
    </w:pPr>
    <w:rPr>
      <w:rFonts w:ascii="Arial" w:hAnsi="Arial"/>
      <w:sz w:val="40"/>
    </w:rPr>
  </w:style>
  <w:style w:type="character" w:styleId="Odwoanieprzypisudolnego">
    <w:name w:val="footnote reference"/>
    <w:basedOn w:val="Domylnaczcionkaakapitu"/>
    <w:semiHidden/>
    <w:locked/>
    <w:rPr>
      <w:vertAlign w:val="superscript"/>
    </w:rPr>
  </w:style>
  <w:style w:type="paragraph" w:styleId="Podtytu">
    <w:name w:val="Subtitle"/>
    <w:next w:val="Tekstpodstawowy"/>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kstpodstawowy"/>
    <w:uiPriority w:val="49"/>
    <w:locked/>
    <w:pPr>
      <w:spacing w:line="280" w:lineRule="exact"/>
      <w:jc w:val="right"/>
    </w:pPr>
    <w:rPr>
      <w:rFonts w:ascii="Arial" w:hAnsi="Arial" w:cs="Arial"/>
      <w:b/>
      <w:bCs/>
      <w:caps/>
      <w:sz w:val="24"/>
    </w:rPr>
  </w:style>
  <w:style w:type="paragraph" w:customStyle="1" w:styleId="zyxClassification2">
    <w:name w:val="zyxClassification2"/>
    <w:basedOn w:val="Stopk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StopkaZnak">
    <w:name w:val="Stopka Znak"/>
    <w:basedOn w:val="Domylnaczcionkaakapitu"/>
    <w:link w:val="Stopka"/>
    <w:uiPriority w:val="99"/>
    <w:rsid w:val="00037321"/>
    <w:rPr>
      <w:sz w:val="2"/>
      <w:lang w:val="en-US" w:eastAsia="en-US"/>
    </w:rPr>
  </w:style>
  <w:style w:type="paragraph" w:customStyle="1" w:styleId="Runninghead">
    <w:name w:val="Running head"/>
    <w:basedOn w:val="Normalny"/>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omylnaczcionkaakapitu"/>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kstpodstawowyZnak">
    <w:name w:val="Tekst podstawowy Znak"/>
    <w:basedOn w:val="Domylnaczcionkaakapitu"/>
    <w:link w:val="Tekstpodstawowy"/>
    <w:rsid w:val="00647F33"/>
    <w:rPr>
      <w:lang w:eastAsia="en-US"/>
    </w:rPr>
  </w:style>
  <w:style w:type="character" w:customStyle="1" w:styleId="AuthornameandaffiliationChar">
    <w:name w:val="Author name and affiliation Char"/>
    <w:basedOn w:val="TekstpodstawowyZnak"/>
    <w:link w:val="Authornameandaffiliation"/>
    <w:uiPriority w:val="49"/>
    <w:rsid w:val="00647F33"/>
    <w:rPr>
      <w:lang w:val="en-US" w:eastAsia="en-US"/>
    </w:rPr>
  </w:style>
  <w:style w:type="table" w:styleId="Tabela-Siatka">
    <w:name w:val="Table Grid"/>
    <w:basedOn w:val="Standardowy"/>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kstdymka">
    <w:name w:val="Balloon Text"/>
    <w:basedOn w:val="Normalny"/>
    <w:link w:val="TekstdymkaZnak"/>
    <w:uiPriority w:val="49"/>
    <w:locked/>
    <w:rsid w:val="005F00A0"/>
    <w:rPr>
      <w:rFonts w:ascii="Tahoma" w:hAnsi="Tahoma" w:cs="Tahoma"/>
      <w:sz w:val="16"/>
      <w:szCs w:val="16"/>
    </w:rPr>
  </w:style>
  <w:style w:type="character" w:customStyle="1" w:styleId="TekstdymkaZnak">
    <w:name w:val="Tekst dymka Znak"/>
    <w:basedOn w:val="Domylnaczcionkaakapitu"/>
    <w:link w:val="Tekstdymka"/>
    <w:uiPriority w:val="49"/>
    <w:rsid w:val="005F00A0"/>
    <w:rPr>
      <w:rFonts w:ascii="Tahoma" w:hAnsi="Tahoma" w:cs="Tahoma"/>
      <w:sz w:val="16"/>
      <w:szCs w:val="16"/>
      <w:lang w:eastAsia="en-US"/>
    </w:rPr>
  </w:style>
  <w:style w:type="paragraph" w:customStyle="1" w:styleId="Figurecaption">
    <w:name w:val="Figure caption"/>
    <w:basedOn w:val="Tekstpodstawowy"/>
    <w:link w:val="FigurecaptionChar"/>
    <w:uiPriority w:val="49"/>
    <w:qFormat/>
    <w:locked/>
    <w:rsid w:val="00717C6F"/>
    <w:pPr>
      <w:jc w:val="center"/>
    </w:pPr>
    <w:rPr>
      <w:i/>
      <w:sz w:val="18"/>
    </w:rPr>
  </w:style>
  <w:style w:type="paragraph" w:customStyle="1" w:styleId="Otherunnumberedheadings">
    <w:name w:val="Other unnumbered headings"/>
    <w:next w:val="Tekstpodstawowy"/>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kstpodstawowyZnak"/>
    <w:link w:val="Figurecaption"/>
    <w:uiPriority w:val="49"/>
    <w:rsid w:val="00717C6F"/>
    <w:rPr>
      <w:i/>
      <w:sz w:val="18"/>
      <w:lang w:eastAsia="en-US"/>
    </w:rPr>
  </w:style>
  <w:style w:type="paragraph" w:customStyle="1" w:styleId="Referencelist">
    <w:name w:val="Reference list"/>
    <w:basedOn w:val="Tekstpodstawowy"/>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kstpodstawowyZnak"/>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kstpodstawowyZnak"/>
    <w:link w:val="Referencelist"/>
    <w:uiPriority w:val="49"/>
    <w:rsid w:val="009E0D5B"/>
    <w:rPr>
      <w:sz w:val="18"/>
      <w:szCs w:val="18"/>
      <w:lang w:eastAsia="en-US"/>
    </w:rPr>
  </w:style>
  <w:style w:type="paragraph" w:customStyle="1" w:styleId="Tabletext">
    <w:name w:val="Table text"/>
    <w:basedOn w:val="Tekstpodstawowy"/>
    <w:link w:val="TabletextChar"/>
    <w:uiPriority w:val="49"/>
    <w:qFormat/>
    <w:rsid w:val="00883848"/>
    <w:pPr>
      <w:ind w:firstLine="0"/>
    </w:pPr>
  </w:style>
  <w:style w:type="character" w:customStyle="1" w:styleId="TabletextChar">
    <w:name w:val="Table text Char"/>
    <w:basedOn w:val="TekstpodstawowyZnak"/>
    <w:link w:val="Tabletext"/>
    <w:uiPriority w:val="49"/>
    <w:rsid w:val="00883848"/>
    <w:rPr>
      <w:lang w:eastAsia="en-US"/>
    </w:rPr>
  </w:style>
  <w:style w:type="paragraph" w:styleId="Akapitzlist">
    <w:name w:val="List Paragraph"/>
    <w:basedOn w:val="Normalny"/>
    <w:uiPriority w:val="49"/>
    <w:locked/>
    <w:rsid w:val="00DC1259"/>
    <w:pPr>
      <w:ind w:left="720"/>
      <w:contextualSpacing/>
    </w:pPr>
  </w:style>
  <w:style w:type="character" w:styleId="Tekstzastpczy">
    <w:name w:val="Placeholder Text"/>
    <w:basedOn w:val="Domylnaczcionkaakapitu"/>
    <w:uiPriority w:val="99"/>
    <w:semiHidden/>
    <w:locked/>
    <w:rsid w:val="009F6015"/>
    <w:rPr>
      <w:color w:val="808080"/>
    </w:rPr>
  </w:style>
  <w:style w:type="character" w:customStyle="1" w:styleId="jlqj4b">
    <w:name w:val="jlqj4b"/>
    <w:basedOn w:val="Domylnaczcionkaakapitu"/>
    <w:rsid w:val="008D2874"/>
  </w:style>
  <w:style w:type="character" w:styleId="Odwoaniedokomentarza">
    <w:name w:val="annotation reference"/>
    <w:basedOn w:val="Domylnaczcionkaakapitu"/>
    <w:uiPriority w:val="49"/>
    <w:semiHidden/>
    <w:unhideWhenUsed/>
    <w:locked/>
    <w:rsid w:val="00D87EB6"/>
    <w:rPr>
      <w:sz w:val="16"/>
      <w:szCs w:val="16"/>
    </w:rPr>
  </w:style>
  <w:style w:type="paragraph" w:styleId="Tekstkomentarza">
    <w:name w:val="annotation text"/>
    <w:basedOn w:val="Normalny"/>
    <w:link w:val="TekstkomentarzaZnak"/>
    <w:uiPriority w:val="49"/>
    <w:semiHidden/>
    <w:unhideWhenUsed/>
    <w:locked/>
    <w:rsid w:val="00D87EB6"/>
    <w:rPr>
      <w:sz w:val="20"/>
    </w:rPr>
  </w:style>
  <w:style w:type="character" w:customStyle="1" w:styleId="TekstkomentarzaZnak">
    <w:name w:val="Tekst komentarza Znak"/>
    <w:basedOn w:val="Domylnaczcionkaakapitu"/>
    <w:link w:val="Tekstkomentarza"/>
    <w:uiPriority w:val="49"/>
    <w:semiHidden/>
    <w:rsid w:val="00D87EB6"/>
    <w:rPr>
      <w:lang w:eastAsia="en-US"/>
    </w:rPr>
  </w:style>
  <w:style w:type="paragraph" w:styleId="Tematkomentarza">
    <w:name w:val="annotation subject"/>
    <w:basedOn w:val="Tekstkomentarza"/>
    <w:next w:val="Tekstkomentarza"/>
    <w:link w:val="TematkomentarzaZnak"/>
    <w:uiPriority w:val="49"/>
    <w:semiHidden/>
    <w:unhideWhenUsed/>
    <w:locked/>
    <w:rsid w:val="00D87EB6"/>
    <w:rPr>
      <w:b/>
      <w:bCs/>
    </w:rPr>
  </w:style>
  <w:style w:type="character" w:customStyle="1" w:styleId="TematkomentarzaZnak">
    <w:name w:val="Temat komentarza Znak"/>
    <w:basedOn w:val="TekstkomentarzaZnak"/>
    <w:link w:val="Tematkomentarza"/>
    <w:uiPriority w:val="49"/>
    <w:semiHidden/>
    <w:rsid w:val="00D87EB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3089129483814524"/>
          <c:y val="5.1400554097404488E-2"/>
          <c:w val="0.81667104111986"/>
          <c:h val="0.85484225600084374"/>
        </c:manualLayout>
      </c:layout>
      <c:bar3DChart>
        <c:barDir val="col"/>
        <c:grouping val="standard"/>
        <c:varyColors val="0"/>
        <c:ser>
          <c:idx val="1"/>
          <c:order val="0"/>
          <c:tx>
            <c:v>ozonation</c:v>
          </c:tx>
          <c:spPr>
            <a:pattFill prst="ltUpDiag">
              <a:fgClr>
                <a:schemeClr val="tx1">
                  <a:lumMod val="85000"/>
                  <a:lumOff val="15000"/>
                </a:schemeClr>
              </a:fgClr>
              <a:bgClr>
                <a:schemeClr val="bg1"/>
              </a:bgClr>
            </a:pattFill>
            <a:ln>
              <a:noFill/>
            </a:ln>
          </c:spPr>
          <c:invertIfNegative val="0"/>
          <c:val>
            <c:numRef>
              <c:f>zbiorcze!$U$41:$U$43</c:f>
              <c:numCache>
                <c:formatCode>General</c:formatCode>
                <c:ptCount val="3"/>
                <c:pt idx="0">
                  <c:v>12</c:v>
                </c:pt>
                <c:pt idx="1">
                  <c:v>22</c:v>
                </c:pt>
                <c:pt idx="2">
                  <c:v>64</c:v>
                </c:pt>
              </c:numCache>
            </c:numRef>
          </c:val>
          <c:extLst>
            <c:ext xmlns:c16="http://schemas.microsoft.com/office/drawing/2014/chart" uri="{C3380CC4-5D6E-409C-BE32-E72D297353CC}">
              <c16:uniqueId val="{00000000-2D0F-49E6-9E4C-D882212C0D96}"/>
            </c:ext>
          </c:extLst>
        </c:ser>
        <c:ser>
          <c:idx val="0"/>
          <c:order val="1"/>
          <c:tx>
            <c:v>adsorption</c:v>
          </c:tx>
          <c:spPr>
            <a:solidFill>
              <a:schemeClr val="tx1">
                <a:lumMod val="75000"/>
                <a:lumOff val="25000"/>
              </a:schemeClr>
            </a:solidFill>
          </c:spPr>
          <c:invertIfNegative val="0"/>
          <c:cat>
            <c:numRef>
              <c:f>zbiorcze!$S$41:$S$43</c:f>
              <c:numCache>
                <c:formatCode>General</c:formatCode>
                <c:ptCount val="3"/>
                <c:pt idx="0">
                  <c:v>15</c:v>
                </c:pt>
                <c:pt idx="1">
                  <c:v>55</c:v>
                </c:pt>
                <c:pt idx="2">
                  <c:v>75</c:v>
                </c:pt>
              </c:numCache>
            </c:numRef>
          </c:cat>
          <c:val>
            <c:numRef>
              <c:f>zbiorcze!$T$41:$T$43</c:f>
              <c:numCache>
                <c:formatCode>General</c:formatCode>
                <c:ptCount val="3"/>
                <c:pt idx="0">
                  <c:v>68</c:v>
                </c:pt>
                <c:pt idx="1">
                  <c:v>66</c:v>
                </c:pt>
                <c:pt idx="2">
                  <c:v>73</c:v>
                </c:pt>
              </c:numCache>
            </c:numRef>
          </c:val>
          <c:extLst>
            <c:ext xmlns:c16="http://schemas.microsoft.com/office/drawing/2014/chart" uri="{C3380CC4-5D6E-409C-BE32-E72D297353CC}">
              <c16:uniqueId val="{00000001-2D0F-49E6-9E4C-D882212C0D96}"/>
            </c:ext>
          </c:extLst>
        </c:ser>
        <c:dLbls>
          <c:showLegendKey val="0"/>
          <c:showVal val="0"/>
          <c:showCatName val="0"/>
          <c:showSerName val="0"/>
          <c:showPercent val="0"/>
          <c:showBubbleSize val="0"/>
        </c:dLbls>
        <c:gapWidth val="150"/>
        <c:shape val="box"/>
        <c:axId val="149000192"/>
        <c:axId val="149002496"/>
        <c:axId val="137430784"/>
      </c:bar3DChart>
      <c:catAx>
        <c:axId val="149000192"/>
        <c:scaling>
          <c:orientation val="minMax"/>
        </c:scaling>
        <c:delete val="0"/>
        <c:axPos val="b"/>
        <c:title>
          <c:tx>
            <c:rich>
              <a:bodyPr/>
              <a:lstStyle/>
              <a:p>
                <a:pPr>
                  <a:defRPr/>
                </a:pPr>
                <a:r>
                  <a:rPr lang="en-US"/>
                  <a:t>Initial TOC of the sample [mg/L]</a:t>
                </a:r>
              </a:p>
            </c:rich>
          </c:tx>
          <c:layout>
            <c:manualLayout>
              <c:xMode val="edge"/>
              <c:yMode val="edge"/>
              <c:x val="0.20799699565856158"/>
              <c:y val="0.8620116264446851"/>
            </c:manualLayout>
          </c:layout>
          <c:overlay val="0"/>
        </c:title>
        <c:numFmt formatCode="General" sourceLinked="1"/>
        <c:majorTickMark val="out"/>
        <c:minorTickMark val="none"/>
        <c:tickLblPos val="nextTo"/>
        <c:crossAx val="149002496"/>
        <c:crosses val="autoZero"/>
        <c:auto val="1"/>
        <c:lblAlgn val="ctr"/>
        <c:lblOffset val="100"/>
        <c:noMultiLvlLbl val="0"/>
      </c:catAx>
      <c:valAx>
        <c:axId val="149002496"/>
        <c:scaling>
          <c:orientation val="minMax"/>
        </c:scaling>
        <c:delete val="0"/>
        <c:axPos val="l"/>
        <c:majorGridlines/>
        <c:title>
          <c:tx>
            <c:rich>
              <a:bodyPr rot="-5400000" vert="horz"/>
              <a:lstStyle/>
              <a:p>
                <a:pPr>
                  <a:defRPr/>
                </a:pPr>
                <a:r>
                  <a:rPr lang="en-US"/>
                  <a:t>R [%]</a:t>
                </a:r>
              </a:p>
            </c:rich>
          </c:tx>
          <c:layout>
            <c:manualLayout>
              <c:xMode val="edge"/>
              <c:yMode val="edge"/>
              <c:x val="1.7383034962610806E-2"/>
              <c:y val="0.40072614570782977"/>
            </c:manualLayout>
          </c:layout>
          <c:overlay val="0"/>
        </c:title>
        <c:numFmt formatCode="General" sourceLinked="1"/>
        <c:majorTickMark val="out"/>
        <c:minorTickMark val="none"/>
        <c:tickLblPos val="nextTo"/>
        <c:crossAx val="149000192"/>
        <c:crosses val="autoZero"/>
        <c:crossBetween val="between"/>
      </c:valAx>
      <c:serAx>
        <c:axId val="137430784"/>
        <c:scaling>
          <c:orientation val="minMax"/>
        </c:scaling>
        <c:delete val="1"/>
        <c:axPos val="b"/>
        <c:majorTickMark val="out"/>
        <c:minorTickMark val="none"/>
        <c:tickLblPos val="nextTo"/>
        <c:crossAx val="149002496"/>
        <c:crosses val="autoZero"/>
      </c:serAx>
    </c:plotArea>
    <c:legend>
      <c:legendPos val="r"/>
      <c:layout>
        <c:manualLayout>
          <c:xMode val="edge"/>
          <c:yMode val="edge"/>
          <c:x val="0.3487529157055041"/>
          <c:y val="1.6494668411680145E-2"/>
          <c:w val="0.59588695439256689"/>
          <c:h val="7.4841790609507144E-2"/>
        </c:manualLayout>
      </c:layout>
      <c:overlay val="0"/>
    </c:legend>
    <c:plotVisOnly val="1"/>
    <c:dispBlanksAs val="gap"/>
    <c:showDLblsOverMax val="0"/>
  </c:chart>
  <c:spPr>
    <a:ln>
      <a:noFill/>
    </a:ln>
  </c:spPr>
  <c:txPr>
    <a:bodyPr/>
    <a:lstStyle/>
    <a:p>
      <a:pPr>
        <a:defRPr sz="900"/>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5.8099518810148729E-2"/>
          <c:y val="5.1400554097404488E-2"/>
          <c:w val="0.92338756238466146"/>
          <c:h val="0.8326195683872849"/>
        </c:manualLayout>
      </c:layout>
      <c:bar3DChart>
        <c:barDir val="col"/>
        <c:grouping val="clustered"/>
        <c:varyColors val="0"/>
        <c:ser>
          <c:idx val="0"/>
          <c:order val="0"/>
          <c:tx>
            <c:v>Initial</c:v>
          </c:tx>
          <c:spPr>
            <a:pattFill prst="ltUpDiag">
              <a:fgClr>
                <a:schemeClr val="tx1">
                  <a:lumMod val="85000"/>
                  <a:lumOff val="15000"/>
                </a:schemeClr>
              </a:fgClr>
              <a:bgClr>
                <a:schemeClr val="bg1"/>
              </a:bgClr>
            </a:pattFill>
          </c:spPr>
          <c:invertIfNegative val="0"/>
          <c:cat>
            <c:strRef>
              <c:f>'Ściek modelowy A-03.2021'!$Q$56:$Q$57</c:f>
              <c:strCache>
                <c:ptCount val="2"/>
                <c:pt idx="0">
                  <c:v>Diluate</c:v>
                </c:pt>
                <c:pt idx="1">
                  <c:v>Concentrate</c:v>
                </c:pt>
              </c:strCache>
            </c:strRef>
          </c:cat>
          <c:val>
            <c:numRef>
              <c:f>'Ściek modelowy A-03.2021'!$R$56:$R$57</c:f>
              <c:numCache>
                <c:formatCode>General</c:formatCode>
                <c:ptCount val="2"/>
                <c:pt idx="0">
                  <c:v>55.5</c:v>
                </c:pt>
                <c:pt idx="1">
                  <c:v>6.5</c:v>
                </c:pt>
              </c:numCache>
            </c:numRef>
          </c:val>
          <c:extLst>
            <c:ext xmlns:c16="http://schemas.microsoft.com/office/drawing/2014/chart" uri="{C3380CC4-5D6E-409C-BE32-E72D297353CC}">
              <c16:uniqueId val="{00000000-9A09-405C-B2D3-0CD50DFE1448}"/>
            </c:ext>
          </c:extLst>
        </c:ser>
        <c:ser>
          <c:idx val="1"/>
          <c:order val="1"/>
          <c:tx>
            <c:v>Final</c:v>
          </c:tx>
          <c:spPr>
            <a:solidFill>
              <a:schemeClr val="tx1">
                <a:lumMod val="75000"/>
                <a:lumOff val="25000"/>
              </a:schemeClr>
            </a:solidFill>
          </c:spPr>
          <c:invertIfNegative val="0"/>
          <c:cat>
            <c:strRef>
              <c:f>'Ściek modelowy A-03.2021'!$Q$56:$Q$57</c:f>
              <c:strCache>
                <c:ptCount val="2"/>
                <c:pt idx="0">
                  <c:v>Diluate</c:v>
                </c:pt>
                <c:pt idx="1">
                  <c:v>Concentrate</c:v>
                </c:pt>
              </c:strCache>
            </c:strRef>
          </c:cat>
          <c:val>
            <c:numRef>
              <c:f>'Ściek modelowy A-03.2021'!$S$56:$S$57</c:f>
              <c:numCache>
                <c:formatCode>General</c:formatCode>
                <c:ptCount val="2"/>
                <c:pt idx="0">
                  <c:v>49.6</c:v>
                </c:pt>
                <c:pt idx="1">
                  <c:v>8.5</c:v>
                </c:pt>
              </c:numCache>
            </c:numRef>
          </c:val>
          <c:extLst>
            <c:ext xmlns:c16="http://schemas.microsoft.com/office/drawing/2014/chart" uri="{C3380CC4-5D6E-409C-BE32-E72D297353CC}">
              <c16:uniqueId val="{00000001-9A09-405C-B2D3-0CD50DFE1448}"/>
            </c:ext>
          </c:extLst>
        </c:ser>
        <c:dLbls>
          <c:showLegendKey val="0"/>
          <c:showVal val="0"/>
          <c:showCatName val="0"/>
          <c:showSerName val="0"/>
          <c:showPercent val="0"/>
          <c:showBubbleSize val="0"/>
        </c:dLbls>
        <c:gapWidth val="150"/>
        <c:shape val="box"/>
        <c:axId val="82783616"/>
        <c:axId val="82785408"/>
        <c:axId val="0"/>
      </c:bar3DChart>
      <c:catAx>
        <c:axId val="82783616"/>
        <c:scaling>
          <c:orientation val="minMax"/>
        </c:scaling>
        <c:delete val="0"/>
        <c:axPos val="b"/>
        <c:numFmt formatCode="General" sourceLinked="0"/>
        <c:majorTickMark val="out"/>
        <c:minorTickMark val="none"/>
        <c:tickLblPos val="nextTo"/>
        <c:txPr>
          <a:bodyPr/>
          <a:lstStyle/>
          <a:p>
            <a:pPr>
              <a:defRPr sz="800"/>
            </a:pPr>
            <a:endParaRPr lang="pl-PL"/>
          </a:p>
        </c:txPr>
        <c:crossAx val="82785408"/>
        <c:crosses val="autoZero"/>
        <c:auto val="1"/>
        <c:lblAlgn val="ctr"/>
        <c:lblOffset val="100"/>
        <c:noMultiLvlLbl val="0"/>
      </c:catAx>
      <c:valAx>
        <c:axId val="82785408"/>
        <c:scaling>
          <c:orientation val="minMax"/>
        </c:scaling>
        <c:delete val="0"/>
        <c:axPos val="l"/>
        <c:majorGridlines/>
        <c:title>
          <c:tx>
            <c:rich>
              <a:bodyPr rot="-5400000" vert="horz"/>
              <a:lstStyle/>
              <a:p>
                <a:pPr>
                  <a:defRPr/>
                </a:pPr>
                <a:r>
                  <a:rPr lang="en-US"/>
                  <a:t>TOC content, mg</a:t>
                </a:r>
              </a:p>
            </c:rich>
          </c:tx>
          <c:layout>
            <c:manualLayout>
              <c:xMode val="edge"/>
              <c:yMode val="edge"/>
              <c:x val="1.7522607244944578E-3"/>
              <c:y val="0.22722099172327551"/>
            </c:manualLayout>
          </c:layout>
          <c:overlay val="0"/>
        </c:title>
        <c:numFmt formatCode="General" sourceLinked="1"/>
        <c:majorTickMark val="out"/>
        <c:minorTickMark val="none"/>
        <c:tickLblPos val="nextTo"/>
        <c:txPr>
          <a:bodyPr/>
          <a:lstStyle/>
          <a:p>
            <a:pPr>
              <a:defRPr sz="800"/>
            </a:pPr>
            <a:endParaRPr lang="pl-PL"/>
          </a:p>
        </c:txPr>
        <c:crossAx val="82783616"/>
        <c:crosses val="autoZero"/>
        <c:crossBetween val="between"/>
      </c:valAx>
      <c:spPr>
        <a:ln>
          <a:noFill/>
        </a:ln>
      </c:spPr>
    </c:plotArea>
    <c:legend>
      <c:legendPos val="t"/>
      <c:layout>
        <c:manualLayout>
          <c:xMode val="edge"/>
          <c:yMode val="edge"/>
          <c:x val="0.58500109361329833"/>
          <c:y val="1.8518518518518517E-2"/>
          <c:w val="0.39110870516185481"/>
          <c:h val="8.3717191601049873E-2"/>
        </c:manualLayout>
      </c:layout>
      <c:overlay val="0"/>
      <c:txPr>
        <a:bodyPr/>
        <a:lstStyle/>
        <a:p>
          <a:pPr>
            <a:defRPr sz="800"/>
          </a:pPr>
          <a:endParaRPr lang="pl-PL"/>
        </a:p>
      </c:txPr>
    </c:legend>
    <c:plotVisOnly val="1"/>
    <c:dispBlanksAs val="gap"/>
    <c:showDLblsOverMax val="0"/>
  </c:chart>
  <c:spPr>
    <a:ln>
      <a:noFill/>
    </a:ln>
  </c:spPr>
  <c:txPr>
    <a:bodyPr/>
    <a:lstStyle/>
    <a:p>
      <a:pPr>
        <a:defRPr sz="900"/>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5.8099518810148729E-2"/>
          <c:y val="5.1400554097404488E-2"/>
          <c:w val="0.91633092738407707"/>
          <c:h val="0.8326195683872849"/>
        </c:manualLayout>
      </c:layout>
      <c:bar3DChart>
        <c:barDir val="col"/>
        <c:grouping val="clustered"/>
        <c:varyColors val="0"/>
        <c:ser>
          <c:idx val="0"/>
          <c:order val="0"/>
          <c:tx>
            <c:v>Initial</c:v>
          </c:tx>
          <c:spPr>
            <a:pattFill prst="ltUpDiag">
              <a:fgClr>
                <a:schemeClr val="tx1">
                  <a:lumMod val="75000"/>
                  <a:lumOff val="25000"/>
                </a:schemeClr>
              </a:fgClr>
              <a:bgClr>
                <a:schemeClr val="bg1"/>
              </a:bgClr>
            </a:pattFill>
          </c:spPr>
          <c:invertIfNegative val="0"/>
          <c:cat>
            <c:strRef>
              <c:f>'Ściek modelowy A-03.2021'!$Q$56:$Q$57</c:f>
              <c:strCache>
                <c:ptCount val="2"/>
                <c:pt idx="0">
                  <c:v>Diluate</c:v>
                </c:pt>
                <c:pt idx="1">
                  <c:v>Concentrate</c:v>
                </c:pt>
              </c:strCache>
            </c:strRef>
          </c:cat>
          <c:val>
            <c:numRef>
              <c:f>'Ściek modelowy A-03.2021'!$T$56:$T$57</c:f>
              <c:numCache>
                <c:formatCode>General</c:formatCode>
                <c:ptCount val="2"/>
                <c:pt idx="0">
                  <c:v>4.62</c:v>
                </c:pt>
                <c:pt idx="1">
                  <c:v>1.33</c:v>
                </c:pt>
              </c:numCache>
            </c:numRef>
          </c:val>
          <c:extLst>
            <c:ext xmlns:c16="http://schemas.microsoft.com/office/drawing/2014/chart" uri="{C3380CC4-5D6E-409C-BE32-E72D297353CC}">
              <c16:uniqueId val="{00000000-C527-4026-A3C8-0D0922694D69}"/>
            </c:ext>
          </c:extLst>
        </c:ser>
        <c:ser>
          <c:idx val="1"/>
          <c:order val="1"/>
          <c:tx>
            <c:v>Final</c:v>
          </c:tx>
          <c:spPr>
            <a:solidFill>
              <a:schemeClr val="tx1">
                <a:lumMod val="75000"/>
                <a:lumOff val="25000"/>
              </a:schemeClr>
            </a:solidFill>
          </c:spPr>
          <c:invertIfNegative val="0"/>
          <c:cat>
            <c:strRef>
              <c:f>'Ściek modelowy A-03.2021'!$Q$56:$Q$57</c:f>
              <c:strCache>
                <c:ptCount val="2"/>
                <c:pt idx="0">
                  <c:v>Diluate</c:v>
                </c:pt>
                <c:pt idx="1">
                  <c:v>Concentrate</c:v>
                </c:pt>
              </c:strCache>
            </c:strRef>
          </c:cat>
          <c:val>
            <c:numRef>
              <c:f>'Ściek modelowy A-03.2021'!$U$56:$U$57</c:f>
              <c:numCache>
                <c:formatCode>General</c:formatCode>
                <c:ptCount val="2"/>
                <c:pt idx="0">
                  <c:v>0.28000000000000003</c:v>
                </c:pt>
                <c:pt idx="1">
                  <c:v>16.2</c:v>
                </c:pt>
              </c:numCache>
            </c:numRef>
          </c:val>
          <c:extLst>
            <c:ext xmlns:c16="http://schemas.microsoft.com/office/drawing/2014/chart" uri="{C3380CC4-5D6E-409C-BE32-E72D297353CC}">
              <c16:uniqueId val="{00000001-C527-4026-A3C8-0D0922694D69}"/>
            </c:ext>
          </c:extLst>
        </c:ser>
        <c:dLbls>
          <c:showLegendKey val="0"/>
          <c:showVal val="0"/>
          <c:showCatName val="0"/>
          <c:showSerName val="0"/>
          <c:showPercent val="0"/>
          <c:showBubbleSize val="0"/>
        </c:dLbls>
        <c:gapWidth val="150"/>
        <c:shape val="box"/>
        <c:axId val="82966784"/>
        <c:axId val="83230720"/>
        <c:axId val="0"/>
      </c:bar3DChart>
      <c:catAx>
        <c:axId val="82966784"/>
        <c:scaling>
          <c:orientation val="minMax"/>
        </c:scaling>
        <c:delete val="0"/>
        <c:axPos val="b"/>
        <c:numFmt formatCode="General" sourceLinked="0"/>
        <c:majorTickMark val="out"/>
        <c:minorTickMark val="none"/>
        <c:tickLblPos val="nextTo"/>
        <c:txPr>
          <a:bodyPr/>
          <a:lstStyle/>
          <a:p>
            <a:pPr>
              <a:defRPr sz="800"/>
            </a:pPr>
            <a:endParaRPr lang="pl-PL"/>
          </a:p>
        </c:txPr>
        <c:crossAx val="83230720"/>
        <c:crosses val="autoZero"/>
        <c:auto val="1"/>
        <c:lblAlgn val="ctr"/>
        <c:lblOffset val="100"/>
        <c:noMultiLvlLbl val="0"/>
      </c:catAx>
      <c:valAx>
        <c:axId val="83230720"/>
        <c:scaling>
          <c:orientation val="minMax"/>
          <c:max val="20"/>
        </c:scaling>
        <c:delete val="0"/>
        <c:axPos val="l"/>
        <c:majorGridlines/>
        <c:title>
          <c:tx>
            <c:rich>
              <a:bodyPr rot="-5400000" vert="horz"/>
              <a:lstStyle/>
              <a:p>
                <a:pPr>
                  <a:defRPr sz="900"/>
                </a:pPr>
                <a:r>
                  <a:rPr lang="pl-PL" sz="900"/>
                  <a:t>Conductivity, mS/cm</a:t>
                </a:r>
                <a:endParaRPr lang="en-US" sz="900"/>
              </a:p>
            </c:rich>
          </c:tx>
          <c:layout>
            <c:manualLayout>
              <c:xMode val="edge"/>
              <c:yMode val="edge"/>
              <c:x val="2.0738307396535429E-3"/>
              <c:y val="0.15320736321149628"/>
            </c:manualLayout>
          </c:layout>
          <c:overlay val="0"/>
        </c:title>
        <c:numFmt formatCode="General" sourceLinked="1"/>
        <c:majorTickMark val="out"/>
        <c:minorTickMark val="none"/>
        <c:tickLblPos val="nextTo"/>
        <c:txPr>
          <a:bodyPr/>
          <a:lstStyle/>
          <a:p>
            <a:pPr>
              <a:defRPr sz="800"/>
            </a:pPr>
            <a:endParaRPr lang="pl-PL"/>
          </a:p>
        </c:txPr>
        <c:crossAx val="82966784"/>
        <c:crosses val="autoZero"/>
        <c:crossBetween val="between"/>
        <c:majorUnit val="5"/>
      </c:valAx>
      <c:spPr>
        <a:ln>
          <a:noFill/>
        </a:ln>
      </c:spPr>
    </c:plotArea>
    <c:legend>
      <c:legendPos val="t"/>
      <c:layout>
        <c:manualLayout>
          <c:xMode val="edge"/>
          <c:yMode val="edge"/>
          <c:x val="0.68429002624671931"/>
          <c:y val="0"/>
          <c:w val="0.29808661417322835"/>
          <c:h val="8.3717191601049873E-2"/>
        </c:manualLayout>
      </c:layout>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8.3099518810148737E-2"/>
          <c:y val="4.214129483814523E-2"/>
          <c:w val="0.91633092738407707"/>
          <c:h val="0.8326195683872849"/>
        </c:manualLayout>
      </c:layout>
      <c:bar3DChart>
        <c:barDir val="col"/>
        <c:grouping val="clustered"/>
        <c:varyColors val="0"/>
        <c:ser>
          <c:idx val="0"/>
          <c:order val="0"/>
          <c:tx>
            <c:v>Initial</c:v>
          </c:tx>
          <c:spPr>
            <a:pattFill prst="ltUpDiag">
              <a:fgClr>
                <a:schemeClr val="tx1">
                  <a:lumMod val="75000"/>
                  <a:lumOff val="25000"/>
                </a:schemeClr>
              </a:fgClr>
              <a:bgClr>
                <a:schemeClr val="bg1"/>
              </a:bgClr>
            </a:pattFill>
          </c:spPr>
          <c:invertIfNegative val="0"/>
          <c:cat>
            <c:strRef>
              <c:f>'Ściek modelowy A-03.2021'!$Q$56:$Q$57</c:f>
              <c:strCache>
                <c:ptCount val="2"/>
                <c:pt idx="0">
                  <c:v>Diluate</c:v>
                </c:pt>
                <c:pt idx="1">
                  <c:v>Concentrate</c:v>
                </c:pt>
              </c:strCache>
            </c:strRef>
          </c:cat>
          <c:val>
            <c:numRef>
              <c:f>'Ściek modelowy A-03.2021'!$V$56:$V$57</c:f>
              <c:numCache>
                <c:formatCode>General</c:formatCode>
                <c:ptCount val="2"/>
                <c:pt idx="0">
                  <c:v>12173.880000000001</c:v>
                </c:pt>
                <c:pt idx="1">
                  <c:v>12.040000000000001</c:v>
                </c:pt>
              </c:numCache>
            </c:numRef>
          </c:val>
          <c:extLst>
            <c:ext xmlns:c16="http://schemas.microsoft.com/office/drawing/2014/chart" uri="{C3380CC4-5D6E-409C-BE32-E72D297353CC}">
              <c16:uniqueId val="{00000000-4A2D-42C4-9F93-800074A3CDB9}"/>
            </c:ext>
          </c:extLst>
        </c:ser>
        <c:ser>
          <c:idx val="1"/>
          <c:order val="1"/>
          <c:tx>
            <c:v>Final</c:v>
          </c:tx>
          <c:spPr>
            <a:solidFill>
              <a:schemeClr val="tx1">
                <a:lumMod val="75000"/>
                <a:lumOff val="25000"/>
              </a:schemeClr>
            </a:solidFill>
          </c:spPr>
          <c:invertIfNegative val="0"/>
          <c:cat>
            <c:strRef>
              <c:f>'Ściek modelowy A-03.2021'!$Q$56:$Q$57</c:f>
              <c:strCache>
                <c:ptCount val="2"/>
                <c:pt idx="0">
                  <c:v>Diluate</c:v>
                </c:pt>
                <c:pt idx="1">
                  <c:v>Concentrate</c:v>
                </c:pt>
              </c:strCache>
            </c:strRef>
          </c:cat>
          <c:val>
            <c:numRef>
              <c:f>'Ściek modelowy A-03.2021'!$W$56:$W$57</c:f>
              <c:numCache>
                <c:formatCode>General</c:formatCode>
                <c:ptCount val="2"/>
                <c:pt idx="0">
                  <c:v>1.65</c:v>
                </c:pt>
                <c:pt idx="1">
                  <c:v>43079.43</c:v>
                </c:pt>
              </c:numCache>
            </c:numRef>
          </c:val>
          <c:extLst>
            <c:ext xmlns:c16="http://schemas.microsoft.com/office/drawing/2014/chart" uri="{C3380CC4-5D6E-409C-BE32-E72D297353CC}">
              <c16:uniqueId val="{00000001-4A2D-42C4-9F93-800074A3CDB9}"/>
            </c:ext>
          </c:extLst>
        </c:ser>
        <c:dLbls>
          <c:showLegendKey val="0"/>
          <c:showVal val="0"/>
          <c:showCatName val="0"/>
          <c:showSerName val="0"/>
          <c:showPercent val="0"/>
          <c:showBubbleSize val="0"/>
        </c:dLbls>
        <c:gapWidth val="150"/>
        <c:shape val="box"/>
        <c:axId val="100029568"/>
        <c:axId val="100031104"/>
        <c:axId val="0"/>
      </c:bar3DChart>
      <c:catAx>
        <c:axId val="100029568"/>
        <c:scaling>
          <c:orientation val="minMax"/>
        </c:scaling>
        <c:delete val="0"/>
        <c:axPos val="b"/>
        <c:numFmt formatCode="General" sourceLinked="0"/>
        <c:majorTickMark val="out"/>
        <c:minorTickMark val="none"/>
        <c:tickLblPos val="nextTo"/>
        <c:crossAx val="100031104"/>
        <c:crosses val="autoZero"/>
        <c:auto val="1"/>
        <c:lblAlgn val="ctr"/>
        <c:lblOffset val="100"/>
        <c:noMultiLvlLbl val="0"/>
      </c:catAx>
      <c:valAx>
        <c:axId val="100031104"/>
        <c:scaling>
          <c:orientation val="minMax"/>
        </c:scaling>
        <c:delete val="0"/>
        <c:axPos val="l"/>
        <c:majorGridlines/>
        <c:title>
          <c:tx>
            <c:rich>
              <a:bodyPr rot="-5400000" vert="horz"/>
              <a:lstStyle/>
              <a:p>
                <a:pPr>
                  <a:defRPr sz="900"/>
                </a:pPr>
                <a:r>
                  <a:rPr lang="pl-PL" sz="900"/>
                  <a:t>Total activity, cps</a:t>
                </a:r>
                <a:endParaRPr lang="en-US" sz="900"/>
              </a:p>
            </c:rich>
          </c:tx>
          <c:layout>
            <c:manualLayout>
              <c:xMode val="edge"/>
              <c:yMode val="edge"/>
              <c:x val="3.0791295415663099E-3"/>
              <c:y val="0.21926768433593491"/>
            </c:manualLayout>
          </c:layout>
          <c:overlay val="0"/>
        </c:title>
        <c:numFmt formatCode="General" sourceLinked="1"/>
        <c:majorTickMark val="out"/>
        <c:minorTickMark val="none"/>
        <c:tickLblPos val="nextTo"/>
        <c:crossAx val="100029568"/>
        <c:crosses val="autoZero"/>
        <c:crossBetween val="between"/>
      </c:valAx>
    </c:plotArea>
    <c:legend>
      <c:legendPos val="t"/>
      <c:layout>
        <c:manualLayout>
          <c:xMode val="edge"/>
          <c:yMode val="edge"/>
          <c:x val="0.68706780402449696"/>
          <c:y val="4.6296296296296294E-3"/>
          <c:w val="0.28697550306211722"/>
          <c:h val="8.3717191601049873E-2"/>
        </c:manualLayout>
      </c:layout>
      <c:overlay val="0"/>
    </c:legend>
    <c:plotVisOnly val="1"/>
    <c:dispBlanksAs val="gap"/>
    <c:showDLblsOverMax val="0"/>
  </c:chart>
  <c:spPr>
    <a:ln>
      <a:noFill/>
    </a:ln>
  </c:spPr>
  <c:txPr>
    <a:bodyPr/>
    <a:lstStyle/>
    <a:p>
      <a:pPr>
        <a:defRPr sz="800"/>
      </a:pPr>
      <a:endParaRPr lang="pl-P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sharepoint/v3/fields"/>
    <ds:schemaRef ds:uri="http://schemas.microsoft.com/office/2006/metadata/properties"/>
    <ds:schemaRef ds:uri="http://www.w3.org/XML/1998/namespace"/>
    <ds:schemaRef ds:uri="http://purl.org/dc/elements/1.1/"/>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9a0cca68-9885-4579-a121-0ff71e341cd0"/>
    <ds:schemaRef ds:uri="http://purl.org/dc/dcmitype/"/>
  </ds:schemaRefs>
</ds:datastoreItem>
</file>

<file path=customXml/itemProps2.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5.xml><?xml version="1.0" encoding="utf-8"?>
<ds:datastoreItem xmlns:ds="http://schemas.openxmlformats.org/officeDocument/2006/customXml" ds:itemID="{6A3BDF35-DF4D-475A-989F-5CA164B1F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563</TotalTime>
  <Pages>5</Pages>
  <Words>1738</Words>
  <Characters>9993</Characters>
  <Application>Microsoft Office Word</Application>
  <DocSecurity>0</DocSecurity>
  <Lines>83</Lines>
  <Paragraphs>23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Agnieszka Miśkiewicz</cp:lastModifiedBy>
  <cp:revision>4</cp:revision>
  <cp:lastPrinted>2015-12-01T10:27:00Z</cp:lastPrinted>
  <dcterms:created xsi:type="dcterms:W3CDTF">2021-07-12T10:45:00Z</dcterms:created>
  <dcterms:modified xsi:type="dcterms:W3CDTF">2021-07-12T20:08:00Z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