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CE0" w:rsidRPr="00487F71" w:rsidRDefault="00AC1CE0" w:rsidP="0082380E">
      <w:pPr>
        <w:pStyle w:val="Heading1"/>
        <w:spacing w:line="240" w:lineRule="auto"/>
        <w:rPr>
          <w:rFonts w:asciiTheme="majorBidi" w:hAnsiTheme="majorBidi" w:cstheme="majorBidi"/>
          <w:sz w:val="20"/>
        </w:rPr>
      </w:pPr>
      <w:bookmarkStart w:id="0" w:name="_GoBack"/>
      <w:bookmarkEnd w:id="0"/>
      <w:r w:rsidRPr="00487F71">
        <w:rPr>
          <w:rFonts w:asciiTheme="majorBidi" w:hAnsiTheme="majorBidi" w:cstheme="majorBidi"/>
          <w:sz w:val="20"/>
        </w:rPr>
        <w:t>Chemical durability and structure analysis of simulated radioactive waste glasses</w:t>
      </w:r>
    </w:p>
    <w:p w:rsidR="0082380E" w:rsidRDefault="0082380E" w:rsidP="0082380E">
      <w:pPr>
        <w:pStyle w:val="Authornameandaffiliation"/>
        <w:ind w:left="0" w:firstLine="567"/>
        <w:rPr>
          <w:rFonts w:asciiTheme="majorBidi" w:hAnsiTheme="majorBidi" w:cstheme="majorBidi"/>
          <w:lang w:bidi="ar-EG"/>
        </w:rPr>
      </w:pPr>
    </w:p>
    <w:p w:rsidR="003B5E0E" w:rsidRPr="00487F71" w:rsidRDefault="00AC1CE0" w:rsidP="00FC0C34">
      <w:pPr>
        <w:pStyle w:val="Authornameandaffiliation"/>
        <w:ind w:left="0" w:firstLine="567"/>
        <w:rPr>
          <w:rFonts w:asciiTheme="majorBidi" w:hAnsiTheme="majorBidi" w:cstheme="majorBidi"/>
        </w:rPr>
      </w:pPr>
      <w:r w:rsidRPr="00487F71">
        <w:rPr>
          <w:rFonts w:asciiTheme="majorBidi" w:hAnsiTheme="majorBidi" w:cstheme="majorBidi"/>
          <w:lang w:bidi="ar-EG"/>
        </w:rPr>
        <w:t>O. Farid</w:t>
      </w:r>
      <w:r w:rsidRPr="00487F71">
        <w:rPr>
          <w:rFonts w:asciiTheme="majorBidi" w:hAnsiTheme="majorBidi" w:cstheme="majorBidi"/>
        </w:rPr>
        <w:t xml:space="preserve"> </w:t>
      </w:r>
    </w:p>
    <w:p w:rsidR="00AC1CE0" w:rsidRPr="00487F71" w:rsidRDefault="00AC1CE0" w:rsidP="0082380E">
      <w:pPr>
        <w:ind w:firstLine="567"/>
        <w:rPr>
          <w:rFonts w:asciiTheme="majorBidi" w:hAnsiTheme="majorBidi" w:cstheme="majorBidi"/>
          <w:sz w:val="20"/>
        </w:rPr>
      </w:pPr>
      <w:r w:rsidRPr="00487F71">
        <w:rPr>
          <w:rFonts w:asciiTheme="majorBidi" w:eastAsia="Arial Unicode MS" w:hAnsiTheme="majorBidi" w:cstheme="majorBidi"/>
          <w:sz w:val="20"/>
          <w:bdr w:val="none" w:sz="0" w:space="0" w:color="auto" w:frame="1"/>
        </w:rPr>
        <w:t xml:space="preserve">Reactors Department, Nuclear Research Center, </w:t>
      </w:r>
      <w:r w:rsidRPr="00487F71">
        <w:rPr>
          <w:rFonts w:asciiTheme="majorBidi" w:hAnsiTheme="majorBidi" w:cstheme="majorBidi"/>
          <w:sz w:val="20"/>
        </w:rPr>
        <w:t>Egyptian Atomic Energy Authority</w:t>
      </w:r>
    </w:p>
    <w:p w:rsidR="00FF386F" w:rsidRPr="00487F71" w:rsidRDefault="00AC1CE0" w:rsidP="0082380E">
      <w:pPr>
        <w:pStyle w:val="Authornameandaffiliation"/>
        <w:ind w:left="0" w:firstLine="567"/>
        <w:rPr>
          <w:rFonts w:asciiTheme="majorBidi" w:hAnsiTheme="majorBidi" w:cstheme="majorBidi"/>
        </w:rPr>
      </w:pPr>
      <w:r w:rsidRPr="00487F71">
        <w:rPr>
          <w:rFonts w:asciiTheme="majorBidi" w:hAnsiTheme="majorBidi" w:cstheme="majorBidi"/>
        </w:rPr>
        <w:t>Cairo, Egypt</w:t>
      </w:r>
    </w:p>
    <w:p w:rsidR="00FF386F" w:rsidRPr="00487F71" w:rsidRDefault="00FF386F" w:rsidP="0082380E">
      <w:pPr>
        <w:pStyle w:val="Authornameandaffiliation"/>
        <w:ind w:left="0" w:firstLine="567"/>
        <w:rPr>
          <w:rFonts w:asciiTheme="majorBidi" w:hAnsiTheme="majorBidi" w:cstheme="majorBidi"/>
        </w:rPr>
      </w:pPr>
      <w:r w:rsidRPr="00487F71">
        <w:rPr>
          <w:rFonts w:asciiTheme="majorBidi" w:hAnsiTheme="majorBidi" w:cstheme="majorBidi"/>
        </w:rPr>
        <w:t xml:space="preserve">Email: </w:t>
      </w:r>
      <w:r w:rsidR="00AC1CE0" w:rsidRPr="00487F71">
        <w:rPr>
          <w:rFonts w:asciiTheme="majorBidi" w:hAnsiTheme="majorBidi" w:cstheme="majorBidi"/>
        </w:rPr>
        <w:t>osama.farid</w:t>
      </w:r>
      <w:r w:rsidRPr="00487F71">
        <w:rPr>
          <w:rFonts w:asciiTheme="majorBidi" w:hAnsiTheme="majorBidi" w:cstheme="majorBidi"/>
        </w:rPr>
        <w:t>@</w:t>
      </w:r>
      <w:r w:rsidR="00AC1CE0" w:rsidRPr="00487F71">
        <w:rPr>
          <w:rFonts w:asciiTheme="majorBidi" w:hAnsiTheme="majorBidi" w:cstheme="majorBidi"/>
        </w:rPr>
        <w:t>eaea.org.eg</w:t>
      </w:r>
    </w:p>
    <w:p w:rsidR="00FF386F" w:rsidRDefault="00FF386F" w:rsidP="00487F71">
      <w:pPr>
        <w:pStyle w:val="Authornameandaffiliation"/>
        <w:rPr>
          <w:rFonts w:asciiTheme="majorBidi" w:hAnsiTheme="majorBidi" w:cstheme="majorBidi"/>
        </w:rPr>
      </w:pPr>
    </w:p>
    <w:p w:rsidR="00FC0C34" w:rsidRPr="00487F71" w:rsidRDefault="00FC0C34" w:rsidP="00FC0C34">
      <w:pPr>
        <w:pStyle w:val="Authornameandaffiliation"/>
        <w:ind w:left="0" w:firstLine="567"/>
        <w:rPr>
          <w:rFonts w:asciiTheme="majorBidi" w:hAnsiTheme="majorBidi" w:cstheme="majorBidi"/>
        </w:rPr>
      </w:pPr>
      <w:r>
        <w:rPr>
          <w:rFonts w:asciiTheme="majorBidi" w:hAnsiTheme="majorBidi" w:cstheme="majorBidi"/>
          <w:lang w:bidi="ar-EG"/>
        </w:rPr>
        <w:t xml:space="preserve">Y. </w:t>
      </w:r>
      <w:r w:rsidRPr="00487F71">
        <w:rPr>
          <w:rFonts w:asciiTheme="majorBidi" w:hAnsiTheme="majorBidi" w:cstheme="majorBidi"/>
          <w:lang w:bidi="ar-EG"/>
        </w:rPr>
        <w:t>Abdelaziz</w:t>
      </w:r>
      <w:r w:rsidRPr="00487F71">
        <w:rPr>
          <w:rFonts w:asciiTheme="majorBidi" w:hAnsiTheme="majorBidi" w:cstheme="majorBidi"/>
        </w:rPr>
        <w:t xml:space="preserve"> </w:t>
      </w:r>
    </w:p>
    <w:p w:rsidR="00FC0C34" w:rsidRPr="00487F71" w:rsidRDefault="00FC0C34" w:rsidP="00FC0C34">
      <w:pPr>
        <w:ind w:firstLine="567"/>
        <w:rPr>
          <w:rFonts w:asciiTheme="majorBidi" w:hAnsiTheme="majorBidi" w:cstheme="majorBidi"/>
          <w:sz w:val="20"/>
        </w:rPr>
      </w:pPr>
      <w:r w:rsidRPr="00487F71">
        <w:rPr>
          <w:rFonts w:asciiTheme="majorBidi" w:eastAsia="Arial Unicode MS" w:hAnsiTheme="majorBidi" w:cstheme="majorBidi"/>
          <w:sz w:val="20"/>
          <w:bdr w:val="none" w:sz="0" w:space="0" w:color="auto" w:frame="1"/>
        </w:rPr>
        <w:t xml:space="preserve">Reactors Department, Nuclear Research Center, </w:t>
      </w:r>
      <w:r w:rsidRPr="00487F71">
        <w:rPr>
          <w:rFonts w:asciiTheme="majorBidi" w:hAnsiTheme="majorBidi" w:cstheme="majorBidi"/>
          <w:sz w:val="20"/>
        </w:rPr>
        <w:t>Egyptian Atomic Energy Authority</w:t>
      </w:r>
    </w:p>
    <w:p w:rsidR="00FC0C34" w:rsidRPr="00487F71" w:rsidRDefault="00FC0C34" w:rsidP="00FC0C34">
      <w:pPr>
        <w:pStyle w:val="Authornameandaffiliation"/>
        <w:ind w:left="0" w:firstLine="567"/>
        <w:rPr>
          <w:rFonts w:asciiTheme="majorBidi" w:hAnsiTheme="majorBidi" w:cstheme="majorBidi"/>
        </w:rPr>
      </w:pPr>
      <w:r w:rsidRPr="00487F71">
        <w:rPr>
          <w:rFonts w:asciiTheme="majorBidi" w:hAnsiTheme="majorBidi" w:cstheme="majorBidi"/>
        </w:rPr>
        <w:t>Cairo, Egypt</w:t>
      </w:r>
    </w:p>
    <w:p w:rsidR="00FC0C34" w:rsidRDefault="00FC0C34" w:rsidP="00487F71">
      <w:pPr>
        <w:pStyle w:val="Authornameandaffiliation"/>
        <w:rPr>
          <w:rFonts w:asciiTheme="majorBidi" w:hAnsiTheme="majorBidi" w:cstheme="majorBidi"/>
        </w:rPr>
      </w:pPr>
    </w:p>
    <w:p w:rsidR="00FC0C34" w:rsidRPr="00487F71" w:rsidRDefault="00FC0C34" w:rsidP="00FC0C34">
      <w:pPr>
        <w:pStyle w:val="Authornameandaffiliation"/>
        <w:ind w:left="0" w:firstLine="567"/>
        <w:rPr>
          <w:rFonts w:asciiTheme="majorBidi" w:hAnsiTheme="majorBidi" w:cstheme="majorBidi"/>
        </w:rPr>
      </w:pPr>
      <w:r w:rsidRPr="00487F71">
        <w:rPr>
          <w:rFonts w:asciiTheme="majorBidi" w:hAnsiTheme="majorBidi" w:cstheme="majorBidi"/>
          <w:lang w:bidi="ar-EG"/>
        </w:rPr>
        <w:t>S. Waly</w:t>
      </w:r>
      <w:r w:rsidRPr="00487F71">
        <w:rPr>
          <w:rFonts w:asciiTheme="majorBidi" w:hAnsiTheme="majorBidi" w:cstheme="majorBidi"/>
        </w:rPr>
        <w:t xml:space="preserve"> </w:t>
      </w:r>
    </w:p>
    <w:p w:rsidR="00FC0C34" w:rsidRPr="00487F71" w:rsidRDefault="00FC0C34" w:rsidP="00FC0C34">
      <w:pPr>
        <w:ind w:firstLine="567"/>
        <w:rPr>
          <w:rFonts w:asciiTheme="majorBidi" w:hAnsiTheme="majorBidi" w:cstheme="majorBidi"/>
          <w:sz w:val="20"/>
        </w:rPr>
      </w:pPr>
      <w:r w:rsidRPr="00487F71">
        <w:rPr>
          <w:rFonts w:asciiTheme="majorBidi" w:hAnsiTheme="majorBidi" w:cstheme="majorBidi"/>
          <w:sz w:val="20"/>
        </w:rPr>
        <w:t>National Center for Radiation Research and Technology, Egyptian Atomic Energy Authority</w:t>
      </w:r>
    </w:p>
    <w:p w:rsidR="00FC0C34" w:rsidRPr="00487F71" w:rsidRDefault="00FC0C34" w:rsidP="00FC0C34">
      <w:pPr>
        <w:pStyle w:val="Authornameandaffiliation"/>
        <w:ind w:left="0" w:firstLine="567"/>
        <w:rPr>
          <w:rFonts w:asciiTheme="majorBidi" w:hAnsiTheme="majorBidi" w:cstheme="majorBidi"/>
        </w:rPr>
      </w:pPr>
      <w:r w:rsidRPr="00487F71">
        <w:rPr>
          <w:rFonts w:asciiTheme="majorBidi" w:hAnsiTheme="majorBidi" w:cstheme="majorBidi"/>
        </w:rPr>
        <w:t>Cairo, Egypt</w:t>
      </w:r>
    </w:p>
    <w:p w:rsidR="00FC0C34" w:rsidRPr="00487F71" w:rsidRDefault="00FC0C34" w:rsidP="00487F71">
      <w:pPr>
        <w:pStyle w:val="Authornameandaffiliation"/>
        <w:rPr>
          <w:rFonts w:asciiTheme="majorBidi" w:hAnsiTheme="majorBidi" w:cstheme="majorBidi"/>
        </w:rPr>
      </w:pPr>
    </w:p>
    <w:p w:rsidR="00FF386F" w:rsidRPr="00487F71" w:rsidRDefault="00FF386F" w:rsidP="00487F71">
      <w:pPr>
        <w:pStyle w:val="Authornameandaffiliation"/>
        <w:ind w:left="0"/>
        <w:rPr>
          <w:rFonts w:asciiTheme="majorBidi" w:hAnsiTheme="majorBidi" w:cstheme="majorBidi"/>
        </w:rPr>
      </w:pPr>
    </w:p>
    <w:p w:rsidR="00647F33" w:rsidRDefault="00647F33" w:rsidP="00487F71">
      <w:pPr>
        <w:pStyle w:val="Authornameandaffiliation"/>
        <w:rPr>
          <w:rFonts w:asciiTheme="majorBidi" w:hAnsiTheme="majorBidi" w:cstheme="majorBidi"/>
          <w:b/>
        </w:rPr>
      </w:pPr>
      <w:r w:rsidRPr="00487F71">
        <w:rPr>
          <w:rFonts w:asciiTheme="majorBidi" w:hAnsiTheme="majorBidi" w:cstheme="majorBidi"/>
          <w:b/>
        </w:rPr>
        <w:t>Abstract</w:t>
      </w:r>
    </w:p>
    <w:p w:rsidR="0082380E" w:rsidRPr="00487F71" w:rsidRDefault="0082380E" w:rsidP="00487F71">
      <w:pPr>
        <w:pStyle w:val="Authornameandaffiliation"/>
        <w:rPr>
          <w:rFonts w:asciiTheme="majorBidi" w:hAnsiTheme="majorBidi" w:cstheme="majorBidi"/>
          <w:b/>
        </w:rPr>
      </w:pPr>
    </w:p>
    <w:p w:rsidR="00BF5966" w:rsidRPr="00487F71" w:rsidRDefault="00BF5966" w:rsidP="00487F71">
      <w:pPr>
        <w:pStyle w:val="Abstracttext"/>
        <w:spacing w:line="240" w:lineRule="auto"/>
        <w:ind w:firstLine="0"/>
        <w:jc w:val="both"/>
        <w:rPr>
          <w:rFonts w:asciiTheme="majorBidi" w:hAnsiTheme="majorBidi" w:cstheme="majorBidi"/>
          <w:sz w:val="20"/>
        </w:rPr>
      </w:pPr>
      <w:r w:rsidRPr="00487F71">
        <w:rPr>
          <w:rFonts w:asciiTheme="majorBidi" w:hAnsiTheme="majorBidi" w:cstheme="majorBidi"/>
          <w:sz w:val="20"/>
        </w:rPr>
        <w:tab/>
        <w:t xml:space="preserve">Borosilicate glasses are used to accommodate wastes arising from day to day operations and the decommissioning of nuclear installations. </w:t>
      </w:r>
      <w:r w:rsidRPr="00487F71">
        <w:rPr>
          <w:rFonts w:asciiTheme="majorBidi" w:hAnsiTheme="majorBidi" w:cstheme="majorBidi"/>
          <w:sz w:val="20"/>
          <w:lang w:val="en-GB"/>
        </w:rPr>
        <w:t xml:space="preserve">Investigating the immobilization systems, </w:t>
      </w:r>
      <w:r w:rsidRPr="00487F71">
        <w:rPr>
          <w:rFonts w:asciiTheme="majorBidi" w:hAnsiTheme="majorBidi" w:cstheme="majorBidi"/>
          <w:sz w:val="20"/>
        </w:rPr>
        <w:t xml:space="preserve">chemical durability and </w:t>
      </w:r>
      <w:r w:rsidRPr="00487F71">
        <w:rPr>
          <w:rFonts w:asciiTheme="majorBidi" w:hAnsiTheme="majorBidi" w:cstheme="majorBidi"/>
          <w:sz w:val="20"/>
          <w:lang w:val="en-GB"/>
        </w:rPr>
        <w:t xml:space="preserve">structure under normal conditions </w:t>
      </w:r>
      <w:r w:rsidRPr="00487F71">
        <w:rPr>
          <w:rFonts w:asciiTheme="majorBidi" w:hAnsiTheme="majorBidi" w:cstheme="majorBidi"/>
          <w:sz w:val="20"/>
        </w:rPr>
        <w:t xml:space="preserve">have gradually increased and over </w:t>
      </w:r>
      <w:r w:rsidRPr="00487F71">
        <w:rPr>
          <w:rStyle w:val="y2iqfc"/>
          <w:rFonts w:asciiTheme="majorBidi" w:eastAsiaTheme="majorEastAsia" w:hAnsiTheme="majorBidi" w:cstheme="majorBidi"/>
          <w:sz w:val="20"/>
        </w:rPr>
        <w:t>the next two decades</w:t>
      </w:r>
      <w:r w:rsidRPr="00487F71">
        <w:rPr>
          <w:rStyle w:val="y2iqfc"/>
          <w:rFonts w:asciiTheme="majorBidi" w:hAnsiTheme="majorBidi" w:cstheme="majorBidi"/>
          <w:sz w:val="20"/>
        </w:rPr>
        <w:t xml:space="preserve"> will become the main focus of research</w:t>
      </w:r>
      <w:r w:rsidRPr="00487F71">
        <w:rPr>
          <w:rFonts w:asciiTheme="majorBidi" w:hAnsiTheme="majorBidi" w:cstheme="majorBidi"/>
          <w:sz w:val="20"/>
        </w:rPr>
        <w:t xml:space="preserve">. </w:t>
      </w:r>
      <w:r w:rsidRPr="00487F71">
        <w:rPr>
          <w:rFonts w:asciiTheme="majorBidi" w:eastAsia="TimesNewRomanPSMT" w:hAnsiTheme="majorBidi" w:cstheme="majorBidi"/>
          <w:sz w:val="20"/>
        </w:rPr>
        <w:t xml:space="preserve">In this study </w:t>
      </w:r>
      <w:r w:rsidRPr="00487F71">
        <w:rPr>
          <w:rFonts w:asciiTheme="majorBidi" w:hAnsiTheme="majorBidi" w:cstheme="majorBidi"/>
          <w:sz w:val="20"/>
          <w:lang w:val="en-GB"/>
        </w:rPr>
        <w:t xml:space="preserve">several models </w:t>
      </w:r>
      <w:r w:rsidRPr="00487F71">
        <w:rPr>
          <w:rStyle w:val="one-click-content"/>
          <w:rFonts w:asciiTheme="majorBidi" w:hAnsiTheme="majorBidi" w:cstheme="majorBidi"/>
          <w:sz w:val="20"/>
        </w:rPr>
        <w:t xml:space="preserve">include comprehensively </w:t>
      </w:r>
      <w:r w:rsidRPr="00487F71">
        <w:rPr>
          <w:rFonts w:asciiTheme="majorBidi" w:hAnsiTheme="majorBidi" w:cstheme="majorBidi"/>
          <w:sz w:val="20"/>
          <w:lang w:val="en-GB"/>
        </w:rPr>
        <w:t>the relevant aspects which are known to lead to glass formation were investigated</w:t>
      </w:r>
      <w:r w:rsidRPr="00487F71">
        <w:rPr>
          <w:rFonts w:asciiTheme="majorBidi" w:hAnsiTheme="majorBidi" w:cstheme="majorBidi"/>
          <w:sz w:val="20"/>
        </w:rPr>
        <w:t xml:space="preserve">. </w:t>
      </w:r>
      <w:r w:rsidRPr="00487F71">
        <w:rPr>
          <w:rFonts w:asciiTheme="majorBidi" w:eastAsia="TimesNewRomanPSMT" w:hAnsiTheme="majorBidi" w:cstheme="majorBidi"/>
          <w:sz w:val="20"/>
        </w:rPr>
        <w:t xml:space="preserve">Chemical durability was evaluated for </w:t>
      </w:r>
      <w:r w:rsidRPr="00487F71">
        <w:rPr>
          <w:rFonts w:asciiTheme="majorBidi" w:hAnsiTheme="majorBidi" w:cstheme="majorBidi"/>
          <w:sz w:val="20"/>
          <w:lang w:val="en-GB"/>
        </w:rPr>
        <w:t xml:space="preserve">three </w:t>
      </w:r>
      <w:r w:rsidRPr="00487F71">
        <w:rPr>
          <w:rFonts w:asciiTheme="majorBidi" w:hAnsiTheme="majorBidi" w:cstheme="majorBidi"/>
          <w:sz w:val="20"/>
        </w:rPr>
        <w:t xml:space="preserve">borosilicate glasses </w:t>
      </w:r>
      <w:r w:rsidRPr="00487F71">
        <w:rPr>
          <w:rFonts w:asciiTheme="majorBidi" w:eastAsia="TimesNewRomanPSMT" w:hAnsiTheme="majorBidi" w:cstheme="majorBidi"/>
          <w:sz w:val="20"/>
        </w:rPr>
        <w:t xml:space="preserve">by </w:t>
      </w:r>
      <w:r w:rsidRPr="00487F71">
        <w:rPr>
          <w:rFonts w:asciiTheme="majorBidi" w:hAnsiTheme="majorBidi" w:cstheme="majorBidi"/>
          <w:sz w:val="20"/>
        </w:rPr>
        <w:t>immersed in hydrogen peroxide</w:t>
      </w:r>
      <w:r w:rsidRPr="00487F71">
        <w:rPr>
          <w:rFonts w:asciiTheme="majorBidi" w:eastAsia="TimesNewRomanPSMT" w:hAnsiTheme="majorBidi" w:cstheme="majorBidi"/>
          <w:sz w:val="20"/>
        </w:rPr>
        <w:t xml:space="preserve">. Physical properties such as </w:t>
      </w:r>
      <w:r w:rsidRPr="00E740F0">
        <w:rPr>
          <w:rStyle w:val="Emphasis"/>
          <w:rFonts w:asciiTheme="majorBidi" w:hAnsiTheme="majorBidi" w:cstheme="majorBidi"/>
          <w:i w:val="0"/>
          <w:iCs w:val="0"/>
          <w:sz w:val="20"/>
        </w:rPr>
        <w:t>Dietzel</w:t>
      </w:r>
      <w:r w:rsidRPr="00487F71">
        <w:rPr>
          <w:rStyle w:val="st"/>
          <w:rFonts w:asciiTheme="majorBidi" w:hAnsiTheme="majorBidi" w:cstheme="majorBidi"/>
          <w:sz w:val="20"/>
        </w:rPr>
        <w:t xml:space="preserve"> </w:t>
      </w:r>
      <w:r w:rsidRPr="00487F71">
        <w:rPr>
          <w:rFonts w:asciiTheme="majorBidi" w:eastAsia="TimesNewRomanPSMT" w:hAnsiTheme="majorBidi" w:cstheme="majorBidi"/>
          <w:sz w:val="20"/>
        </w:rPr>
        <w:t xml:space="preserve">field strength are evaluated for </w:t>
      </w:r>
      <w:r w:rsidRPr="00487F71">
        <w:rPr>
          <w:rFonts w:asciiTheme="majorBidi" w:hAnsiTheme="majorBidi" w:cstheme="majorBidi"/>
          <w:sz w:val="20"/>
          <w:lang w:val="en-GB"/>
        </w:rPr>
        <w:t xml:space="preserve">three </w:t>
      </w:r>
      <w:r w:rsidRPr="00487F71">
        <w:rPr>
          <w:rFonts w:asciiTheme="majorBidi" w:hAnsiTheme="majorBidi" w:cstheme="majorBidi"/>
          <w:sz w:val="20"/>
        </w:rPr>
        <w:t xml:space="preserve">borosilicate glasses </w:t>
      </w:r>
      <w:r w:rsidRPr="00487F71">
        <w:rPr>
          <w:rFonts w:asciiTheme="majorBidi" w:eastAsia="TimesNewRomanPSMT" w:hAnsiTheme="majorBidi" w:cstheme="majorBidi"/>
          <w:sz w:val="20"/>
        </w:rPr>
        <w:t xml:space="preserve">in the perspective of being </w:t>
      </w:r>
      <w:r w:rsidRPr="00487F71">
        <w:rPr>
          <w:rStyle w:val="one-click-content"/>
          <w:rFonts w:asciiTheme="majorBidi" w:hAnsiTheme="majorBidi" w:cstheme="majorBidi"/>
          <w:sz w:val="20"/>
        </w:rPr>
        <w:t xml:space="preserve">capable to apply </w:t>
      </w:r>
      <w:r w:rsidRPr="00487F71">
        <w:rPr>
          <w:rFonts w:asciiTheme="majorBidi" w:eastAsia="TimesNewRomanPSMT" w:hAnsiTheme="majorBidi" w:cstheme="majorBidi"/>
          <w:sz w:val="20"/>
        </w:rPr>
        <w:t xml:space="preserve">to the waste forms. </w:t>
      </w:r>
      <w:r w:rsidRPr="00487F71">
        <w:rPr>
          <w:rStyle w:val="st"/>
          <w:rFonts w:asciiTheme="majorBidi" w:hAnsiTheme="majorBidi" w:cstheme="majorBidi"/>
          <w:sz w:val="20"/>
        </w:rPr>
        <w:t xml:space="preserve">The Dietzel field strength values span within approximately wide range of 0.2 to 1.6, which are signifying the extent of the electrostatic attraction force between oxygen and elements. The arrangement ordered of oxides is approximately convincing in the range of </w:t>
      </w:r>
      <w:r w:rsidRPr="00487F71">
        <w:rPr>
          <w:rStyle w:val="Emphasis"/>
          <w:rFonts w:asciiTheme="majorBidi" w:hAnsiTheme="majorBidi" w:cstheme="majorBidi"/>
          <w:i w:val="0"/>
          <w:iCs w:val="0"/>
          <w:sz w:val="20"/>
        </w:rPr>
        <w:t>Dietzel</w:t>
      </w:r>
      <w:r w:rsidRPr="00487F71">
        <w:rPr>
          <w:rStyle w:val="st"/>
          <w:rFonts w:asciiTheme="majorBidi" w:hAnsiTheme="majorBidi" w:cstheme="majorBidi"/>
          <w:sz w:val="20"/>
        </w:rPr>
        <w:t xml:space="preserve"> </w:t>
      </w:r>
      <w:r w:rsidRPr="00487F71">
        <w:rPr>
          <w:rFonts w:asciiTheme="majorBidi" w:eastAsia="TimesNewRomanPSMT" w:hAnsiTheme="majorBidi" w:cstheme="majorBidi"/>
          <w:sz w:val="20"/>
        </w:rPr>
        <w:t>field strength</w:t>
      </w:r>
      <w:r w:rsidRPr="00487F71">
        <w:rPr>
          <w:rStyle w:val="st"/>
          <w:rFonts w:asciiTheme="majorBidi" w:hAnsiTheme="majorBidi" w:cstheme="majorBidi"/>
          <w:sz w:val="20"/>
        </w:rPr>
        <w:t xml:space="preserve"> (A) ˃ 1. Results indicate that oxides construct the glass network have A ˂0.35, as these oxides, which are alkali oxide are known to reshape network. Intermediate oxides may show both behaviors in consistent with glass composition. Dietzel approach showed that both high charge and limited size of the cations favor the creation of glassy oxides. Chemical activities were calculated using </w:t>
      </w:r>
      <w:r w:rsidRPr="00487F71">
        <w:rPr>
          <w:rFonts w:asciiTheme="majorBidi" w:hAnsiTheme="majorBidi" w:cstheme="majorBidi"/>
          <w:sz w:val="20"/>
        </w:rPr>
        <w:t>overall dissolution rate, which indicated solid surface layer hydrolysis reaction.</w:t>
      </w:r>
    </w:p>
    <w:p w:rsidR="00BF5966" w:rsidRPr="00487F71" w:rsidRDefault="00BF5966" w:rsidP="00487F71">
      <w:pPr>
        <w:pStyle w:val="Abstracttext"/>
        <w:spacing w:line="240" w:lineRule="auto"/>
        <w:rPr>
          <w:rFonts w:asciiTheme="majorBidi" w:hAnsiTheme="majorBidi" w:cstheme="majorBidi"/>
          <w:sz w:val="20"/>
          <w:lang w:val="en-GB"/>
        </w:rPr>
      </w:pPr>
    </w:p>
    <w:p w:rsidR="00647F33" w:rsidRPr="00487F71" w:rsidRDefault="00F523CA" w:rsidP="00487F71">
      <w:pPr>
        <w:pStyle w:val="Heading2"/>
        <w:numPr>
          <w:ilvl w:val="1"/>
          <w:numId w:val="10"/>
        </w:numPr>
        <w:spacing w:line="240" w:lineRule="auto"/>
        <w:rPr>
          <w:rFonts w:asciiTheme="majorBidi" w:hAnsiTheme="majorBidi" w:cstheme="majorBidi"/>
        </w:rPr>
      </w:pPr>
      <w:r w:rsidRPr="00487F71">
        <w:rPr>
          <w:rFonts w:asciiTheme="majorBidi" w:hAnsiTheme="majorBidi" w:cstheme="majorBidi"/>
        </w:rPr>
        <w:t>INTRODUCTION</w:t>
      </w:r>
    </w:p>
    <w:p w:rsidR="00BF5966" w:rsidRPr="00487F71" w:rsidRDefault="00BF5966" w:rsidP="00487F71">
      <w:pPr>
        <w:pStyle w:val="ListParagraph"/>
        <w:tabs>
          <w:tab w:val="left" w:pos="450"/>
        </w:tabs>
        <w:spacing w:after="0" w:line="240" w:lineRule="auto"/>
        <w:ind w:left="0"/>
        <w:jc w:val="both"/>
        <w:rPr>
          <w:rFonts w:asciiTheme="majorBidi" w:hAnsiTheme="majorBidi" w:cstheme="majorBidi"/>
          <w:sz w:val="20"/>
          <w:szCs w:val="20"/>
          <w:lang w:val="en-GB"/>
        </w:rPr>
      </w:pPr>
      <w:r w:rsidRPr="00487F71">
        <w:rPr>
          <w:rFonts w:asciiTheme="majorBidi" w:hAnsiTheme="majorBidi" w:cstheme="majorBidi"/>
          <w:sz w:val="20"/>
          <w:szCs w:val="20"/>
        </w:rPr>
        <w:tab/>
        <w:t>The main challenging task for nuclear industry is the safe management of nuclear waste, as approval of the public to build novel nuclear facilities by discovering a safe way to take care of these wastes. Solid, liquid or gaseous wastes originate from every stage of the nuclear fuel cycle and are treated to ensure they comply</w:t>
      </w:r>
      <w:r w:rsidRPr="00487F71">
        <w:rPr>
          <w:rStyle w:val="y2iqfc"/>
          <w:rFonts w:asciiTheme="majorBidi" w:hAnsiTheme="majorBidi" w:cstheme="majorBidi"/>
          <w:sz w:val="20"/>
          <w:szCs w:val="20"/>
        </w:rPr>
        <w:t xml:space="preserve"> relatively with strict environmental and regulatory standards before final disposal.</w:t>
      </w:r>
      <w:r w:rsidRPr="00487F71">
        <w:rPr>
          <w:rFonts w:asciiTheme="majorBidi" w:hAnsiTheme="majorBidi" w:cstheme="majorBidi"/>
          <w:sz w:val="20"/>
          <w:szCs w:val="20"/>
          <w:lang w:val="en-GB"/>
        </w:rPr>
        <w:t xml:space="preserve"> </w:t>
      </w:r>
      <w:r w:rsidRPr="00487F71">
        <w:rPr>
          <w:rFonts w:asciiTheme="majorBidi" w:hAnsiTheme="majorBidi" w:cstheme="majorBidi"/>
          <w:sz w:val="20"/>
          <w:szCs w:val="20"/>
        </w:rPr>
        <w:t>Immobilization of nuclear wastes is the first step towards the safe management of these wastes; the immobilization system should be durable</w:t>
      </w:r>
      <w:r w:rsidRPr="00487F71">
        <w:rPr>
          <w:rFonts w:asciiTheme="majorBidi" w:hAnsiTheme="majorBidi" w:cstheme="majorBidi"/>
          <w:sz w:val="20"/>
          <w:szCs w:val="20"/>
        </w:rPr>
        <w:fldChar w:fldCharType="begin"/>
      </w:r>
      <w:r w:rsidRPr="00487F71">
        <w:rPr>
          <w:rFonts w:asciiTheme="majorBidi" w:hAnsiTheme="majorBidi" w:cstheme="majorBidi"/>
          <w:sz w:val="20"/>
          <w:szCs w:val="20"/>
        </w:rPr>
        <w:instrText xml:space="preserve"> ADDIN EN.CITE &lt;EndNote&gt;&lt;Cite&gt;&lt;Author&gt;IAEA&lt;/Author&gt;&lt;Year&gt;2003&lt;/Year&gt;&lt;RecNum&gt;7&lt;/RecNum&gt;&lt;DisplayText&gt;[1]&lt;/DisplayText&gt;&lt;record&gt;&lt;rec-number&gt;7&lt;/rec-number&gt;&lt;foreign-keys&gt;&lt;key app="EN" db-id="svppx29d3d9vtiear5y555w952fexavtxr0e" timestamp="1631030977"&gt;7&lt;/key&gt;&lt;/foreign-keys&gt;&lt;ref-type name="Book"&gt;6&lt;/ref-type&gt;&lt;contributors&gt;&lt;authors&gt;&lt;author&gt;IAEA&lt;/author&gt;&lt;/authors&gt;&lt;/contributors&gt;&lt;titles&gt;&lt;title&gt;Radioactive Waste Management Glossary&lt;/title&gt;&lt;alt-title&gt;Book&lt;/alt-title&gt;&lt;/titles&gt;&lt;dates&gt;&lt;year&gt;2003&lt;/year&gt;&lt;/dates&gt;&lt;pub-location&gt;Vienna&lt;/pub-location&gt;&lt;publisher&gt;INTERNATIONAL ATOMIC ENERGY AGENCY&lt;/publisher&gt;&lt;urls&gt;&lt;related-urls&gt;&lt;url&gt;https://www.iaea.org/publications/6682/radioactive-waste-management-glossary&lt;/url&gt;&lt;/related-urls&gt;&lt;/urls&gt;&lt;/record&gt;&lt;/Cite&gt;&lt;/EndNote&gt;</w:instrText>
      </w:r>
      <w:r w:rsidRPr="00487F71">
        <w:rPr>
          <w:rFonts w:asciiTheme="majorBidi" w:hAnsiTheme="majorBidi" w:cstheme="majorBidi"/>
          <w:sz w:val="20"/>
          <w:szCs w:val="20"/>
        </w:rPr>
        <w:fldChar w:fldCharType="separate"/>
      </w:r>
      <w:r w:rsidRPr="00487F71">
        <w:rPr>
          <w:rFonts w:asciiTheme="majorBidi" w:hAnsiTheme="majorBidi" w:cstheme="majorBidi"/>
          <w:noProof/>
          <w:sz w:val="20"/>
          <w:szCs w:val="20"/>
        </w:rPr>
        <w:t>[1]</w:t>
      </w:r>
      <w:r w:rsidRPr="00487F71">
        <w:rPr>
          <w:rFonts w:asciiTheme="majorBidi" w:hAnsiTheme="majorBidi" w:cstheme="majorBidi"/>
          <w:sz w:val="20"/>
          <w:szCs w:val="20"/>
        </w:rPr>
        <w:fldChar w:fldCharType="end"/>
      </w:r>
      <w:r w:rsidRPr="00487F71">
        <w:rPr>
          <w:rFonts w:asciiTheme="majorBidi" w:hAnsiTheme="majorBidi" w:cstheme="majorBidi"/>
          <w:sz w:val="20"/>
          <w:szCs w:val="20"/>
        </w:rPr>
        <w:t xml:space="preserve">. Different immobilization matrices were proposed, these includes cement, polymer, glasses, ceramic, and Synroc. Vitrification is the transformation of oxides into a glass (a non-crystalline amorphous solid) by melting oxides </w:t>
      </w:r>
      <w:r w:rsidRPr="00487F71">
        <w:rPr>
          <w:rStyle w:val="y2iqfc"/>
          <w:rFonts w:asciiTheme="majorBidi" w:hAnsiTheme="majorBidi" w:cstheme="majorBidi"/>
          <w:sz w:val="20"/>
          <w:szCs w:val="20"/>
        </w:rPr>
        <w:t>until they turn into a liquid, then cooling the liquid quickly, as it passes through the glass transition phase to form a glassy solid. As this vitrification is peculiar to amorphous materials or turbulent systems and occurs when the bonding between elementary particles (atoms, molecules and formation masses) is higher than a certain threshold</w:t>
      </w:r>
      <w:r w:rsidRPr="00487F71">
        <w:rPr>
          <w:rFonts w:asciiTheme="majorBidi" w:hAnsiTheme="majorBidi" w:cstheme="majorBidi"/>
          <w:sz w:val="20"/>
          <w:szCs w:val="20"/>
        </w:rPr>
        <w:t xml:space="preserve"> value</w:t>
      </w:r>
      <w:r w:rsidRPr="00487F71">
        <w:rPr>
          <w:rFonts w:asciiTheme="majorBidi" w:hAnsiTheme="majorBidi" w:cstheme="majorBidi"/>
          <w:sz w:val="20"/>
          <w:szCs w:val="20"/>
        </w:rPr>
        <w:fldChar w:fldCharType="begin"/>
      </w:r>
      <w:r w:rsidRPr="00487F71">
        <w:rPr>
          <w:rFonts w:asciiTheme="majorBidi" w:hAnsiTheme="majorBidi" w:cstheme="majorBidi"/>
          <w:sz w:val="20"/>
          <w:szCs w:val="20"/>
        </w:rPr>
        <w:instrText xml:space="preserve"> ADDIN EN.CITE &lt;EndNote&gt;&lt;Cite&gt;&lt;Author&gt;Lee&lt;/Author&gt;&lt;Year&gt;2006&lt;/Year&gt;&lt;RecNum&gt;10&lt;/RecNum&gt;&lt;DisplayText&gt;[2]&lt;/DisplayText&gt;&lt;record&gt;&lt;rec-number&gt;10&lt;/rec-number&gt;&lt;foreign-keys&gt;&lt;key app="EN" db-id="svppx29d3d9vtiear5y555w952fexavtxr0e" timestamp="1631031553"&gt;10&lt;/key&gt;&lt;/foreign-keys&gt;&lt;ref-type name="Journal Article"&gt;17&lt;/ref-type&gt;&lt;contributors&gt;&lt;authors&gt;&lt;author&gt;Lee, W. E.&lt;/author&gt;&lt;author&gt;Ojovan, M. I.&lt;/author&gt;&lt;author&gt;Stennett, M. C.&lt;/author&gt;&lt;author&gt;Hyatt, N. C.&lt;/author&gt;&lt;/authors&gt;&lt;/contributors&gt;&lt;titles&gt;&lt;title&gt;Immobilisation of radioactive waste in glasses, glass composite materials and ceramics&lt;/title&gt;&lt;secondary-title&gt;Advances in Applied Ceramics&lt;/secondary-title&gt;&lt;/titles&gt;&lt;periodical&gt;&lt;full-title&gt;Advances in Applied Ceramics&lt;/full-title&gt;&lt;/periodical&gt;&lt;pages&gt;3-12&lt;/pages&gt;&lt;volume&gt;105&lt;/volume&gt;&lt;number&gt;1&lt;/number&gt;&lt;dates&gt;&lt;year&gt;2006&lt;/year&gt;&lt;pub-dates&gt;&lt;date&gt;2006/02/01&lt;/date&gt;&lt;/pub-dates&gt;&lt;/dates&gt;&lt;publisher&gt;Taylor &amp;amp; Francis&lt;/publisher&gt;&lt;isbn&gt;1743-6753&lt;/isbn&gt;&lt;urls&gt;&lt;related-urls&gt;&lt;url&gt;https://doi.org/10.1179/174367606X81669&lt;/url&gt;&lt;/related-urls&gt;&lt;/urls&gt;&lt;electronic-resource-num&gt;10.1179/174367606X81669&lt;/electronic-resource-num&gt;&lt;/record&gt;&lt;/Cite&gt;&lt;/EndNote&gt;</w:instrText>
      </w:r>
      <w:r w:rsidRPr="00487F71">
        <w:rPr>
          <w:rFonts w:asciiTheme="majorBidi" w:hAnsiTheme="majorBidi" w:cstheme="majorBidi"/>
          <w:sz w:val="20"/>
          <w:szCs w:val="20"/>
        </w:rPr>
        <w:fldChar w:fldCharType="separate"/>
      </w:r>
      <w:r w:rsidRPr="00487F71">
        <w:rPr>
          <w:rFonts w:asciiTheme="majorBidi" w:hAnsiTheme="majorBidi" w:cstheme="majorBidi"/>
          <w:noProof/>
          <w:sz w:val="20"/>
          <w:szCs w:val="20"/>
        </w:rPr>
        <w:t>[2]</w:t>
      </w:r>
      <w:r w:rsidRPr="00487F71">
        <w:rPr>
          <w:rFonts w:asciiTheme="majorBidi" w:hAnsiTheme="majorBidi" w:cstheme="majorBidi"/>
          <w:sz w:val="20"/>
          <w:szCs w:val="20"/>
        </w:rPr>
        <w:fldChar w:fldCharType="end"/>
      </w:r>
      <w:r w:rsidRPr="00487F71">
        <w:rPr>
          <w:rFonts w:asciiTheme="majorBidi" w:hAnsiTheme="majorBidi" w:cstheme="majorBidi"/>
          <w:sz w:val="20"/>
          <w:szCs w:val="20"/>
        </w:rPr>
        <w:t xml:space="preserve">. This is explained as amorphous materials have a characteristic threshold temperature </w:t>
      </w:r>
      <w:r w:rsidRPr="00487F71">
        <w:rPr>
          <w:rStyle w:val="y2iqfc"/>
          <w:rFonts w:asciiTheme="majorBidi" w:hAnsiTheme="majorBidi" w:cstheme="majorBidi"/>
          <w:sz w:val="20"/>
          <w:szCs w:val="20"/>
        </w:rPr>
        <w:t>called the vitreous temperatures (Tg). These amorphous materials at a temperature below Tg are glassy, ​​while at a temperature above Tg they are molten.</w:t>
      </w:r>
      <w:r w:rsidRPr="00487F71">
        <w:rPr>
          <w:rFonts w:asciiTheme="majorBidi" w:hAnsiTheme="majorBidi" w:cstheme="majorBidi"/>
          <w:sz w:val="20"/>
          <w:szCs w:val="20"/>
        </w:rPr>
        <w:t xml:space="preserve"> </w:t>
      </w:r>
      <w:r w:rsidRPr="00487F71">
        <w:rPr>
          <w:rFonts w:asciiTheme="majorBidi" w:eastAsia="AdvP4B6849" w:hAnsiTheme="majorBidi" w:cstheme="majorBidi"/>
          <w:sz w:val="20"/>
          <w:szCs w:val="20"/>
        </w:rPr>
        <w:t xml:space="preserve">Vitrification is one of the most proven processes to immobilize nuclear wastes, where the wastes are combined in glass or glass like material </w:t>
      </w:r>
      <w:r w:rsidRPr="00487F71">
        <w:rPr>
          <w:rFonts w:asciiTheme="majorBidi" w:eastAsia="AdvP4B6849" w:hAnsiTheme="majorBidi" w:cstheme="majorBidi"/>
          <w:sz w:val="20"/>
          <w:szCs w:val="20"/>
        </w:rPr>
        <w:fldChar w:fldCharType="begin"/>
      </w:r>
      <w:r w:rsidRPr="00487F71">
        <w:rPr>
          <w:rFonts w:asciiTheme="majorBidi" w:eastAsia="AdvP4B6849" w:hAnsiTheme="majorBidi" w:cstheme="majorBidi"/>
          <w:sz w:val="20"/>
          <w:szCs w:val="20"/>
        </w:rPr>
        <w:instrText xml:space="preserve"> ADDIN EN.CITE &lt;EndNote&gt;&lt;Cite&gt;&lt;Author&gt;Cassingham&lt;/Author&gt;&lt;Year&gt;2011&lt;/Year&gt;&lt;RecNum&gt;9&lt;/RecNum&gt;&lt;DisplayText&gt;[3]&lt;/DisplayText&gt;&lt;record&gt;&lt;rec-number&gt;9&lt;/rec-number&gt;&lt;foreign-keys&gt;&lt;key app="EN" db-id="svppx29d3d9vtiear5y555w952fexavtxr0e" timestamp="1631031444"&gt;9&lt;/key&gt;&lt;/foreign-keys&gt;&lt;ref-type name="Journal Article"&gt;17&lt;/ref-type&gt;&lt;contributors&gt;&lt;authors&gt;&lt;author&gt;Cassingham, Nathan J.&lt;/author&gt;&lt;author&gt;Stennett, Martin C.&lt;/author&gt;&lt;author&gt;Bingham,, Paul A.&lt;/author&gt;&lt;author&gt;Hyatt, Neil C.&lt;/author&gt;&lt;author&gt;Aquilanti, Giuliana&lt;/author&gt;&lt;/authors&gt;&lt;/contributors&gt;&lt;titles&gt;&lt;title&gt;The Structural Role of Zn in Nuclear Waste Glasses&lt;/title&gt;&lt;secondary-title&gt;International Journal of Applied Glass Science&lt;/secondary-title&gt;&lt;/titles&gt;&lt;periodical&gt;&lt;full-title&gt;International Journal of Applied Glass Science&lt;/full-title&gt;&lt;/periodical&gt;&lt;pages&gt;343-353&lt;/pages&gt;&lt;volume&gt;2&lt;/volume&gt;&lt;number&gt;4&lt;/number&gt;&lt;dates&gt;&lt;year&gt;2011&lt;/year&gt;&lt;/dates&gt;&lt;isbn&gt;2041-1286&lt;/isbn&gt;&lt;urls&gt;&lt;related-urls&gt;&lt;url&gt;https://ceramics.onlinelibrary.wiley.com/doi/abs/10.1111/j.2041-1294.2011.00067.x&lt;/url&gt;&lt;/related-urls&gt;&lt;/urls&gt;&lt;electronic-resource-num&gt;https://doi.org/10.1111/j.2041-1294.2011.00067.x&lt;/electronic-resource-num&gt;&lt;/record&gt;&lt;/Cite&gt;&lt;/EndNote&gt;</w:instrText>
      </w:r>
      <w:r w:rsidRPr="00487F71">
        <w:rPr>
          <w:rFonts w:asciiTheme="majorBidi" w:eastAsia="AdvP4B6849" w:hAnsiTheme="majorBidi" w:cstheme="majorBidi"/>
          <w:sz w:val="20"/>
          <w:szCs w:val="20"/>
        </w:rPr>
        <w:fldChar w:fldCharType="separate"/>
      </w:r>
      <w:r w:rsidRPr="00487F71">
        <w:rPr>
          <w:rFonts w:asciiTheme="majorBidi" w:eastAsia="AdvP4B6849" w:hAnsiTheme="majorBidi" w:cstheme="majorBidi"/>
          <w:noProof/>
          <w:sz w:val="20"/>
          <w:szCs w:val="20"/>
        </w:rPr>
        <w:t>[3]</w:t>
      </w:r>
      <w:r w:rsidRPr="00487F71">
        <w:rPr>
          <w:rFonts w:asciiTheme="majorBidi" w:eastAsia="AdvP4B6849" w:hAnsiTheme="majorBidi" w:cstheme="majorBidi"/>
          <w:sz w:val="20"/>
          <w:szCs w:val="20"/>
        </w:rPr>
        <w:fldChar w:fldCharType="end"/>
      </w:r>
      <w:r w:rsidRPr="00487F71">
        <w:rPr>
          <w:rFonts w:asciiTheme="majorBidi" w:eastAsia="AdvP4B6849" w:hAnsiTheme="majorBidi" w:cstheme="majorBidi"/>
          <w:sz w:val="20"/>
          <w:szCs w:val="20"/>
        </w:rPr>
        <w:t xml:space="preserve">. </w:t>
      </w:r>
      <w:r w:rsidRPr="00487F71">
        <w:rPr>
          <w:rFonts w:asciiTheme="majorBidi" w:hAnsiTheme="majorBidi" w:cstheme="majorBidi"/>
          <w:sz w:val="20"/>
          <w:szCs w:val="20"/>
        </w:rPr>
        <w:t xml:space="preserve">Due to their respectively low processing temperature, borosilicate and phosphate glasses are the most applied glass for vitrification. Some compounds in nuclear wastes have limited solubility in borosilicate glasses i.e. platinoids, refractory oxides and cations of high oxidation state </w:t>
      </w:r>
      <w:r w:rsidRPr="00487F71">
        <w:rPr>
          <w:rFonts w:asciiTheme="majorBidi" w:hAnsiTheme="majorBidi" w:cstheme="majorBidi"/>
          <w:sz w:val="20"/>
          <w:szCs w:val="20"/>
        </w:rPr>
        <w:fldChar w:fldCharType="begin"/>
      </w:r>
      <w:r w:rsidRPr="00487F71">
        <w:rPr>
          <w:rFonts w:asciiTheme="majorBidi" w:hAnsiTheme="majorBidi" w:cstheme="majorBidi"/>
          <w:sz w:val="20"/>
          <w:szCs w:val="20"/>
        </w:rPr>
        <w:instrText xml:space="preserve"> ADDIN EN.CITE &lt;EndNote&gt;&lt;Cite ExcludeYear="1"&gt;&lt;Author&gt;Abou Hussein&lt;/Author&gt;&lt;Year&gt;2019&lt;/Year&gt;&lt;RecNum&gt;14&lt;/RecNum&gt;&lt;DisplayText&gt;[4]&lt;/DisplayText&gt;&lt;record&gt;&lt;rec-number&gt;14&lt;/rec-number&gt;&lt;foreign-keys&gt;&lt;key app="EN" db-id="svppx29d3d9vtiear5y555w952fexavtxr0e" timestamp="1631031846"&gt;14&lt;/key&gt;&lt;/foreign-keys&gt;&lt;ref-type name="Journal Article"&gt;17&lt;/ref-type&gt;&lt;contributors&gt;&lt;authors&gt;&lt;author&gt;Abou Hussein, E. M.&lt;/author&gt;&lt;/authors&gt;&lt;/contributors&gt;&lt;titles&gt;&lt;title&gt;Vitrified Municipal Waste for the Immobilization of Radioactive Waste: Preparation and Characterization of Borosilicate Glasses Modified with Metal Oxides&lt;/title&gt;&lt;secondary-title&gt;Silicon&lt;/secondary-title&gt;&lt;/titles&gt;&lt;periodical&gt;&lt;full-title&gt;Silicon&lt;/full-title&gt;&lt;/periodical&gt;&lt;pages&gt;2675-2688&lt;/pages&gt;&lt;volume&gt;11&lt;/volume&gt;&lt;number&gt;6&lt;/number&gt;&lt;dates&gt;&lt;year&gt;2019&lt;/year&gt;&lt;pub-dates&gt;&lt;date&gt;2019/12/01&lt;/date&gt;&lt;/pub-dates&gt;&lt;/dates&gt;&lt;isbn&gt;1876-9918&lt;/isbn&gt;&lt;urls&gt;&lt;related-urls&gt;&lt;url&gt;https://doi.org/10.1007/s12633-018-0056-1&lt;/url&gt;&lt;/related-urls&gt;&lt;/urls&gt;&lt;electronic-resource-num&gt;10.1007/s12633-018-0056-1&lt;/electronic-resource-num&gt;&lt;/record&gt;&lt;/Cite&gt;&lt;/EndNote&gt;</w:instrText>
      </w:r>
      <w:r w:rsidRPr="00487F71">
        <w:rPr>
          <w:rFonts w:asciiTheme="majorBidi" w:hAnsiTheme="majorBidi" w:cstheme="majorBidi"/>
          <w:sz w:val="20"/>
          <w:szCs w:val="20"/>
        </w:rPr>
        <w:fldChar w:fldCharType="separate"/>
      </w:r>
      <w:r w:rsidRPr="00487F71">
        <w:rPr>
          <w:rFonts w:asciiTheme="majorBidi" w:hAnsiTheme="majorBidi" w:cstheme="majorBidi"/>
          <w:noProof/>
          <w:sz w:val="20"/>
          <w:szCs w:val="20"/>
        </w:rPr>
        <w:t>[4]</w:t>
      </w:r>
      <w:r w:rsidRPr="00487F71">
        <w:rPr>
          <w:rFonts w:asciiTheme="majorBidi" w:hAnsiTheme="majorBidi" w:cstheme="majorBidi"/>
          <w:sz w:val="20"/>
          <w:szCs w:val="20"/>
        </w:rPr>
        <w:fldChar w:fldCharType="end"/>
      </w:r>
      <w:r w:rsidRPr="00487F71">
        <w:rPr>
          <w:rFonts w:asciiTheme="majorBidi" w:hAnsiTheme="majorBidi" w:cstheme="majorBidi"/>
          <w:sz w:val="20"/>
          <w:szCs w:val="20"/>
        </w:rPr>
        <w:t xml:space="preserve">. </w:t>
      </w:r>
    </w:p>
    <w:p w:rsidR="00BF5966" w:rsidRPr="00487F71" w:rsidRDefault="00BF5966" w:rsidP="00C2751C">
      <w:pPr>
        <w:pStyle w:val="ListParagraph"/>
        <w:tabs>
          <w:tab w:val="left" w:pos="450"/>
        </w:tabs>
        <w:spacing w:after="0" w:line="240" w:lineRule="auto"/>
        <w:ind w:left="0"/>
        <w:jc w:val="both"/>
        <w:rPr>
          <w:rFonts w:asciiTheme="majorBidi" w:hAnsiTheme="majorBidi" w:cstheme="majorBidi"/>
          <w:sz w:val="20"/>
          <w:szCs w:val="20"/>
        </w:rPr>
      </w:pPr>
      <w:r w:rsidRPr="00487F71">
        <w:rPr>
          <w:rFonts w:asciiTheme="majorBidi" w:hAnsiTheme="majorBidi" w:cstheme="majorBidi"/>
          <w:sz w:val="20"/>
          <w:szCs w:val="20"/>
          <w:lang w:val="en-GB"/>
        </w:rPr>
        <w:tab/>
        <w:t>Safety assessment studies for waste form matrices are focused on glass structure understanding. A glass structural model should detail structure-properties relationships, depict atomic arrangements at short and medium range, and have general idea applicable to a large number of systems</w:t>
      </w:r>
      <w:r w:rsidRPr="00487F71">
        <w:rPr>
          <w:rFonts w:asciiTheme="majorBidi" w:hAnsiTheme="majorBidi" w:cstheme="majorBidi"/>
          <w:sz w:val="20"/>
          <w:szCs w:val="20"/>
          <w:lang w:val="en-GB"/>
        </w:rPr>
        <w:fldChar w:fldCharType="begin"/>
      </w:r>
      <w:r w:rsidRPr="00487F71">
        <w:rPr>
          <w:rFonts w:asciiTheme="majorBidi" w:hAnsiTheme="majorBidi" w:cstheme="majorBidi"/>
          <w:sz w:val="20"/>
          <w:szCs w:val="20"/>
          <w:lang w:val="en-GB"/>
        </w:rPr>
        <w:instrText xml:space="preserve"> ADDIN EN.CITE &lt;EndNote&gt;&lt;Cite&gt;&lt;Author&gt;Mukunoki&lt;/Author&gt;&lt;Year&gt;2018&lt;/Year&gt;&lt;RecNum&gt;15&lt;/RecNum&gt;&lt;DisplayText&gt;[5]&lt;/DisplayText&gt;&lt;record&gt;&lt;rec-number&gt;15&lt;/rec-number&gt;&lt;foreign-keys&gt;&lt;key app="EN" db-id="svppx29d3d9vtiear5y555w952fexavtxr0e" timestamp="1631031882"&gt;15&lt;/key&gt;&lt;/foreign-keys&gt;&lt;ref-type name="Journal Article"&gt;17&lt;/ref-type&gt;&lt;contributors&gt;&lt;authors&gt;&lt;author&gt;Mukunoki, Atsushi&lt;/author&gt;&lt;author&gt;Kikuchi, Takahiro&lt;/author&gt;&lt;author&gt;Chiba, Tamotsu&lt;/author&gt;&lt;author&gt;Sakuragi, Tomofumi&lt;/author&gt;&lt;author&gt;Kogure, Toshihiro&lt;/author&gt;&lt;author&gt;Sato, Tsutomu&lt;/author&gt;&lt;/authors&gt;&lt;/contributors&gt;&lt;titles&gt;&lt;title&gt;Dissolution Behavior of Lead Borate Glass under Simulated Geological Disposal Conditions&lt;/title&gt;&lt;secondary-title&gt;MRS Advances&lt;/secondary-title&gt;&lt;/titles&gt;&lt;periodical&gt;&lt;full-title&gt;MRS Advances&lt;/full-title&gt;&lt;/periodical&gt;&lt;pages&gt;1139-1145&lt;/pages&gt;&lt;volume&gt;3&lt;/volume&gt;&lt;number&gt;21&lt;/number&gt;&lt;edition&gt;2018/03/13&lt;/edition&gt;&lt;keywords&gt;&lt;keyword&gt;glass&lt;/keyword&gt;&lt;keyword&gt;I&lt;/keyword&gt;&lt;keyword&gt;geologic&lt;/keyword&gt;&lt;keyword&gt;x-ray diffraction (XRD)&lt;/keyword&gt;&lt;/keywords&gt;&lt;dates&gt;&lt;year&gt;2018&lt;/year&gt;&lt;/dates&gt;&lt;publisher&gt;Materials Research Society&lt;/publisher&gt;&lt;urls&gt;&lt;related-urls&gt;&lt;url&gt;https://www.cambridge.org/core/article/dissolution-behavior-of-lead-borate-glass-under-simulated-geological-disposal-conditions/D08B76E4634C3D0636FC744921106C15&lt;/url&gt;&lt;/related-urls&gt;&lt;/urls&gt;&lt;electronic-resource-num&gt;10.1557/adv.2018.284&lt;/electronic-resource-num&gt;&lt;remote-database-name&gt;Cambridge Core&lt;/remote-database-name&gt;&lt;remote-database-provider&gt;Cambridge University Press&lt;/remote-database-provider&gt;&lt;/record&gt;&lt;/Cite&gt;&lt;/EndNote&gt;</w:instrText>
      </w:r>
      <w:r w:rsidRPr="00487F71">
        <w:rPr>
          <w:rFonts w:asciiTheme="majorBidi" w:hAnsiTheme="majorBidi" w:cstheme="majorBidi"/>
          <w:sz w:val="20"/>
          <w:szCs w:val="20"/>
          <w:lang w:val="en-GB"/>
        </w:rPr>
        <w:fldChar w:fldCharType="separate"/>
      </w:r>
      <w:r w:rsidRPr="00487F71">
        <w:rPr>
          <w:rFonts w:asciiTheme="majorBidi" w:hAnsiTheme="majorBidi" w:cstheme="majorBidi"/>
          <w:noProof/>
          <w:sz w:val="20"/>
          <w:szCs w:val="20"/>
          <w:lang w:val="en-GB"/>
        </w:rPr>
        <w:t>[5]</w:t>
      </w:r>
      <w:r w:rsidRPr="00487F71">
        <w:rPr>
          <w:rFonts w:asciiTheme="majorBidi" w:hAnsiTheme="majorBidi" w:cstheme="majorBidi"/>
          <w:sz w:val="20"/>
          <w:szCs w:val="20"/>
          <w:lang w:val="en-GB"/>
        </w:rPr>
        <w:fldChar w:fldCharType="end"/>
      </w:r>
      <w:r w:rsidRPr="00487F71">
        <w:rPr>
          <w:rFonts w:asciiTheme="majorBidi" w:hAnsiTheme="majorBidi" w:cstheme="majorBidi"/>
          <w:sz w:val="20"/>
          <w:szCs w:val="20"/>
          <w:lang w:val="en-GB"/>
        </w:rPr>
        <w:t xml:space="preserve">. Long-term assessment studies are confronted by the quantification of coordination number, bond type, bond strength, and their roles in strengthen long-term glass degradation. </w:t>
      </w:r>
      <w:r w:rsidRPr="00E740F0">
        <w:rPr>
          <w:rStyle w:val="Emphasis"/>
          <w:rFonts w:asciiTheme="majorBidi" w:hAnsiTheme="majorBidi" w:cstheme="majorBidi"/>
          <w:i w:val="0"/>
          <w:iCs w:val="0"/>
          <w:sz w:val="20"/>
          <w:szCs w:val="20"/>
        </w:rPr>
        <w:t>Dietzel</w:t>
      </w:r>
      <w:r w:rsidRPr="00487F71">
        <w:rPr>
          <w:rStyle w:val="st"/>
          <w:rFonts w:asciiTheme="majorBidi" w:hAnsiTheme="majorBidi" w:cstheme="majorBidi"/>
          <w:sz w:val="20"/>
          <w:szCs w:val="20"/>
        </w:rPr>
        <w:t xml:space="preserve"> </w:t>
      </w:r>
      <w:r w:rsidRPr="00487F71">
        <w:rPr>
          <w:rStyle w:val="st"/>
          <w:rFonts w:asciiTheme="majorBidi" w:hAnsiTheme="majorBidi" w:cstheme="majorBidi"/>
          <w:sz w:val="20"/>
          <w:szCs w:val="20"/>
        </w:rPr>
        <w:fldChar w:fldCharType="begin"/>
      </w:r>
      <w:r w:rsidRPr="00487F71">
        <w:rPr>
          <w:rStyle w:val="st"/>
          <w:rFonts w:asciiTheme="majorBidi" w:hAnsiTheme="majorBidi" w:cstheme="majorBidi"/>
          <w:sz w:val="20"/>
          <w:szCs w:val="20"/>
        </w:rPr>
        <w:instrText xml:space="preserve"> ADDIN EN.CITE &lt;EndNote&gt;&lt;Cite&gt;&lt;Author&gt;Calahoo&lt;/Author&gt;&lt;Year&gt;2020&lt;/Year&gt;&lt;RecNum&gt;2&lt;/RecNum&gt;&lt;DisplayText&gt;[6]&lt;/DisplayText&gt;&lt;record&gt;&lt;rec-number&gt;2&lt;/rec-number&gt;&lt;foreign-keys&gt;&lt;key app="EN" db-id="svppx29d3d9vtiear5y555w952fexavtxr0e" timestamp="1631029489"&gt;2&lt;/key&gt;&lt;/foreign-keys&gt;&lt;ref-type name="Journal Article"&gt;17&lt;/ref-type&gt;&lt;contributors&gt;&lt;authors&gt;&lt;author&gt;Calahoo, Courtney&lt;/author&gt;&lt;author&gt;Wondraczek, Lothar&lt;/author&gt;&lt;/authors&gt;&lt;/contributors&gt;&lt;titles&gt;&lt;title&gt;Ionic glasses: Structure, properties and classification&lt;/title&gt;&lt;secondary-title&gt;Journal of Non-Crystalline Solids: X&lt;/secondary-title&gt;&lt;/titles&gt;&lt;periodical&gt;&lt;full-title&gt;Journal of Non-Crystalline Solids: X&lt;/full-title&gt;&lt;/periodical&gt;&lt;pages&gt;100054&lt;/pages&gt;&lt;volume&gt;8&lt;/volume&gt;&lt;dates&gt;&lt;year&gt;2020&lt;/year&gt;&lt;pub-dates&gt;&lt;date&gt;2020/12/01/&lt;/date&gt;&lt;/pub-dates&gt;&lt;/dates&gt;&lt;isbn&gt;2590-1591&lt;/isbn&gt;&lt;urls&gt;&lt;related-urls&gt;&lt;url&gt;https://www.sciencedirect.com/science/article/pii/S259015912030011X&lt;/url&gt;&lt;/related-urls&gt;&lt;/urls&gt;&lt;electronic-resource-num&gt;https://doi.org/10.1016/j.nocx.2020.100054&lt;/electronic-resource-num&gt;&lt;/record&gt;&lt;/Cite&gt;&lt;/EndNote&gt;</w:instrText>
      </w:r>
      <w:r w:rsidRPr="00487F71">
        <w:rPr>
          <w:rStyle w:val="st"/>
          <w:rFonts w:asciiTheme="majorBidi" w:hAnsiTheme="majorBidi" w:cstheme="majorBidi"/>
          <w:sz w:val="20"/>
          <w:szCs w:val="20"/>
        </w:rPr>
        <w:fldChar w:fldCharType="separate"/>
      </w:r>
      <w:r w:rsidRPr="00487F71">
        <w:rPr>
          <w:rStyle w:val="st"/>
          <w:rFonts w:asciiTheme="majorBidi" w:hAnsiTheme="majorBidi" w:cstheme="majorBidi"/>
          <w:noProof/>
          <w:sz w:val="20"/>
          <w:szCs w:val="20"/>
        </w:rPr>
        <w:t>[6]</w:t>
      </w:r>
      <w:r w:rsidRPr="00487F71">
        <w:rPr>
          <w:rStyle w:val="st"/>
          <w:rFonts w:asciiTheme="majorBidi" w:hAnsiTheme="majorBidi" w:cstheme="majorBidi"/>
          <w:sz w:val="20"/>
          <w:szCs w:val="20"/>
        </w:rPr>
        <w:fldChar w:fldCharType="end"/>
      </w:r>
      <w:r w:rsidRPr="00487F71">
        <w:rPr>
          <w:rStyle w:val="st"/>
          <w:rFonts w:asciiTheme="majorBidi" w:hAnsiTheme="majorBidi" w:cstheme="majorBidi"/>
          <w:noProof/>
          <w:sz w:val="20"/>
          <w:szCs w:val="20"/>
        </w:rPr>
        <w:t xml:space="preserve"> </w:t>
      </w:r>
      <w:r w:rsidRPr="00487F71">
        <w:rPr>
          <w:rStyle w:val="st"/>
          <w:rFonts w:asciiTheme="majorBidi" w:hAnsiTheme="majorBidi" w:cstheme="majorBidi"/>
          <w:sz w:val="20"/>
          <w:szCs w:val="20"/>
        </w:rPr>
        <w:t xml:space="preserve">classified the oxides according to their ability to form or modify </w:t>
      </w:r>
      <w:r w:rsidRPr="00487F71">
        <w:rPr>
          <w:rStyle w:val="y2iqfc"/>
          <w:rFonts w:asciiTheme="majorBidi" w:hAnsiTheme="majorBidi" w:cstheme="majorBidi"/>
          <w:sz w:val="20"/>
          <w:szCs w:val="20"/>
        </w:rPr>
        <w:t xml:space="preserve">glass lattice in light of their positive </w:t>
      </w:r>
      <w:r w:rsidRPr="00487F71">
        <w:rPr>
          <w:rStyle w:val="st"/>
          <w:rFonts w:asciiTheme="majorBidi" w:hAnsiTheme="majorBidi" w:cstheme="majorBidi"/>
          <w:sz w:val="20"/>
          <w:szCs w:val="20"/>
        </w:rPr>
        <w:t xml:space="preserve">cation </w:t>
      </w:r>
      <w:r w:rsidRPr="00487F71">
        <w:rPr>
          <w:rStyle w:val="y2iqfc"/>
          <w:rFonts w:asciiTheme="majorBidi" w:hAnsiTheme="majorBidi" w:cstheme="majorBidi"/>
          <w:sz w:val="20"/>
          <w:szCs w:val="20"/>
        </w:rPr>
        <w:t>field</w:t>
      </w:r>
      <w:r w:rsidRPr="00487F71">
        <w:rPr>
          <w:rFonts w:asciiTheme="majorBidi" w:hAnsiTheme="majorBidi" w:cstheme="majorBidi"/>
          <w:sz w:val="20"/>
          <w:szCs w:val="20"/>
        </w:rPr>
        <w:t>. T</w:t>
      </w:r>
      <w:r w:rsidRPr="00487F71">
        <w:rPr>
          <w:rStyle w:val="st"/>
          <w:rFonts w:asciiTheme="majorBidi" w:hAnsiTheme="majorBidi" w:cstheme="majorBidi"/>
          <w:sz w:val="20"/>
          <w:szCs w:val="20"/>
        </w:rPr>
        <w:t xml:space="preserve">he cation field intensity is defined as charge to </w:t>
      </w:r>
      <w:r w:rsidRPr="00487F71">
        <w:rPr>
          <w:rStyle w:val="st"/>
          <w:rFonts w:asciiTheme="majorBidi" w:hAnsiTheme="majorBidi" w:cstheme="majorBidi"/>
          <w:sz w:val="20"/>
          <w:szCs w:val="20"/>
        </w:rPr>
        <w:lastRenderedPageBreak/>
        <w:t xml:space="preserve">distance square ratio according to Jantzen et al </w:t>
      </w:r>
      <w:r w:rsidRPr="00487F71">
        <w:rPr>
          <w:rStyle w:val="st"/>
          <w:rFonts w:asciiTheme="majorBidi" w:hAnsiTheme="majorBidi" w:cstheme="majorBidi"/>
          <w:sz w:val="20"/>
          <w:szCs w:val="20"/>
        </w:rPr>
        <w:fldChar w:fldCharType="begin"/>
      </w:r>
      <w:r w:rsidRPr="00487F71">
        <w:rPr>
          <w:rStyle w:val="st"/>
          <w:rFonts w:asciiTheme="majorBidi" w:hAnsiTheme="majorBidi" w:cstheme="majorBidi"/>
          <w:sz w:val="20"/>
          <w:szCs w:val="20"/>
        </w:rPr>
        <w:instrText xml:space="preserve"> ADDIN EN.CITE &lt;EndNote&gt;&lt;Cite&gt;&lt;Author&gt;Jantzen&lt;/Author&gt;&lt;Year&gt;1984&lt;/Year&gt;&lt;RecNum&gt;11&lt;/RecNum&gt;&lt;DisplayText&gt;[7]&lt;/DisplayText&gt;&lt;record&gt;&lt;rec-number&gt;11&lt;/rec-number&gt;&lt;foreign-keys&gt;&lt;key app="EN" db-id="svppx29d3d9vtiear5y555w952fexavtxr0e" timestamp="1631031636"&gt;11&lt;/key&gt;&lt;/foreign-keys&gt;&lt;ref-type name="Journal Article"&gt;17&lt;/ref-type&gt;&lt;contributors&gt;&lt;authors&gt;&lt;author&gt;Jantzen, C. M.&lt;/author&gt;&lt;author&gt;Plodinec, M. J.&lt;/author&gt;&lt;/authors&gt;&lt;/contributors&gt;&lt;titles&gt;&lt;title&gt;Thermodynamic model of natural, medieval and nuclear waste glass durability&lt;/title&gt;&lt;secondary-title&gt;Journal of Non-Crystalline Solids&lt;/secondary-title&gt;&lt;/titles&gt;&lt;periodical&gt;&lt;full-title&gt;Journal of Non-Crystalline Solids&lt;/full-title&gt;&lt;/periodical&gt;&lt;pages&gt;207-223&lt;/pages&gt;&lt;volume&gt;67&lt;/volume&gt;&lt;number&gt;1&lt;/number&gt;&lt;dates&gt;&lt;year&gt;1984&lt;/year&gt;&lt;pub-dates&gt;&lt;date&gt;1984/09/01/&lt;/date&gt;&lt;/pub-dates&gt;&lt;/dates&gt;&lt;isbn&gt;0022-3093&lt;/isbn&gt;&lt;urls&gt;&lt;related-urls&gt;&lt;url&gt;https://www.sciencedirect.com/science/article/pii/0022309384901510&lt;/url&gt;&lt;/related-urls&gt;&lt;/urls&gt;&lt;electronic-resource-num&gt;https://doi.org/10.1016/0022-3093(84)90151-0&lt;/electronic-resource-num&gt;&lt;/record&gt;&lt;/Cite&gt;&lt;/EndNote&gt;</w:instrText>
      </w:r>
      <w:r w:rsidRPr="00487F71">
        <w:rPr>
          <w:rStyle w:val="st"/>
          <w:rFonts w:asciiTheme="majorBidi" w:hAnsiTheme="majorBidi" w:cstheme="majorBidi"/>
          <w:sz w:val="20"/>
          <w:szCs w:val="20"/>
        </w:rPr>
        <w:fldChar w:fldCharType="separate"/>
      </w:r>
      <w:r w:rsidRPr="00487F71">
        <w:rPr>
          <w:rStyle w:val="st"/>
          <w:rFonts w:asciiTheme="majorBidi" w:hAnsiTheme="majorBidi" w:cstheme="majorBidi"/>
          <w:noProof/>
          <w:sz w:val="20"/>
          <w:szCs w:val="20"/>
        </w:rPr>
        <w:t>[7]</w:t>
      </w:r>
      <w:r w:rsidRPr="00487F71">
        <w:rPr>
          <w:rStyle w:val="st"/>
          <w:rFonts w:asciiTheme="majorBidi" w:hAnsiTheme="majorBidi" w:cstheme="majorBidi"/>
          <w:sz w:val="20"/>
          <w:szCs w:val="20"/>
        </w:rPr>
        <w:fldChar w:fldCharType="end"/>
      </w:r>
      <w:r w:rsidRPr="00487F71">
        <w:rPr>
          <w:rStyle w:val="st"/>
          <w:rFonts w:asciiTheme="majorBidi" w:hAnsiTheme="majorBidi" w:cstheme="majorBidi"/>
          <w:sz w:val="20"/>
          <w:szCs w:val="20"/>
        </w:rPr>
        <w:t xml:space="preserve">. </w:t>
      </w:r>
      <w:r w:rsidRPr="00487F71">
        <w:rPr>
          <w:rFonts w:asciiTheme="majorBidi" w:hAnsiTheme="majorBidi" w:cstheme="majorBidi"/>
          <w:sz w:val="20"/>
          <w:szCs w:val="20"/>
        </w:rPr>
        <w:t xml:space="preserve">Dietzal's ﬁeld strength identifies the structure of glass formation and the mechanical properties changes. It evaluates the different in internal energy due to change in Dietzal's ﬁeld strength, and identify the chemical affinity for the solid surface layer hydrolysis reaction. The main question when quantifying the rate of glass dissolution is that there are two different distinctive glass surface reactions that can guide dissolution rate deviation with solution composition: </w:t>
      </w:r>
    </w:p>
    <w:p w:rsidR="00BF5966" w:rsidRPr="00487F71" w:rsidRDefault="00BF5966" w:rsidP="00487F71">
      <w:pPr>
        <w:ind w:left="57"/>
        <w:jc w:val="both"/>
        <w:rPr>
          <w:rFonts w:asciiTheme="majorBidi" w:hAnsiTheme="majorBidi" w:cstheme="majorBidi"/>
          <w:sz w:val="20"/>
        </w:rPr>
      </w:pPr>
      <w:r w:rsidRPr="00487F71">
        <w:rPr>
          <w:rFonts w:asciiTheme="majorBidi" w:hAnsiTheme="majorBidi" w:cstheme="majorBidi"/>
          <w:sz w:val="20"/>
        </w:rPr>
        <w:t xml:space="preserve">1) The reverse reaction, as at equilibrium ions are leaning to reprecipitate. </w:t>
      </w:r>
    </w:p>
    <w:p w:rsidR="00BF5966" w:rsidRPr="00487F71" w:rsidRDefault="00BF5966" w:rsidP="00487F71">
      <w:pPr>
        <w:ind w:left="57"/>
        <w:jc w:val="both"/>
        <w:rPr>
          <w:rFonts w:asciiTheme="majorBidi" w:hAnsiTheme="majorBidi" w:cstheme="majorBidi"/>
          <w:sz w:val="20"/>
        </w:rPr>
      </w:pPr>
      <w:r w:rsidRPr="00487F71">
        <w:rPr>
          <w:rFonts w:asciiTheme="majorBidi" w:hAnsiTheme="majorBidi" w:cstheme="majorBidi"/>
          <w:sz w:val="20"/>
        </w:rPr>
        <w:t xml:space="preserve">2) The forming reaction, as the dissolution rate control or precursor of surface. </w:t>
      </w:r>
    </w:p>
    <w:p w:rsidR="00BF5966" w:rsidRPr="00487F71" w:rsidRDefault="00BF5966" w:rsidP="00487F71">
      <w:pPr>
        <w:pStyle w:val="HTMLPreformatted"/>
        <w:jc w:val="both"/>
        <w:rPr>
          <w:rStyle w:val="st"/>
          <w:rFonts w:asciiTheme="majorBidi" w:hAnsiTheme="majorBidi" w:cstheme="majorBidi"/>
        </w:rPr>
      </w:pPr>
      <w:r w:rsidRPr="00487F71">
        <w:rPr>
          <w:rStyle w:val="y2iqfc"/>
          <w:rFonts w:asciiTheme="majorBidi" w:eastAsiaTheme="majorEastAsia" w:hAnsiTheme="majorBidi" w:cstheme="majorBidi"/>
        </w:rPr>
        <w:t xml:space="preserve">These effects are often determined in premise of the chemical affinity for the dissolving phase leading to the equivalence of the form. </w:t>
      </w:r>
      <w:r w:rsidRPr="00487F71">
        <w:rPr>
          <w:rFonts w:asciiTheme="majorBidi" w:hAnsiTheme="majorBidi" w:cstheme="majorBidi"/>
        </w:rPr>
        <w:t xml:space="preserve">The chemical affinity of the dissolving phase is often quantified in terms of inverse reaction and forming reaction.  </w:t>
      </w:r>
      <w:r w:rsidRPr="00487F71">
        <w:rPr>
          <w:rStyle w:val="y2iqfc"/>
          <w:rFonts w:asciiTheme="majorBidi" w:eastAsiaTheme="majorEastAsia" w:hAnsiTheme="majorBidi" w:cstheme="majorBidi"/>
        </w:rPr>
        <w:t>The overall dissolution rate of metals or glass may be affected by several factors. Firstly, a</w:t>
      </w:r>
      <w:r w:rsidRPr="00487F71">
        <w:rPr>
          <w:rFonts w:asciiTheme="majorBidi" w:hAnsiTheme="majorBidi" w:cstheme="majorBidi"/>
        </w:rPr>
        <w:t>queous</w:t>
      </w:r>
      <w:r w:rsidRPr="00487F71">
        <w:rPr>
          <w:rStyle w:val="y2iqfc"/>
          <w:rFonts w:asciiTheme="majorBidi" w:eastAsiaTheme="majorEastAsia" w:hAnsiTheme="majorBidi" w:cstheme="majorBidi"/>
        </w:rPr>
        <w:t xml:space="preserve">  carry away of chemical species from its surface, secondly the effect of the reverse reaction in conditions close to equilibrium, and thirdly, the rate of equilibrium dissolution away from equilibrium</w:t>
      </w:r>
      <w:r w:rsidRPr="00487F71">
        <w:rPr>
          <w:rFonts w:asciiTheme="majorBidi" w:hAnsiTheme="majorBidi" w:cstheme="majorBidi"/>
        </w:rPr>
        <w:t>.</w:t>
      </w:r>
      <w:r w:rsidRPr="00487F71">
        <w:rPr>
          <w:rFonts w:asciiTheme="majorBidi" w:hAnsiTheme="majorBidi" w:cstheme="majorBidi"/>
        </w:rPr>
        <w:fldChar w:fldCharType="begin"/>
      </w:r>
      <w:r w:rsidRPr="00487F71">
        <w:rPr>
          <w:rFonts w:asciiTheme="majorBidi" w:hAnsiTheme="majorBidi" w:cstheme="majorBidi"/>
        </w:rPr>
        <w:instrText xml:space="preserve"> ADDIN EN.CITE &lt;EndNote&gt;&lt;Cite&gt;&lt;Author&gt;Trocellier&lt;/Author&gt;&lt;Year&gt;2005&lt;/Year&gt;&lt;RecNum&gt;12&lt;/RecNum&gt;&lt;DisplayText&gt;[8]&lt;/DisplayText&gt;&lt;record&gt;&lt;rec-number&gt;12&lt;/rec-number&gt;&lt;foreign-keys&gt;&lt;key app="EN" db-id="svppx29d3d9vtiear5y555w952fexavtxr0e" timestamp="1631031715"&gt;12&lt;/key&gt;&lt;/foreign-keys&gt;&lt;ref-type name="Journal Article"&gt;17&lt;/ref-type&gt;&lt;contributors&gt;&lt;authors&gt;&lt;author&gt;Trocellier, P.&lt;/author&gt;&lt;author&gt;Djanarthany, S.&lt;/author&gt;&lt;author&gt;Chêne, J.&lt;/author&gt;&lt;author&gt;Haddi, A.&lt;/author&gt;&lt;author&gt;Brass, A.&lt;/author&gt;&lt;author&gt;Poissonnet, S.&lt;/author&gt;&lt;author&gt;Farges, F.&lt;/author&gt;&lt;/authors&gt;&lt;/contributors&gt;&lt;titles&gt;&lt;title&gt;Chemical durability of alkali-borosilicate glasses studied by analytical SEM, IBA, isotopic-tracing and SIMS&lt;/title&gt;&lt;secondary-title&gt;Nuclear Instruments &amp;amp; Methods in Physics Research Section B-beam Interactions With Materials and Atoms&lt;/secondary-title&gt;&lt;/titles&gt;&lt;periodical&gt;&lt;full-title&gt;Nuclear Instruments &amp;amp; Methods in Physics Research Section B-beam Interactions With Materials and Atoms&lt;/full-title&gt;&lt;/periodical&gt;&lt;pages&gt;337-344&lt;/pages&gt;&lt;volume&gt;240&lt;/volume&gt;&lt;dates&gt;&lt;year&gt;2005&lt;/year&gt;&lt;/dates&gt;&lt;urls&gt;&lt;/urls&gt;&lt;/record&gt;&lt;/Cite&gt;&lt;/EndNote&gt;</w:instrText>
      </w:r>
      <w:r w:rsidRPr="00487F71">
        <w:rPr>
          <w:rFonts w:asciiTheme="majorBidi" w:hAnsiTheme="majorBidi" w:cstheme="majorBidi"/>
        </w:rPr>
        <w:fldChar w:fldCharType="separate"/>
      </w:r>
      <w:r w:rsidRPr="00487F71">
        <w:rPr>
          <w:rFonts w:asciiTheme="majorBidi" w:hAnsiTheme="majorBidi" w:cstheme="majorBidi"/>
          <w:noProof/>
        </w:rPr>
        <w:t>[8]</w:t>
      </w:r>
      <w:r w:rsidRPr="00487F71">
        <w:rPr>
          <w:rFonts w:asciiTheme="majorBidi" w:hAnsiTheme="majorBidi" w:cstheme="majorBidi"/>
        </w:rPr>
        <w:fldChar w:fldCharType="end"/>
      </w:r>
      <w:r w:rsidRPr="00487F71">
        <w:rPr>
          <w:rFonts w:asciiTheme="majorBidi" w:hAnsiTheme="majorBidi" w:cstheme="majorBidi"/>
        </w:rPr>
        <w:t xml:space="preserve"> </w:t>
      </w:r>
    </w:p>
    <w:p w:rsidR="00BF5966" w:rsidRPr="00487F71" w:rsidRDefault="00BF5966" w:rsidP="00487F71">
      <w:pPr>
        <w:ind w:firstLine="567"/>
        <w:jc w:val="both"/>
        <w:rPr>
          <w:rFonts w:asciiTheme="majorBidi" w:hAnsiTheme="majorBidi" w:cstheme="majorBidi"/>
          <w:sz w:val="20"/>
        </w:rPr>
      </w:pPr>
      <w:r w:rsidRPr="00487F71">
        <w:rPr>
          <w:rFonts w:asciiTheme="majorBidi" w:hAnsiTheme="majorBidi" w:cstheme="majorBidi"/>
          <w:sz w:val="20"/>
        </w:rPr>
        <w:t xml:space="preserve">The aim is to identify the containment performance and degradation resistance and structure-properties relationships that control leaching mechanism for each metal group. </w:t>
      </w:r>
      <w:r w:rsidRPr="00487F71">
        <w:rPr>
          <w:rStyle w:val="y2iqfc"/>
          <w:rFonts w:asciiTheme="majorBidi" w:hAnsiTheme="majorBidi" w:cstheme="majorBidi"/>
          <w:sz w:val="20"/>
        </w:rPr>
        <w:t xml:space="preserve">In this </w:t>
      </w:r>
      <w:r w:rsidRPr="00487F71">
        <w:rPr>
          <w:rStyle w:val="y2iqfc"/>
          <w:rFonts w:asciiTheme="majorBidi" w:eastAsiaTheme="majorEastAsia" w:hAnsiTheme="majorBidi" w:cstheme="majorBidi"/>
          <w:sz w:val="20"/>
        </w:rPr>
        <w:t>study</w:t>
      </w:r>
      <w:r w:rsidRPr="00487F71">
        <w:rPr>
          <w:rStyle w:val="y2iqfc"/>
          <w:rFonts w:asciiTheme="majorBidi" w:hAnsiTheme="majorBidi" w:cstheme="majorBidi"/>
          <w:sz w:val="20"/>
        </w:rPr>
        <w:t xml:space="preserve">, the short-term temporal evolution of waste glass </w:t>
      </w:r>
      <w:r w:rsidRPr="00487F71">
        <w:rPr>
          <w:rStyle w:val="y2iqfc"/>
          <w:rFonts w:asciiTheme="majorBidi" w:eastAsiaTheme="majorEastAsia" w:hAnsiTheme="majorBidi" w:cstheme="majorBidi"/>
          <w:sz w:val="20"/>
        </w:rPr>
        <w:t xml:space="preserve">matrices </w:t>
      </w:r>
      <w:r w:rsidRPr="00487F71">
        <w:rPr>
          <w:rStyle w:val="y2iqfc"/>
          <w:rFonts w:asciiTheme="majorBidi" w:hAnsiTheme="majorBidi" w:cstheme="majorBidi"/>
          <w:sz w:val="20"/>
        </w:rPr>
        <w:t xml:space="preserve">will be examined. Initial glass </w:t>
      </w:r>
      <w:r w:rsidRPr="00487F71">
        <w:rPr>
          <w:rStyle w:val="y2iqfc"/>
          <w:rFonts w:asciiTheme="majorBidi" w:eastAsiaTheme="majorEastAsia" w:hAnsiTheme="majorBidi" w:cstheme="majorBidi"/>
          <w:sz w:val="20"/>
        </w:rPr>
        <w:t xml:space="preserve">leaching </w:t>
      </w:r>
      <w:r w:rsidRPr="00487F71">
        <w:rPr>
          <w:rStyle w:val="y2iqfc"/>
          <w:rFonts w:asciiTheme="majorBidi" w:hAnsiTheme="majorBidi" w:cstheme="majorBidi"/>
          <w:sz w:val="20"/>
        </w:rPr>
        <w:t xml:space="preserve">properties of all matrix components in three borosilicate waste </w:t>
      </w:r>
      <w:r w:rsidRPr="00487F71">
        <w:rPr>
          <w:rStyle w:val="y2iqfc"/>
          <w:rFonts w:asciiTheme="majorBidi" w:eastAsiaTheme="majorEastAsia" w:hAnsiTheme="majorBidi" w:cstheme="majorBidi"/>
          <w:sz w:val="20"/>
        </w:rPr>
        <w:t xml:space="preserve">glasses </w:t>
      </w:r>
      <w:r w:rsidRPr="00487F71">
        <w:rPr>
          <w:rStyle w:val="y2iqfc"/>
          <w:rFonts w:asciiTheme="majorBidi" w:hAnsiTheme="majorBidi" w:cstheme="majorBidi"/>
          <w:sz w:val="20"/>
        </w:rPr>
        <w:t>will be evaluated.</w:t>
      </w:r>
      <w:r w:rsidRPr="00487F71">
        <w:rPr>
          <w:rStyle w:val="y2iqfc"/>
          <w:rFonts w:asciiTheme="majorBidi" w:eastAsiaTheme="majorEastAsia" w:hAnsiTheme="majorBidi" w:cstheme="majorBidi"/>
          <w:sz w:val="20"/>
        </w:rPr>
        <w:t xml:space="preserve"> </w:t>
      </w:r>
      <w:r w:rsidRPr="00487F71">
        <w:rPr>
          <w:rFonts w:asciiTheme="majorBidi" w:hAnsiTheme="majorBidi" w:cstheme="majorBidi"/>
          <w:sz w:val="20"/>
        </w:rPr>
        <w:t xml:space="preserve">The performance of the immobilization process was assessed by using MCC-2 leaching test. This test is classified as a static standard that was performed at 90 °C.  In this context, MCC-2 leaching test was performed and identified </w:t>
      </w:r>
      <w:r w:rsidRPr="00487F71">
        <w:rPr>
          <w:rStyle w:val="Emphasis"/>
          <w:rFonts w:asciiTheme="majorBidi" w:hAnsiTheme="majorBidi" w:cstheme="majorBidi"/>
          <w:sz w:val="20"/>
        </w:rPr>
        <w:t>Dietzel</w:t>
      </w:r>
      <w:r w:rsidRPr="00487F71">
        <w:rPr>
          <w:rStyle w:val="st"/>
          <w:rFonts w:asciiTheme="majorBidi" w:hAnsiTheme="majorBidi" w:cstheme="majorBidi"/>
          <w:sz w:val="20"/>
        </w:rPr>
        <w:t xml:space="preserve"> </w:t>
      </w:r>
      <w:r w:rsidRPr="00487F71">
        <w:rPr>
          <w:rFonts w:asciiTheme="majorBidi" w:eastAsia="TimesNewRomanPSMT" w:hAnsiTheme="majorBidi" w:cstheme="majorBidi"/>
          <w:sz w:val="20"/>
        </w:rPr>
        <w:t>field strength which</w:t>
      </w:r>
      <w:r w:rsidRPr="00487F71">
        <w:rPr>
          <w:rFonts w:asciiTheme="majorBidi" w:hAnsiTheme="majorBidi" w:cstheme="majorBidi"/>
          <w:sz w:val="20"/>
        </w:rPr>
        <w:t xml:space="preserve"> explains structure-properties relationships.</w:t>
      </w:r>
    </w:p>
    <w:p w:rsidR="00487F71" w:rsidRPr="00487F71" w:rsidRDefault="00487F71" w:rsidP="00487F71">
      <w:pPr>
        <w:pStyle w:val="Heading2"/>
      </w:pPr>
      <w:bookmarkStart w:id="1" w:name="_Toc339628715"/>
      <w:r w:rsidRPr="00487F71">
        <w:t>Experimental</w:t>
      </w:r>
      <w:bookmarkEnd w:id="1"/>
    </w:p>
    <w:p w:rsidR="00487F71" w:rsidRPr="00487F71" w:rsidRDefault="00487F71" w:rsidP="00487F71">
      <w:pPr>
        <w:pStyle w:val="Heading3"/>
      </w:pPr>
      <w:r w:rsidRPr="00487F71">
        <w:t>Material</w:t>
      </w:r>
    </w:p>
    <w:p w:rsidR="00487F71" w:rsidRPr="00487F71" w:rsidRDefault="00487F71" w:rsidP="00E740F0">
      <w:pPr>
        <w:ind w:firstLine="567"/>
        <w:jc w:val="both"/>
        <w:rPr>
          <w:rFonts w:asciiTheme="majorBidi" w:hAnsiTheme="majorBidi" w:cstheme="majorBidi"/>
          <w:sz w:val="20"/>
        </w:rPr>
      </w:pPr>
      <w:r w:rsidRPr="00487F71">
        <w:rPr>
          <w:rFonts w:asciiTheme="majorBidi" w:hAnsiTheme="majorBidi" w:cstheme="majorBidi"/>
          <w:sz w:val="20"/>
        </w:rPr>
        <w:t xml:space="preserve">Three borosilicate-based glasses are under investigation in this project. The nominal compositions of the glasses are shown in 1 which is based on the weight percentage. The compositions are batch compositions based on starting powders giving indication of glass composition at best. </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&lt;EndNote&gt;&lt;Cite&gt;&lt;Author&gt;Farid&lt;/Author&gt;&lt;Year&gt;2017&lt;/Year&gt;&lt;RecNum&gt;4&lt;/RecNum&gt;&lt;DisplayText&gt;[9]&lt;/DisplayText&gt;&lt;record&gt;&lt;rec-number&gt;4&lt;/rec-number&gt;&lt;foreign-keys&gt;&lt;key app="EN" db-id="svppx29d3d9vtiear5y555w952fexavtxr0e" timestamp="1631029832"&gt;4&lt;/key&gt;&lt;/foreign-keys&gt;&lt;ref-type name="Journal Article"&gt;17&lt;/ref-type&gt;&lt;contributors&gt;&lt;authors&gt;&lt;author&gt;Farid, Osama M.&lt;/author&gt;&lt;author&gt;Abdel Rahman, R. O.&lt;/author&gt;&lt;/authors&gt;&lt;/contributors&gt;&lt;titles&gt;&lt;title&gt;Preliminary assessment of modified borosilicate glasses for chromium and ruthenium immobilization&lt;/title&gt;&lt;secondary-title&gt;Materials Chemistry and Physics&lt;/secondary-title&gt;&lt;/titles&gt;&lt;periodical&gt;&lt;full-title&gt;Materials Chemistry and Physics&lt;/full-title&gt;&lt;/periodical&gt;&lt;pages&gt;462-469&lt;/pages&gt;&lt;volume&gt;186&lt;/volume&gt;&lt;keywords&gt;&lt;keyword&gt;Radioactive waste&lt;/keyword&gt;&lt;keyword&gt;Glass matrix&lt;/keyword&gt;&lt;keyword&gt;Structure&lt;/keyword&gt;&lt;keyword&gt;Immobilization&lt;/keyword&gt;&lt;/keywords&gt;&lt;dates&gt;&lt;year&gt;2017&lt;/year&gt;&lt;pub-dates&gt;&lt;date&gt;2017/01/15/&lt;/date&gt;&lt;/pub-dates&gt;&lt;/dates&gt;&lt;isbn&gt;0254-0584&lt;/isbn&gt;&lt;urls&gt;&lt;related-urls&gt;&lt;url&gt;https://www.sciencedirect.com/science/article/pii/S0254058416308318&lt;/url&gt;&lt;/related-urls&gt;&lt;/urls&gt;&lt;electronic-resource-num&gt;https://doi.org/10.1016/j.matchemphys.2016.11.020&lt;/electronic-resource-num&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[9]</w:t>
      </w:r>
      <w:r w:rsidRPr="00487F71">
        <w:rPr>
          <w:rFonts w:asciiTheme="majorBidi" w:hAnsiTheme="majorBidi" w:cstheme="majorBidi"/>
          <w:sz w:val="20"/>
        </w:rPr>
        <w:fldChar w:fldCharType="end"/>
      </w:r>
    </w:p>
    <w:p w:rsidR="00487F71" w:rsidRPr="00487F71" w:rsidRDefault="00487F71" w:rsidP="00487F71">
      <w:pPr>
        <w:pStyle w:val="Caption"/>
        <w:spacing w:after="0"/>
        <w:jc w:val="center"/>
        <w:rPr>
          <w:rFonts w:asciiTheme="majorBidi" w:hAnsiTheme="majorBidi" w:cstheme="majorBidi"/>
          <w:b/>
          <w:sz w:val="20"/>
        </w:rPr>
      </w:pPr>
      <w:bookmarkStart w:id="2" w:name="_Ref332795137"/>
      <w:r w:rsidRPr="00487F71">
        <w:rPr>
          <w:rFonts w:asciiTheme="majorBidi" w:hAnsiTheme="majorBidi" w:cstheme="majorBidi"/>
          <w:sz w:val="20"/>
        </w:rPr>
        <w:t xml:space="preserve">Table </w:t>
      </w:r>
      <w:bookmarkEnd w:id="2"/>
      <w:r w:rsidRPr="00487F71">
        <w:rPr>
          <w:rFonts w:asciiTheme="majorBidi" w:hAnsiTheme="majorBidi" w:cstheme="majorBidi"/>
          <w:sz w:val="20"/>
        </w:rPr>
        <w:t>1: The composition of the waste glasses (wt%)</w:t>
      </w:r>
    </w:p>
    <w:tbl>
      <w:tblPr>
        <w:tblStyle w:val="TableGrid"/>
        <w:tblW w:w="7612" w:type="dxa"/>
        <w:jc w:val="center"/>
        <w:tblInd w:w="-561" w:type="dxa"/>
        <w:tblBorders>
          <w:left w:val="none" w:sz="0" w:space="0" w:color="auto"/>
          <w:right w:val="none" w:sz="0" w:space="0" w:color="auto"/>
        </w:tblBorders>
        <w:tblLook w:val="04A0"/>
      </w:tblPr>
      <w:tblGrid>
        <w:gridCol w:w="2139"/>
        <w:gridCol w:w="1830"/>
        <w:gridCol w:w="1987"/>
        <w:gridCol w:w="1656"/>
      </w:tblGrid>
      <w:tr w:rsidR="00487F71" w:rsidRPr="00487F71" w:rsidTr="00487F71">
        <w:trPr>
          <w:jc w:val="center"/>
        </w:trPr>
        <w:tc>
          <w:tcPr>
            <w:tcW w:w="2139" w:type="dxa"/>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 xml:space="preserve">      Sample</w:t>
            </w:r>
          </w:p>
          <w:p w:rsidR="00487F71" w:rsidRPr="00487F71" w:rsidRDefault="00487F71" w:rsidP="00487F71">
            <w:pPr>
              <w:jc w:val="both"/>
              <w:rPr>
                <w:rFonts w:asciiTheme="majorBidi" w:hAnsiTheme="majorBidi" w:cstheme="majorBidi"/>
                <w:sz w:val="20"/>
              </w:rPr>
            </w:pPr>
          </w:p>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Compound</w:t>
            </w:r>
          </w:p>
        </w:tc>
        <w:tc>
          <w:tcPr>
            <w:tcW w:w="1830" w:type="dxa"/>
            <w:vAlign w:val="center"/>
          </w:tcPr>
          <w:p w:rsidR="00487F71" w:rsidRPr="00487F71" w:rsidRDefault="00487F71" w:rsidP="00487F71">
            <w:pPr>
              <w:jc w:val="center"/>
              <w:rPr>
                <w:rFonts w:asciiTheme="majorBidi" w:hAnsiTheme="majorBidi" w:cstheme="majorBidi"/>
                <w:sz w:val="20"/>
              </w:rPr>
            </w:pPr>
            <w:r w:rsidRPr="00487F71">
              <w:rPr>
                <w:rFonts w:asciiTheme="majorBidi" w:hAnsiTheme="majorBidi" w:cstheme="majorBidi"/>
                <w:sz w:val="20"/>
              </w:rPr>
              <w:t xml:space="preserve">MW Baseline </w:t>
            </w:r>
          </w:p>
        </w:tc>
        <w:tc>
          <w:tcPr>
            <w:tcW w:w="1987" w:type="dxa"/>
            <w:vAlign w:val="center"/>
          </w:tcPr>
          <w:p w:rsidR="00487F71" w:rsidRPr="00487F71" w:rsidRDefault="00487F71" w:rsidP="00487F71">
            <w:pPr>
              <w:jc w:val="center"/>
              <w:rPr>
                <w:rFonts w:asciiTheme="majorBidi" w:hAnsiTheme="majorBidi" w:cstheme="majorBidi"/>
                <w:sz w:val="20"/>
              </w:rPr>
            </w:pPr>
            <w:r w:rsidRPr="00487F71">
              <w:rPr>
                <w:rFonts w:asciiTheme="majorBidi" w:hAnsiTheme="majorBidi" w:cstheme="majorBidi"/>
                <w:sz w:val="20"/>
              </w:rPr>
              <w:t>CaZn + Magnox</w:t>
            </w:r>
          </w:p>
        </w:tc>
        <w:tc>
          <w:tcPr>
            <w:tcW w:w="1656" w:type="dxa"/>
            <w:vAlign w:val="center"/>
          </w:tcPr>
          <w:p w:rsidR="00487F71" w:rsidRPr="00487F71" w:rsidRDefault="00487F71" w:rsidP="00487F71">
            <w:pPr>
              <w:jc w:val="center"/>
              <w:rPr>
                <w:rFonts w:asciiTheme="majorBidi" w:hAnsiTheme="majorBidi" w:cstheme="majorBidi"/>
                <w:sz w:val="20"/>
              </w:rPr>
            </w:pPr>
            <w:r w:rsidRPr="00487F71">
              <w:rPr>
                <w:rFonts w:asciiTheme="majorBidi" w:hAnsiTheme="majorBidi" w:cstheme="majorBidi"/>
                <w:sz w:val="20"/>
              </w:rPr>
              <w:t>Blend</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SiO</w:t>
            </w:r>
            <w:r w:rsidRPr="00487F71">
              <w:rPr>
                <w:rFonts w:asciiTheme="majorBidi" w:hAnsiTheme="majorBidi" w:cstheme="majorBidi"/>
                <w:sz w:val="20"/>
                <w:vertAlign w:val="subscript"/>
              </w:rPr>
              <w:t>2</w:t>
            </w:r>
          </w:p>
        </w:tc>
        <w:tc>
          <w:tcPr>
            <w:tcW w:w="1830"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61.7</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44.26</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46.28</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B</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21.9</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17.95</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16.43</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Na</w:t>
            </w:r>
            <w:r w:rsidRPr="00487F71">
              <w:rPr>
                <w:rFonts w:asciiTheme="majorBidi" w:hAnsiTheme="majorBidi" w:cstheme="majorBidi"/>
                <w:sz w:val="20"/>
                <w:vertAlign w:val="subscript"/>
              </w:rPr>
              <w:t>2</w:t>
            </w:r>
            <w:r w:rsidRPr="00487F71">
              <w:rPr>
                <w:rFonts w:asciiTheme="majorBidi" w:hAnsiTheme="majorBidi" w:cstheme="majorBidi"/>
                <w:sz w:val="20"/>
              </w:rPr>
              <w:t>O</w:t>
            </w:r>
          </w:p>
        </w:tc>
        <w:tc>
          <w:tcPr>
            <w:tcW w:w="1830"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11.1</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9.01</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8.33</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Li</w:t>
            </w:r>
            <w:r w:rsidRPr="00487F71">
              <w:rPr>
                <w:rFonts w:asciiTheme="majorBidi" w:hAnsiTheme="majorBidi" w:cstheme="majorBidi"/>
                <w:sz w:val="20"/>
                <w:vertAlign w:val="subscript"/>
              </w:rPr>
              <w:t>2</w:t>
            </w:r>
            <w:r w:rsidRPr="00487F71">
              <w:rPr>
                <w:rFonts w:asciiTheme="majorBidi" w:hAnsiTheme="majorBidi" w:cstheme="majorBidi"/>
                <w:sz w:val="20"/>
              </w:rPr>
              <w:t>O</w:t>
            </w:r>
          </w:p>
        </w:tc>
        <w:tc>
          <w:tcPr>
            <w:tcW w:w="1830"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5.3</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2.11</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3.98</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CaO</w:t>
            </w:r>
          </w:p>
        </w:tc>
        <w:tc>
          <w:tcPr>
            <w:tcW w:w="1830"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1.39</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Al</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4.11</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1.91</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BaO</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0.40</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0.47</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CeO</w:t>
            </w:r>
            <w:r w:rsidRPr="00487F71">
              <w:rPr>
                <w:rFonts w:asciiTheme="majorBidi" w:hAnsiTheme="majorBidi" w:cstheme="majorBidi"/>
                <w:sz w:val="20"/>
                <w:vertAlign w:val="subscript"/>
              </w:rPr>
              <w:t>2</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0.96</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1.45</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Cr</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0.63</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0.51</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Cs</w:t>
            </w:r>
            <w:r w:rsidRPr="00487F71">
              <w:rPr>
                <w:rFonts w:asciiTheme="majorBidi" w:hAnsiTheme="majorBidi" w:cstheme="majorBidi"/>
                <w:sz w:val="20"/>
                <w:vertAlign w:val="subscript"/>
              </w:rPr>
              <w:t>2</w:t>
            </w:r>
            <w:r w:rsidRPr="00487F71">
              <w:rPr>
                <w:rFonts w:asciiTheme="majorBidi" w:hAnsiTheme="majorBidi" w:cstheme="majorBidi"/>
                <w:sz w:val="20"/>
              </w:rPr>
              <w:t>O</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0.89</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1.59</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Fe</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2.79</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2.06</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Gd</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0.06</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4.16</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La</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0.52</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0.73</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MgO</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4.10</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1.61</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MoO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1.32</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2.49</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Nd</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1.53</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2.17</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NiO</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0.39</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0.34</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Pr</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0.52</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0.66</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RuO</w:t>
            </w:r>
            <w:r w:rsidRPr="00487F71">
              <w:rPr>
                <w:rFonts w:asciiTheme="majorBidi" w:hAnsiTheme="majorBidi" w:cstheme="majorBidi"/>
                <w:sz w:val="20"/>
                <w:vertAlign w:val="subscript"/>
              </w:rPr>
              <w:t>2</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0.52</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0.55</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Sm</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0.32</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0.49</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SrO</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0.24</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0.41</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TeO</w:t>
            </w:r>
            <w:r w:rsidRPr="00487F71">
              <w:rPr>
                <w:rFonts w:asciiTheme="majorBidi" w:hAnsiTheme="majorBidi" w:cstheme="majorBidi"/>
                <w:sz w:val="20"/>
                <w:vertAlign w:val="subscript"/>
              </w:rPr>
              <w:t>2</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0.15</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0.28</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Y</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0.16</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0.31</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ZnO</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4.43</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ZrO</w:t>
            </w:r>
            <w:r w:rsidRPr="00487F71">
              <w:rPr>
                <w:rFonts w:asciiTheme="majorBidi" w:hAnsiTheme="majorBidi" w:cstheme="majorBidi"/>
                <w:sz w:val="20"/>
                <w:vertAlign w:val="subscript"/>
              </w:rPr>
              <w:t>2</w:t>
            </w:r>
          </w:p>
        </w:tc>
        <w:tc>
          <w:tcPr>
            <w:tcW w:w="1830" w:type="dxa"/>
            <w:vAlign w:val="center"/>
          </w:tcPr>
          <w:p w:rsidR="00487F71" w:rsidRPr="00487F71" w:rsidRDefault="00487F71" w:rsidP="00487F71">
            <w:pPr>
              <w:jc w:val="both"/>
              <w:rPr>
                <w:rFonts w:asciiTheme="majorBidi" w:hAnsiTheme="majorBidi" w:cstheme="majorBidi"/>
                <w:bCs/>
                <w:sz w:val="20"/>
              </w:rPr>
            </w:pPr>
            <w:r w:rsidRPr="00487F71">
              <w:rPr>
                <w:rFonts w:asciiTheme="majorBidi" w:hAnsiTheme="majorBidi" w:cstheme="majorBidi"/>
                <w:bCs/>
                <w:sz w:val="20"/>
              </w:rPr>
              <w:t>--</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1.24</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2.82</w:t>
            </w:r>
          </w:p>
        </w:tc>
      </w:tr>
      <w:tr w:rsidR="00487F71" w:rsidRPr="00487F71" w:rsidTr="00487F71">
        <w:trPr>
          <w:jc w:val="center"/>
        </w:trPr>
        <w:tc>
          <w:tcPr>
            <w:tcW w:w="2139"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Total</w:t>
            </w:r>
          </w:p>
        </w:tc>
        <w:tc>
          <w:tcPr>
            <w:tcW w:w="1830"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100</w:t>
            </w:r>
          </w:p>
        </w:tc>
        <w:tc>
          <w:tcPr>
            <w:tcW w:w="1987"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100</w:t>
            </w:r>
          </w:p>
        </w:tc>
        <w:tc>
          <w:tcPr>
            <w:tcW w:w="1656" w:type="dxa"/>
            <w:vAlign w:val="center"/>
          </w:tcPr>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100</w:t>
            </w:r>
          </w:p>
        </w:tc>
      </w:tr>
    </w:tbl>
    <w:p w:rsidR="00487F71" w:rsidRPr="00487F71" w:rsidRDefault="00487F71" w:rsidP="00487F71">
      <w:pPr>
        <w:jc w:val="both"/>
        <w:rPr>
          <w:rFonts w:asciiTheme="majorBidi" w:hAnsiTheme="majorBidi" w:cstheme="majorBidi"/>
          <w:sz w:val="20"/>
        </w:rPr>
      </w:pPr>
    </w:p>
    <w:p w:rsidR="00487F71" w:rsidRPr="00487F71" w:rsidRDefault="00487F71" w:rsidP="00E740F0">
      <w:pPr>
        <w:ind w:firstLine="567"/>
        <w:jc w:val="both"/>
        <w:rPr>
          <w:rFonts w:asciiTheme="majorBidi" w:hAnsiTheme="majorBidi" w:cstheme="majorBidi"/>
          <w:sz w:val="20"/>
        </w:rPr>
      </w:pPr>
      <w:r w:rsidRPr="00487F71">
        <w:rPr>
          <w:rFonts w:asciiTheme="majorBidi" w:hAnsiTheme="majorBidi" w:cstheme="majorBidi"/>
          <w:sz w:val="20"/>
        </w:rPr>
        <w:lastRenderedPageBreak/>
        <w:t>MW Baseline is a base glass composition that is used for mixing with the nuclear waste.  The prepared glasses samples were processed using a melt quenching technique, where reagent grade powders were combined in appropriate ratio, and then milled to homogenize mixers. After that, the batches were melted in a platinum crucible at 13000 °C for 1 h then it stirred for 3 h, before casting into small blocks by a preheated stainless steel mould. The batches were cooled down before being disposed into an annealing furnace at 400 °C for 1 h. These glass samples were allowed to cool to room temperature at a rate of 3 °C/min. CaZn+Magnox represents calcined Magnox which has been mixed with CaO and ZnO</w:t>
      </w:r>
      <w:r w:rsidRPr="00487F71">
        <w:rPr>
          <w:rFonts w:asciiTheme="majorBidi" w:hAnsiTheme="majorBidi" w:cstheme="majorBidi"/>
          <w:sz w:val="20"/>
          <w:vertAlign w:val="subscript"/>
        </w:rPr>
        <w:t>2</w:t>
      </w:r>
      <w:r w:rsidRPr="00487F71">
        <w:rPr>
          <w:rFonts w:asciiTheme="majorBidi" w:hAnsiTheme="majorBidi" w:cstheme="majorBidi"/>
          <w:sz w:val="20"/>
        </w:rPr>
        <w:t xml:space="preserve"> as a base glass. Blend is another glass which represents waste. B</w:t>
      </w:r>
      <w:r w:rsidRPr="00487F71">
        <w:rPr>
          <w:rFonts w:asciiTheme="majorBidi" w:hAnsiTheme="majorBidi" w:cstheme="majorBidi"/>
          <w:sz w:val="20"/>
          <w:vertAlign w:val="subscript"/>
        </w:rPr>
        <w:t>2</w:t>
      </w:r>
      <w:r w:rsidRPr="00487F71">
        <w:rPr>
          <w:rFonts w:asciiTheme="majorBidi" w:hAnsiTheme="majorBidi" w:cstheme="majorBidi"/>
          <w:sz w:val="20"/>
        </w:rPr>
        <w:t>O</w:t>
      </w:r>
      <w:r w:rsidRPr="00487F71">
        <w:rPr>
          <w:rFonts w:asciiTheme="majorBidi" w:hAnsiTheme="majorBidi" w:cstheme="majorBidi"/>
          <w:sz w:val="20"/>
          <w:vertAlign w:val="subscript"/>
        </w:rPr>
        <w:t>3</w:t>
      </w:r>
      <w:r w:rsidRPr="00487F71">
        <w:rPr>
          <w:rFonts w:asciiTheme="majorBidi" w:hAnsiTheme="majorBidi" w:cstheme="majorBidi"/>
          <w:sz w:val="20"/>
        </w:rPr>
        <w:t xml:space="preserve"> and SiO</w:t>
      </w:r>
      <w:r w:rsidRPr="00487F71">
        <w:rPr>
          <w:rFonts w:asciiTheme="majorBidi" w:hAnsiTheme="majorBidi" w:cstheme="majorBidi"/>
          <w:sz w:val="20"/>
          <w:vertAlign w:val="subscript"/>
        </w:rPr>
        <w:t>2</w:t>
      </w:r>
      <w:r w:rsidRPr="00487F71">
        <w:rPr>
          <w:rFonts w:asciiTheme="majorBidi" w:hAnsiTheme="majorBidi" w:cstheme="majorBidi"/>
          <w:sz w:val="20"/>
        </w:rPr>
        <w:t xml:space="preserve"> act as network formers. Ca, Al, Cr, Fe, Mg, Mo, Zn, Zr may act as modifiers or intermediates. Other elements are simulant fission products which resembles nuclear waste. These batches were chosen as likely durable compositions.</w:t>
      </w:r>
    </w:p>
    <w:p w:rsidR="00487F71" w:rsidRPr="00487F71" w:rsidRDefault="00487F71" w:rsidP="00487F71">
      <w:pPr>
        <w:pStyle w:val="Heading3"/>
      </w:pPr>
      <w:bookmarkStart w:id="3" w:name="_Toc339628723"/>
      <w:r w:rsidRPr="00487F71">
        <w:rPr>
          <w:szCs w:val="24"/>
        </w:rPr>
        <w:t>Leaching</w:t>
      </w:r>
      <w:r w:rsidRPr="00487F71">
        <w:t xml:space="preserve"> test</w:t>
      </w:r>
      <w:bookmarkEnd w:id="3"/>
    </w:p>
    <w:p w:rsidR="00487F71" w:rsidRPr="00487F71" w:rsidRDefault="00487F71" w:rsidP="00E740F0">
      <w:pPr>
        <w:ind w:firstLine="567"/>
        <w:jc w:val="both"/>
        <w:rPr>
          <w:rFonts w:asciiTheme="majorBidi" w:hAnsiTheme="majorBidi" w:cstheme="majorBidi"/>
          <w:sz w:val="20"/>
        </w:rPr>
      </w:pPr>
      <w:r w:rsidRPr="00487F71">
        <w:rPr>
          <w:rFonts w:asciiTheme="majorBidi" w:hAnsiTheme="majorBidi" w:cstheme="majorBidi"/>
          <w:sz w:val="20"/>
        </w:rPr>
        <w:t xml:space="preserve">The performance of the immobilization process was examined by conducted </w:t>
      </w:r>
      <w:r w:rsidRPr="00487F71">
        <w:rPr>
          <w:rStyle w:val="y2iqfc"/>
          <w:rFonts w:asciiTheme="majorBidi" w:eastAsiaTheme="majorEastAsia" w:hAnsiTheme="majorBidi" w:cstheme="majorBidi"/>
          <w:sz w:val="20"/>
        </w:rPr>
        <w:t>MCC-2 (Material Characterization Center-2) method</w:t>
      </w:r>
      <w:r w:rsidRPr="00487F71">
        <w:rPr>
          <w:rFonts w:asciiTheme="majorBidi" w:hAnsiTheme="majorBidi" w:cstheme="majorBidi"/>
          <w:sz w:val="20"/>
        </w:rPr>
        <w:t>. This test is classified as a static standard that conducted at 90 °C using surface area to volume ratio (SA/V) of the samples must be approximately 10 m</w:t>
      </w:r>
      <w:r w:rsidRPr="00487F71">
        <w:rPr>
          <w:rFonts w:asciiTheme="majorBidi" w:hAnsiTheme="majorBidi" w:cstheme="majorBidi"/>
          <w:sz w:val="20"/>
          <w:vertAlign w:val="superscript"/>
        </w:rPr>
        <w:t>-1</w:t>
      </w:r>
      <w:r w:rsidRPr="00487F71">
        <w:rPr>
          <w:rFonts w:asciiTheme="majorBidi" w:hAnsiTheme="majorBidi" w:cstheme="majorBidi"/>
          <w:sz w:val="20"/>
        </w:rPr>
        <w:t>.The samples are sectioned to about 1x1x0.5 cm and polished before being immersed in Hydrogen peroxide. Vessels of Perfluoroalkoxy (PFA) are used for this test as there is no interaction with water and it can resist high temperatures up to 200 °C. To make sure that the samples are not contaminated with the environment, leach testing is performed in a vacuum oven and leached samples are freshly made for each characterization test.</w:t>
      </w:r>
    </w:p>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Any noticeable changes in the pH of the leachant after leaching tests were detected for both studied samples. For reference sample, the pH changed from 6.4 to 9, where for modified glass, the pH changed from 6.4 to 8.5. The induced alkalinity in the leachant was observed in  previous literatures and was attributed to alkali ions leaching</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&lt;EndNote&gt;&lt;Cite&gt;&lt;Author&gt;Farid&lt;/Author&gt;&lt;Year&gt;2019&lt;/Year&gt;&lt;RecNum&gt;3&lt;/RecNum&gt;&lt;DisplayText&gt;[10]&lt;/DisplayText&gt;&lt;record&gt;&lt;rec-number&gt;3&lt;/rec-number&gt;&lt;foreign-keys&gt;&lt;key app="EN" db-id="svppx29d3d9vtiear5y555w952fexavtxr0e" timestamp="1631029727"&gt;3&lt;/key&gt;&lt;/foreign-keys&gt;&lt;ref-type name="Journal Article"&gt;17&lt;/ref-type&gt;&lt;contributors&gt;&lt;authors&gt;&lt;author&gt;Farid, Osama M.&lt;/author&gt;&lt;author&gt;Ojovan, Michael I.&lt;/author&gt;&lt;author&gt;Massoud, A.&lt;/author&gt;&lt;author&gt;Abdel Rahman, R.O.&lt;/author&gt;&lt;/authors&gt;&lt;/contributors&gt;&lt;titles&gt;&lt;title&gt;An Assessment of Initial Leaching Characteristics of Alkali-Borosilicate Glasses for Nuclear Waste Immobilization&lt;/title&gt;&lt;secondary-title&gt;Materials&lt;/secondary-title&gt;&lt;/titles&gt;&lt;periodical&gt;&lt;full-title&gt;Materials&lt;/full-title&gt;&lt;/periodical&gt;&lt;pages&gt;1462&lt;/pages&gt;&lt;volume&gt;12&lt;/volume&gt;&lt;number&gt;9&lt;/number&gt;&lt;dates&gt;&lt;year&gt;2019&lt;/year&gt;&lt;/dates&gt;&lt;isbn&gt;1996-1944&lt;/isbn&gt;&lt;accession-num&gt;doi:10.3390/ma12091462&lt;/accession-num&gt;&lt;urls&gt;&lt;related-urls&gt;&lt;url&gt;https://www.mdpi.com/1996-1944/12/9/1462&lt;/url&gt;&lt;/related-urls&gt;&lt;/urls&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[10]</w:t>
      </w:r>
      <w:r w:rsidRPr="00487F71">
        <w:rPr>
          <w:rFonts w:asciiTheme="majorBidi" w:hAnsiTheme="majorBidi" w:cstheme="majorBidi"/>
          <w:sz w:val="20"/>
        </w:rPr>
        <w:fldChar w:fldCharType="end"/>
      </w:r>
      <w:r w:rsidRPr="00487F71">
        <w:rPr>
          <w:rFonts w:asciiTheme="majorBidi" w:hAnsiTheme="majorBidi" w:cstheme="majorBidi"/>
          <w:sz w:val="20"/>
        </w:rPr>
        <w:t>.</w:t>
      </w:r>
    </w:p>
    <w:p w:rsidR="00487F71" w:rsidRPr="00487F71" w:rsidRDefault="00487F71" w:rsidP="00E740F0">
      <w:pPr>
        <w:ind w:firstLine="567"/>
        <w:jc w:val="both"/>
        <w:rPr>
          <w:rFonts w:asciiTheme="majorBidi" w:hAnsiTheme="majorBidi" w:cstheme="majorBidi"/>
          <w:sz w:val="20"/>
        </w:rPr>
      </w:pPr>
      <w:r w:rsidRPr="00487F71">
        <w:rPr>
          <w:rFonts w:asciiTheme="majorBidi" w:hAnsiTheme="majorBidi" w:cstheme="majorBidi"/>
          <w:sz w:val="20"/>
        </w:rPr>
        <w:t xml:space="preserve">For this project, a Perkin Elmer ICP-OES instrument was used to measure the concentration of leachates. 5ml leachates from each sample were taken for each measurement. Beforehand, standard solutions for the elements were prepared for required concentrations by dilution technique. In order to get a precise and an accurate result, measurements were repeated at least three times, calculating mean values and standard deviations. </w:t>
      </w:r>
    </w:p>
    <w:p w:rsidR="00487F71" w:rsidRPr="00487F71" w:rsidRDefault="00487F71" w:rsidP="00487F71">
      <w:pPr>
        <w:pStyle w:val="Heading2"/>
      </w:pPr>
      <w:bookmarkStart w:id="4" w:name="_Toc339628725"/>
      <w:r w:rsidRPr="00487F71">
        <w:t>Results</w:t>
      </w:r>
      <w:bookmarkEnd w:id="4"/>
      <w:r w:rsidRPr="00487F71">
        <w:t xml:space="preserve"> and </w:t>
      </w:r>
      <w:r w:rsidRPr="00487F71">
        <w:rPr>
          <w:szCs w:val="24"/>
        </w:rPr>
        <w:t>discussion</w:t>
      </w:r>
      <w:bookmarkStart w:id="5" w:name="_Toc339628724"/>
    </w:p>
    <w:p w:rsidR="00487F71" w:rsidRPr="00487F71" w:rsidRDefault="00487F71" w:rsidP="00487F71">
      <w:pPr>
        <w:pStyle w:val="Heading3"/>
        <w:numPr>
          <w:ilvl w:val="0"/>
          <w:numId w:val="0"/>
        </w:numPr>
      </w:pPr>
      <w:r>
        <w:rPr>
          <w:rFonts w:eastAsia="TimesNewRomanPSMT"/>
        </w:rPr>
        <w:t xml:space="preserve">3.1 </w:t>
      </w:r>
      <w:r w:rsidRPr="00487F71">
        <w:rPr>
          <w:rFonts w:eastAsia="TimesNewRomanPSMT"/>
        </w:rPr>
        <w:t>Surface</w:t>
      </w:r>
      <w:r w:rsidRPr="00487F71">
        <w:t xml:space="preserve"> investigation </w:t>
      </w:r>
      <w:bookmarkEnd w:id="5"/>
    </w:p>
    <w:p w:rsidR="00487F71" w:rsidRPr="00487F71" w:rsidRDefault="00E740F0" w:rsidP="00487F71">
      <w:pPr>
        <w:pStyle w:val="HTMLPreformatted"/>
        <w:jc w:val="both"/>
        <w:rPr>
          <w:rStyle w:val="y2iqfc"/>
          <w:rFonts w:asciiTheme="majorBidi" w:eastAsiaTheme="majorEastAsia" w:hAnsiTheme="majorBidi" w:cstheme="majorBidi"/>
        </w:rPr>
      </w:pPr>
      <w:r>
        <w:rPr>
          <w:rFonts w:asciiTheme="majorBidi" w:eastAsia="TimesNewRomanPSMT" w:hAnsiTheme="majorBidi"/>
        </w:rPr>
        <w:tab/>
      </w:r>
      <w:r w:rsidR="00487F71" w:rsidRPr="00487F71">
        <w:rPr>
          <w:rFonts w:asciiTheme="majorBidi" w:eastAsia="TimesNewRomanPSMT" w:hAnsiTheme="majorBidi"/>
        </w:rPr>
        <w:t>Preliminary surface</w:t>
      </w:r>
      <w:r w:rsidR="00487F71" w:rsidRPr="00487F71">
        <w:rPr>
          <w:rFonts w:asciiTheme="majorBidi" w:hAnsiTheme="majorBidi"/>
        </w:rPr>
        <w:t xml:space="preserve"> investigation was conducted by applying glass samples to SEM. Results are reported in Figure .1, which shows that three borosilicate-based glasses which are reference glass A, CaZn+Magnox B, and blend glass C</w:t>
      </w:r>
    </w:p>
    <w:p w:rsidR="00487F71" w:rsidRPr="00487F71" w:rsidRDefault="00487F71" w:rsidP="00487F71">
      <w:pPr>
        <w:pStyle w:val="HTMLPreformatted"/>
        <w:jc w:val="both"/>
        <w:rPr>
          <w:rStyle w:val="y2iqfc"/>
          <w:rFonts w:asciiTheme="majorBidi" w:eastAsiaTheme="majorEastAsia" w:hAnsiTheme="majorBidi" w:cstheme="majorBidi"/>
        </w:rPr>
      </w:pPr>
    </w:p>
    <w:p w:rsidR="00487F71" w:rsidRPr="00487F71" w:rsidRDefault="00487F71" w:rsidP="00487F71">
      <w:pPr>
        <w:jc w:val="both"/>
        <w:rPr>
          <w:rFonts w:asciiTheme="majorBidi" w:hAnsiTheme="majorBidi" w:cstheme="majorBidi"/>
          <w:sz w:val="20"/>
        </w:rPr>
      </w:pPr>
      <w:r w:rsidRPr="00487F71">
        <w:rPr>
          <w:rFonts w:asciiTheme="majorBidi" w:hAnsiTheme="majorBidi" w:cstheme="majorBidi"/>
          <w:noProof/>
          <w:sz w:val="20"/>
          <w:lang w:eastAsia="en-GB"/>
        </w:rPr>
        <w:drawing>
          <wp:inline distT="0" distB="0" distL="0" distR="0">
            <wp:extent cx="2096353" cy="1726442"/>
            <wp:effectExtent l="19050" t="0" r="0" b="0"/>
            <wp:docPr id="5" name="Picture 4"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2"/>
                    <a:stretch>
                      <a:fillRect/>
                    </a:stretch>
                  </pic:blipFill>
                  <pic:spPr>
                    <a:xfrm>
                      <a:off x="0" y="0"/>
                      <a:ext cx="2099596" cy="1729113"/>
                    </a:xfrm>
                    <a:prstGeom prst="rect">
                      <a:avLst/>
                    </a:prstGeom>
                  </pic:spPr>
                </pic:pic>
              </a:graphicData>
            </a:graphic>
          </wp:inline>
        </w:drawing>
      </w:r>
      <w:r w:rsidRPr="00487F71">
        <w:rPr>
          <w:rFonts w:asciiTheme="majorBidi" w:hAnsiTheme="majorBidi" w:cstheme="majorBidi"/>
          <w:noProof/>
          <w:sz w:val="20"/>
          <w:lang w:eastAsia="en-GB"/>
        </w:rPr>
        <w:drawing>
          <wp:inline distT="0" distB="0" distL="0" distR="0">
            <wp:extent cx="1682159" cy="1722474"/>
            <wp:effectExtent l="19050" t="0" r="0" b="0"/>
            <wp:docPr id="6" name="Picture 3"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3"/>
                    <a:stretch>
                      <a:fillRect/>
                    </a:stretch>
                  </pic:blipFill>
                  <pic:spPr>
                    <a:xfrm>
                      <a:off x="0" y="0"/>
                      <a:ext cx="1688677" cy="1729148"/>
                    </a:xfrm>
                    <a:prstGeom prst="rect">
                      <a:avLst/>
                    </a:prstGeom>
                  </pic:spPr>
                </pic:pic>
              </a:graphicData>
            </a:graphic>
          </wp:inline>
        </w:drawing>
      </w:r>
      <w:r w:rsidRPr="00487F71">
        <w:rPr>
          <w:rFonts w:asciiTheme="majorBidi" w:hAnsiTheme="majorBidi" w:cstheme="majorBidi"/>
          <w:noProof/>
          <w:sz w:val="20"/>
          <w:lang w:eastAsia="en-GB"/>
        </w:rPr>
        <w:drawing>
          <wp:inline distT="0" distB="0" distL="0" distR="0">
            <wp:extent cx="1850694" cy="1723822"/>
            <wp:effectExtent l="19050" t="0" r="0" b="0"/>
            <wp:docPr id="9" name="Picture 5"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14"/>
                    <a:stretch>
                      <a:fillRect/>
                    </a:stretch>
                  </pic:blipFill>
                  <pic:spPr>
                    <a:xfrm>
                      <a:off x="0" y="0"/>
                      <a:ext cx="1851488" cy="1724562"/>
                    </a:xfrm>
                    <a:prstGeom prst="rect">
                      <a:avLst/>
                    </a:prstGeom>
                  </pic:spPr>
                </pic:pic>
              </a:graphicData>
            </a:graphic>
          </wp:inline>
        </w:drawing>
      </w:r>
    </w:p>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A</w:t>
      </w:r>
      <w:r w:rsidRPr="00487F71">
        <w:rPr>
          <w:rFonts w:asciiTheme="majorBidi" w:hAnsiTheme="majorBidi" w:cstheme="majorBidi"/>
          <w:sz w:val="20"/>
        </w:rPr>
        <w:tab/>
      </w:r>
      <w:r w:rsidRPr="00487F71">
        <w:rPr>
          <w:rFonts w:asciiTheme="majorBidi" w:hAnsiTheme="majorBidi" w:cstheme="majorBidi"/>
          <w:sz w:val="20"/>
        </w:rPr>
        <w:tab/>
      </w:r>
      <w:r w:rsidRPr="00487F71">
        <w:rPr>
          <w:rFonts w:asciiTheme="majorBidi" w:hAnsiTheme="majorBidi" w:cstheme="majorBidi"/>
          <w:sz w:val="20"/>
        </w:rPr>
        <w:tab/>
      </w:r>
      <w:r w:rsidRPr="00487F71">
        <w:rPr>
          <w:rFonts w:asciiTheme="majorBidi" w:hAnsiTheme="majorBidi" w:cstheme="majorBidi"/>
          <w:sz w:val="20"/>
        </w:rPr>
        <w:tab/>
      </w:r>
      <w:r w:rsidRPr="00487F71">
        <w:rPr>
          <w:rFonts w:asciiTheme="majorBidi" w:hAnsiTheme="majorBidi" w:cstheme="majorBidi"/>
          <w:sz w:val="20"/>
        </w:rPr>
        <w:tab/>
      </w:r>
      <w:r w:rsidRPr="00487F71">
        <w:rPr>
          <w:rFonts w:asciiTheme="majorBidi" w:hAnsiTheme="majorBidi" w:cstheme="majorBidi"/>
          <w:sz w:val="20"/>
        </w:rPr>
        <w:tab/>
        <w:t>b</w:t>
      </w:r>
      <w:r w:rsidRPr="00487F71">
        <w:rPr>
          <w:rFonts w:asciiTheme="majorBidi" w:hAnsiTheme="majorBidi" w:cstheme="majorBidi"/>
          <w:sz w:val="20"/>
        </w:rPr>
        <w:tab/>
      </w:r>
      <w:r w:rsidRPr="00487F71">
        <w:rPr>
          <w:rFonts w:asciiTheme="majorBidi" w:hAnsiTheme="majorBidi" w:cstheme="majorBidi"/>
          <w:sz w:val="20"/>
        </w:rPr>
        <w:tab/>
      </w:r>
      <w:r w:rsidRPr="00487F71">
        <w:rPr>
          <w:rFonts w:asciiTheme="majorBidi" w:hAnsiTheme="majorBidi" w:cstheme="majorBidi"/>
          <w:sz w:val="20"/>
        </w:rPr>
        <w:tab/>
      </w:r>
      <w:r w:rsidRPr="00487F71">
        <w:rPr>
          <w:rFonts w:asciiTheme="majorBidi" w:hAnsiTheme="majorBidi" w:cstheme="majorBidi"/>
          <w:sz w:val="20"/>
        </w:rPr>
        <w:tab/>
        <w:t>c</w:t>
      </w:r>
    </w:p>
    <w:p w:rsidR="00E412C5" w:rsidRPr="00203CEC" w:rsidRDefault="00203CEC" w:rsidP="00203CEC">
      <w:pPr>
        <w:keepNext/>
        <w:jc w:val="both"/>
        <w:rPr>
          <w:rFonts w:asciiTheme="majorBidi" w:hAnsiTheme="majorBidi" w:cstheme="majorBidi"/>
          <w:i/>
          <w:iCs/>
          <w:sz w:val="18"/>
          <w:szCs w:val="18"/>
        </w:rPr>
      </w:pPr>
      <w:r w:rsidRPr="00203CEC">
        <w:rPr>
          <w:i/>
          <w:iCs/>
          <w:sz w:val="18"/>
          <w:szCs w:val="18"/>
        </w:rPr>
        <w:t>FIG</w:t>
      </w:r>
      <w:r w:rsidR="00E412C5" w:rsidRPr="00203CEC">
        <w:rPr>
          <w:i/>
          <w:iCs/>
          <w:sz w:val="18"/>
          <w:szCs w:val="18"/>
        </w:rPr>
        <w:t xml:space="preserve"> </w:t>
      </w:r>
      <w:r w:rsidR="00E412C5" w:rsidRPr="00203CEC">
        <w:rPr>
          <w:i/>
          <w:iCs/>
          <w:sz w:val="18"/>
          <w:szCs w:val="18"/>
        </w:rPr>
        <w:fldChar w:fldCharType="begin"/>
      </w:r>
      <w:r w:rsidR="00E412C5" w:rsidRPr="00203CEC">
        <w:rPr>
          <w:i/>
          <w:iCs/>
          <w:sz w:val="18"/>
          <w:szCs w:val="18"/>
        </w:rPr>
        <w:instrText xml:space="preserve"> SEQ Figure \* ARABIC </w:instrText>
      </w:r>
      <w:r w:rsidR="00E412C5" w:rsidRPr="00203CEC">
        <w:rPr>
          <w:i/>
          <w:iCs/>
          <w:sz w:val="18"/>
          <w:szCs w:val="18"/>
        </w:rPr>
        <w:fldChar w:fldCharType="separate"/>
      </w:r>
      <w:r w:rsidR="00E412C5" w:rsidRPr="00203CEC">
        <w:rPr>
          <w:i/>
          <w:iCs/>
          <w:noProof/>
          <w:sz w:val="18"/>
          <w:szCs w:val="18"/>
        </w:rPr>
        <w:t>1</w:t>
      </w:r>
      <w:r w:rsidR="00E412C5" w:rsidRPr="00203CEC">
        <w:rPr>
          <w:i/>
          <w:iCs/>
          <w:sz w:val="18"/>
          <w:szCs w:val="18"/>
        </w:rPr>
        <w:fldChar w:fldCharType="end"/>
      </w:r>
      <w:r w:rsidR="00E412C5" w:rsidRPr="00203CEC">
        <w:rPr>
          <w:rFonts w:asciiTheme="majorBidi" w:hAnsiTheme="majorBidi" w:cstheme="majorBidi"/>
          <w:i/>
          <w:iCs/>
          <w:sz w:val="18"/>
          <w:szCs w:val="18"/>
        </w:rPr>
        <w:t xml:space="preserve"> SEM of borosilicate glass where microcracking appears after leaching for 7 days at 90°C and SA/V~10 m</w:t>
      </w:r>
      <w:r w:rsidR="00E412C5" w:rsidRPr="00203CEC">
        <w:rPr>
          <w:rFonts w:asciiTheme="majorBidi" w:hAnsiTheme="majorBidi" w:cstheme="majorBidi"/>
          <w:i/>
          <w:iCs/>
          <w:sz w:val="18"/>
          <w:szCs w:val="18"/>
          <w:vertAlign w:val="superscript"/>
        </w:rPr>
        <w:t>-1</w:t>
      </w:r>
    </w:p>
    <w:p w:rsidR="00487F71" w:rsidRPr="00487F71" w:rsidRDefault="00E740F0" w:rsidP="00487F71">
      <w:pPr>
        <w:pStyle w:val="HTMLPreformatted"/>
        <w:jc w:val="both"/>
        <w:rPr>
          <w:rFonts w:asciiTheme="majorBidi" w:hAnsiTheme="majorBidi" w:cstheme="majorBidi"/>
        </w:rPr>
      </w:pPr>
      <w:r>
        <w:rPr>
          <w:rStyle w:val="y2iqfc"/>
          <w:rFonts w:asciiTheme="majorBidi" w:eastAsiaTheme="majorEastAsia" w:hAnsiTheme="majorBidi" w:cstheme="majorBidi"/>
        </w:rPr>
        <w:tab/>
      </w:r>
      <w:r w:rsidR="00487F71" w:rsidRPr="00487F71">
        <w:rPr>
          <w:rStyle w:val="y2iqfc"/>
          <w:rFonts w:asciiTheme="majorBidi" w:eastAsiaTheme="majorEastAsia" w:hAnsiTheme="majorBidi" w:cstheme="majorBidi"/>
        </w:rPr>
        <w:t xml:space="preserve">The surface of the reference glass was observed and found to be homogeneous except for some fine oval inclusions, ie, region 1 and 2, with dimensions of 16_24 and 32_22 mm. CaZn+Magnox has been observed and the glass has been reported to contain foreign impurities or immiscible components. The blend glass was observed and found to contain impurities due to the presence of bubbles and/or foreign impurities and/or immiscible components. The interpretation of this is attributed to the assumption of phase separation and Greaves model of the modified continuous random network for borosilicate glass, where the random network is </w:t>
      </w:r>
      <w:r w:rsidR="00487F71" w:rsidRPr="00487F71">
        <w:rPr>
          <w:rStyle w:val="y2iqfc"/>
          <w:rFonts w:asciiTheme="majorBidi" w:eastAsiaTheme="majorEastAsia" w:hAnsiTheme="majorBidi" w:cstheme="majorBidi"/>
        </w:rPr>
        <w:lastRenderedPageBreak/>
        <w:t>subjected to the separation of immiscible liquid phases and to the emergence of a water-soluble alkaline borate phase and a silica-rich phase.</w:t>
      </w:r>
    </w:p>
    <w:p w:rsidR="00487F71" w:rsidRPr="00487F71" w:rsidRDefault="00487F71" w:rsidP="00487F71">
      <w:pPr>
        <w:pStyle w:val="Heading3"/>
        <w:numPr>
          <w:ilvl w:val="0"/>
          <w:numId w:val="0"/>
        </w:numPr>
      </w:pPr>
      <w:r>
        <w:t xml:space="preserve">3.2 </w:t>
      </w:r>
      <w:r w:rsidRPr="00487F71">
        <w:t>Leaching analysis</w:t>
      </w:r>
    </w:p>
    <w:p w:rsidR="00487F71" w:rsidRPr="00487F71" w:rsidRDefault="00E740F0" w:rsidP="00487F71">
      <w:pPr>
        <w:pStyle w:val="HTMLPreformatted"/>
        <w:jc w:val="both"/>
        <w:rPr>
          <w:rFonts w:asciiTheme="majorBidi" w:hAnsiTheme="majorBidi" w:cstheme="majorBidi"/>
        </w:rPr>
      </w:pPr>
      <w:r>
        <w:rPr>
          <w:rStyle w:val="y2iqfc"/>
          <w:rFonts w:asciiTheme="majorBidi" w:eastAsiaTheme="majorEastAsia" w:hAnsiTheme="majorBidi" w:cstheme="majorBidi"/>
        </w:rPr>
        <w:tab/>
      </w:r>
      <w:r w:rsidR="00487F71" w:rsidRPr="00487F71">
        <w:rPr>
          <w:rStyle w:val="y2iqfc"/>
          <w:rFonts w:asciiTheme="majorBidi" w:eastAsiaTheme="majorEastAsia" w:hAnsiTheme="majorBidi" w:cstheme="majorBidi"/>
        </w:rPr>
        <w:t>The overall ion release rate from glass was evaluated using the MCC-2. This technique is widely used to estimate the rate of glass dissolution. Normal solubility rate is estimated by (DR) of the glass-forming elements during the hydrogen peroxide immersion. DR is evaluated by the equation</w:t>
      </w:r>
      <w:r w:rsidR="00487F71" w:rsidRPr="00487F71">
        <w:rPr>
          <w:rFonts w:asciiTheme="majorBidi" w:eastAsia="TimesNewRomanPSMT" w:hAnsiTheme="majorBidi" w:cstheme="majorBidi"/>
        </w:rPr>
        <w:t xml:space="preserve"> (1).</w:t>
      </w:r>
    </w:p>
    <w:p w:rsidR="00487F71" w:rsidRPr="00487F71" w:rsidRDefault="00487F71" w:rsidP="00487F71">
      <w:pPr>
        <w:jc w:val="both"/>
        <w:rPr>
          <w:rFonts w:asciiTheme="majorBidi" w:eastAsia="TimesNewRomanPSMT" w:hAnsiTheme="majorBidi" w:cstheme="majorBidi"/>
          <w:sz w:val="20"/>
        </w:rPr>
      </w:pPr>
      <m:oMath>
        <m:r>
          <w:rPr>
            <w:rFonts w:ascii="Cambria Math" w:eastAsia="TimesNewRomanPSMT" w:hAnsi="Cambria Math" w:cstheme="majorBidi"/>
            <w:sz w:val="20"/>
          </w:rPr>
          <m:t>DR</m:t>
        </m:r>
        <m:r>
          <w:rPr>
            <w:rFonts w:ascii="Cambria Math" w:eastAsia="TimesNewRomanPSMT" w:hAnsiTheme="majorBidi" w:cstheme="majorBidi"/>
            <w:sz w:val="20"/>
          </w:rPr>
          <m:t>=</m:t>
        </m:r>
        <m:d>
          <m:dPr>
            <m:ctrlPr>
              <w:rPr>
                <w:rFonts w:ascii="Cambria Math" w:eastAsia="TimesNewRomanPSMT" w:hAnsiTheme="majorBidi" w:cstheme="majorBidi"/>
                <w:i/>
                <w:sz w:val="20"/>
              </w:rPr>
            </m:ctrlPr>
          </m:dPr>
          <m:e>
            <m:f>
              <m:fPr>
                <m:ctrlPr>
                  <w:rPr>
                    <w:rFonts w:ascii="Cambria Math" w:eastAsia="TimesNewRomanPSMT" w:hAnsiTheme="majorBidi" w:cstheme="majorBidi"/>
                    <w:i/>
                    <w:sz w:val="20"/>
                  </w:rPr>
                </m:ctrlPr>
              </m:fPr>
              <m:num>
                <m:sSub>
                  <m:sSubPr>
                    <m:ctrlPr>
                      <w:rPr>
                        <w:rFonts w:ascii="Cambria Math" w:eastAsia="TimesNewRomanPSMT" w:hAnsiTheme="majorBidi" w:cstheme="majorBidi"/>
                        <w:i/>
                        <w:sz w:val="20"/>
                      </w:rPr>
                    </m:ctrlPr>
                  </m:sSubPr>
                  <m:e>
                    <m:r>
                      <w:rPr>
                        <w:rFonts w:ascii="Cambria Math" w:eastAsia="TimesNewRomanPSMT" w:hAnsi="Cambria Math" w:cstheme="majorBidi"/>
                        <w:sz w:val="20"/>
                      </w:rPr>
                      <m:t>A</m:t>
                    </m:r>
                  </m:e>
                  <m:sub>
                    <m:r>
                      <w:rPr>
                        <w:rFonts w:ascii="Cambria Math" w:eastAsia="TimesNewRomanPSMT" w:hAnsi="Cambria Math" w:cstheme="majorBidi"/>
                        <w:sz w:val="20"/>
                      </w:rPr>
                      <m:t>t</m:t>
                    </m:r>
                  </m:sub>
                </m:sSub>
              </m:num>
              <m:den>
                <m:sSub>
                  <m:sSubPr>
                    <m:ctrlPr>
                      <w:rPr>
                        <w:rFonts w:ascii="Cambria Math" w:eastAsia="TimesNewRomanPSMT" w:hAnsiTheme="majorBidi" w:cstheme="majorBidi"/>
                        <w:i/>
                        <w:sz w:val="20"/>
                      </w:rPr>
                    </m:ctrlPr>
                  </m:sSubPr>
                  <m:e>
                    <m:r>
                      <w:rPr>
                        <w:rFonts w:ascii="Cambria Math" w:eastAsia="TimesNewRomanPSMT" w:hAnsi="Cambria Math" w:cstheme="majorBidi"/>
                        <w:sz w:val="20"/>
                      </w:rPr>
                      <m:t>A</m:t>
                    </m:r>
                  </m:e>
                  <m:sub>
                    <m:r>
                      <w:rPr>
                        <w:rFonts w:ascii="Cambria Math" w:eastAsia="TimesNewRomanPSMT" w:hAnsiTheme="majorBidi" w:cstheme="majorBidi"/>
                        <w:sz w:val="20"/>
                      </w:rPr>
                      <m:t>0</m:t>
                    </m:r>
                  </m:sub>
                </m:sSub>
              </m:den>
            </m:f>
          </m:e>
        </m:d>
        <m:r>
          <w:rPr>
            <w:rFonts w:asciiTheme="majorBidi" w:eastAsia="TimesNewRomanPSMT" w:hAnsiTheme="majorBidi" w:cstheme="majorBidi"/>
            <w:sz w:val="20"/>
          </w:rPr>
          <m:t>×</m:t>
        </m:r>
        <m:d>
          <m:dPr>
            <m:ctrlPr>
              <w:rPr>
                <w:rFonts w:ascii="Cambria Math" w:eastAsia="TimesNewRomanPSMT" w:hAnsiTheme="majorBidi" w:cstheme="majorBidi"/>
                <w:i/>
                <w:sz w:val="20"/>
              </w:rPr>
            </m:ctrlPr>
          </m:dPr>
          <m:e>
            <m:f>
              <m:fPr>
                <m:ctrlPr>
                  <w:rPr>
                    <w:rFonts w:ascii="Cambria Math" w:eastAsia="TimesNewRomanPSMT" w:hAnsiTheme="majorBidi" w:cstheme="majorBidi"/>
                    <w:i/>
                    <w:sz w:val="20"/>
                  </w:rPr>
                </m:ctrlPr>
              </m:fPr>
              <m:num>
                <m:r>
                  <w:rPr>
                    <w:rFonts w:ascii="Cambria Math" w:eastAsia="TimesNewRomanPSMT" w:hAnsi="Cambria Math" w:cstheme="majorBidi"/>
                    <w:sz w:val="20"/>
                  </w:rPr>
                  <m:t>W</m:t>
                </m:r>
              </m:num>
              <m:den>
                <m:r>
                  <w:rPr>
                    <w:rFonts w:ascii="Cambria Math" w:eastAsia="TimesNewRomanPSMT" w:hAnsi="Cambria Math" w:cstheme="majorBidi"/>
                    <w:sz w:val="20"/>
                  </w:rPr>
                  <m:t>Sd</m:t>
                </m:r>
              </m:den>
            </m:f>
          </m:e>
        </m:d>
      </m:oMath>
      <w:r w:rsidRPr="00487F71">
        <w:rPr>
          <w:rFonts w:asciiTheme="majorBidi" w:eastAsia="TimesNewRomanPSMT" w:hAnsiTheme="majorBidi" w:cstheme="majorBidi"/>
          <w:sz w:val="20"/>
        </w:rPr>
        <w:t xml:space="preserve">           equation (1)</w:t>
      </w:r>
    </w:p>
    <w:p w:rsidR="00487F71" w:rsidRPr="00487F71" w:rsidRDefault="00487F71" w:rsidP="00487F71">
      <w:pPr>
        <w:jc w:val="both"/>
        <w:rPr>
          <w:rFonts w:asciiTheme="majorBidi" w:eastAsia="TimesNewRomanPSMT" w:hAnsiTheme="majorBidi" w:cstheme="majorBidi"/>
          <w:sz w:val="20"/>
        </w:rPr>
      </w:pPr>
      <w:r w:rsidRPr="00487F71">
        <w:rPr>
          <w:rFonts w:asciiTheme="majorBidi" w:eastAsia="TimesNewRomanPSMT" w:hAnsiTheme="majorBidi" w:cstheme="majorBidi"/>
          <w:sz w:val="20"/>
        </w:rPr>
        <w:t>Where W is the initial weight of the sample [g], S is surface area of the sample At is the leached mass of element from glass sample [g], A</w:t>
      </w:r>
      <w:r w:rsidRPr="00487F71">
        <w:rPr>
          <w:rFonts w:asciiTheme="majorBidi" w:eastAsia="TimesNewRomanPSMT" w:hAnsiTheme="majorBidi" w:cstheme="majorBidi"/>
          <w:sz w:val="20"/>
          <w:vertAlign w:val="subscript"/>
        </w:rPr>
        <w:t>0</w:t>
      </w:r>
      <w:r w:rsidRPr="00487F71">
        <w:rPr>
          <w:rFonts w:asciiTheme="majorBidi" w:eastAsia="TimesNewRomanPSMT" w:hAnsiTheme="majorBidi" w:cstheme="majorBidi"/>
          <w:sz w:val="20"/>
        </w:rPr>
        <w:t xml:space="preserve"> is the initial content of the element [g],and d is the immersion time. The remaining concentrations of the leached elements were analyzed with ICP-MS (Inductively coupled plasma mass spectrometry). </w:t>
      </w:r>
      <w:r w:rsidRPr="00487F71">
        <w:rPr>
          <w:rFonts w:asciiTheme="majorBidi" w:hAnsiTheme="majorBidi" w:cstheme="majorBidi"/>
          <w:sz w:val="20"/>
        </w:rPr>
        <w:t>The</w:t>
      </w:r>
      <w:r w:rsidRPr="00487F71">
        <w:rPr>
          <w:rFonts w:asciiTheme="majorBidi" w:eastAsia="TimesNewRomanPSMT" w:hAnsiTheme="majorBidi" w:cstheme="majorBidi"/>
          <w:sz w:val="20"/>
        </w:rPr>
        <w:t xml:space="preserve"> normalized dissolution rates of the glass constituent elements such as </w:t>
      </w:r>
      <w:r w:rsidRPr="00487F71">
        <w:rPr>
          <w:rFonts w:asciiTheme="majorBidi" w:hAnsiTheme="majorBidi" w:cstheme="majorBidi"/>
          <w:bCs/>
          <w:sz w:val="20"/>
        </w:rPr>
        <w:t>Silicon (Si</w:t>
      </w:r>
      <w:r w:rsidRPr="00487F71">
        <w:rPr>
          <w:rFonts w:asciiTheme="majorBidi" w:hAnsiTheme="majorBidi" w:cstheme="majorBidi"/>
          <w:bCs/>
          <w:sz w:val="20"/>
          <w:vertAlign w:val="superscript"/>
        </w:rPr>
        <w:t>+4</w:t>
      </w:r>
      <w:r w:rsidRPr="00487F71">
        <w:rPr>
          <w:rFonts w:asciiTheme="majorBidi" w:hAnsiTheme="majorBidi" w:cstheme="majorBidi"/>
          <w:bCs/>
          <w:sz w:val="20"/>
        </w:rPr>
        <w:t>),</w:t>
      </w:r>
      <w:r w:rsidRPr="00487F71">
        <w:rPr>
          <w:rFonts w:asciiTheme="majorBidi" w:hAnsiTheme="majorBidi" w:cstheme="majorBidi"/>
          <w:sz w:val="20"/>
        </w:rPr>
        <w:t xml:space="preserve"> boron (B</w:t>
      </w:r>
      <w:r w:rsidRPr="00487F71">
        <w:rPr>
          <w:rFonts w:asciiTheme="majorBidi" w:hAnsiTheme="majorBidi" w:cstheme="majorBidi"/>
          <w:sz w:val="20"/>
          <w:vertAlign w:val="superscript"/>
        </w:rPr>
        <w:t>+3</w:t>
      </w:r>
      <w:r w:rsidRPr="00487F71">
        <w:rPr>
          <w:rFonts w:asciiTheme="majorBidi" w:hAnsiTheme="majorBidi" w:cstheme="majorBidi"/>
          <w:sz w:val="20"/>
        </w:rPr>
        <w:t>), sodium (Na</w:t>
      </w:r>
      <w:r w:rsidRPr="00487F71">
        <w:rPr>
          <w:rFonts w:asciiTheme="majorBidi" w:hAnsiTheme="majorBidi" w:cstheme="majorBidi"/>
          <w:sz w:val="20"/>
          <w:vertAlign w:val="superscript"/>
        </w:rPr>
        <w:t>+</w:t>
      </w:r>
      <w:r w:rsidRPr="00487F71">
        <w:rPr>
          <w:rFonts w:asciiTheme="majorBidi" w:hAnsiTheme="majorBidi" w:cstheme="majorBidi"/>
          <w:sz w:val="20"/>
        </w:rPr>
        <w:t>), lithium (Li</w:t>
      </w:r>
      <w:r w:rsidRPr="00487F71">
        <w:rPr>
          <w:rFonts w:asciiTheme="majorBidi" w:hAnsiTheme="majorBidi" w:cstheme="majorBidi"/>
          <w:sz w:val="20"/>
          <w:vertAlign w:val="superscript"/>
        </w:rPr>
        <w:t>+</w:t>
      </w:r>
      <w:r w:rsidRPr="00487F71">
        <w:rPr>
          <w:rFonts w:asciiTheme="majorBidi" w:hAnsiTheme="majorBidi" w:cstheme="majorBidi"/>
          <w:sz w:val="20"/>
        </w:rPr>
        <w:t>), calcium (Ca</w:t>
      </w:r>
      <w:r w:rsidRPr="00487F71">
        <w:rPr>
          <w:rFonts w:asciiTheme="majorBidi" w:hAnsiTheme="majorBidi" w:cstheme="majorBidi"/>
          <w:sz w:val="20"/>
          <w:vertAlign w:val="superscript"/>
        </w:rPr>
        <w:t>2+</w:t>
      </w:r>
      <w:r w:rsidRPr="00487F71">
        <w:rPr>
          <w:rFonts w:asciiTheme="majorBidi" w:hAnsiTheme="majorBidi" w:cstheme="majorBidi"/>
          <w:sz w:val="20"/>
        </w:rPr>
        <w:t>) and aluminum (Al</w:t>
      </w:r>
      <w:r w:rsidRPr="00487F71">
        <w:rPr>
          <w:rFonts w:asciiTheme="majorBidi" w:hAnsiTheme="majorBidi" w:cstheme="majorBidi"/>
          <w:sz w:val="20"/>
          <w:vertAlign w:val="superscript"/>
        </w:rPr>
        <w:t>3+</w:t>
      </w:r>
      <w:r w:rsidRPr="00487F71">
        <w:rPr>
          <w:rFonts w:asciiTheme="majorBidi" w:hAnsiTheme="majorBidi" w:cstheme="majorBidi"/>
          <w:sz w:val="20"/>
        </w:rPr>
        <w:t xml:space="preserve">) </w:t>
      </w:r>
      <w:r w:rsidRPr="00487F71">
        <w:rPr>
          <w:rFonts w:asciiTheme="majorBidi" w:eastAsia="TimesNewRomanPSMT" w:hAnsiTheme="majorBidi" w:cstheme="majorBidi"/>
          <w:sz w:val="20"/>
        </w:rPr>
        <w:t>are depicted</w:t>
      </w:r>
      <w:r w:rsidRPr="00487F71">
        <w:rPr>
          <w:rFonts w:asciiTheme="majorBidi" w:hAnsiTheme="majorBidi" w:cstheme="majorBidi"/>
          <w:sz w:val="20"/>
        </w:rPr>
        <w:t xml:space="preserve"> in Figure 2.</w:t>
      </w:r>
    </w:p>
    <w:p w:rsidR="00487F71" w:rsidRPr="00487F71" w:rsidRDefault="00487F71" w:rsidP="00487F71">
      <w:pPr>
        <w:jc w:val="both"/>
        <w:rPr>
          <w:rFonts w:asciiTheme="majorBidi" w:hAnsiTheme="majorBidi" w:cstheme="majorBidi"/>
          <w:sz w:val="20"/>
          <w:highlight w:val="yellow"/>
        </w:rPr>
      </w:pPr>
      <w:r w:rsidRPr="00487F71">
        <w:rPr>
          <w:rFonts w:asciiTheme="majorBidi" w:hAnsiTheme="majorBidi" w:cstheme="majorBidi"/>
          <w:noProof/>
          <w:sz w:val="20"/>
          <w:lang w:eastAsia="en-GB"/>
        </w:rPr>
        <w:drawing>
          <wp:inline distT="0" distB="0" distL="0" distR="0">
            <wp:extent cx="2913321" cy="172247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87F71">
        <w:rPr>
          <w:rFonts w:asciiTheme="majorBidi" w:hAnsiTheme="majorBidi" w:cstheme="majorBidi"/>
          <w:noProof/>
          <w:sz w:val="20"/>
          <w:lang w:eastAsia="en-GB"/>
        </w:rPr>
        <w:drawing>
          <wp:inline distT="0" distB="0" distL="0" distR="0">
            <wp:extent cx="2636874" cy="1573619"/>
            <wp:effectExtent l="0" t="0" r="0"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87F71">
        <w:rPr>
          <w:rFonts w:asciiTheme="majorBidi" w:hAnsiTheme="majorBidi" w:cstheme="majorBidi"/>
          <w:noProof/>
          <w:sz w:val="20"/>
          <w:lang w:eastAsia="en-GB"/>
        </w:rPr>
        <w:drawing>
          <wp:inline distT="0" distB="0" distL="0" distR="0">
            <wp:extent cx="2913321" cy="1839433"/>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87F71">
        <w:rPr>
          <w:rFonts w:asciiTheme="majorBidi" w:hAnsiTheme="majorBidi" w:cstheme="majorBidi"/>
          <w:noProof/>
          <w:sz w:val="20"/>
          <w:lang w:eastAsia="en-GB"/>
        </w:rPr>
        <w:drawing>
          <wp:inline distT="0" distB="0" distL="0" distR="0">
            <wp:extent cx="2690037" cy="165868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 xml:space="preserve">     </w:t>
      </w:r>
      <w:r w:rsidRPr="00487F71">
        <w:rPr>
          <w:rFonts w:asciiTheme="majorBidi" w:hAnsiTheme="majorBidi" w:cstheme="majorBidi"/>
          <w:noProof/>
          <w:sz w:val="20"/>
          <w:lang w:eastAsia="en-GB"/>
        </w:rPr>
        <w:drawing>
          <wp:inline distT="0" distB="0" distL="0" distR="0">
            <wp:extent cx="2275367" cy="1552353"/>
            <wp:effectExtent l="0" t="0" r="0"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87F71">
        <w:rPr>
          <w:rFonts w:asciiTheme="majorBidi" w:hAnsiTheme="majorBidi" w:cstheme="majorBidi"/>
          <w:sz w:val="20"/>
        </w:rPr>
        <w:t xml:space="preserve">             </w:t>
      </w:r>
      <w:r w:rsidRPr="00487F71">
        <w:rPr>
          <w:rFonts w:asciiTheme="majorBidi" w:hAnsiTheme="majorBidi" w:cstheme="majorBidi"/>
          <w:noProof/>
          <w:sz w:val="20"/>
          <w:lang w:eastAsia="en-GB"/>
        </w:rPr>
        <w:drawing>
          <wp:inline distT="0" distB="0" distL="0" distR="0">
            <wp:extent cx="2463421" cy="1487606"/>
            <wp:effectExtent l="0" t="0" r="0"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87F71">
        <w:rPr>
          <w:rFonts w:asciiTheme="majorBidi" w:hAnsiTheme="majorBidi" w:cstheme="majorBidi"/>
          <w:sz w:val="20"/>
        </w:rPr>
        <w:t xml:space="preserve">                                                                    </w:t>
      </w:r>
    </w:p>
    <w:p w:rsidR="00487F71" w:rsidRPr="00203CEC" w:rsidRDefault="00203CEC" w:rsidP="00203CEC">
      <w:pPr>
        <w:pStyle w:val="Caption"/>
        <w:rPr>
          <w:rFonts w:asciiTheme="majorBidi" w:hAnsiTheme="majorBidi" w:cstheme="majorBidi"/>
          <w:b/>
          <w:bCs w:val="0"/>
          <w:i/>
          <w:iCs/>
          <w:szCs w:val="18"/>
        </w:rPr>
      </w:pPr>
      <w:r w:rsidRPr="00203CEC">
        <w:rPr>
          <w:i/>
          <w:iCs/>
          <w:szCs w:val="18"/>
        </w:rPr>
        <w:t xml:space="preserve">FIG </w:t>
      </w:r>
      <w:r w:rsidR="00E412C5" w:rsidRPr="00203CEC">
        <w:rPr>
          <w:i/>
          <w:iCs/>
          <w:szCs w:val="18"/>
        </w:rPr>
        <w:t xml:space="preserve"> </w:t>
      </w:r>
      <w:r w:rsidR="00E412C5" w:rsidRPr="00203CEC">
        <w:rPr>
          <w:i/>
          <w:iCs/>
          <w:szCs w:val="18"/>
        </w:rPr>
        <w:fldChar w:fldCharType="begin"/>
      </w:r>
      <w:r w:rsidR="00E412C5" w:rsidRPr="00203CEC">
        <w:rPr>
          <w:i/>
          <w:iCs/>
          <w:szCs w:val="18"/>
        </w:rPr>
        <w:instrText xml:space="preserve"> SEQ Figure \* ARABIC </w:instrText>
      </w:r>
      <w:r w:rsidR="00E412C5" w:rsidRPr="00203CEC">
        <w:rPr>
          <w:i/>
          <w:iCs/>
          <w:szCs w:val="18"/>
        </w:rPr>
        <w:fldChar w:fldCharType="separate"/>
      </w:r>
      <w:r w:rsidR="00E412C5" w:rsidRPr="00203CEC">
        <w:rPr>
          <w:i/>
          <w:iCs/>
          <w:noProof/>
          <w:szCs w:val="18"/>
        </w:rPr>
        <w:t>2</w:t>
      </w:r>
      <w:r w:rsidR="00E412C5" w:rsidRPr="00203CEC">
        <w:rPr>
          <w:i/>
          <w:iCs/>
          <w:szCs w:val="18"/>
        </w:rPr>
        <w:fldChar w:fldCharType="end"/>
      </w:r>
      <w:r w:rsidR="00487F71" w:rsidRPr="00203CEC">
        <w:rPr>
          <w:rFonts w:asciiTheme="majorBidi" w:hAnsiTheme="majorBidi" w:cstheme="majorBidi"/>
          <w:bCs w:val="0"/>
          <w:i/>
          <w:iCs/>
          <w:szCs w:val="18"/>
        </w:rPr>
        <w:t xml:space="preserve"> Normalized ion release for Silicon (Si</w:t>
      </w:r>
      <w:r w:rsidR="00487F71" w:rsidRPr="00203CEC">
        <w:rPr>
          <w:rFonts w:asciiTheme="majorBidi" w:hAnsiTheme="majorBidi" w:cstheme="majorBidi"/>
          <w:bCs w:val="0"/>
          <w:i/>
          <w:iCs/>
          <w:szCs w:val="18"/>
          <w:vertAlign w:val="superscript"/>
        </w:rPr>
        <w:t>+4</w:t>
      </w:r>
      <w:r w:rsidR="00487F71" w:rsidRPr="00203CEC">
        <w:rPr>
          <w:rFonts w:asciiTheme="majorBidi" w:hAnsiTheme="majorBidi" w:cstheme="majorBidi"/>
          <w:bCs w:val="0"/>
          <w:i/>
          <w:iCs/>
          <w:szCs w:val="18"/>
        </w:rPr>
        <w:t>), boron (B</w:t>
      </w:r>
      <w:r w:rsidR="00487F71" w:rsidRPr="00203CEC">
        <w:rPr>
          <w:rFonts w:asciiTheme="majorBidi" w:hAnsiTheme="majorBidi" w:cstheme="majorBidi"/>
          <w:bCs w:val="0"/>
          <w:i/>
          <w:iCs/>
          <w:szCs w:val="18"/>
          <w:vertAlign w:val="superscript"/>
        </w:rPr>
        <w:t>+3</w:t>
      </w:r>
      <w:r w:rsidR="00487F71" w:rsidRPr="00203CEC">
        <w:rPr>
          <w:rFonts w:asciiTheme="majorBidi" w:hAnsiTheme="majorBidi" w:cstheme="majorBidi"/>
          <w:bCs w:val="0"/>
          <w:i/>
          <w:iCs/>
          <w:szCs w:val="18"/>
        </w:rPr>
        <w:t>), sodium (Na</w:t>
      </w:r>
      <w:r w:rsidR="00487F71" w:rsidRPr="00203CEC">
        <w:rPr>
          <w:rFonts w:asciiTheme="majorBidi" w:hAnsiTheme="majorBidi" w:cstheme="majorBidi"/>
          <w:bCs w:val="0"/>
          <w:i/>
          <w:iCs/>
          <w:szCs w:val="18"/>
          <w:vertAlign w:val="superscript"/>
        </w:rPr>
        <w:t>+</w:t>
      </w:r>
      <w:r w:rsidR="00487F71" w:rsidRPr="00203CEC">
        <w:rPr>
          <w:rFonts w:asciiTheme="majorBidi" w:hAnsiTheme="majorBidi" w:cstheme="majorBidi"/>
          <w:bCs w:val="0"/>
          <w:i/>
          <w:iCs/>
          <w:szCs w:val="18"/>
        </w:rPr>
        <w:t>), lithium (Li</w:t>
      </w:r>
      <w:r w:rsidR="00487F71" w:rsidRPr="00203CEC">
        <w:rPr>
          <w:rFonts w:asciiTheme="majorBidi" w:hAnsiTheme="majorBidi" w:cstheme="majorBidi"/>
          <w:bCs w:val="0"/>
          <w:i/>
          <w:iCs/>
          <w:szCs w:val="18"/>
          <w:vertAlign w:val="superscript"/>
        </w:rPr>
        <w:t>+</w:t>
      </w:r>
      <w:r w:rsidR="00487F71" w:rsidRPr="00203CEC">
        <w:rPr>
          <w:rFonts w:asciiTheme="majorBidi" w:hAnsiTheme="majorBidi" w:cstheme="majorBidi"/>
          <w:bCs w:val="0"/>
          <w:i/>
          <w:iCs/>
          <w:szCs w:val="18"/>
        </w:rPr>
        <w:t>), calcium (Ca</w:t>
      </w:r>
      <w:r w:rsidR="00487F71" w:rsidRPr="00203CEC">
        <w:rPr>
          <w:rFonts w:asciiTheme="majorBidi" w:hAnsiTheme="majorBidi" w:cstheme="majorBidi"/>
          <w:bCs w:val="0"/>
          <w:i/>
          <w:iCs/>
          <w:szCs w:val="18"/>
          <w:vertAlign w:val="superscript"/>
        </w:rPr>
        <w:t>2+</w:t>
      </w:r>
      <w:r w:rsidR="00487F71" w:rsidRPr="00203CEC">
        <w:rPr>
          <w:rFonts w:asciiTheme="majorBidi" w:hAnsiTheme="majorBidi" w:cstheme="majorBidi"/>
          <w:bCs w:val="0"/>
          <w:i/>
          <w:iCs/>
          <w:szCs w:val="18"/>
        </w:rPr>
        <w:t>) and aluminum (Al</w:t>
      </w:r>
      <w:r w:rsidR="00487F71" w:rsidRPr="00203CEC">
        <w:rPr>
          <w:rFonts w:asciiTheme="majorBidi" w:hAnsiTheme="majorBidi" w:cstheme="majorBidi"/>
          <w:bCs w:val="0"/>
          <w:i/>
          <w:iCs/>
          <w:szCs w:val="18"/>
          <w:vertAlign w:val="superscript"/>
        </w:rPr>
        <w:t>3+</w:t>
      </w:r>
      <w:r w:rsidR="00487F71" w:rsidRPr="00203CEC">
        <w:rPr>
          <w:rFonts w:asciiTheme="majorBidi" w:hAnsiTheme="majorBidi" w:cstheme="majorBidi"/>
          <w:bCs w:val="0"/>
          <w:i/>
          <w:iCs/>
          <w:szCs w:val="18"/>
        </w:rPr>
        <w:t xml:space="preserve">) from base line, Ca+ZnMagnox, and blend glass </w:t>
      </w:r>
    </w:p>
    <w:p w:rsidR="00487F71" w:rsidRPr="00487F71" w:rsidRDefault="00487F71" w:rsidP="00E740F0">
      <w:pPr>
        <w:ind w:firstLine="567"/>
        <w:jc w:val="both"/>
        <w:rPr>
          <w:rFonts w:asciiTheme="majorBidi" w:hAnsiTheme="majorBidi" w:cstheme="majorBidi"/>
          <w:sz w:val="20"/>
        </w:rPr>
      </w:pPr>
      <w:r w:rsidRPr="00487F71">
        <w:rPr>
          <w:rFonts w:asciiTheme="majorBidi" w:hAnsiTheme="majorBidi" w:cstheme="majorBidi"/>
          <w:sz w:val="20"/>
        </w:rPr>
        <w:t>Figure 2 displays ion release profiles for base line, CaZn+Magnox, and blend glass composites. The results show that</w:t>
      </w:r>
      <w:r w:rsidRPr="00487F71">
        <w:rPr>
          <w:rFonts w:asciiTheme="majorBidi" w:hAnsiTheme="majorBidi" w:cstheme="majorBidi"/>
          <w:bCs/>
          <w:sz w:val="20"/>
        </w:rPr>
        <w:t xml:space="preserve"> normalized ion release of silicon (Si</w:t>
      </w:r>
      <w:r w:rsidRPr="00487F71">
        <w:rPr>
          <w:rFonts w:asciiTheme="majorBidi" w:hAnsiTheme="majorBidi" w:cstheme="majorBidi"/>
          <w:bCs/>
          <w:sz w:val="20"/>
          <w:vertAlign w:val="superscript"/>
        </w:rPr>
        <w:t>+4</w:t>
      </w:r>
      <w:r w:rsidRPr="00487F71">
        <w:rPr>
          <w:rFonts w:asciiTheme="majorBidi" w:hAnsiTheme="majorBidi" w:cstheme="majorBidi"/>
          <w:bCs/>
          <w:sz w:val="20"/>
        </w:rPr>
        <w:t>),</w:t>
      </w:r>
      <w:r w:rsidRPr="00487F71">
        <w:rPr>
          <w:rFonts w:asciiTheme="majorBidi" w:hAnsiTheme="majorBidi" w:cstheme="majorBidi"/>
          <w:sz w:val="20"/>
        </w:rPr>
        <w:t xml:space="preserve"> boron (B</w:t>
      </w:r>
      <w:r w:rsidRPr="00487F71">
        <w:rPr>
          <w:rFonts w:asciiTheme="majorBidi" w:hAnsiTheme="majorBidi" w:cstheme="majorBidi"/>
          <w:sz w:val="20"/>
          <w:vertAlign w:val="superscript"/>
        </w:rPr>
        <w:t>+3</w:t>
      </w:r>
      <w:r w:rsidRPr="00487F71">
        <w:rPr>
          <w:rFonts w:asciiTheme="majorBidi" w:hAnsiTheme="majorBidi" w:cstheme="majorBidi"/>
          <w:sz w:val="20"/>
        </w:rPr>
        <w:t>), sodium (Na</w:t>
      </w:r>
      <w:r w:rsidRPr="00487F71">
        <w:rPr>
          <w:rFonts w:asciiTheme="majorBidi" w:hAnsiTheme="majorBidi" w:cstheme="majorBidi"/>
          <w:sz w:val="20"/>
          <w:vertAlign w:val="superscript"/>
        </w:rPr>
        <w:t>+</w:t>
      </w:r>
      <w:r w:rsidRPr="00487F71">
        <w:rPr>
          <w:rFonts w:asciiTheme="majorBidi" w:hAnsiTheme="majorBidi" w:cstheme="majorBidi"/>
          <w:sz w:val="20"/>
        </w:rPr>
        <w:t>), lithium (Li</w:t>
      </w:r>
      <w:r w:rsidRPr="00487F71">
        <w:rPr>
          <w:rFonts w:asciiTheme="majorBidi" w:hAnsiTheme="majorBidi" w:cstheme="majorBidi"/>
          <w:sz w:val="20"/>
          <w:vertAlign w:val="superscript"/>
        </w:rPr>
        <w:t>+</w:t>
      </w:r>
      <w:r w:rsidRPr="00487F71">
        <w:rPr>
          <w:rFonts w:asciiTheme="majorBidi" w:hAnsiTheme="majorBidi" w:cstheme="majorBidi"/>
          <w:sz w:val="20"/>
        </w:rPr>
        <w:t xml:space="preserve">), </w:t>
      </w:r>
      <w:r w:rsidRPr="00487F71">
        <w:rPr>
          <w:rFonts w:asciiTheme="majorBidi" w:hAnsiTheme="majorBidi" w:cstheme="majorBidi"/>
          <w:bCs/>
          <w:sz w:val="20"/>
        </w:rPr>
        <w:t>have the same pattern, however</w:t>
      </w:r>
      <w:r w:rsidRPr="00487F71">
        <w:rPr>
          <w:rFonts w:asciiTheme="majorBidi" w:hAnsiTheme="majorBidi" w:cstheme="majorBidi"/>
          <w:sz w:val="20"/>
        </w:rPr>
        <w:t xml:space="preserve"> calcium (Ca</w:t>
      </w:r>
      <w:r w:rsidRPr="00487F71">
        <w:rPr>
          <w:rFonts w:asciiTheme="majorBidi" w:hAnsiTheme="majorBidi" w:cstheme="majorBidi"/>
          <w:sz w:val="20"/>
          <w:vertAlign w:val="superscript"/>
        </w:rPr>
        <w:t>2+</w:t>
      </w:r>
      <w:r w:rsidRPr="00487F71">
        <w:rPr>
          <w:rFonts w:asciiTheme="majorBidi" w:hAnsiTheme="majorBidi" w:cstheme="majorBidi"/>
          <w:sz w:val="20"/>
        </w:rPr>
        <w:t>) and aluminum (Al</w:t>
      </w:r>
      <w:r w:rsidRPr="00487F71">
        <w:rPr>
          <w:rFonts w:asciiTheme="majorBidi" w:hAnsiTheme="majorBidi" w:cstheme="majorBidi"/>
          <w:sz w:val="20"/>
          <w:vertAlign w:val="superscript"/>
        </w:rPr>
        <w:t>3+</w:t>
      </w:r>
      <w:r w:rsidRPr="00487F71">
        <w:rPr>
          <w:rFonts w:asciiTheme="majorBidi" w:hAnsiTheme="majorBidi" w:cstheme="majorBidi"/>
          <w:sz w:val="20"/>
        </w:rPr>
        <w:t>)</w:t>
      </w:r>
      <w:r w:rsidRPr="00487F71">
        <w:rPr>
          <w:rFonts w:asciiTheme="majorBidi" w:hAnsiTheme="majorBidi" w:cstheme="majorBidi"/>
          <w:bCs/>
          <w:sz w:val="20"/>
        </w:rPr>
        <w:t xml:space="preserve"> have different behavior. Silicon (Si</w:t>
      </w:r>
      <w:r w:rsidRPr="00487F71">
        <w:rPr>
          <w:rFonts w:asciiTheme="majorBidi" w:hAnsiTheme="majorBidi" w:cstheme="majorBidi"/>
          <w:bCs/>
          <w:sz w:val="20"/>
          <w:vertAlign w:val="superscript"/>
        </w:rPr>
        <w:t>+4</w:t>
      </w:r>
      <w:r w:rsidRPr="00487F71">
        <w:rPr>
          <w:rFonts w:asciiTheme="majorBidi" w:hAnsiTheme="majorBidi" w:cstheme="majorBidi"/>
          <w:bCs/>
          <w:sz w:val="20"/>
        </w:rPr>
        <w:t>),</w:t>
      </w:r>
      <w:r w:rsidRPr="00487F71">
        <w:rPr>
          <w:rFonts w:asciiTheme="majorBidi" w:hAnsiTheme="majorBidi" w:cstheme="majorBidi"/>
          <w:sz w:val="20"/>
        </w:rPr>
        <w:t>boron (B</w:t>
      </w:r>
      <w:r w:rsidRPr="00487F71">
        <w:rPr>
          <w:rFonts w:asciiTheme="majorBidi" w:hAnsiTheme="majorBidi" w:cstheme="majorBidi"/>
          <w:sz w:val="20"/>
          <w:vertAlign w:val="superscript"/>
        </w:rPr>
        <w:t>+3</w:t>
      </w:r>
      <w:r w:rsidRPr="00487F71">
        <w:rPr>
          <w:rFonts w:asciiTheme="majorBidi" w:hAnsiTheme="majorBidi" w:cstheme="majorBidi"/>
          <w:sz w:val="20"/>
        </w:rPr>
        <w:t>), sodium (Na</w:t>
      </w:r>
      <w:r w:rsidRPr="00487F71">
        <w:rPr>
          <w:rFonts w:asciiTheme="majorBidi" w:hAnsiTheme="majorBidi" w:cstheme="majorBidi"/>
          <w:sz w:val="20"/>
          <w:vertAlign w:val="superscript"/>
        </w:rPr>
        <w:t>+</w:t>
      </w:r>
      <w:r w:rsidRPr="00487F71">
        <w:rPr>
          <w:rFonts w:asciiTheme="majorBidi" w:hAnsiTheme="majorBidi" w:cstheme="majorBidi"/>
          <w:sz w:val="20"/>
        </w:rPr>
        <w:t>),lithium (Li</w:t>
      </w:r>
      <w:r w:rsidRPr="00487F71">
        <w:rPr>
          <w:rFonts w:asciiTheme="majorBidi" w:hAnsiTheme="majorBidi" w:cstheme="majorBidi"/>
          <w:sz w:val="20"/>
          <w:vertAlign w:val="superscript"/>
        </w:rPr>
        <w:t>+</w:t>
      </w:r>
      <w:r w:rsidRPr="00487F71">
        <w:rPr>
          <w:rFonts w:asciiTheme="majorBidi" w:hAnsiTheme="majorBidi" w:cstheme="majorBidi"/>
          <w:sz w:val="20"/>
        </w:rPr>
        <w:t>), calcium (Ca</w:t>
      </w:r>
      <w:r w:rsidRPr="00487F71">
        <w:rPr>
          <w:rFonts w:asciiTheme="majorBidi" w:hAnsiTheme="majorBidi" w:cstheme="majorBidi"/>
          <w:sz w:val="20"/>
          <w:vertAlign w:val="superscript"/>
        </w:rPr>
        <w:t>2+</w:t>
      </w:r>
      <w:r w:rsidRPr="00487F71">
        <w:rPr>
          <w:rFonts w:asciiTheme="majorBidi" w:hAnsiTheme="majorBidi" w:cstheme="majorBidi"/>
          <w:sz w:val="20"/>
        </w:rPr>
        <w:t>) and aluminum (Al</w:t>
      </w:r>
      <w:r w:rsidRPr="00487F71">
        <w:rPr>
          <w:rFonts w:asciiTheme="majorBidi" w:hAnsiTheme="majorBidi" w:cstheme="majorBidi"/>
          <w:sz w:val="20"/>
          <w:vertAlign w:val="superscript"/>
        </w:rPr>
        <w:t>3+</w:t>
      </w:r>
      <w:r w:rsidRPr="00487F71">
        <w:rPr>
          <w:rFonts w:asciiTheme="majorBidi" w:hAnsiTheme="majorBidi" w:cstheme="majorBidi"/>
          <w:sz w:val="20"/>
        </w:rPr>
        <w:t>) reached38,84,115,985,826,405 ppm (respectively) for base line. Silicon (Si</w:t>
      </w:r>
      <w:r w:rsidRPr="00487F71">
        <w:rPr>
          <w:rFonts w:asciiTheme="majorBidi" w:hAnsiTheme="majorBidi" w:cstheme="majorBidi"/>
          <w:sz w:val="20"/>
          <w:vertAlign w:val="superscript"/>
        </w:rPr>
        <w:t>+4</w:t>
      </w:r>
      <w:r w:rsidRPr="00487F71">
        <w:rPr>
          <w:rFonts w:asciiTheme="majorBidi" w:hAnsiTheme="majorBidi" w:cstheme="majorBidi"/>
          <w:sz w:val="20"/>
        </w:rPr>
        <w:t>), boron (B</w:t>
      </w:r>
      <w:r w:rsidRPr="00487F71">
        <w:rPr>
          <w:rFonts w:asciiTheme="majorBidi" w:hAnsiTheme="majorBidi" w:cstheme="majorBidi"/>
          <w:sz w:val="20"/>
          <w:vertAlign w:val="superscript"/>
        </w:rPr>
        <w:t>+3</w:t>
      </w:r>
      <w:r w:rsidRPr="00487F71">
        <w:rPr>
          <w:rFonts w:asciiTheme="majorBidi" w:hAnsiTheme="majorBidi" w:cstheme="majorBidi"/>
          <w:sz w:val="20"/>
        </w:rPr>
        <w:t>), sodium (Na</w:t>
      </w:r>
      <w:r w:rsidRPr="00487F71">
        <w:rPr>
          <w:rFonts w:asciiTheme="majorBidi" w:hAnsiTheme="majorBidi" w:cstheme="majorBidi"/>
          <w:sz w:val="20"/>
          <w:vertAlign w:val="superscript"/>
        </w:rPr>
        <w:t>+</w:t>
      </w:r>
      <w:r w:rsidRPr="00487F71">
        <w:rPr>
          <w:rFonts w:asciiTheme="majorBidi" w:hAnsiTheme="majorBidi" w:cstheme="majorBidi"/>
          <w:sz w:val="20"/>
        </w:rPr>
        <w:t>), lithium (Li</w:t>
      </w:r>
      <w:r w:rsidRPr="00487F71">
        <w:rPr>
          <w:rFonts w:asciiTheme="majorBidi" w:hAnsiTheme="majorBidi" w:cstheme="majorBidi"/>
          <w:sz w:val="20"/>
          <w:vertAlign w:val="superscript"/>
        </w:rPr>
        <w:t>+</w:t>
      </w:r>
      <w:r w:rsidRPr="00487F71">
        <w:rPr>
          <w:rFonts w:asciiTheme="majorBidi" w:hAnsiTheme="majorBidi" w:cstheme="majorBidi"/>
          <w:sz w:val="20"/>
        </w:rPr>
        <w:t>), calcium (Ca</w:t>
      </w:r>
      <w:r w:rsidRPr="00487F71">
        <w:rPr>
          <w:rFonts w:asciiTheme="majorBidi" w:hAnsiTheme="majorBidi" w:cstheme="majorBidi"/>
          <w:sz w:val="20"/>
          <w:vertAlign w:val="superscript"/>
        </w:rPr>
        <w:t>2+</w:t>
      </w:r>
      <w:r w:rsidRPr="00487F71">
        <w:rPr>
          <w:rFonts w:asciiTheme="majorBidi" w:hAnsiTheme="majorBidi" w:cstheme="majorBidi"/>
          <w:sz w:val="20"/>
        </w:rPr>
        <w:t>) and aluminum (Al</w:t>
      </w:r>
      <w:r w:rsidRPr="00487F71">
        <w:rPr>
          <w:rFonts w:asciiTheme="majorBidi" w:hAnsiTheme="majorBidi" w:cstheme="majorBidi"/>
          <w:sz w:val="20"/>
          <w:vertAlign w:val="superscript"/>
        </w:rPr>
        <w:t>3+</w:t>
      </w:r>
      <w:r w:rsidRPr="00487F71">
        <w:rPr>
          <w:rFonts w:asciiTheme="majorBidi" w:hAnsiTheme="majorBidi" w:cstheme="majorBidi"/>
          <w:sz w:val="20"/>
        </w:rPr>
        <w:t>) reached 11,55,1740,650,548,406  ppm(respectively) for Ca+ Magnox.  Silicon (Si</w:t>
      </w:r>
      <w:r w:rsidRPr="00487F71">
        <w:rPr>
          <w:rFonts w:asciiTheme="majorBidi" w:hAnsiTheme="majorBidi" w:cstheme="majorBidi"/>
          <w:sz w:val="20"/>
          <w:vertAlign w:val="superscript"/>
        </w:rPr>
        <w:t>+4</w:t>
      </w:r>
      <w:r w:rsidRPr="00487F71">
        <w:rPr>
          <w:rFonts w:asciiTheme="majorBidi" w:hAnsiTheme="majorBidi" w:cstheme="majorBidi"/>
          <w:sz w:val="20"/>
        </w:rPr>
        <w:t>), boron (B</w:t>
      </w:r>
      <w:r w:rsidRPr="00487F71">
        <w:rPr>
          <w:rFonts w:asciiTheme="majorBidi" w:hAnsiTheme="majorBidi" w:cstheme="majorBidi"/>
          <w:sz w:val="20"/>
          <w:vertAlign w:val="superscript"/>
        </w:rPr>
        <w:t>+3</w:t>
      </w:r>
      <w:r w:rsidRPr="00487F71">
        <w:rPr>
          <w:rFonts w:asciiTheme="majorBidi" w:hAnsiTheme="majorBidi" w:cstheme="majorBidi"/>
          <w:sz w:val="20"/>
        </w:rPr>
        <w:t>), sodium (Na</w:t>
      </w:r>
      <w:r w:rsidRPr="00487F71">
        <w:rPr>
          <w:rFonts w:asciiTheme="majorBidi" w:hAnsiTheme="majorBidi" w:cstheme="majorBidi"/>
          <w:sz w:val="20"/>
          <w:vertAlign w:val="superscript"/>
        </w:rPr>
        <w:t>+</w:t>
      </w:r>
      <w:r w:rsidRPr="00487F71">
        <w:rPr>
          <w:rFonts w:asciiTheme="majorBidi" w:hAnsiTheme="majorBidi" w:cstheme="majorBidi"/>
          <w:sz w:val="20"/>
        </w:rPr>
        <w:t>), lithium (Li</w:t>
      </w:r>
      <w:r w:rsidRPr="00487F71">
        <w:rPr>
          <w:rFonts w:asciiTheme="majorBidi" w:hAnsiTheme="majorBidi" w:cstheme="majorBidi"/>
          <w:sz w:val="20"/>
          <w:vertAlign w:val="superscript"/>
        </w:rPr>
        <w:t>+</w:t>
      </w:r>
      <w:r w:rsidRPr="00487F71">
        <w:rPr>
          <w:rFonts w:asciiTheme="majorBidi" w:hAnsiTheme="majorBidi" w:cstheme="majorBidi"/>
          <w:sz w:val="20"/>
        </w:rPr>
        <w:t>), calcium (Ca</w:t>
      </w:r>
      <w:r w:rsidRPr="00487F71">
        <w:rPr>
          <w:rFonts w:asciiTheme="majorBidi" w:hAnsiTheme="majorBidi" w:cstheme="majorBidi"/>
          <w:sz w:val="20"/>
          <w:vertAlign w:val="superscript"/>
        </w:rPr>
        <w:t>2+</w:t>
      </w:r>
      <w:r w:rsidRPr="00487F71">
        <w:rPr>
          <w:rFonts w:asciiTheme="majorBidi" w:hAnsiTheme="majorBidi" w:cstheme="majorBidi"/>
          <w:sz w:val="20"/>
        </w:rPr>
        <w:t>) and aluminum (Al</w:t>
      </w:r>
      <w:r w:rsidRPr="00487F71">
        <w:rPr>
          <w:rFonts w:asciiTheme="majorBidi" w:hAnsiTheme="majorBidi" w:cstheme="majorBidi"/>
          <w:sz w:val="20"/>
          <w:vertAlign w:val="superscript"/>
        </w:rPr>
        <w:t>3+</w:t>
      </w:r>
      <w:r w:rsidRPr="00487F71">
        <w:rPr>
          <w:rFonts w:asciiTheme="majorBidi" w:hAnsiTheme="majorBidi" w:cstheme="majorBidi"/>
          <w:sz w:val="20"/>
        </w:rPr>
        <w:t>) reached 19,69,410,314,266,224  ppm (respectively) for blend.</w:t>
      </w:r>
    </w:p>
    <w:p w:rsidR="00487F71" w:rsidRPr="00487F71" w:rsidRDefault="00487F71" w:rsidP="00E740F0">
      <w:pPr>
        <w:ind w:firstLine="360"/>
        <w:jc w:val="both"/>
        <w:rPr>
          <w:rFonts w:asciiTheme="majorBidi" w:hAnsiTheme="majorBidi" w:cstheme="majorBidi"/>
          <w:sz w:val="20"/>
        </w:rPr>
      </w:pPr>
      <w:r w:rsidRPr="00487F71">
        <w:rPr>
          <w:rFonts w:asciiTheme="majorBidi" w:hAnsiTheme="majorBidi" w:cstheme="majorBidi"/>
          <w:sz w:val="20"/>
        </w:rPr>
        <w:lastRenderedPageBreak/>
        <w:t xml:space="preserve">Ion releases for all elements in base line are higher than CaZ+ Magnox and blend glass. Ion release profiles could be divided into two stages; first 504 hr, release of all elements followed </w:t>
      </w:r>
      <w:r w:rsidRPr="00487F71">
        <w:rPr>
          <w:rStyle w:val="y2iqfc"/>
          <w:rFonts w:asciiTheme="majorBidi" w:hAnsiTheme="majorBidi" w:cstheme="majorBidi"/>
          <w:sz w:val="20"/>
        </w:rPr>
        <w:t>almost</w:t>
      </w:r>
      <w:r w:rsidRPr="00487F71">
        <w:rPr>
          <w:rFonts w:asciiTheme="majorBidi" w:hAnsiTheme="majorBidi" w:cstheme="majorBidi"/>
          <w:sz w:val="20"/>
        </w:rPr>
        <w:t xml:space="preserve"> linear relationship with time, later it comes to stable point till 1000 hr. The ion release profiles for all glass investigated showed similar trends.  </w:t>
      </w:r>
      <w:r w:rsidRPr="00487F71">
        <w:rPr>
          <w:rStyle w:val="y2iqfc"/>
          <w:rFonts w:asciiTheme="majorBidi" w:hAnsiTheme="majorBidi" w:cstheme="majorBidi"/>
          <w:sz w:val="20"/>
        </w:rPr>
        <w:t>The CaZn + Magnox and blended glasses showed lower ion release rates compared to base glass. This is explained by their high chemical toughness. Its durability is attributed to the presence of Si content and presence of Ca</w:t>
      </w:r>
      <w:r w:rsidRPr="00487F71">
        <w:rPr>
          <w:rStyle w:val="y2iqfc"/>
          <w:rFonts w:asciiTheme="majorBidi" w:hAnsiTheme="majorBidi" w:cstheme="majorBidi"/>
          <w:sz w:val="20"/>
          <w:vertAlign w:val="superscript"/>
        </w:rPr>
        <w:t>2 +</w:t>
      </w:r>
      <w:r w:rsidRPr="00487F71">
        <w:rPr>
          <w:rStyle w:val="y2iqfc"/>
          <w:rFonts w:asciiTheme="majorBidi" w:hAnsiTheme="majorBidi" w:cstheme="majorBidi"/>
          <w:sz w:val="20"/>
        </w:rPr>
        <w:t xml:space="preserve"> </w:t>
      </w:r>
      <w:r w:rsidRPr="00487F71">
        <w:rPr>
          <w:rStyle w:val="y2iqfc"/>
          <w:rFonts w:asciiTheme="majorBidi" w:eastAsiaTheme="majorEastAsia" w:hAnsiTheme="majorBidi" w:cstheme="majorBidi"/>
          <w:sz w:val="20"/>
        </w:rPr>
        <w:t xml:space="preserve">in </w:t>
      </w:r>
      <w:r w:rsidRPr="00487F71">
        <w:rPr>
          <w:rStyle w:val="y2iqfc"/>
          <w:rFonts w:asciiTheme="majorBidi" w:hAnsiTheme="majorBidi" w:cstheme="majorBidi"/>
          <w:sz w:val="20"/>
        </w:rPr>
        <w:t>CaZn + Magnox in the tempered glass, which can help cross-link</w:t>
      </w:r>
      <w:r w:rsidRPr="00487F71">
        <w:rPr>
          <w:rStyle w:val="y2iqfc"/>
          <w:rFonts w:asciiTheme="majorBidi" w:eastAsiaTheme="majorEastAsia" w:hAnsiTheme="majorBidi" w:cstheme="majorBidi"/>
          <w:sz w:val="20"/>
        </w:rPr>
        <w:t>ing</w:t>
      </w:r>
      <w:r w:rsidRPr="00487F71">
        <w:rPr>
          <w:rStyle w:val="y2iqfc"/>
          <w:rFonts w:asciiTheme="majorBidi" w:hAnsiTheme="majorBidi" w:cstheme="majorBidi"/>
          <w:sz w:val="20"/>
        </w:rPr>
        <w:t xml:space="preserve"> the glass structures. Based on the addition of Ca</w:t>
      </w:r>
      <w:r w:rsidRPr="00487F71">
        <w:rPr>
          <w:rStyle w:val="y2iqfc"/>
          <w:rFonts w:asciiTheme="majorBidi" w:hAnsiTheme="majorBidi" w:cstheme="majorBidi"/>
          <w:sz w:val="20"/>
          <w:vertAlign w:val="superscript"/>
        </w:rPr>
        <w:t>2+</w:t>
      </w:r>
      <w:r w:rsidRPr="00487F71">
        <w:rPr>
          <w:rStyle w:val="y2iqfc"/>
          <w:rFonts w:asciiTheme="majorBidi" w:hAnsiTheme="majorBidi" w:cstheme="majorBidi"/>
          <w:sz w:val="20"/>
        </w:rPr>
        <w:t xml:space="preserve"> ions as in CaZn+Magnox glass, the oxides (particularly alkaline) play an important function in the chemical durability of the glass structure. This was noted </w:t>
      </w:r>
      <w:r w:rsidRPr="00487F71">
        <w:rPr>
          <w:rStyle w:val="y2iqfc"/>
          <w:rFonts w:asciiTheme="majorBidi" w:eastAsiaTheme="majorEastAsia" w:hAnsiTheme="majorBidi" w:cstheme="majorBidi"/>
          <w:sz w:val="20"/>
        </w:rPr>
        <w:t xml:space="preserve">by Farid et al. </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&lt;EndNote&gt;&lt;Cite&gt;&lt;Author&gt;Farid&lt;/Author&gt;&lt;Year&gt;2020&lt;/Year&gt;&lt;RecNum&gt;5&lt;/RecNum&gt;&lt;DisplayText&gt;[11]&lt;/DisplayText&gt;&lt;record&gt;&lt;rec-number&gt;5&lt;/rec-number&gt;&lt;foreign-keys&gt;&lt;key app="EN" db-id="svppx29d3d9vtiear5y555w952fexavtxr0e" timestamp="1631029981"&gt;5&lt;/key&gt;&lt;/foreign-keys&gt;&lt;ref-type name="Journal Article"&gt;17&lt;/ref-type&gt;&lt;contributors&gt;&lt;authors&gt;&lt;author&gt;Farid, Osama M.&lt;/author&gt;&lt;author&gt;Ojovan, M. I.&lt;/author&gt;&lt;author&gt;Rahman, R. O. Abdel&lt;/author&gt;&lt;/authors&gt;&lt;/contributors&gt;&lt;titles&gt;&lt;title&gt;Evolution of cations speciation during the initial leaching stage of alkali-borosilicate-glasses&lt;/title&gt;&lt;secondary-title&gt;MRS Advances&lt;/secondary-title&gt;&lt;/titles&gt;&lt;periodical&gt;&lt;full-title&gt;MRS Advances&lt;/full-title&gt;&lt;/periodical&gt;&lt;pages&gt;185-193&lt;/pages&gt;&lt;volume&gt;5&lt;/volume&gt;&lt;number&gt;3-4&lt;/number&gt;&lt;edition&gt;2020/01/27&lt;/edition&gt;&lt;keywords&gt;&lt;keyword&gt;waste management&lt;/keyword&gt;&lt;keyword&gt;glass&lt;/keyword&gt;&lt;/keywords&gt;&lt;dates&gt;&lt;year&gt;2020&lt;/year&gt;&lt;/dates&gt;&lt;publisher&gt;Materials Research Society&lt;/publisher&gt;&lt;urls&gt;&lt;related-urls&gt;&lt;url&gt;https://www.cambridge.org/core/article/evolution-of-cations-speciation-during-the-initial-leaching-stage-of-alkaliborosilicateglasses/16FCA4E290E39D0554AA65AF6D6B5C10&lt;/url&gt;&lt;/related-urls&gt;&lt;/urls&gt;&lt;electronic-resource-num&gt;10.1557/adv.2020.39&lt;/electronic-resource-num&gt;&lt;remote-database-name&gt;Cambridge Core&lt;/remote-database-name&gt;&lt;remote-database-provider&gt;Cambridge University Press&lt;/remote-database-provider&gt;&lt;/record&gt;&lt;/Cite&gt;&lt;/EndNote&gt;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[11]</w:t>
      </w:r>
      <w:r w:rsidRPr="00487F71">
        <w:rPr>
          <w:rFonts w:asciiTheme="majorBidi" w:hAnsiTheme="majorBidi" w:cstheme="majorBidi"/>
          <w:sz w:val="20"/>
        </w:rPr>
        <w:fldChar w:fldCharType="end"/>
      </w:r>
      <w:r w:rsidRPr="00487F71">
        <w:rPr>
          <w:rFonts w:asciiTheme="majorBidi" w:hAnsiTheme="majorBidi" w:cstheme="majorBidi"/>
          <w:sz w:val="20"/>
        </w:rPr>
        <w:t xml:space="preserve">, </w:t>
      </w:r>
      <w:r w:rsidRPr="00487F71">
        <w:rPr>
          <w:rStyle w:val="y2iqfc"/>
          <w:rFonts w:asciiTheme="majorBidi" w:hAnsiTheme="majorBidi" w:cstheme="majorBidi"/>
          <w:sz w:val="20"/>
        </w:rPr>
        <w:t xml:space="preserve">who noted that the rate of determination of ion release and </w:t>
      </w:r>
      <w:r w:rsidRPr="00487F71">
        <w:rPr>
          <w:rFonts w:asciiTheme="majorBidi" w:hAnsiTheme="majorBidi" w:cstheme="majorBidi"/>
          <w:sz w:val="20"/>
        </w:rPr>
        <w:t xml:space="preserve">degradation </w:t>
      </w:r>
      <w:r w:rsidRPr="00487F71">
        <w:rPr>
          <w:rStyle w:val="y2iqfc"/>
          <w:rFonts w:asciiTheme="majorBidi" w:hAnsiTheme="majorBidi" w:cstheme="majorBidi"/>
          <w:sz w:val="20"/>
        </w:rPr>
        <w:t>of borosilicate glass decreased with increasing calcium intake. In addition, calcium ions can construct a chelating structure via ionic and interfering bonds. Kim et al</w:t>
      </w:r>
      <w:r w:rsidRPr="00487F71">
        <w:rPr>
          <w:rFonts w:asciiTheme="majorBidi" w:hAnsiTheme="majorBidi" w:cstheme="majorBidi"/>
          <w:sz w:val="20"/>
        </w:rPr>
        <w:t>.</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&lt;EndNote&gt;&lt;Cite&gt;&lt;Author&gt;Kim&lt;/Author&gt;&lt;Year&gt;2018&lt;/Year&gt;&lt;RecNum&gt;13&lt;/RecNum&gt;&lt;DisplayText&gt;[12]&lt;/DisplayText&gt;&lt;record&gt;&lt;rec-number&gt;13&lt;/rec-number&gt;&lt;foreign-keys&gt;&lt;key app="EN" db-id="svppx29d3d9vtiear5y555w952fexavtxr0e" timestamp="1631031831"&gt;13&lt;/key&gt;&lt;/foreign-keys&gt;&lt;ref-type name="Journal Article"&gt;17&lt;/ref-type&gt;&lt;contributors&gt;&lt;authors&gt;&lt;author&gt;Kim, Miae&lt;/author&gt;&lt;author&gt;Corkhill, Claire L.&lt;/author&gt;&lt;author&gt;Hyatt, Neil C.&lt;/author&gt;&lt;author&gt;Heo, Jong&lt;/author&gt;&lt;/authors&gt;&lt;/contributors&gt;&lt;titles&gt;&lt;title&gt;Development, characterization and dissolution behavior of calcium-aluminoborate glass wasteforms to immobilize rare-earth oxides&lt;/title&gt;&lt;secondary-title&gt;Scientific Reports&lt;/secondary-title&gt;&lt;/titles&gt;&lt;periodical&gt;&lt;full-title&gt;Scientific Reports&lt;/full-title&gt;&lt;/periodical&gt;&lt;pages&gt;5320&lt;/pages&gt;&lt;volume&gt;8&lt;/volume&gt;&lt;number&gt;1&lt;/number&gt;&lt;dates&gt;&lt;year&gt;2018&lt;/year&gt;&lt;pub-dates&gt;&lt;date&gt;2018/03/28&lt;/date&gt;&lt;/pub-dates&gt;&lt;/dates&gt;&lt;isbn&gt;2045-2322&lt;/isbn&gt;&lt;urls&gt;&lt;related-urls&gt;&lt;url&gt;https://doi.org/10.1038/s41598-018-23665-z&lt;/url&gt;&lt;/related-urls&gt;&lt;/urls&gt;&lt;electronic-resource-num&gt;10.1038/s41598-018-23665-z&lt;/electronic-resource-num&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[12]</w:t>
      </w:r>
      <w:r w:rsidRPr="00487F71">
        <w:rPr>
          <w:rFonts w:asciiTheme="majorBidi" w:hAnsiTheme="majorBidi" w:cstheme="majorBidi"/>
          <w:sz w:val="20"/>
        </w:rPr>
        <w:fldChar w:fldCharType="end"/>
      </w:r>
      <w:r w:rsidRPr="00487F71">
        <w:rPr>
          <w:rFonts w:asciiTheme="majorBidi" w:hAnsiTheme="majorBidi" w:cstheme="majorBidi"/>
          <w:sz w:val="20"/>
        </w:rPr>
        <w:t xml:space="preserve"> </w:t>
      </w:r>
      <w:r w:rsidRPr="00487F71">
        <w:rPr>
          <w:rStyle w:val="y2iqfc"/>
          <w:rFonts w:asciiTheme="majorBidi" w:hAnsiTheme="majorBidi" w:cstheme="majorBidi"/>
          <w:sz w:val="20"/>
        </w:rPr>
        <w:t xml:space="preserve">found that the effect of adding metals (particularly alkaline) on the rate of glass </w:t>
      </w:r>
      <w:r w:rsidRPr="00487F71">
        <w:rPr>
          <w:rFonts w:asciiTheme="majorBidi" w:hAnsiTheme="majorBidi" w:cstheme="majorBidi"/>
          <w:sz w:val="20"/>
        </w:rPr>
        <w:t>degradation</w:t>
      </w:r>
      <w:r w:rsidRPr="00487F71">
        <w:rPr>
          <w:rStyle w:val="y2iqfc"/>
          <w:rFonts w:asciiTheme="majorBidi" w:hAnsiTheme="majorBidi" w:cstheme="majorBidi"/>
          <w:sz w:val="20"/>
        </w:rPr>
        <w:t>, follow the order Fe &gt; Mg &gt; Ca.</w:t>
      </w:r>
    </w:p>
    <w:p w:rsidR="00487F71" w:rsidRPr="00487F71" w:rsidRDefault="00487F71" w:rsidP="00487F71">
      <w:pPr>
        <w:pStyle w:val="Heading3"/>
        <w:numPr>
          <w:ilvl w:val="1"/>
          <w:numId w:val="35"/>
        </w:numPr>
        <w:rPr>
          <w:rStyle w:val="st"/>
          <w:rFonts w:asciiTheme="majorBidi" w:hAnsiTheme="majorBidi" w:cstheme="majorBidi"/>
          <w:b w:val="0"/>
          <w:bCs/>
        </w:rPr>
      </w:pPr>
      <w:r w:rsidRPr="00487F71">
        <w:t>Glass structure</w:t>
      </w:r>
    </w:p>
    <w:p w:rsidR="00487F71" w:rsidRPr="00487F71" w:rsidRDefault="00E740F0" w:rsidP="00487F71">
      <w:pPr>
        <w:pStyle w:val="ListParagraph"/>
        <w:tabs>
          <w:tab w:val="left" w:pos="450"/>
        </w:tabs>
        <w:spacing w:after="0" w:line="240" w:lineRule="auto"/>
        <w:ind w:left="0"/>
        <w:jc w:val="both"/>
        <w:rPr>
          <w:rStyle w:val="st"/>
          <w:rFonts w:asciiTheme="majorBidi" w:hAnsiTheme="majorBidi" w:cstheme="majorBidi"/>
          <w:sz w:val="20"/>
          <w:szCs w:val="20"/>
        </w:rPr>
      </w:pPr>
      <w:r>
        <w:rPr>
          <w:rStyle w:val="y2iqfc"/>
          <w:rFonts w:asciiTheme="majorBidi" w:eastAsiaTheme="majorEastAsia" w:hAnsiTheme="majorBidi" w:cstheme="majorBidi"/>
          <w:sz w:val="20"/>
          <w:szCs w:val="20"/>
        </w:rPr>
        <w:tab/>
      </w:r>
      <w:r w:rsidR="00487F71" w:rsidRPr="00487F71">
        <w:rPr>
          <w:rStyle w:val="y2iqfc"/>
          <w:rFonts w:asciiTheme="majorBidi" w:eastAsiaTheme="majorEastAsia" w:hAnsiTheme="majorBidi" w:cstheme="majorBidi"/>
          <w:sz w:val="20"/>
          <w:szCs w:val="20"/>
        </w:rPr>
        <w:t>In order to</w:t>
      </w:r>
      <w:r w:rsidR="00487F71" w:rsidRPr="00487F71">
        <w:rPr>
          <w:rFonts w:asciiTheme="majorBidi" w:hAnsiTheme="majorBidi" w:cstheme="majorBidi"/>
          <w:sz w:val="20"/>
          <w:szCs w:val="20"/>
        </w:rPr>
        <w:t xml:space="preserve"> </w:t>
      </w:r>
      <w:r w:rsidR="00487F71" w:rsidRPr="00487F71">
        <w:rPr>
          <w:rStyle w:val="y2iqfc"/>
          <w:rFonts w:asciiTheme="majorBidi" w:eastAsiaTheme="majorEastAsia" w:hAnsiTheme="majorBidi" w:cstheme="majorBidi"/>
          <w:sz w:val="20"/>
          <w:szCs w:val="20"/>
        </w:rPr>
        <w:t>understand new glass structures, the simplified metal oxides classifications from Dietzel based on field strength (A) has produced countless guidelines for glass scientists.</w:t>
      </w:r>
      <w:r w:rsidR="00487F71" w:rsidRPr="00487F71">
        <w:rPr>
          <w:rFonts w:asciiTheme="majorBidi" w:hAnsiTheme="majorBidi" w:cstheme="majorBidi"/>
          <w:sz w:val="20"/>
          <w:szCs w:val="20"/>
        </w:rPr>
        <w:t xml:space="preserve"> </w:t>
      </w:r>
      <w:r w:rsidR="00487F71" w:rsidRPr="00487F71">
        <w:rPr>
          <w:rStyle w:val="y2iqfc"/>
          <w:rFonts w:asciiTheme="majorBidi" w:eastAsiaTheme="majorEastAsia" w:hAnsiTheme="majorBidi" w:cstheme="majorBidi"/>
          <w:sz w:val="20"/>
          <w:szCs w:val="20"/>
        </w:rPr>
        <w:t xml:space="preserve">Field strength is associated with ionicity of metal-oxide bonds, since bonds comprising components with </w:t>
      </w:r>
      <w:r w:rsidR="00487F71" w:rsidRPr="00487F71">
        <w:rPr>
          <w:rStyle w:val="y2iqfc"/>
          <w:rFonts w:asciiTheme="majorBidi" w:eastAsiaTheme="majorEastAsia" w:hAnsiTheme="majorBidi" w:cstheme="majorBidi"/>
          <w:sz w:val="20"/>
          <w:szCs w:val="20"/>
          <w:lang w:val="en-GB"/>
        </w:rPr>
        <w:t xml:space="preserve">high </w:t>
      </w:r>
      <w:r w:rsidR="00487F71" w:rsidRPr="00487F71">
        <w:rPr>
          <w:rStyle w:val="y2iqfc"/>
          <w:rFonts w:asciiTheme="majorBidi" w:eastAsiaTheme="majorEastAsia" w:hAnsiTheme="majorBidi" w:cstheme="majorBidi"/>
          <w:sz w:val="20"/>
          <w:szCs w:val="20"/>
        </w:rPr>
        <w:t>field strength possess large amounts of ionic character, and high field strength bonds have more valence or directionality for their bonding environment. The field strength(A) is defined by the ability of cations to enter the glass structure by their field strength.</w:t>
      </w:r>
      <w:r w:rsidR="00487F71" w:rsidRPr="00487F71">
        <w:rPr>
          <w:rStyle w:val="st"/>
          <w:rFonts w:asciiTheme="majorBidi" w:hAnsiTheme="majorBidi" w:cstheme="majorBidi"/>
          <w:sz w:val="20"/>
          <w:szCs w:val="20"/>
        </w:rPr>
        <w:t xml:space="preserve"> </w:t>
      </w:r>
    </w:p>
    <w:p w:rsidR="00487F71" w:rsidRPr="00487F71" w:rsidRDefault="00487F71" w:rsidP="00487F71">
      <w:pPr>
        <w:jc w:val="both"/>
        <w:rPr>
          <w:rStyle w:val="st"/>
          <w:rFonts w:asciiTheme="majorBidi" w:hAnsiTheme="majorBidi" w:cstheme="majorBidi"/>
          <w:sz w:val="20"/>
        </w:rPr>
      </w:pPr>
      <m:oMath>
        <m:r>
          <w:rPr>
            <w:rStyle w:val="st"/>
            <w:rFonts w:ascii="Cambria Math" w:hAnsi="Cambria Math" w:cstheme="majorBidi"/>
            <w:sz w:val="20"/>
          </w:rPr>
          <m:t>A</m:t>
        </m:r>
        <m:r>
          <w:rPr>
            <w:rStyle w:val="st"/>
            <w:rFonts w:ascii="Cambria Math" w:hAnsiTheme="majorBidi" w:cstheme="majorBidi"/>
            <w:sz w:val="20"/>
          </w:rPr>
          <m:t>=</m:t>
        </m:r>
        <m:f>
          <m:fPr>
            <m:ctrlPr>
              <w:rPr>
                <w:rStyle w:val="st"/>
                <w:rFonts w:ascii="Cambria Math" w:hAnsiTheme="majorBidi" w:cstheme="majorBidi"/>
                <w:i/>
                <w:sz w:val="20"/>
              </w:rPr>
            </m:ctrlPr>
          </m:fPr>
          <m:num>
            <m:r>
              <w:rPr>
                <w:rStyle w:val="st"/>
                <w:rFonts w:ascii="Cambria Math" w:hAnsi="Cambria Math" w:cstheme="majorBidi"/>
                <w:sz w:val="20"/>
              </w:rPr>
              <m:t>Z</m:t>
            </m:r>
          </m:num>
          <m:den>
            <m:sSup>
              <m:sSupPr>
                <m:ctrlPr>
                  <w:rPr>
                    <w:rStyle w:val="st"/>
                    <w:rFonts w:ascii="Cambria Math" w:hAnsiTheme="majorBidi" w:cstheme="majorBidi"/>
                    <w:i/>
                    <w:sz w:val="20"/>
                  </w:rPr>
                </m:ctrlPr>
              </m:sSupPr>
              <m:e>
                <m:d>
                  <m:dPr>
                    <m:ctrlPr>
                      <w:rPr>
                        <w:rStyle w:val="st"/>
                        <w:rFonts w:ascii="Cambria Math" w:hAnsiTheme="majorBidi" w:cstheme="majorBidi"/>
                        <w:i/>
                        <w:sz w:val="20"/>
                      </w:rPr>
                    </m:ctrlPr>
                  </m:dPr>
                  <m:e>
                    <m:sSub>
                      <m:sSubPr>
                        <m:ctrlPr>
                          <w:rPr>
                            <w:rStyle w:val="st"/>
                            <w:rFonts w:ascii="Cambria Math" w:hAnsiTheme="majorBidi" w:cstheme="majorBidi"/>
                            <w:i/>
                            <w:sz w:val="20"/>
                          </w:rPr>
                        </m:ctrlPr>
                      </m:sSubPr>
                      <m:e>
                        <m:r>
                          <w:rPr>
                            <w:rStyle w:val="st"/>
                            <w:rFonts w:ascii="Cambria Math" w:hAnsi="Cambria Math" w:cstheme="majorBidi"/>
                            <w:sz w:val="20"/>
                          </w:rPr>
                          <m:t>r</m:t>
                        </m:r>
                      </m:e>
                      <m:sub>
                        <m:r>
                          <w:rPr>
                            <w:rStyle w:val="st"/>
                            <w:rFonts w:ascii="Cambria Math" w:hAnsi="Cambria Math" w:cstheme="majorBidi"/>
                            <w:sz w:val="20"/>
                          </w:rPr>
                          <m:t>c</m:t>
                        </m:r>
                      </m:sub>
                    </m:sSub>
                    <m:r>
                      <w:rPr>
                        <w:rStyle w:val="st"/>
                        <w:rFonts w:ascii="Cambria Math" w:hAnsiTheme="majorBidi" w:cstheme="majorBidi"/>
                        <w:sz w:val="20"/>
                      </w:rPr>
                      <m:t>+</m:t>
                    </m:r>
                    <m:sSub>
                      <m:sSubPr>
                        <m:ctrlPr>
                          <w:rPr>
                            <w:rStyle w:val="st"/>
                            <w:rFonts w:ascii="Cambria Math" w:hAnsiTheme="majorBidi" w:cstheme="majorBidi"/>
                            <w:i/>
                            <w:sz w:val="20"/>
                          </w:rPr>
                        </m:ctrlPr>
                      </m:sSubPr>
                      <m:e>
                        <m:r>
                          <w:rPr>
                            <w:rStyle w:val="st"/>
                            <w:rFonts w:ascii="Cambria Math" w:hAnsi="Cambria Math" w:cstheme="majorBidi"/>
                            <w:sz w:val="20"/>
                          </w:rPr>
                          <m:t>r</m:t>
                        </m:r>
                      </m:e>
                      <m:sub>
                        <m:r>
                          <w:rPr>
                            <w:rStyle w:val="st"/>
                            <w:rFonts w:ascii="Cambria Math" w:hAnsi="Cambria Math" w:cstheme="majorBidi"/>
                            <w:sz w:val="20"/>
                          </w:rPr>
                          <m:t>o</m:t>
                        </m:r>
                      </m:sub>
                    </m:sSub>
                  </m:e>
                </m:d>
              </m:e>
              <m:sup>
                <m:r>
                  <w:rPr>
                    <w:rStyle w:val="st"/>
                    <w:rFonts w:ascii="Cambria Math" w:hAnsiTheme="majorBidi" w:cstheme="majorBidi"/>
                    <w:sz w:val="20"/>
                  </w:rPr>
                  <m:t>2</m:t>
                </m:r>
              </m:sup>
            </m:sSup>
          </m:den>
        </m:f>
      </m:oMath>
      <w:r w:rsidRPr="00487F71">
        <w:rPr>
          <w:rStyle w:val="st"/>
          <w:rFonts w:asciiTheme="majorBidi" w:hAnsiTheme="majorBidi" w:cstheme="majorBidi"/>
          <w:sz w:val="20"/>
        </w:rPr>
        <w:t xml:space="preserve">   equation 2</w:t>
      </w:r>
    </w:p>
    <w:p w:rsidR="00487F71" w:rsidRDefault="00487F71" w:rsidP="00487F71">
      <w:pPr>
        <w:jc w:val="both"/>
        <w:rPr>
          <w:rFonts w:asciiTheme="majorBidi" w:hAnsiTheme="majorBidi" w:cstheme="majorBidi"/>
          <w:sz w:val="20"/>
        </w:rPr>
      </w:pPr>
      <w:r w:rsidRPr="00487F71">
        <w:rPr>
          <w:rStyle w:val="st"/>
          <w:rFonts w:asciiTheme="majorBidi" w:hAnsiTheme="majorBidi" w:cstheme="majorBidi"/>
          <w:sz w:val="20"/>
        </w:rPr>
        <w:t>Where Z is cation valence, r</w:t>
      </w:r>
      <w:r w:rsidRPr="00487F71">
        <w:rPr>
          <w:rStyle w:val="st"/>
          <w:rFonts w:asciiTheme="majorBidi" w:hAnsiTheme="majorBidi" w:cstheme="majorBidi"/>
          <w:sz w:val="20"/>
          <w:vertAlign w:val="subscript"/>
        </w:rPr>
        <w:t>c</w:t>
      </w:r>
      <w:r w:rsidRPr="00487F71">
        <w:rPr>
          <w:rStyle w:val="st"/>
          <w:rFonts w:asciiTheme="majorBidi" w:hAnsiTheme="majorBidi" w:cstheme="majorBidi"/>
          <w:sz w:val="20"/>
        </w:rPr>
        <w:t>and  r</w:t>
      </w:r>
      <w:r w:rsidRPr="00487F71">
        <w:rPr>
          <w:rStyle w:val="st"/>
          <w:rFonts w:asciiTheme="majorBidi" w:hAnsiTheme="majorBidi" w:cstheme="majorBidi"/>
          <w:sz w:val="20"/>
          <w:vertAlign w:val="subscript"/>
        </w:rPr>
        <w:t>o</w:t>
      </w:r>
      <w:r w:rsidRPr="00487F71">
        <w:rPr>
          <w:rStyle w:val="st"/>
          <w:rFonts w:asciiTheme="majorBidi" w:hAnsiTheme="majorBidi" w:cstheme="majorBidi"/>
          <w:sz w:val="20"/>
        </w:rPr>
        <w:t xml:space="preserve"> are cation and oxgen radii respectively. </w:t>
      </w:r>
      <w:r w:rsidRPr="00487F71">
        <w:rPr>
          <w:rFonts w:asciiTheme="majorBidi" w:hAnsiTheme="majorBidi" w:cstheme="majorBidi"/>
          <w:sz w:val="20"/>
        </w:rPr>
        <w:t>In our recent study of silicon (Si</w:t>
      </w:r>
      <w:r w:rsidRPr="00487F71">
        <w:rPr>
          <w:rFonts w:asciiTheme="majorBidi" w:hAnsiTheme="majorBidi" w:cstheme="majorBidi"/>
          <w:sz w:val="20"/>
          <w:vertAlign w:val="superscript"/>
        </w:rPr>
        <w:t>+4</w:t>
      </w:r>
      <w:r w:rsidRPr="00487F71">
        <w:rPr>
          <w:rFonts w:asciiTheme="majorBidi" w:hAnsiTheme="majorBidi" w:cstheme="majorBidi"/>
          <w:sz w:val="20"/>
        </w:rPr>
        <w:t>), boron (B</w:t>
      </w:r>
      <w:r w:rsidRPr="00487F71">
        <w:rPr>
          <w:rFonts w:asciiTheme="majorBidi" w:hAnsiTheme="majorBidi" w:cstheme="majorBidi"/>
          <w:sz w:val="20"/>
          <w:vertAlign w:val="superscript"/>
        </w:rPr>
        <w:t>+3</w:t>
      </w:r>
      <w:r w:rsidRPr="00487F71">
        <w:rPr>
          <w:rFonts w:asciiTheme="majorBidi" w:hAnsiTheme="majorBidi" w:cstheme="majorBidi"/>
          <w:sz w:val="20"/>
        </w:rPr>
        <w:t>), sodium (Na</w:t>
      </w:r>
      <w:r w:rsidRPr="00487F71">
        <w:rPr>
          <w:rFonts w:asciiTheme="majorBidi" w:hAnsiTheme="majorBidi" w:cstheme="majorBidi"/>
          <w:sz w:val="20"/>
          <w:vertAlign w:val="superscript"/>
        </w:rPr>
        <w:t>+</w:t>
      </w:r>
      <w:r w:rsidRPr="00487F71">
        <w:rPr>
          <w:rFonts w:asciiTheme="majorBidi" w:hAnsiTheme="majorBidi" w:cstheme="majorBidi"/>
          <w:sz w:val="20"/>
        </w:rPr>
        <w:t>), lithium (Li</w:t>
      </w:r>
      <w:r w:rsidRPr="00487F71">
        <w:rPr>
          <w:rFonts w:asciiTheme="majorBidi" w:hAnsiTheme="majorBidi" w:cstheme="majorBidi"/>
          <w:sz w:val="20"/>
          <w:vertAlign w:val="superscript"/>
        </w:rPr>
        <w:t>+</w:t>
      </w:r>
      <w:r w:rsidRPr="00487F71">
        <w:rPr>
          <w:rFonts w:asciiTheme="majorBidi" w:hAnsiTheme="majorBidi" w:cstheme="majorBidi"/>
          <w:sz w:val="20"/>
        </w:rPr>
        <w:t>), calcium (Ca</w:t>
      </w:r>
      <w:r w:rsidRPr="00487F71">
        <w:rPr>
          <w:rFonts w:asciiTheme="majorBidi" w:hAnsiTheme="majorBidi" w:cstheme="majorBidi"/>
          <w:sz w:val="20"/>
          <w:vertAlign w:val="superscript"/>
        </w:rPr>
        <w:t>2+</w:t>
      </w:r>
      <w:r w:rsidRPr="00487F71">
        <w:rPr>
          <w:rFonts w:asciiTheme="majorBidi" w:hAnsiTheme="majorBidi" w:cstheme="majorBidi"/>
          <w:sz w:val="20"/>
        </w:rPr>
        <w:t>) and aluminum (Al</w:t>
      </w:r>
      <w:r w:rsidRPr="00487F71">
        <w:rPr>
          <w:rFonts w:asciiTheme="majorBidi" w:hAnsiTheme="majorBidi" w:cstheme="majorBidi"/>
          <w:sz w:val="20"/>
          <w:vertAlign w:val="superscript"/>
        </w:rPr>
        <w:t>3+</w:t>
      </w:r>
      <w:r w:rsidRPr="00487F71">
        <w:rPr>
          <w:rFonts w:asciiTheme="majorBidi" w:hAnsiTheme="majorBidi" w:cstheme="majorBidi"/>
          <w:sz w:val="20"/>
        </w:rPr>
        <w:t>) component within three different glass composite, were evaluated as shown in figure 3.</w:t>
      </w:r>
    </w:p>
    <w:p w:rsidR="00487F71" w:rsidRPr="00487F71" w:rsidRDefault="00487F71" w:rsidP="00487F71">
      <w:pPr>
        <w:jc w:val="both"/>
        <w:rPr>
          <w:rFonts w:asciiTheme="majorBidi" w:hAnsiTheme="majorBidi" w:cstheme="majorBidi"/>
          <w:sz w:val="20"/>
        </w:rPr>
      </w:pPr>
    </w:p>
    <w:p w:rsidR="00487F71" w:rsidRPr="00487F71" w:rsidRDefault="00487F71" w:rsidP="00487F71">
      <w:pPr>
        <w:rPr>
          <w:rFonts w:asciiTheme="majorBidi" w:hAnsiTheme="majorBidi" w:cstheme="majorBidi"/>
          <w:sz w:val="20"/>
        </w:rPr>
      </w:pPr>
      <w:r w:rsidRPr="00487F71">
        <w:rPr>
          <w:rFonts w:asciiTheme="majorBidi" w:hAnsiTheme="majorBidi" w:cstheme="majorBidi"/>
          <w:noProof/>
          <w:sz w:val="20"/>
          <w:lang w:eastAsia="en-GB"/>
        </w:rPr>
        <w:drawing>
          <wp:anchor distT="0" distB="0" distL="114300" distR="114300" simplePos="0" relativeHeight="251663360" behindDoc="0" locked="0" layoutInCell="1" allowOverlap="1">
            <wp:simplePos x="0" y="0"/>
            <wp:positionH relativeFrom="column">
              <wp:posOffset>914400</wp:posOffset>
            </wp:positionH>
            <wp:positionV relativeFrom="paragraph">
              <wp:align>top</wp:align>
            </wp:positionV>
            <wp:extent cx="4578824" cy="2463421"/>
            <wp:effectExtent l="0" t="0" r="0" b="0"/>
            <wp:wrapSquare wrapText="bothSides"/>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487F71">
        <w:rPr>
          <w:rFonts w:asciiTheme="majorBidi" w:hAnsiTheme="majorBidi" w:cstheme="majorBidi"/>
          <w:sz w:val="20"/>
        </w:rPr>
        <w:br w:type="textWrapping" w:clear="all"/>
      </w:r>
    </w:p>
    <w:p w:rsidR="00487F71" w:rsidRPr="00203CEC" w:rsidRDefault="00203CEC" w:rsidP="00203CEC">
      <w:pPr>
        <w:pStyle w:val="Caption"/>
        <w:rPr>
          <w:rFonts w:asciiTheme="majorBidi" w:hAnsiTheme="majorBidi" w:cstheme="majorBidi"/>
          <w:i/>
          <w:iCs/>
          <w:szCs w:val="18"/>
        </w:rPr>
      </w:pPr>
      <w:r w:rsidRPr="00203CEC">
        <w:rPr>
          <w:i/>
          <w:iCs/>
          <w:szCs w:val="18"/>
        </w:rPr>
        <w:t>FIG</w:t>
      </w:r>
      <w:r w:rsidR="00E412C5" w:rsidRPr="00203CEC">
        <w:rPr>
          <w:i/>
          <w:iCs/>
          <w:szCs w:val="18"/>
        </w:rPr>
        <w:t xml:space="preserve"> </w:t>
      </w:r>
      <w:r w:rsidR="00E412C5" w:rsidRPr="00203CEC">
        <w:rPr>
          <w:i/>
          <w:iCs/>
          <w:szCs w:val="18"/>
        </w:rPr>
        <w:fldChar w:fldCharType="begin"/>
      </w:r>
      <w:r w:rsidR="00E412C5" w:rsidRPr="00203CEC">
        <w:rPr>
          <w:i/>
          <w:iCs/>
          <w:szCs w:val="18"/>
        </w:rPr>
        <w:instrText xml:space="preserve"> SEQ Figure \* ARABIC </w:instrText>
      </w:r>
      <w:r w:rsidR="00E412C5" w:rsidRPr="00203CEC">
        <w:rPr>
          <w:i/>
          <w:iCs/>
          <w:szCs w:val="18"/>
        </w:rPr>
        <w:fldChar w:fldCharType="separate"/>
      </w:r>
      <w:r w:rsidR="00E412C5" w:rsidRPr="00203CEC">
        <w:rPr>
          <w:i/>
          <w:iCs/>
          <w:noProof/>
          <w:szCs w:val="18"/>
        </w:rPr>
        <w:t>3</w:t>
      </w:r>
      <w:r w:rsidR="00E412C5" w:rsidRPr="00203CEC">
        <w:rPr>
          <w:i/>
          <w:iCs/>
          <w:szCs w:val="18"/>
        </w:rPr>
        <w:fldChar w:fldCharType="end"/>
      </w:r>
      <w:r w:rsidR="00487F71" w:rsidRPr="00203CEC">
        <w:rPr>
          <w:rFonts w:asciiTheme="majorBidi" w:hAnsiTheme="majorBidi" w:cstheme="majorBidi"/>
          <w:i/>
          <w:iCs/>
          <w:szCs w:val="18"/>
        </w:rPr>
        <w:t xml:space="preserve"> Normalized rate of ion released of silicon (Si</w:t>
      </w:r>
      <w:r w:rsidR="00487F71" w:rsidRPr="00203CEC">
        <w:rPr>
          <w:rFonts w:asciiTheme="majorBidi" w:hAnsiTheme="majorBidi" w:cstheme="majorBidi"/>
          <w:i/>
          <w:iCs/>
          <w:szCs w:val="18"/>
          <w:vertAlign w:val="superscript"/>
        </w:rPr>
        <w:t>+4</w:t>
      </w:r>
      <w:r w:rsidR="00487F71" w:rsidRPr="00203CEC">
        <w:rPr>
          <w:rFonts w:asciiTheme="majorBidi" w:hAnsiTheme="majorBidi" w:cstheme="majorBidi"/>
          <w:i/>
          <w:iCs/>
          <w:szCs w:val="18"/>
        </w:rPr>
        <w:t>), boron (B</w:t>
      </w:r>
      <w:r w:rsidR="00487F71" w:rsidRPr="00203CEC">
        <w:rPr>
          <w:rFonts w:asciiTheme="majorBidi" w:hAnsiTheme="majorBidi" w:cstheme="majorBidi"/>
          <w:i/>
          <w:iCs/>
          <w:szCs w:val="18"/>
          <w:vertAlign w:val="superscript"/>
        </w:rPr>
        <w:t>+3</w:t>
      </w:r>
      <w:r w:rsidR="00487F71" w:rsidRPr="00203CEC">
        <w:rPr>
          <w:rFonts w:asciiTheme="majorBidi" w:hAnsiTheme="majorBidi" w:cstheme="majorBidi"/>
          <w:i/>
          <w:iCs/>
          <w:szCs w:val="18"/>
        </w:rPr>
        <w:t>), sodium (Na</w:t>
      </w:r>
      <w:r w:rsidR="00487F71" w:rsidRPr="00203CEC">
        <w:rPr>
          <w:rFonts w:asciiTheme="majorBidi" w:hAnsiTheme="majorBidi" w:cstheme="majorBidi"/>
          <w:i/>
          <w:iCs/>
          <w:szCs w:val="18"/>
          <w:vertAlign w:val="superscript"/>
        </w:rPr>
        <w:t>+</w:t>
      </w:r>
      <w:r w:rsidR="00487F71" w:rsidRPr="00203CEC">
        <w:rPr>
          <w:rFonts w:asciiTheme="majorBidi" w:hAnsiTheme="majorBidi" w:cstheme="majorBidi"/>
          <w:i/>
          <w:iCs/>
          <w:szCs w:val="18"/>
        </w:rPr>
        <w:t>), lithium (Li</w:t>
      </w:r>
      <w:r w:rsidR="00487F71" w:rsidRPr="00203CEC">
        <w:rPr>
          <w:rFonts w:asciiTheme="majorBidi" w:hAnsiTheme="majorBidi" w:cstheme="majorBidi"/>
          <w:i/>
          <w:iCs/>
          <w:szCs w:val="18"/>
          <w:vertAlign w:val="superscript"/>
        </w:rPr>
        <w:t>+</w:t>
      </w:r>
      <w:r w:rsidR="00487F71" w:rsidRPr="00203CEC">
        <w:rPr>
          <w:rFonts w:asciiTheme="majorBidi" w:hAnsiTheme="majorBidi" w:cstheme="majorBidi"/>
          <w:i/>
          <w:iCs/>
          <w:szCs w:val="18"/>
        </w:rPr>
        <w:t>), calcium (Ca</w:t>
      </w:r>
      <w:r w:rsidR="00487F71" w:rsidRPr="00203CEC">
        <w:rPr>
          <w:rFonts w:asciiTheme="majorBidi" w:hAnsiTheme="majorBidi" w:cstheme="majorBidi"/>
          <w:i/>
          <w:iCs/>
          <w:szCs w:val="18"/>
          <w:vertAlign w:val="superscript"/>
        </w:rPr>
        <w:t>2+</w:t>
      </w:r>
      <w:r w:rsidR="00487F71" w:rsidRPr="00203CEC">
        <w:rPr>
          <w:rFonts w:asciiTheme="majorBidi" w:hAnsiTheme="majorBidi" w:cstheme="majorBidi"/>
          <w:i/>
          <w:iCs/>
          <w:szCs w:val="18"/>
        </w:rPr>
        <w:t>) and aluminum (Al</w:t>
      </w:r>
      <w:r w:rsidR="00487F71" w:rsidRPr="00203CEC">
        <w:rPr>
          <w:rFonts w:asciiTheme="majorBidi" w:hAnsiTheme="majorBidi" w:cstheme="majorBidi"/>
          <w:i/>
          <w:iCs/>
          <w:szCs w:val="18"/>
          <w:vertAlign w:val="superscript"/>
        </w:rPr>
        <w:t>3+</w:t>
      </w:r>
      <w:r w:rsidR="00487F71" w:rsidRPr="00203CEC">
        <w:rPr>
          <w:rFonts w:asciiTheme="majorBidi" w:hAnsiTheme="majorBidi" w:cstheme="majorBidi"/>
          <w:i/>
          <w:iCs/>
          <w:szCs w:val="18"/>
        </w:rPr>
        <w:t>) versus Dietzal's field strength.</w:t>
      </w:r>
    </w:p>
    <w:p w:rsidR="00487F71" w:rsidRPr="00487F71" w:rsidRDefault="00487F71" w:rsidP="00E740F0">
      <w:pPr>
        <w:ind w:firstLine="360"/>
        <w:jc w:val="both"/>
        <w:rPr>
          <w:rStyle w:val="st"/>
          <w:rFonts w:asciiTheme="majorBidi" w:hAnsiTheme="majorBidi" w:cstheme="majorBidi"/>
          <w:sz w:val="20"/>
        </w:rPr>
      </w:pPr>
      <w:r w:rsidRPr="00487F71">
        <w:rPr>
          <w:rFonts w:asciiTheme="majorBidi" w:hAnsiTheme="majorBidi" w:cstheme="majorBidi"/>
          <w:sz w:val="20"/>
        </w:rPr>
        <w:t xml:space="preserve">Molar normalization was calculated by dividing released cations rate by the molar concentration of the cation within glass composition (0.16, 0.16 and 0.24 for Na, Ca and Mg respectively). </w:t>
      </w:r>
      <w:r w:rsidRPr="00487F71">
        <w:rPr>
          <w:rStyle w:val="st"/>
          <w:rFonts w:asciiTheme="majorBidi" w:hAnsiTheme="majorBidi" w:cstheme="majorBidi"/>
          <w:sz w:val="20"/>
        </w:rPr>
        <w:t>The Dietzel field breadth spans within a relatively broad range of 0 to 2 and is indicative of</w:t>
      </w:r>
      <w:r w:rsidRPr="00487F71">
        <w:rPr>
          <w:rStyle w:val="y2iqfc"/>
          <w:rFonts w:asciiTheme="majorBidi" w:hAnsiTheme="majorBidi" w:cstheme="majorBidi"/>
          <w:sz w:val="20"/>
        </w:rPr>
        <w:t xml:space="preserve"> the breadth of the Dietzel field to the size and strength of electrostatic attraction between the element and oxygen inside the glass lattice. It appears from the results that the ordered sequence of the oxides is relatively convincing, as the results indicate that the oxides form the vitreous network. For A ˂0.35, oxides (particularly alkaline) as in CaZn+Magnox glass are known to modify the lattice. The modulators of this lattice or this polyhedral arrangement lead to a strong glass structure. These represented two extreme behaviors, intermediate oxides may exhibit both behaviors depending on the structure of the glass. From this, Dietzel's approach shows that both the small size of the cation and its high charge favor the formation of glass oxides with a strong glass structure. This study conclude Alkaline silicates easily form </w:t>
      </w:r>
      <w:r w:rsidRPr="00487F71">
        <w:rPr>
          <w:rFonts w:asciiTheme="majorBidi" w:hAnsiTheme="majorBidi" w:cstheme="majorBidi"/>
          <w:sz w:val="20"/>
        </w:rPr>
        <w:t xml:space="preserve">glasses </w:t>
      </w:r>
      <w:r w:rsidRPr="00487F71">
        <w:rPr>
          <w:rStyle w:val="y2iqfc"/>
          <w:rFonts w:asciiTheme="majorBidi" w:hAnsiTheme="majorBidi" w:cstheme="majorBidi"/>
          <w:sz w:val="20"/>
        </w:rPr>
        <w:t xml:space="preserve">with a strong glass structure and cations such as Si that readily form with oxygen are called polyhedra and triangles, lattice-formers, and such coordination polyhedra leads to a glassy structure. </w:t>
      </w:r>
    </w:p>
    <w:p w:rsidR="00487F71" w:rsidRPr="00487F71" w:rsidRDefault="00487F71" w:rsidP="00487F71">
      <w:pPr>
        <w:pStyle w:val="Heading3"/>
        <w:numPr>
          <w:ilvl w:val="1"/>
          <w:numId w:val="35"/>
        </w:numPr>
        <w:rPr>
          <w:bCs/>
        </w:rPr>
      </w:pPr>
      <w:r w:rsidRPr="00487F71">
        <w:lastRenderedPageBreak/>
        <w:t>Chemical activity</w:t>
      </w:r>
    </w:p>
    <w:p w:rsidR="00487F71" w:rsidRPr="00487F71" w:rsidRDefault="00E740F0" w:rsidP="00487F71">
      <w:pPr>
        <w:pStyle w:val="HTMLPreformatted"/>
        <w:jc w:val="both"/>
        <w:rPr>
          <w:rFonts w:asciiTheme="majorBidi" w:hAnsiTheme="majorBidi" w:cstheme="majorBidi"/>
        </w:rPr>
      </w:pPr>
      <w:r>
        <w:rPr>
          <w:rStyle w:val="y2iqfc"/>
          <w:rFonts w:asciiTheme="majorBidi" w:eastAsiaTheme="majorEastAsia" w:hAnsiTheme="majorBidi" w:cstheme="majorBidi"/>
        </w:rPr>
        <w:tab/>
      </w:r>
      <w:r w:rsidR="00487F71" w:rsidRPr="00487F71">
        <w:rPr>
          <w:rStyle w:val="y2iqfc"/>
          <w:rFonts w:asciiTheme="majorBidi" w:eastAsiaTheme="majorEastAsia" w:hAnsiTheme="majorBidi" w:cstheme="majorBidi"/>
        </w:rPr>
        <w:t xml:space="preserve">The aim of this current study is to study the chemical affinity, which in turn determines the amount of glass dissolution and leads to the release of ions away from equilibrium, which shows a control of the surface reaction. The release of ions is often specified in terms of the chemical affinity of the melting phase leading to the equation </w:t>
      </w:r>
      <w:r w:rsidR="00487F71" w:rsidRPr="00487F71">
        <w:rPr>
          <w:rFonts w:asciiTheme="majorBidi" w:hAnsiTheme="majorBidi" w:cstheme="majorBidi"/>
        </w:rPr>
        <w:t xml:space="preserve">3. </w:t>
      </w:r>
    </w:p>
    <w:p w:rsidR="00487F71" w:rsidRPr="00487F71" w:rsidRDefault="00487F71" w:rsidP="00487F71">
      <w:pPr>
        <w:jc w:val="both"/>
        <w:rPr>
          <w:rFonts w:asciiTheme="majorBidi" w:hAnsiTheme="majorBidi" w:cstheme="majorBidi"/>
          <w:sz w:val="20"/>
        </w:rPr>
      </w:pPr>
      <m:oMath>
        <m:r>
          <w:rPr>
            <w:rFonts w:ascii="Cambria Math" w:hAnsi="Cambria Math" w:cstheme="majorBidi"/>
            <w:sz w:val="20"/>
          </w:rPr>
          <m:t>r</m:t>
        </m:r>
        <m:r>
          <w:rPr>
            <w:rFonts w:ascii="Cambria Math" w:hAnsiTheme="majorBidi" w:cstheme="majorBidi"/>
            <w:sz w:val="20"/>
          </w:rPr>
          <m:t>=</m:t>
        </m:r>
        <m:d>
          <m:dPr>
            <m:ctrlPr>
              <w:rPr>
                <w:rFonts w:ascii="Cambria Math" w:hAnsiTheme="majorBidi" w:cstheme="majorBidi"/>
                <w:i/>
                <w:sz w:val="20"/>
              </w:rPr>
            </m:ctrlPr>
          </m:dPr>
          <m:e>
            <m:sSup>
              <m:sSupPr>
                <m:ctrlPr>
                  <w:rPr>
                    <w:rFonts w:ascii="Cambria Math" w:hAnsiTheme="majorBidi" w:cstheme="majorBidi"/>
                    <w:i/>
                    <w:sz w:val="20"/>
                  </w:rPr>
                </m:ctrlPr>
              </m:sSupPr>
              <m:e>
                <m:r>
                  <w:rPr>
                    <w:rFonts w:ascii="Cambria Math" w:hAnsi="Cambria Math" w:cstheme="majorBidi"/>
                    <w:sz w:val="20"/>
                  </w:rPr>
                  <m:t>EXP</m:t>
                </m:r>
              </m:e>
              <m:sup>
                <m:f>
                  <m:fPr>
                    <m:ctrlPr>
                      <w:rPr>
                        <w:rFonts w:ascii="Cambria Math" w:hAnsiTheme="majorBidi" w:cstheme="majorBidi"/>
                        <w:i/>
                        <w:sz w:val="20"/>
                      </w:rPr>
                    </m:ctrlPr>
                  </m:fPr>
                  <m:num>
                    <m:sSup>
                      <m:sSupPr>
                        <m:ctrlPr>
                          <w:rPr>
                            <w:rFonts w:ascii="Cambria Math" w:hAnsiTheme="majorBidi" w:cstheme="majorBidi"/>
                            <w:i/>
                            <w:sz w:val="20"/>
                          </w:rPr>
                        </m:ctrlPr>
                      </m:sSupPr>
                      <m:e>
                        <m:r>
                          <w:rPr>
                            <w:rFonts w:asciiTheme="majorBidi" w:hAnsiTheme="majorBidi" w:cstheme="majorBidi"/>
                            <w:sz w:val="20"/>
                          </w:rPr>
                          <m:t>-</m:t>
                        </m:r>
                        <m:r>
                          <w:rPr>
                            <w:rFonts w:ascii="Cambria Math" w:hAnsi="Cambria Math" w:cstheme="majorBidi"/>
                            <w:sz w:val="20"/>
                          </w:rPr>
                          <m:t>A</m:t>
                        </m:r>
                      </m:e>
                      <m:sup>
                        <m:r>
                          <w:rPr>
                            <w:rFonts w:asciiTheme="majorBidi" w:hAnsi="Cambria Math" w:cstheme="majorBidi"/>
                            <w:sz w:val="20"/>
                          </w:rPr>
                          <m:t>*</m:t>
                        </m:r>
                      </m:sup>
                    </m:sSup>
                  </m:num>
                  <m:den>
                    <m:r>
                      <w:rPr>
                        <w:rFonts w:ascii="Cambria Math" w:hAnsi="Cambria Math" w:cstheme="majorBidi"/>
                        <w:sz w:val="20"/>
                      </w:rPr>
                      <m:t>σRT</m:t>
                    </m:r>
                  </m:den>
                </m:f>
              </m:sup>
            </m:sSup>
          </m:e>
        </m:d>
      </m:oMath>
      <w:r w:rsidRPr="00487F71">
        <w:rPr>
          <w:rFonts w:asciiTheme="majorBidi" w:hAnsiTheme="majorBidi" w:cstheme="majorBidi"/>
          <w:sz w:val="20"/>
        </w:rPr>
        <w:t xml:space="preserve"> equation 3</w:t>
      </w:r>
    </w:p>
    <w:p w:rsidR="00487F71" w:rsidRPr="00487F71" w:rsidRDefault="00487F71" w:rsidP="00487F71">
      <w:pPr>
        <w:jc w:val="both"/>
        <w:rPr>
          <w:rFonts w:asciiTheme="majorBidi" w:hAnsiTheme="majorBidi" w:cstheme="majorBidi"/>
          <w:sz w:val="20"/>
        </w:rPr>
      </w:pPr>
      <w:r w:rsidRPr="00487F71">
        <w:rPr>
          <w:rFonts w:asciiTheme="majorBidi" w:hAnsiTheme="majorBidi" w:cstheme="majorBidi"/>
          <w:sz w:val="20"/>
        </w:rPr>
        <w:t xml:space="preserve">where </w:t>
      </w:r>
      <w:r w:rsidRPr="00487F71">
        <w:rPr>
          <w:rFonts w:asciiTheme="majorBidi" w:hAnsiTheme="majorBidi" w:cstheme="majorBidi"/>
          <w:i/>
          <w:iCs/>
          <w:sz w:val="20"/>
        </w:rPr>
        <w:t xml:space="preserve">r </w:t>
      </w:r>
      <w:r w:rsidRPr="00487F71">
        <w:rPr>
          <w:rFonts w:asciiTheme="majorBidi" w:hAnsiTheme="majorBidi" w:cstheme="majorBidi"/>
          <w:sz w:val="20"/>
        </w:rPr>
        <w:t xml:space="preserve">designate the overall and forward dissolution rate, respectively, </w:t>
      </w:r>
      <w:r w:rsidRPr="00487F71">
        <w:rPr>
          <w:rFonts w:asciiTheme="majorBidi" w:hAnsiTheme="majorBidi" w:cstheme="majorBidi"/>
          <w:i/>
          <w:iCs/>
          <w:sz w:val="20"/>
        </w:rPr>
        <w:t>A</w:t>
      </w:r>
      <w:r w:rsidRPr="00487F71">
        <w:rPr>
          <w:rFonts w:asciiTheme="majorBidi" w:hAnsiTheme="majorBidi" w:cstheme="majorBidi"/>
          <w:sz w:val="20"/>
        </w:rPr>
        <w:t xml:space="preserve">* represents the chemical affinity for the solid surface layer hydrolysis reaction, which may differ from that of the bulk solid. σ refers to Temkin’s average stochiometric number, which equal to the ratio of the rate of destruction of the activated or precursor complex relative to the overall rate, </w:t>
      </w:r>
      <w:r w:rsidRPr="00487F71">
        <w:rPr>
          <w:rFonts w:asciiTheme="majorBidi" w:hAnsiTheme="majorBidi" w:cstheme="majorBidi"/>
          <w:i/>
          <w:iCs/>
          <w:sz w:val="20"/>
        </w:rPr>
        <w:t xml:space="preserve">R </w:t>
      </w:r>
      <w:r w:rsidRPr="00487F71">
        <w:rPr>
          <w:rFonts w:asciiTheme="majorBidi" w:hAnsiTheme="majorBidi" w:cstheme="majorBidi"/>
          <w:sz w:val="20"/>
        </w:rPr>
        <w:t xml:space="preserve">stands for the gas constant, and </w:t>
      </w:r>
      <w:r w:rsidRPr="00487F71">
        <w:rPr>
          <w:rFonts w:asciiTheme="majorBidi" w:hAnsiTheme="majorBidi" w:cstheme="majorBidi"/>
          <w:i/>
          <w:iCs/>
          <w:sz w:val="20"/>
        </w:rPr>
        <w:t xml:space="preserve">T </w:t>
      </w:r>
      <w:r w:rsidRPr="00487F71">
        <w:rPr>
          <w:rFonts w:asciiTheme="majorBidi" w:hAnsiTheme="majorBidi" w:cstheme="majorBidi"/>
          <w:sz w:val="20"/>
        </w:rPr>
        <w:t>represents absolute temperature in Kelvien. Chemical activity versus Dietzal's field strength is shown in Figure 4</w:t>
      </w:r>
    </w:p>
    <w:p w:rsidR="00487F71" w:rsidRPr="00487F71" w:rsidRDefault="00487F71" w:rsidP="00487F71">
      <w:pPr>
        <w:jc w:val="center"/>
        <w:rPr>
          <w:rFonts w:asciiTheme="majorBidi" w:hAnsiTheme="majorBidi" w:cstheme="majorBidi"/>
          <w:sz w:val="20"/>
        </w:rPr>
      </w:pPr>
      <w:r w:rsidRPr="00487F71">
        <w:rPr>
          <w:rFonts w:asciiTheme="majorBidi" w:hAnsiTheme="majorBidi" w:cstheme="majorBidi"/>
          <w:noProof/>
          <w:sz w:val="20"/>
          <w:lang w:eastAsia="en-GB"/>
        </w:rPr>
        <w:drawing>
          <wp:inline distT="0" distB="0" distL="0" distR="0">
            <wp:extent cx="4067032" cy="2292823"/>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7F71" w:rsidRPr="00203CEC" w:rsidRDefault="00203CEC" w:rsidP="00203CEC">
      <w:pPr>
        <w:pStyle w:val="Caption"/>
        <w:rPr>
          <w:rFonts w:asciiTheme="majorBidi" w:hAnsiTheme="majorBidi" w:cstheme="majorBidi"/>
          <w:i/>
          <w:iCs/>
          <w:szCs w:val="18"/>
        </w:rPr>
      </w:pPr>
      <w:r w:rsidRPr="00203CEC">
        <w:rPr>
          <w:i/>
          <w:iCs/>
          <w:szCs w:val="18"/>
        </w:rPr>
        <w:t xml:space="preserve">FIG </w:t>
      </w:r>
      <w:r w:rsidR="00E412C5" w:rsidRPr="00203CEC">
        <w:rPr>
          <w:i/>
          <w:iCs/>
          <w:szCs w:val="18"/>
        </w:rPr>
        <w:t xml:space="preserve"> </w:t>
      </w:r>
      <w:r w:rsidR="00E412C5" w:rsidRPr="00203CEC">
        <w:rPr>
          <w:i/>
          <w:iCs/>
          <w:szCs w:val="18"/>
        </w:rPr>
        <w:fldChar w:fldCharType="begin"/>
      </w:r>
      <w:r w:rsidR="00E412C5" w:rsidRPr="00203CEC">
        <w:rPr>
          <w:i/>
          <w:iCs/>
          <w:szCs w:val="18"/>
        </w:rPr>
        <w:instrText xml:space="preserve"> SEQ Figure \* ARABIC </w:instrText>
      </w:r>
      <w:r w:rsidR="00E412C5" w:rsidRPr="00203CEC">
        <w:rPr>
          <w:i/>
          <w:iCs/>
          <w:szCs w:val="18"/>
        </w:rPr>
        <w:fldChar w:fldCharType="separate"/>
      </w:r>
      <w:r w:rsidR="00E412C5" w:rsidRPr="00203CEC">
        <w:rPr>
          <w:i/>
          <w:iCs/>
          <w:noProof/>
          <w:szCs w:val="18"/>
        </w:rPr>
        <w:t>4</w:t>
      </w:r>
      <w:r w:rsidR="00E412C5" w:rsidRPr="00203CEC">
        <w:rPr>
          <w:i/>
          <w:iCs/>
          <w:szCs w:val="18"/>
        </w:rPr>
        <w:fldChar w:fldCharType="end"/>
      </w:r>
      <w:r w:rsidR="00371BC6" w:rsidRPr="00203CEC">
        <w:rPr>
          <w:rFonts w:asciiTheme="majorBidi" w:hAnsiTheme="majorBidi" w:cstheme="majorBidi"/>
          <w:i/>
          <w:iCs/>
          <w:szCs w:val="18"/>
        </w:rPr>
        <w:t xml:space="preserve"> C</w:t>
      </w:r>
      <w:r w:rsidR="00487F71" w:rsidRPr="00203CEC">
        <w:rPr>
          <w:rFonts w:asciiTheme="majorBidi" w:hAnsiTheme="majorBidi" w:cstheme="majorBidi"/>
          <w:i/>
          <w:iCs/>
          <w:szCs w:val="18"/>
        </w:rPr>
        <w:t>hemical activity versus Dietzal's field strength.</w:t>
      </w:r>
    </w:p>
    <w:p w:rsidR="00487F71" w:rsidRPr="00487F71" w:rsidRDefault="00487F71" w:rsidP="00E740F0">
      <w:pPr>
        <w:ind w:firstLine="567"/>
        <w:jc w:val="both"/>
        <w:rPr>
          <w:rFonts w:asciiTheme="majorBidi" w:hAnsiTheme="majorBidi" w:cstheme="majorBidi"/>
          <w:sz w:val="20"/>
        </w:rPr>
      </w:pPr>
      <w:r w:rsidRPr="00487F71">
        <w:rPr>
          <w:rFonts w:asciiTheme="majorBidi" w:hAnsiTheme="majorBidi" w:cstheme="majorBidi"/>
          <w:sz w:val="20"/>
        </w:rPr>
        <w:t>Chemical activity was calculated via equation 3and plotted vs</w:t>
      </w:r>
      <w:r w:rsidRPr="00487F71">
        <w:rPr>
          <w:rStyle w:val="st"/>
          <w:rFonts w:asciiTheme="majorBidi" w:hAnsiTheme="majorBidi" w:cstheme="majorBidi"/>
          <w:sz w:val="20"/>
        </w:rPr>
        <w:t xml:space="preserve"> Dietzel field amplitude</w:t>
      </w:r>
      <w:r w:rsidRPr="00487F71">
        <w:rPr>
          <w:rFonts w:asciiTheme="majorBidi" w:hAnsiTheme="majorBidi" w:cstheme="majorBidi"/>
          <w:sz w:val="20"/>
        </w:rPr>
        <w:t xml:space="preserve"> of the cation within the glass composition. Results describe chemical activity as the alteration of glass dissolution on solution composition at near to equilibrium conditions. </w:t>
      </w:r>
      <w:r w:rsidRPr="00487F71">
        <w:rPr>
          <w:rStyle w:val="y2iqfc"/>
          <w:rFonts w:asciiTheme="majorBidi" w:hAnsiTheme="majorBidi" w:cstheme="majorBidi"/>
          <w:sz w:val="20"/>
        </w:rPr>
        <w:t xml:space="preserve">Many previous studies describe the anisotropy of glass dissolution depended on the formation of the solution near equilibrium conditions at the glass surfaces </w:t>
      </w:r>
      <w:r w:rsidRPr="00487F71">
        <w:rPr>
          <w:rStyle w:val="y2iqfc"/>
          <w:rFonts w:asciiTheme="majorBidi" w:eastAsiaTheme="majorEastAsia" w:hAnsiTheme="majorBidi" w:cstheme="majorBidi"/>
          <w:sz w:val="20"/>
        </w:rPr>
        <w:t xml:space="preserve">based </w:t>
      </w:r>
      <w:r w:rsidRPr="00487F71">
        <w:rPr>
          <w:rStyle w:val="y2iqfc"/>
          <w:rFonts w:asciiTheme="majorBidi" w:hAnsiTheme="majorBidi" w:cstheme="majorBidi"/>
          <w:sz w:val="20"/>
        </w:rPr>
        <w:t>on a form of equation3. As noted</w:t>
      </w:r>
      <w:r w:rsidRPr="00487F71">
        <w:rPr>
          <w:rStyle w:val="y2iqfc"/>
          <w:rFonts w:asciiTheme="majorBidi" w:eastAsiaTheme="majorEastAsia" w:hAnsiTheme="majorBidi" w:cstheme="majorBidi"/>
          <w:sz w:val="20"/>
        </w:rPr>
        <w:t xml:space="preserve"> by Trocellier et al</w:t>
      </w:r>
      <w:r w:rsidRPr="00487F71">
        <w:rPr>
          <w:rFonts w:asciiTheme="majorBidi" w:hAnsiTheme="majorBidi" w:cstheme="majorBidi"/>
          <w:sz w:val="20"/>
        </w:rPr>
        <w:t xml:space="preserve">, </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&lt;EndNote&gt;&lt;Cite&gt;&lt;Author&gt;Trocellier&lt;/Author&gt;&lt;Year&gt;2005&lt;/Year&gt;&lt;RecNum&gt;12&lt;/RecNum&gt;&lt;DisplayText&gt;[8]&lt;/DisplayText&gt;&lt;record&gt;&lt;rec-number&gt;12&lt;/rec-number&gt;&lt;foreign-keys&gt;&lt;key app="EN" db-id="svppx29d3d9vtiear5y555w952fexavtxr0e" timestamp="1631031715"&gt;12&lt;/key&gt;&lt;/foreign-keys&gt;&lt;ref-type name="Journal Article"&gt;17&lt;/ref-type&gt;&lt;contributors&gt;&lt;authors&gt;&lt;author&gt;Trocellier, P.&lt;/author&gt;&lt;author&gt;Djanarthany, S.&lt;/author&gt;&lt;author&gt;Chêne, J.&lt;/author&gt;&lt;author&gt;Haddi, A.&lt;/author&gt;&lt;author&gt;Brass, A.&lt;/author&gt;&lt;author&gt;Poissonnet, S.&lt;/author&gt;&lt;author&gt;Farges, F.&lt;/author&gt;&lt;/authors&gt;&lt;/contributors&gt;&lt;titles&gt;&lt;title&gt;Chemical durability of alkali-borosilicate glasses studied by analytical SEM, IBA, isotopic-tracing and SIMS&lt;/title&gt;&lt;secondary-title&gt;Nuclear Instruments &amp;amp; Methods in Physics Research Section B-beam Interactions With Materials and Atoms&lt;/secondary-title&gt;&lt;/titles&gt;&lt;periodical&gt;&lt;full-title&gt;Nuclear Instruments &amp;amp; Methods in Physics Research Section B-beam Interactions With Materials and Atoms&lt;/full-title&gt;&lt;/periodical&gt;&lt;pages&gt;337-344&lt;/pages&gt;&lt;volume&gt;240&lt;/volume&gt;&lt;dates&gt;&lt;year&gt;2005&lt;/year&gt;&lt;/dates&gt;&lt;urls&gt;&lt;/urls&gt;&lt;/record&gt;&lt;/Cite&gt;&lt;/EndNote&gt;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[8]</w:t>
      </w:r>
      <w:r w:rsidRPr="00487F71">
        <w:rPr>
          <w:rFonts w:asciiTheme="majorBidi" w:hAnsiTheme="majorBidi" w:cstheme="majorBidi"/>
          <w:sz w:val="20"/>
        </w:rPr>
        <w:fldChar w:fldCharType="end"/>
      </w:r>
      <w:r w:rsidRPr="00487F71">
        <w:rPr>
          <w:rFonts w:asciiTheme="majorBidi" w:hAnsiTheme="majorBidi" w:cstheme="majorBidi"/>
          <w:sz w:val="20"/>
        </w:rPr>
        <w:t xml:space="preserve"> </w:t>
      </w:r>
      <w:r w:rsidRPr="00487F71">
        <w:rPr>
          <w:rStyle w:val="y2iqfc"/>
          <w:rFonts w:asciiTheme="majorBidi" w:hAnsiTheme="majorBidi" w:cstheme="majorBidi"/>
          <w:sz w:val="20"/>
        </w:rPr>
        <w:t xml:space="preserve">that during the dissolution of the glass close to the surface layer of the solid consists of a layer rich in amorphous silicon. They indicated that the chemical affinity of the released ions can be assumed to be equal to the chemical affinity of amorphous silica.  </w:t>
      </w:r>
      <w:r w:rsidRPr="00487F71">
        <w:rPr>
          <w:rFonts w:asciiTheme="majorBidi" w:hAnsiTheme="majorBidi" w:cstheme="majorBidi"/>
          <w:sz w:val="20"/>
        </w:rPr>
        <w:t>In contrast, Rose and Mukunoki,</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&lt;EndNote&gt;&lt;Cite&gt;&lt;Author&gt;Rose&lt;/Author&gt;&lt;Year&gt;2011&lt;/Year&gt;&lt;RecNum&gt;8&lt;/RecNum&gt;&lt;DisplayText&gt;[13]&lt;/DisplayText&gt;&lt;record&gt;&lt;rec-number&gt;8&lt;/rec-number&gt;&lt;foreign-keys&gt;&lt;key app="EN" db-id="svppx29d3d9vtiear5y555w952fexavtxr0e" timestamp="1631031333"&gt;8&lt;/key&gt;&lt;/foreign-keys&gt;&lt;ref-type name="Journal Article"&gt;17&lt;/ref-type&gt;&lt;contributors&gt;&lt;authors&gt;&lt;author&gt;Rose, Peter B.&lt;/author&gt;&lt;author&gt;Woodward, David I.&lt;/author&gt;&lt;author&gt;Ojovan, Michael I.&lt;/author&gt;&lt;author&gt;Hyatt, Neil C.&lt;/author&gt;&lt;author&gt;Lee, William E.&lt;/author&gt;&lt;/authors&gt;&lt;/contributors&gt;&lt;titles&gt;&lt;title&gt;Crystallisation of a simulated borosilicate high-level waste glass produced on a full-scale vitrification line&lt;/title&gt;&lt;secondary-title&gt;Journal of Non-Crystalline Solids&lt;/secondary-title&gt;&lt;/titles&gt;&lt;periodical&gt;&lt;full-title&gt;Journal of Non-Crystalline Solids&lt;/full-title&gt;&lt;/periodical&gt;&lt;pages&gt;2989-3001&lt;/pages&gt;&lt;volume&gt;357&lt;/volume&gt;&lt;number&gt;15&lt;/number&gt;&lt;keywords&gt;&lt;keyword&gt;Crystallisation&lt;/keyword&gt;&lt;keyword&gt;Borosilicates&lt;/keyword&gt;&lt;keyword&gt;High-level waste&lt;/keyword&gt;&lt;/keywords&gt;&lt;dates&gt;&lt;year&gt;2011&lt;/year&gt;&lt;pub-dates&gt;&lt;date&gt;2011/07/15/&lt;/date&gt;&lt;/pub-dates&gt;&lt;/dates&gt;&lt;isbn&gt;0022-3093&lt;/isbn&gt;&lt;urls&gt;&lt;related-urls&gt;&lt;url&gt;https://www.sciencedirect.com/science/article/pii/S0022309311002791&lt;/url&gt;&lt;/related-urls&gt;&lt;/urls&gt;&lt;electronic-resource-num&gt;https://doi.org/10.1016/j.jnoncrysol.2011.04.003&lt;/electronic-resource-num&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[13]</w:t>
      </w:r>
      <w:r w:rsidRPr="00487F71">
        <w:rPr>
          <w:rFonts w:asciiTheme="majorBidi" w:hAnsiTheme="majorBidi" w:cstheme="majorBidi"/>
          <w:sz w:val="20"/>
        </w:rPr>
        <w:fldChar w:fldCharType="end"/>
      </w:r>
      <w:r w:rsidRPr="00487F71">
        <w:rPr>
          <w:rFonts w:asciiTheme="majorBidi" w:hAnsiTheme="majorBidi" w:cstheme="majorBidi"/>
          <w:sz w:val="20"/>
        </w:rPr>
        <w:t xml:space="preserve"> </w:t>
      </w:r>
      <w:r w:rsidRPr="00487F71">
        <w:rPr>
          <w:rFonts w:asciiTheme="majorBidi" w:hAnsiTheme="majorBidi" w:cstheme="majorBidi"/>
          <w:sz w:val="20"/>
        </w:rPr>
        <w:fldChar w:fldCharType="begin"/>
      </w:r>
      <w:r w:rsidRPr="00487F71">
        <w:rPr>
          <w:rFonts w:asciiTheme="majorBidi" w:hAnsiTheme="majorBidi" w:cstheme="majorBidi"/>
          <w:sz w:val="20"/>
        </w:rPr>
        <w:instrText xml:space="preserve"> ADDIN EN.CITE &lt;EndNote&gt;&lt;Cite&gt;&lt;Author&gt;Mukunoki&lt;/Author&gt;&lt;Year&gt;2018&lt;/Year&gt;&lt;RecNum&gt;15&lt;/RecNum&gt;&lt;DisplayText&gt;[5]&lt;/DisplayText&gt;&lt;record&gt;&lt;rec-number&gt;15&lt;/rec-number&gt;&lt;foreign-keys&gt;&lt;key app="EN" db-id="svppx29d3d9vtiear5y555w952fexavtxr0e" timestamp="1631031882"&gt;15&lt;/key&gt;&lt;/foreign-keys&gt;&lt;ref-type name="Journal Article"&gt;17&lt;/ref-type&gt;&lt;contributors&gt;&lt;authors&gt;&lt;author&gt;Mukunoki, Atsushi&lt;/author&gt;&lt;author&gt;Kikuchi, Takahiro&lt;/author&gt;&lt;author&gt;Chiba, Tamotsu&lt;/author&gt;&lt;author&gt;Sakuragi, Tomofumi&lt;/author&gt;&lt;author&gt;Kogure, Toshihiro&lt;/author&gt;&lt;author&gt;Sato, Tsutomu&lt;/author&gt;&lt;/authors&gt;&lt;/contributors&gt;&lt;titles&gt;&lt;title&gt;Dissolution Behavior of Lead Borate Glass under Simulated Geological Disposal Conditions&lt;/title&gt;&lt;secondary-title&gt;MRS Advances&lt;/secondary-title&gt;&lt;/titles&gt;&lt;periodical&gt;&lt;full-title&gt;MRS Advances&lt;/full-title&gt;&lt;/periodical&gt;&lt;pages&gt;1139-1145&lt;/pages&gt;&lt;volume&gt;3&lt;/volume&gt;&lt;number&gt;21&lt;/number&gt;&lt;edition&gt;2018/03/13&lt;/edition&gt;&lt;keywords&gt;&lt;keyword&gt;glass&lt;/keyword&gt;&lt;keyword&gt;I&lt;/keyword&gt;&lt;keyword&gt;geologic&lt;/keyword&gt;&lt;keyword&gt;x-ray diffraction (XRD)&lt;/keyword&gt;&lt;/keywords&gt;&lt;dates&gt;&lt;year&gt;2018&lt;/year&gt;&lt;/dates&gt;&lt;publisher&gt;Materials Research Society&lt;/publisher&gt;&lt;urls&gt;&lt;related-urls&gt;&lt;url&gt;https://www.cambridge.org/core/article/dissolution-behavior-of-lead-borate-glass-under-simulated-geological-disposal-conditions/D08B76E4634C3D0636FC744921106C15&lt;/url&gt;&lt;/related-urls&gt;&lt;/urls&gt;&lt;electronic-resource-num&gt;10.1557/adv.2018.284&lt;/electronic-resource-num&gt;&lt;remote-database-name&gt;Cambridge Core&lt;/remote-database-name&gt;&lt;remote-database-provider&gt;Cambridge University Press&lt;/remote-database-provider&gt;&lt;/record&gt;&lt;/Cite&gt;&lt;/EndNote&gt;</w:instrText>
      </w:r>
      <w:r w:rsidRPr="00487F71">
        <w:rPr>
          <w:rFonts w:asciiTheme="majorBidi" w:hAnsiTheme="majorBidi" w:cstheme="majorBidi"/>
          <w:sz w:val="20"/>
        </w:rPr>
        <w:fldChar w:fldCharType="separate"/>
      </w:r>
      <w:r w:rsidRPr="00487F71">
        <w:rPr>
          <w:rFonts w:asciiTheme="majorBidi" w:hAnsiTheme="majorBidi" w:cstheme="majorBidi"/>
          <w:noProof/>
          <w:sz w:val="20"/>
        </w:rPr>
        <w:t>[5]</w:t>
      </w:r>
      <w:r w:rsidRPr="00487F71">
        <w:rPr>
          <w:rFonts w:asciiTheme="majorBidi" w:hAnsiTheme="majorBidi" w:cstheme="majorBidi"/>
          <w:sz w:val="20"/>
        </w:rPr>
        <w:fldChar w:fldCharType="end"/>
      </w:r>
      <w:r w:rsidRPr="00487F71">
        <w:rPr>
          <w:rFonts w:asciiTheme="majorBidi" w:hAnsiTheme="majorBidi" w:cstheme="majorBidi"/>
          <w:sz w:val="20"/>
        </w:rPr>
        <w:t xml:space="preserve"> </w:t>
      </w:r>
      <w:r w:rsidRPr="00487F71">
        <w:rPr>
          <w:rStyle w:val="y2iqfc"/>
          <w:rFonts w:asciiTheme="majorBidi" w:hAnsiTheme="majorBidi" w:cstheme="majorBidi"/>
          <w:sz w:val="20"/>
        </w:rPr>
        <w:t>suggested that the chemical affinity for amorphous silica can be assumed to be equal to the chemical affinity for amorphous gel containing</w:t>
      </w:r>
      <w:r w:rsidRPr="00487F71">
        <w:rPr>
          <w:rFonts w:asciiTheme="majorBidi" w:hAnsiTheme="majorBidi" w:cstheme="majorBidi"/>
          <w:sz w:val="20"/>
        </w:rPr>
        <w:t xml:space="preserve"> SiO</w:t>
      </w:r>
      <w:r w:rsidRPr="00487F71">
        <w:rPr>
          <w:rFonts w:asciiTheme="majorBidi" w:hAnsiTheme="majorBidi" w:cstheme="majorBidi"/>
          <w:sz w:val="20"/>
          <w:vertAlign w:val="superscript"/>
        </w:rPr>
        <w:t>2-</w:t>
      </w:r>
      <w:r w:rsidRPr="00487F71">
        <w:rPr>
          <w:rFonts w:asciiTheme="majorBidi" w:hAnsiTheme="majorBidi" w:cstheme="majorBidi"/>
          <w:sz w:val="20"/>
        </w:rPr>
        <w:t>, Al(OH)</w:t>
      </w:r>
      <w:r w:rsidRPr="00487F71">
        <w:rPr>
          <w:rFonts w:asciiTheme="majorBidi" w:hAnsiTheme="majorBidi" w:cstheme="majorBidi"/>
          <w:sz w:val="20"/>
          <w:vertAlign w:val="superscript"/>
        </w:rPr>
        <w:t>3-</w:t>
      </w:r>
      <w:r w:rsidRPr="00487F71">
        <w:rPr>
          <w:rFonts w:asciiTheme="majorBidi" w:hAnsiTheme="majorBidi" w:cstheme="majorBidi"/>
          <w:sz w:val="20"/>
        </w:rPr>
        <w:t>, Fe(OH)</w:t>
      </w:r>
      <w:r w:rsidRPr="00487F71">
        <w:rPr>
          <w:rFonts w:asciiTheme="majorBidi" w:hAnsiTheme="majorBidi" w:cstheme="majorBidi"/>
          <w:sz w:val="20"/>
          <w:vertAlign w:val="superscript"/>
        </w:rPr>
        <w:t>3</w:t>
      </w:r>
      <w:r w:rsidRPr="00487F71">
        <w:rPr>
          <w:rFonts w:asciiTheme="majorBidi" w:hAnsiTheme="majorBidi" w:cstheme="majorBidi"/>
          <w:sz w:val="20"/>
        </w:rPr>
        <w:t>, Ca(OH)</w:t>
      </w:r>
      <w:r w:rsidRPr="00487F71">
        <w:rPr>
          <w:rFonts w:asciiTheme="majorBidi" w:hAnsiTheme="majorBidi" w:cstheme="majorBidi"/>
          <w:sz w:val="20"/>
          <w:vertAlign w:val="superscript"/>
        </w:rPr>
        <w:t>2</w:t>
      </w:r>
      <w:r w:rsidRPr="00487F71">
        <w:rPr>
          <w:rFonts w:asciiTheme="majorBidi" w:hAnsiTheme="majorBidi" w:cstheme="majorBidi"/>
          <w:sz w:val="20"/>
        </w:rPr>
        <w:t xml:space="preserve"> and Mg(OH)</w:t>
      </w:r>
      <w:r w:rsidRPr="00487F71">
        <w:rPr>
          <w:rFonts w:asciiTheme="majorBidi" w:hAnsiTheme="majorBidi" w:cstheme="majorBidi"/>
          <w:sz w:val="20"/>
          <w:vertAlign w:val="superscript"/>
        </w:rPr>
        <w:t>2</w:t>
      </w:r>
      <w:r w:rsidRPr="00487F71">
        <w:rPr>
          <w:rFonts w:asciiTheme="majorBidi" w:hAnsiTheme="majorBidi" w:cstheme="majorBidi"/>
          <w:sz w:val="20"/>
        </w:rPr>
        <w:t>. Each of these studies accurately described various glass dissolution data sets as a function of solution composition at near to equilibrium conditions.</w:t>
      </w:r>
      <w:r w:rsidRPr="00487F71">
        <w:rPr>
          <w:rStyle w:val="y2iqfc"/>
          <w:rFonts w:asciiTheme="majorBidi" w:eastAsiaTheme="majorEastAsia" w:hAnsiTheme="majorBidi" w:cstheme="majorBidi"/>
          <w:sz w:val="20"/>
        </w:rPr>
        <w:t xml:space="preserve"> </w:t>
      </w:r>
      <w:r w:rsidRPr="00487F71">
        <w:rPr>
          <w:rStyle w:val="y2iqfc"/>
          <w:rFonts w:asciiTheme="majorBidi" w:hAnsiTheme="majorBidi" w:cstheme="majorBidi"/>
          <w:sz w:val="20"/>
        </w:rPr>
        <w:t>This study concluded that the release of ions can be predicted and controlled based on their composition. This study describes glass dissolution datasets and ion release accurately as a function of solution composition under conditions close to equilibrium.</w:t>
      </w:r>
    </w:p>
    <w:p w:rsidR="00487F71" w:rsidRPr="00487F71" w:rsidRDefault="00487F71" w:rsidP="00487F71">
      <w:pPr>
        <w:pStyle w:val="Heading2"/>
      </w:pPr>
      <w:r w:rsidRPr="00487F71">
        <w:t>Conclusions</w:t>
      </w:r>
    </w:p>
    <w:p w:rsidR="00487F71" w:rsidRPr="00487F71" w:rsidRDefault="00C2751C" w:rsidP="00487F71">
      <w:pPr>
        <w:pStyle w:val="HTMLPreformatted"/>
        <w:jc w:val="both"/>
        <w:rPr>
          <w:rFonts w:asciiTheme="majorBidi" w:hAnsiTheme="majorBidi" w:cstheme="majorBidi"/>
        </w:rPr>
      </w:pPr>
      <w:r>
        <w:rPr>
          <w:rStyle w:val="y2iqfc"/>
          <w:rFonts w:asciiTheme="majorBidi" w:eastAsiaTheme="majorEastAsia" w:hAnsiTheme="majorBidi" w:cstheme="majorBidi"/>
        </w:rPr>
        <w:tab/>
      </w:r>
      <w:r w:rsidR="00487F71" w:rsidRPr="00487F71">
        <w:rPr>
          <w:rStyle w:val="y2iqfc"/>
          <w:rFonts w:asciiTheme="majorBidi" w:eastAsiaTheme="majorEastAsia" w:hAnsiTheme="majorBidi" w:cstheme="majorBidi"/>
        </w:rPr>
        <w:t xml:space="preserve">The current study focuses on the dissolution rates of borosilicate glass in conditions far from equilibrium. The dissolution rates allow studying the chemical affinity of the melt phase and can determine the effect on the rates of the active formation reaction or precursors independently of those resulting from the reverse reaction. </w:t>
      </w:r>
      <w:r w:rsidR="00487F71" w:rsidRPr="00487F71">
        <w:rPr>
          <w:rFonts w:asciiTheme="majorBidi" w:hAnsiTheme="majorBidi" w:cstheme="majorBidi"/>
        </w:rPr>
        <w:t xml:space="preserve">This study concluded that the quantity and type of ions releasing are case-sensitive to the glass composition as well as the chemical durability. Therefore, it could be concluded that ion release profiles could be predictable and controllable from waste glasses based on their composition. </w:t>
      </w:r>
      <w:r w:rsidR="00487F71" w:rsidRPr="00487F71">
        <w:rPr>
          <w:rStyle w:val="y2iqfc"/>
          <w:rFonts w:asciiTheme="majorBidi" w:eastAsiaTheme="majorEastAsia" w:hAnsiTheme="majorBidi" w:cstheme="majorBidi"/>
        </w:rPr>
        <w:t>The ion release features are attributed to the Ditzel field strength. It also note that low trends</w:t>
      </w:r>
      <w:r w:rsidR="00487F71" w:rsidRPr="00487F71">
        <w:rPr>
          <w:rFonts w:asciiTheme="majorBidi" w:hAnsiTheme="majorBidi" w:cstheme="majorBidi"/>
        </w:rPr>
        <w:t xml:space="preserve"> o</w:t>
      </w:r>
      <w:r w:rsidR="00487F71" w:rsidRPr="00487F71">
        <w:rPr>
          <w:rStyle w:val="y2iqfc"/>
          <w:rFonts w:asciiTheme="majorBidi" w:eastAsiaTheme="majorEastAsia" w:hAnsiTheme="majorBidi" w:cstheme="majorBidi"/>
        </w:rPr>
        <w:t>f Na</w:t>
      </w:r>
      <w:r w:rsidR="00487F71" w:rsidRPr="00487F71">
        <w:rPr>
          <w:rStyle w:val="y2iqfc"/>
          <w:rFonts w:asciiTheme="majorBidi" w:eastAsiaTheme="majorEastAsia" w:hAnsiTheme="majorBidi" w:cstheme="majorBidi"/>
          <w:vertAlign w:val="superscript"/>
        </w:rPr>
        <w:t>+</w:t>
      </w:r>
      <w:r w:rsidR="00487F71" w:rsidRPr="00487F71">
        <w:rPr>
          <w:rStyle w:val="y2iqfc"/>
          <w:rFonts w:asciiTheme="majorBidi" w:eastAsiaTheme="majorEastAsia" w:hAnsiTheme="majorBidi" w:cstheme="majorBidi"/>
        </w:rPr>
        <w:t xml:space="preserve"> compared to Ca</w:t>
      </w:r>
      <w:r w:rsidR="00487F71" w:rsidRPr="00487F71">
        <w:rPr>
          <w:rStyle w:val="y2iqfc"/>
          <w:rFonts w:asciiTheme="majorBidi" w:eastAsiaTheme="majorEastAsia" w:hAnsiTheme="majorBidi" w:cstheme="majorBidi"/>
          <w:vertAlign w:val="superscript"/>
        </w:rPr>
        <w:t>2+</w:t>
      </w:r>
      <w:r w:rsidR="00487F71" w:rsidRPr="00487F71">
        <w:rPr>
          <w:rStyle w:val="y2iqfc"/>
          <w:rFonts w:asciiTheme="majorBidi" w:eastAsiaTheme="majorEastAsia" w:hAnsiTheme="majorBidi" w:cstheme="majorBidi"/>
        </w:rPr>
        <w:t xml:space="preserve"> in CaZn+Magnox and </w:t>
      </w:r>
      <w:r w:rsidR="00487F71" w:rsidRPr="00487F71">
        <w:rPr>
          <w:rFonts w:asciiTheme="majorBidi" w:hAnsiTheme="majorBidi" w:cstheme="majorBidi"/>
        </w:rPr>
        <w:t>blend</w:t>
      </w:r>
      <w:r w:rsidR="00487F71" w:rsidRPr="00487F71">
        <w:rPr>
          <w:rStyle w:val="y2iqfc"/>
          <w:rFonts w:asciiTheme="majorBidi" w:eastAsiaTheme="majorEastAsia" w:hAnsiTheme="majorBidi" w:cstheme="majorBidi"/>
        </w:rPr>
        <w:t xml:space="preserve"> glasses. This leads to weak glassy structure and collapse of the longer glass chain, which is attributed to the lower Dietzal field strength of Na compared to Mg</w:t>
      </w:r>
      <w:r w:rsidR="00487F71" w:rsidRPr="00487F71">
        <w:rPr>
          <w:rStyle w:val="y2iqfc"/>
          <w:rFonts w:asciiTheme="majorBidi" w:eastAsiaTheme="majorEastAsia" w:hAnsiTheme="majorBidi" w:cstheme="majorBidi"/>
          <w:vertAlign w:val="superscript"/>
        </w:rPr>
        <w:t>2+</w:t>
      </w:r>
      <w:r w:rsidR="00487F71" w:rsidRPr="00487F71">
        <w:rPr>
          <w:rStyle w:val="y2iqfc"/>
          <w:rFonts w:asciiTheme="majorBidi" w:eastAsiaTheme="majorEastAsia" w:hAnsiTheme="majorBidi" w:cstheme="majorBidi"/>
        </w:rPr>
        <w:t xml:space="preserve"> and Ca</w:t>
      </w:r>
      <w:r w:rsidR="00487F71" w:rsidRPr="00487F71">
        <w:rPr>
          <w:rStyle w:val="y2iqfc"/>
          <w:rFonts w:asciiTheme="majorBidi" w:eastAsiaTheme="majorEastAsia" w:hAnsiTheme="majorBidi" w:cstheme="majorBidi"/>
          <w:vertAlign w:val="superscript"/>
        </w:rPr>
        <w:t>2+</w:t>
      </w:r>
      <w:r w:rsidR="00487F71" w:rsidRPr="00487F71">
        <w:rPr>
          <w:rStyle w:val="y2iqfc"/>
          <w:rFonts w:asciiTheme="majorBidi" w:eastAsiaTheme="majorEastAsia" w:hAnsiTheme="majorBidi" w:cstheme="majorBidi"/>
        </w:rPr>
        <w:t xml:space="preserve"> and the collapse of the glass chain. </w:t>
      </w:r>
      <w:r w:rsidR="00487F71" w:rsidRPr="00487F71">
        <w:rPr>
          <w:rStyle w:val="st"/>
          <w:rFonts w:asciiTheme="majorBidi" w:hAnsiTheme="majorBidi" w:cstheme="majorBidi"/>
        </w:rPr>
        <w:t> Thus, two values for the single bond strength were computed corresponding to</w:t>
      </w:r>
      <w:r w:rsidR="00487F71" w:rsidRPr="00487F71">
        <w:rPr>
          <w:rStyle w:val="Emphasis"/>
          <w:rFonts w:asciiTheme="majorBidi" w:hAnsiTheme="majorBidi" w:cstheme="majorBidi"/>
        </w:rPr>
        <w:t xml:space="preserve"> Dietzal's field strength</w:t>
      </w:r>
      <w:r w:rsidR="00487F71" w:rsidRPr="00487F71">
        <w:rPr>
          <w:rStyle w:val="st"/>
          <w:rFonts w:asciiTheme="majorBidi" w:hAnsiTheme="majorBidi" w:cstheme="majorBidi"/>
        </w:rPr>
        <w:t xml:space="preserve"> criterion. </w:t>
      </w:r>
      <w:r w:rsidR="00487F71" w:rsidRPr="00487F71">
        <w:rPr>
          <w:rStyle w:val="y2iqfc"/>
          <w:rFonts w:asciiTheme="majorBidi" w:eastAsiaTheme="majorEastAsia" w:hAnsiTheme="majorBidi" w:cstheme="majorBidi"/>
        </w:rPr>
        <w:t xml:space="preserve">It is clear that Dietzel's approach confirms that both the small size of the cation and its high charge lead to the formation of strong-structured glass oxides. Some of these cations, such as Si, in the presence of oxygen, can easily form polyhedrons and triangles with oxygen. Also, forming this lattice or this polyhedral arrangement leads to a strong glass structure. The chemical affinity of the leading melt phase corresponds to controlled glass </w:t>
      </w:r>
      <w:r w:rsidR="00487F71" w:rsidRPr="00487F71">
        <w:rPr>
          <w:rStyle w:val="y2iqfc"/>
          <w:rFonts w:asciiTheme="majorBidi" w:eastAsiaTheme="majorEastAsia" w:hAnsiTheme="majorBidi" w:cstheme="majorBidi"/>
        </w:rPr>
        <w:lastRenderedPageBreak/>
        <w:t>dissolution rates</w:t>
      </w:r>
      <w:r w:rsidR="00487F71" w:rsidRPr="00487F71">
        <w:rPr>
          <w:rStyle w:val="y2iqfc"/>
          <w:rFonts w:asciiTheme="majorBidi" w:hAnsiTheme="majorBidi" w:cstheme="majorBidi"/>
        </w:rPr>
        <w:t xml:space="preserve"> and it appears</w:t>
      </w:r>
      <w:r w:rsidR="00487F71" w:rsidRPr="00487F71">
        <w:rPr>
          <w:rStyle w:val="y2iqfc"/>
          <w:rFonts w:asciiTheme="majorBidi" w:eastAsiaTheme="majorEastAsia" w:hAnsiTheme="majorBidi" w:cstheme="majorBidi"/>
        </w:rPr>
        <w:t xml:space="preserve"> far from stable equilibrium</w:t>
      </w:r>
      <w:r w:rsidR="00487F71" w:rsidRPr="00487F71">
        <w:rPr>
          <w:rStyle w:val="y2iqfc"/>
          <w:rFonts w:asciiTheme="majorBidi" w:hAnsiTheme="majorBidi" w:cstheme="majorBidi"/>
        </w:rPr>
        <w:t xml:space="preserve"> at surface</w:t>
      </w:r>
      <w:r w:rsidR="00487F71" w:rsidRPr="00487F71">
        <w:rPr>
          <w:rStyle w:val="y2iqfc"/>
          <w:rFonts w:asciiTheme="majorBidi" w:eastAsiaTheme="majorEastAsia" w:hAnsiTheme="majorBidi" w:cstheme="majorBidi"/>
        </w:rPr>
        <w:t xml:space="preserve">. These results confirm the ability of borosilicate glass </w:t>
      </w:r>
      <w:r w:rsidR="00487F71" w:rsidRPr="00487F71">
        <w:rPr>
          <w:rStyle w:val="y2iqfc"/>
          <w:rFonts w:asciiTheme="majorBidi" w:hAnsiTheme="majorBidi" w:cstheme="majorBidi"/>
        </w:rPr>
        <w:t xml:space="preserve">to </w:t>
      </w:r>
      <w:r w:rsidR="00487F71" w:rsidRPr="00487F71">
        <w:rPr>
          <w:rStyle w:val="y2iqfc"/>
          <w:rFonts w:asciiTheme="majorBidi" w:eastAsiaTheme="majorEastAsia" w:hAnsiTheme="majorBidi" w:cstheme="majorBidi"/>
        </w:rPr>
        <w:t xml:space="preserve">contain </w:t>
      </w:r>
      <w:r w:rsidR="00487F71" w:rsidRPr="00487F71">
        <w:rPr>
          <w:rStyle w:val="y2iqfc"/>
          <w:rFonts w:asciiTheme="majorBidi" w:hAnsiTheme="majorBidi" w:cstheme="majorBidi"/>
        </w:rPr>
        <w:t xml:space="preserve">different waste in its </w:t>
      </w:r>
      <w:r w:rsidR="00487F71" w:rsidRPr="00487F71">
        <w:rPr>
          <w:rStyle w:val="y2iqfc"/>
          <w:rFonts w:asciiTheme="majorBidi" w:eastAsiaTheme="majorEastAsia" w:hAnsiTheme="majorBidi" w:cstheme="majorBidi"/>
        </w:rPr>
        <w:t>cores in harsh conditions</w:t>
      </w:r>
      <w:r w:rsidR="00487F71" w:rsidRPr="00487F71">
        <w:rPr>
          <w:rStyle w:val="y2iqfc"/>
          <w:rFonts w:asciiTheme="majorBidi" w:hAnsiTheme="majorBidi" w:cstheme="majorBidi"/>
        </w:rPr>
        <w:t>.</w:t>
      </w:r>
    </w:p>
    <w:p w:rsidR="00487F71" w:rsidRPr="00487F71" w:rsidRDefault="00487F71" w:rsidP="00487F71">
      <w:pPr>
        <w:pStyle w:val="Heading2"/>
      </w:pPr>
      <w:r w:rsidRPr="00487F71">
        <w:t>References</w:t>
      </w:r>
    </w:p>
    <w:p w:rsidR="00487F71" w:rsidRPr="00487F71" w:rsidRDefault="00487F71" w:rsidP="00487F71">
      <w:pPr>
        <w:rPr>
          <w:rFonts w:asciiTheme="majorBidi" w:hAnsiTheme="majorBidi" w:cstheme="majorBidi"/>
          <w:sz w:val="20"/>
        </w:rPr>
      </w:pP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fldChar w:fldCharType="begin"/>
      </w:r>
      <w:r w:rsidRPr="00E412C5">
        <w:rPr>
          <w:rFonts w:asciiTheme="majorBidi" w:hAnsiTheme="majorBidi" w:cstheme="majorBidi"/>
          <w:sz w:val="18"/>
          <w:szCs w:val="18"/>
        </w:rPr>
        <w:instrText xml:space="preserve"> ADDIN EN.REFLIST </w:instrText>
      </w:r>
      <w:r w:rsidRPr="00E412C5">
        <w:rPr>
          <w:rFonts w:asciiTheme="majorBidi" w:hAnsiTheme="majorBidi" w:cstheme="majorBidi"/>
          <w:sz w:val="18"/>
          <w:szCs w:val="18"/>
        </w:rPr>
        <w:fldChar w:fldCharType="separate"/>
      </w:r>
      <w:r w:rsidRPr="00E412C5">
        <w:rPr>
          <w:rFonts w:asciiTheme="majorBidi" w:hAnsiTheme="majorBidi" w:cstheme="majorBidi"/>
          <w:sz w:val="18"/>
          <w:szCs w:val="18"/>
        </w:rPr>
        <w:t xml:space="preserve">Abou Hussein, E. M. (2019). "Vitrified Municipal Waste for the Immobilization of Radioactive Waste: Preparation and Characterization of Borosilicate Glasses Modified with Metal Oxides." </w:t>
      </w:r>
      <w:r w:rsidRPr="00E412C5">
        <w:rPr>
          <w:rFonts w:asciiTheme="majorBidi" w:hAnsiTheme="majorBidi" w:cstheme="majorBidi"/>
          <w:sz w:val="18"/>
          <w:szCs w:val="18"/>
          <w:u w:val="single"/>
        </w:rPr>
        <w:t>Silicon</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11</w:t>
      </w:r>
      <w:r w:rsidRPr="00E412C5">
        <w:rPr>
          <w:rFonts w:asciiTheme="majorBidi" w:hAnsiTheme="majorBidi" w:cstheme="majorBidi"/>
          <w:sz w:val="18"/>
          <w:szCs w:val="18"/>
        </w:rPr>
        <w:t>(6): 2675-2688.</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Calahoo, C. and L. Wondraczek (2020). "Ionic glasses: Structure, properties and classification." </w:t>
      </w:r>
      <w:r w:rsidRPr="00E412C5">
        <w:rPr>
          <w:rFonts w:asciiTheme="majorBidi" w:hAnsiTheme="majorBidi" w:cstheme="majorBidi"/>
          <w:sz w:val="18"/>
          <w:szCs w:val="18"/>
          <w:u w:val="single"/>
        </w:rPr>
        <w:t>Journal of Non-Crystalline Solids: X</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8</w:t>
      </w:r>
      <w:r w:rsidRPr="00E412C5">
        <w:rPr>
          <w:rFonts w:asciiTheme="majorBidi" w:hAnsiTheme="majorBidi" w:cstheme="majorBidi"/>
          <w:sz w:val="18"/>
          <w:szCs w:val="18"/>
        </w:rPr>
        <w:t>: 100054.</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Cassingham, N. J., M. C. Stennett, Bingham, Paul A., N. C. Hyatt and G. Aquilanti (2011). "The Structural Role of Zn in Nuclear Waste Glasses." </w:t>
      </w:r>
      <w:r w:rsidRPr="00E412C5">
        <w:rPr>
          <w:rFonts w:asciiTheme="majorBidi" w:hAnsiTheme="majorBidi" w:cstheme="majorBidi"/>
          <w:sz w:val="18"/>
          <w:szCs w:val="18"/>
          <w:u w:val="single"/>
        </w:rPr>
        <w:t>International Journal of Applied Glass Science</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2</w:t>
      </w:r>
      <w:r w:rsidRPr="00E412C5">
        <w:rPr>
          <w:rFonts w:asciiTheme="majorBidi" w:hAnsiTheme="majorBidi" w:cstheme="majorBidi"/>
          <w:sz w:val="18"/>
          <w:szCs w:val="18"/>
        </w:rPr>
        <w:t>(4): 343-353.</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Farid, O. M. and R. O. Abdel Rahman (2017). "Preliminary assessment of modified borosilicate glasses for chromium and ruthenium immobilization." </w:t>
      </w:r>
      <w:r w:rsidRPr="00E412C5">
        <w:rPr>
          <w:rFonts w:asciiTheme="majorBidi" w:hAnsiTheme="majorBidi" w:cstheme="majorBidi"/>
          <w:sz w:val="18"/>
          <w:szCs w:val="18"/>
          <w:u w:val="single"/>
        </w:rPr>
        <w:t>Materials Chemistry and Physics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186</w:t>
      </w:r>
      <w:r w:rsidRPr="00E412C5">
        <w:rPr>
          <w:rFonts w:asciiTheme="majorBidi" w:hAnsiTheme="majorBidi" w:cstheme="majorBidi"/>
          <w:sz w:val="18"/>
          <w:szCs w:val="18"/>
        </w:rPr>
        <w:t>: 462-469.</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Farid, O. M., M. I. Ojovan, A. Massoud and R. O. Abdel Rahman (2019). "An Assessment of Initial Leaching Characteristics of Alkali-Borosilicate Glasses for Nuclear Waste Immobilization." </w:t>
      </w:r>
      <w:r w:rsidRPr="00E412C5">
        <w:rPr>
          <w:rFonts w:asciiTheme="majorBidi" w:hAnsiTheme="majorBidi" w:cstheme="majorBidi"/>
          <w:sz w:val="18"/>
          <w:szCs w:val="18"/>
          <w:u w:val="single"/>
        </w:rPr>
        <w:t>Materials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12</w:t>
      </w:r>
      <w:r w:rsidRPr="00E412C5">
        <w:rPr>
          <w:rFonts w:asciiTheme="majorBidi" w:hAnsiTheme="majorBidi" w:cstheme="majorBidi"/>
          <w:sz w:val="18"/>
          <w:szCs w:val="18"/>
        </w:rPr>
        <w:t>(9): 1462.</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Farid, O. M., M. I. Ojovan and R. O. A. Rahman (2020). "Evolution of cations speciation during the initial leaching stage of alkali-borosilicate-glasses." </w:t>
      </w:r>
      <w:r w:rsidRPr="00E412C5">
        <w:rPr>
          <w:rFonts w:asciiTheme="majorBidi" w:hAnsiTheme="majorBidi" w:cstheme="majorBidi"/>
          <w:sz w:val="18"/>
          <w:szCs w:val="18"/>
          <w:u w:val="single"/>
        </w:rPr>
        <w:t>MRS Advances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5</w:t>
      </w:r>
      <w:r w:rsidRPr="00E412C5">
        <w:rPr>
          <w:rFonts w:asciiTheme="majorBidi" w:hAnsiTheme="majorBidi" w:cstheme="majorBidi"/>
          <w:sz w:val="18"/>
          <w:szCs w:val="18"/>
        </w:rPr>
        <w:t>(3-4): 185-193.</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IAEA (2003). </w:t>
      </w:r>
      <w:r w:rsidRPr="00E412C5">
        <w:rPr>
          <w:rFonts w:asciiTheme="majorBidi" w:hAnsiTheme="majorBidi" w:cstheme="majorBidi"/>
          <w:sz w:val="18"/>
          <w:szCs w:val="18"/>
          <w:u w:val="single"/>
        </w:rPr>
        <w:t>Radioactive Waste Management Glossary</w:t>
      </w:r>
      <w:r w:rsidRPr="00E412C5">
        <w:rPr>
          <w:rFonts w:asciiTheme="majorBidi" w:hAnsiTheme="majorBidi" w:cstheme="majorBidi"/>
          <w:sz w:val="18"/>
          <w:szCs w:val="18"/>
        </w:rPr>
        <w:t>. Vienna, INTERNATIONAL ATOMIC ENERGY AGENCY.</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Jantzen, C. M. and M. J. Plodinec (1984). "Thermodynamic model of natural, medieval and nuclear waste glass durability." </w:t>
      </w:r>
      <w:r w:rsidRPr="00E412C5">
        <w:rPr>
          <w:rFonts w:asciiTheme="majorBidi" w:hAnsiTheme="majorBidi" w:cstheme="majorBidi"/>
          <w:sz w:val="18"/>
          <w:szCs w:val="18"/>
          <w:u w:val="single"/>
        </w:rPr>
        <w:t>Journal of Non-Crystalline Solids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67</w:t>
      </w:r>
      <w:r w:rsidRPr="00E412C5">
        <w:rPr>
          <w:rFonts w:asciiTheme="majorBidi" w:hAnsiTheme="majorBidi" w:cstheme="majorBidi"/>
          <w:sz w:val="18"/>
          <w:szCs w:val="18"/>
        </w:rPr>
        <w:t>(1): 207-223.</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Kim, M., C. L. Corkhill, N. C. Hyatt and J. Heo (2018). "Development, characterization and dissolution behavior of calcium-aluminoborate glass wasteforms to immobilize rare-earth oxides." </w:t>
      </w:r>
      <w:r w:rsidRPr="00E412C5">
        <w:rPr>
          <w:rFonts w:asciiTheme="majorBidi" w:hAnsiTheme="majorBidi" w:cstheme="majorBidi"/>
          <w:sz w:val="18"/>
          <w:szCs w:val="18"/>
          <w:u w:val="single"/>
        </w:rPr>
        <w:t>Scientific Reports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8</w:t>
      </w:r>
      <w:r w:rsidRPr="00E412C5">
        <w:rPr>
          <w:rFonts w:asciiTheme="majorBidi" w:hAnsiTheme="majorBidi" w:cstheme="majorBidi"/>
          <w:sz w:val="18"/>
          <w:szCs w:val="18"/>
        </w:rPr>
        <w:t>(1): 5320.</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Lee, W. E., M. I. Ojovan, M. C. Stennett and N. C. Hyatt (2006). "Immobilisation of radioactive waste in glasses, glass composite materials and ceramics." </w:t>
      </w:r>
      <w:r w:rsidRPr="00E412C5">
        <w:rPr>
          <w:rFonts w:asciiTheme="majorBidi" w:hAnsiTheme="majorBidi" w:cstheme="majorBidi"/>
          <w:sz w:val="18"/>
          <w:szCs w:val="18"/>
          <w:u w:val="single"/>
        </w:rPr>
        <w:t>Advances in Applied Ceramics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105</w:t>
      </w:r>
      <w:r w:rsidRPr="00E412C5">
        <w:rPr>
          <w:rFonts w:asciiTheme="majorBidi" w:hAnsiTheme="majorBidi" w:cstheme="majorBidi"/>
          <w:sz w:val="18"/>
          <w:szCs w:val="18"/>
        </w:rPr>
        <w:t>(1): 3-12.</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Mukunoki, A., T. Kikuchi, T. Chiba, T. Sakuragi, T. Kogure and T. Sato (2018). "Dissolution Behavior of Lead Borate Glass under Simulated Geological Disposal Conditions." </w:t>
      </w:r>
      <w:r w:rsidRPr="00E412C5">
        <w:rPr>
          <w:rFonts w:asciiTheme="majorBidi" w:hAnsiTheme="majorBidi" w:cstheme="majorBidi"/>
          <w:sz w:val="18"/>
          <w:szCs w:val="18"/>
          <w:u w:val="single"/>
        </w:rPr>
        <w:t>MRS Advances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3</w:t>
      </w:r>
      <w:r w:rsidRPr="00E412C5">
        <w:rPr>
          <w:rFonts w:asciiTheme="majorBidi" w:hAnsiTheme="majorBidi" w:cstheme="majorBidi"/>
          <w:sz w:val="18"/>
          <w:szCs w:val="18"/>
        </w:rPr>
        <w:t>(21): 1139-1145.</w:t>
      </w:r>
    </w:p>
    <w:p w:rsidR="00487F71" w:rsidRPr="00E412C5" w:rsidRDefault="00487F71" w:rsidP="00487F71">
      <w:pPr>
        <w:pStyle w:val="EndNoteBibliography"/>
        <w:numPr>
          <w:ilvl w:val="0"/>
          <w:numId w:val="34"/>
        </w:numPr>
        <w:spacing w:after="0" w:line="240" w:lineRule="auto"/>
        <w:rPr>
          <w:rFonts w:asciiTheme="majorBidi" w:hAnsiTheme="majorBidi" w:cstheme="majorBidi"/>
          <w:sz w:val="18"/>
          <w:szCs w:val="18"/>
        </w:rPr>
      </w:pPr>
      <w:r w:rsidRPr="00E412C5">
        <w:rPr>
          <w:rFonts w:asciiTheme="majorBidi" w:hAnsiTheme="majorBidi" w:cstheme="majorBidi"/>
          <w:sz w:val="18"/>
          <w:szCs w:val="18"/>
        </w:rPr>
        <w:t xml:space="preserve">Rose, P. B., D. I. Woodward, M. I. Ojovan, N. C. Hyatt and W. E. Lee (2011). "Crystallisation of a simulated borosilicate high-level waste glass produced on a full-scale vitrification line." </w:t>
      </w:r>
      <w:r w:rsidRPr="00E412C5">
        <w:rPr>
          <w:rFonts w:asciiTheme="majorBidi" w:hAnsiTheme="majorBidi" w:cstheme="majorBidi"/>
          <w:sz w:val="18"/>
          <w:szCs w:val="18"/>
          <w:u w:val="single"/>
        </w:rPr>
        <w:t>Journal of Non-Crystalline Solids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357</w:t>
      </w:r>
      <w:r w:rsidRPr="00E412C5">
        <w:rPr>
          <w:rFonts w:asciiTheme="majorBidi" w:hAnsiTheme="majorBidi" w:cstheme="majorBidi"/>
          <w:sz w:val="18"/>
          <w:szCs w:val="18"/>
        </w:rPr>
        <w:t>(15): 2989-3001.</w:t>
      </w:r>
    </w:p>
    <w:p w:rsidR="00487F71" w:rsidRPr="00E412C5" w:rsidRDefault="00487F71" w:rsidP="00487F71">
      <w:pPr>
        <w:pStyle w:val="EndNoteBibliography"/>
        <w:numPr>
          <w:ilvl w:val="0"/>
          <w:numId w:val="34"/>
        </w:numPr>
        <w:spacing w:line="240" w:lineRule="auto"/>
        <w:rPr>
          <w:rFonts w:asciiTheme="majorBidi" w:hAnsiTheme="majorBidi" w:cstheme="majorBidi"/>
          <w:sz w:val="18"/>
          <w:szCs w:val="18"/>
        </w:rPr>
      </w:pPr>
      <w:r w:rsidRPr="00E412C5">
        <w:rPr>
          <w:rFonts w:asciiTheme="majorBidi" w:hAnsiTheme="majorBidi" w:cstheme="majorBidi"/>
          <w:sz w:val="18"/>
          <w:szCs w:val="18"/>
        </w:rPr>
        <w:t xml:space="preserve">Trocellier, P., S. Djanarthany, J. Chêne, A. Haddi, A. Brass, S. Poissonnet and F. Farges (2005). "Chemical durability of alkali-borosilicate glasses studied by analytical SEM, IBA, isotopic-tracing and SIMS." </w:t>
      </w:r>
      <w:r w:rsidRPr="00E412C5">
        <w:rPr>
          <w:rFonts w:asciiTheme="majorBidi" w:hAnsiTheme="majorBidi" w:cstheme="majorBidi"/>
          <w:sz w:val="18"/>
          <w:szCs w:val="18"/>
          <w:u w:val="single"/>
        </w:rPr>
        <w:t>Nuclear Instruments &amp; Methods in Physics Research Section B-beam Interactions With Materials and Atoms</w:t>
      </w:r>
      <w:r w:rsidRPr="00E412C5">
        <w:rPr>
          <w:rFonts w:asciiTheme="majorBidi" w:hAnsiTheme="majorBidi" w:cstheme="majorBidi"/>
          <w:sz w:val="18"/>
          <w:szCs w:val="18"/>
        </w:rPr>
        <w:t xml:space="preserve"> </w:t>
      </w:r>
      <w:r w:rsidRPr="00E412C5">
        <w:rPr>
          <w:rFonts w:asciiTheme="majorBidi" w:hAnsiTheme="majorBidi" w:cstheme="majorBidi"/>
          <w:b/>
          <w:sz w:val="18"/>
          <w:szCs w:val="18"/>
        </w:rPr>
        <w:t>240</w:t>
      </w:r>
      <w:r w:rsidRPr="00E412C5">
        <w:rPr>
          <w:rFonts w:asciiTheme="majorBidi" w:hAnsiTheme="majorBidi" w:cstheme="majorBidi"/>
          <w:sz w:val="18"/>
          <w:szCs w:val="18"/>
        </w:rPr>
        <w:t>: 337-344.</w:t>
      </w:r>
    </w:p>
    <w:p w:rsidR="00487F71" w:rsidRPr="00487F71" w:rsidRDefault="00487F71" w:rsidP="00487F71">
      <w:pPr>
        <w:rPr>
          <w:rFonts w:asciiTheme="majorBidi" w:hAnsiTheme="majorBidi" w:cstheme="majorBidi"/>
          <w:sz w:val="20"/>
        </w:rPr>
      </w:pPr>
      <w:r w:rsidRPr="00E412C5">
        <w:rPr>
          <w:rFonts w:asciiTheme="majorBidi" w:hAnsiTheme="majorBidi" w:cstheme="majorBidi"/>
          <w:sz w:val="18"/>
          <w:szCs w:val="18"/>
        </w:rPr>
        <w:fldChar w:fldCharType="end"/>
      </w:r>
    </w:p>
    <w:sectPr w:rsidR="00487F71" w:rsidRPr="00487F71"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6C6" w:rsidRDefault="002716C6">
      <w:r>
        <w:separator/>
      </w:r>
    </w:p>
  </w:endnote>
  <w:endnote w:type="continuationSeparator" w:id="1">
    <w:p w:rsidR="002716C6" w:rsidRDefault="002716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dvP4B6849">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8F2196">
    <w:pPr>
      <w:pStyle w:val="zyxClassification1"/>
    </w:pPr>
    <w:r>
      <w:fldChar w:fldCharType="begin"/>
    </w:r>
    <w:r w:rsidR="00E20E70">
      <w:instrText xml:space="preserve"> DOCPROPERTY "IaeaClassification"  \* MERGEFORMAT </w:instrText>
    </w:r>
    <w:r>
      <w:fldChar w:fldCharType="end"/>
    </w:r>
  </w:p>
  <w:p w:rsidR="00E20E70" w:rsidRDefault="008F2196">
    <w:pPr>
      <w:pStyle w:val="zyxClassification2"/>
    </w:pPr>
    <w:r>
      <w:fldChar w:fldCharType="begin"/>
    </w:r>
    <w:r w:rsidR="00E20E70">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8F2196">
    <w:pPr>
      <w:pStyle w:val="zyxClassification1"/>
    </w:pPr>
    <w:r>
      <w:fldChar w:fldCharType="begin"/>
    </w:r>
    <w:r w:rsidR="00E20E70">
      <w:instrText xml:space="preserve"> DOCPROPERTY "IaeaClassification"  \* MERGEFORMAT </w:instrText>
    </w:r>
    <w:r>
      <w:fldChar w:fldCharType="end"/>
    </w:r>
  </w:p>
  <w:p w:rsidR="00E20E70" w:rsidRPr="00037321" w:rsidRDefault="008F2196">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037321"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60CAC">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E20E70">
      <w:trPr>
        <w:cantSplit/>
      </w:trPr>
      <w:tc>
        <w:tcPr>
          <w:tcW w:w="4644" w:type="dxa"/>
        </w:tcPr>
        <w:p w:rsidR="00E20E70" w:rsidRDefault="008F2196">
          <w:pPr>
            <w:pStyle w:val="zyxDistribution"/>
            <w:framePr w:wrap="auto" w:vAnchor="margin" w:hAnchor="text" w:xAlign="left" w:yAlign="inline"/>
            <w:suppressOverlap w:val="0"/>
          </w:pPr>
          <w:r>
            <w:fldChar w:fldCharType="begin"/>
          </w:r>
          <w:r w:rsidR="00E20E70">
            <w:instrText xml:space="preserve"> DOCPROPERTY "IaeaDistribution"  \* MERGEFORMAT </w:instrText>
          </w:r>
          <w:r>
            <w:fldChar w:fldCharType="end"/>
          </w:r>
        </w:p>
        <w:p w:rsidR="00E20E70" w:rsidRDefault="008F2196">
          <w:pPr>
            <w:pStyle w:val="zyxSensitivity"/>
            <w:framePr w:wrap="auto" w:vAnchor="margin" w:hAnchor="text" w:xAlign="left" w:yAlign="inline"/>
            <w:suppressOverlap w:val="0"/>
          </w:pPr>
          <w:r>
            <w:fldChar w:fldCharType="begin"/>
          </w:r>
          <w:r w:rsidR="00E20E70">
            <w:instrText xml:space="preserve"> DOCPROPERTY "IaeaSensitivity"  \* MERGEFORMAT </w:instrText>
          </w:r>
          <w:r>
            <w:fldChar w:fldCharType="end"/>
          </w:r>
        </w:p>
      </w:tc>
      <w:bookmarkStart w:id="7" w:name="DOC_bkmClassification2"/>
      <w:tc>
        <w:tcPr>
          <w:tcW w:w="5670" w:type="dxa"/>
          <w:tcMar>
            <w:right w:w="249" w:type="dxa"/>
          </w:tcMar>
        </w:tcPr>
        <w:p w:rsidR="00E20E70" w:rsidRDefault="008F2196">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bookmarkEnd w:id="7"/>
        </w:p>
        <w:p w:rsidR="00E20E70" w:rsidRDefault="008F2196">
          <w:pPr>
            <w:spacing w:after="20" w:line="220" w:lineRule="exact"/>
            <w:jc w:val="right"/>
            <w:rPr>
              <w:rFonts w:ascii="Arial" w:hAnsi="Arial" w:cs="Arial"/>
              <w:color w:val="FF0000"/>
            </w:rPr>
          </w:pPr>
          <w:r>
            <w:rPr>
              <w:rFonts w:ascii="Arial" w:hAnsi="Arial"/>
              <w:b/>
            </w:rPr>
            <w:fldChar w:fldCharType="begin"/>
          </w:r>
          <w:r w:rsidR="00E20E70">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E20E70">
            <w:rPr>
              <w:rFonts w:ascii="Arial" w:hAnsi="Arial" w:cs="Arial"/>
              <w:color w:val="FF0000"/>
            </w:rPr>
            <w:instrText>DOCPROPERTY "IaeaClassification2"  \* MERGEFORMAT</w:instrText>
          </w:r>
          <w:r>
            <w:rPr>
              <w:rFonts w:ascii="Arial" w:hAnsi="Arial" w:cs="Arial"/>
              <w:color w:val="FF0000"/>
            </w:rPr>
            <w:fldChar w:fldCharType="end"/>
          </w:r>
        </w:p>
      </w:tc>
    </w:tr>
  </w:tbl>
  <w:bookmarkStart w:id="8" w:name="DOC_bkmFileName"/>
  <w:p w:rsidR="00E20E70" w:rsidRDefault="008F2196">
    <w:r>
      <w:rPr>
        <w:sz w:val="16"/>
      </w:rPr>
      <w:fldChar w:fldCharType="begin"/>
    </w:r>
    <w:r w:rsidR="00E20E70">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8"/>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6C6" w:rsidRDefault="002716C6">
      <w:r>
        <w:t>___________________________________________________________________________</w:t>
      </w:r>
    </w:p>
  </w:footnote>
  <w:footnote w:type="continuationSeparator" w:id="1">
    <w:p w:rsidR="002716C6" w:rsidRDefault="002716C6">
      <w:r>
        <w:t>___________________________________________________________________________</w:t>
      </w:r>
    </w:p>
  </w:footnote>
  <w:footnote w:type="continuationNotice" w:id="2">
    <w:p w:rsidR="002716C6" w:rsidRDefault="002716C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CF7AF3" w:rsidP="00205518">
    <w:pPr>
      <w:pStyle w:val="Runninghead"/>
      <w:bidi/>
      <w:jc w:val="left"/>
    </w:pPr>
    <w:r>
      <w:tab/>
      <w:t>IAEA-CN-</w:t>
    </w:r>
    <w:r w:rsidR="00185A51">
      <w:t>294</w:t>
    </w:r>
    <w:r w:rsidR="008F2196">
      <w:fldChar w:fldCharType="begin"/>
    </w:r>
    <w:r w:rsidR="00E20E70">
      <w:instrText>DOCPROPERTY "IaeaClassification2"  \* MERGEFORMAT</w:instrText>
    </w:r>
    <w:r w:rsidR="008F2196">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321" w:rsidRPr="009E1558" w:rsidRDefault="00AC1CE0" w:rsidP="00AC1CE0">
    <w:pPr>
      <w:spacing w:line="360" w:lineRule="auto"/>
      <w:jc w:val="center"/>
      <w:rPr>
        <w:color w:val="BFBFBF" w:themeColor="background1" w:themeShade="BF"/>
        <w:sz w:val="16"/>
        <w:szCs w:val="16"/>
      </w:rPr>
    </w:pPr>
    <w:r w:rsidRPr="00AC1CE0">
      <w:rPr>
        <w:rFonts w:asciiTheme="majorBidi" w:hAnsiTheme="majorBidi" w:cstheme="majorBidi"/>
        <w:b/>
        <w:bCs/>
        <w:sz w:val="16"/>
        <w:szCs w:val="16"/>
        <w:lang w:bidi="ar-EG"/>
      </w:rPr>
      <w:t>FARID</w:t>
    </w:r>
    <w:r>
      <w:rPr>
        <w:rFonts w:asciiTheme="majorBidi" w:hAnsiTheme="majorBidi" w:cstheme="majorBidi"/>
        <w:b/>
        <w:bCs/>
        <w:sz w:val="16"/>
        <w:szCs w:val="16"/>
        <w:lang w:bidi="ar-EG"/>
      </w:rPr>
      <w:t xml:space="preserve"> et al.</w:t>
    </w:r>
    <w:r w:rsidRPr="00AC1CE0">
      <w:rPr>
        <w:rFonts w:asciiTheme="majorBidi" w:hAnsiTheme="majorBidi" w:cstheme="majorBidi"/>
        <w:b/>
        <w:bCs/>
        <w:sz w:val="16"/>
        <w:szCs w:val="16"/>
        <w:lang w:bidi="ar-EG"/>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6" w:name="DOC_bkmClassification1"/>
      <w:tc>
        <w:tcPr>
          <w:tcW w:w="5702" w:type="dxa"/>
          <w:vMerge w:val="restart"/>
          <w:tcMar>
            <w:right w:w="193" w:type="dxa"/>
          </w:tcMar>
        </w:tcPr>
        <w:p w:rsidR="00E20E70" w:rsidRDefault="008F2196">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bookmarkEnd w:id="6"/>
        </w:p>
        <w:p w:rsidR="00E20E70" w:rsidRDefault="008F2196">
          <w:pPr>
            <w:pStyle w:val="zyxConfid2Red"/>
          </w:pPr>
          <w:r>
            <w:fldChar w:fldCharType="begin"/>
          </w:r>
          <w:r w:rsidR="00E20E70">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D985214"/>
    <w:multiLevelType w:val="hybridMultilevel"/>
    <w:tmpl w:val="0150B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33D585D"/>
    <w:multiLevelType w:val="hybridMultilevel"/>
    <w:tmpl w:val="42866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nsid w:val="565C4A51"/>
    <w:multiLevelType w:val="multilevel"/>
    <w:tmpl w:val="7B784210"/>
    <w:lvl w:ilvl="0">
      <w:start w:val="3"/>
      <w:numFmt w:val="decimal"/>
      <w:lvlText w:val="%1"/>
      <w:lvlJc w:val="left"/>
      <w:pPr>
        <w:ind w:left="360" w:hanging="360"/>
      </w:pPr>
      <w:rPr>
        <w:rFonts w:ascii="Times New Roman" w:hAnsi="Times New Roman" w:cs="Times New Roman" w:hint="default"/>
        <w:b/>
      </w:rPr>
    </w:lvl>
    <w:lvl w:ilvl="1">
      <w:start w:val="3"/>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720" w:hanging="72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080" w:hanging="108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440" w:hanging="1440"/>
      </w:pPr>
      <w:rPr>
        <w:rFonts w:ascii="Times New Roman" w:hAnsi="Times New Roman" w:cs="Times New Roman" w:hint="default"/>
        <w:b/>
      </w:rPr>
    </w:lvl>
  </w:abstractNum>
  <w:abstractNum w:abstractNumId="11">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A540F7C0"/>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13"/>
  </w:num>
  <w:num w:numId="4">
    <w:abstractNumId w:val="13"/>
  </w:num>
  <w:num w:numId="5">
    <w:abstractNumId w:val="13"/>
  </w:num>
  <w:num w:numId="6">
    <w:abstractNumId w:val="6"/>
  </w:num>
  <w:num w:numId="7">
    <w:abstractNumId w:val="11"/>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8"/>
  </w:num>
  <w:num w:numId="31">
    <w:abstractNumId w:val="8"/>
  </w:num>
  <w:num w:numId="32">
    <w:abstractNumId w:val="13"/>
  </w:num>
  <w:num w:numId="33">
    <w:abstractNumId w:val="7"/>
  </w:num>
  <w:num w:numId="34">
    <w:abstractNumId w:val="5"/>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7170"/>
  </w:hdrShapeDefaults>
  <w:footnotePr>
    <w:footnote w:id="0"/>
    <w:footnote w:id="1"/>
    <w:footnote w:id="2"/>
  </w:footnotePr>
  <w:endnotePr>
    <w:endnote w:id="0"/>
    <w:endnote w:id="1"/>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A0299"/>
    <w:rsid w:val="000A2990"/>
    <w:rsid w:val="000F7E94"/>
    <w:rsid w:val="001119D6"/>
    <w:rsid w:val="001308F2"/>
    <w:rsid w:val="001313E8"/>
    <w:rsid w:val="00183BC4"/>
    <w:rsid w:val="00185A51"/>
    <w:rsid w:val="001C58F5"/>
    <w:rsid w:val="001D5CEE"/>
    <w:rsid w:val="00203CEC"/>
    <w:rsid w:val="00205518"/>
    <w:rsid w:val="002071D9"/>
    <w:rsid w:val="00256822"/>
    <w:rsid w:val="0026525A"/>
    <w:rsid w:val="002716C6"/>
    <w:rsid w:val="00274790"/>
    <w:rsid w:val="00285755"/>
    <w:rsid w:val="002A1F9C"/>
    <w:rsid w:val="002B29C2"/>
    <w:rsid w:val="002C4208"/>
    <w:rsid w:val="00352DE1"/>
    <w:rsid w:val="00371BC6"/>
    <w:rsid w:val="003728E6"/>
    <w:rsid w:val="003B5E0E"/>
    <w:rsid w:val="003D255A"/>
    <w:rsid w:val="00401581"/>
    <w:rsid w:val="00416949"/>
    <w:rsid w:val="004370D8"/>
    <w:rsid w:val="00472C43"/>
    <w:rsid w:val="00487F71"/>
    <w:rsid w:val="00537496"/>
    <w:rsid w:val="00544ED3"/>
    <w:rsid w:val="00560CAC"/>
    <w:rsid w:val="0058477B"/>
    <w:rsid w:val="0058654F"/>
    <w:rsid w:val="00596ACA"/>
    <w:rsid w:val="005E39BC"/>
    <w:rsid w:val="005F00A0"/>
    <w:rsid w:val="00647F33"/>
    <w:rsid w:val="00662532"/>
    <w:rsid w:val="006B2274"/>
    <w:rsid w:val="00717C6F"/>
    <w:rsid w:val="007445DA"/>
    <w:rsid w:val="007B4FD1"/>
    <w:rsid w:val="00802381"/>
    <w:rsid w:val="0082380E"/>
    <w:rsid w:val="00883848"/>
    <w:rsid w:val="00897ED5"/>
    <w:rsid w:val="008B6BB9"/>
    <w:rsid w:val="008D507F"/>
    <w:rsid w:val="008F2196"/>
    <w:rsid w:val="00911543"/>
    <w:rsid w:val="009519C9"/>
    <w:rsid w:val="00987E91"/>
    <w:rsid w:val="009D0B86"/>
    <w:rsid w:val="009E0D5B"/>
    <w:rsid w:val="009E1558"/>
    <w:rsid w:val="00A42898"/>
    <w:rsid w:val="00AB6ACE"/>
    <w:rsid w:val="00AC1CE0"/>
    <w:rsid w:val="00AC5A3A"/>
    <w:rsid w:val="00B235C1"/>
    <w:rsid w:val="00B55D49"/>
    <w:rsid w:val="00B82FA5"/>
    <w:rsid w:val="00BD1400"/>
    <w:rsid w:val="00BD605C"/>
    <w:rsid w:val="00BE2A76"/>
    <w:rsid w:val="00BF5966"/>
    <w:rsid w:val="00C23171"/>
    <w:rsid w:val="00C2751C"/>
    <w:rsid w:val="00C65E60"/>
    <w:rsid w:val="00CE5A52"/>
    <w:rsid w:val="00CF7AF3"/>
    <w:rsid w:val="00D26ADA"/>
    <w:rsid w:val="00D35A78"/>
    <w:rsid w:val="00D555A1"/>
    <w:rsid w:val="00D64DC2"/>
    <w:rsid w:val="00DA46CA"/>
    <w:rsid w:val="00DF21EB"/>
    <w:rsid w:val="00E20E70"/>
    <w:rsid w:val="00E25B68"/>
    <w:rsid w:val="00E412C5"/>
    <w:rsid w:val="00E740F0"/>
    <w:rsid w:val="00E84003"/>
    <w:rsid w:val="00EC10FC"/>
    <w:rsid w:val="00ED0A99"/>
    <w:rsid w:val="00EE0041"/>
    <w:rsid w:val="00EE29B9"/>
    <w:rsid w:val="00F004EE"/>
    <w:rsid w:val="00F42E23"/>
    <w:rsid w:val="00F45EEE"/>
    <w:rsid w:val="00F51E9C"/>
    <w:rsid w:val="00F523CA"/>
    <w:rsid w:val="00F74A9D"/>
    <w:rsid w:val="00FC0C34"/>
    <w:rsid w:val="00FF386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iPriority="20" w:unhideWhenUsed="0" w:qFormat="1"/>
    <w:lsdException w:name="HTML Top of Form" w:locked="0" w:uiPriority="0"/>
    <w:lsdException w:name="HTML Bottom of Form" w:locked="0" w:uiPriority="0"/>
    <w:lsdException w:name="HTML Acronym" w:uiPriority="19"/>
    <w:lsdException w:name="HTML Address" w:uiPriority="19"/>
    <w:lsdException w:name="HTML Preformatted" w:uiPriority="9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8F2196"/>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8F2196"/>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8F2196"/>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8F2196"/>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8F2196"/>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8F2196"/>
    <w:pPr>
      <w:ind w:left="1134" w:hanging="675"/>
    </w:pPr>
  </w:style>
  <w:style w:type="paragraph" w:customStyle="1" w:styleId="BodyTextMultiline">
    <w:name w:val="Body Text Multiline"/>
    <w:basedOn w:val="BodyText"/>
    <w:locked/>
    <w:rsid w:val="008F2196"/>
    <w:pPr>
      <w:numPr>
        <w:numId w:val="1"/>
      </w:numPr>
    </w:pPr>
  </w:style>
  <w:style w:type="paragraph" w:customStyle="1" w:styleId="BodyTextSummary">
    <w:name w:val="Body Text Summary"/>
    <w:uiPriority w:val="49"/>
    <w:locked/>
    <w:rsid w:val="008F2196"/>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rsid w:val="008F2196"/>
    <w:pPr>
      <w:spacing w:after="85"/>
    </w:pPr>
    <w:rPr>
      <w:bCs/>
      <w:sz w:val="18"/>
      <w:lang w:val="en-US" w:eastAsia="en-US"/>
    </w:rPr>
  </w:style>
  <w:style w:type="paragraph" w:styleId="Footer">
    <w:name w:val="footer"/>
    <w:basedOn w:val="Normal"/>
    <w:link w:val="FooterChar"/>
    <w:uiPriority w:val="99"/>
    <w:locked/>
    <w:rsid w:val="008F2196"/>
    <w:pPr>
      <w:overflowPunct/>
      <w:autoSpaceDE/>
      <w:autoSpaceDN/>
      <w:adjustRightInd/>
      <w:textAlignment w:val="auto"/>
    </w:pPr>
    <w:rPr>
      <w:sz w:val="2"/>
      <w:lang w:val="en-US"/>
    </w:rPr>
  </w:style>
  <w:style w:type="paragraph" w:styleId="FootnoteText">
    <w:name w:val="footnote text"/>
    <w:semiHidden/>
    <w:locked/>
    <w:rsid w:val="008F2196"/>
    <w:pPr>
      <w:tabs>
        <w:tab w:val="left" w:pos="459"/>
      </w:tabs>
      <w:spacing w:before="142"/>
      <w:ind w:left="459"/>
      <w:jc w:val="both"/>
    </w:pPr>
    <w:rPr>
      <w:sz w:val="18"/>
      <w:lang w:eastAsia="en-US"/>
    </w:rPr>
  </w:style>
  <w:style w:type="paragraph" w:styleId="Header">
    <w:name w:val="header"/>
    <w:next w:val="BodyText"/>
    <w:uiPriority w:val="49"/>
    <w:locked/>
    <w:rsid w:val="008F2196"/>
    <w:pPr>
      <w:spacing w:after="85"/>
    </w:pPr>
    <w:rPr>
      <w:sz w:val="18"/>
      <w:lang w:val="en-US" w:eastAsia="en-US"/>
    </w:rPr>
  </w:style>
  <w:style w:type="paragraph" w:customStyle="1" w:styleId="ListBulleted">
    <w:name w:val="List Bulleted"/>
    <w:uiPriority w:val="7"/>
    <w:qFormat/>
    <w:locked/>
    <w:rsid w:val="008F2196"/>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8F2196"/>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8F2196"/>
    <w:pPr>
      <w:spacing w:after="20" w:line="220" w:lineRule="exact"/>
      <w:jc w:val="right"/>
    </w:pPr>
    <w:rPr>
      <w:rFonts w:ascii="Arial" w:hAnsi="Arial" w:cs="Arial"/>
      <w:color w:val="FF0000"/>
    </w:rPr>
  </w:style>
  <w:style w:type="paragraph" w:customStyle="1" w:styleId="zyxConfidRed">
    <w:name w:val="zyxConfidRed"/>
    <w:uiPriority w:val="49"/>
    <w:locked/>
    <w:rsid w:val="008F2196"/>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8F2196"/>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8F2196"/>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8F2196"/>
    <w:pPr>
      <w:spacing w:after="60" w:line="280" w:lineRule="exact"/>
      <w:ind w:left="113"/>
    </w:pPr>
    <w:rPr>
      <w:sz w:val="22"/>
      <w:lang w:eastAsia="en-US"/>
    </w:rPr>
  </w:style>
  <w:style w:type="paragraph" w:customStyle="1" w:styleId="zyxFillIn">
    <w:name w:val="zyxFill_In"/>
    <w:basedOn w:val="zyxPrePrint"/>
    <w:uiPriority w:val="49"/>
    <w:locked/>
    <w:rsid w:val="008F2196"/>
    <w:rPr>
      <w:b/>
    </w:rPr>
  </w:style>
  <w:style w:type="paragraph" w:customStyle="1" w:styleId="zyxLogo">
    <w:name w:val="zyxLogo"/>
    <w:basedOn w:val="Normal"/>
    <w:uiPriority w:val="49"/>
    <w:locked/>
    <w:rsid w:val="008F2196"/>
    <w:pPr>
      <w:keepNext/>
      <w:spacing w:after="10"/>
    </w:pPr>
    <w:rPr>
      <w:rFonts w:ascii="Arial" w:hAnsi="Arial"/>
      <w:b/>
      <w:sz w:val="13"/>
    </w:rPr>
  </w:style>
  <w:style w:type="paragraph" w:customStyle="1" w:styleId="zyxP1Footer">
    <w:name w:val="zyxP1_Footer"/>
    <w:basedOn w:val="Normal"/>
    <w:uiPriority w:val="49"/>
    <w:locked/>
    <w:rsid w:val="008F2196"/>
    <w:pPr>
      <w:widowControl w:val="0"/>
      <w:spacing w:line="160" w:lineRule="exact"/>
      <w:ind w:left="108"/>
    </w:pPr>
    <w:rPr>
      <w:sz w:val="14"/>
    </w:rPr>
  </w:style>
  <w:style w:type="paragraph" w:customStyle="1" w:styleId="zyxSensitivity">
    <w:name w:val="zyxSensitivity"/>
    <w:basedOn w:val="Normal"/>
    <w:uiPriority w:val="49"/>
    <w:locked/>
    <w:rsid w:val="008F2196"/>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8F2196"/>
    <w:pPr>
      <w:keepNext/>
      <w:spacing w:line="420" w:lineRule="exact"/>
    </w:pPr>
    <w:rPr>
      <w:rFonts w:ascii="Arial" w:hAnsi="Arial"/>
      <w:sz w:val="40"/>
    </w:rPr>
  </w:style>
  <w:style w:type="character" w:styleId="FootnoteReference">
    <w:name w:val="footnote reference"/>
    <w:basedOn w:val="DefaultParagraphFont"/>
    <w:semiHidden/>
    <w:locked/>
    <w:rsid w:val="008F2196"/>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8F2196"/>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8F2196"/>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8F2196"/>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st">
    <w:name w:val="st"/>
    <w:basedOn w:val="DefaultParagraphFont"/>
    <w:rsid w:val="00BF5966"/>
  </w:style>
  <w:style w:type="character" w:styleId="Emphasis">
    <w:name w:val="Emphasis"/>
    <w:basedOn w:val="DefaultParagraphFont"/>
    <w:uiPriority w:val="20"/>
    <w:qFormat/>
    <w:locked/>
    <w:rsid w:val="00BF5966"/>
    <w:rPr>
      <w:i/>
      <w:iCs/>
    </w:rPr>
  </w:style>
  <w:style w:type="character" w:customStyle="1" w:styleId="one-click-content">
    <w:name w:val="one-click-content"/>
    <w:basedOn w:val="DefaultParagraphFont"/>
    <w:rsid w:val="00BF5966"/>
  </w:style>
  <w:style w:type="character" w:customStyle="1" w:styleId="y2iqfc">
    <w:name w:val="y2iqfc"/>
    <w:basedOn w:val="DefaultParagraphFont"/>
    <w:rsid w:val="00BF5966"/>
  </w:style>
  <w:style w:type="paragraph" w:styleId="ListParagraph">
    <w:name w:val="List Paragraph"/>
    <w:basedOn w:val="Normal"/>
    <w:link w:val="ListParagraphChar"/>
    <w:uiPriority w:val="34"/>
    <w:qFormat/>
    <w:locked/>
    <w:rsid w:val="00BF5966"/>
    <w:pPr>
      <w:overflowPunct/>
      <w:autoSpaceDE/>
      <w:autoSpaceDN/>
      <w:adjustRightInd/>
      <w:spacing w:after="200" w:line="276" w:lineRule="auto"/>
      <w:ind w:left="720"/>
      <w:contextualSpacing/>
      <w:textAlignment w:val="auto"/>
    </w:pPr>
    <w:rPr>
      <w:rFonts w:asciiTheme="minorHAnsi" w:eastAsiaTheme="minorEastAsia" w:hAnsiTheme="minorHAnsi" w:cstheme="minorBidi"/>
      <w:szCs w:val="22"/>
      <w:lang w:val="en-US"/>
    </w:rPr>
  </w:style>
  <w:style w:type="character" w:customStyle="1" w:styleId="ListParagraphChar">
    <w:name w:val="List Paragraph Char"/>
    <w:basedOn w:val="DefaultParagraphFont"/>
    <w:link w:val="ListParagraph"/>
    <w:uiPriority w:val="34"/>
    <w:rsid w:val="00BF5966"/>
    <w:rPr>
      <w:rFonts w:asciiTheme="minorHAnsi" w:eastAsiaTheme="minorEastAsia" w:hAnsiTheme="minorHAnsi" w:cstheme="minorBidi"/>
      <w:sz w:val="22"/>
      <w:szCs w:val="22"/>
      <w:lang w:val="en-US" w:eastAsia="en-US"/>
    </w:rPr>
  </w:style>
  <w:style w:type="paragraph" w:styleId="HTMLPreformatted">
    <w:name w:val="HTML Preformatted"/>
    <w:basedOn w:val="Normal"/>
    <w:link w:val="HTMLPreformattedChar"/>
    <w:uiPriority w:val="99"/>
    <w:unhideWhenUsed/>
    <w:locked/>
    <w:rsid w:val="00BF5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sid w:val="00BF5966"/>
    <w:rPr>
      <w:rFonts w:ascii="Courier New" w:hAnsi="Courier New" w:cs="Courier New"/>
    </w:rPr>
  </w:style>
  <w:style w:type="paragraph" w:customStyle="1" w:styleId="EndNoteBibliography">
    <w:name w:val="EndNote Bibliography"/>
    <w:basedOn w:val="Normal"/>
    <w:link w:val="EndNoteBibliographyChar"/>
    <w:rsid w:val="00487F71"/>
    <w:pPr>
      <w:overflowPunct/>
      <w:autoSpaceDE/>
      <w:autoSpaceDN/>
      <w:adjustRightInd/>
      <w:spacing w:after="200" w:line="360" w:lineRule="auto"/>
      <w:jc w:val="both"/>
      <w:textAlignment w:val="auto"/>
    </w:pPr>
    <w:rPr>
      <w:rFonts w:eastAsiaTheme="minorEastAsia"/>
      <w:noProof/>
      <w:sz w:val="24"/>
      <w:szCs w:val="22"/>
      <w:lang w:val="en-US"/>
    </w:rPr>
  </w:style>
  <w:style w:type="character" w:customStyle="1" w:styleId="EndNoteBibliographyChar">
    <w:name w:val="EndNote Bibliography Char"/>
    <w:basedOn w:val="ListParagraphChar"/>
    <w:link w:val="EndNoteBibliography"/>
    <w:rsid w:val="00487F71"/>
    <w:rPr>
      <w:noProof/>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glass%20waste\OF%20ion%20releas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glass%20waste\The%20chemical%20affinity%20for%20elem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8491441880522255"/>
          <c:y val="6.5289442986293383E-2"/>
          <c:w val="0.74803021212268983"/>
          <c:h val="0.66321949998899465"/>
        </c:manualLayout>
      </c:layout>
      <c:scatterChart>
        <c:scatterStyle val="lineMarker"/>
        <c:ser>
          <c:idx val="0"/>
          <c:order val="0"/>
          <c:tx>
            <c:v>Base line</c:v>
          </c:tx>
          <c:spPr>
            <a:ln w="28575">
              <a:solidFill>
                <a:schemeClr val="tx1"/>
              </a:solidFill>
            </a:ln>
          </c:spPr>
          <c:marker>
            <c:symbol val="circle"/>
            <c:size val="6"/>
            <c:spPr>
              <a:noFill/>
              <a:ln w="19050">
                <a:solidFill>
                  <a:schemeClr val="tx1"/>
                </a:solidFill>
              </a:ln>
            </c:spPr>
          </c:marker>
          <c:xVal>
            <c:numRef>
              <c:f>Sheet1!$C$4:$C$9</c:f>
              <c:numCache>
                <c:formatCode>General</c:formatCode>
                <c:ptCount val="6"/>
                <c:pt idx="0">
                  <c:v>0</c:v>
                </c:pt>
                <c:pt idx="1">
                  <c:v>24</c:v>
                </c:pt>
                <c:pt idx="2">
                  <c:v>168</c:v>
                </c:pt>
                <c:pt idx="3">
                  <c:v>336</c:v>
                </c:pt>
                <c:pt idx="4">
                  <c:v>504</c:v>
                </c:pt>
                <c:pt idx="5">
                  <c:v>1000</c:v>
                </c:pt>
              </c:numCache>
            </c:numRef>
          </c:xVal>
          <c:yVal>
            <c:numRef>
              <c:f>Sheet1!$J$4:$J$9</c:f>
              <c:numCache>
                <c:formatCode>General</c:formatCode>
                <c:ptCount val="6"/>
                <c:pt idx="0">
                  <c:v>0</c:v>
                </c:pt>
                <c:pt idx="1">
                  <c:v>8.9465153970826705</c:v>
                </c:pt>
                <c:pt idx="2">
                  <c:v>110.55105348460368</c:v>
                </c:pt>
                <c:pt idx="3">
                  <c:v>231.76661264181362</c:v>
                </c:pt>
                <c:pt idx="4">
                  <c:v>405.83468395461915</c:v>
                </c:pt>
                <c:pt idx="5">
                  <c:v>405.83468395461915</c:v>
                </c:pt>
              </c:numCache>
            </c:numRef>
          </c:yVal>
        </c:ser>
        <c:ser>
          <c:idx val="1"/>
          <c:order val="1"/>
          <c:tx>
            <c:v>CaZn+Magnox</c:v>
          </c:tx>
          <c:spPr>
            <a:ln w="28575">
              <a:solidFill>
                <a:schemeClr val="tx1"/>
              </a:solidFill>
            </a:ln>
          </c:spPr>
          <c:marker>
            <c:symbol val="square"/>
            <c:size val="6"/>
            <c:spPr>
              <a:noFill/>
              <a:ln w="19050">
                <a:solidFill>
                  <a:schemeClr val="tx1"/>
                </a:solidFill>
              </a:ln>
            </c:spPr>
          </c:marker>
          <c:xVal>
            <c:numRef>
              <c:f>Sheet1!$C$12:$C$17</c:f>
              <c:numCache>
                <c:formatCode>General</c:formatCode>
                <c:ptCount val="6"/>
                <c:pt idx="0">
                  <c:v>0</c:v>
                </c:pt>
                <c:pt idx="1">
                  <c:v>24</c:v>
                </c:pt>
                <c:pt idx="2">
                  <c:v>168</c:v>
                </c:pt>
                <c:pt idx="3">
                  <c:v>336</c:v>
                </c:pt>
                <c:pt idx="4">
                  <c:v>504</c:v>
                </c:pt>
                <c:pt idx="5">
                  <c:v>1000</c:v>
                </c:pt>
              </c:numCache>
            </c:numRef>
          </c:xVal>
          <c:yVal>
            <c:numRef>
              <c:f>Sheet1!$J$12:$J$17</c:f>
              <c:numCache>
                <c:formatCode>General</c:formatCode>
                <c:ptCount val="6"/>
                <c:pt idx="0">
                  <c:v>0</c:v>
                </c:pt>
                <c:pt idx="1">
                  <c:v>5.7998192498870305</c:v>
                </c:pt>
                <c:pt idx="2">
                  <c:v>78.626299141436959</c:v>
                </c:pt>
                <c:pt idx="3">
                  <c:v>188.40939900587441</c:v>
                </c:pt>
                <c:pt idx="4">
                  <c:v>360.8224130140083</c:v>
                </c:pt>
                <c:pt idx="5">
                  <c:v>360.8224130140083</c:v>
                </c:pt>
              </c:numCache>
            </c:numRef>
          </c:yVal>
        </c:ser>
        <c:ser>
          <c:idx val="2"/>
          <c:order val="2"/>
          <c:tx>
            <c:v>Blend</c:v>
          </c:tx>
          <c:spPr>
            <a:ln w="28575">
              <a:solidFill>
                <a:schemeClr val="tx1"/>
              </a:solidFill>
            </a:ln>
          </c:spPr>
          <c:marker>
            <c:symbol val="triangle"/>
            <c:size val="7"/>
            <c:spPr>
              <a:noFill/>
              <a:ln w="19050">
                <a:solidFill>
                  <a:schemeClr val="tx1"/>
                </a:solidFill>
              </a:ln>
            </c:spPr>
          </c:marker>
          <c:xVal>
            <c:numRef>
              <c:f>Sheet1!$C$20:$C$25</c:f>
              <c:numCache>
                <c:formatCode>General</c:formatCode>
                <c:ptCount val="6"/>
                <c:pt idx="0">
                  <c:v>0</c:v>
                </c:pt>
                <c:pt idx="1">
                  <c:v>24</c:v>
                </c:pt>
                <c:pt idx="2">
                  <c:v>168</c:v>
                </c:pt>
                <c:pt idx="3">
                  <c:v>336</c:v>
                </c:pt>
                <c:pt idx="4">
                  <c:v>504</c:v>
                </c:pt>
                <c:pt idx="5">
                  <c:v>1000</c:v>
                </c:pt>
              </c:numCache>
            </c:numRef>
          </c:xVal>
          <c:yVal>
            <c:numRef>
              <c:f>Sheet1!$J$20:$J$26</c:f>
              <c:numCache>
                <c:formatCode>General</c:formatCode>
                <c:ptCount val="7"/>
                <c:pt idx="0">
                  <c:v>0</c:v>
                </c:pt>
                <c:pt idx="1">
                  <c:v>6.6789109766637198</c:v>
                </c:pt>
                <c:pt idx="2">
                  <c:v>37.262316335350746</c:v>
                </c:pt>
                <c:pt idx="3">
                  <c:v>115.50345721694035</c:v>
                </c:pt>
                <c:pt idx="4">
                  <c:v>224.93517718236819</c:v>
                </c:pt>
                <c:pt idx="5">
                  <c:v>224.93517718236819</c:v>
                </c:pt>
              </c:numCache>
            </c:numRef>
          </c:yVal>
        </c:ser>
        <c:axId val="85791872"/>
        <c:axId val="100286464"/>
      </c:scatterChart>
      <c:valAx>
        <c:axId val="85791872"/>
        <c:scaling>
          <c:orientation val="minMax"/>
          <c:max val="1000"/>
        </c:scaling>
        <c:axPos val="b"/>
        <c:title>
          <c:tx>
            <c:rich>
              <a:bodyPr/>
              <a:lstStyle/>
              <a:p>
                <a:pPr>
                  <a:defRPr lang="ar-EG" sz="800">
                    <a:latin typeface="Times New Roman" pitchFamily="18" charset="0"/>
                    <a:cs typeface="Times New Roman" pitchFamily="18" charset="0"/>
                  </a:defRPr>
                </a:pPr>
                <a:r>
                  <a:rPr lang="en-US" sz="800" b="0">
                    <a:latin typeface="Times New Roman" pitchFamily="18" charset="0"/>
                    <a:cs typeface="Times New Roman" pitchFamily="18" charset="0"/>
                  </a:rPr>
                  <a:t>Release time (hr)</a:t>
                </a:r>
              </a:p>
            </c:rich>
          </c:tx>
          <c:layout>
            <c:manualLayout>
              <c:xMode val="edge"/>
              <c:yMode val="edge"/>
              <c:x val="0.42586920384952404"/>
              <c:y val="0.8722090988626422"/>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00286464"/>
        <c:crosses val="autoZero"/>
        <c:crossBetween val="midCat"/>
      </c:valAx>
      <c:valAx>
        <c:axId val="100286464"/>
        <c:scaling>
          <c:orientation val="minMax"/>
        </c:scaling>
        <c:axPos val="l"/>
        <c:title>
          <c:tx>
            <c:rich>
              <a:bodyPr/>
              <a:lstStyle/>
              <a:p>
                <a:pPr>
                  <a:defRPr lang="ar-EG" sz="800">
                    <a:cs typeface="+mj-cs"/>
                  </a:defRPr>
                </a:pPr>
                <a:r>
                  <a:rPr lang="en-US" sz="800" b="0">
                    <a:latin typeface="Times New Roman" pitchFamily="18" charset="0"/>
                    <a:cs typeface="+mj-cs"/>
                  </a:rPr>
                  <a:t>Normalized Si</a:t>
                </a:r>
                <a:r>
                  <a:rPr lang="en-US" sz="800" b="0" baseline="30000">
                    <a:latin typeface="Times New Roman" pitchFamily="18" charset="0"/>
                    <a:cs typeface="+mj-cs"/>
                  </a:rPr>
                  <a:t>+4</a:t>
                </a:r>
                <a:r>
                  <a:rPr lang="en-US" sz="800" b="0">
                    <a:latin typeface="Times New Roman" pitchFamily="18" charset="0"/>
                    <a:cs typeface="+mj-cs"/>
                  </a:rPr>
                  <a:t> ion (ppm</a:t>
                </a:r>
                <a:r>
                  <a:rPr lang="en-US" sz="800" b="0">
                    <a:cs typeface="+mj-cs"/>
                  </a:rPr>
                  <a:t>)</a:t>
                </a:r>
              </a:p>
            </c:rich>
          </c:tx>
          <c:layout>
            <c:manualLayout>
              <c:xMode val="edge"/>
              <c:yMode val="edge"/>
              <c:x val="3.0286789650829644E-3"/>
              <c:y val="9.5680017052411831E-2"/>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85791872"/>
        <c:crosses val="autoZero"/>
        <c:crossBetween val="midCat"/>
      </c:valAx>
      <c:spPr>
        <a:ln>
          <a:solidFill>
            <a:schemeClr val="tx1"/>
          </a:solidFill>
        </a:ln>
      </c:spPr>
    </c:plotArea>
    <c:legend>
      <c:legendPos val="b"/>
      <c:layout>
        <c:manualLayout>
          <c:xMode val="edge"/>
          <c:yMode val="edge"/>
          <c:x val="0.12259033590874467"/>
          <c:y val="8.3806780247481241E-2"/>
          <c:w val="0.50541152176501947"/>
          <c:h val="0.20031536034796549"/>
        </c:manualLayout>
      </c:layout>
      <c:txPr>
        <a:bodyPr/>
        <a:lstStyle/>
        <a:p>
          <a:pPr>
            <a:defRPr lang="ar-EG" sz="800" b="0" baseline="0">
              <a:latin typeface="Times New Roman" pitchFamily="18" charset="0"/>
              <a:cs typeface="+mj-cs"/>
            </a:defRPr>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7983832371209263"/>
          <c:y val="3.7124615297603802E-2"/>
          <c:w val="0.74726058203767032"/>
          <c:h val="0.70692447467735264"/>
        </c:manualLayout>
      </c:layout>
      <c:scatterChart>
        <c:scatterStyle val="lineMarker"/>
        <c:ser>
          <c:idx val="0"/>
          <c:order val="0"/>
          <c:tx>
            <c:v>Base line</c:v>
          </c:tx>
          <c:spPr>
            <a:ln w="28575">
              <a:solidFill>
                <a:schemeClr val="tx1"/>
              </a:solidFill>
            </a:ln>
          </c:spPr>
          <c:marker>
            <c:symbol val="circle"/>
            <c:size val="6"/>
            <c:spPr>
              <a:noFill/>
              <a:ln w="19050">
                <a:solidFill>
                  <a:schemeClr val="tx1"/>
                </a:solidFill>
              </a:ln>
            </c:spPr>
          </c:marker>
          <c:xVal>
            <c:numRef>
              <c:f>Sheet1!$C$4:$C$9</c:f>
              <c:numCache>
                <c:formatCode>General</c:formatCode>
                <c:ptCount val="6"/>
                <c:pt idx="0">
                  <c:v>0</c:v>
                </c:pt>
                <c:pt idx="1">
                  <c:v>24</c:v>
                </c:pt>
                <c:pt idx="2">
                  <c:v>168</c:v>
                </c:pt>
                <c:pt idx="3">
                  <c:v>336</c:v>
                </c:pt>
                <c:pt idx="4">
                  <c:v>504</c:v>
                </c:pt>
                <c:pt idx="5">
                  <c:v>1000</c:v>
                </c:pt>
              </c:numCache>
            </c:numRef>
          </c:xVal>
          <c:yVal>
            <c:numRef>
              <c:f>Sheet1!$L$4:$L$9</c:f>
              <c:numCache>
                <c:formatCode>General</c:formatCode>
                <c:ptCount val="6"/>
                <c:pt idx="0">
                  <c:v>0</c:v>
                </c:pt>
                <c:pt idx="1">
                  <c:v>16.891891891891891</c:v>
                </c:pt>
                <c:pt idx="2">
                  <c:v>217.99099099099101</c:v>
                </c:pt>
                <c:pt idx="3">
                  <c:v>546.39639639639654</c:v>
                </c:pt>
                <c:pt idx="4">
                  <c:v>985.58558558558559</c:v>
                </c:pt>
                <c:pt idx="5">
                  <c:v>985.58558558558559</c:v>
                </c:pt>
              </c:numCache>
            </c:numRef>
          </c:yVal>
        </c:ser>
        <c:ser>
          <c:idx val="1"/>
          <c:order val="1"/>
          <c:tx>
            <c:v>CaZn+Magnox</c:v>
          </c:tx>
          <c:spPr>
            <a:ln w="28575">
              <a:solidFill>
                <a:schemeClr val="tx1"/>
              </a:solidFill>
            </a:ln>
          </c:spPr>
          <c:marker>
            <c:symbol val="square"/>
            <c:size val="6"/>
            <c:spPr>
              <a:noFill/>
              <a:ln w="19050">
                <a:solidFill>
                  <a:schemeClr val="tx1"/>
                </a:solidFill>
              </a:ln>
            </c:spPr>
          </c:marker>
          <c:xVal>
            <c:numRef>
              <c:f>Sheet1!$C$12:$C$17</c:f>
              <c:numCache>
                <c:formatCode>General</c:formatCode>
                <c:ptCount val="6"/>
                <c:pt idx="0">
                  <c:v>0</c:v>
                </c:pt>
                <c:pt idx="1">
                  <c:v>24</c:v>
                </c:pt>
                <c:pt idx="2">
                  <c:v>168</c:v>
                </c:pt>
                <c:pt idx="3">
                  <c:v>336</c:v>
                </c:pt>
                <c:pt idx="4">
                  <c:v>504</c:v>
                </c:pt>
                <c:pt idx="5">
                  <c:v>1000</c:v>
                </c:pt>
              </c:numCache>
            </c:numRef>
          </c:xVal>
          <c:yVal>
            <c:numRef>
              <c:f>Sheet1!$L$12:$L$17</c:f>
              <c:numCache>
                <c:formatCode>General</c:formatCode>
                <c:ptCount val="6"/>
                <c:pt idx="0">
                  <c:v>0</c:v>
                </c:pt>
                <c:pt idx="1">
                  <c:v>7.6148723640399245</c:v>
                </c:pt>
                <c:pt idx="2">
                  <c:v>123.66259711431741</c:v>
                </c:pt>
                <c:pt idx="3">
                  <c:v>368.21309655937824</c:v>
                </c:pt>
                <c:pt idx="4">
                  <c:v>650.4994450610435</c:v>
                </c:pt>
                <c:pt idx="5">
                  <c:v>650.4994450610435</c:v>
                </c:pt>
              </c:numCache>
            </c:numRef>
          </c:yVal>
        </c:ser>
        <c:ser>
          <c:idx val="2"/>
          <c:order val="2"/>
          <c:tx>
            <c:v>Blend</c:v>
          </c:tx>
          <c:spPr>
            <a:ln w="28575">
              <a:solidFill>
                <a:schemeClr val="tx1"/>
              </a:solidFill>
            </a:ln>
          </c:spPr>
          <c:marker>
            <c:symbol val="triangle"/>
            <c:size val="7"/>
            <c:spPr>
              <a:noFill/>
              <a:ln w="19050">
                <a:solidFill>
                  <a:schemeClr val="tx1"/>
                </a:solidFill>
              </a:ln>
            </c:spPr>
          </c:marker>
          <c:xVal>
            <c:numRef>
              <c:f>Sheet1!$C$20:$C$25</c:f>
              <c:numCache>
                <c:formatCode>General</c:formatCode>
                <c:ptCount val="6"/>
                <c:pt idx="0">
                  <c:v>0</c:v>
                </c:pt>
                <c:pt idx="1">
                  <c:v>24</c:v>
                </c:pt>
                <c:pt idx="2">
                  <c:v>168</c:v>
                </c:pt>
                <c:pt idx="3">
                  <c:v>336</c:v>
                </c:pt>
                <c:pt idx="4">
                  <c:v>504</c:v>
                </c:pt>
                <c:pt idx="5">
                  <c:v>1000</c:v>
                </c:pt>
              </c:numCache>
            </c:numRef>
          </c:xVal>
          <c:yVal>
            <c:numRef>
              <c:f>Sheet1!$L$20:$L$25</c:f>
              <c:numCache>
                <c:formatCode>General</c:formatCode>
                <c:ptCount val="6"/>
                <c:pt idx="0">
                  <c:v>0</c:v>
                </c:pt>
                <c:pt idx="1">
                  <c:v>10.091236494597839</c:v>
                </c:pt>
                <c:pt idx="2">
                  <c:v>41.444177671067841</c:v>
                </c:pt>
                <c:pt idx="3">
                  <c:v>174.8859543817527</c:v>
                </c:pt>
                <c:pt idx="4">
                  <c:v>314.40576230492201</c:v>
                </c:pt>
                <c:pt idx="5">
                  <c:v>314.40576230492201</c:v>
                </c:pt>
              </c:numCache>
            </c:numRef>
          </c:yVal>
        </c:ser>
        <c:axId val="104891904"/>
        <c:axId val="104928768"/>
      </c:scatterChart>
      <c:valAx>
        <c:axId val="104891904"/>
        <c:scaling>
          <c:orientation val="minMax"/>
          <c:max val="1000"/>
        </c:scaling>
        <c:axPos val="b"/>
        <c:title>
          <c:tx>
            <c:rich>
              <a:bodyPr/>
              <a:lstStyle/>
              <a:p>
                <a:pPr>
                  <a:defRPr lang="ar-EG" sz="800">
                    <a:cs typeface="+mj-cs"/>
                  </a:defRPr>
                </a:pPr>
                <a:r>
                  <a:rPr lang="en-US" sz="800" b="0">
                    <a:latin typeface="Times New Roman" pitchFamily="18" charset="0"/>
                    <a:cs typeface="Times New Roman" pitchFamily="18" charset="0"/>
                  </a:rPr>
                  <a:t>Release time (hr)</a:t>
                </a:r>
              </a:p>
            </c:rich>
          </c:tx>
          <c:layout>
            <c:manualLayout>
              <c:xMode val="edge"/>
              <c:yMode val="edge"/>
              <c:x val="0.321708685748824"/>
              <c:y val="0.89323870398829686"/>
            </c:manualLayout>
          </c:layout>
        </c:title>
        <c:numFmt formatCode="General" sourceLinked="1"/>
        <c:tickLblPos val="nextTo"/>
        <c:txPr>
          <a:bodyPr/>
          <a:lstStyle/>
          <a:p>
            <a:pPr>
              <a:defRPr lang="ar-EG" sz="800" b="0">
                <a:cs typeface="+mj-cs"/>
              </a:defRPr>
            </a:pPr>
            <a:endParaRPr lang="en-US"/>
          </a:p>
        </c:txPr>
        <c:crossAx val="104928768"/>
        <c:crosses val="autoZero"/>
        <c:crossBetween val="midCat"/>
      </c:valAx>
      <c:valAx>
        <c:axId val="104928768"/>
        <c:scaling>
          <c:orientation val="minMax"/>
        </c:scaling>
        <c:axPos val="l"/>
        <c:title>
          <c:tx>
            <c:rich>
              <a:bodyPr/>
              <a:lstStyle/>
              <a:p>
                <a:pPr>
                  <a:defRPr lang="ar-EG" sz="800">
                    <a:cs typeface="+mj-cs"/>
                  </a:defRPr>
                </a:pPr>
                <a:r>
                  <a:rPr lang="en-US" sz="800" b="0">
                    <a:latin typeface="Times New Roman" pitchFamily="18" charset="0"/>
                    <a:cs typeface="Times New Roman" pitchFamily="18" charset="0"/>
                  </a:rPr>
                  <a:t>Normalized Na</a:t>
                </a:r>
                <a:r>
                  <a:rPr lang="en-US" sz="800" b="0" baseline="30000">
                    <a:latin typeface="Times New Roman" pitchFamily="18" charset="0"/>
                    <a:cs typeface="Times New Roman" pitchFamily="18" charset="0"/>
                  </a:rPr>
                  <a:t>+</a:t>
                </a:r>
                <a:r>
                  <a:rPr lang="en-US" sz="800" b="0" baseline="0">
                    <a:latin typeface="Times New Roman" pitchFamily="18" charset="0"/>
                    <a:cs typeface="Times New Roman" pitchFamily="18" charset="0"/>
                  </a:rPr>
                  <a:t> </a:t>
                </a:r>
                <a:r>
                  <a:rPr lang="en-US" sz="800" b="0">
                    <a:latin typeface="Times New Roman" pitchFamily="18" charset="0"/>
                    <a:cs typeface="Times New Roman" pitchFamily="18" charset="0"/>
                  </a:rPr>
                  <a:t>ion (ppm)</a:t>
                </a:r>
              </a:p>
            </c:rich>
          </c:tx>
          <c:layout>
            <c:manualLayout>
              <c:xMode val="edge"/>
              <c:yMode val="edge"/>
              <c:x val="6.4697820221974842E-4"/>
              <c:y val="6.8286542040989578E-2"/>
            </c:manualLayout>
          </c:layout>
        </c:title>
        <c:numFmt formatCode="General" sourceLinked="1"/>
        <c:tickLblPos val="nextTo"/>
        <c:txPr>
          <a:bodyPr/>
          <a:lstStyle/>
          <a:p>
            <a:pPr>
              <a:defRPr lang="ar-EG" sz="800" b="0" baseline="0">
                <a:latin typeface="Times New Roman" pitchFamily="18" charset="0"/>
                <a:cs typeface="+mj-cs"/>
              </a:defRPr>
            </a:pPr>
            <a:endParaRPr lang="en-US"/>
          </a:p>
        </c:txPr>
        <c:crossAx val="104891904"/>
        <c:crosses val="autoZero"/>
        <c:crossBetween val="midCat"/>
      </c:valAx>
      <c:spPr>
        <a:ln>
          <a:solidFill>
            <a:schemeClr val="tx1"/>
          </a:solidFill>
        </a:ln>
      </c:spPr>
    </c:plotArea>
    <c:legend>
      <c:legendPos val="b"/>
      <c:layout>
        <c:manualLayout>
          <c:xMode val="edge"/>
          <c:yMode val="edge"/>
          <c:x val="0.15230344718784464"/>
          <c:y val="4.6898899924314591E-2"/>
          <c:w val="0.50715369593542958"/>
          <c:h val="0.23817005757276891"/>
        </c:manualLayout>
      </c:layout>
      <c:txPr>
        <a:bodyPr/>
        <a:lstStyle/>
        <a:p>
          <a:pPr>
            <a:defRPr lang="ar-EG" sz="800" b="0" baseline="0">
              <a:latin typeface="Times New Roman" pitchFamily="18" charset="0"/>
              <a:cs typeface="+mj-cs"/>
            </a:defRPr>
          </a:pPr>
          <a:endParaRPr lang="en-US"/>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21174930961176902"/>
          <c:y val="9.8916767257474864E-2"/>
          <c:w val="0.70841749148530997"/>
          <c:h val="0.68909190381492469"/>
        </c:manualLayout>
      </c:layout>
      <c:scatterChart>
        <c:scatterStyle val="lineMarker"/>
        <c:ser>
          <c:idx val="0"/>
          <c:order val="0"/>
          <c:tx>
            <c:v>Base line</c:v>
          </c:tx>
          <c:spPr>
            <a:ln w="28575">
              <a:solidFill>
                <a:schemeClr val="tx1"/>
              </a:solidFill>
            </a:ln>
          </c:spPr>
          <c:marker>
            <c:symbol val="circle"/>
            <c:size val="6"/>
            <c:spPr>
              <a:noFill/>
              <a:ln w="19050">
                <a:solidFill>
                  <a:schemeClr val="tx1"/>
                </a:solidFill>
              </a:ln>
            </c:spPr>
          </c:marker>
          <c:xVal>
            <c:numRef>
              <c:f>Sheet1!$C$4:$C$9</c:f>
              <c:numCache>
                <c:formatCode>General</c:formatCode>
                <c:ptCount val="6"/>
                <c:pt idx="0">
                  <c:v>0</c:v>
                </c:pt>
                <c:pt idx="1">
                  <c:v>24</c:v>
                </c:pt>
                <c:pt idx="2">
                  <c:v>168</c:v>
                </c:pt>
                <c:pt idx="3">
                  <c:v>336</c:v>
                </c:pt>
                <c:pt idx="4">
                  <c:v>504</c:v>
                </c:pt>
                <c:pt idx="5">
                  <c:v>1000</c:v>
                </c:pt>
              </c:numCache>
            </c:numRef>
          </c:xVal>
          <c:yVal>
            <c:numRef>
              <c:f>Sheet1!$K$4:$K$9</c:f>
              <c:numCache>
                <c:formatCode>General</c:formatCode>
                <c:ptCount val="6"/>
                <c:pt idx="0">
                  <c:v>0</c:v>
                </c:pt>
                <c:pt idx="1">
                  <c:v>15.602739726027426</c:v>
                </c:pt>
                <c:pt idx="2">
                  <c:v>165.42922374429222</c:v>
                </c:pt>
                <c:pt idx="3">
                  <c:v>417.62557077625564</c:v>
                </c:pt>
                <c:pt idx="4">
                  <c:v>826.02739726027403</c:v>
                </c:pt>
                <c:pt idx="5">
                  <c:v>826.02739726027403</c:v>
                </c:pt>
              </c:numCache>
            </c:numRef>
          </c:yVal>
        </c:ser>
        <c:ser>
          <c:idx val="1"/>
          <c:order val="1"/>
          <c:tx>
            <c:v>CaZn+Magnox</c:v>
          </c:tx>
          <c:spPr>
            <a:ln w="28575">
              <a:solidFill>
                <a:schemeClr val="tx1"/>
              </a:solidFill>
            </a:ln>
          </c:spPr>
          <c:marker>
            <c:symbol val="square"/>
            <c:size val="6"/>
            <c:spPr>
              <a:noFill/>
              <a:ln w="19050">
                <a:solidFill>
                  <a:schemeClr val="tx1"/>
                </a:solidFill>
              </a:ln>
            </c:spPr>
          </c:marker>
          <c:xVal>
            <c:numRef>
              <c:f>Sheet1!$C$12:$C$17</c:f>
              <c:numCache>
                <c:formatCode>General</c:formatCode>
                <c:ptCount val="6"/>
                <c:pt idx="0">
                  <c:v>0</c:v>
                </c:pt>
                <c:pt idx="1">
                  <c:v>24</c:v>
                </c:pt>
                <c:pt idx="2">
                  <c:v>168</c:v>
                </c:pt>
                <c:pt idx="3">
                  <c:v>336</c:v>
                </c:pt>
                <c:pt idx="4">
                  <c:v>504</c:v>
                </c:pt>
                <c:pt idx="5">
                  <c:v>1000</c:v>
                </c:pt>
              </c:numCache>
            </c:numRef>
          </c:xVal>
          <c:yVal>
            <c:numRef>
              <c:f>Sheet1!$K$12:$K$17</c:f>
              <c:numCache>
                <c:formatCode>General</c:formatCode>
                <c:ptCount val="6"/>
                <c:pt idx="0">
                  <c:v>0</c:v>
                </c:pt>
                <c:pt idx="1">
                  <c:v>3.5649025069637887</c:v>
                </c:pt>
                <c:pt idx="2">
                  <c:v>82.506963788301817</c:v>
                </c:pt>
                <c:pt idx="3">
                  <c:v>234.36768802228565</c:v>
                </c:pt>
                <c:pt idx="4">
                  <c:v>548.52367688022287</c:v>
                </c:pt>
                <c:pt idx="5">
                  <c:v>548.52367688022287</c:v>
                </c:pt>
              </c:numCache>
            </c:numRef>
          </c:yVal>
        </c:ser>
        <c:ser>
          <c:idx val="2"/>
          <c:order val="2"/>
          <c:tx>
            <c:v>Blend</c:v>
          </c:tx>
          <c:spPr>
            <a:ln w="28575">
              <a:solidFill>
                <a:schemeClr val="tx1"/>
              </a:solidFill>
            </a:ln>
          </c:spPr>
          <c:marker>
            <c:symbol val="triangle"/>
            <c:size val="7"/>
            <c:spPr>
              <a:noFill/>
              <a:ln w="19050">
                <a:solidFill>
                  <a:schemeClr val="tx1"/>
                </a:solidFill>
              </a:ln>
            </c:spPr>
          </c:marker>
          <c:xVal>
            <c:numRef>
              <c:f>Sheet1!$C$20:$C$25</c:f>
              <c:numCache>
                <c:formatCode>General</c:formatCode>
                <c:ptCount val="6"/>
                <c:pt idx="0">
                  <c:v>0</c:v>
                </c:pt>
                <c:pt idx="1">
                  <c:v>24</c:v>
                </c:pt>
                <c:pt idx="2">
                  <c:v>168</c:v>
                </c:pt>
                <c:pt idx="3">
                  <c:v>336</c:v>
                </c:pt>
                <c:pt idx="4">
                  <c:v>504</c:v>
                </c:pt>
                <c:pt idx="5">
                  <c:v>1000</c:v>
                </c:pt>
              </c:numCache>
            </c:numRef>
          </c:xVal>
          <c:yVal>
            <c:numRef>
              <c:f>Sheet1!$K$20:$K$25</c:f>
              <c:numCache>
                <c:formatCode>General</c:formatCode>
                <c:ptCount val="6"/>
                <c:pt idx="0">
                  <c:v>0</c:v>
                </c:pt>
                <c:pt idx="1">
                  <c:v>7.2915398660985655</c:v>
                </c:pt>
                <c:pt idx="2">
                  <c:v>58.198417528910532</c:v>
                </c:pt>
                <c:pt idx="3">
                  <c:v>129.21485088253195</c:v>
                </c:pt>
                <c:pt idx="4">
                  <c:v>266.46378575776021</c:v>
                </c:pt>
                <c:pt idx="5">
                  <c:v>266.46378575776021</c:v>
                </c:pt>
              </c:numCache>
            </c:numRef>
          </c:yVal>
        </c:ser>
        <c:axId val="106549248"/>
        <c:axId val="106552320"/>
      </c:scatterChart>
      <c:valAx>
        <c:axId val="106549248"/>
        <c:scaling>
          <c:orientation val="minMax"/>
          <c:max val="1000"/>
        </c:scaling>
        <c:axPos val="b"/>
        <c:title>
          <c:tx>
            <c:rich>
              <a:bodyPr/>
              <a:lstStyle/>
              <a:p>
                <a:pPr>
                  <a:defRPr lang="ar-EG" sz="800" b="0">
                    <a:cs typeface="+mj-cs"/>
                  </a:defRPr>
                </a:pPr>
                <a:r>
                  <a:rPr lang="en-US" sz="800" b="0">
                    <a:latin typeface="Times New Roman" pitchFamily="18" charset="0"/>
                    <a:cs typeface="Times New Roman" pitchFamily="18" charset="0"/>
                  </a:rPr>
                  <a:t>Release time (hr)</a:t>
                </a:r>
              </a:p>
            </c:rich>
          </c:tx>
          <c:layout>
            <c:manualLayout>
              <c:xMode val="edge"/>
              <c:yMode val="edge"/>
              <c:x val="0.4358900517697879"/>
              <c:y val="0.91273620748048534"/>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06552320"/>
        <c:crosses val="autoZero"/>
        <c:crossBetween val="midCat"/>
        <c:majorUnit val="200"/>
      </c:valAx>
      <c:valAx>
        <c:axId val="106552320"/>
        <c:scaling>
          <c:orientation val="minMax"/>
        </c:scaling>
        <c:axPos val="l"/>
        <c:title>
          <c:tx>
            <c:rich>
              <a:bodyPr/>
              <a:lstStyle/>
              <a:p>
                <a:pPr>
                  <a:defRPr lang="ar-EG" sz="800">
                    <a:cs typeface="+mj-cs"/>
                  </a:defRPr>
                </a:pPr>
                <a:r>
                  <a:rPr lang="en-US" sz="800" b="0">
                    <a:latin typeface="Times New Roman" pitchFamily="18" charset="0"/>
                    <a:ea typeface="Microsoft Yi Baiti" pitchFamily="66" charset="0"/>
                    <a:cs typeface="Times New Roman" pitchFamily="18" charset="0"/>
                  </a:rPr>
                  <a:t>Normalized B</a:t>
                </a:r>
                <a:r>
                  <a:rPr lang="en-US" sz="800" b="0" baseline="30000">
                    <a:latin typeface="Times New Roman" pitchFamily="18" charset="0"/>
                    <a:ea typeface="Microsoft Yi Baiti" pitchFamily="66" charset="0"/>
                    <a:cs typeface="Times New Roman" pitchFamily="18" charset="0"/>
                  </a:rPr>
                  <a:t>+3</a:t>
                </a:r>
                <a:r>
                  <a:rPr lang="en-US" sz="800" b="0">
                    <a:latin typeface="Times New Roman" pitchFamily="18" charset="0"/>
                    <a:ea typeface="Microsoft Yi Baiti" pitchFamily="66" charset="0"/>
                    <a:cs typeface="Times New Roman" pitchFamily="18" charset="0"/>
                  </a:rPr>
                  <a:t> ion (ppm)</a:t>
                </a:r>
              </a:p>
            </c:rich>
          </c:tx>
          <c:layout>
            <c:manualLayout>
              <c:xMode val="edge"/>
              <c:yMode val="edge"/>
              <c:x val="5.0253270037759704E-3"/>
              <c:y val="0.12669122819205753"/>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06549248"/>
        <c:crosses val="autoZero"/>
        <c:crossBetween val="midCat"/>
      </c:valAx>
      <c:spPr>
        <a:ln>
          <a:solidFill>
            <a:schemeClr val="tx1"/>
          </a:solidFill>
        </a:ln>
      </c:spPr>
    </c:plotArea>
    <c:legend>
      <c:legendPos val="b"/>
      <c:layout>
        <c:manualLayout>
          <c:xMode val="edge"/>
          <c:yMode val="edge"/>
          <c:x val="0.16045490779697694"/>
          <c:y val="0.10111167316526709"/>
          <c:w val="0.42347111762942702"/>
          <c:h val="0.16510370984689934"/>
        </c:manualLayout>
      </c:layout>
      <c:txPr>
        <a:bodyPr/>
        <a:lstStyle/>
        <a:p>
          <a:pPr>
            <a:defRPr lang="ar-EG" sz="800" b="0" kern="100" baseline="0">
              <a:latin typeface="Times New Roman" pitchFamily="18" charset="0"/>
              <a:cs typeface="+mj-cs"/>
            </a:defRPr>
          </a:pPr>
          <a:endParaRPr lang="en-US"/>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6822807292239594"/>
          <c:y val="5.0958992055212433E-2"/>
          <c:w val="0.74986483179485863"/>
          <c:h val="0.59962526561131602"/>
        </c:manualLayout>
      </c:layout>
      <c:scatterChart>
        <c:scatterStyle val="lineMarker"/>
        <c:ser>
          <c:idx val="0"/>
          <c:order val="0"/>
          <c:tx>
            <c:v>Base line</c:v>
          </c:tx>
          <c:spPr>
            <a:ln w="28575">
              <a:solidFill>
                <a:schemeClr val="tx1"/>
              </a:solidFill>
            </a:ln>
          </c:spPr>
          <c:marker>
            <c:symbol val="circle"/>
            <c:size val="6"/>
            <c:spPr>
              <a:noFill/>
              <a:ln w="19050">
                <a:solidFill>
                  <a:schemeClr val="tx1"/>
                </a:solidFill>
              </a:ln>
            </c:spPr>
          </c:marker>
          <c:xVal>
            <c:numRef>
              <c:f>Sheet1!$C$4:$C$9</c:f>
              <c:numCache>
                <c:formatCode>General</c:formatCode>
                <c:ptCount val="6"/>
                <c:pt idx="0">
                  <c:v>0</c:v>
                </c:pt>
                <c:pt idx="1">
                  <c:v>24</c:v>
                </c:pt>
                <c:pt idx="2">
                  <c:v>168</c:v>
                </c:pt>
                <c:pt idx="3">
                  <c:v>336</c:v>
                </c:pt>
                <c:pt idx="4">
                  <c:v>504</c:v>
                </c:pt>
                <c:pt idx="5">
                  <c:v>1000</c:v>
                </c:pt>
              </c:numCache>
            </c:numRef>
          </c:xVal>
          <c:yVal>
            <c:numRef>
              <c:f>Sheet1!$M$4:$M$9</c:f>
              <c:numCache>
                <c:formatCode>General</c:formatCode>
                <c:ptCount val="6"/>
                <c:pt idx="0">
                  <c:v>0</c:v>
                </c:pt>
                <c:pt idx="1">
                  <c:v>8.6962264150943387</c:v>
                </c:pt>
                <c:pt idx="2">
                  <c:v>340</c:v>
                </c:pt>
                <c:pt idx="3">
                  <c:v>1150</c:v>
                </c:pt>
                <c:pt idx="4">
                  <c:v>2284.9056603773602</c:v>
                </c:pt>
                <c:pt idx="5">
                  <c:v>2284.9056603773602</c:v>
                </c:pt>
              </c:numCache>
            </c:numRef>
          </c:yVal>
        </c:ser>
        <c:ser>
          <c:idx val="1"/>
          <c:order val="1"/>
          <c:tx>
            <c:v>CaZn+Magnox</c:v>
          </c:tx>
          <c:spPr>
            <a:ln w="28575">
              <a:solidFill>
                <a:schemeClr val="tx1"/>
              </a:solidFill>
            </a:ln>
          </c:spPr>
          <c:marker>
            <c:symbol val="square"/>
            <c:size val="6"/>
            <c:spPr>
              <a:noFill/>
              <a:ln w="19050">
                <a:solidFill>
                  <a:schemeClr val="tx1"/>
                </a:solidFill>
              </a:ln>
            </c:spPr>
          </c:marker>
          <c:xVal>
            <c:numRef>
              <c:f>Sheet1!$C$12:$C$17</c:f>
              <c:numCache>
                <c:formatCode>General</c:formatCode>
                <c:ptCount val="6"/>
                <c:pt idx="0">
                  <c:v>0</c:v>
                </c:pt>
                <c:pt idx="1">
                  <c:v>24</c:v>
                </c:pt>
                <c:pt idx="2">
                  <c:v>168</c:v>
                </c:pt>
                <c:pt idx="3">
                  <c:v>336</c:v>
                </c:pt>
                <c:pt idx="4">
                  <c:v>504</c:v>
                </c:pt>
                <c:pt idx="5">
                  <c:v>1000</c:v>
                </c:pt>
              </c:numCache>
            </c:numRef>
          </c:xVal>
          <c:yVal>
            <c:numRef>
              <c:f>Sheet1!$M$12:$M$17</c:f>
              <c:numCache>
                <c:formatCode>General</c:formatCode>
                <c:ptCount val="6"/>
                <c:pt idx="0">
                  <c:v>0</c:v>
                </c:pt>
                <c:pt idx="1">
                  <c:v>9.4123222748815163</c:v>
                </c:pt>
                <c:pt idx="2">
                  <c:v>203.58293838862943</c:v>
                </c:pt>
                <c:pt idx="3">
                  <c:v>901.84834123222754</c:v>
                </c:pt>
                <c:pt idx="4">
                  <c:v>1740.7582938388598</c:v>
                </c:pt>
                <c:pt idx="5">
                  <c:v>1740.7582938388598</c:v>
                </c:pt>
              </c:numCache>
            </c:numRef>
          </c:yVal>
        </c:ser>
        <c:ser>
          <c:idx val="2"/>
          <c:order val="2"/>
          <c:tx>
            <c:v>Blend</c:v>
          </c:tx>
          <c:spPr>
            <a:ln w="28575">
              <a:solidFill>
                <a:schemeClr val="tx1"/>
              </a:solidFill>
            </a:ln>
          </c:spPr>
          <c:marker>
            <c:symbol val="triangle"/>
            <c:size val="7"/>
            <c:spPr>
              <a:noFill/>
              <a:ln w="19050">
                <a:solidFill>
                  <a:schemeClr val="tx1"/>
                </a:solidFill>
              </a:ln>
            </c:spPr>
          </c:marker>
          <c:xVal>
            <c:numRef>
              <c:f>Sheet1!$C$20:$C$25</c:f>
              <c:numCache>
                <c:formatCode>General</c:formatCode>
                <c:ptCount val="6"/>
                <c:pt idx="0">
                  <c:v>0</c:v>
                </c:pt>
                <c:pt idx="1">
                  <c:v>24</c:v>
                </c:pt>
                <c:pt idx="2">
                  <c:v>168</c:v>
                </c:pt>
                <c:pt idx="3">
                  <c:v>336</c:v>
                </c:pt>
                <c:pt idx="4">
                  <c:v>504</c:v>
                </c:pt>
                <c:pt idx="5">
                  <c:v>1000</c:v>
                </c:pt>
              </c:numCache>
            </c:numRef>
          </c:xVal>
          <c:yVal>
            <c:numRef>
              <c:f>Sheet1!$M$20:$M$25</c:f>
              <c:numCache>
                <c:formatCode>General</c:formatCode>
                <c:ptCount val="6"/>
                <c:pt idx="0">
                  <c:v>0</c:v>
                </c:pt>
                <c:pt idx="1">
                  <c:v>7.2236180904522724</c:v>
                </c:pt>
                <c:pt idx="2">
                  <c:v>27.273869346733662</c:v>
                </c:pt>
                <c:pt idx="3">
                  <c:v>179.87185929648192</c:v>
                </c:pt>
                <c:pt idx="4">
                  <c:v>410.05025125628129</c:v>
                </c:pt>
                <c:pt idx="5">
                  <c:v>410.05025125628129</c:v>
                </c:pt>
              </c:numCache>
            </c:numRef>
          </c:yVal>
        </c:ser>
        <c:axId val="106823040"/>
        <c:axId val="149019648"/>
      </c:scatterChart>
      <c:valAx>
        <c:axId val="106823040"/>
        <c:scaling>
          <c:orientation val="minMax"/>
          <c:max val="1000"/>
        </c:scaling>
        <c:axPos val="b"/>
        <c:title>
          <c:tx>
            <c:rich>
              <a:bodyPr/>
              <a:lstStyle/>
              <a:p>
                <a:pPr>
                  <a:defRPr lang="ar-EG" sz="800"/>
                </a:pPr>
                <a:r>
                  <a:rPr lang="en-US" sz="800" b="0">
                    <a:latin typeface="Times New Roman" pitchFamily="18" charset="0"/>
                    <a:cs typeface="Times New Roman" pitchFamily="18" charset="0"/>
                  </a:rPr>
                  <a:t>Release time (hr)</a:t>
                </a:r>
              </a:p>
            </c:rich>
          </c:tx>
          <c:layout>
            <c:manualLayout>
              <c:xMode val="edge"/>
              <c:yMode val="edge"/>
              <c:x val="0.34716820370860862"/>
              <c:y val="0.89059291075110858"/>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49019648"/>
        <c:crosses val="autoZero"/>
        <c:crossBetween val="midCat"/>
      </c:valAx>
      <c:valAx>
        <c:axId val="149019648"/>
        <c:scaling>
          <c:orientation val="minMax"/>
        </c:scaling>
        <c:axPos val="l"/>
        <c:title>
          <c:tx>
            <c:rich>
              <a:bodyPr/>
              <a:lstStyle/>
              <a:p>
                <a:pPr>
                  <a:defRPr lang="ar-EG" sz="800"/>
                </a:pPr>
                <a:r>
                  <a:rPr lang="en-US" sz="800" b="0">
                    <a:latin typeface="Times New Roman" pitchFamily="18" charset="0"/>
                    <a:cs typeface="Times New Roman" pitchFamily="18" charset="0"/>
                  </a:rPr>
                  <a:t>Normalized Li</a:t>
                </a:r>
                <a:r>
                  <a:rPr lang="en-US" sz="800" b="0" baseline="30000">
                    <a:latin typeface="Times New Roman" pitchFamily="18" charset="0"/>
                    <a:cs typeface="Times New Roman" pitchFamily="18" charset="0"/>
                  </a:rPr>
                  <a:t>+</a:t>
                </a:r>
                <a:r>
                  <a:rPr lang="en-US" sz="800" b="0" baseline="0">
                    <a:latin typeface="Times New Roman" pitchFamily="18" charset="0"/>
                    <a:cs typeface="Times New Roman" pitchFamily="18" charset="0"/>
                  </a:rPr>
                  <a:t> </a:t>
                </a:r>
                <a:r>
                  <a:rPr lang="en-US" sz="800" b="0">
                    <a:latin typeface="Times New Roman" pitchFamily="18" charset="0"/>
                    <a:cs typeface="Times New Roman" pitchFamily="18" charset="0"/>
                  </a:rPr>
                  <a:t>ion (ppm)</a:t>
                </a:r>
              </a:p>
            </c:rich>
          </c:tx>
          <c:layout>
            <c:manualLayout>
              <c:xMode val="edge"/>
              <c:yMode val="edge"/>
              <c:x val="1.0752545623076161E-3"/>
              <c:y val="4.1290565695404256E-2"/>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06823040"/>
        <c:crosses val="autoZero"/>
        <c:crossBetween val="midCat"/>
      </c:valAx>
      <c:spPr>
        <a:ln>
          <a:solidFill>
            <a:schemeClr val="tx1"/>
          </a:solidFill>
        </a:ln>
      </c:spPr>
    </c:plotArea>
    <c:legend>
      <c:legendPos val="b"/>
      <c:layout>
        <c:manualLayout>
          <c:xMode val="edge"/>
          <c:yMode val="edge"/>
          <c:x val="0.14623375519355628"/>
          <c:y val="5.9801326917469012E-2"/>
          <c:w val="0.43349778051836518"/>
          <c:h val="0.24006657292491687"/>
        </c:manualLayout>
      </c:layout>
      <c:txPr>
        <a:bodyPr/>
        <a:lstStyle/>
        <a:p>
          <a:pPr>
            <a:defRPr lang="ar-EG" sz="800" b="0">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7197797102621248"/>
          <c:y val="4.2765401941440108E-2"/>
          <c:w val="0.74926682157208069"/>
          <c:h val="0.73893888825544185"/>
        </c:manualLayout>
      </c:layout>
      <c:scatterChart>
        <c:scatterStyle val="lineMarker"/>
        <c:ser>
          <c:idx val="0"/>
          <c:order val="0"/>
          <c:tx>
            <c:v>Base line</c:v>
          </c:tx>
          <c:spPr>
            <a:ln w="28575">
              <a:solidFill>
                <a:schemeClr val="tx1"/>
              </a:solidFill>
            </a:ln>
          </c:spPr>
          <c:marker>
            <c:symbol val="circle"/>
            <c:size val="6"/>
            <c:spPr>
              <a:noFill/>
              <a:ln w="19050">
                <a:solidFill>
                  <a:schemeClr val="tx1"/>
                </a:solidFill>
              </a:ln>
            </c:spPr>
          </c:marker>
          <c:xVal>
            <c:numRef>
              <c:f>Sheet1!$C$4:$C$9</c:f>
              <c:numCache>
                <c:formatCode>General</c:formatCode>
                <c:ptCount val="6"/>
                <c:pt idx="0">
                  <c:v>0</c:v>
                </c:pt>
                <c:pt idx="1">
                  <c:v>24</c:v>
                </c:pt>
                <c:pt idx="2">
                  <c:v>168</c:v>
                </c:pt>
                <c:pt idx="3">
                  <c:v>336</c:v>
                </c:pt>
                <c:pt idx="4">
                  <c:v>504</c:v>
                </c:pt>
                <c:pt idx="5">
                  <c:v>1000</c:v>
                </c:pt>
              </c:numCache>
            </c:numRef>
          </c:xVal>
          <c:yVal>
            <c:numRef>
              <c:f>Sheet1!$N$4:$N$9</c:f>
              <c:numCache>
                <c:formatCode>General</c:formatCode>
                <c:ptCount val="6"/>
                <c:pt idx="0">
                  <c:v>0</c:v>
                </c:pt>
                <c:pt idx="1">
                  <c:v>5.4102564102564106</c:v>
                </c:pt>
                <c:pt idx="2">
                  <c:v>21.666666666666668</c:v>
                </c:pt>
                <c:pt idx="3">
                  <c:v>52.923076923076962</c:v>
                </c:pt>
                <c:pt idx="4">
                  <c:v>84.794871794871781</c:v>
                </c:pt>
                <c:pt idx="5">
                  <c:v>84.794871794871781</c:v>
                </c:pt>
              </c:numCache>
            </c:numRef>
          </c:yVal>
        </c:ser>
        <c:ser>
          <c:idx val="1"/>
          <c:order val="1"/>
          <c:tx>
            <c:v>CaZn+Magnox</c:v>
          </c:tx>
          <c:spPr>
            <a:ln w="28575">
              <a:solidFill>
                <a:schemeClr val="tx1"/>
              </a:solidFill>
            </a:ln>
          </c:spPr>
          <c:marker>
            <c:symbol val="square"/>
            <c:size val="6"/>
            <c:spPr>
              <a:noFill/>
              <a:ln w="19050">
                <a:solidFill>
                  <a:schemeClr val="tx1"/>
                </a:solidFill>
              </a:ln>
            </c:spPr>
          </c:marker>
          <c:xVal>
            <c:numRef>
              <c:f>Sheet1!$C$12:$C$17</c:f>
              <c:numCache>
                <c:formatCode>General</c:formatCode>
                <c:ptCount val="6"/>
                <c:pt idx="0">
                  <c:v>0</c:v>
                </c:pt>
                <c:pt idx="1">
                  <c:v>24</c:v>
                </c:pt>
                <c:pt idx="2">
                  <c:v>168</c:v>
                </c:pt>
                <c:pt idx="3">
                  <c:v>336</c:v>
                </c:pt>
                <c:pt idx="4">
                  <c:v>504</c:v>
                </c:pt>
                <c:pt idx="5">
                  <c:v>1000</c:v>
                </c:pt>
              </c:numCache>
            </c:numRef>
          </c:xVal>
          <c:yVal>
            <c:numRef>
              <c:f>Sheet1!$N$12:$N$17</c:f>
              <c:numCache>
                <c:formatCode>General</c:formatCode>
                <c:ptCount val="6"/>
                <c:pt idx="0">
                  <c:v>0</c:v>
                </c:pt>
                <c:pt idx="1">
                  <c:v>0.20143884892086344</c:v>
                </c:pt>
                <c:pt idx="2">
                  <c:v>7.4820143884892065</c:v>
                </c:pt>
                <c:pt idx="3">
                  <c:v>40.424460431654033</c:v>
                </c:pt>
                <c:pt idx="4">
                  <c:v>55.985611510791344</c:v>
                </c:pt>
                <c:pt idx="5">
                  <c:v>55.985611510791344</c:v>
                </c:pt>
              </c:numCache>
            </c:numRef>
          </c:yVal>
        </c:ser>
        <c:ser>
          <c:idx val="2"/>
          <c:order val="2"/>
          <c:tx>
            <c:v>Blend</c:v>
          </c:tx>
          <c:spPr>
            <a:ln w="28575">
              <a:solidFill>
                <a:schemeClr val="tx1"/>
              </a:solidFill>
            </a:ln>
          </c:spPr>
          <c:marker>
            <c:symbol val="triangle"/>
            <c:size val="7"/>
            <c:spPr>
              <a:noFill/>
              <a:ln w="19050">
                <a:solidFill>
                  <a:schemeClr val="tx1"/>
                </a:solidFill>
              </a:ln>
            </c:spPr>
          </c:marker>
          <c:xVal>
            <c:numRef>
              <c:f>Sheet1!$C$20:$C$25</c:f>
              <c:numCache>
                <c:formatCode>General</c:formatCode>
                <c:ptCount val="6"/>
                <c:pt idx="0">
                  <c:v>0</c:v>
                </c:pt>
                <c:pt idx="1">
                  <c:v>24</c:v>
                </c:pt>
                <c:pt idx="2">
                  <c:v>168</c:v>
                </c:pt>
                <c:pt idx="3">
                  <c:v>336</c:v>
                </c:pt>
                <c:pt idx="4">
                  <c:v>504</c:v>
                </c:pt>
                <c:pt idx="5">
                  <c:v>1000</c:v>
                </c:pt>
              </c:numCache>
            </c:numRef>
          </c:xVal>
          <c:yVal>
            <c:numRef>
              <c:f>Sheet1!$N$20:$N$25</c:f>
              <c:numCache>
                <c:formatCode>General</c:formatCode>
                <c:ptCount val="6"/>
                <c:pt idx="0">
                  <c:v>0</c:v>
                </c:pt>
                <c:pt idx="1">
                  <c:v>5.3169491525423824</c:v>
                </c:pt>
                <c:pt idx="2">
                  <c:v>14.103559322033897</c:v>
                </c:pt>
                <c:pt idx="3">
                  <c:v>46.169491525423723</c:v>
                </c:pt>
                <c:pt idx="4">
                  <c:v>69.86440677966101</c:v>
                </c:pt>
                <c:pt idx="5">
                  <c:v>69.86440677966101</c:v>
                </c:pt>
              </c:numCache>
            </c:numRef>
          </c:yVal>
        </c:ser>
        <c:axId val="154626304"/>
        <c:axId val="154653440"/>
      </c:scatterChart>
      <c:valAx>
        <c:axId val="154626304"/>
        <c:scaling>
          <c:orientation val="minMax"/>
          <c:max val="1000"/>
        </c:scaling>
        <c:axPos val="b"/>
        <c:title>
          <c:tx>
            <c:rich>
              <a:bodyPr/>
              <a:lstStyle/>
              <a:p>
                <a:pPr>
                  <a:defRPr lang="ar-EG" sz="800">
                    <a:latin typeface="Times New Roman" pitchFamily="18" charset="0"/>
                    <a:cs typeface="Times New Roman" pitchFamily="18" charset="0"/>
                  </a:defRPr>
                </a:pPr>
                <a:r>
                  <a:rPr lang="en-US" sz="800" b="0">
                    <a:latin typeface="Times New Roman" pitchFamily="18" charset="0"/>
                    <a:cs typeface="Times New Roman" pitchFamily="18" charset="0"/>
                  </a:rPr>
                  <a:t>Release time (hr)</a:t>
                </a:r>
              </a:p>
            </c:rich>
          </c:tx>
          <c:layout>
            <c:manualLayout>
              <c:xMode val="edge"/>
              <c:yMode val="edge"/>
              <c:x val="0.39181365087892223"/>
              <c:y val="0.90041418034198495"/>
            </c:manualLayout>
          </c:layout>
        </c:title>
        <c:numFmt formatCode="General" sourceLinked="1"/>
        <c:tickLblPos val="nextTo"/>
        <c:txPr>
          <a:bodyPr/>
          <a:lstStyle/>
          <a:p>
            <a:pPr>
              <a:defRPr lang="ar-EG" sz="800" b="0">
                <a:cs typeface="+mj-cs"/>
              </a:defRPr>
            </a:pPr>
            <a:endParaRPr lang="en-US"/>
          </a:p>
        </c:txPr>
        <c:crossAx val="154653440"/>
        <c:crosses val="autoZero"/>
        <c:crossBetween val="midCat"/>
      </c:valAx>
      <c:valAx>
        <c:axId val="154653440"/>
        <c:scaling>
          <c:orientation val="minMax"/>
        </c:scaling>
        <c:axPos val="l"/>
        <c:title>
          <c:tx>
            <c:rich>
              <a:bodyPr/>
              <a:lstStyle/>
              <a:p>
                <a:pPr>
                  <a:defRPr lang="ar-EG" sz="800">
                    <a:cs typeface="+mj-cs"/>
                  </a:defRPr>
                </a:pPr>
                <a:r>
                  <a:rPr lang="en-US" sz="800" b="0" baseline="0">
                    <a:latin typeface="Times New Roman" pitchFamily="18" charset="0"/>
                    <a:cs typeface="+mj-cs"/>
                  </a:rPr>
                  <a:t>Normalized Ca</a:t>
                </a:r>
                <a:r>
                  <a:rPr lang="en-US" sz="800" b="0" baseline="30000">
                    <a:latin typeface="Times New Roman" pitchFamily="18" charset="0"/>
                    <a:cs typeface="+mj-cs"/>
                  </a:rPr>
                  <a:t>+2</a:t>
                </a:r>
                <a:r>
                  <a:rPr lang="en-US" sz="800" b="0">
                    <a:latin typeface="Times New Roman" pitchFamily="18" charset="0"/>
                    <a:cs typeface="+mj-cs"/>
                  </a:rPr>
                  <a:t> ion (ppm</a:t>
                </a:r>
                <a:r>
                  <a:rPr lang="en-US" sz="800" b="0">
                    <a:cs typeface="+mj-cs"/>
                  </a:rPr>
                  <a:t>)</a:t>
                </a:r>
              </a:p>
            </c:rich>
          </c:tx>
          <c:layout>
            <c:manualLayout>
              <c:xMode val="edge"/>
              <c:yMode val="edge"/>
              <c:x val="3.3809930441990395E-3"/>
              <c:y val="2.5180484078041528E-2"/>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54626304"/>
        <c:crosses val="autoZero"/>
        <c:crossBetween val="midCat"/>
      </c:valAx>
      <c:spPr>
        <a:ln>
          <a:solidFill>
            <a:schemeClr val="tx1"/>
          </a:solidFill>
        </a:ln>
      </c:spPr>
    </c:plotArea>
    <c:legend>
      <c:legendPos val="b"/>
      <c:layout>
        <c:manualLayout>
          <c:xMode val="edge"/>
          <c:yMode val="edge"/>
          <c:x val="3.6682873575999177E-2"/>
          <c:y val="4.4572336317834922E-2"/>
          <c:w val="0.54918481282360165"/>
          <c:h val="0.22283140497039067"/>
        </c:manualLayout>
      </c:layout>
      <c:txPr>
        <a:bodyPr/>
        <a:lstStyle/>
        <a:p>
          <a:pPr>
            <a:defRPr lang="ar-EG" sz="800" b="0" baseline="0">
              <a:latin typeface="Times New Roman" pitchFamily="18" charset="0"/>
              <a:cs typeface="+mj-cs"/>
            </a:defRPr>
          </a:pPr>
          <a:endParaRPr lang="en-US"/>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22465749865735496"/>
          <c:y val="6.5289465086857679E-2"/>
          <c:w val="0.69209063276946892"/>
          <c:h val="0.70082385535142167"/>
        </c:manualLayout>
      </c:layout>
      <c:scatterChart>
        <c:scatterStyle val="lineMarker"/>
        <c:ser>
          <c:idx val="0"/>
          <c:order val="0"/>
          <c:tx>
            <c:v>Base line</c:v>
          </c:tx>
          <c:spPr>
            <a:ln w="28575">
              <a:solidFill>
                <a:schemeClr val="tx1"/>
              </a:solidFill>
            </a:ln>
          </c:spPr>
          <c:marker>
            <c:symbol val="circle"/>
            <c:size val="6"/>
            <c:spPr>
              <a:noFill/>
              <a:ln w="19050">
                <a:solidFill>
                  <a:schemeClr val="tx1"/>
                </a:solidFill>
              </a:ln>
            </c:spPr>
          </c:marker>
          <c:xVal>
            <c:numRef>
              <c:f>Sheet1!$C$4:$C$9</c:f>
              <c:numCache>
                <c:formatCode>General</c:formatCode>
                <c:ptCount val="6"/>
                <c:pt idx="0">
                  <c:v>0</c:v>
                </c:pt>
                <c:pt idx="1">
                  <c:v>24</c:v>
                </c:pt>
                <c:pt idx="2">
                  <c:v>168</c:v>
                </c:pt>
                <c:pt idx="3">
                  <c:v>336</c:v>
                </c:pt>
                <c:pt idx="4">
                  <c:v>504</c:v>
                </c:pt>
                <c:pt idx="5">
                  <c:v>1000</c:v>
                </c:pt>
              </c:numCache>
            </c:numRef>
          </c:xVal>
          <c:yVal>
            <c:numRef>
              <c:f>Sheet1!$O$4:$O$9</c:f>
              <c:numCache>
                <c:formatCode>General</c:formatCode>
                <c:ptCount val="6"/>
                <c:pt idx="0">
                  <c:v>0</c:v>
                </c:pt>
                <c:pt idx="1">
                  <c:v>0.94193548387096759</c:v>
                </c:pt>
                <c:pt idx="2">
                  <c:v>9.6774193548387206</c:v>
                </c:pt>
                <c:pt idx="3">
                  <c:v>25.806451612903228</c:v>
                </c:pt>
                <c:pt idx="4">
                  <c:v>38.70967741935484</c:v>
                </c:pt>
                <c:pt idx="5">
                  <c:v>38.70967741935484</c:v>
                </c:pt>
              </c:numCache>
            </c:numRef>
          </c:yVal>
        </c:ser>
        <c:ser>
          <c:idx val="1"/>
          <c:order val="1"/>
          <c:tx>
            <c:v>CaZn+Magnox</c:v>
          </c:tx>
          <c:spPr>
            <a:ln w="28575">
              <a:solidFill>
                <a:schemeClr val="tx1"/>
              </a:solidFill>
            </a:ln>
          </c:spPr>
          <c:marker>
            <c:symbol val="square"/>
            <c:size val="6"/>
            <c:spPr>
              <a:noFill/>
              <a:ln w="19050">
                <a:solidFill>
                  <a:schemeClr val="tx1"/>
                </a:solidFill>
              </a:ln>
            </c:spPr>
          </c:marker>
          <c:xVal>
            <c:numRef>
              <c:f>Sheet1!$C$12:$C$17</c:f>
              <c:numCache>
                <c:formatCode>General</c:formatCode>
                <c:ptCount val="6"/>
                <c:pt idx="0">
                  <c:v>0</c:v>
                </c:pt>
                <c:pt idx="1">
                  <c:v>24</c:v>
                </c:pt>
                <c:pt idx="2">
                  <c:v>168</c:v>
                </c:pt>
                <c:pt idx="3">
                  <c:v>336</c:v>
                </c:pt>
                <c:pt idx="4">
                  <c:v>504</c:v>
                </c:pt>
                <c:pt idx="5">
                  <c:v>1000</c:v>
                </c:pt>
              </c:numCache>
            </c:numRef>
          </c:xVal>
          <c:yVal>
            <c:numRef>
              <c:f>Sheet1!$O$12:$O$17</c:f>
              <c:numCache>
                <c:formatCode>General</c:formatCode>
                <c:ptCount val="6"/>
                <c:pt idx="0">
                  <c:v>0</c:v>
                </c:pt>
                <c:pt idx="1">
                  <c:v>1.8199513381995136</c:v>
                </c:pt>
                <c:pt idx="2">
                  <c:v>1.5085158150851579</c:v>
                </c:pt>
                <c:pt idx="3">
                  <c:v>7.9245742092456446</c:v>
                </c:pt>
                <c:pt idx="4">
                  <c:v>11.328467153284672</c:v>
                </c:pt>
                <c:pt idx="5">
                  <c:v>11.328467153284672</c:v>
                </c:pt>
              </c:numCache>
            </c:numRef>
          </c:yVal>
        </c:ser>
        <c:ser>
          <c:idx val="2"/>
          <c:order val="2"/>
          <c:tx>
            <c:v>Blend</c:v>
          </c:tx>
          <c:spPr>
            <a:ln w="28575">
              <a:solidFill>
                <a:schemeClr val="tx1"/>
              </a:solidFill>
            </a:ln>
          </c:spPr>
          <c:marker>
            <c:symbol val="triangle"/>
            <c:size val="7"/>
            <c:spPr>
              <a:noFill/>
              <a:ln w="19050">
                <a:solidFill>
                  <a:schemeClr val="tx1"/>
                </a:solidFill>
              </a:ln>
            </c:spPr>
          </c:marker>
          <c:xVal>
            <c:numRef>
              <c:f>Sheet1!$C$20:$C$25</c:f>
              <c:numCache>
                <c:formatCode>General</c:formatCode>
                <c:ptCount val="6"/>
                <c:pt idx="0">
                  <c:v>0</c:v>
                </c:pt>
                <c:pt idx="1">
                  <c:v>24</c:v>
                </c:pt>
                <c:pt idx="2">
                  <c:v>168</c:v>
                </c:pt>
                <c:pt idx="3">
                  <c:v>336</c:v>
                </c:pt>
                <c:pt idx="4">
                  <c:v>504</c:v>
                </c:pt>
                <c:pt idx="5">
                  <c:v>1000</c:v>
                </c:pt>
              </c:numCache>
            </c:numRef>
          </c:xVal>
          <c:yVal>
            <c:numRef>
              <c:f>Sheet1!$O$20:$O$25</c:f>
              <c:numCache>
                <c:formatCode>General</c:formatCode>
                <c:ptCount val="6"/>
                <c:pt idx="0">
                  <c:v>0</c:v>
                </c:pt>
                <c:pt idx="1">
                  <c:v>1.2774869109947646</c:v>
                </c:pt>
                <c:pt idx="2">
                  <c:v>5.1769633507853401</c:v>
                </c:pt>
                <c:pt idx="3">
                  <c:v>12.87958115183247</c:v>
                </c:pt>
                <c:pt idx="4">
                  <c:v>19.251308900523529</c:v>
                </c:pt>
                <c:pt idx="5">
                  <c:v>19.251308900523529</c:v>
                </c:pt>
              </c:numCache>
            </c:numRef>
          </c:yVal>
        </c:ser>
        <c:axId val="163888128"/>
        <c:axId val="164022144"/>
      </c:scatterChart>
      <c:valAx>
        <c:axId val="163888128"/>
        <c:scaling>
          <c:orientation val="minMax"/>
          <c:max val="1000"/>
        </c:scaling>
        <c:axPos val="b"/>
        <c:title>
          <c:tx>
            <c:rich>
              <a:bodyPr/>
              <a:lstStyle/>
              <a:p>
                <a:pPr>
                  <a:defRPr lang="ar-EG" sz="800">
                    <a:latin typeface="Times New Roman" pitchFamily="18" charset="0"/>
                    <a:cs typeface="Times New Roman" pitchFamily="18" charset="0"/>
                  </a:defRPr>
                </a:pPr>
                <a:r>
                  <a:rPr lang="en-US" sz="800" b="0">
                    <a:latin typeface="Times New Roman" pitchFamily="18" charset="0"/>
                    <a:cs typeface="Times New Roman" pitchFamily="18" charset="0"/>
                  </a:rPr>
                  <a:t>Release time (hr)</a:t>
                </a:r>
              </a:p>
            </c:rich>
          </c:tx>
          <c:layout>
            <c:manualLayout>
              <c:xMode val="edge"/>
              <c:yMode val="edge"/>
              <c:x val="0.4414339759800639"/>
              <c:y val="0.89998687664042065"/>
            </c:manualLayout>
          </c:layout>
        </c:title>
        <c:numFmt formatCode="General" sourceLinked="1"/>
        <c:tickLblPos val="nextTo"/>
        <c:txPr>
          <a:bodyPr/>
          <a:lstStyle/>
          <a:p>
            <a:pPr>
              <a:defRPr lang="ar-EG" sz="800" b="0">
                <a:cs typeface="+mj-cs"/>
              </a:defRPr>
            </a:pPr>
            <a:endParaRPr lang="en-US"/>
          </a:p>
        </c:txPr>
        <c:crossAx val="164022144"/>
        <c:crosses val="autoZero"/>
        <c:crossBetween val="midCat"/>
      </c:valAx>
      <c:valAx>
        <c:axId val="164022144"/>
        <c:scaling>
          <c:orientation val="minMax"/>
        </c:scaling>
        <c:axPos val="l"/>
        <c:title>
          <c:tx>
            <c:rich>
              <a:bodyPr/>
              <a:lstStyle/>
              <a:p>
                <a:pPr>
                  <a:defRPr lang="ar-EG" sz="800">
                    <a:latin typeface="Times New Roman" pitchFamily="18" charset="0"/>
                    <a:cs typeface="Times New Roman" pitchFamily="18" charset="0"/>
                  </a:defRPr>
                </a:pPr>
                <a:r>
                  <a:rPr lang="en-US" sz="800" b="0" baseline="0">
                    <a:latin typeface="Times New Roman" pitchFamily="18" charset="0"/>
                    <a:cs typeface="Times New Roman" pitchFamily="18" charset="0"/>
                  </a:rPr>
                  <a:t>Normalized Al</a:t>
                </a:r>
                <a:r>
                  <a:rPr lang="en-US" sz="800" b="0" baseline="30000">
                    <a:latin typeface="Times New Roman" pitchFamily="18" charset="0"/>
                    <a:cs typeface="Times New Roman" pitchFamily="18" charset="0"/>
                  </a:rPr>
                  <a:t>+3</a:t>
                </a:r>
                <a:r>
                  <a:rPr lang="en-US" sz="800" b="0">
                    <a:latin typeface="Times New Roman" pitchFamily="18" charset="0"/>
                    <a:cs typeface="Times New Roman" pitchFamily="18" charset="0"/>
                  </a:rPr>
                  <a:t> ion (ppm)</a:t>
                </a:r>
              </a:p>
            </c:rich>
          </c:tx>
          <c:layout>
            <c:manualLayout>
              <c:xMode val="edge"/>
              <c:yMode val="edge"/>
              <c:x val="3.2166649549549252E-3"/>
              <c:y val="5.3362247799484563E-2"/>
            </c:manualLayout>
          </c:layout>
        </c:title>
        <c:numFmt formatCode="General" sourceLinked="1"/>
        <c:tickLblPos val="nextTo"/>
        <c:txPr>
          <a:bodyPr/>
          <a:lstStyle/>
          <a:p>
            <a:pPr>
              <a:defRPr lang="ar-EG" sz="800" b="0">
                <a:latin typeface="Times New Roman" pitchFamily="18" charset="0"/>
                <a:cs typeface="Times New Roman" pitchFamily="18" charset="0"/>
              </a:defRPr>
            </a:pPr>
            <a:endParaRPr lang="en-US"/>
          </a:p>
        </c:txPr>
        <c:crossAx val="163888128"/>
        <c:crosses val="autoZero"/>
        <c:crossBetween val="midCat"/>
      </c:valAx>
      <c:spPr>
        <a:ln>
          <a:solidFill>
            <a:schemeClr val="tx1"/>
          </a:solidFill>
        </a:ln>
      </c:spPr>
    </c:plotArea>
    <c:legend>
      <c:legendPos val="b"/>
      <c:layout>
        <c:manualLayout>
          <c:xMode val="edge"/>
          <c:yMode val="edge"/>
          <c:x val="0.17888253773918464"/>
          <c:y val="6.9060624923535527E-2"/>
          <c:w val="0.42673339230281798"/>
          <c:h val="0.20408764148571598"/>
        </c:manualLayout>
      </c:layout>
      <c:txPr>
        <a:bodyPr/>
        <a:lstStyle/>
        <a:p>
          <a:pPr>
            <a:defRPr lang="ar-EG" sz="800" b="0" baseline="0">
              <a:latin typeface="Times New Roman" pitchFamily="18" charset="0"/>
              <a:cs typeface="+mj-cs"/>
            </a:defRPr>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7657292838395167"/>
          <c:y val="5.4320987654322125E-2"/>
          <c:w val="0.6847620276973575"/>
          <c:h val="0.72622222222222221"/>
        </c:manualLayout>
      </c:layout>
      <c:scatterChart>
        <c:scatterStyle val="lineMarker"/>
        <c:ser>
          <c:idx val="0"/>
          <c:order val="0"/>
          <c:tx>
            <c:strRef>
              <c:f>'[OF ion release.xlsx]Sheet1'!$D$39</c:f>
              <c:strCache>
                <c:ptCount val="1"/>
                <c:pt idx="0">
                  <c:v>Base line</c:v>
                </c:pt>
              </c:strCache>
            </c:strRef>
          </c:tx>
          <c:spPr>
            <a:ln w="28575">
              <a:noFill/>
            </a:ln>
          </c:spPr>
          <c:marker>
            <c:spPr>
              <a:solidFill>
                <a:schemeClr val="tx1"/>
              </a:solidFill>
              <a:ln>
                <a:solidFill>
                  <a:schemeClr val="tx1"/>
                </a:solidFill>
              </a:ln>
            </c:spPr>
          </c:marker>
          <c:xVal>
            <c:numRef>
              <c:f>'[OF ion release.xlsx]Sheet1'!$C$40:$C$45</c:f>
              <c:numCache>
                <c:formatCode>General</c:formatCode>
                <c:ptCount val="6"/>
                <c:pt idx="0">
                  <c:v>1.56</c:v>
                </c:pt>
                <c:pt idx="1">
                  <c:v>1.45</c:v>
                </c:pt>
                <c:pt idx="2">
                  <c:v>0.84000000000000064</c:v>
                </c:pt>
                <c:pt idx="3">
                  <c:v>0.33000000000000357</c:v>
                </c:pt>
                <c:pt idx="4">
                  <c:v>0.19</c:v>
                </c:pt>
                <c:pt idx="5">
                  <c:v>0.13</c:v>
                </c:pt>
              </c:numCache>
            </c:numRef>
          </c:xVal>
          <c:yVal>
            <c:numRef>
              <c:f>'[OF ion release.xlsx]Sheet1'!$D$40:$D$45</c:f>
              <c:numCache>
                <c:formatCode>General</c:formatCode>
                <c:ptCount val="6"/>
                <c:pt idx="0">
                  <c:v>231.76661264181362</c:v>
                </c:pt>
                <c:pt idx="1">
                  <c:v>280.63926940639266</c:v>
                </c:pt>
                <c:pt idx="2">
                  <c:v>248.07</c:v>
                </c:pt>
                <c:pt idx="3">
                  <c:v>318</c:v>
                </c:pt>
                <c:pt idx="4">
                  <c:v>366.21621621621074</c:v>
                </c:pt>
                <c:pt idx="5">
                  <c:v>395.28301886792036</c:v>
                </c:pt>
              </c:numCache>
            </c:numRef>
          </c:yVal>
        </c:ser>
        <c:ser>
          <c:idx val="1"/>
          <c:order val="1"/>
          <c:tx>
            <c:strRef>
              <c:f>'[OF ion release.xlsx]Sheet1'!$E$39</c:f>
              <c:strCache>
                <c:ptCount val="1"/>
                <c:pt idx="0">
                  <c:v>CaZn+Magnox</c:v>
                </c:pt>
              </c:strCache>
            </c:strRef>
          </c:tx>
          <c:spPr>
            <a:ln w="28575">
              <a:noFill/>
            </a:ln>
          </c:spPr>
          <c:xVal>
            <c:numRef>
              <c:f>'[OF ion release.xlsx]Sheet1'!$C$40:$C$45</c:f>
              <c:numCache>
                <c:formatCode>General</c:formatCode>
                <c:ptCount val="6"/>
                <c:pt idx="0">
                  <c:v>1.56</c:v>
                </c:pt>
                <c:pt idx="1">
                  <c:v>1.45</c:v>
                </c:pt>
                <c:pt idx="2">
                  <c:v>0.84000000000000064</c:v>
                </c:pt>
                <c:pt idx="3">
                  <c:v>0.33000000000000357</c:v>
                </c:pt>
                <c:pt idx="4">
                  <c:v>0.19</c:v>
                </c:pt>
                <c:pt idx="5">
                  <c:v>0.13</c:v>
                </c:pt>
              </c:numCache>
            </c:numRef>
          </c:xVal>
          <c:yVal>
            <c:numRef>
              <c:f>'[OF ion release.xlsx]Sheet1'!$E$40:$E$45</c:f>
              <c:numCache>
                <c:formatCode>General</c:formatCode>
                <c:ptCount val="6"/>
                <c:pt idx="0">
                  <c:v>406</c:v>
                </c:pt>
                <c:pt idx="1">
                  <c:v>548</c:v>
                </c:pt>
                <c:pt idx="2">
                  <c:v>750</c:v>
                </c:pt>
                <c:pt idx="3">
                  <c:v>1120</c:v>
                </c:pt>
                <c:pt idx="4">
                  <c:v>1550</c:v>
                </c:pt>
                <c:pt idx="5">
                  <c:v>1740</c:v>
                </c:pt>
              </c:numCache>
            </c:numRef>
          </c:yVal>
        </c:ser>
        <c:ser>
          <c:idx val="2"/>
          <c:order val="2"/>
          <c:tx>
            <c:strRef>
              <c:f>'[OF ion release.xlsx]Sheet1'!$F$39</c:f>
              <c:strCache>
                <c:ptCount val="1"/>
                <c:pt idx="0">
                  <c:v>blend</c:v>
                </c:pt>
              </c:strCache>
            </c:strRef>
          </c:tx>
          <c:spPr>
            <a:ln w="28575">
              <a:noFill/>
            </a:ln>
          </c:spPr>
          <c:xVal>
            <c:numRef>
              <c:f>'[OF ion release.xlsx]Sheet1'!$C$40:$C$45</c:f>
              <c:numCache>
                <c:formatCode>General</c:formatCode>
                <c:ptCount val="6"/>
                <c:pt idx="0">
                  <c:v>1.56</c:v>
                </c:pt>
                <c:pt idx="1">
                  <c:v>1.45</c:v>
                </c:pt>
                <c:pt idx="2">
                  <c:v>0.84000000000000064</c:v>
                </c:pt>
                <c:pt idx="3">
                  <c:v>0.33000000000000357</c:v>
                </c:pt>
                <c:pt idx="4">
                  <c:v>0.19</c:v>
                </c:pt>
                <c:pt idx="5">
                  <c:v>0.13</c:v>
                </c:pt>
              </c:numCache>
            </c:numRef>
          </c:xVal>
          <c:yVal>
            <c:numRef>
              <c:f>'[OF ion release.xlsx]Sheet1'!$F$40:$F$45</c:f>
              <c:numCache>
                <c:formatCode>General</c:formatCode>
                <c:ptCount val="6"/>
                <c:pt idx="0">
                  <c:v>244</c:v>
                </c:pt>
                <c:pt idx="1">
                  <c:v>266</c:v>
                </c:pt>
                <c:pt idx="2">
                  <c:v>250</c:v>
                </c:pt>
                <c:pt idx="3">
                  <c:v>269</c:v>
                </c:pt>
                <c:pt idx="4">
                  <c:v>314</c:v>
                </c:pt>
                <c:pt idx="5">
                  <c:v>410</c:v>
                </c:pt>
              </c:numCache>
            </c:numRef>
          </c:yVal>
        </c:ser>
        <c:axId val="164176256"/>
        <c:axId val="164205696"/>
      </c:scatterChart>
      <c:valAx>
        <c:axId val="164176256"/>
        <c:scaling>
          <c:orientation val="minMax"/>
        </c:scaling>
        <c:axPos val="b"/>
        <c:title>
          <c:tx>
            <c:rich>
              <a:bodyPr/>
              <a:lstStyle/>
              <a:p>
                <a:pPr>
                  <a:defRPr lang="ar-EG" b="0"/>
                </a:pPr>
                <a:r>
                  <a:rPr lang="en-US" b="0"/>
                  <a:t>Dietzal's ﬁeld strength</a:t>
                </a:r>
              </a:p>
            </c:rich>
          </c:tx>
          <c:layout>
            <c:manualLayout>
              <c:xMode val="edge"/>
              <c:yMode val="edge"/>
              <c:x val="0.38088538932633853"/>
              <c:y val="0.90340909090909094"/>
            </c:manualLayout>
          </c:layout>
        </c:title>
        <c:numFmt formatCode="#,##0.0" sourceLinked="0"/>
        <c:tickLblPos val="nextTo"/>
        <c:txPr>
          <a:bodyPr/>
          <a:lstStyle/>
          <a:p>
            <a:pPr>
              <a:defRPr lang="ar-EG"/>
            </a:pPr>
            <a:endParaRPr lang="en-US"/>
          </a:p>
        </c:txPr>
        <c:crossAx val="164205696"/>
        <c:crosses val="autoZero"/>
        <c:crossBetween val="midCat"/>
      </c:valAx>
      <c:valAx>
        <c:axId val="164205696"/>
        <c:scaling>
          <c:orientation val="minMax"/>
        </c:scaling>
        <c:axPos val="l"/>
        <c:title>
          <c:tx>
            <c:rich>
              <a:bodyPr/>
              <a:lstStyle/>
              <a:p>
                <a:pPr>
                  <a:defRPr lang="ar-EG" b="0"/>
                </a:pPr>
                <a:r>
                  <a:rPr lang="en-US" b="0"/>
                  <a:t>Normalized release (ppm/hr)</a:t>
                </a:r>
              </a:p>
            </c:rich>
          </c:tx>
          <c:layout>
            <c:manualLayout>
              <c:xMode val="edge"/>
              <c:yMode val="edge"/>
              <c:x val="1.926496892806432E-2"/>
              <c:y val="0.10022358316321724"/>
            </c:manualLayout>
          </c:layout>
        </c:title>
        <c:numFmt formatCode="General" sourceLinked="1"/>
        <c:tickLblPos val="nextTo"/>
        <c:txPr>
          <a:bodyPr/>
          <a:lstStyle/>
          <a:p>
            <a:pPr>
              <a:defRPr lang="ar-EG"/>
            </a:pPr>
            <a:endParaRPr lang="en-US"/>
          </a:p>
        </c:txPr>
        <c:crossAx val="164176256"/>
        <c:crosses val="autoZero"/>
        <c:crossBetween val="midCat"/>
      </c:valAx>
      <c:spPr>
        <a:noFill/>
        <a:ln w="25400">
          <a:solidFill>
            <a:schemeClr val="tx1"/>
          </a:solidFill>
        </a:ln>
      </c:spPr>
    </c:plotArea>
    <c:legend>
      <c:legendPos val="r"/>
      <c:layout>
        <c:manualLayout>
          <c:xMode val="edge"/>
          <c:yMode val="edge"/>
          <c:x val="0.5935753932397797"/>
          <c:y val="0.10273432487605817"/>
          <c:w val="0.24092890028090774"/>
          <c:h val="0.25132108486439197"/>
        </c:manualLayout>
      </c:layout>
      <c:txPr>
        <a:bodyPr/>
        <a:lstStyle/>
        <a:p>
          <a:pPr>
            <a:defRPr lang="ar-EG"/>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lineMarker"/>
        <c:ser>
          <c:idx val="0"/>
          <c:order val="0"/>
          <c:tx>
            <c:strRef>
              <c:f>Sheet1!$I$10</c:f>
              <c:strCache>
                <c:ptCount val="1"/>
                <c:pt idx="0">
                  <c:v>activity</c:v>
                </c:pt>
              </c:strCache>
            </c:strRef>
          </c:tx>
          <c:spPr>
            <a:ln w="28575">
              <a:solidFill>
                <a:schemeClr val="tx1"/>
              </a:solidFill>
            </a:ln>
          </c:spPr>
          <c:marker>
            <c:spPr>
              <a:solidFill>
                <a:schemeClr val="tx1"/>
              </a:solidFill>
              <a:ln>
                <a:solidFill>
                  <a:schemeClr val="tx1"/>
                </a:solidFill>
              </a:ln>
            </c:spPr>
          </c:marker>
          <c:xVal>
            <c:numRef>
              <c:f>Sheet1!$C$11:$C$16</c:f>
              <c:numCache>
                <c:formatCode>General</c:formatCode>
                <c:ptCount val="6"/>
                <c:pt idx="0">
                  <c:v>1.56</c:v>
                </c:pt>
                <c:pt idx="1">
                  <c:v>1.45</c:v>
                </c:pt>
                <c:pt idx="2">
                  <c:v>0.84000000000000064</c:v>
                </c:pt>
                <c:pt idx="3">
                  <c:v>0.33000000000000357</c:v>
                </c:pt>
                <c:pt idx="4">
                  <c:v>0.19</c:v>
                </c:pt>
                <c:pt idx="5">
                  <c:v>0.13</c:v>
                </c:pt>
              </c:numCache>
            </c:numRef>
          </c:xVal>
          <c:yVal>
            <c:numRef>
              <c:f>Sheet1!$I$11:$I$16</c:f>
              <c:numCache>
                <c:formatCode>General</c:formatCode>
                <c:ptCount val="6"/>
                <c:pt idx="0">
                  <c:v>1195.9443121721768</c:v>
                </c:pt>
                <c:pt idx="1">
                  <c:v>1222.2382099800811</c:v>
                </c:pt>
                <c:pt idx="2">
                  <c:v>1069.4411281959499</c:v>
                </c:pt>
                <c:pt idx="3">
                  <c:v>2184.7378699964797</c:v>
                </c:pt>
                <c:pt idx="4">
                  <c:v>3333.4801268637361</c:v>
                </c:pt>
                <c:pt idx="5">
                  <c:v>8670.7630094495871</c:v>
                </c:pt>
              </c:numCache>
            </c:numRef>
          </c:yVal>
        </c:ser>
        <c:axId val="164616064"/>
        <c:axId val="164786944"/>
      </c:scatterChart>
      <c:valAx>
        <c:axId val="164616064"/>
        <c:scaling>
          <c:orientation val="minMax"/>
        </c:scaling>
        <c:axPos val="b"/>
        <c:title>
          <c:tx>
            <c:rich>
              <a:bodyPr/>
              <a:lstStyle/>
              <a:p>
                <a:pPr>
                  <a:defRPr lang="ar-EG" b="0"/>
                </a:pPr>
                <a:r>
                  <a:rPr lang="en-US" b="0"/>
                  <a:t>Dietzal's ﬁeld strength</a:t>
                </a:r>
              </a:p>
            </c:rich>
          </c:tx>
          <c:layout>
            <c:manualLayout>
              <c:xMode val="edge"/>
              <c:yMode val="edge"/>
              <c:x val="0.38088538932633853"/>
              <c:y val="0.90340909090909094"/>
            </c:manualLayout>
          </c:layout>
        </c:title>
        <c:numFmt formatCode="#,##0.0" sourceLinked="0"/>
        <c:tickLblPos val="nextTo"/>
        <c:txPr>
          <a:bodyPr/>
          <a:lstStyle/>
          <a:p>
            <a:pPr>
              <a:defRPr lang="ar-EG"/>
            </a:pPr>
            <a:endParaRPr lang="en-US"/>
          </a:p>
        </c:txPr>
        <c:crossAx val="164786944"/>
        <c:crosses val="autoZero"/>
        <c:crossBetween val="midCat"/>
      </c:valAx>
      <c:valAx>
        <c:axId val="164786944"/>
        <c:scaling>
          <c:orientation val="minMax"/>
        </c:scaling>
        <c:axPos val="l"/>
        <c:title>
          <c:tx>
            <c:rich>
              <a:bodyPr/>
              <a:lstStyle/>
              <a:p>
                <a:pPr>
                  <a:defRPr lang="ar-EG" b="0"/>
                </a:pPr>
                <a:r>
                  <a:rPr lang="en-US" b="0"/>
                  <a:t>chemical</a:t>
                </a:r>
                <a:r>
                  <a:rPr lang="en-US" b="0" baseline="0"/>
                  <a:t> actoivity (J/mol) </a:t>
                </a:r>
                <a:endParaRPr lang="en-US" b="0"/>
              </a:p>
            </c:rich>
          </c:tx>
          <c:layout>
            <c:manualLayout>
              <c:xMode val="edge"/>
              <c:yMode val="edge"/>
              <c:x val="2.2387529427674416E-2"/>
              <c:y val="0.11503839797803052"/>
            </c:manualLayout>
          </c:layout>
        </c:title>
        <c:numFmt formatCode="General" sourceLinked="1"/>
        <c:tickLblPos val="nextTo"/>
        <c:txPr>
          <a:bodyPr/>
          <a:lstStyle/>
          <a:p>
            <a:pPr>
              <a:defRPr lang="ar-EG"/>
            </a:pPr>
            <a:endParaRPr lang="en-US"/>
          </a:p>
        </c:txPr>
        <c:crossAx val="164616064"/>
        <c:crosses val="autoZero"/>
        <c:crossBetween val="midCat"/>
      </c:valAx>
      <c:spPr>
        <a:noFill/>
        <a:ln w="25400">
          <a:solidFill>
            <a:schemeClr val="tx1"/>
          </a:solidFill>
        </a:ln>
      </c:spPr>
    </c:plotArea>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7C82C8CF-E128-4517-9622-E0C2E447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TotalTime>
  <Pages>7</Pages>
  <Words>6153</Words>
  <Characters>35073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Dr Osama</cp:lastModifiedBy>
  <cp:revision>4</cp:revision>
  <cp:lastPrinted>2015-12-01T10:27:00Z</cp:lastPrinted>
  <dcterms:created xsi:type="dcterms:W3CDTF">2021-09-09T11:11:00Z</dcterms:created>
  <dcterms:modified xsi:type="dcterms:W3CDTF">2021-09-09T11:16:00Z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