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DD2E" w14:textId="77777777" w:rsidR="00C36924" w:rsidRDefault="00691601" w:rsidP="00537496">
      <w:pPr>
        <w:pStyle w:val="Ttulo1"/>
      </w:pPr>
      <w:r w:rsidRPr="00691601">
        <w:t>Waste management in a Uranium Enrichment</w:t>
      </w:r>
    </w:p>
    <w:p w14:paraId="1802BBA8" w14:textId="7314751D" w:rsidR="00CE4E28" w:rsidRPr="00D54A1D" w:rsidRDefault="00691601" w:rsidP="00537496">
      <w:pPr>
        <w:pStyle w:val="Ttulo1"/>
        <w:rPr>
          <w:lang w:val="pt-BR"/>
        </w:rPr>
      </w:pPr>
      <w:r w:rsidRPr="00D54A1D">
        <w:rPr>
          <w:lang w:val="pt-BR"/>
        </w:rPr>
        <w:t>Plant</w:t>
      </w:r>
    </w:p>
    <w:p w14:paraId="433FE03F" w14:textId="77777777" w:rsidR="00802381" w:rsidRPr="00D54A1D" w:rsidRDefault="00802381" w:rsidP="00537496">
      <w:pPr>
        <w:pStyle w:val="Authornameandaffiliation"/>
        <w:rPr>
          <w:lang w:val="pt-BR"/>
        </w:rPr>
      </w:pPr>
    </w:p>
    <w:p w14:paraId="433FE040" w14:textId="6EE7341D" w:rsidR="003B5E0E" w:rsidRPr="00D54A1D" w:rsidRDefault="00C36924" w:rsidP="00537496">
      <w:pPr>
        <w:pStyle w:val="Authornameandaffiliation"/>
        <w:rPr>
          <w:lang w:val="pt-BR"/>
        </w:rPr>
      </w:pPr>
      <w:r w:rsidRPr="00D54A1D">
        <w:rPr>
          <w:lang w:val="pt-BR"/>
        </w:rPr>
        <w:t>F.S</w:t>
      </w:r>
      <w:r w:rsidR="00537496" w:rsidRPr="00D54A1D">
        <w:rPr>
          <w:lang w:val="pt-BR"/>
        </w:rPr>
        <w:t>.</w:t>
      </w:r>
      <w:r w:rsidR="00FF386F" w:rsidRPr="00D54A1D">
        <w:rPr>
          <w:lang w:val="pt-BR"/>
        </w:rPr>
        <w:t xml:space="preserve"> </w:t>
      </w:r>
      <w:r w:rsidRPr="00D54A1D">
        <w:rPr>
          <w:lang w:val="pt-BR"/>
        </w:rPr>
        <w:t>PEREIRA</w:t>
      </w:r>
    </w:p>
    <w:p w14:paraId="433FE041" w14:textId="34E60CAC" w:rsidR="00FF386F" w:rsidRPr="00C36924" w:rsidRDefault="00C36924" w:rsidP="00537496">
      <w:pPr>
        <w:pStyle w:val="Authornameandaffiliation"/>
        <w:rPr>
          <w:lang w:val="pt-BR"/>
        </w:rPr>
      </w:pPr>
      <w:proofErr w:type="spellStart"/>
      <w:r w:rsidRPr="00C36924">
        <w:rPr>
          <w:lang w:val="pt-BR"/>
        </w:rPr>
        <w:t>Amazul</w:t>
      </w:r>
      <w:proofErr w:type="spellEnd"/>
    </w:p>
    <w:p w14:paraId="433FE042" w14:textId="37C7EC6C" w:rsidR="00FF386F" w:rsidRPr="00C36924" w:rsidRDefault="00C36924" w:rsidP="00537496">
      <w:pPr>
        <w:pStyle w:val="Authornameandaffiliation"/>
        <w:rPr>
          <w:lang w:val="pt-BR"/>
        </w:rPr>
      </w:pPr>
      <w:r w:rsidRPr="00C36924">
        <w:rPr>
          <w:lang w:val="pt-BR"/>
        </w:rPr>
        <w:t>São Paulo</w:t>
      </w:r>
      <w:r w:rsidR="00FF386F" w:rsidRPr="00C36924">
        <w:rPr>
          <w:lang w:val="pt-BR"/>
        </w:rPr>
        <w:t xml:space="preserve">, </w:t>
      </w:r>
      <w:proofErr w:type="spellStart"/>
      <w:r w:rsidRPr="00C36924">
        <w:rPr>
          <w:lang w:val="pt-BR"/>
        </w:rPr>
        <w:t>Brazil</w:t>
      </w:r>
      <w:proofErr w:type="spellEnd"/>
    </w:p>
    <w:p w14:paraId="433FE043" w14:textId="68A815D5" w:rsidR="00FF386F" w:rsidRPr="00C36924" w:rsidRDefault="00FF386F" w:rsidP="00537496">
      <w:pPr>
        <w:pStyle w:val="Authornameandaffiliation"/>
      </w:pPr>
      <w:r w:rsidRPr="00C36924">
        <w:t xml:space="preserve">Email: </w:t>
      </w:r>
      <w:r w:rsidR="00C36924">
        <w:t>flavio</w:t>
      </w:r>
      <w:r w:rsidR="00C36924" w:rsidRPr="00C36924">
        <w:t>.pereira</w:t>
      </w:r>
      <w:r w:rsidRPr="00C36924">
        <w:t>@</w:t>
      </w:r>
      <w:r w:rsidR="00C36924" w:rsidRPr="00C36924">
        <w:t>amazul.g</w:t>
      </w:r>
      <w:r w:rsidR="00C36924">
        <w:t>ov.br</w:t>
      </w:r>
    </w:p>
    <w:p w14:paraId="433FE044" w14:textId="77777777" w:rsidR="00FF386F" w:rsidRPr="00C36924"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11D233AB" w:rsidR="00647F33" w:rsidRPr="00BD605C" w:rsidRDefault="00D54A1D" w:rsidP="00A554DB">
      <w:pPr>
        <w:pStyle w:val="Abstracttext"/>
        <w:jc w:val="both"/>
      </w:pPr>
      <w:r w:rsidRPr="00D54A1D">
        <w:t>With the population growth and the technological advances, the demand for efficient and environmentally friendly electric power sources is a certainty that all countries will face in a near future. Despite the usual concepts of green energy, one must agree that nuclear energy is one of the few technologies current</w:t>
      </w:r>
      <w:r w:rsidR="00314B3D">
        <w:t>ly</w:t>
      </w:r>
      <w:r w:rsidRPr="00D54A1D">
        <w:t xml:space="preserve"> available with low carbon emissions, highly efficient and it is a promising alternative to be used for carbon capture to reduce global climate change effects. The raw material necessary in nuclear power plants is the nuclear fuel obtained through the enrichment of the uranium isotope, </w:t>
      </w:r>
      <w:r w:rsidRPr="00D54A1D">
        <w:rPr>
          <w:vertAlign w:val="superscript"/>
        </w:rPr>
        <w:t>235</w:t>
      </w:r>
      <w:r w:rsidRPr="00D54A1D">
        <w:t>U, present in the uranium ore. All commercial technologies of uranium enrichment are based on processing uranium hexafluoride (UF</w:t>
      </w:r>
      <w:r w:rsidRPr="00D54A1D">
        <w:rPr>
          <w:vertAlign w:val="subscript"/>
        </w:rPr>
        <w:t>6</w:t>
      </w:r>
      <w:r w:rsidRPr="00D54A1D">
        <w:t>) which is a toxic molecule and must be handle</w:t>
      </w:r>
      <w:r w:rsidR="00314B3D">
        <w:t>d</w:t>
      </w:r>
      <w:r w:rsidRPr="00D54A1D">
        <w:t xml:space="preserve"> properly. Thus, any plant that process UF</w:t>
      </w:r>
      <w:r w:rsidRPr="00D54A1D">
        <w:rPr>
          <w:vertAlign w:val="subscript"/>
        </w:rPr>
        <w:t>6</w:t>
      </w:r>
      <w:r w:rsidRPr="00D54A1D">
        <w:t xml:space="preserve"> must neutralize the molecule in any event that can expose the substance to the atmosphere which will result as process waste. The main goal of this article is to present a literature review of waste management of UF</w:t>
      </w:r>
      <w:r w:rsidRPr="00511DED">
        <w:rPr>
          <w:vertAlign w:val="subscript"/>
        </w:rPr>
        <w:t>6</w:t>
      </w:r>
      <w:r w:rsidRPr="00D54A1D">
        <w:t xml:space="preserve"> used in enrichment plants to produce low enriched uranium, up to 5% of </w:t>
      </w:r>
      <w:r w:rsidRPr="00511DED">
        <w:rPr>
          <w:vertAlign w:val="superscript"/>
        </w:rPr>
        <w:t>235</w:t>
      </w:r>
      <w:r w:rsidRPr="00D54A1D">
        <w:t>U. In this article it is shown the radiological and toxicological aspects of the UF</w:t>
      </w:r>
      <w:r w:rsidRPr="00511DED">
        <w:rPr>
          <w:vertAlign w:val="subscript"/>
        </w:rPr>
        <w:t>6</w:t>
      </w:r>
      <w:r w:rsidRPr="00D54A1D">
        <w:t>, the means to neutralize the molecule and handle gaseous, liquid and solid waste of a Uranium Enrichment Plant</w:t>
      </w:r>
      <w:r w:rsidR="00647F33" w:rsidRPr="00BD605C">
        <w:t>.</w:t>
      </w:r>
    </w:p>
    <w:p w14:paraId="433FE04C" w14:textId="77777777" w:rsidR="00647F33" w:rsidRDefault="00F523CA" w:rsidP="00537496">
      <w:pPr>
        <w:pStyle w:val="Ttulo2"/>
        <w:numPr>
          <w:ilvl w:val="1"/>
          <w:numId w:val="10"/>
        </w:numPr>
      </w:pPr>
      <w:r>
        <w:t>INTRODUCTION</w:t>
      </w:r>
    </w:p>
    <w:p w14:paraId="433FE04E" w14:textId="62B4811C" w:rsidR="00EE0041" w:rsidRDefault="003518E9" w:rsidP="00537496">
      <w:pPr>
        <w:pStyle w:val="Corpodetexto"/>
      </w:pPr>
      <w:r w:rsidRPr="003518E9">
        <w:t xml:space="preserve">The demand for energy </w:t>
      </w:r>
      <w:r w:rsidR="00DB0C19">
        <w:t>increases with</w:t>
      </w:r>
      <w:r w:rsidRPr="003518E9">
        <w:t xml:space="preserve"> human development both in terms of population and technology. Countries' energy demand can be divided into three areas </w:t>
      </w:r>
      <w:r w:rsidR="00764D66">
        <w:rPr>
          <w:rStyle w:val="Refdenotaderodap"/>
        </w:rPr>
        <w:fldChar w:fldCharType="begin" w:fldLock="1"/>
      </w:r>
      <w:r w:rsidR="00764D66">
        <w:instrText>ADDIN CSL_CITATION {"citationItems":[{"id":"ITEM-1","itemData":{"DOI":"10.1016/j.susmat.2014.11.001","ISSN":"22149937","abstract":"Humanity must face the reality that it cannot depend indefinitely on combustion of coal, gas and oil for most of its energy needs. In the unavoidable process of gradually replacing fossil fuels, many energy technologies may be considered and most will be deployed in specific applications. However, in the long term, we argue that nuclear fission technology is the only developed energy source that is capable of delivering the enormous quantities of energy that will be needed to run modern industrial societies safely, economically, reliably and in a sustainable way, both environmentally and as regards the available resource base. Consequently, nuclear fission has to play a major role in this necessary transformation of the 21st century energy-supply system.In a first phase of this necessary global energy transformation, the emphasis should be on converting the major part of the world's electrical energy generation capacity from fossil fuels to nuclear fission. This can realistically be achieved within a few decades, as has already been done in France during the 1970s and 1980s. Such an energy transformation would reduce the global emissions of carbon dioxide profoundly, as well as cutting other significant greenhouse gases like methane. Industrial nations should take the lead in this transition.Because methane is a potent greenhouse gas, replacing coal-fired generating stations with gas-fired stations will not necessarily result in a reduction of the rate of greenhouse-gas emission even for relatively low leakage rates of the natural gas into the atmosphere.The energy sources popularly known as 'renewables' (such as wind and solar), will be hard pressed to supply the needed quantities of energy sustainably, economically and reliably. They are inherently intermittent, depending on backup power or on energy storage if they are to be used for delivery of base-load electrical energy to the grid. This backup power has to be flexible and is derived in most cases from combustion of fossil fuels (mainly natural gas). If used in this way, intermittent energy sources do not meet the requirements of sustainability, nor are they economically viable because they require redundant, under-utilized investment in capacity both for generation and for transmission.Intermittent energy installations, in conjunction with gas-fired backup power installations, will in many cases be found to have a combined rate of greenhouse-gas emission that is higher than that of stand-alone co…","author":[{"dropping-particle":"","family":"Brook","given":"Barry W.","non-dropping-particle":"","parse-names":false,"suffix":""},{"dropping-particle":"","family":"Alonso","given":"Agustin","non-dropping-particle":"","parse-names":false,"suffix":""},{"dropping-particle":"","family":"Meneley","given":"Daniel A.","non-dropping-particle":"","parse-names":false,"suffix":""},{"dropping-particle":"","family":"Misak","given":"Jozef","non-dropping-particle":"","parse-names":false,"suffix":""},{"dropping-particle":"","family":"Blees","given":"Tom","non-dropping-particle":"","parse-names":false,"suffix":""},{"dropping-particle":"","family":"Erp","given":"Jan B.","non-dropping-particle":"van","parse-names":false,"suffix":""}],"container-title":"Sustainable Materials and Technologies","id":"ITEM-1","issued":{"date-parts":[["2014","12"]]},"page":"8-16","publisher":"Elsevier B.V.","title":"Why nuclear energy is sustainable and has to be part of the energy mix","type":"article-journal","volume":"1-2"},"uris":["http://www.mendeley.com/documents/?uuid=efee7338-05bf-4c40-b2b2-8759b86a96dc"]}],"mendeley":{"formattedCitation":"[1]","plainTextFormattedCitation":"[1]","previouslyFormattedCitation":"[1]"},"properties":{"noteIndex":0},"schema":"https://github.com/citation-style-language/schema/raw/master/csl-citation.json"}</w:instrText>
      </w:r>
      <w:r w:rsidR="00764D66">
        <w:rPr>
          <w:rStyle w:val="Refdenotaderodap"/>
        </w:rPr>
        <w:fldChar w:fldCharType="separate"/>
      </w:r>
      <w:r w:rsidR="00764D66" w:rsidRPr="00764D66">
        <w:rPr>
          <w:bCs/>
          <w:noProof/>
          <w:lang w:val="en-US"/>
        </w:rPr>
        <w:t>[1]</w:t>
      </w:r>
      <w:r w:rsidR="00764D66">
        <w:rPr>
          <w:rStyle w:val="Refdenotaderodap"/>
        </w:rPr>
        <w:fldChar w:fldCharType="end"/>
      </w:r>
      <w:r w:rsidRPr="003518E9">
        <w:t xml:space="preserve">: electricity generation, heating and transport. Currently, </w:t>
      </w:r>
      <w:r w:rsidR="00687ED6" w:rsidRPr="003518E9">
        <w:t>all</w:t>
      </w:r>
      <w:r w:rsidRPr="003518E9">
        <w:t xml:space="preserve"> these areas rely almost exclusively on fossil fuels as their main source of energy. Dependence on a scarce, non-renewable energy source is an international concern due to fossil fuel prices and</w:t>
      </w:r>
      <w:r w:rsidR="00D40F7C">
        <w:t xml:space="preserve"> its</w:t>
      </w:r>
      <w:r w:rsidRPr="003518E9">
        <w:t xml:space="preserve"> associat</w:t>
      </w:r>
      <w:r w:rsidR="00D40F7C">
        <w:t>ion with</w:t>
      </w:r>
      <w:r w:rsidRPr="003518E9">
        <w:t xml:space="preserve"> climate effects </w:t>
      </w:r>
      <w:r w:rsidR="00764D66">
        <w:rPr>
          <w:rStyle w:val="Refdenotaderodap"/>
        </w:rPr>
        <w:fldChar w:fldCharType="begin" w:fldLock="1"/>
      </w:r>
      <w:r w:rsidR="00764D66">
        <w:instrText>ADDIN CSL_CITATION {"citationItems":[{"id":"ITEM-1","itemData":{"DOI":"10.1016/j.pnucene.2014.02.002","ISSN":"01491970","abstract":"This study investigates the influence of nuclear energy consumption on GDP growth and CO2 emission in 30 major nuclear energy consuming countries. The panel mode was used taking the period 1990-2010. The results of the study indicated that nuclear energy consumption has a positive long run effect on GDP growth while it has no long run effect on CO2 emission. The Granger causality test results also revealed that nuclear energy consumption has a positive short run causal relationship with GDP growth while it has a negative short run causal relationship with CO2 emission. Based on the results of this study, nuclear energy consumption has an important role in increasing GDP growth in the investigated countries with no effect on CO2 emission. Consequently, unlike fossil fuels which also increase GDP growth, nuclear energy consumption causes less damage to the environment. From the results of the study, a number of recommendations were provided for the investigated countries. © 2014 Elsevier Ltd. All rights reserved.","author":[{"dropping-particle":"","family":"Al-mulali","given":"Usama","non-dropping-particle":"","parse-names":false,"suffix":""}],"container-title":"Progress in Nuclear Energy","id":"ITEM-1","issued":{"date-parts":[["2014","5"]]},"page":"172-178","publisher":"Elsevier Ltd","title":"Investigating the impact of nuclear energy consumption on GDP growth and CO 2 emission: A panel data analysis","type":"article-journal","volume":"73"},"uris":["http://www.mendeley.com/documents/?uuid=56cf98c0-4076-4a43-828b-634ae675f70a"]}],"mendeley":{"formattedCitation":"[2]","plainTextFormattedCitation":"[2]","previouslyFormattedCitation":"[2]"},"properties":{"noteIndex":0},"schema":"https://github.com/citation-style-language/schema/raw/master/csl-citation.json"}</w:instrText>
      </w:r>
      <w:r w:rsidR="00764D66">
        <w:rPr>
          <w:rStyle w:val="Refdenotaderodap"/>
        </w:rPr>
        <w:fldChar w:fldCharType="separate"/>
      </w:r>
      <w:r w:rsidR="00764D66" w:rsidRPr="00764D66">
        <w:rPr>
          <w:noProof/>
        </w:rPr>
        <w:t>[2]</w:t>
      </w:r>
      <w:r w:rsidR="00764D66">
        <w:rPr>
          <w:rStyle w:val="Refdenotaderodap"/>
        </w:rPr>
        <w:fldChar w:fldCharType="end"/>
      </w:r>
      <w:r w:rsidRPr="003518E9">
        <w:t>. Regarding the harmful climatic effects,</w:t>
      </w:r>
      <w:r w:rsidR="004C3899">
        <w:t xml:space="preserve"> it can be mentioned:</w:t>
      </w:r>
      <w:r w:rsidRPr="003518E9">
        <w:t xml:space="preserve"> air pollution </w:t>
      </w:r>
      <w:r w:rsidR="00764D66">
        <w:rPr>
          <w:rStyle w:val="Refdenotaderodap"/>
        </w:rPr>
        <w:fldChar w:fldCharType="begin" w:fldLock="1"/>
      </w:r>
      <w:r w:rsidR="00764D66">
        <w:instrText>ADDIN CSL_CITATION {"citationItems":[{"id":"ITEM-1","itemData":{"DOI":"10.1016/S0301-4215(96)00111-5","ISSN":"03014215","abstract":"This paper deals with the methodologies and databases for comparative assessment of emissions of greenhouse gases (GHGs) from the full energy chain (FENCH) of different energy sources. It largely refers to an international experts workshop on the topic held in October 1994 in Beijing, which was the first meeting in a series of IAEA expert meetings on comparison of FENCH-GHG emission from energy sources. The findings and recommendations of the workship cover topics such as time horizon, plant life time, materials flows and system output comparability. Copyright © 1997 Elsevier Science Ltd.","author":[{"dropping-particle":"","family":"Vate","given":"Joop F.","non-dropping-particle":"van de","parse-names":false,"suffix":""}],"container-title":"Energy Policy","id":"ITEM-1","issue":"1","issued":{"date-parts":[["1997","1"]]},"page":"1-6","title":"Comparison of energy sources in terms of their full energy chain emission factors of greenhouse gases","type":"article-journal","volume":"25"},"uris":["http://www.mendeley.com/documents/?uuid=cab186d5-cbba-47c4-b747-38e5437332de"]}],"mendeley":{"formattedCitation":"[3]","plainTextFormattedCitation":"[3]","previouslyFormattedCitation":"[3]"},"properties":{"noteIndex":0},"schema":"https://github.com/citation-style-language/schema/raw/master/csl-citation.json"}</w:instrText>
      </w:r>
      <w:r w:rsidR="00764D66">
        <w:rPr>
          <w:rStyle w:val="Refdenotaderodap"/>
        </w:rPr>
        <w:fldChar w:fldCharType="separate"/>
      </w:r>
      <w:r w:rsidR="00764D66" w:rsidRPr="00764D66">
        <w:rPr>
          <w:bCs/>
          <w:noProof/>
          <w:lang w:val="en-US"/>
        </w:rPr>
        <w:t>[3]</w:t>
      </w:r>
      <w:r w:rsidR="00764D66">
        <w:rPr>
          <w:rStyle w:val="Refdenotaderodap"/>
        </w:rPr>
        <w:fldChar w:fldCharType="end"/>
      </w:r>
      <w:r w:rsidR="00D510FA" w:rsidRPr="003C49B8">
        <w:t xml:space="preserve"> </w:t>
      </w:r>
      <w:r w:rsidRPr="003518E9">
        <w:t>and the emission of greenhouse gases (GHG) such as CO</w:t>
      </w:r>
      <w:r w:rsidRPr="0087421F">
        <w:rPr>
          <w:vertAlign w:val="subscript"/>
        </w:rPr>
        <w:t>2</w:t>
      </w:r>
      <w:r w:rsidRPr="003518E9">
        <w:t>, CH</w:t>
      </w:r>
      <w:r w:rsidRPr="0087421F">
        <w:rPr>
          <w:vertAlign w:val="subscript"/>
        </w:rPr>
        <w:t>4</w:t>
      </w:r>
      <w:r w:rsidRPr="003518E9">
        <w:t>, N</w:t>
      </w:r>
      <w:r w:rsidRPr="0087421F">
        <w:rPr>
          <w:vertAlign w:val="subscript"/>
        </w:rPr>
        <w:t>2</w:t>
      </w:r>
      <w:r w:rsidRPr="003518E9">
        <w:t>O and CF</w:t>
      </w:r>
      <w:r w:rsidRPr="004C3899">
        <w:rPr>
          <w:vertAlign w:val="subscript"/>
        </w:rPr>
        <w:t>4</w:t>
      </w:r>
      <w:r w:rsidRPr="003518E9">
        <w:t xml:space="preserve"> </w:t>
      </w:r>
      <w:r w:rsidR="00764D66">
        <w:rPr>
          <w:rStyle w:val="Refdenotaderodap"/>
        </w:rPr>
        <w:fldChar w:fldCharType="begin" w:fldLock="1"/>
      </w:r>
      <w:r w:rsidR="00764D66">
        <w:instrText>ADDIN CSL_CITATION {"citationItems":[{"id":"ITEM-1","itemData":{"DOI":"10.1016/j.jclepro.2013.11.034","ISSN":"09596526","abstract":"A life cycle assessment of nuclear power production based on the uranium nuclear fuel cycle has been carried out, with greenhouse gas (GHG) emissions as the environmental impact of interest. The study focussed mainly on the once-through cycle with current technologies. The present life cycle-based GHG emissions of nuclear power production for a uranium ore grade of 0.15%U3O8 was estimated to be in the order of 34 kg CO2e/MWh, which is significantly less than for fossil fuel-based electricity. However, expected falls in uranium ore grade over time will narrow this gap due to the additional amount of ore that must be mined and processed in order to extract the same amount of uranium. This effect of uranium ore grade was examined in some detail, with the greenhouse gas footprint increasing to 60 kg CO2e/MWh when the ore grade falls from 0.15%to 0.01%U3O8. Projections indicate that the average ore grade of the world's uranium resources will fall to this level in about 50 years. Should the contribution of nuclear power to global electricity generation increase significantly beyond that expected over this period, these lower ore grades and associated higher greenhouse gas footprint would be reached much sooner. While the impact of new and improved technologies anticipated in the future in the various stages of the nuclear fuel cycle will help offset the effect of falling uranium ore grades in the near to medium term, the long-term future of nuclear power as a low greenhouse gas source of electrical power would appear to be strongly dependent on the widespread deployment of fast breeder reactors which will significantly increase the lifespan of current uranium resources. However, extrapolating results based on current resource and ore grade data into the future is fraught with uncertainties, and is done here to give indicative rather than definitive values for future uranium ore grades and the likely impact on the GHG footprint of nuclear power.","author":[{"dropping-particle":"","family":"Norgate","given":"T.","non-dropping-particle":"","parse-names":false,"suffix":""},{"dropping-particle":"","family":"Haque","given":"N.","non-dropping-particle":"","parse-names":false,"suffix":""},{"dropping-particle":"","family":"Koltun","given":"P.","non-dropping-particle":"","parse-names":false,"suffix":""}],"container-title":"Journal of Cleaner Production","id":"ITEM-1","issue":"1","issued":{"date-parts":[["2014","12"]]},"page":"360-367","publisher":"Elsevier Ltd","title":"The impact of uranium ore grade on the greenhouse gas footprint of nuclear power","type":"article-journal","volume":"84"},"uris":["http://www.mendeley.com/documents/?uuid=14eea9e9-8d13-4df8-a8b1-da0394031a89"]}],"mendeley":{"formattedCitation":"[4]","plainTextFormattedCitation":"[4]","previouslyFormattedCitation":"[4]"},"properties":{"noteIndex":0},"schema":"https://github.com/citation-style-language/schema/raw/master/csl-citation.json"}</w:instrText>
      </w:r>
      <w:r w:rsidR="00764D66">
        <w:rPr>
          <w:rStyle w:val="Refdenotaderodap"/>
        </w:rPr>
        <w:fldChar w:fldCharType="separate"/>
      </w:r>
      <w:r w:rsidR="00764D66" w:rsidRPr="00764D66">
        <w:rPr>
          <w:bCs/>
          <w:noProof/>
          <w:lang w:val="en-US"/>
        </w:rPr>
        <w:t>[4]</w:t>
      </w:r>
      <w:r w:rsidR="00764D66">
        <w:rPr>
          <w:rStyle w:val="Refdenotaderodap"/>
        </w:rPr>
        <w:fldChar w:fldCharType="end"/>
      </w:r>
      <w:r w:rsidRPr="003518E9">
        <w:t xml:space="preserve">. </w:t>
      </w:r>
      <w:r w:rsidR="00EE19A8">
        <w:t>Many</w:t>
      </w:r>
      <w:r w:rsidRPr="003518E9">
        <w:t xml:space="preserve"> countries are </w:t>
      </w:r>
      <w:r w:rsidR="00EE19A8">
        <w:t>working</w:t>
      </w:r>
      <w:r w:rsidRPr="003518E9">
        <w:t xml:space="preserve"> to stabilize and reduce GHG emissions in the long term </w:t>
      </w:r>
      <w:r w:rsidR="00764D66">
        <w:rPr>
          <w:rStyle w:val="Refdenotaderodap"/>
        </w:rPr>
        <w:fldChar w:fldCharType="begin" w:fldLock="1"/>
      </w:r>
      <w:r w:rsidR="00764D66">
        <w:instrText>ADDIN CSL_CITATION {"citationItems":[{"id":"ITEM-1","itemData":{"DOI":"10.1016/S0301-4215(96)00111-5","ISSN":"03014215","abstract":"This paper deals with the methodologies and databases for comparative assessment of emissions of greenhouse gases (GHGs) from the full energy chain (FENCH) of different energy sources. It largely refers to an international experts workshop on the topic held in October 1994 in Beijing, which was the first meeting in a series of IAEA expert meetings on comparison of FENCH-GHG emission from energy sources. The findings and recommendations of the workship cover topics such as time horizon, plant life time, materials flows and system output comparability. Copyright © 1997 Elsevier Science Ltd.","author":[{"dropping-particle":"","family":"Vate","given":"Joop F.","non-dropping-particle":"van de","parse-names":false,"suffix":""}],"container-title":"Energy Policy","id":"ITEM-1","issue":"1","issued":{"date-parts":[["1997","1"]]},"page":"1-6","title":"Comparison of energy sources in terms of their full energy chain emission factors of greenhouse gases","type":"article-journal","volume":"25"},"uris":["http://www.mendeley.com/documents/?uuid=cab186d5-cbba-47c4-b747-38e5437332de"]}],"mendeley":{"formattedCitation":"[3]","plainTextFormattedCitation":"[3]","previouslyFormattedCitation":"[3]"},"properties":{"noteIndex":0},"schema":"https://github.com/citation-style-language/schema/raw/master/csl-citation.json"}</w:instrText>
      </w:r>
      <w:r w:rsidR="00764D66">
        <w:rPr>
          <w:rStyle w:val="Refdenotaderodap"/>
        </w:rPr>
        <w:fldChar w:fldCharType="separate"/>
      </w:r>
      <w:r w:rsidR="00764D66" w:rsidRPr="00764D66">
        <w:rPr>
          <w:noProof/>
        </w:rPr>
        <w:t>[3]</w:t>
      </w:r>
      <w:r w:rsidR="00764D66">
        <w:rPr>
          <w:rStyle w:val="Refdenotaderodap"/>
        </w:rPr>
        <w:fldChar w:fldCharType="end"/>
      </w:r>
      <w:r w:rsidRPr="003518E9">
        <w:t xml:space="preserve"> by replacing the primary energy source</w:t>
      </w:r>
      <w:r w:rsidR="00EE19A8">
        <w:t xml:space="preserve"> and </w:t>
      </w:r>
      <w:r w:rsidRPr="003518E9">
        <w:t xml:space="preserve">restricting the use of fossil fuels for residential activities and </w:t>
      </w:r>
      <w:r w:rsidR="00EE19A8">
        <w:t>material for</w:t>
      </w:r>
      <w:r w:rsidRPr="003518E9">
        <w:t xml:space="preserve"> chemical industries </w:t>
      </w:r>
      <w:r w:rsidR="00764D66">
        <w:rPr>
          <w:rStyle w:val="Refdenotaderodap"/>
        </w:rPr>
        <w:fldChar w:fldCharType="begin" w:fldLock="1"/>
      </w:r>
      <w:r w:rsidR="00764D66">
        <w:instrText>ADDIN CSL_CITATION {"citationItems":[{"id":"ITEM-1","itemData":{"DOI":"10.1016/j.susmat.2014.11.001","ISSN":"22149937","abstract":"Humanity must face the reality that it cannot depend indefinitely on combustion of coal, gas and oil for most of its energy needs. In the unavoidable process of gradually replacing fossil fuels, many energy technologies may be considered and most will be deployed in specific applications. However, in the long term, we argue that nuclear fission technology is the only developed energy source that is capable of delivering the enormous quantities of energy that will be needed to run modern industrial societies safely, economically, reliably and in a sustainable way, both environmentally and as regards the available resource base. Consequently, nuclear fission has to play a major role in this necessary transformation of the 21st century energy-supply system.In a first phase of this necessary global energy transformation, the emphasis should be on converting the major part of the world's electrical energy generation capacity from fossil fuels to nuclear fission. This can realistically be achieved within a few decades, as has already been done in France during the 1970s and 1980s. Such an energy transformation would reduce the global emissions of carbon dioxide profoundly, as well as cutting other significant greenhouse gases like methane. Industrial nations should take the lead in this transition.Because methane is a potent greenhouse gas, replacing coal-fired generating stations with gas-fired stations will not necessarily result in a reduction of the rate of greenhouse-gas emission even for relatively low leakage rates of the natural gas into the atmosphere.The energy sources popularly known as 'renewables' (such as wind and solar), will be hard pressed to supply the needed quantities of energy sustainably, economically and reliably. They are inherently intermittent, depending on backup power or on energy storage if they are to be used for delivery of base-load electrical energy to the grid. This backup power has to be flexible and is derived in most cases from combustion of fossil fuels (mainly natural gas). If used in this way, intermittent energy sources do not meet the requirements of sustainability, nor are they economically viable because they require redundant, under-utilized investment in capacity both for generation and for transmission.Intermittent energy installations, in conjunction with gas-fired backup power installations, will in many cases be found to have a combined rate of greenhouse-gas emission that is higher than that of stand-alone co…","author":[{"dropping-particle":"","family":"Brook","given":"Barry W.","non-dropping-particle":"","parse-names":false,"suffix":""},{"dropping-particle":"","family":"Alonso","given":"Agustin","non-dropping-particle":"","parse-names":false,"suffix":""},{"dropping-particle":"","family":"Meneley","given":"Daniel A.","non-dropping-particle":"","parse-names":false,"suffix":""},{"dropping-particle":"","family":"Misak","given":"Jozef","non-dropping-particle":"","parse-names":false,"suffix":""},{"dropping-particle":"","family":"Blees","given":"Tom","non-dropping-particle":"","parse-names":false,"suffix":""},{"dropping-particle":"","family":"Erp","given":"Jan B.","non-dropping-particle":"van","parse-names":false,"suffix":""}],"container-title":"Sustainable Materials and Technologies","id":"ITEM-1","issued":{"date-parts":[["2014","12"]]},"page":"8-16","publisher":"Elsevier B.V.","title":"Why nuclear energy is sustainable and has to be part of the energy mix","type":"article-journal","volume":"1-2"},"uris":["http://www.mendeley.com/documents/?uuid=efee7338-05bf-4c40-b2b2-8759b86a96dc"]}],"mendeley":{"formattedCitation":"[1]","plainTextFormattedCitation":"[1]","previouslyFormattedCitation":"[1]"},"properties":{"noteIndex":0},"schema":"https://github.com/citation-style-language/schema/raw/master/csl-citation.json"}</w:instrText>
      </w:r>
      <w:r w:rsidR="00764D66">
        <w:rPr>
          <w:rStyle w:val="Refdenotaderodap"/>
        </w:rPr>
        <w:fldChar w:fldCharType="separate"/>
      </w:r>
      <w:r w:rsidR="00764D66" w:rsidRPr="00764D66">
        <w:rPr>
          <w:noProof/>
        </w:rPr>
        <w:t>[1]</w:t>
      </w:r>
      <w:r w:rsidR="00764D66">
        <w:rPr>
          <w:rStyle w:val="Refdenotaderodap"/>
        </w:rPr>
        <w:fldChar w:fldCharType="end"/>
      </w:r>
      <w:r w:rsidRPr="003518E9">
        <w:t xml:space="preserve">. This </w:t>
      </w:r>
      <w:r w:rsidR="00EE19A8">
        <w:t>substitution</w:t>
      </w:r>
      <w:r w:rsidRPr="003518E9">
        <w:t xml:space="preserve"> is not an easy task, as it must </w:t>
      </w:r>
      <w:r w:rsidR="00EE19A8" w:rsidRPr="003518E9">
        <w:t>consider</w:t>
      </w:r>
      <w:r w:rsidRPr="003518E9">
        <w:t xml:space="preserve"> several aspects such as cost, scarcity of resources, environmental </w:t>
      </w:r>
      <w:r w:rsidR="00EE19A8" w:rsidRPr="003518E9">
        <w:t>impact,</w:t>
      </w:r>
      <w:r w:rsidRPr="003518E9">
        <w:t xml:space="preserve"> and public acceptance. The main current sources of alternative energy to fossil fuels are wind, water, solar and nuclear. These alternative sources also generate GHG emissions, but in much lower amounts </w:t>
      </w:r>
      <w:r w:rsidR="00EE19A8">
        <w:t>compared to</w:t>
      </w:r>
      <w:r w:rsidRPr="003518E9">
        <w:t xml:space="preserve"> </w:t>
      </w:r>
      <w:r w:rsidR="00EE19A8">
        <w:t xml:space="preserve">the </w:t>
      </w:r>
      <w:r w:rsidRPr="003518E9">
        <w:t xml:space="preserve">emissions from </w:t>
      </w:r>
      <w:r w:rsidR="00EE19A8" w:rsidRPr="003518E9">
        <w:t>fossil fuels-based</w:t>
      </w:r>
      <w:r w:rsidRPr="003518E9">
        <w:t xml:space="preserve"> sources. It should be noted that for each type of energy source there is a release of different GHG at different stages of the energy chain, especially during the manufacture of structural materials. Thus, the correct comparison between the environmental impacts caused by each energy source is a complex task that requires several conversion factors </w:t>
      </w:r>
      <w:r w:rsidR="00764D66">
        <w:rPr>
          <w:rStyle w:val="Refdenotaderodap"/>
        </w:rPr>
        <w:fldChar w:fldCharType="begin" w:fldLock="1"/>
      </w:r>
      <w:r w:rsidR="00764D66">
        <w:instrText>ADDIN CSL_CITATION {"citationItems":[{"id":"ITEM-1","itemData":{"DOI":"10.1016/S0301-4215(96)00111-5","ISSN":"03014215","abstract":"This paper deals with the methodologies and databases for comparative assessment of emissions of greenhouse gases (GHGs) from the full energy chain (FENCH) of different energy sources. It largely refers to an international experts workshop on the topic held in October 1994 in Beijing, which was the first meeting in a series of IAEA expert meetings on comparison of FENCH-GHG emission from energy sources. The findings and recommendations of the workship cover topics such as time horizon, plant life time, materials flows and system output comparability. Copyright © 1997 Elsevier Science Ltd.","author":[{"dropping-particle":"","family":"Vate","given":"Joop F.","non-dropping-particle":"van de","parse-names":false,"suffix":""}],"container-title":"Energy Policy","id":"ITEM-1","issue":"1","issued":{"date-parts":[["1997","1"]]},"page":"1-6","title":"Comparison of energy sources in terms of their full energy chain emission factors of greenhouse gases","type":"article-journal","volume":"25"},"uris":["http://www.mendeley.com/documents/?uuid=cab186d5-cbba-47c4-b747-38e5437332de"]}],"mendeley":{"formattedCitation":"[3]","plainTextFormattedCitation":"[3]","previouslyFormattedCitation":"[3]"},"properties":{"noteIndex":0},"schema":"https://github.com/citation-style-language/schema/raw/master/csl-citation.json"}</w:instrText>
      </w:r>
      <w:r w:rsidR="00764D66">
        <w:rPr>
          <w:rStyle w:val="Refdenotaderodap"/>
        </w:rPr>
        <w:fldChar w:fldCharType="separate"/>
      </w:r>
      <w:r w:rsidR="00764D66" w:rsidRPr="00764D66">
        <w:rPr>
          <w:noProof/>
        </w:rPr>
        <w:t>[3]</w:t>
      </w:r>
      <w:r w:rsidR="00764D66">
        <w:rPr>
          <w:rStyle w:val="Refdenotaderodap"/>
        </w:rPr>
        <w:fldChar w:fldCharType="end"/>
      </w:r>
      <w:r w:rsidRPr="003518E9">
        <w:t xml:space="preserve">. Table 1 provides </w:t>
      </w:r>
      <w:r w:rsidR="00EE19A8">
        <w:t xml:space="preserve">a </w:t>
      </w:r>
      <w:r w:rsidRPr="003518E9">
        <w:t>comparative data between different energy sources and GHG emission calculated in CO</w:t>
      </w:r>
      <w:r w:rsidRPr="00EE19A8">
        <w:rPr>
          <w:vertAlign w:val="subscript"/>
        </w:rPr>
        <w:t>2</w:t>
      </w:r>
      <w:r w:rsidRPr="003518E9">
        <w:t xml:space="preserve"> equivalent per </w:t>
      </w:r>
      <w:r w:rsidR="00EE19A8">
        <w:t>kW</w:t>
      </w:r>
      <w:r w:rsidRPr="003518E9">
        <w:t>h(e)</w:t>
      </w:r>
      <w:r w:rsidR="008B6BB9">
        <w:t>.</w:t>
      </w:r>
    </w:p>
    <w:p w14:paraId="3BFC80E4" w14:textId="515F0554" w:rsidR="00EE19A8" w:rsidRDefault="00EE19A8" w:rsidP="00537496">
      <w:pPr>
        <w:pStyle w:val="Corpodetexto"/>
      </w:pPr>
    </w:p>
    <w:p w14:paraId="1771A497" w14:textId="70D07915" w:rsidR="003C49B8" w:rsidRPr="003C49B8" w:rsidRDefault="003C49B8" w:rsidP="003C49B8">
      <w:pPr>
        <w:pStyle w:val="Corpodetexto"/>
        <w:ind w:firstLine="0"/>
        <w:jc w:val="center"/>
        <w:rPr>
          <w:sz w:val="18"/>
          <w:szCs w:val="18"/>
        </w:rPr>
      </w:pPr>
      <w:r w:rsidRPr="003C49B8">
        <w:rPr>
          <w:sz w:val="18"/>
          <w:szCs w:val="18"/>
        </w:rPr>
        <w:t>TABLE 1.</w:t>
      </w:r>
      <w:r w:rsidRPr="003C49B8">
        <w:rPr>
          <w:sz w:val="18"/>
          <w:szCs w:val="18"/>
        </w:rPr>
        <w:tab/>
      </w:r>
      <w:r>
        <w:rPr>
          <w:sz w:val="18"/>
          <w:szCs w:val="18"/>
        </w:rPr>
        <w:t xml:space="preserve">GHG EMISSIONS COMPARISON AMONG DIFFERENT </w:t>
      </w:r>
      <w:r>
        <w:rPr>
          <w:sz w:val="18"/>
          <w:szCs w:val="18"/>
        </w:rPr>
        <w:br/>
        <w:t xml:space="preserve">TYPES OF ENERGY SOURCES </w:t>
      </w:r>
      <w:r w:rsidR="00764D66">
        <w:rPr>
          <w:rStyle w:val="Refdenotaderodap"/>
          <w:sz w:val="18"/>
          <w:szCs w:val="18"/>
        </w:rPr>
        <w:fldChar w:fldCharType="begin" w:fldLock="1"/>
      </w:r>
      <w:r w:rsidR="00764D66">
        <w:rPr>
          <w:sz w:val="18"/>
          <w:szCs w:val="18"/>
        </w:rPr>
        <w:instrText>ADDIN CSL_CITATION {"citationItems":[{"id":"ITEM-1","itemData":{"DOI":"10.1016/j.enconman.2008.01.033","ISSN":"01968904","abstract":"The increased urgency of dealing with mitigation of the looming climate change has sparked renewed interest in the nuclear energy option. There exists a substantial stream of research on the amount of embodied energy and greenhouse gas emissions associated with nuclear generated electricity. While conventional fossil fuelled power plants cause emissions almost exclusively from the plant site, the majority of greenhouse gas emissions in the nuclear fuel cycle are caused in processing stages upstream and downstream from the plant. This paper distils the findings from a comprehensive literature review of energy and greenhouse gas emissions in the nuclear fuel cycle and determines some of the causes for the widely varying results. The most popular reactor types, LWR and HWR, need between 0.1 and 0.3 kWhth, and on average about 0.2 kWhth for every kWh of electricity generated. These energy intensities translate into greenhouse gas intensities for LWR and HWR of between 10 and 130 g CO2-e/kWhel, with an average of 65 g CO2-e/kWhel. While these greenhouse gases are expectedly lower than those of fossil technologies (typically 600-1200 g CO2-e/kWhel), they are higher than reported figures for wind turbines and hydroelectricity (around 15-25 g CO2-e/kWhel) and in the order of, or slightly lower than, solar photovoltaic or solar thermal power (around 90 g CO2-e/kWhel). © 2008 Elsevier Ltd. All rights reserved.","author":[{"dropping-particle":"","family":"Lenzen","given":"Manfred","non-dropping-particle":"","parse-names":false,"suffix":""}],"container-title":"Energy Conversion and Management","id":"ITEM-1","issue":"8","issued":{"date-parts":[["2008","8"]]},"page":"2178-2199","title":"Life cycle energy and greenhouse gas emissions of nuclear energy: A review","type":"article-journal","volume":"49"},"uris":["http://www.mendeley.com/documents/?uuid=1757250a-04a4-4ebb-b59c-eb8d3f14140b"]}],"mendeley":{"formattedCitation":"[5]","plainTextFormattedCitation":"[5]","previouslyFormattedCitation":"[5]"},"properties":{"noteIndex":0},"schema":"https://github.com/citation-style-language/schema/raw/master/csl-citation.json"}</w:instrText>
      </w:r>
      <w:r w:rsidR="00764D66">
        <w:rPr>
          <w:rStyle w:val="Refdenotaderodap"/>
          <w:sz w:val="18"/>
          <w:szCs w:val="18"/>
        </w:rPr>
        <w:fldChar w:fldCharType="separate"/>
      </w:r>
      <w:r w:rsidR="00764D66" w:rsidRPr="00764D66">
        <w:rPr>
          <w:bCs/>
          <w:noProof/>
          <w:sz w:val="18"/>
          <w:szCs w:val="18"/>
          <w:lang w:val="en-US"/>
        </w:rPr>
        <w:t>[5]</w:t>
      </w:r>
      <w:r w:rsidR="00764D66">
        <w:rPr>
          <w:rStyle w:val="Refdenotaderodap"/>
          <w:sz w:val="18"/>
          <w:szCs w:val="18"/>
        </w:rPr>
        <w:fldChar w:fldCharType="end"/>
      </w:r>
    </w:p>
    <w:tbl>
      <w:tblPr>
        <w:tblStyle w:val="Tabelacomgrade"/>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222"/>
        <w:gridCol w:w="222"/>
        <w:gridCol w:w="1946"/>
      </w:tblGrid>
      <w:tr w:rsidR="003C49B8" w:rsidRPr="003C49B8" w14:paraId="3EA06DDB" w14:textId="77777777" w:rsidTr="003D24C8">
        <w:trPr>
          <w:jc w:val="center"/>
        </w:trPr>
        <w:tc>
          <w:tcPr>
            <w:tcW w:w="0" w:type="auto"/>
            <w:tcBorders>
              <w:top w:val="single" w:sz="4" w:space="0" w:color="auto"/>
              <w:bottom w:val="single" w:sz="4" w:space="0" w:color="auto"/>
            </w:tcBorders>
            <w:vAlign w:val="center"/>
          </w:tcPr>
          <w:p w14:paraId="02392B56" w14:textId="11ECB69D" w:rsidR="003C49B8" w:rsidRPr="003C49B8" w:rsidRDefault="003C49B8" w:rsidP="00894145">
            <w:pPr>
              <w:pStyle w:val="Corpodetexto"/>
              <w:ind w:firstLine="0"/>
              <w:jc w:val="center"/>
              <w:rPr>
                <w:sz w:val="18"/>
                <w:szCs w:val="18"/>
              </w:rPr>
            </w:pPr>
            <w:r w:rsidRPr="003C49B8">
              <w:rPr>
                <w:sz w:val="18"/>
                <w:szCs w:val="18"/>
              </w:rPr>
              <w:t>Energy Source</w:t>
            </w:r>
          </w:p>
        </w:tc>
        <w:tc>
          <w:tcPr>
            <w:tcW w:w="0" w:type="auto"/>
            <w:tcBorders>
              <w:top w:val="single" w:sz="4" w:space="0" w:color="auto"/>
              <w:bottom w:val="single" w:sz="4" w:space="0" w:color="auto"/>
            </w:tcBorders>
          </w:tcPr>
          <w:p w14:paraId="664034BE" w14:textId="77777777" w:rsidR="003C49B8" w:rsidRPr="003C49B8" w:rsidRDefault="003C49B8" w:rsidP="00894145">
            <w:pPr>
              <w:pStyle w:val="Corpodetexto"/>
              <w:jc w:val="center"/>
              <w:rPr>
                <w:sz w:val="18"/>
                <w:szCs w:val="18"/>
              </w:rPr>
            </w:pPr>
          </w:p>
        </w:tc>
        <w:tc>
          <w:tcPr>
            <w:tcW w:w="0" w:type="auto"/>
            <w:tcBorders>
              <w:top w:val="single" w:sz="4" w:space="0" w:color="auto"/>
              <w:bottom w:val="single" w:sz="4" w:space="0" w:color="auto"/>
            </w:tcBorders>
          </w:tcPr>
          <w:p w14:paraId="228D9C11" w14:textId="77777777" w:rsidR="003C49B8" w:rsidRPr="003C49B8" w:rsidRDefault="003C49B8" w:rsidP="00894145">
            <w:pPr>
              <w:pStyle w:val="Corpodetexto"/>
              <w:ind w:firstLine="0"/>
              <w:jc w:val="center"/>
              <w:rPr>
                <w:sz w:val="18"/>
                <w:szCs w:val="18"/>
                <w:lang w:val="en-US"/>
              </w:rPr>
            </w:pPr>
          </w:p>
        </w:tc>
        <w:tc>
          <w:tcPr>
            <w:tcW w:w="0" w:type="auto"/>
            <w:tcBorders>
              <w:top w:val="single" w:sz="4" w:space="0" w:color="auto"/>
              <w:bottom w:val="single" w:sz="4" w:space="0" w:color="auto"/>
            </w:tcBorders>
            <w:vAlign w:val="center"/>
          </w:tcPr>
          <w:p w14:paraId="189C48C5" w14:textId="3711022F" w:rsidR="003C49B8" w:rsidRPr="003C49B8" w:rsidRDefault="003C49B8" w:rsidP="00894145">
            <w:pPr>
              <w:pStyle w:val="Corpodetexto"/>
              <w:ind w:firstLine="0"/>
              <w:jc w:val="center"/>
              <w:rPr>
                <w:sz w:val="18"/>
                <w:szCs w:val="18"/>
                <w:lang w:val="en-US"/>
              </w:rPr>
            </w:pPr>
            <w:r w:rsidRPr="003C49B8">
              <w:rPr>
                <w:sz w:val="18"/>
                <w:szCs w:val="18"/>
                <w:lang w:val="en-US"/>
              </w:rPr>
              <w:t>Average GHG emission</w:t>
            </w:r>
            <w:r w:rsidRPr="003C49B8">
              <w:rPr>
                <w:sz w:val="18"/>
                <w:szCs w:val="18"/>
                <w:lang w:val="en-US"/>
              </w:rPr>
              <w:br/>
              <w:t>(CO</w:t>
            </w:r>
            <w:r w:rsidRPr="003C49B8">
              <w:rPr>
                <w:sz w:val="18"/>
                <w:szCs w:val="18"/>
                <w:vertAlign w:val="subscript"/>
                <w:lang w:val="en-US"/>
              </w:rPr>
              <w:t>2</w:t>
            </w:r>
            <w:r w:rsidRPr="003C49B8">
              <w:rPr>
                <w:sz w:val="18"/>
                <w:szCs w:val="18"/>
                <w:lang w:val="en-US"/>
              </w:rPr>
              <w:t>/kWh</w:t>
            </w:r>
            <w:r w:rsidRPr="003C49B8">
              <w:rPr>
                <w:sz w:val="18"/>
                <w:szCs w:val="18"/>
                <w:vertAlign w:val="subscript"/>
                <w:lang w:val="en-US"/>
              </w:rPr>
              <w:t>(e)</w:t>
            </w:r>
            <w:r w:rsidRPr="003C49B8">
              <w:rPr>
                <w:sz w:val="18"/>
                <w:szCs w:val="18"/>
                <w:lang w:val="en-US"/>
              </w:rPr>
              <w:t>)</w:t>
            </w:r>
          </w:p>
        </w:tc>
      </w:tr>
      <w:tr w:rsidR="003C49B8" w:rsidRPr="003C49B8" w14:paraId="649ED1C6" w14:textId="77777777" w:rsidTr="003D24C8">
        <w:trPr>
          <w:jc w:val="center"/>
        </w:trPr>
        <w:tc>
          <w:tcPr>
            <w:tcW w:w="0" w:type="auto"/>
            <w:tcBorders>
              <w:top w:val="single" w:sz="4" w:space="0" w:color="auto"/>
            </w:tcBorders>
            <w:vAlign w:val="center"/>
          </w:tcPr>
          <w:p w14:paraId="2BA33E8E" w14:textId="6DCE0EFB" w:rsidR="003C49B8" w:rsidRPr="003C49B8" w:rsidRDefault="003C49B8" w:rsidP="00EE19A8">
            <w:pPr>
              <w:pStyle w:val="Corpodetexto"/>
              <w:ind w:firstLine="0"/>
              <w:jc w:val="center"/>
              <w:rPr>
                <w:sz w:val="18"/>
                <w:szCs w:val="18"/>
              </w:rPr>
            </w:pPr>
            <w:r w:rsidRPr="003C49B8">
              <w:rPr>
                <w:sz w:val="18"/>
                <w:szCs w:val="18"/>
              </w:rPr>
              <w:t>Water</w:t>
            </w:r>
          </w:p>
        </w:tc>
        <w:tc>
          <w:tcPr>
            <w:tcW w:w="0" w:type="auto"/>
            <w:tcBorders>
              <w:top w:val="single" w:sz="4" w:space="0" w:color="auto"/>
            </w:tcBorders>
          </w:tcPr>
          <w:p w14:paraId="30A398D1" w14:textId="77777777" w:rsidR="003C49B8" w:rsidRPr="003C49B8" w:rsidRDefault="003C49B8" w:rsidP="00EE19A8">
            <w:pPr>
              <w:pStyle w:val="Corpodetexto"/>
              <w:jc w:val="center"/>
              <w:rPr>
                <w:sz w:val="18"/>
                <w:szCs w:val="18"/>
              </w:rPr>
            </w:pPr>
          </w:p>
        </w:tc>
        <w:tc>
          <w:tcPr>
            <w:tcW w:w="0" w:type="auto"/>
            <w:tcBorders>
              <w:top w:val="single" w:sz="4" w:space="0" w:color="auto"/>
            </w:tcBorders>
          </w:tcPr>
          <w:p w14:paraId="174339B8" w14:textId="77777777" w:rsidR="003C49B8" w:rsidRPr="003C49B8" w:rsidRDefault="003C49B8" w:rsidP="00EE19A8">
            <w:pPr>
              <w:pStyle w:val="Corpodetexto"/>
              <w:ind w:firstLine="0"/>
              <w:jc w:val="center"/>
              <w:rPr>
                <w:sz w:val="18"/>
                <w:szCs w:val="18"/>
              </w:rPr>
            </w:pPr>
          </w:p>
        </w:tc>
        <w:tc>
          <w:tcPr>
            <w:tcW w:w="0" w:type="auto"/>
            <w:tcBorders>
              <w:top w:val="single" w:sz="4" w:space="0" w:color="auto"/>
            </w:tcBorders>
            <w:vAlign w:val="center"/>
          </w:tcPr>
          <w:p w14:paraId="0F2A4B7E" w14:textId="1CA23E78" w:rsidR="003C49B8" w:rsidRPr="003C49B8" w:rsidRDefault="003C49B8" w:rsidP="00EE19A8">
            <w:pPr>
              <w:pStyle w:val="Corpodetexto"/>
              <w:ind w:firstLine="0"/>
              <w:jc w:val="center"/>
              <w:rPr>
                <w:sz w:val="18"/>
                <w:szCs w:val="18"/>
              </w:rPr>
            </w:pPr>
            <w:r w:rsidRPr="003C49B8">
              <w:rPr>
                <w:sz w:val="18"/>
                <w:szCs w:val="18"/>
              </w:rPr>
              <w:t>15 – 25 g</w:t>
            </w:r>
          </w:p>
        </w:tc>
      </w:tr>
      <w:tr w:rsidR="003C49B8" w:rsidRPr="003C49B8" w14:paraId="7AA993D8" w14:textId="77777777" w:rsidTr="003D24C8">
        <w:trPr>
          <w:jc w:val="center"/>
        </w:trPr>
        <w:tc>
          <w:tcPr>
            <w:tcW w:w="0" w:type="auto"/>
            <w:vAlign w:val="center"/>
          </w:tcPr>
          <w:p w14:paraId="3BE29131" w14:textId="59C3991A" w:rsidR="003C49B8" w:rsidRPr="003C49B8" w:rsidRDefault="003C49B8" w:rsidP="00EE19A8">
            <w:pPr>
              <w:pStyle w:val="Corpodetexto"/>
              <w:ind w:firstLine="0"/>
              <w:jc w:val="center"/>
              <w:rPr>
                <w:sz w:val="18"/>
                <w:szCs w:val="18"/>
              </w:rPr>
            </w:pPr>
            <w:r w:rsidRPr="003C49B8">
              <w:rPr>
                <w:sz w:val="18"/>
                <w:szCs w:val="18"/>
              </w:rPr>
              <w:t>Fossil Fuel</w:t>
            </w:r>
          </w:p>
        </w:tc>
        <w:tc>
          <w:tcPr>
            <w:tcW w:w="0" w:type="auto"/>
          </w:tcPr>
          <w:p w14:paraId="7DE8CCBA" w14:textId="77777777" w:rsidR="003C49B8" w:rsidRPr="003C49B8" w:rsidRDefault="003C49B8" w:rsidP="00EE19A8">
            <w:pPr>
              <w:pStyle w:val="Corpodetexto"/>
              <w:jc w:val="center"/>
              <w:rPr>
                <w:sz w:val="18"/>
                <w:szCs w:val="18"/>
              </w:rPr>
            </w:pPr>
          </w:p>
        </w:tc>
        <w:tc>
          <w:tcPr>
            <w:tcW w:w="0" w:type="auto"/>
          </w:tcPr>
          <w:p w14:paraId="1EC10946" w14:textId="77777777" w:rsidR="003C49B8" w:rsidRPr="003C49B8" w:rsidRDefault="003C49B8" w:rsidP="00EE19A8">
            <w:pPr>
              <w:pStyle w:val="Corpodetexto"/>
              <w:ind w:firstLine="0"/>
              <w:jc w:val="center"/>
              <w:rPr>
                <w:sz w:val="18"/>
                <w:szCs w:val="18"/>
              </w:rPr>
            </w:pPr>
          </w:p>
        </w:tc>
        <w:tc>
          <w:tcPr>
            <w:tcW w:w="0" w:type="auto"/>
            <w:vAlign w:val="center"/>
          </w:tcPr>
          <w:p w14:paraId="67030A28" w14:textId="2E44C186" w:rsidR="003C49B8" w:rsidRPr="003C49B8" w:rsidRDefault="003C49B8" w:rsidP="00EE19A8">
            <w:pPr>
              <w:pStyle w:val="Corpodetexto"/>
              <w:ind w:firstLine="0"/>
              <w:jc w:val="center"/>
              <w:rPr>
                <w:sz w:val="18"/>
                <w:szCs w:val="18"/>
              </w:rPr>
            </w:pPr>
            <w:r w:rsidRPr="003C49B8">
              <w:rPr>
                <w:sz w:val="18"/>
                <w:szCs w:val="18"/>
              </w:rPr>
              <w:t>600 – 1200 g</w:t>
            </w:r>
          </w:p>
        </w:tc>
      </w:tr>
      <w:tr w:rsidR="003C49B8" w:rsidRPr="003C49B8" w14:paraId="02784C80" w14:textId="77777777" w:rsidTr="003D24C8">
        <w:trPr>
          <w:jc w:val="center"/>
        </w:trPr>
        <w:tc>
          <w:tcPr>
            <w:tcW w:w="0" w:type="auto"/>
            <w:vAlign w:val="center"/>
          </w:tcPr>
          <w:p w14:paraId="5699B436" w14:textId="77777777" w:rsidR="003C49B8" w:rsidRPr="003C49B8" w:rsidRDefault="003C49B8" w:rsidP="00EE19A8">
            <w:pPr>
              <w:pStyle w:val="Corpodetexto"/>
              <w:ind w:firstLine="0"/>
              <w:jc w:val="center"/>
              <w:rPr>
                <w:sz w:val="18"/>
                <w:szCs w:val="18"/>
              </w:rPr>
            </w:pPr>
            <w:r w:rsidRPr="003C49B8">
              <w:rPr>
                <w:sz w:val="18"/>
                <w:szCs w:val="18"/>
              </w:rPr>
              <w:t>Nuclear</w:t>
            </w:r>
          </w:p>
        </w:tc>
        <w:tc>
          <w:tcPr>
            <w:tcW w:w="0" w:type="auto"/>
          </w:tcPr>
          <w:p w14:paraId="61A36770" w14:textId="77777777" w:rsidR="003C49B8" w:rsidRPr="003C49B8" w:rsidRDefault="003C49B8" w:rsidP="00EE19A8">
            <w:pPr>
              <w:pStyle w:val="Corpodetexto"/>
              <w:jc w:val="center"/>
              <w:rPr>
                <w:sz w:val="18"/>
                <w:szCs w:val="18"/>
              </w:rPr>
            </w:pPr>
          </w:p>
        </w:tc>
        <w:tc>
          <w:tcPr>
            <w:tcW w:w="0" w:type="auto"/>
          </w:tcPr>
          <w:p w14:paraId="4BDADC15" w14:textId="77777777" w:rsidR="003C49B8" w:rsidRPr="003C49B8" w:rsidRDefault="003C49B8" w:rsidP="00EE19A8">
            <w:pPr>
              <w:pStyle w:val="Corpodetexto"/>
              <w:ind w:firstLine="0"/>
              <w:jc w:val="center"/>
              <w:rPr>
                <w:sz w:val="18"/>
                <w:szCs w:val="18"/>
              </w:rPr>
            </w:pPr>
          </w:p>
        </w:tc>
        <w:tc>
          <w:tcPr>
            <w:tcW w:w="0" w:type="auto"/>
            <w:vAlign w:val="center"/>
          </w:tcPr>
          <w:p w14:paraId="54C41C23" w14:textId="189FF731" w:rsidR="003C49B8" w:rsidRPr="003C49B8" w:rsidRDefault="003C49B8" w:rsidP="00EE19A8">
            <w:pPr>
              <w:pStyle w:val="Corpodetexto"/>
              <w:ind w:firstLine="0"/>
              <w:jc w:val="center"/>
              <w:rPr>
                <w:sz w:val="18"/>
                <w:szCs w:val="18"/>
              </w:rPr>
            </w:pPr>
            <w:r w:rsidRPr="003C49B8">
              <w:rPr>
                <w:sz w:val="18"/>
                <w:szCs w:val="18"/>
              </w:rPr>
              <w:t>10 – 130 g</w:t>
            </w:r>
          </w:p>
        </w:tc>
      </w:tr>
      <w:tr w:rsidR="003C49B8" w:rsidRPr="003C49B8" w14:paraId="72E50E09" w14:textId="77777777" w:rsidTr="003D24C8">
        <w:trPr>
          <w:jc w:val="center"/>
        </w:trPr>
        <w:tc>
          <w:tcPr>
            <w:tcW w:w="0" w:type="auto"/>
            <w:tcBorders>
              <w:bottom w:val="nil"/>
            </w:tcBorders>
            <w:vAlign w:val="center"/>
          </w:tcPr>
          <w:p w14:paraId="5C1B7F8C" w14:textId="77777777" w:rsidR="003C49B8" w:rsidRPr="003C49B8" w:rsidRDefault="003C49B8" w:rsidP="00EE19A8">
            <w:pPr>
              <w:pStyle w:val="Corpodetexto"/>
              <w:ind w:firstLine="0"/>
              <w:jc w:val="center"/>
              <w:rPr>
                <w:sz w:val="18"/>
                <w:szCs w:val="18"/>
              </w:rPr>
            </w:pPr>
            <w:r w:rsidRPr="003C49B8">
              <w:rPr>
                <w:sz w:val="18"/>
                <w:szCs w:val="18"/>
              </w:rPr>
              <w:t>Solar</w:t>
            </w:r>
          </w:p>
        </w:tc>
        <w:tc>
          <w:tcPr>
            <w:tcW w:w="0" w:type="auto"/>
            <w:tcBorders>
              <w:bottom w:val="nil"/>
            </w:tcBorders>
          </w:tcPr>
          <w:p w14:paraId="25F90EC8" w14:textId="77777777" w:rsidR="003C49B8" w:rsidRPr="003C49B8" w:rsidRDefault="003C49B8" w:rsidP="00EE19A8">
            <w:pPr>
              <w:pStyle w:val="Corpodetexto"/>
              <w:jc w:val="center"/>
              <w:rPr>
                <w:sz w:val="18"/>
                <w:szCs w:val="18"/>
              </w:rPr>
            </w:pPr>
          </w:p>
        </w:tc>
        <w:tc>
          <w:tcPr>
            <w:tcW w:w="0" w:type="auto"/>
            <w:tcBorders>
              <w:bottom w:val="nil"/>
            </w:tcBorders>
          </w:tcPr>
          <w:p w14:paraId="30EB900B" w14:textId="77777777" w:rsidR="003C49B8" w:rsidRPr="003C49B8" w:rsidRDefault="003C49B8" w:rsidP="00EE19A8">
            <w:pPr>
              <w:pStyle w:val="Corpodetexto"/>
              <w:ind w:firstLine="0"/>
              <w:jc w:val="center"/>
              <w:rPr>
                <w:sz w:val="18"/>
                <w:szCs w:val="18"/>
              </w:rPr>
            </w:pPr>
          </w:p>
        </w:tc>
        <w:tc>
          <w:tcPr>
            <w:tcW w:w="0" w:type="auto"/>
            <w:tcBorders>
              <w:bottom w:val="nil"/>
            </w:tcBorders>
            <w:vAlign w:val="center"/>
          </w:tcPr>
          <w:p w14:paraId="5EB8CEDE" w14:textId="3C9EBDFE" w:rsidR="003C49B8" w:rsidRPr="003C49B8" w:rsidRDefault="003C49B8" w:rsidP="00EE19A8">
            <w:pPr>
              <w:pStyle w:val="Corpodetexto"/>
              <w:ind w:firstLine="0"/>
              <w:jc w:val="center"/>
              <w:rPr>
                <w:sz w:val="18"/>
                <w:szCs w:val="18"/>
              </w:rPr>
            </w:pPr>
            <w:r w:rsidRPr="003C49B8">
              <w:rPr>
                <w:sz w:val="18"/>
                <w:szCs w:val="18"/>
              </w:rPr>
              <w:t>90 – 150 g</w:t>
            </w:r>
          </w:p>
        </w:tc>
      </w:tr>
      <w:tr w:rsidR="003C49B8" w:rsidRPr="003C49B8" w14:paraId="54437E77" w14:textId="77777777" w:rsidTr="003D24C8">
        <w:trPr>
          <w:jc w:val="center"/>
        </w:trPr>
        <w:tc>
          <w:tcPr>
            <w:tcW w:w="0" w:type="auto"/>
            <w:tcBorders>
              <w:top w:val="nil"/>
              <w:bottom w:val="single" w:sz="4" w:space="0" w:color="auto"/>
            </w:tcBorders>
            <w:vAlign w:val="center"/>
          </w:tcPr>
          <w:p w14:paraId="585864FB" w14:textId="0C6AC6E4" w:rsidR="003C49B8" w:rsidRPr="003C49B8" w:rsidRDefault="003C49B8" w:rsidP="00EE19A8">
            <w:pPr>
              <w:pStyle w:val="Corpodetexto"/>
              <w:ind w:firstLine="0"/>
              <w:jc w:val="center"/>
              <w:rPr>
                <w:sz w:val="18"/>
                <w:szCs w:val="18"/>
              </w:rPr>
            </w:pPr>
            <w:r w:rsidRPr="003C49B8">
              <w:rPr>
                <w:sz w:val="18"/>
                <w:szCs w:val="18"/>
              </w:rPr>
              <w:t>Wind</w:t>
            </w:r>
          </w:p>
        </w:tc>
        <w:tc>
          <w:tcPr>
            <w:tcW w:w="0" w:type="auto"/>
            <w:tcBorders>
              <w:top w:val="nil"/>
              <w:bottom w:val="single" w:sz="4" w:space="0" w:color="auto"/>
            </w:tcBorders>
          </w:tcPr>
          <w:p w14:paraId="5226D8CF" w14:textId="77777777" w:rsidR="003C49B8" w:rsidRPr="003C49B8" w:rsidRDefault="003C49B8" w:rsidP="00EE19A8">
            <w:pPr>
              <w:pStyle w:val="Corpodetexto"/>
              <w:jc w:val="center"/>
              <w:rPr>
                <w:sz w:val="18"/>
                <w:szCs w:val="18"/>
              </w:rPr>
            </w:pPr>
          </w:p>
        </w:tc>
        <w:tc>
          <w:tcPr>
            <w:tcW w:w="0" w:type="auto"/>
            <w:tcBorders>
              <w:top w:val="nil"/>
              <w:bottom w:val="single" w:sz="4" w:space="0" w:color="auto"/>
            </w:tcBorders>
          </w:tcPr>
          <w:p w14:paraId="7335963E" w14:textId="77777777" w:rsidR="003C49B8" w:rsidRPr="003C49B8" w:rsidRDefault="003C49B8" w:rsidP="00EE19A8">
            <w:pPr>
              <w:pStyle w:val="Corpodetexto"/>
              <w:ind w:firstLine="0"/>
              <w:jc w:val="center"/>
              <w:rPr>
                <w:sz w:val="18"/>
                <w:szCs w:val="18"/>
              </w:rPr>
            </w:pPr>
          </w:p>
        </w:tc>
        <w:tc>
          <w:tcPr>
            <w:tcW w:w="0" w:type="auto"/>
            <w:tcBorders>
              <w:top w:val="nil"/>
              <w:bottom w:val="single" w:sz="4" w:space="0" w:color="auto"/>
            </w:tcBorders>
            <w:vAlign w:val="center"/>
          </w:tcPr>
          <w:p w14:paraId="37585F0E" w14:textId="6B63EADA" w:rsidR="003C49B8" w:rsidRPr="003C49B8" w:rsidRDefault="003C49B8" w:rsidP="00EE19A8">
            <w:pPr>
              <w:pStyle w:val="Corpodetexto"/>
              <w:ind w:firstLine="0"/>
              <w:jc w:val="center"/>
              <w:rPr>
                <w:sz w:val="18"/>
                <w:szCs w:val="18"/>
              </w:rPr>
            </w:pPr>
            <w:r w:rsidRPr="003C49B8">
              <w:rPr>
                <w:sz w:val="18"/>
                <w:szCs w:val="18"/>
              </w:rPr>
              <w:t>15 – 25 g</w:t>
            </w:r>
          </w:p>
        </w:tc>
      </w:tr>
    </w:tbl>
    <w:p w14:paraId="75DED078" w14:textId="7FF07637" w:rsidR="00EE19A8" w:rsidRDefault="00EE19A8" w:rsidP="00537496">
      <w:pPr>
        <w:pStyle w:val="Corpodetexto"/>
      </w:pPr>
    </w:p>
    <w:p w14:paraId="46F4081A" w14:textId="5BAAE062" w:rsidR="00EE19A8" w:rsidRDefault="00BE7065" w:rsidP="00537496">
      <w:pPr>
        <w:pStyle w:val="Corpodetexto"/>
      </w:pPr>
      <w:r w:rsidRPr="00BE7065">
        <w:t>Despite the environmental appeal of wind and solar energy sources, these sources are intermittent, dependent on the availability of wind and solar radiation, to generate electricity. Such sources are considered fuel</w:t>
      </w:r>
      <w:r w:rsidR="001E21F9">
        <w:t>-saving</w:t>
      </w:r>
      <w:r w:rsidRPr="00BE7065">
        <w:t xml:space="preserve"> technologies, as th</w:t>
      </w:r>
      <w:r w:rsidR="001E21F9">
        <w:t>eir</w:t>
      </w:r>
      <w:r w:rsidRPr="00BE7065">
        <w:t xml:space="preserve"> infrastructure depends on another energy source and methods for its storage, </w:t>
      </w:r>
      <w:r w:rsidR="001E21F9" w:rsidRPr="00BE7065">
        <w:t>i.e.</w:t>
      </w:r>
      <w:r w:rsidRPr="00BE7065">
        <w:t xml:space="preserve">, in </w:t>
      </w:r>
      <w:r w:rsidRPr="00BE7065">
        <w:lastRenderedPageBreak/>
        <w:t xml:space="preserve">the form of heat by heating water or </w:t>
      </w:r>
      <w:r w:rsidR="001E21F9">
        <w:t xml:space="preserve">molten </w:t>
      </w:r>
      <w:r w:rsidRPr="00BE7065">
        <w:t xml:space="preserve">salts, </w:t>
      </w:r>
      <w:r w:rsidR="001E21F9" w:rsidRPr="00BE7065">
        <w:t xml:space="preserve">pumping water </w:t>
      </w:r>
      <w:r w:rsidR="001E21F9">
        <w:t xml:space="preserve">to store </w:t>
      </w:r>
      <w:r w:rsidRPr="00BE7065">
        <w:t xml:space="preserve">potential energy, </w:t>
      </w:r>
      <w:r w:rsidR="001E21F9">
        <w:t>compressed air</w:t>
      </w:r>
      <w:r w:rsidRPr="00BE7065">
        <w:t xml:space="preserve"> or in chemical batteries and hydrogen cells </w:t>
      </w:r>
      <w:r w:rsidR="00764D66">
        <w:rPr>
          <w:rStyle w:val="Refdenotaderodap"/>
        </w:rPr>
        <w:fldChar w:fldCharType="begin" w:fldLock="1"/>
      </w:r>
      <w:r w:rsidR="00764D66">
        <w:instrText>ADDIN CSL_CITATION {"citationItems":[{"id":"ITEM-1","itemData":{"DOI":"10.1016/j.susmat.2014.11.001","ISSN":"22149937","abstract":"Humanity must face the reality that it cannot depend indefinitely on combustion of coal, gas and oil for most of its energy needs. In the unavoidable process of gradually replacing fossil fuels, many energy technologies may be considered and most will be deployed in specific applications. However, in the long term, we argue that nuclear fission technology is the only developed energy source that is capable of delivering the enormous quantities of energy that will be needed to run modern industrial societies safely, economically, reliably and in a sustainable way, both environmentally and as regards the available resource base. Consequently, nuclear fission has to play a major role in this necessary transformation of the 21st century energy-supply system.In a first phase of this necessary global energy transformation, the emphasis should be on converting the major part of the world's electrical energy generation capacity from fossil fuels to nuclear fission. This can realistically be achieved within a few decades, as has already been done in France during the 1970s and 1980s. Such an energy transformation would reduce the global emissions of carbon dioxide profoundly, as well as cutting other significant greenhouse gases like methane. Industrial nations should take the lead in this transition.Because methane is a potent greenhouse gas, replacing coal-fired generating stations with gas-fired stations will not necessarily result in a reduction of the rate of greenhouse-gas emission even for relatively low leakage rates of the natural gas into the atmosphere.The energy sources popularly known as 'renewables' (such as wind and solar), will be hard pressed to supply the needed quantities of energy sustainably, economically and reliably. They are inherently intermittent, depending on backup power or on energy storage if they are to be used for delivery of base-load electrical energy to the grid. This backup power has to be flexible and is derived in most cases from combustion of fossil fuels (mainly natural gas). If used in this way, intermittent energy sources do not meet the requirements of sustainability, nor are they economically viable because they require redundant, under-utilized investment in capacity both for generation and for transmission.Intermittent energy installations, in conjunction with gas-fired backup power installations, will in many cases be found to have a combined rate of greenhouse-gas emission that is higher than that of stand-alone co…","author":[{"dropping-particle":"","family":"Brook","given":"Barry W.","non-dropping-particle":"","parse-names":false,"suffix":""},{"dropping-particle":"","family":"Alonso","given":"Agustin","non-dropping-particle":"","parse-names":false,"suffix":""},{"dropping-particle":"","family":"Meneley","given":"Daniel A.","non-dropping-particle":"","parse-names":false,"suffix":""},{"dropping-particle":"","family":"Misak","given":"Jozef","non-dropping-particle":"","parse-names":false,"suffix":""},{"dropping-particle":"","family":"Blees","given":"Tom","non-dropping-particle":"","parse-names":false,"suffix":""},{"dropping-particle":"","family":"Erp","given":"Jan B.","non-dropping-particle":"van","parse-names":false,"suffix":""}],"container-title":"Sustainable Materials and Technologies","id":"ITEM-1","issued":{"date-parts":[["2014","12"]]},"page":"8-16","publisher":"Elsevier B.V.","title":"Why nuclear energy is sustainable and has to be part of the energy mix","type":"article-journal","volume":"1-2"},"uris":["http://www.mendeley.com/documents/?uuid=efee7338-05bf-4c40-b2b2-8759b86a96dc"]}],"mendeley":{"formattedCitation":"[1]","plainTextFormattedCitation":"[1]","previouslyFormattedCitation":"[1]"},"properties":{"noteIndex":0},"schema":"https://github.com/citation-style-language/schema/raw/master/csl-citation.json"}</w:instrText>
      </w:r>
      <w:r w:rsidR="00764D66">
        <w:rPr>
          <w:rStyle w:val="Refdenotaderodap"/>
        </w:rPr>
        <w:fldChar w:fldCharType="separate"/>
      </w:r>
      <w:r w:rsidR="00764D66" w:rsidRPr="00764D66">
        <w:rPr>
          <w:noProof/>
        </w:rPr>
        <w:t>[1]</w:t>
      </w:r>
      <w:r w:rsidR="00764D66">
        <w:rPr>
          <w:rStyle w:val="Refdenotaderodap"/>
        </w:rPr>
        <w:fldChar w:fldCharType="end"/>
      </w:r>
      <w:r w:rsidRPr="00BE7065">
        <w:t xml:space="preserve">. In addition, wind and solar energy sources are </w:t>
      </w:r>
      <w:r w:rsidR="001E21F9">
        <w:t>based on</w:t>
      </w:r>
      <w:r w:rsidRPr="00BE7065">
        <w:t xml:space="preserve"> technologies that depend on very scarce chemical elements, which cannot be applied </w:t>
      </w:r>
      <w:r w:rsidR="001E21F9">
        <w:t>in a global scale</w:t>
      </w:r>
      <w:r w:rsidRPr="00BE7065">
        <w:t xml:space="preserve">, such as neodymium, used in electric motors and generators, lithium, used in batteries, and platinum, used in hydrogen cells </w:t>
      </w:r>
      <w:r w:rsidR="00764D66">
        <w:rPr>
          <w:rStyle w:val="Refdenotaderodap"/>
        </w:rPr>
        <w:fldChar w:fldCharType="begin" w:fldLock="1"/>
      </w:r>
      <w:r w:rsidR="00764D66">
        <w:instrText>ADDIN CSL_CITATION {"citationItems":[{"id":"ITEM-1","itemData":{"DOI":"10.1016/j.enpol.2010.11.040","ISSN":"03014215","abstract":"Climate change, pollution, and energy insecurity are among the greatest problems of our time. Addressing them requires major changes in our energy infrastructure. Here, we analyze the feasibility of providing worldwide energy for all purposes (electric power, transportation, heating/cooling, etc.) from wind, water, and sunlight (WWS). In Part I, we discuss WWS energy system characteristics, current and future energy demand, availability of WWS resources, numbers of WWS devices, and area and material requirements. In Part II, we address variability, economics, and policy of WWS energy. We estimate that ~3,800,000 5 MW wind turbines, ~49,000 300. MW concentrated solar plants, ~40,000 300. MW solar PV power plants, ~1.7 billion 3 kW rooftop PV systems, ~5350 100. MW geothermal power plants, ~270 new 1300. MW hydroelectric power plants, ~720,000 0.75. MW wave devices, and ~490,000 1. MW tidal turbines can power a 2030 WWS world that uses electricity and electrolytic hydrogen for all purposes. Such a WWS infrastructure reduces world power demand by 30% and requires only ~0.41% and ~0.59% more of the world's land for footprint and spacing, respectively. We suggest producing all new energy with WWS by 2030 and replacing the pre-existing energy by 2050. Barriers to the plan are primarily social and political, not technological or economic. The energy cost in a WWS world should be similar to that today. © 2010 Elsevier Ltd.","author":[{"dropping-particle":"","family":"Jacobson","given":"Mark Z.","non-dropping-particle":"","parse-names":false,"suffix":""},{"dropping-particle":"","family":"Delucchi","given":"Mark A.","non-dropping-particle":"","parse-names":false,"suffix":""}],"container-title":"Energy Policy","id":"ITEM-1","issue":"3","issued":{"date-parts":[["2011","3"]]},"page":"1154-1169","publisher":"Elsevier","title":"Providing all global energy with wind, water, and solar power, Part I: Technologies, energy resources, quantities and areas of infrastructure, and materials","type":"article-journal","volume":"39"},"uris":["http://www.mendeley.com/documents/?uuid=b9fb6dfb-b72a-4e89-a47c-6764b491c779"]}],"mendeley":{"formattedCitation":"[6]","plainTextFormattedCitation":"[6]","previouslyFormattedCitation":"[6]"},"properties":{"noteIndex":0},"schema":"https://github.com/citation-style-language/schema/raw/master/csl-citation.json"}</w:instrText>
      </w:r>
      <w:r w:rsidR="00764D66">
        <w:rPr>
          <w:rStyle w:val="Refdenotaderodap"/>
        </w:rPr>
        <w:fldChar w:fldCharType="separate"/>
      </w:r>
      <w:r w:rsidR="00764D66" w:rsidRPr="00764D66">
        <w:rPr>
          <w:bCs/>
          <w:noProof/>
          <w:lang w:val="en-US"/>
        </w:rPr>
        <w:t>[6]</w:t>
      </w:r>
      <w:r w:rsidR="00764D66">
        <w:rPr>
          <w:rStyle w:val="Refdenotaderodap"/>
        </w:rPr>
        <w:fldChar w:fldCharType="end"/>
      </w:r>
      <w:r w:rsidR="001E21F9" w:rsidRPr="001E21F9">
        <w:t>.</w:t>
      </w:r>
    </w:p>
    <w:p w14:paraId="17BA256B" w14:textId="77777777" w:rsidR="008662B7" w:rsidRDefault="008662B7" w:rsidP="008662B7">
      <w:pPr>
        <w:pStyle w:val="Corpodetexto"/>
      </w:pPr>
      <w:r>
        <w:t>Climate change also negatively affects the use of water-based energy sources, as in the case of hydroelectric plants, due to the increase in the frequency and extension of drought periods.</w:t>
      </w:r>
    </w:p>
    <w:p w14:paraId="16DA3286" w14:textId="18E68CFD" w:rsidR="00BE7065" w:rsidRDefault="008662B7" w:rsidP="008662B7">
      <w:pPr>
        <w:pStyle w:val="Corpodetexto"/>
      </w:pPr>
      <w:r>
        <w:t xml:space="preserve">The heat and electricity generation of a nuclear power plant produces low GHG emissions </w:t>
      </w:r>
      <w:r w:rsidR="00764D66">
        <w:rPr>
          <w:rStyle w:val="Refdenotaderodap"/>
        </w:rPr>
        <w:fldChar w:fldCharType="begin" w:fldLock="1"/>
      </w:r>
      <w:r w:rsidR="00764D66">
        <w:instrText>ADDIN CSL_CITATION {"citationItems":[{"id":"ITEM-1","itemData":{"DOI":"10.1016/j.enconman.2008.01.033","ISSN":"01968904","abstract":"The increased urgency of dealing with mitigation of the looming climate change has sparked renewed interest in the nuclear energy option. There exists a substantial stream of research on the amount of embodied energy and greenhouse gas emissions associated with nuclear generated electricity. While conventional fossil fuelled power plants cause emissions almost exclusively from the plant site, the majority of greenhouse gas emissions in the nuclear fuel cycle are caused in processing stages upstream and downstream from the plant. This paper distils the findings from a comprehensive literature review of energy and greenhouse gas emissions in the nuclear fuel cycle and determines some of the causes for the widely varying results. The most popular reactor types, LWR and HWR, need between 0.1 and 0.3 kWhth, and on average about 0.2 kWhth for every kWh of electricity generated. These energy intensities translate into greenhouse gas intensities for LWR and HWR of between 10 and 130 g CO2-e/kWhel, with an average of 65 g CO2-e/kWhel. While these greenhouse gases are expectedly lower than those of fossil technologies (typically 600-1200 g CO2-e/kWhel), they are higher than reported figures for wind turbines and hydroelectricity (around 15-25 g CO2-e/kWhel) and in the order of, or slightly lower than, solar photovoltaic or solar thermal power (around 90 g CO2-e/kWhel). © 2008 Elsevier Ltd. All rights reserved.","author":[{"dropping-particle":"","family":"Lenzen","given":"Manfred","non-dropping-particle":"","parse-names":false,"suffix":""}],"container-title":"Energy Conversion and Management","id":"ITEM-1","issue":"8","issued":{"date-parts":[["2008","8"]]},"page":"2178-2199","title":"Life cycle energy and greenhouse gas emissions of nuclear energy: A review","type":"article-journal","volume":"49"},"uris":["http://www.mendeley.com/documents/?uuid=1757250a-04a4-4ebb-b59c-eb8d3f14140b"]}],"mendeley":{"formattedCitation":"[5]","plainTextFormattedCitation":"[5]","previouslyFormattedCitation":"[5]"},"properties":{"noteIndex":0},"schema":"https://github.com/citation-style-language/schema/raw/master/csl-citation.json"}</w:instrText>
      </w:r>
      <w:r w:rsidR="00764D66">
        <w:rPr>
          <w:rStyle w:val="Refdenotaderodap"/>
        </w:rPr>
        <w:fldChar w:fldCharType="separate"/>
      </w:r>
      <w:r w:rsidR="00764D66" w:rsidRPr="00764D66">
        <w:rPr>
          <w:noProof/>
        </w:rPr>
        <w:t>[5]</w:t>
      </w:r>
      <w:r w:rsidR="00764D66">
        <w:rPr>
          <w:rStyle w:val="Refdenotaderodap"/>
        </w:rPr>
        <w:fldChar w:fldCharType="end"/>
      </w:r>
      <w:r>
        <w:t xml:space="preserve">, however, the </w:t>
      </w:r>
      <w:r w:rsidR="00F61C3B">
        <w:t>upstream</w:t>
      </w:r>
      <w:r>
        <w:t xml:space="preserve"> processes generate considerable GHG emissions </w:t>
      </w:r>
      <w:r w:rsidR="00764D66">
        <w:rPr>
          <w:rStyle w:val="Refdenotaderodap"/>
        </w:rPr>
        <w:fldChar w:fldCharType="begin" w:fldLock="1"/>
      </w:r>
      <w:r w:rsidR="00764D66">
        <w:instrText>ADDIN CSL_CITATION {"citationItems":[{"id":"ITEM-1","itemData":{"DOI":"10.1016/S0301-4215(96)00111-5","ISSN":"03014215","abstract":"This paper deals with the methodologies and databases for comparative assessment of emissions of greenhouse gases (GHGs) from the full energy chain (FENCH) of different energy sources. It largely refers to an international experts workshop on the topic held in October 1994 in Beijing, which was the first meeting in a series of IAEA expert meetings on comparison of FENCH-GHG emission from energy sources. The findings and recommendations of the workship cover topics such as time horizon, plant life time, materials flows and system output comparability. Copyright © 1997 Elsevier Science Ltd.","author":[{"dropping-particle":"","family":"Vate","given":"Joop F.","non-dropping-particle":"van de","parse-names":false,"suffix":""}],"container-title":"Energy Policy","id":"ITEM-1","issue":"1","issued":{"date-parts":[["1997","1"]]},"page":"1-6","title":"Comparison of energy sources in terms of their full energy chain emission factors of greenhouse gases","type":"article-journal","volume":"25"},"uris":["http://www.mendeley.com/documents/?uuid=cab186d5-cbba-47c4-b747-38e5437332de"]}],"mendeley":{"formattedCitation":"[3]","plainTextFormattedCitation":"[3]","previouslyFormattedCitation":"[3]"},"properties":{"noteIndex":0},"schema":"https://github.com/citation-style-language/schema/raw/master/csl-citation.json"}</w:instrText>
      </w:r>
      <w:r w:rsidR="00764D66">
        <w:rPr>
          <w:rStyle w:val="Refdenotaderodap"/>
        </w:rPr>
        <w:fldChar w:fldCharType="separate"/>
      </w:r>
      <w:r w:rsidR="00764D66" w:rsidRPr="00764D66">
        <w:rPr>
          <w:noProof/>
        </w:rPr>
        <w:t>[3]</w:t>
      </w:r>
      <w:r w:rsidR="00764D66">
        <w:rPr>
          <w:rStyle w:val="Refdenotaderodap"/>
        </w:rPr>
        <w:fldChar w:fldCharType="end"/>
      </w:r>
      <w:r>
        <w:t xml:space="preserve">, especially during refining and conversion of uranium ore into uranium hexafluoride </w:t>
      </w:r>
      <w:r w:rsidR="00764D66">
        <w:rPr>
          <w:rStyle w:val="Refdenotaderodap"/>
        </w:rPr>
        <w:fldChar w:fldCharType="begin" w:fldLock="1"/>
      </w:r>
      <w:r w:rsidR="00764D66">
        <w:instrText>ADDIN CSL_CITATION {"citationItems":[{"id":"ITEM-1","itemData":{"DOI":"10.1016/j.jclepro.2013.11.034","ISSN":"09596526","abstract":"A life cycle assessment of nuclear power production based on the uranium nuclear fuel cycle has been carried out, with greenhouse gas (GHG) emissions as the environmental impact of interest. The study focussed mainly on the once-through cycle with current technologies. The present life cycle-based GHG emissions of nuclear power production for a uranium ore grade of 0.15%U3O8 was estimated to be in the order of 34 kg CO2e/MWh, which is significantly less than for fossil fuel-based electricity. However, expected falls in uranium ore grade over time will narrow this gap due to the additional amount of ore that must be mined and processed in order to extract the same amount of uranium. This effect of uranium ore grade was examined in some detail, with the greenhouse gas footprint increasing to 60 kg CO2e/MWh when the ore grade falls from 0.15%to 0.01%U3O8. Projections indicate that the average ore grade of the world's uranium resources will fall to this level in about 50 years. Should the contribution of nuclear power to global electricity generation increase significantly beyond that expected over this period, these lower ore grades and associated higher greenhouse gas footprint would be reached much sooner. While the impact of new and improved technologies anticipated in the future in the various stages of the nuclear fuel cycle will help offset the effect of falling uranium ore grades in the near to medium term, the long-term future of nuclear power as a low greenhouse gas source of electrical power would appear to be strongly dependent on the widespread deployment of fast breeder reactors which will significantly increase the lifespan of current uranium resources. However, extrapolating results based on current resource and ore grade data into the future is fraught with uncertainties, and is done here to give indicative rather than definitive values for future uranium ore grades and the likely impact on the GHG footprint of nuclear power.","author":[{"dropping-particle":"","family":"Norgate","given":"T.","non-dropping-particle":"","parse-names":false,"suffix":""},{"dropping-particle":"","family":"Haque","given":"N.","non-dropping-particle":"","parse-names":false,"suffix":""},{"dropping-particle":"","family":"Koltun","given":"P.","non-dropping-particle":"","parse-names":false,"suffix":""}],"container-title":"Journal of Cleaner Production","id":"ITEM-1","issue":"1","issued":{"date-parts":[["2014","12"]]},"page":"360-367","publisher":"Elsevier Ltd","title":"The impact of uranium ore grade on the greenhouse gas footprint of nuclear power","type":"article-journal","volume":"84"},"uris":["http://www.mendeley.com/documents/?uuid=14eea9e9-8d13-4df8-a8b1-da0394031a89"]}],"mendeley":{"formattedCitation":"[4]","plainTextFormattedCitation":"[4]","previouslyFormattedCitation":"[4]"},"properties":{"noteIndex":0},"schema":"https://github.com/citation-style-language/schema/raw/master/csl-citation.json"}</w:instrText>
      </w:r>
      <w:r w:rsidR="00764D66">
        <w:rPr>
          <w:rStyle w:val="Refdenotaderodap"/>
        </w:rPr>
        <w:fldChar w:fldCharType="separate"/>
      </w:r>
      <w:r w:rsidR="00764D66" w:rsidRPr="00764D66">
        <w:rPr>
          <w:noProof/>
        </w:rPr>
        <w:t>[4]</w:t>
      </w:r>
      <w:r w:rsidR="00764D66">
        <w:rPr>
          <w:rStyle w:val="Refdenotaderodap"/>
        </w:rPr>
        <w:fldChar w:fldCharType="end"/>
      </w:r>
      <w:r>
        <w:t xml:space="preserve">. The lower the uranium ore grade, </w:t>
      </w:r>
      <w:r w:rsidR="00F61C3B">
        <w:t xml:space="preserve">as </w:t>
      </w:r>
      <w:r>
        <w:t xml:space="preserve">uranium concentration per ton processed, the greater the amount of GHG emitted along the nuclear fuel chain </w:t>
      </w:r>
      <w:r w:rsidR="00764D66">
        <w:rPr>
          <w:rStyle w:val="Refdenotaderodap"/>
        </w:rPr>
        <w:fldChar w:fldCharType="begin" w:fldLock="1"/>
      </w:r>
      <w:r w:rsidR="00764D66">
        <w:instrText>ADDIN CSL_CITATION {"citationItems":[{"id":"ITEM-1","itemData":{"DOI":"10.1016/j.jclepro.2013.11.034","ISSN":"09596526","abstract":"A life cycle assessment of nuclear power production based on the uranium nuclear fuel cycle has been carried out, with greenhouse gas (GHG) emissions as the environmental impact of interest. The study focussed mainly on the once-through cycle with current technologies. The present life cycle-based GHG emissions of nuclear power production for a uranium ore grade of 0.15%U3O8 was estimated to be in the order of 34 kg CO2e/MWh, which is significantly less than for fossil fuel-based electricity. However, expected falls in uranium ore grade over time will narrow this gap due to the additional amount of ore that must be mined and processed in order to extract the same amount of uranium. This effect of uranium ore grade was examined in some detail, with the greenhouse gas footprint increasing to 60 kg CO2e/MWh when the ore grade falls from 0.15%to 0.01%U3O8. Projections indicate that the average ore grade of the world's uranium resources will fall to this level in about 50 years. Should the contribution of nuclear power to global electricity generation increase significantly beyond that expected over this period, these lower ore grades and associated higher greenhouse gas footprint would be reached much sooner. While the impact of new and improved technologies anticipated in the future in the various stages of the nuclear fuel cycle will help offset the effect of falling uranium ore grades in the near to medium term, the long-term future of nuclear power as a low greenhouse gas source of electrical power would appear to be strongly dependent on the widespread deployment of fast breeder reactors which will significantly increase the lifespan of current uranium resources. However, extrapolating results based on current resource and ore grade data into the future is fraught with uncertainties, and is done here to give indicative rather than definitive values for future uranium ore grades and the likely impact on the GHG footprint of nuclear power.","author":[{"dropping-particle":"","family":"Norgate","given":"T.","non-dropping-particle":"","parse-names":false,"suffix":""},{"dropping-particle":"","family":"Haque","given":"N.","non-dropping-particle":"","parse-names":false,"suffix":""},{"dropping-particle":"","family":"Koltun","given":"P.","non-dropping-particle":"","parse-names":false,"suffix":""}],"container-title":"Journal of Cleaner Production","id":"ITEM-1","issue":"1","issued":{"date-parts":[["2014","12"]]},"page":"360-367","publisher":"Elsevier Ltd","title":"The impact of uranium ore grade on the greenhouse gas footprint of nuclear power","type":"article-journal","volume":"84"},"uris":["http://www.mendeley.com/documents/?uuid=14eea9e9-8d13-4df8-a8b1-da0394031a89"]}],"mendeley":{"formattedCitation":"[4]","plainTextFormattedCitation":"[4]","previouslyFormattedCitation":"[4]"},"properties":{"noteIndex":0},"schema":"https://github.com/citation-style-language/schema/raw/master/csl-citation.json"}</w:instrText>
      </w:r>
      <w:r w:rsidR="00764D66">
        <w:rPr>
          <w:rStyle w:val="Refdenotaderodap"/>
        </w:rPr>
        <w:fldChar w:fldCharType="separate"/>
      </w:r>
      <w:r w:rsidR="00764D66" w:rsidRPr="00764D66">
        <w:rPr>
          <w:noProof/>
        </w:rPr>
        <w:t>[4]</w:t>
      </w:r>
      <w:r w:rsidR="00764D66">
        <w:rPr>
          <w:rStyle w:val="Refdenotaderodap"/>
        </w:rPr>
        <w:fldChar w:fldCharType="end"/>
      </w:r>
      <w:r>
        <w:t xml:space="preserve">. The two main arguments against the use of nuclear energy are not associated with GHG emissions, but with public fear of a nuclear accident and the possibility of increased production of nuclear weapons </w:t>
      </w:r>
      <w:r w:rsidR="00764D66">
        <w:rPr>
          <w:rStyle w:val="Refdenotaderodap"/>
        </w:rPr>
        <w:fldChar w:fldCharType="begin" w:fldLock="1"/>
      </w:r>
      <w:r w:rsidR="00764D66">
        <w:instrText>ADDIN CSL_CITATION {"citationItems":[{"id":"ITEM-1","itemData":{"DOI":"10.1016/j.enconman.2008.01.033","ISSN":"01968904","abstract":"The increased urgency of dealing with mitigation of the looming climate change has sparked renewed interest in the nuclear energy option. There exists a substantial stream of research on the amount of embodied energy and greenhouse gas emissions associated with nuclear generated electricity. While conventional fossil fuelled power plants cause emissions almost exclusively from the plant site, the majority of greenhouse gas emissions in the nuclear fuel cycle are caused in processing stages upstream and downstream from the plant. This paper distils the findings from a comprehensive literature review of energy and greenhouse gas emissions in the nuclear fuel cycle and determines some of the causes for the widely varying results. The most popular reactor types, LWR and HWR, need between 0.1 and 0.3 kWhth, and on average about 0.2 kWhth for every kWh of electricity generated. These energy intensities translate into greenhouse gas intensities for LWR and HWR of between 10 and 130 g CO2-e/kWhel, with an average of 65 g CO2-e/kWhel. While these greenhouse gases are expectedly lower than those of fossil technologies (typically 600-1200 g CO2-e/kWhel), they are higher than reported figures for wind turbines and hydroelectricity (around 15-25 g CO2-e/kWhel) and in the order of, or slightly lower than, solar photovoltaic or solar thermal power (around 90 g CO2-e/kWhel). © 2008 Elsevier Ltd. All rights reserved.","author":[{"dropping-particle":"","family":"Lenzen","given":"Manfred","non-dropping-particle":"","parse-names":false,"suffix":""}],"container-title":"Energy Conversion and Management","id":"ITEM-1","issue":"8","issued":{"date-parts":[["2008","8"]]},"page":"2178-2199","title":"Life cycle energy and greenhouse gas emissions of nuclear energy: A review","type":"article-journal","volume":"49"},"uris":["http://www.mendeley.com/documents/?uuid=1757250a-04a4-4ebb-b59c-eb8d3f14140b"]}],"mendeley":{"formattedCitation":"[5]","plainTextFormattedCitation":"[5]","previouslyFormattedCitation":"[5]"},"properties":{"noteIndex":0},"schema":"https://github.com/citation-style-language/schema/raw/master/csl-citation.json"}</w:instrText>
      </w:r>
      <w:r w:rsidR="00764D66">
        <w:rPr>
          <w:rStyle w:val="Refdenotaderodap"/>
        </w:rPr>
        <w:fldChar w:fldCharType="separate"/>
      </w:r>
      <w:r w:rsidR="00764D66" w:rsidRPr="00764D66">
        <w:rPr>
          <w:noProof/>
        </w:rPr>
        <w:t>[5]</w:t>
      </w:r>
      <w:r w:rsidR="00764D66">
        <w:rPr>
          <w:rStyle w:val="Refdenotaderodap"/>
        </w:rPr>
        <w:fldChar w:fldCharType="end"/>
      </w:r>
      <w:r>
        <w:t xml:space="preserve">. Both arguments are not supported by the data collected during the approximately 70 years of use of this energy source. Another disadvantageous aspect of nuclear energy is the average time for the operation of a new plant, around 15 years </w:t>
      </w:r>
      <w:r w:rsidR="00764D66">
        <w:rPr>
          <w:rStyle w:val="Refdenotaderodap"/>
        </w:rPr>
        <w:fldChar w:fldCharType="begin" w:fldLock="1"/>
      </w:r>
      <w:r w:rsidR="00764D66">
        <w:instrText>ADDIN CSL_CITATION {"citationItems":[{"id":"ITEM-1","itemData":{"DOI":"10.1016/j.enpol.2010.11.040","ISSN":"03014215","abstract":"Climate change, pollution, and energy insecurity are among the greatest problems of our time. Addressing them requires major changes in our energy infrastructure. Here, we analyze the feasibility of providing worldwide energy for all purposes (electric power, transportation, heating/cooling, etc.) from wind, water, and sunlight (WWS). In Part I, we discuss WWS energy system characteristics, current and future energy demand, availability of WWS resources, numbers of WWS devices, and area and material requirements. In Part II, we address variability, economics, and policy of WWS energy. We estimate that ~3,800,000 5 MW wind turbines, ~49,000 300. MW concentrated solar plants, ~40,000 300. MW solar PV power plants, ~1.7 billion 3 kW rooftop PV systems, ~5350 100. MW geothermal power plants, ~270 new 1300. MW hydroelectric power plants, ~720,000 0.75. MW wave devices, and ~490,000 1. MW tidal turbines can power a 2030 WWS world that uses electricity and electrolytic hydrogen for all purposes. Such a WWS infrastructure reduces world power demand by 30% and requires only ~0.41% and ~0.59% more of the world's land for footprint and spacing, respectively. We suggest producing all new energy with WWS by 2030 and replacing the pre-existing energy by 2050. Barriers to the plan are primarily social and political, not technological or economic. The energy cost in a WWS world should be similar to that today. © 2010 Elsevier Ltd.","author":[{"dropping-particle":"","family":"Jacobson","given":"Mark Z.","non-dropping-particle":"","parse-names":false,"suffix":""},{"dropping-particle":"","family":"Delucchi","given":"Mark A.","non-dropping-particle":"","parse-names":false,"suffix":""}],"container-title":"Energy Policy","id":"ITEM-1","issue":"3","issued":{"date-parts":[["2011","3"]]},"page":"1154-1169","publisher":"Elsevier","title":"Providing all global energy with wind, water, and solar power, Part I: Technologies, energy resources, quantities and areas of infrastructure, and materials","type":"article-journal","volume":"39"},"uris":["http://www.mendeley.com/documents/?uuid=b9fb6dfb-b72a-4e89-a47c-6764b491c779"]}],"mendeley":{"formattedCitation":"[6]","plainTextFormattedCitation":"[6]","previouslyFormattedCitation":"[6]"},"properties":{"noteIndex":0},"schema":"https://github.com/citation-style-language/schema/raw/master/csl-citation.json"}</w:instrText>
      </w:r>
      <w:r w:rsidR="00764D66">
        <w:rPr>
          <w:rStyle w:val="Refdenotaderodap"/>
        </w:rPr>
        <w:fldChar w:fldCharType="separate"/>
      </w:r>
      <w:r w:rsidR="00764D66" w:rsidRPr="00764D66">
        <w:rPr>
          <w:noProof/>
        </w:rPr>
        <w:t>[6]</w:t>
      </w:r>
      <w:r w:rsidR="00764D66">
        <w:rPr>
          <w:rStyle w:val="Refdenotaderodap"/>
        </w:rPr>
        <w:fldChar w:fldCharType="end"/>
      </w:r>
      <w:r>
        <w:t xml:space="preserve">. For comparative purposes, a wind or solar plant starts operating, on average, in 3 years </w:t>
      </w:r>
      <w:r w:rsidR="00764D66">
        <w:rPr>
          <w:rStyle w:val="Refdenotaderodap"/>
        </w:rPr>
        <w:fldChar w:fldCharType="begin" w:fldLock="1"/>
      </w:r>
      <w:r w:rsidR="00764D66">
        <w:instrText>ADDIN CSL_CITATION {"citationItems":[{"id":"ITEM-1","itemData":{"DOI":"10.1016/j.enpol.2010.11.040","ISSN":"03014215","abstract":"Climate change, pollution, and energy insecurity are among the greatest problems of our time. Addressing them requires major changes in our energy infrastructure. Here, we analyze the feasibility of providing worldwide energy for all purposes (electric power, transportation, heating/cooling, etc.) from wind, water, and sunlight (WWS). In Part I, we discuss WWS energy system characteristics, current and future energy demand, availability of WWS resources, numbers of WWS devices, and area and material requirements. In Part II, we address variability, economics, and policy of WWS energy. We estimate that ~3,800,000 5 MW wind turbines, ~49,000 300. MW concentrated solar plants, ~40,000 300. MW solar PV power plants, ~1.7 billion 3 kW rooftop PV systems, ~5350 100. MW geothermal power plants, ~270 new 1300. MW hydroelectric power plants, ~720,000 0.75. MW wave devices, and ~490,000 1. MW tidal turbines can power a 2030 WWS world that uses electricity and electrolytic hydrogen for all purposes. Such a WWS infrastructure reduces world power demand by 30% and requires only ~0.41% and ~0.59% more of the world's land for footprint and spacing, respectively. We suggest producing all new energy with WWS by 2030 and replacing the pre-existing energy by 2050. Barriers to the plan are primarily social and political, not technological or economic. The energy cost in a WWS world should be similar to that today. © 2010 Elsevier Ltd.","author":[{"dropping-particle":"","family":"Jacobson","given":"Mark Z.","non-dropping-particle":"","parse-names":false,"suffix":""},{"dropping-particle":"","family":"Delucchi","given":"Mark A.","non-dropping-particle":"","parse-names":false,"suffix":""}],"container-title":"Energy Policy","id":"ITEM-1","issue":"3","issued":{"date-parts":[["2011","3"]]},"page":"1154-1169","publisher":"Elsevier","title":"Providing all global energy with wind, water, and solar power, Part I: Technologies, energy resources, quantities and areas of infrastructure, and materials","type":"article-journal","volume":"39"},"uris":["http://www.mendeley.com/documents/?uuid=b9fb6dfb-b72a-4e89-a47c-6764b491c779"]}],"mendeley":{"formattedCitation":"[6]","plainTextFormattedCitation":"[6]","previouslyFormattedCitation":"[6]"},"properties":{"noteIndex":0},"schema":"https://github.com/citation-style-language/schema/raw/master/csl-citation.json"}</w:instrText>
      </w:r>
      <w:r w:rsidR="00764D66">
        <w:rPr>
          <w:rStyle w:val="Refdenotaderodap"/>
        </w:rPr>
        <w:fldChar w:fldCharType="separate"/>
      </w:r>
      <w:r w:rsidR="00764D66" w:rsidRPr="00764D66">
        <w:rPr>
          <w:noProof/>
        </w:rPr>
        <w:t>[6]</w:t>
      </w:r>
      <w:r w:rsidR="00764D66">
        <w:rPr>
          <w:rStyle w:val="Refdenotaderodap"/>
        </w:rPr>
        <w:fldChar w:fldCharType="end"/>
      </w:r>
      <w:r>
        <w:t xml:space="preserve">. Even so, nuclear energy through the fission of atomic nuclei appears as one of the few energy sources already consolidated and capable of delivering, in a safe, sustainable, economical and reliable way, the enormous amounts of energy necessary for the operation of </w:t>
      </w:r>
      <w:r w:rsidR="00314B3D">
        <w:t xml:space="preserve">modern </w:t>
      </w:r>
      <w:r>
        <w:t xml:space="preserve">industrial societies </w:t>
      </w:r>
      <w:r w:rsidR="00764D66">
        <w:rPr>
          <w:rStyle w:val="Refdenotaderodap"/>
        </w:rPr>
        <w:fldChar w:fldCharType="begin" w:fldLock="1"/>
      </w:r>
      <w:r w:rsidR="00764D66">
        <w:instrText>ADDIN CSL_CITATION {"citationItems":[{"id":"ITEM-1","itemData":{"DOI":"10.1016/j.susmat.2014.11.001","ISSN":"22149937","abstract":"Humanity must face the reality that it cannot depend indefinitely on combustion of coal, gas and oil for most of its energy needs. In the unavoidable process of gradually replacing fossil fuels, many energy technologies may be considered and most will be deployed in specific applications. However, in the long term, we argue that nuclear fission technology is the only developed energy source that is capable of delivering the enormous quantities of energy that will be needed to run modern industrial societies safely, economically, reliably and in a sustainable way, both environmentally and as regards the available resource base. Consequently, nuclear fission has to play a major role in this necessary transformation of the 21st century energy-supply system.In a first phase of this necessary global energy transformation, the emphasis should be on converting the major part of the world's electrical energy generation capacity from fossil fuels to nuclear fission. This can realistically be achieved within a few decades, as has already been done in France during the 1970s and 1980s. Such an energy transformation would reduce the global emissions of carbon dioxide profoundly, as well as cutting other significant greenhouse gases like methane. Industrial nations should take the lead in this transition.Because methane is a potent greenhouse gas, replacing coal-fired generating stations with gas-fired stations will not necessarily result in a reduction of the rate of greenhouse-gas emission even for relatively low leakage rates of the natural gas into the atmosphere.The energy sources popularly known as 'renewables' (such as wind and solar), will be hard pressed to supply the needed quantities of energy sustainably, economically and reliably. They are inherently intermittent, depending on backup power or on energy storage if they are to be used for delivery of base-load electrical energy to the grid. This backup power has to be flexible and is derived in most cases from combustion of fossil fuels (mainly natural gas). If used in this way, intermittent energy sources do not meet the requirements of sustainability, nor are they economically viable because they require redundant, under-utilized investment in capacity both for generation and for transmission.Intermittent energy installations, in conjunction with gas-fired backup power installations, will in many cases be found to have a combined rate of greenhouse-gas emission that is higher than that of stand-alone co…","author":[{"dropping-particle":"","family":"Brook","given":"Barry W.","non-dropping-particle":"","parse-names":false,"suffix":""},{"dropping-particle":"","family":"Alonso","given":"Agustin","non-dropping-particle":"","parse-names":false,"suffix":""},{"dropping-particle":"","family":"Meneley","given":"Daniel A.","non-dropping-particle":"","parse-names":false,"suffix":""},{"dropping-particle":"","family":"Misak","given":"Jozef","non-dropping-particle":"","parse-names":false,"suffix":""},{"dropping-particle":"","family":"Blees","given":"Tom","non-dropping-particle":"","parse-names":false,"suffix":""},{"dropping-particle":"","family":"Erp","given":"Jan B.","non-dropping-particle":"van","parse-names":false,"suffix":""}],"container-title":"Sustainable Materials and Technologies","id":"ITEM-1","issued":{"date-parts":[["2014","12"]]},"page":"8-16","publisher":"Elsevier B.V.","title":"Why nuclear energy is sustainable and has to be part of the energy mix","type":"article-journal","volume":"1-2"},"uris":["http://www.mendeley.com/documents/?uuid=efee7338-05bf-4c40-b2b2-8759b86a96dc"]}],"mendeley":{"formattedCitation":"[1]","plainTextFormattedCitation":"[1]","previouslyFormattedCitation":"[1]"},"properties":{"noteIndex":0},"schema":"https://github.com/citation-style-language/schema/raw/master/csl-citation.json"}</w:instrText>
      </w:r>
      <w:r w:rsidR="00764D66">
        <w:rPr>
          <w:rStyle w:val="Refdenotaderodap"/>
        </w:rPr>
        <w:fldChar w:fldCharType="separate"/>
      </w:r>
      <w:r w:rsidR="00764D66" w:rsidRPr="00764D66">
        <w:rPr>
          <w:noProof/>
        </w:rPr>
        <w:t>[1]</w:t>
      </w:r>
      <w:r w:rsidR="00764D66">
        <w:rPr>
          <w:rStyle w:val="Refdenotaderodap"/>
        </w:rPr>
        <w:fldChar w:fldCharType="end"/>
      </w:r>
      <w:r>
        <w:t>.</w:t>
      </w:r>
    </w:p>
    <w:p w14:paraId="2DC94D75" w14:textId="78E29D7B" w:rsidR="00BE7065" w:rsidRDefault="00D41812" w:rsidP="00537496">
      <w:pPr>
        <w:pStyle w:val="Corpodetexto"/>
      </w:pPr>
      <w:r w:rsidRPr="00D41812">
        <w:t xml:space="preserve">Each </w:t>
      </w:r>
      <w:r w:rsidR="00750722">
        <w:t>stage</w:t>
      </w:r>
      <w:r w:rsidRPr="00D41812">
        <w:t xml:space="preserve"> of the nuclear energy source chain has different types of waste treatments. A stage little explored in the literature is the uranium enrichment for energy generation purposes, up to 5% of </w:t>
      </w:r>
      <w:r w:rsidRPr="00D41812">
        <w:rPr>
          <w:vertAlign w:val="superscript"/>
        </w:rPr>
        <w:t>235</w:t>
      </w:r>
      <w:r w:rsidRPr="00D41812">
        <w:t xml:space="preserve">U. Thus, the objective of this text is to present the processes related to the management and </w:t>
      </w:r>
      <w:r>
        <w:t xml:space="preserve">waste </w:t>
      </w:r>
      <w:r w:rsidRPr="00D41812">
        <w:t>treatment used in a uranium enrichment plant.</w:t>
      </w:r>
    </w:p>
    <w:p w14:paraId="7A8D9C89" w14:textId="75DB83DE" w:rsidR="00BE7065" w:rsidRDefault="002B77D1" w:rsidP="002B77D1">
      <w:pPr>
        <w:pStyle w:val="Ttulo2"/>
        <w:numPr>
          <w:ilvl w:val="1"/>
          <w:numId w:val="10"/>
        </w:numPr>
      </w:pPr>
      <w:r>
        <w:t>Uranium enrichment</w:t>
      </w:r>
    </w:p>
    <w:p w14:paraId="1907F1BE" w14:textId="5992690D" w:rsidR="00BE7065" w:rsidRDefault="00764D66" w:rsidP="00537496">
      <w:pPr>
        <w:pStyle w:val="Corpodetexto"/>
      </w:pPr>
      <w:r w:rsidRPr="00764D66">
        <w:t xml:space="preserve">The uranium enrichment </w:t>
      </w:r>
      <w:r w:rsidR="00750722">
        <w:t>stage</w:t>
      </w:r>
      <w:r w:rsidRPr="00764D66">
        <w:t xml:space="preserve">, within the entire nuclear energy source chain, is the </w:t>
      </w:r>
      <w:r w:rsidR="00750722">
        <w:t>stage</w:t>
      </w:r>
      <w:r w:rsidRPr="00764D66">
        <w:t xml:space="preserve"> with the lowest environmental impact. </w:t>
      </w:r>
      <w:r w:rsidR="00750722">
        <w:t>M</w:t>
      </w:r>
      <w:r w:rsidRPr="00764D66">
        <w:t>ining and converting the ore into UF</w:t>
      </w:r>
      <w:r w:rsidRPr="00750722">
        <w:rPr>
          <w:vertAlign w:val="subscript"/>
        </w:rPr>
        <w:t>6</w:t>
      </w:r>
      <w:r w:rsidRPr="00764D66">
        <w:t xml:space="preserve"> generate significant amounts of harmful metallic elements such as Arsenic (As), Chromium (Cr), Lead (Pb), Copper (Cu), Molybdenum (Mo), Nickel (Ni), Mercury (Hg), Vanadium (V) and Selenium (Se) </w:t>
      </w:r>
      <w:r w:rsidRPr="00764D66">
        <w:fldChar w:fldCharType="begin" w:fldLock="1"/>
      </w:r>
      <w:r w:rsidR="000F446D">
        <w:instrText>ADDIN CSL_CITATION {"citationItems":[{"id":"ITEM-1","itemData":{"DOI":"10.1080/10402381.2014.933987","ISSN":"1040-2381","abstract":"Assessment of flux rates and concentrations of potentially toxic elements in sediment cores from 5 lakes adjacent to the McClean Lake uranium mines in northern Saskatchewan (impact lakes) compared to results from a set of 5 upwind and distant lakes (reference lakes) clearly indicated enrichment of several elements in lakes close to the mining operations. The flux of uranium to the sediments of the 5 impact lakes was significantly higher post-1960 from the mean pre-1960 background conditions by 1.5 to 23 times. Flux rates of arsenic, molybdenum, and selenium also indicated significant enrichment from background conditions in the majority of the impact lakes. In contrast, large and significant increases in flux only occurred in 1 of the 5 reference lakes for arsenic. The highest levels of enrichment were found in the 3 lakes either in closest proximity to the tailings management facility, waste-rock piles, or downstream from the treated effluent management system. High flux rates and concentrations of elements such as arsenic and vanadium in both the reference lakes and in pre-mining samples of the impact lakes indicated that potentially toxic elements can occur naturally in this region. Sediment core analyses of elemental flux and concentration in both reference lakes and pre-1960 conditions in the impact lakes provided an estimate of natural background conditions. Our data suggest that the McClean Lake mine may be a source for the enrichments of toxic elements in the lakes in close proximity to the mining operations.","author":[{"dropping-particle":"","family":"Laird","given":"Kathleen R.","non-dropping-particle":"","parse-names":false,"suffix":""},{"dropping-particle":"","family":"Das","given":"Biplob","non-dropping-particle":"","parse-names":false,"suffix":""},{"dropping-particle":"","family":"Cumming","given":"Brian F.","non-dropping-particle":"","parse-names":false,"suffix":""}],"container-title":"Lake and Reservoir Management","id":"ITEM-1","issue":"4","issued":{"date-parts":[["2014","10","2"]]},"page":"344-357","title":"Enrichment of uranium, arsenic, molybdenum, and selenium in sediment cores from boreal lakes adjacent to northern Saskatchewan uranium mines","type":"article-journal","volume":"30"},"uris":["http://www.mendeley.com/documents/?uuid=0370495c-b157-491e-933f-77eea16a9ce7"]}],"mendeley":{"formattedCitation":"[7]","plainTextFormattedCitation":"[7]","previouslyFormattedCitation":"[7]"},"properties":{"noteIndex":0},"schema":"https://github.com/citation-style-language/schema/raw/master/csl-citation.json"}</w:instrText>
      </w:r>
      <w:r w:rsidRPr="00764D66">
        <w:fldChar w:fldCharType="separate"/>
      </w:r>
      <w:r w:rsidRPr="00764D66">
        <w:rPr>
          <w:noProof/>
        </w:rPr>
        <w:t>[7]</w:t>
      </w:r>
      <w:r w:rsidRPr="00764D66">
        <w:fldChar w:fldCharType="end"/>
      </w:r>
      <w:r w:rsidRPr="00764D66">
        <w:t>. The mining activity also presents difficulties in uranium inventory control, as uranium particles are dispersed in the environment in the form of dust during processing and transport. However, in the enrichment stage there are no chemical reactions directly involved in the process, only UF</w:t>
      </w:r>
      <w:r w:rsidRPr="00750722">
        <w:rPr>
          <w:vertAlign w:val="subscript"/>
        </w:rPr>
        <w:t>6</w:t>
      </w:r>
      <w:r w:rsidRPr="00764D66">
        <w:t xml:space="preserve"> in gaseous form is used as an input for the two most used commercial methods in the industry </w:t>
      </w:r>
      <w:r w:rsidRPr="00764D66">
        <w:fldChar w:fldCharType="begin" w:fldLock="1"/>
      </w:r>
      <w:r w:rsidR="000F446D">
        <w:instrText>ADDIN CSL_CITATION {"citationItems":[{"id":"ITEM-1","itemData":{"DOI":"10.1016/j.enconman.2008.01.033","ISSN":"01968904","abstract":"The increased urgency of dealing with mitigation of the looming climate change has sparked renewed interest in the nuclear energy option. There exists a substantial stream of research on the amount of embodied energy and greenhouse gas emissions associated with nuclear generated electricity. While conventional fossil fuelled power plants cause emissions almost exclusively from the plant site, the majority of greenhouse gas emissions in the nuclear fuel cycle are caused in processing stages upstream and downstream from the plant. This paper distils the findings from a comprehensive literature review of energy and greenhouse gas emissions in the nuclear fuel cycle and determines some of the causes for the widely varying results. The most popular reactor types, LWR and HWR, need between 0.1 and 0.3 kWhth, and on average about 0.2 kWhth for every kWh of electricity generated. These energy intensities translate into greenhouse gas intensities for LWR and HWR of between 10 and 130 g CO2-e/kWhel, with an average of 65 g CO2-e/kWhel. While these greenhouse gases are expectedly lower than those of fossil technologies (typically 600-1200 g CO2-e/kWhel), they are higher than reported figures for wind turbines and hydroelectricity (around 15-25 g CO2-e/kWhel) and in the order of, or slightly lower than, solar photovoltaic or solar thermal power (around 90 g CO2-e/kWhel). © 2008 Elsevier Ltd. All rights reserved.","author":[{"dropping-particle":"","family":"Lenzen","given":"Manfred","non-dropping-particle":"","parse-names":false,"suffix":""}],"container-title":"Energy Conversion and Management","id":"ITEM-1","issue":"8","issued":{"date-parts":[["2008","8"]]},"page":"2178-2199","title":"Life cycle energy and greenhouse gas emissions of nuclear energy: A review","type":"article-journal","volume":"49"},"uris":["http://www.mendeley.com/documents/?uuid=1757250a-04a4-4ebb-b59c-eb8d3f14140b"]}],"mendeley":{"formattedCitation":"[5]","plainTextFormattedCitation":"[5]","previouslyFormattedCitation":"[5]"},"properties":{"noteIndex":0},"schema":"https://github.com/citation-style-language/schema/raw/master/csl-citation.json"}</w:instrText>
      </w:r>
      <w:r w:rsidRPr="00764D66">
        <w:fldChar w:fldCharType="separate"/>
      </w:r>
      <w:r w:rsidRPr="00764D66">
        <w:rPr>
          <w:noProof/>
        </w:rPr>
        <w:t>[5]</w:t>
      </w:r>
      <w:r w:rsidRPr="00764D66">
        <w:fldChar w:fldCharType="end"/>
      </w:r>
      <w:r w:rsidRPr="00764D66">
        <w:t xml:space="preserve">: enrichment by gaseous diffusion, or enrichment by centrifugation. Enrichment by gaseous diffusion is based on the difference in diffusion </w:t>
      </w:r>
      <w:r w:rsidR="00750722">
        <w:t>velocity</w:t>
      </w:r>
      <w:r w:rsidRPr="00764D66">
        <w:t xml:space="preserve"> between isotopes, the heavier the isotope, the lower its diffusion </w:t>
      </w:r>
      <w:r w:rsidR="00750722">
        <w:t>velocity</w:t>
      </w:r>
      <w:r w:rsidRPr="00764D66">
        <w:t>. Enrichment by centrifugation is based on the radial gradient of isotope concentration due to the centrifugal force generated by the high rotation of the centrifuges, the heavier isotopes being concentrated in the outer part and the lighter isotopes being concentrated in the inner part of the centrifuges. Fig</w:t>
      </w:r>
      <w:r w:rsidR="00750722">
        <w:t>.</w:t>
      </w:r>
      <w:r w:rsidRPr="00764D66">
        <w:t xml:space="preserve"> 1 shows a diagram of the uranium enrichment process, where the feed is kept </w:t>
      </w:r>
      <w:r w:rsidR="00750722">
        <w:t>hot</w:t>
      </w:r>
      <w:r w:rsidRPr="00764D66">
        <w:t xml:space="preserve"> to keep the UF</w:t>
      </w:r>
      <w:r w:rsidRPr="00750722">
        <w:rPr>
          <w:vertAlign w:val="subscript"/>
        </w:rPr>
        <w:t>6</w:t>
      </w:r>
      <w:r w:rsidRPr="00764D66">
        <w:t xml:space="preserve"> in a gaseous state and the product and tailings </w:t>
      </w:r>
      <w:r w:rsidR="00750722">
        <w:t>are</w:t>
      </w:r>
      <w:r w:rsidRPr="00764D66">
        <w:t xml:space="preserve"> cooled to </w:t>
      </w:r>
      <w:r w:rsidR="00750722">
        <w:t>accelerate the</w:t>
      </w:r>
      <w:r w:rsidRPr="00764D66">
        <w:t xml:space="preserve"> UF</w:t>
      </w:r>
      <w:r w:rsidRPr="00750722">
        <w:rPr>
          <w:vertAlign w:val="subscript"/>
        </w:rPr>
        <w:t>6</w:t>
      </w:r>
      <w:r w:rsidRPr="00764D66">
        <w:t xml:space="preserve"> </w:t>
      </w:r>
      <w:proofErr w:type="spellStart"/>
      <w:r w:rsidRPr="00764D66">
        <w:t>desublimation</w:t>
      </w:r>
      <w:proofErr w:type="spellEnd"/>
      <w:r w:rsidRPr="00764D66">
        <w:t xml:space="preserve"> and storage.</w:t>
      </w:r>
    </w:p>
    <w:p w14:paraId="6A4483F8" w14:textId="6187B5D5" w:rsidR="00BE7065" w:rsidRDefault="00BE7065" w:rsidP="00537496">
      <w:pPr>
        <w:pStyle w:val="Corpodetexto"/>
      </w:pPr>
    </w:p>
    <w:p w14:paraId="2E578612" w14:textId="0F538DB3" w:rsidR="00BE7065" w:rsidRPr="00750722" w:rsidRDefault="00750722" w:rsidP="00537496">
      <w:pPr>
        <w:pStyle w:val="Corpodetexto"/>
        <w:rPr>
          <w:sz w:val="18"/>
          <w:szCs w:val="18"/>
        </w:rPr>
      </w:pPr>
      <w:r w:rsidRPr="00750722">
        <w:rPr>
          <w:rFonts w:ascii="Arial" w:hAnsi="Arial" w:cs="Arial"/>
          <w:noProof/>
          <w:sz w:val="18"/>
          <w:szCs w:val="18"/>
        </w:rPr>
        <w:lastRenderedPageBreak/>
        <mc:AlternateContent>
          <mc:Choice Requires="wpc">
            <w:drawing>
              <wp:inline distT="0" distB="0" distL="0" distR="0" wp14:anchorId="136FD0D1" wp14:editId="6F6FF86A">
                <wp:extent cx="5400040" cy="2556510"/>
                <wp:effectExtent l="0" t="0" r="0" b="133350"/>
                <wp:docPr id="27" name="Tela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6" name="Agrupar 6"/>
                        <wpg:cNvGrpSpPr/>
                        <wpg:grpSpPr>
                          <a:xfrm>
                            <a:off x="209550" y="323852"/>
                            <a:ext cx="1181100" cy="733426"/>
                            <a:chOff x="209550" y="323852"/>
                            <a:chExt cx="1181100" cy="733426"/>
                          </a:xfrm>
                        </wpg:grpSpPr>
                        <wps:wsp>
                          <wps:cNvPr id="7" name="Cilindro 7"/>
                          <wps:cNvSpPr/>
                          <wps:spPr>
                            <a:xfrm rot="5400000">
                              <a:off x="433387" y="100015"/>
                              <a:ext cx="733425" cy="1181100"/>
                            </a:xfrm>
                            <a:prstGeom prst="can">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7E1C8B" w14:textId="77777777" w:rsidR="00750722" w:rsidRDefault="00750722" w:rsidP="007507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uxograma: Dados Armazenados 8"/>
                          <wps:cNvSpPr/>
                          <wps:spPr>
                            <a:xfrm>
                              <a:off x="352425" y="323852"/>
                              <a:ext cx="800100" cy="733426"/>
                            </a:xfrm>
                            <a:prstGeom prst="flowChartOnlineStorag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9CAAC" w14:textId="77777777" w:rsidR="00750722" w:rsidRPr="00CC62E4" w:rsidRDefault="00750722" w:rsidP="00750722">
                                <w:pPr>
                                  <w:jc w:val="center"/>
                                  <w:rPr>
                                    <w:rFonts w:ascii="Arial" w:hAnsi="Arial" w:cs="Arial"/>
                                    <w:b/>
                                    <w:bCs/>
                                    <w:color w:val="000000" w:themeColor="text1"/>
                                    <w:sz w:val="20"/>
                                  </w:rPr>
                                </w:pPr>
                                <w:r w:rsidRPr="00CC62E4">
                                  <w:rPr>
                                    <w:rFonts w:ascii="Arial" w:hAnsi="Arial" w:cs="Arial"/>
                                    <w:b/>
                                    <w:bCs/>
                                    <w:color w:val="000000" w:themeColor="text1"/>
                                    <w:sz w:val="20"/>
                                  </w:rPr>
                                  <w:t>48Y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9" name="Agrupar 9"/>
                        <wpg:cNvGrpSpPr/>
                        <wpg:grpSpPr>
                          <a:xfrm>
                            <a:off x="3991359" y="190500"/>
                            <a:ext cx="1181100" cy="733426"/>
                            <a:chOff x="0" y="-1"/>
                            <a:chExt cx="1181100" cy="733427"/>
                          </a:xfrm>
                        </wpg:grpSpPr>
                        <wps:wsp>
                          <wps:cNvPr id="10" name="Cilindro 10"/>
                          <wps:cNvSpPr/>
                          <wps:spPr>
                            <a:xfrm rot="5400000">
                              <a:off x="223837" y="-223838"/>
                              <a:ext cx="733425" cy="1181100"/>
                            </a:xfrm>
                            <a:prstGeom prst="can">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121F1" w14:textId="77777777" w:rsidR="00750722" w:rsidRDefault="00750722" w:rsidP="00750722">
                                <w:pPr>
                                  <w:spacing w:line="256" w:lineRule="auto"/>
                                  <w:jc w:val="center"/>
                                  <w:rPr>
                                    <w:rFonts w:eastAsia="Calibri"/>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Fluxograma: Dados Armazenados 11"/>
                          <wps:cNvSpPr/>
                          <wps:spPr>
                            <a:xfrm>
                              <a:off x="142875" y="0"/>
                              <a:ext cx="800100" cy="733426"/>
                            </a:xfrm>
                            <a:prstGeom prst="flowChartOnlineStorag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634E7" w14:textId="77777777" w:rsidR="00750722" w:rsidRPr="00CC62E4" w:rsidRDefault="00750722" w:rsidP="00750722">
                                <w:pPr>
                                  <w:spacing w:line="256" w:lineRule="auto"/>
                                  <w:jc w:val="center"/>
                                  <w:rPr>
                                    <w:rFonts w:ascii="Arial" w:eastAsia="Calibri" w:hAnsi="Arial"/>
                                    <w:b/>
                                    <w:bCs/>
                                    <w:color w:val="000000"/>
                                    <w:sz w:val="20"/>
                                  </w:rPr>
                                </w:pPr>
                                <w:r w:rsidRPr="00CC62E4">
                                  <w:rPr>
                                    <w:rFonts w:ascii="Arial" w:eastAsia="Calibri" w:hAnsi="Arial"/>
                                    <w:b/>
                                    <w:bCs/>
                                    <w:color w:val="000000"/>
                                    <w:sz w:val="20"/>
                                  </w:rPr>
                                  <w:t>48Y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2" name="Agrupar 12"/>
                        <wpg:cNvGrpSpPr/>
                        <wpg:grpSpPr>
                          <a:xfrm>
                            <a:off x="3991358" y="1442723"/>
                            <a:ext cx="804862" cy="443230"/>
                            <a:chOff x="3919537" y="1414461"/>
                            <a:chExt cx="804862" cy="443230"/>
                          </a:xfrm>
                        </wpg:grpSpPr>
                        <wps:wsp>
                          <wps:cNvPr id="13" name="Cilindro 13"/>
                          <wps:cNvSpPr/>
                          <wps:spPr>
                            <a:xfrm rot="5400000">
                              <a:off x="4100510" y="1233489"/>
                              <a:ext cx="442915" cy="804862"/>
                            </a:xfrm>
                            <a:prstGeom prst="ca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99F2D" w14:textId="77777777" w:rsidR="00750722" w:rsidRDefault="00750722" w:rsidP="007507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uxograma: Dados Armazenados 14"/>
                          <wps:cNvSpPr/>
                          <wps:spPr>
                            <a:xfrm>
                              <a:off x="3999524" y="1414461"/>
                              <a:ext cx="553426" cy="443230"/>
                            </a:xfrm>
                            <a:prstGeom prst="flowChartOnlineStora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37389" w14:textId="77777777" w:rsidR="00750722" w:rsidRPr="00CC62E4" w:rsidRDefault="00750722" w:rsidP="00750722">
                                <w:pPr>
                                  <w:ind w:left="-142" w:right="-171"/>
                                  <w:jc w:val="center"/>
                                  <w:rPr>
                                    <w:rFonts w:ascii="Arial" w:hAnsi="Arial" w:cs="Arial"/>
                                    <w:b/>
                                    <w:bCs/>
                                    <w:color w:val="000000" w:themeColor="text1"/>
                                    <w:sz w:val="20"/>
                                  </w:rPr>
                                </w:pPr>
                                <w:r w:rsidRPr="00CC62E4">
                                  <w:rPr>
                                    <w:rFonts w:ascii="Arial" w:hAnsi="Arial" w:cs="Arial"/>
                                    <w:b/>
                                    <w:bCs/>
                                    <w:color w:val="000000" w:themeColor="text1"/>
                                    <w:sz w:val="20"/>
                                  </w:rPr>
                                  <w:t>30B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15" name="Cubo 15"/>
                        <wps:cNvSpPr/>
                        <wps:spPr>
                          <a:xfrm>
                            <a:off x="2000249" y="621281"/>
                            <a:ext cx="974784" cy="967743"/>
                          </a:xfrm>
                          <a:prstGeom prst="cube">
                            <a:avLst>
                              <a:gd name="adj" fmla="val 1666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11150" w14:textId="77777777" w:rsidR="00750722" w:rsidRPr="00750722" w:rsidRDefault="00750722" w:rsidP="00750722">
                              <w:pPr>
                                <w:jc w:val="center"/>
                                <w:rPr>
                                  <w:sz w:val="18"/>
                                  <w:szCs w:val="18"/>
                                  <w:lang w:val="en-US"/>
                                </w:rPr>
                              </w:pPr>
                              <w:r w:rsidRPr="00750722">
                                <w:rPr>
                                  <w:sz w:val="18"/>
                                  <w:szCs w:val="18"/>
                                  <w:lang w:val="en-US"/>
                                </w:rPr>
                                <w:t>Enrichment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onector: Angulado 16"/>
                        <wps:cNvCnPr/>
                        <wps:spPr>
                          <a:xfrm>
                            <a:off x="1247775" y="733425"/>
                            <a:ext cx="752474" cy="379383"/>
                          </a:xfrm>
                          <a:prstGeom prst="bentConnector3">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Conector: Angulado 17"/>
                        <wps:cNvCnPr>
                          <a:stCxn id="15" idx="5"/>
                          <a:endCxn id="13" idx="3"/>
                        </wps:cNvCnPr>
                        <wps:spPr>
                          <a:xfrm>
                            <a:off x="2975033" y="1024506"/>
                            <a:ext cx="1016325" cy="639677"/>
                          </a:xfrm>
                          <a:prstGeom prst="bentConnector3">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Conector: Angulado 18"/>
                        <wps:cNvCnPr>
                          <a:stCxn id="15" idx="5"/>
                          <a:endCxn id="10" idx="3"/>
                        </wps:cNvCnPr>
                        <wps:spPr>
                          <a:xfrm flipV="1">
                            <a:off x="2975033" y="557213"/>
                            <a:ext cx="1016325" cy="467293"/>
                          </a:xfrm>
                          <a:prstGeom prst="bentConnector3">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Conector reto 19"/>
                        <wps:cNvCnPr/>
                        <wps:spPr>
                          <a:xfrm>
                            <a:off x="3419475" y="190500"/>
                            <a:ext cx="0" cy="2028828"/>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0" name="Caixa de Texto 20"/>
                        <wps:cNvSpPr txBox="1"/>
                        <wps:spPr>
                          <a:xfrm>
                            <a:off x="3012440" y="8890"/>
                            <a:ext cx="361315" cy="257175"/>
                          </a:xfrm>
                          <a:prstGeom prst="rect">
                            <a:avLst/>
                          </a:prstGeom>
                          <a:noFill/>
                          <a:ln w="6350">
                            <a:noFill/>
                          </a:ln>
                        </wps:spPr>
                        <wps:txbx>
                          <w:txbxContent>
                            <w:p w14:paraId="5FAEC079" w14:textId="77777777" w:rsidR="00750722" w:rsidRPr="00750722" w:rsidRDefault="00750722" w:rsidP="00750722">
                              <w:pPr>
                                <w:rPr>
                                  <w:sz w:val="18"/>
                                  <w:szCs w:val="18"/>
                                </w:rPr>
                              </w:pPr>
                              <w:r w:rsidRPr="00750722">
                                <w:rPr>
                                  <w:sz w:val="18"/>
                                  <w:szCs w:val="18"/>
                                </w:rPr>
                                <w:t>Hot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 name="Caixa de Texto 18"/>
                        <wps:cNvSpPr txBox="1"/>
                        <wps:spPr>
                          <a:xfrm>
                            <a:off x="3379762" y="9189"/>
                            <a:ext cx="412115" cy="257175"/>
                          </a:xfrm>
                          <a:prstGeom prst="rect">
                            <a:avLst/>
                          </a:prstGeom>
                          <a:noFill/>
                          <a:ln w="6350">
                            <a:noFill/>
                          </a:ln>
                        </wps:spPr>
                        <wps:txbx>
                          <w:txbxContent>
                            <w:p w14:paraId="740D827C" w14:textId="77777777" w:rsidR="00750722" w:rsidRPr="00750722" w:rsidRDefault="00750722" w:rsidP="00750722">
                              <w:pPr>
                                <w:spacing w:line="256" w:lineRule="auto"/>
                                <w:rPr>
                                  <w:rFonts w:eastAsia="Calibri"/>
                                  <w:sz w:val="18"/>
                                  <w:szCs w:val="18"/>
                                </w:rPr>
                              </w:pPr>
                              <w:r w:rsidRPr="00750722">
                                <w:rPr>
                                  <w:rFonts w:eastAsia="Calibri"/>
                                  <w:sz w:val="18"/>
                                  <w:szCs w:val="18"/>
                                </w:rPr>
                                <w:t>Cold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2" name="Conector de Seta Reta 22"/>
                        <wps:cNvCnPr/>
                        <wps:spPr>
                          <a:xfrm flipH="1" flipV="1">
                            <a:off x="2952750" y="266065"/>
                            <a:ext cx="427012" cy="29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Conector de Seta Reta 23"/>
                        <wps:cNvCnPr/>
                        <wps:spPr>
                          <a:xfrm flipV="1">
                            <a:off x="3453720" y="266364"/>
                            <a:ext cx="426720" cy="0"/>
                          </a:xfrm>
                          <a:prstGeom prst="straightConnector1">
                            <a:avLst/>
                          </a:prstGeom>
                          <a:ln w="1905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Caixa de Texto 18"/>
                        <wps:cNvSpPr txBox="1"/>
                        <wps:spPr>
                          <a:xfrm>
                            <a:off x="295910" y="1057278"/>
                            <a:ext cx="838835" cy="828675"/>
                          </a:xfrm>
                          <a:prstGeom prst="rect">
                            <a:avLst/>
                          </a:prstGeom>
                          <a:noFill/>
                          <a:ln w="6350">
                            <a:noFill/>
                          </a:ln>
                        </wps:spPr>
                        <wps:txbx>
                          <w:txbxContent>
                            <w:p w14:paraId="381DC035" w14:textId="77777777" w:rsidR="00750722" w:rsidRPr="00750722" w:rsidRDefault="00750722" w:rsidP="00750722">
                              <w:pPr>
                                <w:spacing w:line="256" w:lineRule="auto"/>
                                <w:jc w:val="center"/>
                                <w:rPr>
                                  <w:rFonts w:eastAsia="Calibri"/>
                                  <w:b/>
                                  <w:bCs/>
                                  <w:sz w:val="18"/>
                                  <w:szCs w:val="18"/>
                                  <w:lang w:val="en-US"/>
                                </w:rPr>
                              </w:pPr>
                              <w:r w:rsidRPr="00750722">
                                <w:rPr>
                                  <w:rFonts w:eastAsia="Calibri"/>
                                  <w:b/>
                                  <w:bCs/>
                                  <w:sz w:val="18"/>
                                  <w:szCs w:val="18"/>
                                  <w:lang w:val="en-US"/>
                                </w:rPr>
                                <w:t>Feed</w:t>
                              </w:r>
                            </w:p>
                            <w:p w14:paraId="6863949B" w14:textId="77777777" w:rsidR="00750722" w:rsidRPr="00750722" w:rsidRDefault="00750722" w:rsidP="00750722">
                              <w:pPr>
                                <w:spacing w:line="256" w:lineRule="auto"/>
                                <w:jc w:val="center"/>
                                <w:rPr>
                                  <w:rFonts w:eastAsia="Calibri"/>
                                  <w:sz w:val="18"/>
                                  <w:szCs w:val="18"/>
                                  <w:lang w:val="en-US"/>
                                </w:rPr>
                              </w:pPr>
                              <w:r w:rsidRPr="00750722">
                                <w:rPr>
                                  <w:rFonts w:eastAsia="Calibri"/>
                                  <w:sz w:val="18"/>
                                  <w:szCs w:val="18"/>
                                  <w:lang w:val="en-US"/>
                                </w:rPr>
                                <w:t>UF</w:t>
                              </w:r>
                              <w:r w:rsidRPr="00750722">
                                <w:rPr>
                                  <w:rFonts w:eastAsia="Calibri"/>
                                  <w:sz w:val="18"/>
                                  <w:szCs w:val="18"/>
                                  <w:vertAlign w:val="subscript"/>
                                  <w:lang w:val="en-US"/>
                                </w:rPr>
                                <w:t>6</w:t>
                              </w:r>
                              <w:r w:rsidRPr="00750722">
                                <w:rPr>
                                  <w:rFonts w:eastAsia="Calibri"/>
                                  <w:sz w:val="18"/>
                                  <w:szCs w:val="18"/>
                                  <w:lang w:val="en-US"/>
                                </w:rPr>
                                <w:t xml:space="preserve"> natural</w:t>
                              </w:r>
                            </w:p>
                            <w:p w14:paraId="4F48F8F7" w14:textId="77777777" w:rsidR="00750722" w:rsidRPr="00750722" w:rsidRDefault="00750722" w:rsidP="00750722">
                              <w:pPr>
                                <w:spacing w:line="256" w:lineRule="auto"/>
                                <w:jc w:val="center"/>
                                <w:rPr>
                                  <w:rFonts w:eastAsia="Calibri"/>
                                  <w:sz w:val="18"/>
                                  <w:szCs w:val="18"/>
                                  <w:lang w:val="en-US"/>
                                </w:rPr>
                              </w:pPr>
                              <w:r w:rsidRPr="00750722">
                                <w:rPr>
                                  <w:rFonts w:eastAsia="Calibri"/>
                                  <w:sz w:val="18"/>
                                  <w:szCs w:val="18"/>
                                  <w:lang w:val="en-US"/>
                                </w:rPr>
                                <w:t>concentration</w:t>
                              </w:r>
                            </w:p>
                            <w:p w14:paraId="3D8402D5" w14:textId="77777777" w:rsidR="00750722" w:rsidRPr="00750722" w:rsidRDefault="00750722" w:rsidP="00750722">
                              <w:pPr>
                                <w:spacing w:line="256" w:lineRule="auto"/>
                                <w:jc w:val="center"/>
                                <w:rPr>
                                  <w:rFonts w:eastAsia="Calibri"/>
                                  <w:sz w:val="18"/>
                                  <w:szCs w:val="18"/>
                                  <w:lang w:val="en-US"/>
                                </w:rPr>
                              </w:pPr>
                              <w:r w:rsidRPr="00750722">
                                <w:rPr>
                                  <w:rFonts w:eastAsia="Calibri"/>
                                  <w:sz w:val="18"/>
                                  <w:szCs w:val="18"/>
                                  <w:lang w:val="en-US"/>
                                </w:rPr>
                                <w:t xml:space="preserve">~0.7% of </w:t>
                              </w:r>
                              <w:r w:rsidRPr="00750722">
                                <w:rPr>
                                  <w:rFonts w:eastAsia="Calibri"/>
                                  <w:sz w:val="18"/>
                                  <w:szCs w:val="18"/>
                                  <w:vertAlign w:val="superscript"/>
                                  <w:lang w:val="en-US"/>
                                </w:rPr>
                                <w:t>235</w:t>
                              </w:r>
                              <w:r w:rsidRPr="00750722">
                                <w:rPr>
                                  <w:rFonts w:eastAsia="Calibri"/>
                                  <w:sz w:val="18"/>
                                  <w:szCs w:val="18"/>
                                  <w:lang w:val="en-US"/>
                                </w:rPr>
                                <w:t>U</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 name="Caixa de Texto 18"/>
                        <wps:cNvSpPr txBox="1"/>
                        <wps:spPr>
                          <a:xfrm>
                            <a:off x="4191102" y="923925"/>
                            <a:ext cx="799465" cy="643890"/>
                          </a:xfrm>
                          <a:prstGeom prst="rect">
                            <a:avLst/>
                          </a:prstGeom>
                          <a:noFill/>
                          <a:ln w="6350">
                            <a:noFill/>
                          </a:ln>
                        </wps:spPr>
                        <wps:txbx>
                          <w:txbxContent>
                            <w:p w14:paraId="5F5A5D27" w14:textId="77777777" w:rsidR="00750722" w:rsidRPr="00750722" w:rsidRDefault="00750722" w:rsidP="00750722">
                              <w:pPr>
                                <w:spacing w:line="254" w:lineRule="auto"/>
                                <w:jc w:val="center"/>
                                <w:rPr>
                                  <w:rFonts w:eastAsia="Calibri"/>
                                  <w:b/>
                                  <w:bCs/>
                                  <w:sz w:val="18"/>
                                  <w:szCs w:val="18"/>
                                  <w:lang w:val="en-US"/>
                                </w:rPr>
                              </w:pPr>
                              <w:r w:rsidRPr="00750722">
                                <w:rPr>
                                  <w:rFonts w:eastAsia="Calibri"/>
                                  <w:b/>
                                  <w:bCs/>
                                  <w:sz w:val="18"/>
                                  <w:szCs w:val="18"/>
                                  <w:lang w:val="en-US"/>
                                </w:rPr>
                                <w:t>Tail</w:t>
                              </w:r>
                            </w:p>
                            <w:p w14:paraId="28B48B58" w14:textId="77777777" w:rsidR="00750722" w:rsidRPr="00750722" w:rsidRDefault="00750722" w:rsidP="00750722">
                              <w:pPr>
                                <w:spacing w:line="254" w:lineRule="auto"/>
                                <w:jc w:val="center"/>
                                <w:rPr>
                                  <w:rFonts w:eastAsia="Calibri"/>
                                  <w:sz w:val="18"/>
                                  <w:szCs w:val="18"/>
                                  <w:lang w:val="en-US"/>
                                </w:rPr>
                              </w:pPr>
                              <w:r w:rsidRPr="00750722">
                                <w:rPr>
                                  <w:rFonts w:eastAsia="Calibri"/>
                                  <w:sz w:val="18"/>
                                  <w:szCs w:val="18"/>
                                  <w:lang w:val="en-US"/>
                                </w:rPr>
                                <w:t>UF</w:t>
                              </w:r>
                              <w:r w:rsidRPr="00750722">
                                <w:rPr>
                                  <w:rFonts w:eastAsia="Calibri"/>
                                  <w:position w:val="-5"/>
                                  <w:sz w:val="18"/>
                                  <w:szCs w:val="18"/>
                                  <w:vertAlign w:val="subscript"/>
                                  <w:lang w:val="en-US"/>
                                </w:rPr>
                                <w:t>6</w:t>
                              </w:r>
                              <w:r w:rsidRPr="00750722">
                                <w:rPr>
                                  <w:rFonts w:eastAsia="Calibri"/>
                                  <w:sz w:val="18"/>
                                  <w:szCs w:val="18"/>
                                  <w:lang w:val="en-US"/>
                                </w:rPr>
                                <w:t xml:space="preserve"> less than </w:t>
                              </w:r>
                            </w:p>
                            <w:p w14:paraId="31527135" w14:textId="77777777" w:rsidR="00750722" w:rsidRPr="00750722" w:rsidRDefault="00750722" w:rsidP="00750722">
                              <w:pPr>
                                <w:spacing w:line="254" w:lineRule="auto"/>
                                <w:jc w:val="center"/>
                                <w:rPr>
                                  <w:rFonts w:eastAsia="Calibri"/>
                                  <w:sz w:val="18"/>
                                  <w:szCs w:val="18"/>
                                  <w:lang w:val="en-US"/>
                                </w:rPr>
                              </w:pPr>
                              <w:r w:rsidRPr="00750722">
                                <w:rPr>
                                  <w:rFonts w:eastAsia="Calibri"/>
                                  <w:sz w:val="18"/>
                                  <w:szCs w:val="18"/>
                                  <w:lang w:val="en-US"/>
                                </w:rPr>
                                <w:t xml:space="preserve">0.7% of </w:t>
                              </w:r>
                              <w:r w:rsidRPr="00750722">
                                <w:rPr>
                                  <w:rFonts w:eastAsia="Calibri"/>
                                  <w:sz w:val="18"/>
                                  <w:szCs w:val="18"/>
                                  <w:vertAlign w:val="superscript"/>
                                  <w:lang w:val="en-US"/>
                                </w:rPr>
                                <w:t>235</w:t>
                              </w:r>
                              <w:r w:rsidRPr="00750722">
                                <w:rPr>
                                  <w:rFonts w:eastAsia="Calibri"/>
                                  <w:sz w:val="18"/>
                                  <w:szCs w:val="18"/>
                                  <w:lang w:val="en-US"/>
                                </w:rPr>
                                <w:t>U</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 name="Caixa de Texto 18"/>
                        <wps:cNvSpPr txBox="1"/>
                        <wps:spPr>
                          <a:xfrm>
                            <a:off x="3933890" y="1885953"/>
                            <a:ext cx="862330" cy="643890"/>
                          </a:xfrm>
                          <a:prstGeom prst="rect">
                            <a:avLst/>
                          </a:prstGeom>
                          <a:noFill/>
                          <a:ln w="6350">
                            <a:noFill/>
                          </a:ln>
                        </wps:spPr>
                        <wps:txbx>
                          <w:txbxContent>
                            <w:p w14:paraId="6B6F7ED7" w14:textId="77777777" w:rsidR="00750722" w:rsidRPr="00750722" w:rsidRDefault="00750722" w:rsidP="00750722">
                              <w:pPr>
                                <w:spacing w:line="252" w:lineRule="auto"/>
                                <w:jc w:val="center"/>
                                <w:rPr>
                                  <w:rFonts w:eastAsia="Calibri"/>
                                  <w:b/>
                                  <w:bCs/>
                                  <w:sz w:val="18"/>
                                  <w:szCs w:val="18"/>
                                  <w:lang w:val="en-US"/>
                                </w:rPr>
                              </w:pPr>
                              <w:r w:rsidRPr="00750722">
                                <w:rPr>
                                  <w:rFonts w:eastAsia="Calibri"/>
                                  <w:b/>
                                  <w:bCs/>
                                  <w:sz w:val="18"/>
                                  <w:szCs w:val="18"/>
                                  <w:lang w:val="en-US"/>
                                </w:rPr>
                                <w:t>Product</w:t>
                              </w:r>
                            </w:p>
                            <w:p w14:paraId="2F61EFC6" w14:textId="77777777" w:rsidR="00750722" w:rsidRPr="00750722" w:rsidRDefault="00750722" w:rsidP="00750722">
                              <w:pPr>
                                <w:spacing w:line="252" w:lineRule="auto"/>
                                <w:jc w:val="center"/>
                                <w:rPr>
                                  <w:rFonts w:eastAsia="Calibri"/>
                                  <w:sz w:val="18"/>
                                  <w:szCs w:val="18"/>
                                  <w:lang w:val="en-US"/>
                                </w:rPr>
                              </w:pPr>
                              <w:r w:rsidRPr="00750722">
                                <w:rPr>
                                  <w:rFonts w:eastAsia="Calibri"/>
                                  <w:sz w:val="18"/>
                                  <w:szCs w:val="18"/>
                                  <w:lang w:val="en-US"/>
                                </w:rPr>
                                <w:t>UF</w:t>
                              </w:r>
                              <w:r w:rsidRPr="00750722">
                                <w:rPr>
                                  <w:rFonts w:eastAsia="Calibri"/>
                                  <w:position w:val="-5"/>
                                  <w:sz w:val="18"/>
                                  <w:szCs w:val="18"/>
                                  <w:vertAlign w:val="subscript"/>
                                  <w:lang w:val="en-US"/>
                                </w:rPr>
                                <w:t>6</w:t>
                              </w:r>
                              <w:r w:rsidRPr="00750722">
                                <w:rPr>
                                  <w:rFonts w:eastAsia="Calibri"/>
                                  <w:sz w:val="18"/>
                                  <w:szCs w:val="18"/>
                                  <w:lang w:val="en-US"/>
                                </w:rPr>
                                <w:t xml:space="preserve"> more than </w:t>
                              </w:r>
                            </w:p>
                            <w:p w14:paraId="5B384789" w14:textId="77777777" w:rsidR="00750722" w:rsidRPr="00750722" w:rsidRDefault="00750722" w:rsidP="00750722">
                              <w:pPr>
                                <w:spacing w:line="252" w:lineRule="auto"/>
                                <w:jc w:val="center"/>
                                <w:rPr>
                                  <w:rFonts w:eastAsia="Calibri"/>
                                  <w:sz w:val="18"/>
                                  <w:szCs w:val="18"/>
                                  <w:lang w:val="en-US"/>
                                </w:rPr>
                              </w:pPr>
                              <w:r w:rsidRPr="00750722">
                                <w:rPr>
                                  <w:rFonts w:eastAsia="Calibri"/>
                                  <w:sz w:val="18"/>
                                  <w:szCs w:val="18"/>
                                  <w:lang w:val="en-US"/>
                                </w:rPr>
                                <w:t xml:space="preserve">3.0% of </w:t>
                              </w:r>
                              <w:r w:rsidRPr="00750722">
                                <w:rPr>
                                  <w:rFonts w:eastAsia="Calibri"/>
                                  <w:position w:val="6"/>
                                  <w:sz w:val="18"/>
                                  <w:szCs w:val="18"/>
                                  <w:vertAlign w:val="superscript"/>
                                  <w:lang w:val="en-US"/>
                                </w:rPr>
                                <w:t>235</w:t>
                              </w:r>
                              <w:r w:rsidRPr="00750722">
                                <w:rPr>
                                  <w:rFonts w:eastAsia="Calibri"/>
                                  <w:sz w:val="18"/>
                                  <w:szCs w:val="18"/>
                                  <w:lang w:val="en-US"/>
                                </w:rPr>
                                <w:t>U</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36FD0D1" id="Tela 27" o:spid="_x0000_s1026" editas="canvas" style="width:425.2pt;height:201.3pt;mso-position-horizontal-relative:char;mso-position-vertical-relative:line" coordsize="54000,2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25565;visibility:visible;mso-wrap-style:square" filled="t">
                  <v:fill o:detectmouseclick="t"/>
                  <v:path o:connecttype="none"/>
                </v:shape>
                <v:group id="Agrupar 6" o:spid="_x0000_s1028" style="position:absolute;left:2095;top:3238;width:11811;height:7334" coordorigin="2095,3238" coordsize="11811,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7" o:spid="_x0000_s1029" type="#_x0000_t22" style="position:absolute;left:4334;top:999;width:7334;height:118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" adj="3353" filled="f" strokecolor="black [3213]" strokeweight="2.25pt">
                    <v:textbox>
                      <w:txbxContent>
                        <w:p w14:paraId="177E1C8B" w14:textId="77777777" w:rsidR="00750722" w:rsidRDefault="00750722" w:rsidP="00750722">
                          <w:pPr>
                            <w:jc w:val="center"/>
                          </w:pPr>
                        </w:p>
                      </w:txbxContent>
                    </v:textbox>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uxograma: Dados Armazenados 8" o:spid="_x0000_s1030" type="#_x0000_t130" style="position:absolute;left:3524;top:3238;width:8001;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" filled="f" strokecolor="black [3213]" strokeweight="2.25pt">
                    <v:textbox>
                      <w:txbxContent>
                        <w:p w14:paraId="5C19CAAC" w14:textId="77777777" w:rsidR="00750722" w:rsidRPr="00CC62E4" w:rsidRDefault="00750722" w:rsidP="00750722">
                          <w:pPr>
                            <w:jc w:val="center"/>
                            <w:rPr>
                              <w:rFonts w:ascii="Arial" w:hAnsi="Arial" w:cs="Arial"/>
                              <w:b/>
                              <w:bCs/>
                              <w:color w:val="000000" w:themeColor="text1"/>
                              <w:sz w:val="20"/>
                            </w:rPr>
                          </w:pPr>
                          <w:r w:rsidRPr="00CC62E4">
                            <w:rPr>
                              <w:rFonts w:ascii="Arial" w:hAnsi="Arial" w:cs="Arial"/>
                              <w:b/>
                              <w:bCs/>
                              <w:color w:val="000000" w:themeColor="text1"/>
                              <w:sz w:val="20"/>
                            </w:rPr>
                            <w:t>48Y</w:t>
                          </w:r>
                        </w:p>
                      </w:txbxContent>
                    </v:textbox>
                  </v:shape>
                </v:group>
                <v:group id="Agrupar 9" o:spid="_x0000_s1031" style="position:absolute;left:39913;top:1905;width:11811;height:7334" coordorigin="" coordsize="11811,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Cilindro 10" o:spid="_x0000_s1032" type="#_x0000_t22" style="position:absolute;left:2239;top:-2239;width:7334;height:118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" adj="3353" filled="f" strokecolor="black [3213]" strokeweight="2.25pt">
                    <v:textbox>
                      <w:txbxContent>
                        <w:p w14:paraId="648121F1" w14:textId="77777777" w:rsidR="00750722" w:rsidRDefault="00750722" w:rsidP="00750722">
                          <w:pPr>
                            <w:spacing w:line="256" w:lineRule="auto"/>
                            <w:jc w:val="center"/>
                            <w:rPr>
                              <w:rFonts w:eastAsia="Calibri"/>
                            </w:rPr>
                          </w:pPr>
                          <w:r>
                            <w:rPr>
                              <w:rFonts w:eastAsia="Calibri"/>
                            </w:rPr>
                            <w:t> </w:t>
                          </w:r>
                        </w:p>
                      </w:txbxContent>
                    </v:textbox>
                  </v:shape>
                  <v:shape id="Fluxograma: Dados Armazenados 11" o:spid="_x0000_s1033" type="#_x0000_t130" style="position:absolute;left:1428;width:8001;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" filled="f" strokecolor="black [3213]" strokeweight="2.25pt">
                    <v:textbox>
                      <w:txbxContent>
                        <w:p w14:paraId="20D634E7" w14:textId="77777777" w:rsidR="00750722" w:rsidRPr="00CC62E4" w:rsidRDefault="00750722" w:rsidP="00750722">
                          <w:pPr>
                            <w:spacing w:line="256" w:lineRule="auto"/>
                            <w:jc w:val="center"/>
                            <w:rPr>
                              <w:rFonts w:ascii="Arial" w:eastAsia="Calibri" w:hAnsi="Arial"/>
                              <w:b/>
                              <w:bCs/>
                              <w:color w:val="000000"/>
                              <w:sz w:val="20"/>
                            </w:rPr>
                          </w:pPr>
                          <w:r w:rsidRPr="00CC62E4">
                            <w:rPr>
                              <w:rFonts w:ascii="Arial" w:eastAsia="Calibri" w:hAnsi="Arial"/>
                              <w:b/>
                              <w:bCs/>
                              <w:color w:val="000000"/>
                              <w:sz w:val="20"/>
                            </w:rPr>
                            <w:t>48Y</w:t>
                          </w:r>
                        </w:p>
                      </w:txbxContent>
                    </v:textbox>
                  </v:shape>
                </v:group>
                <v:group id="Agrupar 12" o:spid="_x0000_s1034" style="position:absolute;left:39913;top:14427;width:8049;height:4432" coordorigin="39195,14144" coordsize="8048,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Cilindro 13" o:spid="_x0000_s1035" type="#_x0000_t22" style="position:absolute;left:41004;top:12335;width:4429;height:8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" adj="2972" filled="f" strokecolor="black [3213]" strokeweight="1.5pt">
                    <v:textbox>
                      <w:txbxContent>
                        <w:p w14:paraId="3E999F2D" w14:textId="77777777" w:rsidR="00750722" w:rsidRDefault="00750722" w:rsidP="00750722"/>
                      </w:txbxContent>
                    </v:textbox>
                  </v:shape>
                  <v:shape id="Fluxograma: Dados Armazenados 14" o:spid="_x0000_s1036" type="#_x0000_t130" style="position:absolute;left:39995;top:14144;width:5534;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" filled="f" strokecolor="black [3213]" strokeweight="2pt">
                    <v:textbox>
                      <w:txbxContent>
                        <w:p w14:paraId="0BA37389" w14:textId="77777777" w:rsidR="00750722" w:rsidRPr="00CC62E4" w:rsidRDefault="00750722" w:rsidP="00750722">
                          <w:pPr>
                            <w:ind w:left="-142" w:right="-171"/>
                            <w:jc w:val="center"/>
                            <w:rPr>
                              <w:rFonts w:ascii="Arial" w:hAnsi="Arial" w:cs="Arial"/>
                              <w:b/>
                              <w:bCs/>
                              <w:color w:val="000000" w:themeColor="text1"/>
                              <w:sz w:val="20"/>
                            </w:rPr>
                          </w:pPr>
                          <w:r w:rsidRPr="00CC62E4">
                            <w:rPr>
                              <w:rFonts w:ascii="Arial" w:hAnsi="Arial" w:cs="Arial"/>
                              <w:b/>
                              <w:bCs/>
                              <w:color w:val="000000" w:themeColor="text1"/>
                              <w:sz w:val="20"/>
                            </w:rPr>
                            <w:t>30B</w:t>
                          </w:r>
                        </w:p>
                      </w:txbxContent>
                    </v:textbox>
                  </v:shap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15" o:spid="_x0000_s1037" type="#_x0000_t16" style="position:absolute;left:20002;top:6212;width:9748;height:9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" adj="3600" fillcolor="black [3213]" strokecolor="black [3213]" strokeweight="2pt">
                  <v:textbox>
                    <w:txbxContent>
                      <w:p w14:paraId="02211150" w14:textId="77777777" w:rsidR="00750722" w:rsidRPr="00750722" w:rsidRDefault="00750722" w:rsidP="00750722">
                        <w:pPr>
                          <w:jc w:val="center"/>
                          <w:rPr>
                            <w:sz w:val="18"/>
                            <w:szCs w:val="18"/>
                            <w:lang w:val="en-US"/>
                          </w:rPr>
                        </w:pPr>
                        <w:r w:rsidRPr="00750722">
                          <w:rPr>
                            <w:sz w:val="18"/>
                            <w:szCs w:val="18"/>
                            <w:lang w:val="en-US"/>
                          </w:rPr>
                          <w:t>Enrichment process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16" o:spid="_x0000_s1038" type="#_x0000_t34" style="position:absolute;left:12477;top:7334;width:7525;height:37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" strokecolor="black [3213]" strokeweight="3pt">
                  <v:stroke endarrow="block"/>
                </v:shape>
                <v:shape id="Conector: Angulado 17" o:spid="_x0000_s1039" type="#_x0000_t34" style="position:absolute;left:29750;top:10245;width:10163;height:639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" strokecolor="black [3213]" strokeweight="3pt">
                  <v:stroke endarrow="block"/>
                </v:shape>
                <v:shape id="Conector: Angulado 18" o:spid="_x0000_s1040" type="#_x0000_t34" style="position:absolute;left:29750;top:5572;width:10163;height:46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" strokecolor="black [3213]" strokeweight="3pt">
                  <v:stroke endarrow="block"/>
                </v:shape>
                <v:line id="Conector reto 19" o:spid="_x0000_s1041" style="position:absolute;visibility:visible;mso-wrap-style:square" from="34194,1905" to="34194,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" strokecolor="black [3213]" strokeweight="1.5pt">
                  <v:stroke dashstyle="longDash"/>
                </v:line>
                <v:shapetype id="_x0000_t202" coordsize="21600,21600" o:spt="202" path="m,l,21600r21600,l21600,xe">
                  <v:stroke joinstyle="miter"/>
                  <v:path gradientshapeok="t" o:connecttype="rect"/>
                </v:shapetype>
                <v:shape id="Caixa de Texto 20" o:spid="_x0000_s1042" type="#_x0000_t202" style="position:absolute;left:30124;top:88;width:3613;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" filled="f" stroked="f" strokeweight=".5pt">
                  <v:textbox>
                    <w:txbxContent>
                      <w:p w14:paraId="5FAEC079" w14:textId="77777777" w:rsidR="00750722" w:rsidRPr="00750722" w:rsidRDefault="00750722" w:rsidP="00750722">
                        <w:pPr>
                          <w:rPr>
                            <w:sz w:val="18"/>
                            <w:szCs w:val="18"/>
                          </w:rPr>
                        </w:pPr>
                        <w:r w:rsidRPr="00750722">
                          <w:rPr>
                            <w:sz w:val="18"/>
                            <w:szCs w:val="18"/>
                          </w:rPr>
                          <w:t>Hot</w:t>
                        </w:r>
                      </w:p>
                    </w:txbxContent>
                  </v:textbox>
                </v:shape>
                <v:shape id="Caixa de Texto 18" o:spid="_x0000_s1043" type="#_x0000_t202" style="position:absolute;left:33797;top:91;width:4121;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" filled="f" stroked="f" strokeweight=".5pt">
                  <v:textbox>
                    <w:txbxContent>
                      <w:p w14:paraId="740D827C" w14:textId="77777777" w:rsidR="00750722" w:rsidRPr="00750722" w:rsidRDefault="00750722" w:rsidP="00750722">
                        <w:pPr>
                          <w:spacing w:line="256" w:lineRule="auto"/>
                          <w:rPr>
                            <w:rFonts w:eastAsia="Calibri"/>
                            <w:sz w:val="18"/>
                            <w:szCs w:val="18"/>
                          </w:rPr>
                        </w:pPr>
                        <w:r w:rsidRPr="00750722">
                          <w:rPr>
                            <w:rFonts w:eastAsia="Calibri"/>
                            <w:sz w:val="18"/>
                            <w:szCs w:val="18"/>
                          </w:rPr>
                          <w:t>Cold</w:t>
                        </w:r>
                      </w:p>
                    </w:txbxContent>
                  </v:textbox>
                </v:shape>
                <v:shapetype id="_x0000_t32" coordsize="21600,21600" o:spt="32" o:oned="t" path="m,l21600,21600e" filled="f">
                  <v:path arrowok="t" fillok="f" o:connecttype="none"/>
                  <o:lock v:ext="edit" shapetype="t"/>
                </v:shapetype>
                <v:shape id="Conector de Seta Reta 22" o:spid="_x0000_s1044" type="#_x0000_t32" style="position:absolute;left:29527;top:2660;width:4270;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" strokecolor="red" strokeweight="1.5pt">
                  <v:stroke endarrow="block"/>
                </v:shape>
                <v:shape id="Conector de Seta Reta 23" o:spid="_x0000_s1045" type="#_x0000_t32" style="position:absolute;left:34537;top:2663;width:426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" strokecolor="#4f81bd [3204]" strokeweight="1.5pt">
                  <v:stroke endarrow="block"/>
                </v:shape>
                <v:shape id="Caixa de Texto 18" o:spid="_x0000_s1046" type="#_x0000_t202" style="position:absolute;left:2959;top:10572;width:8388;height:82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yNxQAAANsAAAAPAAAAZHJzL2Rvd25yZXYueG1sRI9BawIx&#10;FITvBf9DeIIXqVml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Ds0SyNxQAAANsAAAAP&#10;AAAAAAAAAAAAAAAAAAcCAABkcnMvZG93bnJldi54bWxQSwUGAAAAAAMAAwC3AAAA+QIAAAAA&#10;" filled="f" stroked="f" strokeweight=".5pt">
                  <v:textbox>
                    <w:txbxContent>
                      <w:p w14:paraId="381DC035" w14:textId="77777777" w:rsidR="00750722" w:rsidRPr="00750722" w:rsidRDefault="00750722" w:rsidP="00750722">
                        <w:pPr>
                          <w:spacing w:line="256" w:lineRule="auto"/>
                          <w:jc w:val="center"/>
                          <w:rPr>
                            <w:rFonts w:eastAsia="Calibri"/>
                            <w:b/>
                            <w:bCs/>
                            <w:sz w:val="18"/>
                            <w:szCs w:val="18"/>
                            <w:lang w:val="en-US"/>
                          </w:rPr>
                        </w:pPr>
                        <w:r w:rsidRPr="00750722">
                          <w:rPr>
                            <w:rFonts w:eastAsia="Calibri"/>
                            <w:b/>
                            <w:bCs/>
                            <w:sz w:val="18"/>
                            <w:szCs w:val="18"/>
                            <w:lang w:val="en-US"/>
                          </w:rPr>
                          <w:t>Feed</w:t>
                        </w:r>
                      </w:p>
                      <w:p w14:paraId="6863949B" w14:textId="77777777" w:rsidR="00750722" w:rsidRPr="00750722" w:rsidRDefault="00750722" w:rsidP="00750722">
                        <w:pPr>
                          <w:spacing w:line="256" w:lineRule="auto"/>
                          <w:jc w:val="center"/>
                          <w:rPr>
                            <w:rFonts w:eastAsia="Calibri"/>
                            <w:sz w:val="18"/>
                            <w:szCs w:val="18"/>
                            <w:lang w:val="en-US"/>
                          </w:rPr>
                        </w:pPr>
                        <w:r w:rsidRPr="00750722">
                          <w:rPr>
                            <w:rFonts w:eastAsia="Calibri"/>
                            <w:sz w:val="18"/>
                            <w:szCs w:val="18"/>
                            <w:lang w:val="en-US"/>
                          </w:rPr>
                          <w:t>UF</w:t>
                        </w:r>
                        <w:r w:rsidRPr="00750722">
                          <w:rPr>
                            <w:rFonts w:eastAsia="Calibri"/>
                            <w:sz w:val="18"/>
                            <w:szCs w:val="18"/>
                            <w:vertAlign w:val="subscript"/>
                            <w:lang w:val="en-US"/>
                          </w:rPr>
                          <w:t>6</w:t>
                        </w:r>
                        <w:r w:rsidRPr="00750722">
                          <w:rPr>
                            <w:rFonts w:eastAsia="Calibri"/>
                            <w:sz w:val="18"/>
                            <w:szCs w:val="18"/>
                            <w:lang w:val="en-US"/>
                          </w:rPr>
                          <w:t xml:space="preserve"> natural</w:t>
                        </w:r>
                      </w:p>
                      <w:p w14:paraId="4F48F8F7" w14:textId="77777777" w:rsidR="00750722" w:rsidRPr="00750722" w:rsidRDefault="00750722" w:rsidP="00750722">
                        <w:pPr>
                          <w:spacing w:line="256" w:lineRule="auto"/>
                          <w:jc w:val="center"/>
                          <w:rPr>
                            <w:rFonts w:eastAsia="Calibri"/>
                            <w:sz w:val="18"/>
                            <w:szCs w:val="18"/>
                            <w:lang w:val="en-US"/>
                          </w:rPr>
                        </w:pPr>
                        <w:r w:rsidRPr="00750722">
                          <w:rPr>
                            <w:rFonts w:eastAsia="Calibri"/>
                            <w:sz w:val="18"/>
                            <w:szCs w:val="18"/>
                            <w:lang w:val="en-US"/>
                          </w:rPr>
                          <w:t>concentration</w:t>
                        </w:r>
                      </w:p>
                      <w:p w14:paraId="3D8402D5" w14:textId="77777777" w:rsidR="00750722" w:rsidRPr="00750722" w:rsidRDefault="00750722" w:rsidP="00750722">
                        <w:pPr>
                          <w:spacing w:line="256" w:lineRule="auto"/>
                          <w:jc w:val="center"/>
                          <w:rPr>
                            <w:rFonts w:eastAsia="Calibri"/>
                            <w:sz w:val="18"/>
                            <w:szCs w:val="18"/>
                            <w:lang w:val="en-US"/>
                          </w:rPr>
                        </w:pPr>
                        <w:r w:rsidRPr="00750722">
                          <w:rPr>
                            <w:rFonts w:eastAsia="Calibri"/>
                            <w:sz w:val="18"/>
                            <w:szCs w:val="18"/>
                            <w:lang w:val="en-US"/>
                          </w:rPr>
                          <w:t xml:space="preserve">~0.7% of </w:t>
                        </w:r>
                        <w:r w:rsidRPr="00750722">
                          <w:rPr>
                            <w:rFonts w:eastAsia="Calibri"/>
                            <w:sz w:val="18"/>
                            <w:szCs w:val="18"/>
                            <w:vertAlign w:val="superscript"/>
                            <w:lang w:val="en-US"/>
                          </w:rPr>
                          <w:t>235</w:t>
                        </w:r>
                        <w:r w:rsidRPr="00750722">
                          <w:rPr>
                            <w:rFonts w:eastAsia="Calibri"/>
                            <w:sz w:val="18"/>
                            <w:szCs w:val="18"/>
                            <w:lang w:val="en-US"/>
                          </w:rPr>
                          <w:t>U</w:t>
                        </w:r>
                      </w:p>
                    </w:txbxContent>
                  </v:textbox>
                </v:shape>
                <v:shape id="Caixa de Texto 18" o:spid="_x0000_s1047" type="#_x0000_t202" style="position:absolute;left:41911;top:9239;width:7994;height:6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kWxQAAANsAAAAPAAAAZHJzL2Rvd25yZXYueG1sRI9BawIx&#10;FITvBf9DeIIXqVmFSl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CDnYkWxQAAANsAAAAP&#10;AAAAAAAAAAAAAAAAAAcCAABkcnMvZG93bnJldi54bWxQSwUGAAAAAAMAAwC3AAAA+QIAAAAA&#10;" filled="f" stroked="f" strokeweight=".5pt">
                  <v:textbox>
                    <w:txbxContent>
                      <w:p w14:paraId="5F5A5D27" w14:textId="77777777" w:rsidR="00750722" w:rsidRPr="00750722" w:rsidRDefault="00750722" w:rsidP="00750722">
                        <w:pPr>
                          <w:spacing w:line="254" w:lineRule="auto"/>
                          <w:jc w:val="center"/>
                          <w:rPr>
                            <w:rFonts w:eastAsia="Calibri"/>
                            <w:b/>
                            <w:bCs/>
                            <w:sz w:val="18"/>
                            <w:szCs w:val="18"/>
                            <w:lang w:val="en-US"/>
                          </w:rPr>
                        </w:pPr>
                        <w:r w:rsidRPr="00750722">
                          <w:rPr>
                            <w:rFonts w:eastAsia="Calibri"/>
                            <w:b/>
                            <w:bCs/>
                            <w:sz w:val="18"/>
                            <w:szCs w:val="18"/>
                            <w:lang w:val="en-US"/>
                          </w:rPr>
                          <w:t>Tail</w:t>
                        </w:r>
                      </w:p>
                      <w:p w14:paraId="28B48B58" w14:textId="77777777" w:rsidR="00750722" w:rsidRPr="00750722" w:rsidRDefault="00750722" w:rsidP="00750722">
                        <w:pPr>
                          <w:spacing w:line="254" w:lineRule="auto"/>
                          <w:jc w:val="center"/>
                          <w:rPr>
                            <w:rFonts w:eastAsia="Calibri"/>
                            <w:sz w:val="18"/>
                            <w:szCs w:val="18"/>
                            <w:lang w:val="en-US"/>
                          </w:rPr>
                        </w:pPr>
                        <w:r w:rsidRPr="00750722">
                          <w:rPr>
                            <w:rFonts w:eastAsia="Calibri"/>
                            <w:sz w:val="18"/>
                            <w:szCs w:val="18"/>
                            <w:lang w:val="en-US"/>
                          </w:rPr>
                          <w:t>UF</w:t>
                        </w:r>
                        <w:r w:rsidRPr="00750722">
                          <w:rPr>
                            <w:rFonts w:eastAsia="Calibri"/>
                            <w:position w:val="-5"/>
                            <w:sz w:val="18"/>
                            <w:szCs w:val="18"/>
                            <w:vertAlign w:val="subscript"/>
                            <w:lang w:val="en-US"/>
                          </w:rPr>
                          <w:t>6</w:t>
                        </w:r>
                        <w:r w:rsidRPr="00750722">
                          <w:rPr>
                            <w:rFonts w:eastAsia="Calibri"/>
                            <w:sz w:val="18"/>
                            <w:szCs w:val="18"/>
                            <w:lang w:val="en-US"/>
                          </w:rPr>
                          <w:t xml:space="preserve"> less than </w:t>
                        </w:r>
                      </w:p>
                      <w:p w14:paraId="31527135" w14:textId="77777777" w:rsidR="00750722" w:rsidRPr="00750722" w:rsidRDefault="00750722" w:rsidP="00750722">
                        <w:pPr>
                          <w:spacing w:line="254" w:lineRule="auto"/>
                          <w:jc w:val="center"/>
                          <w:rPr>
                            <w:rFonts w:eastAsia="Calibri"/>
                            <w:sz w:val="18"/>
                            <w:szCs w:val="18"/>
                            <w:lang w:val="en-US"/>
                          </w:rPr>
                        </w:pPr>
                        <w:r w:rsidRPr="00750722">
                          <w:rPr>
                            <w:rFonts w:eastAsia="Calibri"/>
                            <w:sz w:val="18"/>
                            <w:szCs w:val="18"/>
                            <w:lang w:val="en-US"/>
                          </w:rPr>
                          <w:t xml:space="preserve">0.7% of </w:t>
                        </w:r>
                        <w:r w:rsidRPr="00750722">
                          <w:rPr>
                            <w:rFonts w:eastAsia="Calibri"/>
                            <w:sz w:val="18"/>
                            <w:szCs w:val="18"/>
                            <w:vertAlign w:val="superscript"/>
                            <w:lang w:val="en-US"/>
                          </w:rPr>
                          <w:t>235</w:t>
                        </w:r>
                        <w:r w:rsidRPr="00750722">
                          <w:rPr>
                            <w:rFonts w:eastAsia="Calibri"/>
                            <w:sz w:val="18"/>
                            <w:szCs w:val="18"/>
                            <w:lang w:val="en-US"/>
                          </w:rPr>
                          <w:t>U</w:t>
                        </w:r>
                      </w:p>
                    </w:txbxContent>
                  </v:textbox>
                </v:shape>
                <v:shape id="Caixa de Texto 18" o:spid="_x0000_s1048" type="#_x0000_t202" style="position:absolute;left:39338;top:18859;width:8624;height:6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6B6F7ED7" w14:textId="77777777" w:rsidR="00750722" w:rsidRPr="00750722" w:rsidRDefault="00750722" w:rsidP="00750722">
                        <w:pPr>
                          <w:spacing w:line="252" w:lineRule="auto"/>
                          <w:jc w:val="center"/>
                          <w:rPr>
                            <w:rFonts w:eastAsia="Calibri"/>
                            <w:b/>
                            <w:bCs/>
                            <w:sz w:val="18"/>
                            <w:szCs w:val="18"/>
                            <w:lang w:val="en-US"/>
                          </w:rPr>
                        </w:pPr>
                        <w:r w:rsidRPr="00750722">
                          <w:rPr>
                            <w:rFonts w:eastAsia="Calibri"/>
                            <w:b/>
                            <w:bCs/>
                            <w:sz w:val="18"/>
                            <w:szCs w:val="18"/>
                            <w:lang w:val="en-US"/>
                          </w:rPr>
                          <w:t>Product</w:t>
                        </w:r>
                      </w:p>
                      <w:p w14:paraId="2F61EFC6" w14:textId="77777777" w:rsidR="00750722" w:rsidRPr="00750722" w:rsidRDefault="00750722" w:rsidP="00750722">
                        <w:pPr>
                          <w:spacing w:line="252" w:lineRule="auto"/>
                          <w:jc w:val="center"/>
                          <w:rPr>
                            <w:rFonts w:eastAsia="Calibri"/>
                            <w:sz w:val="18"/>
                            <w:szCs w:val="18"/>
                            <w:lang w:val="en-US"/>
                          </w:rPr>
                        </w:pPr>
                        <w:r w:rsidRPr="00750722">
                          <w:rPr>
                            <w:rFonts w:eastAsia="Calibri"/>
                            <w:sz w:val="18"/>
                            <w:szCs w:val="18"/>
                            <w:lang w:val="en-US"/>
                          </w:rPr>
                          <w:t>UF</w:t>
                        </w:r>
                        <w:r w:rsidRPr="00750722">
                          <w:rPr>
                            <w:rFonts w:eastAsia="Calibri"/>
                            <w:position w:val="-5"/>
                            <w:sz w:val="18"/>
                            <w:szCs w:val="18"/>
                            <w:vertAlign w:val="subscript"/>
                            <w:lang w:val="en-US"/>
                          </w:rPr>
                          <w:t>6</w:t>
                        </w:r>
                        <w:r w:rsidRPr="00750722">
                          <w:rPr>
                            <w:rFonts w:eastAsia="Calibri"/>
                            <w:sz w:val="18"/>
                            <w:szCs w:val="18"/>
                            <w:lang w:val="en-US"/>
                          </w:rPr>
                          <w:t xml:space="preserve"> more than </w:t>
                        </w:r>
                      </w:p>
                      <w:p w14:paraId="5B384789" w14:textId="77777777" w:rsidR="00750722" w:rsidRPr="00750722" w:rsidRDefault="00750722" w:rsidP="00750722">
                        <w:pPr>
                          <w:spacing w:line="252" w:lineRule="auto"/>
                          <w:jc w:val="center"/>
                          <w:rPr>
                            <w:rFonts w:eastAsia="Calibri"/>
                            <w:sz w:val="18"/>
                            <w:szCs w:val="18"/>
                            <w:lang w:val="en-US"/>
                          </w:rPr>
                        </w:pPr>
                        <w:r w:rsidRPr="00750722">
                          <w:rPr>
                            <w:rFonts w:eastAsia="Calibri"/>
                            <w:sz w:val="18"/>
                            <w:szCs w:val="18"/>
                            <w:lang w:val="en-US"/>
                          </w:rPr>
                          <w:t xml:space="preserve">3.0% of </w:t>
                        </w:r>
                        <w:r w:rsidRPr="00750722">
                          <w:rPr>
                            <w:rFonts w:eastAsia="Calibri"/>
                            <w:position w:val="6"/>
                            <w:sz w:val="18"/>
                            <w:szCs w:val="18"/>
                            <w:vertAlign w:val="superscript"/>
                            <w:lang w:val="en-US"/>
                          </w:rPr>
                          <w:t>235</w:t>
                        </w:r>
                        <w:r w:rsidRPr="00750722">
                          <w:rPr>
                            <w:rFonts w:eastAsia="Calibri"/>
                            <w:sz w:val="18"/>
                            <w:szCs w:val="18"/>
                            <w:lang w:val="en-US"/>
                          </w:rPr>
                          <w:t>U</w:t>
                        </w:r>
                      </w:p>
                    </w:txbxContent>
                  </v:textbox>
                </v:shape>
                <w10:anchorlock/>
              </v:group>
            </w:pict>
          </mc:Fallback>
        </mc:AlternateContent>
      </w:r>
    </w:p>
    <w:p w14:paraId="35DF7310" w14:textId="5204908D" w:rsidR="00BE7065" w:rsidRDefault="000F446D" w:rsidP="000F446D">
      <w:pPr>
        <w:pStyle w:val="Corpodetexto"/>
        <w:jc w:val="center"/>
      </w:pPr>
      <w:r w:rsidRPr="00802381">
        <w:rPr>
          <w:i/>
        </w:rPr>
        <w:t xml:space="preserve">FIG. </w:t>
      </w:r>
      <w:r>
        <w:rPr>
          <w:i/>
        </w:rPr>
        <w:t xml:space="preserve">1. </w:t>
      </w:r>
      <w:r w:rsidRPr="000F446D">
        <w:rPr>
          <w:i/>
        </w:rPr>
        <w:t>Diagram of Uranium Enrichment process</w:t>
      </w:r>
    </w:p>
    <w:p w14:paraId="428A9B8D" w14:textId="5A7E3AED" w:rsidR="00BE7065" w:rsidRDefault="00BE7065" w:rsidP="00537496">
      <w:pPr>
        <w:pStyle w:val="Corpodetexto"/>
      </w:pPr>
    </w:p>
    <w:p w14:paraId="37A7739C" w14:textId="0C5B8B54" w:rsidR="00BE7065" w:rsidRDefault="000F446D" w:rsidP="00537496">
      <w:pPr>
        <w:pStyle w:val="Corpodetexto"/>
      </w:pPr>
      <w:r w:rsidRPr="000F446D">
        <w:t>Fig</w:t>
      </w:r>
      <w:r>
        <w:t>.</w:t>
      </w:r>
      <w:r w:rsidRPr="000F446D">
        <w:t xml:space="preserve"> 1 shows that under ideal operating conditions there would be no need for </w:t>
      </w:r>
      <w:r>
        <w:t>waste</w:t>
      </w:r>
      <w:r w:rsidRPr="000F446D">
        <w:t xml:space="preserve"> treatment systems, as all the processed natural uranium would later be stored as a product</w:t>
      </w:r>
      <w:r w:rsidR="000007AF">
        <w:t xml:space="preserve"> (enriched uranium)</w:t>
      </w:r>
      <w:r w:rsidRPr="000F446D">
        <w:t xml:space="preserve"> or tail</w:t>
      </w:r>
      <w:r w:rsidR="000007AF">
        <w:t>s (depleted uranium)</w:t>
      </w:r>
      <w:r w:rsidRPr="000F446D">
        <w:t>. This does not actually occur because the entire system operates at sub</w:t>
      </w:r>
      <w:r>
        <w:t>-</w:t>
      </w:r>
      <w:r w:rsidRPr="000F446D">
        <w:t xml:space="preserve">atmospheric pressures, and the contamination of the system by gases present in the atmosphere such as oxygen, nitrogen, argon, and water vapor is inevitable. This contamination has two immediate effects on the process: the first is the increase in pressure in the system that needs to be constantly depressurized </w:t>
      </w:r>
      <w:r>
        <w:t>via</w:t>
      </w:r>
      <w:r w:rsidRPr="000F446D">
        <w:t xml:space="preserve"> vacuum pumps; the second is the chemical reaction between UF</w:t>
      </w:r>
      <w:r w:rsidRPr="000F446D">
        <w:rPr>
          <w:vertAlign w:val="subscript"/>
        </w:rPr>
        <w:t>6</w:t>
      </w:r>
      <w:r w:rsidRPr="000F446D">
        <w:t xml:space="preserve"> and water, as</w:t>
      </w:r>
      <w:r>
        <w:t xml:space="preserve"> followed</w:t>
      </w:r>
      <w:r w:rsidRPr="000F446D">
        <w:t>:</w:t>
      </w:r>
    </w:p>
    <w:p w14:paraId="7579E4F3" w14:textId="255019B9" w:rsidR="00BE7065" w:rsidRDefault="00BE7065" w:rsidP="00537496">
      <w:pPr>
        <w:pStyle w:val="Corpodetexto"/>
      </w:pPr>
    </w:p>
    <w:p w14:paraId="18A83F9C" w14:textId="77777777" w:rsidR="000F446D" w:rsidRPr="000F446D" w:rsidRDefault="000F446D" w:rsidP="000F446D">
      <w:pPr>
        <w:jc w:val="both"/>
        <w:rPr>
          <w:rFonts w:ascii="Arial" w:hAnsi="Arial" w:cs="Arial"/>
          <w:sz w:val="20"/>
        </w:rPr>
      </w:pPr>
      <m:oMathPara>
        <m:oMath>
          <m:r>
            <w:rPr>
              <w:rFonts w:ascii="Cambria Math" w:hAnsi="Cambria Math" w:cs="Arial"/>
              <w:sz w:val="20"/>
            </w:rPr>
            <m:t>U</m:t>
          </m:r>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6</m:t>
              </m:r>
            </m:sub>
          </m:sSub>
          <m:r>
            <w:rPr>
              <w:rFonts w:ascii="Cambria Math" w:hAnsi="Cambria Math" w:cs="Arial"/>
              <w:sz w:val="20"/>
            </w:rPr>
            <m:t>+2</m:t>
          </m:r>
          <m:sSub>
            <m:sSubPr>
              <m:ctrlPr>
                <w:rPr>
                  <w:rFonts w:ascii="Cambria Math" w:hAnsi="Cambria Math" w:cs="Arial"/>
                  <w:i/>
                  <w:sz w:val="20"/>
                </w:rPr>
              </m:ctrlPr>
            </m:sSubPr>
            <m:e>
              <m:r>
                <w:rPr>
                  <w:rFonts w:ascii="Cambria Math" w:hAnsi="Cambria Math" w:cs="Arial"/>
                  <w:sz w:val="20"/>
                </w:rPr>
                <m:t>H</m:t>
              </m:r>
            </m:e>
            <m:sub>
              <m:r>
                <w:rPr>
                  <w:rFonts w:ascii="Cambria Math" w:hAnsi="Cambria Math" w:cs="Arial"/>
                  <w:sz w:val="20"/>
                </w:rPr>
                <m:t>2</m:t>
              </m:r>
            </m:sub>
          </m:sSub>
          <m:r>
            <w:rPr>
              <w:rFonts w:ascii="Cambria Math" w:hAnsi="Cambria Math" w:cs="Arial"/>
              <w:sz w:val="20"/>
            </w:rPr>
            <m:t>O⇌U</m:t>
          </m:r>
          <m:sSub>
            <m:sSubPr>
              <m:ctrlPr>
                <w:rPr>
                  <w:rFonts w:ascii="Cambria Math" w:hAnsi="Cambria Math" w:cs="Arial"/>
                  <w:i/>
                  <w:sz w:val="20"/>
                </w:rPr>
              </m:ctrlPr>
            </m:sSubPr>
            <m:e>
              <m:r>
                <w:rPr>
                  <w:rFonts w:ascii="Cambria Math" w:hAnsi="Cambria Math" w:cs="Arial"/>
                  <w:sz w:val="20"/>
                </w:rPr>
                <m:t>O</m:t>
              </m:r>
            </m:e>
            <m:sub>
              <m:r>
                <w:rPr>
                  <w:rFonts w:ascii="Cambria Math" w:hAnsi="Cambria Math" w:cs="Arial"/>
                  <w:sz w:val="20"/>
                </w:rPr>
                <m:t>2</m:t>
              </m:r>
            </m:sub>
          </m:sSub>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2</m:t>
              </m:r>
            </m:sub>
          </m:sSub>
          <m:r>
            <w:rPr>
              <w:rFonts w:ascii="Cambria Math" w:hAnsi="Cambria Math" w:cs="Arial"/>
              <w:sz w:val="20"/>
            </w:rPr>
            <m:t>+4HF</m:t>
          </m:r>
        </m:oMath>
      </m:oMathPara>
    </w:p>
    <w:p w14:paraId="0CF7A13B" w14:textId="12F111CE" w:rsidR="000F446D" w:rsidRDefault="000F446D" w:rsidP="00537496">
      <w:pPr>
        <w:pStyle w:val="Corpodetexto"/>
      </w:pPr>
    </w:p>
    <w:p w14:paraId="4544B63F" w14:textId="125A612A" w:rsidR="000F446D" w:rsidRDefault="000F446D" w:rsidP="00537496">
      <w:pPr>
        <w:pStyle w:val="Corpodetexto"/>
      </w:pPr>
      <w:r w:rsidRPr="000F446D">
        <w:t xml:space="preserve">Therefore, the </w:t>
      </w:r>
      <w:r>
        <w:t>lower</w:t>
      </w:r>
      <w:r w:rsidRPr="000F446D">
        <w:t xml:space="preserve"> the </w:t>
      </w:r>
      <w:r>
        <w:t>leakage</w:t>
      </w:r>
      <w:r w:rsidRPr="000F446D">
        <w:t xml:space="preserve"> of the process components, the smaller the loss in the form of waste.</w:t>
      </w:r>
    </w:p>
    <w:p w14:paraId="2774C5EB" w14:textId="5CD48969" w:rsidR="000F446D" w:rsidRDefault="00E36729" w:rsidP="00E36729">
      <w:pPr>
        <w:pStyle w:val="Ttulo2"/>
        <w:numPr>
          <w:ilvl w:val="1"/>
          <w:numId w:val="10"/>
        </w:numPr>
      </w:pPr>
      <w:r>
        <w:t>Waste treatment in a uranium enrichment plant</w:t>
      </w:r>
    </w:p>
    <w:p w14:paraId="2D9ED3F8" w14:textId="4564853A" w:rsidR="000F446D" w:rsidRDefault="00E36729" w:rsidP="00537496">
      <w:pPr>
        <w:pStyle w:val="Corpodetexto"/>
      </w:pPr>
      <w:r w:rsidRPr="00E36729">
        <w:t xml:space="preserve">The aim of a system for the management and treatment of radioactive waste at any stage in the nuclear energy chain is to ensure the protection of human health and the environment without causing a burden for future generations </w:t>
      </w:r>
      <w:r w:rsidRPr="00E36729">
        <w:fldChar w:fldCharType="begin" w:fldLock="1"/>
      </w:r>
      <w:r w:rsidR="00730649">
        <w:instrText>ADDIN CSL_CITATION {"citationItems":[{"id":"ITEM-1","itemData":{"author":[{"dropping-particle":"","family":"Agency","given":"International Atomic Energy","non-dropping-particle":"","parse-names":false,"suffix":""}],"id":"ITEM-1","issue":"111","issued":{"date-parts":[["1995"]]},"title":"INTRODUCTION of nuclear waste iaea","type":"article-journal"},"uris":["http://www.mendeley.com/documents/?uuid=8d5d5906-8a70-4411-b975-0892cf7904f0"]}],"mendeley":{"formattedCitation":"[8]","plainTextFormattedCitation":"[8]","previouslyFormattedCitation":"[8]"},"properties":{"noteIndex":0},"schema":"https://github.com/citation-style-language/schema/raw/master/csl-citation.json"}</w:instrText>
      </w:r>
      <w:r w:rsidRPr="00E36729">
        <w:fldChar w:fldCharType="separate"/>
      </w:r>
      <w:r w:rsidRPr="00E36729">
        <w:rPr>
          <w:noProof/>
        </w:rPr>
        <w:t>[8]</w:t>
      </w:r>
      <w:r w:rsidRPr="00E36729">
        <w:fldChar w:fldCharType="end"/>
      </w:r>
      <w:r w:rsidRPr="00E36729">
        <w:t xml:space="preserve">. When dealing with radioactive waste, each country has specific laws, </w:t>
      </w:r>
      <w:r w:rsidR="00064717" w:rsidRPr="00E36729">
        <w:t>regulations,</w:t>
      </w:r>
      <w:r w:rsidRPr="00E36729">
        <w:t xml:space="preserve"> and responsibilities, but safe radioactive waste management must be a systematic activity, regardless of location. All radioactive waste must be characterized so that its physical, </w:t>
      </w:r>
      <w:r w:rsidR="00064717" w:rsidRPr="00E36729">
        <w:t>chemical,</w:t>
      </w:r>
      <w:r w:rsidRPr="00E36729">
        <w:t xml:space="preserve"> and radiological properties are determined, in all stages of </w:t>
      </w:r>
      <w:r w:rsidR="00064717">
        <w:t xml:space="preserve">the </w:t>
      </w:r>
      <w:r w:rsidR="00064717" w:rsidRPr="00E36729">
        <w:t xml:space="preserve">waste </w:t>
      </w:r>
      <w:r w:rsidRPr="00E36729">
        <w:t xml:space="preserve">treatment. This step is essential so that each type of waste is treated and disposed correctly, meeting its storage and disposal requirements. Transport between treatment steps must also be </w:t>
      </w:r>
      <w:r w:rsidR="00064717" w:rsidRPr="00E36729">
        <w:t>considered</w:t>
      </w:r>
      <w:r w:rsidRPr="00E36729">
        <w:t xml:space="preserve">. The storage method must be </w:t>
      </w:r>
      <w:r w:rsidR="00064717">
        <w:t xml:space="preserve">designed </w:t>
      </w:r>
      <w:r w:rsidRPr="00E36729">
        <w:t xml:space="preserve">in such a way that the </w:t>
      </w:r>
      <w:r w:rsidR="00064717">
        <w:t>waste</w:t>
      </w:r>
      <w:r w:rsidRPr="00E36729">
        <w:t xml:space="preserve"> </w:t>
      </w:r>
      <w:r w:rsidR="00064717">
        <w:t>is</w:t>
      </w:r>
      <w:r w:rsidRPr="00E36729">
        <w:t xml:space="preserve"> isolated, safe and </w:t>
      </w:r>
      <w:r w:rsidR="00064717">
        <w:t>controlled</w:t>
      </w:r>
      <w:r w:rsidRPr="00E36729">
        <w:t xml:space="preserve"> </w:t>
      </w:r>
      <w:r w:rsidRPr="00E36729">
        <w:fldChar w:fldCharType="begin" w:fldLock="1"/>
      </w:r>
      <w:r w:rsidR="00730649">
        <w:instrText>ADDIN CSL_CITATION {"citationItems":[{"id":"ITEM-1","itemData":{"author":[{"dropping-particle":"","family":"Agency","given":"International Atomic Energy","non-dropping-particle":"","parse-names":false,"suffix":""}],"id":"ITEM-1","issue":"111","issued":{"date-parts":[["1995"]]},"title":"INTRODUCTION of nuclear waste iaea","type":"article-journal"},"uris":["http://www.mendeley.com/documents/?uuid=8d5d5906-8a70-4411-b975-0892cf7904f0"]}],"mendeley":{"formattedCitation":"[8]","plainTextFormattedCitation":"[8]","previouslyFormattedCitation":"[8]"},"properties":{"noteIndex":0},"schema":"https://github.com/citation-style-language/schema/raw/master/csl-citation.json"}</w:instrText>
      </w:r>
      <w:r w:rsidRPr="00E36729">
        <w:fldChar w:fldCharType="separate"/>
      </w:r>
      <w:r w:rsidRPr="00E36729">
        <w:rPr>
          <w:noProof/>
        </w:rPr>
        <w:t>[8]</w:t>
      </w:r>
      <w:r w:rsidRPr="00E36729">
        <w:fldChar w:fldCharType="end"/>
      </w:r>
      <w:r w:rsidRPr="00E36729">
        <w:t xml:space="preserve">. A uranium enrichment plant has gaseous, </w:t>
      </w:r>
      <w:r w:rsidR="00064717" w:rsidRPr="00E36729">
        <w:t>liquid,</w:t>
      </w:r>
      <w:r w:rsidRPr="00E36729">
        <w:t xml:space="preserve"> or solid </w:t>
      </w:r>
      <w:r w:rsidR="00064717">
        <w:t>wastes</w:t>
      </w:r>
      <w:r w:rsidRPr="00E36729">
        <w:t xml:space="preserve"> and </w:t>
      </w:r>
      <w:r w:rsidR="00064717">
        <w:t>those presents</w:t>
      </w:r>
      <w:r w:rsidRPr="00E36729">
        <w:t xml:space="preserve"> chemical and biological hazards, in addition to the radiological risks associated with them.</w:t>
      </w:r>
    </w:p>
    <w:p w14:paraId="68796DCE" w14:textId="34E25709" w:rsidR="000F446D" w:rsidRDefault="00E36729" w:rsidP="00E36729">
      <w:pPr>
        <w:pStyle w:val="Ttulo3"/>
      </w:pPr>
      <w:r>
        <w:t>Gaseous waste</w:t>
      </w:r>
    </w:p>
    <w:p w14:paraId="48439C5A" w14:textId="6EF90D24" w:rsidR="00064717" w:rsidRDefault="00064717" w:rsidP="00064717">
      <w:pPr>
        <w:pStyle w:val="Corpodetexto"/>
      </w:pPr>
      <w:r>
        <w:t>The HF generated by the reaction between UF</w:t>
      </w:r>
      <w:r w:rsidRPr="00730649">
        <w:rPr>
          <w:vertAlign w:val="subscript"/>
        </w:rPr>
        <w:t>6</w:t>
      </w:r>
      <w:r>
        <w:t xml:space="preserve"> and water </w:t>
      </w:r>
      <w:r w:rsidR="00730649">
        <w:t>and the UF</w:t>
      </w:r>
      <w:r w:rsidR="00730649">
        <w:rPr>
          <w:vertAlign w:val="subscript"/>
        </w:rPr>
        <w:t>6</w:t>
      </w:r>
      <w:r w:rsidR="00730649">
        <w:t xml:space="preserve"> itself are</w:t>
      </w:r>
      <w:r>
        <w:t xml:space="preserve"> the main gaseous wastes in a uranium enrichment plant. From the moment that a natural uranium feed cylinder is connected to the process, these gases are present. The </w:t>
      </w:r>
      <w:r w:rsidR="00730649">
        <w:t>amount</w:t>
      </w:r>
      <w:r>
        <w:t xml:space="preserve"> of these gases outside the enrichment process </w:t>
      </w:r>
      <w:r w:rsidR="00730649">
        <w:t>is small</w:t>
      </w:r>
      <w:r>
        <w:t>, originating from two activities: the connection of new feed cylinders and the purging of the process lines by vacuum systems.</w:t>
      </w:r>
    </w:p>
    <w:p w14:paraId="6A31C6EA" w14:textId="0C04ACAB" w:rsidR="00E36729" w:rsidRDefault="00064717" w:rsidP="00064717">
      <w:pPr>
        <w:pStyle w:val="Corpodetexto"/>
      </w:pPr>
      <w:r>
        <w:t>The UF</w:t>
      </w:r>
      <w:r w:rsidRPr="00730649">
        <w:rPr>
          <w:vertAlign w:val="subscript"/>
        </w:rPr>
        <w:t>6</w:t>
      </w:r>
      <w:r>
        <w:t xml:space="preserve"> present in the feed cylinders is stored in its solid form at room temperature (approximately 25°C) and at a pressure below atmospheric, thus is</w:t>
      </w:r>
      <w:r w:rsidR="00730649">
        <w:t xml:space="preserve"> expected</w:t>
      </w:r>
      <w:r>
        <w:t xml:space="preserve"> contamination with atmospheric gases inside these cylinders. Whenever a new feed cylinder is connected to the enrichment </w:t>
      </w:r>
      <w:r w:rsidR="00730649">
        <w:t>process</w:t>
      </w:r>
      <w:r>
        <w:t xml:space="preserve">, the gases present in the cylinder are purged in order to remove these contaminants, mainly HF. These gases are routed to process exhaust systems that are </w:t>
      </w:r>
      <w:r>
        <w:lastRenderedPageBreak/>
        <w:t>connected to scrubbers filled with basic solutions such as potassium hydroxide</w:t>
      </w:r>
      <w:r w:rsidR="00730649">
        <w:t xml:space="preserve"> (KOH)</w:t>
      </w:r>
      <w:r>
        <w:t>. The main neutralization reactions are:</w:t>
      </w:r>
    </w:p>
    <w:p w14:paraId="2A60C7E2" w14:textId="5DE0DF93" w:rsidR="00730649" w:rsidRDefault="00730649" w:rsidP="00064717">
      <w:pPr>
        <w:pStyle w:val="Corpodetexto"/>
      </w:pPr>
    </w:p>
    <w:p w14:paraId="40634C17" w14:textId="77777777" w:rsidR="00730649" w:rsidRPr="00730649" w:rsidRDefault="00730649" w:rsidP="00730649">
      <w:pPr>
        <w:jc w:val="both"/>
        <w:rPr>
          <w:rFonts w:ascii="Arial" w:hAnsi="Arial" w:cs="Arial"/>
          <w:sz w:val="20"/>
        </w:rPr>
      </w:pPr>
      <m:oMathPara>
        <m:oMath>
          <m:r>
            <w:rPr>
              <w:rFonts w:ascii="Cambria Math" w:hAnsi="Cambria Math" w:cs="Arial"/>
              <w:sz w:val="20"/>
            </w:rPr>
            <m:t>2U</m:t>
          </m:r>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6</m:t>
              </m:r>
            </m:sub>
          </m:sSub>
          <m:r>
            <w:rPr>
              <w:rFonts w:ascii="Cambria Math" w:hAnsi="Cambria Math" w:cs="Arial"/>
              <w:sz w:val="20"/>
            </w:rPr>
            <m:t>+14KOH⇌</m:t>
          </m:r>
          <m:sSub>
            <m:sSubPr>
              <m:ctrlPr>
                <w:rPr>
                  <w:rFonts w:ascii="Cambria Math" w:hAnsi="Cambria Math" w:cs="Arial"/>
                  <w:i/>
                  <w:sz w:val="20"/>
                </w:rPr>
              </m:ctrlPr>
            </m:sSubPr>
            <m:e>
              <m:r>
                <w:rPr>
                  <w:rFonts w:ascii="Cambria Math" w:hAnsi="Cambria Math" w:cs="Arial"/>
                  <w:sz w:val="20"/>
                </w:rPr>
                <m:t>K</m:t>
              </m:r>
            </m:e>
            <m:sub>
              <m:r>
                <w:rPr>
                  <w:rFonts w:ascii="Cambria Math" w:hAnsi="Cambria Math" w:cs="Arial"/>
                  <w:sz w:val="20"/>
                </w:rPr>
                <m:t>2</m:t>
              </m:r>
            </m:sub>
          </m:sSub>
          <m:sSub>
            <m:sSubPr>
              <m:ctrlPr>
                <w:rPr>
                  <w:rFonts w:ascii="Cambria Math" w:hAnsi="Cambria Math" w:cs="Arial"/>
                  <w:i/>
                  <w:sz w:val="20"/>
                </w:rPr>
              </m:ctrlPr>
            </m:sSubPr>
            <m:e>
              <m:r>
                <w:rPr>
                  <w:rFonts w:ascii="Cambria Math" w:hAnsi="Cambria Math" w:cs="Arial"/>
                  <w:sz w:val="20"/>
                </w:rPr>
                <m:t>U</m:t>
              </m:r>
            </m:e>
            <m:sub>
              <m:r>
                <w:rPr>
                  <w:rFonts w:ascii="Cambria Math" w:hAnsi="Cambria Math" w:cs="Arial"/>
                  <w:sz w:val="20"/>
                </w:rPr>
                <m:t>2</m:t>
              </m:r>
            </m:sub>
          </m:sSub>
          <m:sSub>
            <m:sSubPr>
              <m:ctrlPr>
                <w:rPr>
                  <w:rFonts w:ascii="Cambria Math" w:hAnsi="Cambria Math" w:cs="Arial"/>
                  <w:i/>
                  <w:sz w:val="20"/>
                </w:rPr>
              </m:ctrlPr>
            </m:sSubPr>
            <m:e>
              <m:r>
                <w:rPr>
                  <w:rFonts w:ascii="Cambria Math" w:hAnsi="Cambria Math" w:cs="Arial"/>
                  <w:sz w:val="20"/>
                </w:rPr>
                <m:t>O</m:t>
              </m:r>
            </m:e>
            <m:sub>
              <m:r>
                <w:rPr>
                  <w:rFonts w:ascii="Cambria Math" w:hAnsi="Cambria Math" w:cs="Arial"/>
                  <w:sz w:val="20"/>
                </w:rPr>
                <m:t>7</m:t>
              </m:r>
            </m:sub>
          </m:sSub>
          <m:r>
            <w:rPr>
              <w:rFonts w:ascii="Cambria Math" w:hAnsi="Cambria Math" w:cs="Arial"/>
              <w:sz w:val="20"/>
            </w:rPr>
            <m:t>+12KF+7</m:t>
          </m:r>
          <m:sSub>
            <m:sSubPr>
              <m:ctrlPr>
                <w:rPr>
                  <w:rFonts w:ascii="Cambria Math" w:hAnsi="Cambria Math" w:cs="Arial"/>
                  <w:i/>
                  <w:sz w:val="20"/>
                </w:rPr>
              </m:ctrlPr>
            </m:sSubPr>
            <m:e>
              <m:r>
                <w:rPr>
                  <w:rFonts w:ascii="Cambria Math" w:hAnsi="Cambria Math" w:cs="Arial"/>
                  <w:sz w:val="20"/>
                </w:rPr>
                <m:t>H</m:t>
              </m:r>
            </m:e>
            <m:sub>
              <m:r>
                <w:rPr>
                  <w:rFonts w:ascii="Cambria Math" w:hAnsi="Cambria Math" w:cs="Arial"/>
                  <w:sz w:val="20"/>
                </w:rPr>
                <m:t>2</m:t>
              </m:r>
            </m:sub>
          </m:sSub>
          <m:r>
            <w:rPr>
              <w:rFonts w:ascii="Cambria Math" w:hAnsi="Cambria Math" w:cs="Arial"/>
              <w:sz w:val="20"/>
            </w:rPr>
            <m:t>O</m:t>
          </m:r>
        </m:oMath>
      </m:oMathPara>
    </w:p>
    <w:p w14:paraId="3C6AF768" w14:textId="77777777" w:rsidR="00730649" w:rsidRPr="00730649" w:rsidRDefault="00730649" w:rsidP="00730649">
      <w:pPr>
        <w:jc w:val="both"/>
        <w:rPr>
          <w:rFonts w:ascii="Arial" w:hAnsi="Arial" w:cs="Arial"/>
          <w:sz w:val="20"/>
        </w:rPr>
      </w:pPr>
      <m:oMathPara>
        <m:oMath>
          <m:r>
            <w:rPr>
              <w:rFonts w:ascii="Cambria Math" w:hAnsi="Cambria Math" w:cs="Arial"/>
              <w:sz w:val="20"/>
            </w:rPr>
            <m:t>HF+KOH⇌KF+</m:t>
          </m:r>
          <m:sSub>
            <m:sSubPr>
              <m:ctrlPr>
                <w:rPr>
                  <w:rFonts w:ascii="Cambria Math" w:hAnsi="Cambria Math" w:cs="Arial"/>
                  <w:i/>
                  <w:sz w:val="20"/>
                </w:rPr>
              </m:ctrlPr>
            </m:sSubPr>
            <m:e>
              <m:r>
                <w:rPr>
                  <w:rFonts w:ascii="Cambria Math" w:hAnsi="Cambria Math" w:cs="Arial"/>
                  <w:sz w:val="20"/>
                </w:rPr>
                <m:t>H</m:t>
              </m:r>
            </m:e>
            <m:sub>
              <m:r>
                <w:rPr>
                  <w:rFonts w:ascii="Cambria Math" w:hAnsi="Cambria Math" w:cs="Arial"/>
                  <w:sz w:val="20"/>
                </w:rPr>
                <m:t>2</m:t>
              </m:r>
            </m:sub>
          </m:sSub>
          <m:r>
            <w:rPr>
              <w:rFonts w:ascii="Cambria Math" w:hAnsi="Cambria Math" w:cs="Arial"/>
              <w:sz w:val="20"/>
            </w:rPr>
            <m:t>O</m:t>
          </m:r>
        </m:oMath>
      </m:oMathPara>
    </w:p>
    <w:p w14:paraId="16EDE644" w14:textId="3FA78CB4" w:rsidR="00730649" w:rsidRDefault="00730649" w:rsidP="00064717">
      <w:pPr>
        <w:pStyle w:val="Corpodetexto"/>
      </w:pPr>
    </w:p>
    <w:p w14:paraId="19CDB29B" w14:textId="17B56BA2" w:rsidR="00730649" w:rsidRDefault="00730649" w:rsidP="00064717">
      <w:pPr>
        <w:pStyle w:val="Corpodetexto"/>
      </w:pPr>
      <w:r w:rsidRPr="00730649">
        <w:t xml:space="preserve">Potassium </w:t>
      </w:r>
      <w:proofErr w:type="spellStart"/>
      <w:r w:rsidRPr="00730649">
        <w:t>diuranate</w:t>
      </w:r>
      <w:proofErr w:type="spellEnd"/>
      <w:r w:rsidRPr="00730649">
        <w:t xml:space="preserve"> (K</w:t>
      </w:r>
      <w:r w:rsidRPr="00730649">
        <w:rPr>
          <w:vertAlign w:val="subscript"/>
        </w:rPr>
        <w:t>2</w:t>
      </w:r>
      <w:r w:rsidRPr="00730649">
        <w:t>U</w:t>
      </w:r>
      <w:r w:rsidRPr="00730649">
        <w:rPr>
          <w:vertAlign w:val="subscript"/>
        </w:rPr>
        <w:t>2</w:t>
      </w:r>
      <w:r w:rsidRPr="00730649">
        <w:t>O</w:t>
      </w:r>
      <w:r w:rsidRPr="00730649">
        <w:rPr>
          <w:vertAlign w:val="subscript"/>
        </w:rPr>
        <w:t>7</w:t>
      </w:r>
      <w:r w:rsidRPr="00730649">
        <w:t>) is a water-insoluble compound, while potassium fluoride</w:t>
      </w:r>
      <w:r>
        <w:t xml:space="preserve"> (KF)</w:t>
      </w:r>
      <w:r w:rsidRPr="00730649">
        <w:t xml:space="preserve"> is soluble. These two compounds are intermediate products within the </w:t>
      </w:r>
      <w:r>
        <w:t>waste</w:t>
      </w:r>
      <w:r w:rsidRPr="00730649">
        <w:t xml:space="preserve"> treatment sequence.</w:t>
      </w:r>
    </w:p>
    <w:p w14:paraId="39174E47" w14:textId="5E8CBD3E" w:rsidR="00730649" w:rsidRDefault="00730649" w:rsidP="00730649">
      <w:pPr>
        <w:pStyle w:val="Ttulo3"/>
      </w:pPr>
      <w:r>
        <w:t>L</w:t>
      </w:r>
      <w:r w:rsidRPr="00730649">
        <w:t>iquid waste</w:t>
      </w:r>
    </w:p>
    <w:p w14:paraId="0F5AD168" w14:textId="7D94921D" w:rsidR="00730649" w:rsidRDefault="00730649" w:rsidP="00730649">
      <w:pPr>
        <w:pStyle w:val="Corpodetexto"/>
      </w:pPr>
      <w:r>
        <w:t>Liquid waste is generated in the most diverse activities such as washing rooms, sewage from showers and sinks in restricted areas, materials decontamination, condensed water from heat exchangers, gas scrubbers’ solutions and fluor-based oils used in rotating equipment that has contact with the UF</w:t>
      </w:r>
      <w:r w:rsidRPr="00730649">
        <w:rPr>
          <w:vertAlign w:val="subscript"/>
        </w:rPr>
        <w:t>6</w:t>
      </w:r>
      <w:r>
        <w:t xml:space="preserve">. The main properties from effluents in an enrichment plant </w:t>
      </w:r>
      <w:r w:rsidR="00FD24DD">
        <w:t>are</w:t>
      </w:r>
      <w:r>
        <w:t xml:space="preserve"> the concentration of fluoride ions</w:t>
      </w:r>
      <w:r w:rsidR="00FD24DD">
        <w:t>,</w:t>
      </w:r>
      <w:r>
        <w:t xml:space="preserve"> the concentration of uranium and the pH of the effluent.</w:t>
      </w:r>
    </w:p>
    <w:p w14:paraId="55E38AE5" w14:textId="4DB05574" w:rsidR="00730649" w:rsidRDefault="00730649" w:rsidP="00730649">
      <w:pPr>
        <w:pStyle w:val="Corpodetexto"/>
      </w:pPr>
      <w:r>
        <w:t xml:space="preserve">In the washing and decontamination of materials and parts, acidic solutions are used so that the uranium compounds are dissolved </w:t>
      </w:r>
      <w:r w:rsidRPr="00730649">
        <w:fldChar w:fldCharType="begin" w:fldLock="1"/>
      </w:r>
      <w:r w:rsidR="00257E9D">
        <w:instrText>ADDIN CSL_CITATION {"citationItems":[{"id":"ITEM-1","itemData":{"DOI":"10.1007/s10661-011-2274-5","ISSN":"0167-6369","PMID":"21814717","abstract":"This work presents a liquid disposal monitoring originated from uranium enrichment process at Aramar Experimental Center from 1990 to 1998. Assessment of uranium, fluorides, ammoniacal nitrogen, chemical oxygen demand, and pH measurements were made in water samples and compared with results achieved in other countries, as North America and India. The liquid disposal evaluation, generated by uranium enrichment process, showed low levels, considering most parameters established by Federal and State Legislation, aiming environmental pollution control. However, uranium levels were above the limits established by Conselho Nacional do Meio Ambiente, Environment Protection Agency and mainly by the World Health Organization. © Springer Science+Business Media B.V. 2011.","author":[{"dropping-particle":"","family":"Gerenutti","given":"Marli","non-dropping-particle":"","parse-names":false,"suffix":""},{"dropping-particle":"","family":"Gonçalves","given":"Marcos Moisés","non-dropping-particle":"","parse-names":false,"suffix":""},{"dropping-particle":"","family":"Rissato","given":"Sandra Regina","non-dropping-particle":"","parse-names":false,"suffix":""},{"dropping-particle":"","family":"Oliveira","given":"José Martins","non-dropping-particle":"de","parse-names":false,"suffix":""},{"dropping-particle":"","family":"Santos Reigota","given":"Marco Antonio","non-dropping-particle":"dos","parse-names":false,"suffix":""},{"dropping-particle":"","family":"Galhiane","given":"Mário Sergio","non-dropping-particle":"","parse-names":false,"suffix":""}],"container-title":"Environmental Monitoring and Assessment","id":"ITEM-1","issue":"7","issued":{"date-parts":[["2012","7","4"]]},"page":"4425-4433","title":"Assessment of liquid disposal originated by uranium enrichment at Aramar Experimental Center São Paulo—Brazil","type":"article-journal","volume":"184"},"uris":["http://www.mendeley.com/documents/?uuid=67c0f6c8-e125-4615-95bf-cbb274502088"]}],"mendeley":{"formattedCitation":"[9]","plainTextFormattedCitation":"[9]","previouslyFormattedCitation":"[9]"},"properties":{"noteIndex":0},"schema":"https://github.com/citation-style-language/schema/raw/master/csl-citation.json"}</w:instrText>
      </w:r>
      <w:r w:rsidRPr="00730649">
        <w:fldChar w:fldCharType="separate"/>
      </w:r>
      <w:r w:rsidRPr="00730649">
        <w:rPr>
          <w:noProof/>
        </w:rPr>
        <w:t>[9]</w:t>
      </w:r>
      <w:r w:rsidRPr="00730649">
        <w:fldChar w:fldCharType="end"/>
      </w:r>
      <w:r>
        <w:t xml:space="preserve">. These wastewaters are neutralized with basic KOH- solutions. </w:t>
      </w:r>
      <w:r w:rsidR="000007AF">
        <w:t>T</w:t>
      </w:r>
      <w:r>
        <w:t>his way, most of the uranium is precipitated in the form K</w:t>
      </w:r>
      <w:r w:rsidRPr="00E65F16">
        <w:rPr>
          <w:vertAlign w:val="subscript"/>
        </w:rPr>
        <w:t>2</w:t>
      </w:r>
      <w:r>
        <w:t>U</w:t>
      </w:r>
      <w:r w:rsidRPr="00E65F16">
        <w:rPr>
          <w:vertAlign w:val="subscript"/>
        </w:rPr>
        <w:t>2</w:t>
      </w:r>
      <w:r>
        <w:t>O</w:t>
      </w:r>
      <w:r w:rsidRPr="00E65F16">
        <w:rPr>
          <w:vertAlign w:val="subscript"/>
        </w:rPr>
        <w:t>7</w:t>
      </w:r>
      <w:r>
        <w:t xml:space="preserve">. All precipitated uranium is retained in filters and stored in drums as solid waste. The liquid fraction that is not retained by the filtration process is treated </w:t>
      </w:r>
      <w:r w:rsidR="00E65F16">
        <w:t>to</w:t>
      </w:r>
      <w:r>
        <w:t xml:space="preserve"> precipitat</w:t>
      </w:r>
      <w:r w:rsidR="00E65F16">
        <w:t>e</w:t>
      </w:r>
      <w:r>
        <w:t xml:space="preserve"> </w:t>
      </w:r>
      <w:r w:rsidR="00E65F16">
        <w:t>the</w:t>
      </w:r>
      <w:r>
        <w:t xml:space="preserve"> dissolved </w:t>
      </w:r>
      <w:r w:rsidR="00E65F16">
        <w:t>KF</w:t>
      </w:r>
      <w:r>
        <w:t xml:space="preserve">, as </w:t>
      </w:r>
      <w:r w:rsidR="00E65F16">
        <w:t>seen in the follow</w:t>
      </w:r>
      <w:r>
        <w:t xml:space="preserve"> reaction</w:t>
      </w:r>
      <w:r w:rsidR="00E65F16">
        <w:t>:</w:t>
      </w:r>
    </w:p>
    <w:p w14:paraId="118DFBDC" w14:textId="0F03E75D" w:rsidR="00E65F16" w:rsidRDefault="00E65F16" w:rsidP="00730649">
      <w:pPr>
        <w:pStyle w:val="Corpodetexto"/>
      </w:pPr>
    </w:p>
    <w:p w14:paraId="3CDE96E4" w14:textId="77777777" w:rsidR="00E65F16" w:rsidRPr="00E65F16" w:rsidRDefault="00E65F16" w:rsidP="00E65F16">
      <w:pPr>
        <w:jc w:val="both"/>
        <w:rPr>
          <w:rFonts w:ascii="Arial" w:hAnsi="Arial" w:cs="Arial"/>
          <w:sz w:val="20"/>
        </w:rPr>
      </w:pPr>
      <m:oMathPara>
        <m:oMath>
          <m:r>
            <w:rPr>
              <w:rFonts w:ascii="Cambria Math" w:hAnsi="Cambria Math" w:cs="Arial"/>
              <w:sz w:val="20"/>
            </w:rPr>
            <m:t>2KF+Ca</m:t>
          </m:r>
          <m:sSub>
            <m:sSubPr>
              <m:ctrlPr>
                <w:rPr>
                  <w:rFonts w:ascii="Cambria Math" w:hAnsi="Cambria Math" w:cs="Arial"/>
                  <w:i/>
                  <w:sz w:val="20"/>
                </w:rPr>
              </m:ctrlPr>
            </m:sSubPr>
            <m:e>
              <m:d>
                <m:dPr>
                  <m:ctrlPr>
                    <w:rPr>
                      <w:rFonts w:ascii="Cambria Math" w:hAnsi="Cambria Math" w:cs="Arial"/>
                      <w:i/>
                      <w:sz w:val="20"/>
                    </w:rPr>
                  </m:ctrlPr>
                </m:dPr>
                <m:e>
                  <m:r>
                    <w:rPr>
                      <w:rFonts w:ascii="Cambria Math" w:hAnsi="Cambria Math" w:cs="Arial"/>
                      <w:sz w:val="20"/>
                    </w:rPr>
                    <m:t>OH</m:t>
                  </m:r>
                </m:e>
              </m:d>
            </m:e>
            <m:sub>
              <m:r>
                <w:rPr>
                  <w:rFonts w:ascii="Cambria Math" w:hAnsi="Cambria Math" w:cs="Arial"/>
                  <w:sz w:val="20"/>
                </w:rPr>
                <m:t>2</m:t>
              </m:r>
            </m:sub>
          </m:sSub>
          <m:r>
            <w:rPr>
              <w:rFonts w:ascii="Cambria Math" w:hAnsi="Cambria Math" w:cs="Arial"/>
              <w:sz w:val="20"/>
            </w:rPr>
            <m:t>⇌2KOH+</m:t>
          </m:r>
          <m:sSub>
            <m:sSubPr>
              <m:ctrlPr>
                <w:rPr>
                  <w:rFonts w:ascii="Cambria Math" w:hAnsi="Cambria Math" w:cs="Arial"/>
                  <w:i/>
                  <w:sz w:val="20"/>
                </w:rPr>
              </m:ctrlPr>
            </m:sSubPr>
            <m:e>
              <m:r>
                <w:rPr>
                  <w:rFonts w:ascii="Cambria Math" w:hAnsi="Cambria Math" w:cs="Arial"/>
                  <w:sz w:val="20"/>
                </w:rPr>
                <m:t>CaF</m:t>
              </m:r>
            </m:e>
            <m:sub>
              <m:r>
                <w:rPr>
                  <w:rFonts w:ascii="Cambria Math" w:hAnsi="Cambria Math" w:cs="Arial"/>
                  <w:sz w:val="20"/>
                </w:rPr>
                <m:t>2</m:t>
              </m:r>
            </m:sub>
          </m:sSub>
        </m:oMath>
      </m:oMathPara>
    </w:p>
    <w:p w14:paraId="23CF965B" w14:textId="6DC7E40B" w:rsidR="00E65F16" w:rsidRDefault="00E65F16" w:rsidP="00730649">
      <w:pPr>
        <w:pStyle w:val="Corpodetexto"/>
      </w:pPr>
    </w:p>
    <w:p w14:paraId="474C4ABC" w14:textId="65D3EE8C" w:rsidR="00257E9D" w:rsidRDefault="00257E9D" w:rsidP="00257E9D">
      <w:pPr>
        <w:pStyle w:val="Corpodetexto"/>
      </w:pPr>
      <w:r>
        <w:t>Calcium fluoride (CaF</w:t>
      </w:r>
      <w:r w:rsidRPr="00257E9D">
        <w:rPr>
          <w:vertAlign w:val="subscript"/>
        </w:rPr>
        <w:t>2</w:t>
      </w:r>
      <w:r>
        <w:t>) is insoluble and can be removed via filtration, while KOH can be reused in the neutralization processes.</w:t>
      </w:r>
    </w:p>
    <w:p w14:paraId="54DBF360" w14:textId="639906A5" w:rsidR="00257E9D" w:rsidRDefault="00257E9D" w:rsidP="00257E9D">
      <w:pPr>
        <w:pStyle w:val="Corpodetexto"/>
      </w:pPr>
      <w:r>
        <w:t xml:space="preserve">These reactions allow the concentration of fluoride and uranium ions within the existing limits for disposal, in accordance with current legislation. If necessary, reverse osmosis systems can be used to further reduce fluoride and uranium ions </w:t>
      </w:r>
      <w:r w:rsidRPr="00257E9D">
        <w:fldChar w:fldCharType="begin" w:fldLock="1"/>
      </w:r>
      <w:r w:rsidR="002D6DF6">
        <w:instrText>ADDIN CSL_CITATION {"citationItems":[{"id":"ITEM-1","itemData":{"DOI":"10.1016/0011-9164(87)80013-9","ISSN":"00119164","abstract":"The uranium in effluents with concentrations ranging from a few μg/ml to 3780 μg/ml, at pH 2.0 to pH 10.0, has been successfully rejected with a continous feedback reverse osmosis process. The rejection rates for uranium, increasing with increasing operating pressure and feed concentration, are 97-99.5%. It is possible to concentrate the rejected uranium streams with the continuous feedback operation. The concentration of the uranium in the permeate water is as los as &lt;0.1 μg/ml (for a few μg/ml feed) to 4 μg/ml (for 3780 μg/ml feed). The rejection rates of the coexisting NO-3 are 96-99.5%, whereas the rejection rate for NH+4 is &lt;50% at low feed concentration and &gt;96% at high feed concentration. © 1987.","author":[{"dropping-particle":"","family":"Lin","given":"Kwang-Lung","non-dropping-particle":"","parse-names":false,"suffix":""},{"dropping-particle":"","family":"Chu","given":"Min-Lin","non-dropping-particle":"","parse-names":false,"suffix":""},{"dropping-particle":"","family":"Shieh","given":"Mu-Chang","non-dropping-particle":"","parse-names":false,"suffix":""}],"container-title":"Desalination","id":"ITEM-1","issue":"2","issued":{"date-parts":[["1987","1"]]},"page":"125-136","title":"Treatment of uranium containing effluents with reverse osmosis process","type":"article-journal","volume":"61"},"uris":["http://www.mendeley.com/documents/?uuid=3bcfce58-9d8e-46ce-a8f1-dfdda23318e4"]}],"mendeley":{"formattedCitation":"[10]","plainTextFormattedCitation":"[10]","previouslyFormattedCitation":"[10]"},"properties":{"noteIndex":0},"schema":"https://github.com/citation-style-language/schema/raw/master/csl-citation.json"}</w:instrText>
      </w:r>
      <w:r w:rsidRPr="00257E9D">
        <w:fldChar w:fldCharType="separate"/>
      </w:r>
      <w:r w:rsidRPr="00257E9D">
        <w:rPr>
          <w:noProof/>
        </w:rPr>
        <w:t>[10]</w:t>
      </w:r>
      <w:r w:rsidRPr="00257E9D">
        <w:fldChar w:fldCharType="end"/>
      </w:r>
      <w:r w:rsidRPr="00257E9D">
        <w:t>.</w:t>
      </w:r>
    </w:p>
    <w:p w14:paraId="288462AC" w14:textId="6D3FAF78" w:rsidR="00E65F16" w:rsidRDefault="00257E9D" w:rsidP="00257E9D">
      <w:pPr>
        <w:pStyle w:val="Corpodetexto"/>
      </w:pPr>
      <w:r>
        <w:t>Oil wastes are treated in water/oil separator systems, with the oil part stored inside drums.</w:t>
      </w:r>
    </w:p>
    <w:p w14:paraId="73D523AF" w14:textId="1CBD7C6D" w:rsidR="00730649" w:rsidRDefault="00730649" w:rsidP="00730649">
      <w:pPr>
        <w:pStyle w:val="Ttulo3"/>
      </w:pPr>
      <w:r>
        <w:t>Solid waste</w:t>
      </w:r>
    </w:p>
    <w:p w14:paraId="351B5386" w14:textId="30888355" w:rsidR="00730649" w:rsidRDefault="002D6DF6" w:rsidP="00064717">
      <w:pPr>
        <w:pStyle w:val="Corpodetexto"/>
      </w:pPr>
      <w:r w:rsidRPr="002D6DF6">
        <w:t xml:space="preserve">Solid waste in a uranium enrichment plant can be divided into two categories: depleted uranium resulting from the enrichment process itself, and uranium from gaseous and liquid waste treatment processes. The largest amount of solid waste is depleted uranium. This </w:t>
      </w:r>
      <w:r>
        <w:t>waste</w:t>
      </w:r>
      <w:r w:rsidRPr="002D6DF6">
        <w:t xml:space="preserve"> can be stored for a long time in</w:t>
      </w:r>
      <w:r>
        <w:t>side</w:t>
      </w:r>
      <w:r w:rsidRPr="002D6DF6">
        <w:t xml:space="preserve"> the 48Y cylinders, as it will be in solid state and at lower pressure than atmospheric. As an alternative, there is the </w:t>
      </w:r>
      <w:r>
        <w:t>reduction</w:t>
      </w:r>
      <w:r w:rsidRPr="002D6DF6">
        <w:t xml:space="preserve"> into metallic uranium to be used as radiation shielding or the production of oxide-mixed nuclear fuels </w:t>
      </w:r>
      <w:r w:rsidRPr="002D6DF6">
        <w:fldChar w:fldCharType="begin" w:fldLock="1"/>
      </w:r>
      <w:r>
        <w:instrText>ADDIN CSL_CITATION {"citationItems":[{"id":"ITEM-1","itemData":{"DOI":"10.1016/j.enconman.2008.01.033","ISSN":"01968904","abstract":"The increased urgency of dealing with mitigation of the looming climate change has sparked renewed interest in the nuclear energy option. There exists a substantial stream of research on the amount of embodied energy and greenhouse gas emissions associated with nuclear generated electricity. While conventional fossil fuelled power plants cause emissions almost exclusively from the plant site, the majority of greenhouse gas emissions in the nuclear fuel cycle are caused in processing stages upstream and downstream from the plant. This paper distils the findings from a comprehensive literature review of energy and greenhouse gas emissions in the nuclear fuel cycle and determines some of the causes for the widely varying results. The most popular reactor types, LWR and HWR, need between 0.1 and 0.3 kWhth, and on average about 0.2 kWhth for every kWh of electricity generated. These energy intensities translate into greenhouse gas intensities for LWR and HWR of between 10 and 130 g CO2-e/kWhel, with an average of 65 g CO2-e/kWhel. While these greenhouse gases are expectedly lower than those of fossil technologies (typically 600-1200 g CO2-e/kWhel), they are higher than reported figures for wind turbines and hydroelectricity (around 15-25 g CO2-e/kWhel) and in the order of, or slightly lower than, solar photovoltaic or solar thermal power (around 90 g CO2-e/kWhel). © 2008 Elsevier Ltd. All rights reserved.","author":[{"dropping-particle":"","family":"Lenzen","given":"Manfred","non-dropping-particle":"","parse-names":false,"suffix":""}],"container-title":"Energy Conversion and Management","id":"ITEM-1","issue":"8","issued":{"date-parts":[["2008","8"]]},"page":"2178-2199","title":"Life cycle energy and greenhouse gas emissions of nuclear energy: A review","type":"article-journal","volume":"49"},"uris":["http://www.mendeley.com/documents/?uuid=1757250a-04a4-4ebb-b59c-eb8d3f14140b"]}],"mendeley":{"formattedCitation":"[5]","plainTextFormattedCitation":"[5]","previouslyFormattedCitation":"[5]"},"properties":{"noteIndex":0},"schema":"https://github.com/citation-style-language/schema/raw/master/csl-citation.json"}</w:instrText>
      </w:r>
      <w:r w:rsidRPr="002D6DF6">
        <w:fldChar w:fldCharType="separate"/>
      </w:r>
      <w:r w:rsidRPr="002D6DF6">
        <w:rPr>
          <w:noProof/>
        </w:rPr>
        <w:t>[5]</w:t>
      </w:r>
      <w:r w:rsidRPr="002D6DF6">
        <w:fldChar w:fldCharType="end"/>
      </w:r>
      <w:r w:rsidRPr="002D6DF6">
        <w:t xml:space="preserve">. From a radiological point of view, the solid waste containing uranium will have concentrations of </w:t>
      </w:r>
      <w:r w:rsidRPr="002D6DF6">
        <w:rPr>
          <w:vertAlign w:val="superscript"/>
        </w:rPr>
        <w:t>235</w:t>
      </w:r>
      <w:r w:rsidRPr="002D6DF6">
        <w:t>U equal to or lower than the natural one, presenting no radiological or criticality risk.</w:t>
      </w:r>
    </w:p>
    <w:p w14:paraId="00232D6C" w14:textId="422AB18B" w:rsidR="002D6DF6" w:rsidRDefault="002D6DF6" w:rsidP="002D6DF6">
      <w:pPr>
        <w:pStyle w:val="Ttulo2"/>
        <w:numPr>
          <w:ilvl w:val="1"/>
          <w:numId w:val="10"/>
        </w:numPr>
      </w:pPr>
      <w:r>
        <w:t>Conclusions</w:t>
      </w:r>
    </w:p>
    <w:p w14:paraId="7AE9F6C3" w14:textId="2D387548" w:rsidR="002D6DF6" w:rsidRPr="002D6DF6" w:rsidRDefault="00FD24DD" w:rsidP="002D6DF6">
      <w:pPr>
        <w:pStyle w:val="Corpodetexto"/>
      </w:pPr>
      <w:r>
        <w:t xml:space="preserve">The nuclear energy has a low environment impact compared with other sources. To achieve the production of electricity via nuclear power it is necessary several stages from mining, conversion in uranium hexafluoride, enrichment, and conversion in nuclear fuel. The uranium enrichment is the least stage mentioned in the literature. Although its complexity to be achieved, the enrichment process is based on simple physical reactions. This feature </w:t>
      </w:r>
      <w:r w:rsidR="007271A2">
        <w:t>allows</w:t>
      </w:r>
      <w:r>
        <w:t xml:space="preserve"> </w:t>
      </w:r>
      <w:r w:rsidR="007271A2">
        <w:t xml:space="preserve">a </w:t>
      </w:r>
      <w:r w:rsidR="000007AF">
        <w:t>safe</w:t>
      </w:r>
      <w:r w:rsidR="007271A2">
        <w:t xml:space="preserve"> and low waste process. All </w:t>
      </w:r>
      <w:bookmarkStart w:id="0" w:name="_GoBack"/>
      <w:bookmarkEnd w:id="0"/>
      <w:r w:rsidR="007271A2">
        <w:t xml:space="preserve">waste produced in an enrichment plant can be easily treated with aqueous solutions or stored inside reliable vessels. </w:t>
      </w:r>
    </w:p>
    <w:p w14:paraId="2F73859D" w14:textId="77777777" w:rsidR="007271A2" w:rsidRDefault="007271A2">
      <w:pPr>
        <w:overflowPunct/>
        <w:autoSpaceDE/>
        <w:autoSpaceDN/>
        <w:adjustRightInd/>
        <w:textAlignment w:val="auto"/>
        <w:rPr>
          <w:rFonts w:ascii="Times New Roman Bold" w:hAnsi="Times New Roman Bold"/>
          <w:b/>
          <w:caps/>
          <w:sz w:val="20"/>
        </w:rPr>
      </w:pPr>
      <w:r>
        <w:br w:type="page"/>
      </w:r>
    </w:p>
    <w:p w14:paraId="433FE095" w14:textId="70F2D8C9" w:rsidR="00285755" w:rsidRDefault="00285755" w:rsidP="00537496">
      <w:pPr>
        <w:pStyle w:val="Otherunnumberedheadings"/>
      </w:pPr>
      <w:r w:rsidRPr="00285755">
        <w:lastRenderedPageBreak/>
        <w:t>ACKNOWLEDGEMENTS</w:t>
      </w:r>
    </w:p>
    <w:p w14:paraId="433FE096" w14:textId="19CAA3B0" w:rsidR="00D26ADA" w:rsidRDefault="007271A2" w:rsidP="00537496">
      <w:pPr>
        <w:pStyle w:val="Corpodetexto"/>
      </w:pPr>
      <w:r>
        <w:t xml:space="preserve">I hereby acknowledge the </w:t>
      </w:r>
      <w:proofErr w:type="spellStart"/>
      <w:r>
        <w:t>Amazul’s</w:t>
      </w:r>
      <w:proofErr w:type="spellEnd"/>
      <w:r>
        <w:t xml:space="preserve"> support</w:t>
      </w:r>
      <w:r w:rsidR="00D26ADA">
        <w:t>.</w:t>
      </w:r>
    </w:p>
    <w:p w14:paraId="433FE097" w14:textId="77777777" w:rsidR="00D26ADA" w:rsidRPr="00285755" w:rsidRDefault="00D26ADA" w:rsidP="00537496">
      <w:pPr>
        <w:pStyle w:val="Otherunnumberedheadings"/>
      </w:pPr>
      <w:r>
        <w:t>References</w:t>
      </w:r>
    </w:p>
    <w:p w14:paraId="3EDBAE9E" w14:textId="5004C6F1" w:rsidR="002D6DF6" w:rsidRPr="002D6DF6" w:rsidRDefault="00764D66" w:rsidP="002D6DF6">
      <w:pPr>
        <w:widowControl w:val="0"/>
        <w:spacing w:line="240" w:lineRule="atLeast"/>
        <w:ind w:left="851" w:hanging="425"/>
        <w:rPr>
          <w:noProof/>
          <w:sz w:val="18"/>
          <w:szCs w:val="24"/>
        </w:rPr>
      </w:pPr>
      <w:r>
        <w:fldChar w:fldCharType="begin" w:fldLock="1"/>
      </w:r>
      <w:r>
        <w:instrText xml:space="preserve">ADDIN Mendeley Bibliography CSL_BIBLIOGRAPHY </w:instrText>
      </w:r>
      <w:r>
        <w:fldChar w:fldCharType="separate"/>
      </w:r>
      <w:r w:rsidR="002D6DF6" w:rsidRPr="002D6DF6">
        <w:rPr>
          <w:noProof/>
          <w:sz w:val="18"/>
          <w:szCs w:val="24"/>
        </w:rPr>
        <w:t>[1]</w:t>
      </w:r>
      <w:r w:rsidR="002D6DF6" w:rsidRPr="002D6DF6">
        <w:rPr>
          <w:noProof/>
          <w:sz w:val="18"/>
          <w:szCs w:val="24"/>
        </w:rPr>
        <w:tab/>
        <w:t xml:space="preserve">BROOK, B.W. et al., Why nuclear energy is sustainable and has to be part of the energy mix, Sustain. Mater. Technol. </w:t>
      </w:r>
      <w:r w:rsidR="002D6DF6" w:rsidRPr="002D6DF6">
        <w:rPr>
          <w:b/>
          <w:bCs/>
          <w:noProof/>
          <w:sz w:val="18"/>
          <w:szCs w:val="24"/>
        </w:rPr>
        <w:t>1</w:t>
      </w:r>
      <w:r w:rsidR="002D6DF6" w:rsidRPr="002D6DF6">
        <w:rPr>
          <w:noProof/>
          <w:sz w:val="18"/>
          <w:szCs w:val="24"/>
        </w:rPr>
        <w:t>–</w:t>
      </w:r>
      <w:r w:rsidR="002D6DF6" w:rsidRPr="002D6DF6">
        <w:rPr>
          <w:b/>
          <w:bCs/>
          <w:noProof/>
          <w:sz w:val="18"/>
          <w:szCs w:val="24"/>
        </w:rPr>
        <w:t>2</w:t>
      </w:r>
      <w:r w:rsidR="002D6DF6" w:rsidRPr="002D6DF6">
        <w:rPr>
          <w:noProof/>
          <w:sz w:val="18"/>
          <w:szCs w:val="24"/>
        </w:rPr>
        <w:t xml:space="preserve"> (2014) 8.</w:t>
      </w:r>
    </w:p>
    <w:p w14:paraId="0CC6BCCB" w14:textId="77777777" w:rsidR="002D6DF6" w:rsidRPr="002D6DF6" w:rsidRDefault="002D6DF6" w:rsidP="002D6DF6">
      <w:pPr>
        <w:widowControl w:val="0"/>
        <w:spacing w:line="240" w:lineRule="atLeast"/>
        <w:ind w:left="851" w:hanging="425"/>
        <w:rPr>
          <w:noProof/>
          <w:sz w:val="18"/>
          <w:szCs w:val="24"/>
        </w:rPr>
      </w:pPr>
      <w:r w:rsidRPr="002D6DF6">
        <w:rPr>
          <w:noProof/>
          <w:sz w:val="18"/>
          <w:szCs w:val="24"/>
        </w:rPr>
        <w:t>[2]</w:t>
      </w:r>
      <w:r w:rsidRPr="002D6DF6">
        <w:rPr>
          <w:noProof/>
          <w:sz w:val="18"/>
          <w:szCs w:val="24"/>
        </w:rPr>
        <w:tab/>
        <w:t xml:space="preserve">AL-MULALI, U., Investigating the impact of nuclear energy consumption on GDP growth and CO 2 emission: A panel data analysis, Prog. Nucl. Energy </w:t>
      </w:r>
      <w:r w:rsidRPr="002D6DF6">
        <w:rPr>
          <w:b/>
          <w:bCs/>
          <w:noProof/>
          <w:sz w:val="18"/>
          <w:szCs w:val="24"/>
        </w:rPr>
        <w:t>73</w:t>
      </w:r>
      <w:r w:rsidRPr="002D6DF6">
        <w:rPr>
          <w:noProof/>
          <w:sz w:val="18"/>
          <w:szCs w:val="24"/>
        </w:rPr>
        <w:t xml:space="preserve"> (2014) 172.</w:t>
      </w:r>
    </w:p>
    <w:p w14:paraId="3F456DFF" w14:textId="77777777" w:rsidR="002D6DF6" w:rsidRPr="002D6DF6" w:rsidRDefault="002D6DF6" w:rsidP="002D6DF6">
      <w:pPr>
        <w:widowControl w:val="0"/>
        <w:spacing w:line="240" w:lineRule="atLeast"/>
        <w:ind w:left="851" w:hanging="425"/>
        <w:rPr>
          <w:noProof/>
          <w:sz w:val="18"/>
          <w:szCs w:val="24"/>
        </w:rPr>
      </w:pPr>
      <w:r w:rsidRPr="002D6DF6">
        <w:rPr>
          <w:noProof/>
          <w:sz w:val="18"/>
          <w:szCs w:val="24"/>
        </w:rPr>
        <w:t>[3]</w:t>
      </w:r>
      <w:r w:rsidRPr="002D6DF6">
        <w:rPr>
          <w:noProof/>
          <w:sz w:val="18"/>
          <w:szCs w:val="24"/>
        </w:rPr>
        <w:tab/>
        <w:t xml:space="preserve">VAN DE VATE, J.F., Comparison of energy sources in terms of their full energy chain emission factors of greenhouse gases, Energy Policy </w:t>
      </w:r>
      <w:r w:rsidRPr="002D6DF6">
        <w:rPr>
          <w:b/>
          <w:bCs/>
          <w:noProof/>
          <w:sz w:val="18"/>
          <w:szCs w:val="24"/>
        </w:rPr>
        <w:t>25</w:t>
      </w:r>
      <w:r w:rsidRPr="002D6DF6">
        <w:rPr>
          <w:noProof/>
          <w:sz w:val="18"/>
          <w:szCs w:val="24"/>
        </w:rPr>
        <w:t xml:space="preserve"> 1 (1997) 1.</w:t>
      </w:r>
    </w:p>
    <w:p w14:paraId="65999698" w14:textId="77777777" w:rsidR="002D6DF6" w:rsidRPr="002D6DF6" w:rsidRDefault="002D6DF6" w:rsidP="002D6DF6">
      <w:pPr>
        <w:widowControl w:val="0"/>
        <w:spacing w:line="240" w:lineRule="atLeast"/>
        <w:ind w:left="851" w:hanging="425"/>
        <w:rPr>
          <w:noProof/>
          <w:sz w:val="18"/>
          <w:szCs w:val="24"/>
        </w:rPr>
      </w:pPr>
      <w:r w:rsidRPr="002D6DF6">
        <w:rPr>
          <w:noProof/>
          <w:sz w:val="18"/>
          <w:szCs w:val="24"/>
        </w:rPr>
        <w:t>[4]</w:t>
      </w:r>
      <w:r w:rsidRPr="002D6DF6">
        <w:rPr>
          <w:noProof/>
          <w:sz w:val="18"/>
          <w:szCs w:val="24"/>
        </w:rPr>
        <w:tab/>
        <w:t xml:space="preserve">NORGATE, T., HAQUE, N., KOLTUN, P., The impact of uranium ore grade on the greenhouse gas footprint of nuclear power, J. Clean. Prod. </w:t>
      </w:r>
      <w:r w:rsidRPr="002D6DF6">
        <w:rPr>
          <w:b/>
          <w:bCs/>
          <w:noProof/>
          <w:sz w:val="18"/>
          <w:szCs w:val="24"/>
        </w:rPr>
        <w:t>84</w:t>
      </w:r>
      <w:r w:rsidRPr="002D6DF6">
        <w:rPr>
          <w:noProof/>
          <w:sz w:val="18"/>
          <w:szCs w:val="24"/>
        </w:rPr>
        <w:t xml:space="preserve"> 1 (2014) 360.</w:t>
      </w:r>
    </w:p>
    <w:p w14:paraId="50331F95" w14:textId="77777777" w:rsidR="002D6DF6" w:rsidRPr="002D6DF6" w:rsidRDefault="002D6DF6" w:rsidP="002D6DF6">
      <w:pPr>
        <w:widowControl w:val="0"/>
        <w:spacing w:line="240" w:lineRule="atLeast"/>
        <w:ind w:left="851" w:hanging="425"/>
        <w:rPr>
          <w:noProof/>
          <w:sz w:val="18"/>
          <w:szCs w:val="24"/>
        </w:rPr>
      </w:pPr>
      <w:r w:rsidRPr="002D6DF6">
        <w:rPr>
          <w:noProof/>
          <w:sz w:val="18"/>
          <w:szCs w:val="24"/>
        </w:rPr>
        <w:t>[5]</w:t>
      </w:r>
      <w:r w:rsidRPr="002D6DF6">
        <w:rPr>
          <w:noProof/>
          <w:sz w:val="18"/>
          <w:szCs w:val="24"/>
        </w:rPr>
        <w:tab/>
        <w:t xml:space="preserve">LENZEN, M., Life cycle energy and greenhouse gas emissions of nuclear energy: A review, Energy Convers. Manag. </w:t>
      </w:r>
      <w:r w:rsidRPr="002D6DF6">
        <w:rPr>
          <w:b/>
          <w:bCs/>
          <w:noProof/>
          <w:sz w:val="18"/>
          <w:szCs w:val="24"/>
        </w:rPr>
        <w:t>49</w:t>
      </w:r>
      <w:r w:rsidRPr="002D6DF6">
        <w:rPr>
          <w:noProof/>
          <w:sz w:val="18"/>
          <w:szCs w:val="24"/>
        </w:rPr>
        <w:t xml:space="preserve"> 8 (2008) 2178.</w:t>
      </w:r>
    </w:p>
    <w:p w14:paraId="544F7337" w14:textId="77777777" w:rsidR="002D6DF6" w:rsidRPr="002D6DF6" w:rsidRDefault="002D6DF6" w:rsidP="002D6DF6">
      <w:pPr>
        <w:widowControl w:val="0"/>
        <w:spacing w:line="240" w:lineRule="atLeast"/>
        <w:ind w:left="851" w:hanging="425"/>
        <w:rPr>
          <w:noProof/>
          <w:sz w:val="18"/>
          <w:szCs w:val="24"/>
        </w:rPr>
      </w:pPr>
      <w:r w:rsidRPr="002D6DF6">
        <w:rPr>
          <w:noProof/>
          <w:sz w:val="18"/>
          <w:szCs w:val="24"/>
        </w:rPr>
        <w:t>[6]</w:t>
      </w:r>
      <w:r w:rsidRPr="002D6DF6">
        <w:rPr>
          <w:noProof/>
          <w:sz w:val="18"/>
          <w:szCs w:val="24"/>
        </w:rPr>
        <w:tab/>
        <w:t xml:space="preserve">JACOBSON, M.Z., DELUCCHI, M.A., Providing all global energy with wind, water, and solar power, Part I: Technologies, energy resources, quantities and areas of infrastructure, and materials, Energy Policy </w:t>
      </w:r>
      <w:r w:rsidRPr="002D6DF6">
        <w:rPr>
          <w:b/>
          <w:bCs/>
          <w:noProof/>
          <w:sz w:val="18"/>
          <w:szCs w:val="24"/>
        </w:rPr>
        <w:t>39</w:t>
      </w:r>
      <w:r w:rsidRPr="002D6DF6">
        <w:rPr>
          <w:noProof/>
          <w:sz w:val="18"/>
          <w:szCs w:val="24"/>
        </w:rPr>
        <w:t xml:space="preserve"> 3 (2011) 1154.</w:t>
      </w:r>
    </w:p>
    <w:p w14:paraId="0703E7E4" w14:textId="77777777" w:rsidR="002D6DF6" w:rsidRPr="002D6DF6" w:rsidRDefault="002D6DF6" w:rsidP="002D6DF6">
      <w:pPr>
        <w:widowControl w:val="0"/>
        <w:spacing w:line="240" w:lineRule="atLeast"/>
        <w:ind w:left="851" w:hanging="425"/>
        <w:rPr>
          <w:noProof/>
          <w:sz w:val="18"/>
          <w:szCs w:val="24"/>
        </w:rPr>
      </w:pPr>
      <w:r w:rsidRPr="002D6DF6">
        <w:rPr>
          <w:noProof/>
          <w:sz w:val="18"/>
          <w:szCs w:val="24"/>
        </w:rPr>
        <w:t>[7]</w:t>
      </w:r>
      <w:r w:rsidRPr="002D6DF6">
        <w:rPr>
          <w:noProof/>
          <w:sz w:val="18"/>
          <w:szCs w:val="24"/>
        </w:rPr>
        <w:tab/>
        <w:t xml:space="preserve">LAIRD, K.R., DAS, B., CUMMING, B.F., Enrichment of uranium, arsenic, molybdenum, and selenium in sediment cores from boreal lakes adjacent to northern Saskatchewan uranium mines, Lake Reserv. Manag. </w:t>
      </w:r>
      <w:r w:rsidRPr="002D6DF6">
        <w:rPr>
          <w:b/>
          <w:bCs/>
          <w:noProof/>
          <w:sz w:val="18"/>
          <w:szCs w:val="24"/>
        </w:rPr>
        <w:t>30</w:t>
      </w:r>
      <w:r w:rsidRPr="002D6DF6">
        <w:rPr>
          <w:noProof/>
          <w:sz w:val="18"/>
          <w:szCs w:val="24"/>
        </w:rPr>
        <w:t xml:space="preserve"> 4 (2014) 344.</w:t>
      </w:r>
    </w:p>
    <w:p w14:paraId="3BE3C050" w14:textId="77777777" w:rsidR="002D6DF6" w:rsidRPr="002D6DF6" w:rsidRDefault="002D6DF6" w:rsidP="002D6DF6">
      <w:pPr>
        <w:widowControl w:val="0"/>
        <w:spacing w:line="240" w:lineRule="atLeast"/>
        <w:ind w:left="851" w:hanging="425"/>
        <w:rPr>
          <w:noProof/>
          <w:sz w:val="18"/>
          <w:szCs w:val="24"/>
        </w:rPr>
      </w:pPr>
      <w:r w:rsidRPr="002D6DF6">
        <w:rPr>
          <w:noProof/>
          <w:sz w:val="18"/>
          <w:szCs w:val="24"/>
        </w:rPr>
        <w:t>[8]</w:t>
      </w:r>
      <w:r w:rsidRPr="002D6DF6">
        <w:rPr>
          <w:noProof/>
          <w:sz w:val="18"/>
          <w:szCs w:val="24"/>
        </w:rPr>
        <w:tab/>
        <w:t>AGENCY, I.A.E., INTRODUCTION of nuclear waste iaea, 111 (1995).</w:t>
      </w:r>
    </w:p>
    <w:p w14:paraId="2B559687" w14:textId="77777777" w:rsidR="002D6DF6" w:rsidRPr="002D6DF6" w:rsidRDefault="002D6DF6" w:rsidP="002D6DF6">
      <w:pPr>
        <w:widowControl w:val="0"/>
        <w:spacing w:line="240" w:lineRule="atLeast"/>
        <w:ind w:left="851" w:hanging="425"/>
        <w:rPr>
          <w:noProof/>
          <w:sz w:val="18"/>
          <w:szCs w:val="24"/>
        </w:rPr>
      </w:pPr>
      <w:r w:rsidRPr="002D6DF6">
        <w:rPr>
          <w:noProof/>
          <w:sz w:val="18"/>
          <w:szCs w:val="24"/>
        </w:rPr>
        <w:t>[9]</w:t>
      </w:r>
      <w:r w:rsidRPr="002D6DF6">
        <w:rPr>
          <w:noProof/>
          <w:sz w:val="18"/>
          <w:szCs w:val="24"/>
        </w:rPr>
        <w:tab/>
        <w:t xml:space="preserve">GERENUTTI, M. et al., Assessment of liquid disposal originated by uranium enrichment at Aramar Experimental Center São Paulo—Brazil, Environ. Monit. Assess. </w:t>
      </w:r>
      <w:r w:rsidRPr="002D6DF6">
        <w:rPr>
          <w:b/>
          <w:bCs/>
          <w:noProof/>
          <w:sz w:val="18"/>
          <w:szCs w:val="24"/>
        </w:rPr>
        <w:t>184</w:t>
      </w:r>
      <w:r w:rsidRPr="002D6DF6">
        <w:rPr>
          <w:noProof/>
          <w:sz w:val="18"/>
          <w:szCs w:val="24"/>
        </w:rPr>
        <w:t xml:space="preserve"> 7 (2012) 4425.</w:t>
      </w:r>
    </w:p>
    <w:p w14:paraId="0D7C8E3D" w14:textId="77777777" w:rsidR="002D6DF6" w:rsidRPr="002D6DF6" w:rsidRDefault="002D6DF6" w:rsidP="002D6DF6">
      <w:pPr>
        <w:widowControl w:val="0"/>
        <w:spacing w:line="240" w:lineRule="atLeast"/>
        <w:ind w:left="851" w:hanging="425"/>
        <w:rPr>
          <w:noProof/>
          <w:sz w:val="18"/>
        </w:rPr>
      </w:pPr>
      <w:r w:rsidRPr="002D6DF6">
        <w:rPr>
          <w:noProof/>
          <w:sz w:val="18"/>
          <w:szCs w:val="24"/>
        </w:rPr>
        <w:t>[10]</w:t>
      </w:r>
      <w:r w:rsidRPr="002D6DF6">
        <w:rPr>
          <w:noProof/>
          <w:sz w:val="18"/>
          <w:szCs w:val="24"/>
        </w:rPr>
        <w:tab/>
        <w:t xml:space="preserve">LIN, K.-L., CHU, M.-L., SHIEH, M.-C., Treatment of uranium containing effluents with reverse osmosis process, Desalination </w:t>
      </w:r>
      <w:r w:rsidRPr="002D6DF6">
        <w:rPr>
          <w:b/>
          <w:bCs/>
          <w:noProof/>
          <w:sz w:val="18"/>
          <w:szCs w:val="24"/>
        </w:rPr>
        <w:t>61</w:t>
      </w:r>
      <w:r w:rsidRPr="002D6DF6">
        <w:rPr>
          <w:noProof/>
          <w:sz w:val="18"/>
          <w:szCs w:val="24"/>
        </w:rPr>
        <w:t xml:space="preserve"> 2 (1987) 125.</w:t>
      </w:r>
    </w:p>
    <w:p w14:paraId="2343004A" w14:textId="2D8043CF" w:rsidR="00764D66" w:rsidRDefault="00764D66" w:rsidP="002D6DF6">
      <w:pPr>
        <w:pStyle w:val="Referencelist"/>
        <w:numPr>
          <w:ilvl w:val="0"/>
          <w:numId w:val="0"/>
        </w:numPr>
        <w:ind w:left="851" w:hanging="425"/>
      </w:pPr>
      <w:r>
        <w:fldChar w:fldCharType="end"/>
      </w:r>
    </w:p>
    <w:p w14:paraId="161E91F6" w14:textId="2DD237A0" w:rsidR="00764D66" w:rsidRDefault="00764D66" w:rsidP="00764D66">
      <w:pPr>
        <w:pStyle w:val="Referencelist"/>
        <w:numPr>
          <w:ilvl w:val="0"/>
          <w:numId w:val="0"/>
        </w:numPr>
        <w:ind w:left="720" w:hanging="360"/>
      </w:pPr>
    </w:p>
    <w:sectPr w:rsidR="00764D66"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97363" w14:textId="77777777" w:rsidR="00937601" w:rsidRDefault="00937601">
      <w:r>
        <w:separator/>
      </w:r>
    </w:p>
  </w:endnote>
  <w:endnote w:type="continuationSeparator" w:id="0">
    <w:p w14:paraId="7D9C3971" w14:textId="77777777" w:rsidR="00937601" w:rsidRDefault="0093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1751" w14:textId="77777777" w:rsidR="00937601" w:rsidRDefault="00937601">
      <w:r>
        <w:t>___________________________________________________________________________</w:t>
      </w:r>
    </w:p>
  </w:footnote>
  <w:footnote w:type="continuationSeparator" w:id="0">
    <w:p w14:paraId="45DD41E0" w14:textId="77777777" w:rsidR="00937601" w:rsidRDefault="00937601">
      <w:r>
        <w:t>___________________________________________________________________________</w:t>
      </w:r>
    </w:p>
  </w:footnote>
  <w:footnote w:type="continuationNotice" w:id="1">
    <w:p w14:paraId="12CAE92C" w14:textId="77777777" w:rsidR="00937601" w:rsidRDefault="00937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0" w14:textId="480CD3AC" w:rsidR="00CF7AF3" w:rsidRDefault="00CF7AF3" w:rsidP="00CF7AF3">
    <w:pPr>
      <w:pStyle w:val="Runninghead"/>
    </w:pPr>
    <w:r>
      <w:tab/>
      <w:t>IAEA-CN-</w:t>
    </w:r>
    <w:r w:rsidR="00185A51">
      <w:t>294</w:t>
    </w:r>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5EDA1D54" w:rsidR="00E20E70" w:rsidRDefault="00051340" w:rsidP="00B82FA5">
    <w:pPr>
      <w:pStyle w:val="Runninghead"/>
    </w:pPr>
    <w:r>
      <w:t>PEREIRA, F.S.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Ttulo9"/>
            <w:spacing w:before="0" w:after="10"/>
          </w:pPr>
        </w:p>
      </w:tc>
      <w:tc>
        <w:tcPr>
          <w:tcW w:w="5702" w:type="dxa"/>
          <w:vMerge/>
          <w:vAlign w:val="bottom"/>
        </w:tcPr>
        <w:p w14:paraId="433FE0D1" w14:textId="77777777" w:rsidR="00E20E70" w:rsidRDefault="00E20E70">
          <w:pPr>
            <w:pStyle w:val="Ttulo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tulo2"/>
      <w:suff w:val="space"/>
      <w:lvlText w:val="%1%2."/>
      <w:lvlJc w:val="left"/>
      <w:pPr>
        <w:ind w:left="0" w:firstLine="0"/>
      </w:pPr>
      <w:rPr>
        <w:rFonts w:hint="default"/>
        <w:color w:val="auto"/>
      </w:rPr>
    </w:lvl>
    <w:lvl w:ilvl="2">
      <w:start w:val="1"/>
      <w:numFmt w:val="decimal"/>
      <w:lvlRestart w:val="0"/>
      <w:pStyle w:val="Ttulo3"/>
      <w:lvlText w:val="%1%2.%3."/>
      <w:lvlJc w:val="left"/>
      <w:pPr>
        <w:ind w:left="0" w:firstLine="0"/>
      </w:pPr>
      <w:rPr>
        <w:rFonts w:hint="default"/>
      </w:rPr>
    </w:lvl>
    <w:lvl w:ilvl="3">
      <w:start w:val="1"/>
      <w:numFmt w:val="decimal"/>
      <w:lvlRestart w:val="0"/>
      <w:pStyle w:val="Ttu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lvlText w:val="%1%2."/>
        <w:lvlJc w:val="left"/>
        <w:pPr>
          <w:ind w:left="0" w:firstLine="0"/>
        </w:pPr>
        <w:rPr>
          <w:rFonts w:hint="default"/>
          <w:color w:val="auto"/>
        </w:rPr>
      </w:lvl>
    </w:lvlOverride>
    <w:lvlOverride w:ilvl="2">
      <w:lvl w:ilvl="2">
        <w:start w:val="1"/>
        <w:numFmt w:val="decimal"/>
        <w:lvlRestart w:val="0"/>
        <w:pStyle w:val="Ttulo3"/>
        <w:lvlText w:val="%1%2.%3."/>
        <w:lvlJc w:val="left"/>
        <w:pPr>
          <w:ind w:left="0" w:firstLine="0"/>
        </w:pPr>
        <w:rPr>
          <w:rFonts w:hint="default"/>
        </w:rPr>
      </w:lvl>
    </w:lvlOverride>
    <w:lvlOverride w:ilvl="3">
      <w:lvl w:ilvl="3">
        <w:start w:val="1"/>
        <w:numFmt w:val="none"/>
        <w:lvlRestart w:val="0"/>
        <w:pStyle w:val="Ttu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suff w:val="space"/>
        <w:lvlText w:val="%1%2."/>
        <w:lvlJc w:val="left"/>
        <w:pPr>
          <w:ind w:left="0" w:firstLine="0"/>
        </w:pPr>
        <w:rPr>
          <w:rFonts w:hint="default"/>
          <w:color w:val="auto"/>
        </w:rPr>
      </w:lvl>
    </w:lvlOverride>
    <w:lvlOverride w:ilvl="2">
      <w:lvl w:ilvl="2">
        <w:start w:val="1"/>
        <w:numFmt w:val="decimal"/>
        <w:lvlRestart w:val="0"/>
        <w:pStyle w:val="Ttulo3"/>
        <w:suff w:val="space"/>
        <w:lvlText w:val="%1%2.%3."/>
        <w:lvlJc w:val="left"/>
        <w:pPr>
          <w:ind w:left="0" w:firstLine="0"/>
        </w:pPr>
        <w:rPr>
          <w:rFonts w:hint="default"/>
        </w:rPr>
      </w:lvl>
    </w:lvlOverride>
    <w:lvlOverride w:ilvl="3">
      <w:lvl w:ilvl="3">
        <w:start w:val="1"/>
        <w:numFmt w:val="decimal"/>
        <w:lvlRestart w:val="0"/>
        <w:pStyle w:val="Ttu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7AF"/>
    <w:rsid w:val="000229AB"/>
    <w:rsid w:val="0002569A"/>
    <w:rsid w:val="00037321"/>
    <w:rsid w:val="00051340"/>
    <w:rsid w:val="00064717"/>
    <w:rsid w:val="000A0299"/>
    <w:rsid w:val="000A2990"/>
    <w:rsid w:val="000B78AC"/>
    <w:rsid w:val="000F446D"/>
    <w:rsid w:val="000F7E94"/>
    <w:rsid w:val="001119D6"/>
    <w:rsid w:val="001308F2"/>
    <w:rsid w:val="001313E8"/>
    <w:rsid w:val="00183BC4"/>
    <w:rsid w:val="00185A51"/>
    <w:rsid w:val="001C58F5"/>
    <w:rsid w:val="001D5CEE"/>
    <w:rsid w:val="001E21F9"/>
    <w:rsid w:val="002071D9"/>
    <w:rsid w:val="00256822"/>
    <w:rsid w:val="00257E9D"/>
    <w:rsid w:val="0026525A"/>
    <w:rsid w:val="00274790"/>
    <w:rsid w:val="00285755"/>
    <w:rsid w:val="002A1F9C"/>
    <w:rsid w:val="002B29C2"/>
    <w:rsid w:val="002B77D1"/>
    <w:rsid w:val="002C4208"/>
    <w:rsid w:val="002D6DF6"/>
    <w:rsid w:val="00314B3D"/>
    <w:rsid w:val="003518E9"/>
    <w:rsid w:val="00352DE1"/>
    <w:rsid w:val="003728E6"/>
    <w:rsid w:val="003B38CE"/>
    <w:rsid w:val="003B5E0E"/>
    <w:rsid w:val="003C49B8"/>
    <w:rsid w:val="003D255A"/>
    <w:rsid w:val="003F2370"/>
    <w:rsid w:val="00416949"/>
    <w:rsid w:val="004370D8"/>
    <w:rsid w:val="00472C43"/>
    <w:rsid w:val="004C3899"/>
    <w:rsid w:val="00511DED"/>
    <w:rsid w:val="00537496"/>
    <w:rsid w:val="00544ED3"/>
    <w:rsid w:val="0058477B"/>
    <w:rsid w:val="0058654F"/>
    <w:rsid w:val="00596ACA"/>
    <w:rsid w:val="005E39BC"/>
    <w:rsid w:val="005F00A0"/>
    <w:rsid w:val="00647F33"/>
    <w:rsid w:val="00662532"/>
    <w:rsid w:val="00687ED6"/>
    <w:rsid w:val="00691601"/>
    <w:rsid w:val="006B2274"/>
    <w:rsid w:val="00717C6F"/>
    <w:rsid w:val="007271A2"/>
    <w:rsid w:val="00730649"/>
    <w:rsid w:val="007445DA"/>
    <w:rsid w:val="00750722"/>
    <w:rsid w:val="0075737E"/>
    <w:rsid w:val="00764D66"/>
    <w:rsid w:val="007B4FD1"/>
    <w:rsid w:val="00802381"/>
    <w:rsid w:val="008662B7"/>
    <w:rsid w:val="0087421F"/>
    <w:rsid w:val="00883848"/>
    <w:rsid w:val="00894145"/>
    <w:rsid w:val="00897ED5"/>
    <w:rsid w:val="008B6BB9"/>
    <w:rsid w:val="008D488A"/>
    <w:rsid w:val="008D507F"/>
    <w:rsid w:val="00911543"/>
    <w:rsid w:val="00937601"/>
    <w:rsid w:val="009519C9"/>
    <w:rsid w:val="00987E91"/>
    <w:rsid w:val="009D0B86"/>
    <w:rsid w:val="009D406E"/>
    <w:rsid w:val="009E0D5B"/>
    <w:rsid w:val="009E1558"/>
    <w:rsid w:val="00A42898"/>
    <w:rsid w:val="00A50C0D"/>
    <w:rsid w:val="00A554DB"/>
    <w:rsid w:val="00AB6ACE"/>
    <w:rsid w:val="00AC5A3A"/>
    <w:rsid w:val="00B82FA5"/>
    <w:rsid w:val="00BD1400"/>
    <w:rsid w:val="00BD605C"/>
    <w:rsid w:val="00BE2A76"/>
    <w:rsid w:val="00BE7065"/>
    <w:rsid w:val="00C36924"/>
    <w:rsid w:val="00C65E60"/>
    <w:rsid w:val="00C83FC6"/>
    <w:rsid w:val="00CE4E28"/>
    <w:rsid w:val="00CE5A52"/>
    <w:rsid w:val="00CF7AF3"/>
    <w:rsid w:val="00D260B4"/>
    <w:rsid w:val="00D26ADA"/>
    <w:rsid w:val="00D35A78"/>
    <w:rsid w:val="00D40F7C"/>
    <w:rsid w:val="00D41812"/>
    <w:rsid w:val="00D510FA"/>
    <w:rsid w:val="00D54A1D"/>
    <w:rsid w:val="00D555A1"/>
    <w:rsid w:val="00D64DC2"/>
    <w:rsid w:val="00D65757"/>
    <w:rsid w:val="00DA46CA"/>
    <w:rsid w:val="00DA767C"/>
    <w:rsid w:val="00DB0C19"/>
    <w:rsid w:val="00DF21EB"/>
    <w:rsid w:val="00E20E70"/>
    <w:rsid w:val="00E25B68"/>
    <w:rsid w:val="00E36729"/>
    <w:rsid w:val="00E65F16"/>
    <w:rsid w:val="00E84003"/>
    <w:rsid w:val="00EC10FC"/>
    <w:rsid w:val="00ED0A99"/>
    <w:rsid w:val="00EE0041"/>
    <w:rsid w:val="00EE19A8"/>
    <w:rsid w:val="00EE29B9"/>
    <w:rsid w:val="00F004EE"/>
    <w:rsid w:val="00F42E23"/>
    <w:rsid w:val="00F45EEE"/>
    <w:rsid w:val="00F51E9C"/>
    <w:rsid w:val="00F523CA"/>
    <w:rsid w:val="00F61C3B"/>
    <w:rsid w:val="00F74A9D"/>
    <w:rsid w:val="00FD24D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tulo1">
    <w:name w:val="heading 1"/>
    <w:aliases w:val="Paper title"/>
    <w:next w:val="Subttu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tulo2">
    <w:name w:val="heading 2"/>
    <w:aliases w:val="1st level paper heading"/>
    <w:next w:val="Corpodetexto"/>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tulo3">
    <w:name w:val="heading 3"/>
    <w:aliases w:val="2nd level paper heading"/>
    <w:next w:val="Corpodetexto"/>
    <w:uiPriority w:val="4"/>
    <w:qFormat/>
    <w:rsid w:val="00897ED5"/>
    <w:pPr>
      <w:widowControl w:val="0"/>
      <w:numPr>
        <w:ilvl w:val="2"/>
        <w:numId w:val="12"/>
      </w:numPr>
      <w:spacing w:before="240" w:after="240" w:line="240" w:lineRule="exact"/>
      <w:outlineLvl w:val="2"/>
    </w:pPr>
    <w:rPr>
      <w:b/>
      <w:lang w:eastAsia="en-US"/>
    </w:rPr>
  </w:style>
  <w:style w:type="paragraph" w:styleId="Ttulo4">
    <w:name w:val="heading 4"/>
    <w:aliases w:val="3rd level paper heading"/>
    <w:basedOn w:val="Normal"/>
    <w:next w:val="Corpodetex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tulo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tulo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link w:val="CorpodetextoChar"/>
    <w:qFormat/>
    <w:rsid w:val="00647F33"/>
    <w:pPr>
      <w:spacing w:line="260" w:lineRule="atLeast"/>
      <w:ind w:firstLine="567"/>
      <w:contextualSpacing/>
      <w:jc w:val="both"/>
    </w:pPr>
    <w:rPr>
      <w:lang w:eastAsia="en-US"/>
    </w:rPr>
  </w:style>
  <w:style w:type="paragraph" w:styleId="Recuodecorpodetexto">
    <w:name w:val="Body Text Indent"/>
    <w:basedOn w:val="Corpodetexto"/>
    <w:uiPriority w:val="49"/>
    <w:locked/>
    <w:pPr>
      <w:ind w:left="1134" w:hanging="675"/>
    </w:pPr>
  </w:style>
  <w:style w:type="paragraph" w:customStyle="1" w:styleId="BodyTextMultiline">
    <w:name w:val="Body Text Multiline"/>
    <w:basedOn w:val="Corpodetex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egenda">
    <w:name w:val="caption"/>
    <w:next w:val="Normal"/>
    <w:uiPriority w:val="49"/>
    <w:pPr>
      <w:spacing w:after="85"/>
    </w:pPr>
    <w:rPr>
      <w:bCs/>
      <w:sz w:val="18"/>
      <w:lang w:val="en-US" w:eastAsia="en-US"/>
    </w:rPr>
  </w:style>
  <w:style w:type="paragraph" w:styleId="Rodap">
    <w:name w:val="footer"/>
    <w:basedOn w:val="Normal"/>
    <w:link w:val="RodapChar"/>
    <w:uiPriority w:val="99"/>
    <w:locked/>
    <w:pPr>
      <w:overflowPunct/>
      <w:autoSpaceDE/>
      <w:autoSpaceDN/>
      <w:adjustRightInd/>
      <w:textAlignment w:val="auto"/>
    </w:pPr>
    <w:rPr>
      <w:sz w:val="2"/>
      <w:lang w:val="en-US"/>
    </w:rPr>
  </w:style>
  <w:style w:type="paragraph" w:styleId="Textodenotaderodap">
    <w:name w:val="footnote text"/>
    <w:semiHidden/>
    <w:locked/>
    <w:pPr>
      <w:tabs>
        <w:tab w:val="left" w:pos="459"/>
      </w:tabs>
      <w:spacing w:before="142"/>
      <w:ind w:left="459"/>
      <w:jc w:val="both"/>
    </w:pPr>
    <w:rPr>
      <w:sz w:val="18"/>
      <w:lang w:eastAsia="en-US"/>
    </w:rPr>
  </w:style>
  <w:style w:type="paragraph" w:styleId="Cabealho">
    <w:name w:val="header"/>
    <w:next w:val="Corpodetex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detexto"/>
    <w:uiPriority w:val="6"/>
    <w:qFormat/>
    <w:rsid w:val="00717C6F"/>
    <w:pPr>
      <w:numPr>
        <w:numId w:val="20"/>
      </w:numPr>
      <w:ind w:left="709"/>
    </w:pPr>
  </w:style>
  <w:style w:type="paragraph" w:customStyle="1" w:styleId="ListNumbered">
    <w:name w:val="List Numbered"/>
    <w:basedOn w:val="Corpodetexto"/>
    <w:uiPriority w:val="5"/>
    <w:qFormat/>
    <w:locked/>
    <w:rsid w:val="00717C6F"/>
    <w:pPr>
      <w:numPr>
        <w:numId w:val="22"/>
      </w:numPr>
    </w:pPr>
  </w:style>
  <w:style w:type="paragraph" w:styleId="Ttu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Refdenotaderodap">
    <w:name w:val="footnote reference"/>
    <w:basedOn w:val="Fontepargpadro"/>
    <w:semiHidden/>
    <w:locked/>
    <w:rPr>
      <w:vertAlign w:val="superscript"/>
    </w:rPr>
  </w:style>
  <w:style w:type="paragraph" w:styleId="Subttulo">
    <w:name w:val="Subtitle"/>
    <w:next w:val="Corpodetex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detexto"/>
    <w:uiPriority w:val="49"/>
    <w:locked/>
    <w:pPr>
      <w:spacing w:line="280" w:lineRule="exact"/>
      <w:jc w:val="right"/>
    </w:pPr>
    <w:rPr>
      <w:rFonts w:ascii="Arial" w:hAnsi="Arial" w:cs="Arial"/>
      <w:b/>
      <w:bCs/>
      <w:caps/>
      <w:sz w:val="24"/>
    </w:rPr>
  </w:style>
  <w:style w:type="paragraph" w:customStyle="1" w:styleId="zyxClassification2">
    <w:name w:val="zyxClassification2"/>
    <w:basedOn w:val="Rodap"/>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RodapChar">
    <w:name w:val="Rodapé Char"/>
    <w:basedOn w:val="Fontepargpadro"/>
    <w:link w:val="Rodap"/>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Fontepargpadr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detextoChar">
    <w:name w:val="Corpo de texto Char"/>
    <w:basedOn w:val="Fontepargpadro"/>
    <w:link w:val="Corpodetexto"/>
    <w:rsid w:val="00647F33"/>
    <w:rPr>
      <w:lang w:eastAsia="en-US"/>
    </w:rPr>
  </w:style>
  <w:style w:type="character" w:customStyle="1" w:styleId="AuthornameandaffiliationChar">
    <w:name w:val="Author name and affiliation Char"/>
    <w:basedOn w:val="CorpodetextoChar"/>
    <w:link w:val="Authornameandaffiliation"/>
    <w:uiPriority w:val="49"/>
    <w:rsid w:val="00647F33"/>
    <w:rPr>
      <w:lang w:val="en-US" w:eastAsia="en-US"/>
    </w:rPr>
  </w:style>
  <w:style w:type="table" w:styleId="Tabelacomgrade">
    <w:name w:val="Table Grid"/>
    <w:basedOn w:val="Tabelanorma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odebalo">
    <w:name w:val="Balloon Text"/>
    <w:basedOn w:val="Normal"/>
    <w:link w:val="TextodebaloChar"/>
    <w:uiPriority w:val="49"/>
    <w:locked/>
    <w:rsid w:val="005F00A0"/>
    <w:rPr>
      <w:rFonts w:ascii="Tahoma" w:hAnsi="Tahoma" w:cs="Tahoma"/>
      <w:sz w:val="16"/>
      <w:szCs w:val="16"/>
    </w:rPr>
  </w:style>
  <w:style w:type="character" w:customStyle="1" w:styleId="TextodebaloChar">
    <w:name w:val="Texto de balão Char"/>
    <w:basedOn w:val="Fontepargpadro"/>
    <w:link w:val="Textodebalo"/>
    <w:uiPriority w:val="49"/>
    <w:rsid w:val="005F00A0"/>
    <w:rPr>
      <w:rFonts w:ascii="Tahoma" w:hAnsi="Tahoma" w:cs="Tahoma"/>
      <w:sz w:val="16"/>
      <w:szCs w:val="16"/>
      <w:lang w:eastAsia="en-US"/>
    </w:rPr>
  </w:style>
  <w:style w:type="paragraph" w:customStyle="1" w:styleId="Figurecaption">
    <w:name w:val="Figure caption"/>
    <w:basedOn w:val="Corpodetexto"/>
    <w:link w:val="FigurecaptionChar"/>
    <w:uiPriority w:val="49"/>
    <w:qFormat/>
    <w:locked/>
    <w:rsid w:val="00717C6F"/>
    <w:pPr>
      <w:jc w:val="center"/>
    </w:pPr>
    <w:rPr>
      <w:i/>
      <w:sz w:val="18"/>
    </w:rPr>
  </w:style>
  <w:style w:type="paragraph" w:customStyle="1" w:styleId="Otherunnumberedheadings">
    <w:name w:val="Other unnumbered headings"/>
    <w:next w:val="Corpodetex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detextoChar"/>
    <w:link w:val="Figurecaption"/>
    <w:uiPriority w:val="49"/>
    <w:rsid w:val="00717C6F"/>
    <w:rPr>
      <w:i/>
      <w:sz w:val="18"/>
      <w:lang w:eastAsia="en-US"/>
    </w:rPr>
  </w:style>
  <w:style w:type="paragraph" w:customStyle="1" w:styleId="Referencelist">
    <w:name w:val="Reference list"/>
    <w:basedOn w:val="Corpodetex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detexto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detextoChar"/>
    <w:link w:val="Referencelist"/>
    <w:uiPriority w:val="49"/>
    <w:rsid w:val="009E0D5B"/>
    <w:rPr>
      <w:sz w:val="18"/>
      <w:szCs w:val="18"/>
      <w:lang w:eastAsia="en-US"/>
    </w:rPr>
  </w:style>
  <w:style w:type="paragraph" w:customStyle="1" w:styleId="Tabletext">
    <w:name w:val="Table text"/>
    <w:basedOn w:val="Corpodetexto"/>
    <w:link w:val="TabletextChar"/>
    <w:uiPriority w:val="49"/>
    <w:qFormat/>
    <w:rsid w:val="00883848"/>
    <w:pPr>
      <w:ind w:firstLine="0"/>
    </w:pPr>
  </w:style>
  <w:style w:type="character" w:customStyle="1" w:styleId="TabletextChar">
    <w:name w:val="Table text Char"/>
    <w:basedOn w:val="Corpodetexto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5.xml><?xml version="1.0" encoding="utf-8"?>
<ds:datastoreItem xmlns:ds="http://schemas.openxmlformats.org/officeDocument/2006/customXml" ds:itemID="{84407DC7-8490-40BE-8559-1E23AA92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148</TotalTime>
  <Pages>5</Pages>
  <Words>2380</Words>
  <Characters>72692</Characters>
  <Application>Microsoft Office Word</Application>
  <DocSecurity>0</DocSecurity>
  <Lines>605</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74923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FLAVIO SOARES PEREIRA</cp:lastModifiedBy>
  <cp:revision>41</cp:revision>
  <cp:lastPrinted>2015-12-01T10:27:00Z</cp:lastPrinted>
  <dcterms:created xsi:type="dcterms:W3CDTF">2021-05-17T15:31:00Z</dcterms:created>
  <dcterms:modified xsi:type="dcterms:W3CDTF">2021-07-07T21:12:00Z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y fmtid="{D5CDD505-2E9C-101B-9397-08002B2CF9AE}" pid="13" name="Mendeley Recent Style Id 0_1">
    <vt:lpwstr>http://www.zotero.org/styles/apa</vt:lpwstr>
  </property>
  <property fmtid="{D5CDD505-2E9C-101B-9397-08002B2CF9AE}" pid="14" name="Mendeley Recent Style Name 0_1">
    <vt:lpwstr>American Psychological Association 6th edition</vt:lpwstr>
  </property>
  <property fmtid="{D5CDD505-2E9C-101B-9397-08002B2CF9AE}" pid="15" name="Mendeley Recent Style Id 1_1">
    <vt:lpwstr>http://www.zotero.org/styles/american-sociological-association</vt:lpwstr>
  </property>
  <property fmtid="{D5CDD505-2E9C-101B-9397-08002B2CF9AE}" pid="16" name="Mendeley Recent Style Name 1_1">
    <vt:lpwstr>American Sociological Association</vt:lpwstr>
  </property>
  <property fmtid="{D5CDD505-2E9C-101B-9397-08002B2CF9AE}" pid="17" name="Mendeley Recent Style Id 2_1">
    <vt:lpwstr>http://www.zotero.org/styles/chicago-author-date</vt:lpwstr>
  </property>
  <property fmtid="{D5CDD505-2E9C-101B-9397-08002B2CF9AE}" pid="18" name="Mendeley Recent Style Name 2_1">
    <vt:lpwstr>Chicago Manual of Style 17th edition (author-date)</vt:lpwstr>
  </property>
  <property fmtid="{D5CDD505-2E9C-101B-9397-08002B2CF9AE}" pid="19" name="Mendeley Recent Style Id 3_1">
    <vt:lpwstr>http://www.zotero.org/styles/harvard-cite-them-right</vt:lpwstr>
  </property>
  <property fmtid="{D5CDD505-2E9C-101B-9397-08002B2CF9AE}" pid="20" name="Mendeley Recent Style Name 3_1">
    <vt:lpwstr>Cite Them Right 10th edition - Harvard</vt:lpwstr>
  </property>
  <property fmtid="{D5CDD505-2E9C-101B-9397-08002B2CF9AE}" pid="21" name="Mendeley Recent Style Id 4_1">
    <vt:lpwstr>http://www.zotero.org/styles/ieee</vt:lpwstr>
  </property>
  <property fmtid="{D5CDD505-2E9C-101B-9397-08002B2CF9AE}" pid="22" name="Mendeley Recent Style Name 4_1">
    <vt:lpwstr>IEEE</vt:lpwstr>
  </property>
  <property fmtid="{D5CDD505-2E9C-101B-9397-08002B2CF9AE}" pid="23" name="Mendeley Recent Style Id 5_1">
    <vt:lpwstr>http://www.zotero.org/styles/international-atomic-energy-agency</vt:lpwstr>
  </property>
  <property fmtid="{D5CDD505-2E9C-101B-9397-08002B2CF9AE}" pid="24" name="Mendeley Recent Style Name 5_1">
    <vt:lpwstr>International Atomic Energy Agency</vt:lpwstr>
  </property>
  <property fmtid="{D5CDD505-2E9C-101B-9397-08002B2CF9AE}" pid="25" name="Mendeley Recent Style Id 6_1">
    <vt:lpwstr>http://www.zotero.org/styles/journal-of-alloys-and-compounds</vt:lpwstr>
  </property>
  <property fmtid="{D5CDD505-2E9C-101B-9397-08002B2CF9AE}" pid="26" name="Mendeley Recent Style Name 6_1">
    <vt:lpwstr>Journal of Alloys and Compounds</vt:lpwstr>
  </property>
  <property fmtid="{D5CDD505-2E9C-101B-9397-08002B2CF9AE}" pid="27" name="Mendeley Recent Style Id 7_1">
    <vt:lpwstr>http://www.zotero.org/styles/modern-humanities-research-association</vt:lpwstr>
  </property>
  <property fmtid="{D5CDD505-2E9C-101B-9397-08002B2CF9AE}" pid="28" name="Mendeley Recent Style Name 7_1">
    <vt:lpwstr>Modern Humanities Research Association 3rd edition (note with bibliography)</vt:lpwstr>
  </property>
  <property fmtid="{D5CDD505-2E9C-101B-9397-08002B2CF9AE}" pid="29" name="Mendeley Recent Style Id 8_1">
    <vt:lpwstr>http://www.zotero.org/styles/modern-language-association</vt:lpwstr>
  </property>
  <property fmtid="{D5CDD505-2E9C-101B-9397-08002B2CF9AE}" pid="30" name="Mendeley Recent Style Name 8_1">
    <vt:lpwstr>Modern Language Association 8th edition</vt:lpwstr>
  </property>
  <property fmtid="{D5CDD505-2E9C-101B-9397-08002B2CF9AE}" pid="31" name="Mendeley Recent Style Id 9_1">
    <vt:lpwstr>http://www.zotero.org/styles/nature</vt:lpwstr>
  </property>
  <property fmtid="{D5CDD505-2E9C-101B-9397-08002B2CF9AE}" pid="32" name="Mendeley Recent Style Name 9_1">
    <vt:lpwstr>Nature</vt:lpwstr>
  </property>
  <property fmtid="{D5CDD505-2E9C-101B-9397-08002B2CF9AE}" pid="33" name="Mendeley Document_1">
    <vt:lpwstr>True</vt:lpwstr>
  </property>
  <property fmtid="{D5CDD505-2E9C-101B-9397-08002B2CF9AE}" pid="34" name="Mendeley Unique User Id_1">
    <vt:lpwstr>6658e69a-c87d-3b0f-9aa1-b72303179597</vt:lpwstr>
  </property>
  <property fmtid="{D5CDD505-2E9C-101B-9397-08002B2CF9AE}" pid="35" name="Mendeley Citation Style_1">
    <vt:lpwstr>http://www.zotero.org/styles/international-atomic-energy-agency</vt:lpwstr>
  </property>
</Properties>
</file>