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11EBB" w14:textId="77777777" w:rsidR="002018A4" w:rsidRDefault="002018A4" w:rsidP="00537496">
      <w:pPr>
        <w:pStyle w:val="Ttulo1"/>
      </w:pPr>
      <w:r w:rsidRPr="002018A4">
        <w:t xml:space="preserve">Management of Disused Radioactive </w:t>
      </w:r>
    </w:p>
    <w:p w14:paraId="4D329CC8" w14:textId="77777777" w:rsidR="002018A4" w:rsidRDefault="002018A4" w:rsidP="00537496">
      <w:pPr>
        <w:pStyle w:val="Ttulo1"/>
      </w:pPr>
      <w:r w:rsidRPr="002018A4">
        <w:t>Sources</w:t>
      </w:r>
      <w:r>
        <w:t xml:space="preserve"> </w:t>
      </w:r>
      <w:r w:rsidRPr="002018A4">
        <w:t xml:space="preserve">from the Irradiation Facility </w:t>
      </w:r>
    </w:p>
    <w:p w14:paraId="3C52E06F" w14:textId="77777777" w:rsidR="002018A4" w:rsidRDefault="002018A4" w:rsidP="00537496">
      <w:pPr>
        <w:pStyle w:val="Ttulo1"/>
      </w:pPr>
      <w:r w:rsidRPr="002018A4">
        <w:t>Product I in Cuba</w:t>
      </w:r>
    </w:p>
    <w:p w14:paraId="433FE03E" w14:textId="406B4BA1" w:rsidR="003B5E0E" w:rsidRPr="003B5E0E" w:rsidRDefault="003B5E0E" w:rsidP="00537496">
      <w:pPr>
        <w:pStyle w:val="Subttulo"/>
      </w:pPr>
    </w:p>
    <w:p w14:paraId="433FE040" w14:textId="06639445" w:rsidR="003B5E0E" w:rsidRDefault="00C15FAD" w:rsidP="00537496">
      <w:pPr>
        <w:pStyle w:val="Authornameandaffiliation"/>
      </w:pPr>
      <w:r>
        <w:t>M.M. SALGADO</w:t>
      </w:r>
    </w:p>
    <w:p w14:paraId="433FE041" w14:textId="2EAAFCF6" w:rsidR="00FF386F" w:rsidRDefault="00C15FAD" w:rsidP="00537496">
      <w:pPr>
        <w:pStyle w:val="Authornameandaffiliation"/>
      </w:pPr>
      <w:r>
        <w:t>Centre for Radiation Protection and Hygiene</w:t>
      </w:r>
    </w:p>
    <w:p w14:paraId="433FE042" w14:textId="70D029C7" w:rsidR="00FF386F" w:rsidRPr="00B11174" w:rsidRDefault="00C15FAD" w:rsidP="00537496">
      <w:pPr>
        <w:pStyle w:val="Authornameandaffiliation"/>
        <w:rPr>
          <w:lang w:val="es-ES"/>
        </w:rPr>
      </w:pPr>
      <w:proofErr w:type="spellStart"/>
      <w:r w:rsidRPr="00B11174">
        <w:rPr>
          <w:lang w:val="es-ES"/>
        </w:rPr>
        <w:t>Havana</w:t>
      </w:r>
      <w:proofErr w:type="spellEnd"/>
      <w:r w:rsidRPr="00B11174">
        <w:rPr>
          <w:lang w:val="es-ES"/>
        </w:rPr>
        <w:t>, Cuba</w:t>
      </w:r>
    </w:p>
    <w:p w14:paraId="433FE043" w14:textId="18DBB38E" w:rsidR="00FF386F" w:rsidRPr="00247515" w:rsidRDefault="00FF386F" w:rsidP="00537496">
      <w:pPr>
        <w:pStyle w:val="Authornameandaffiliation"/>
        <w:rPr>
          <w:lang w:val="es-ES"/>
        </w:rPr>
      </w:pPr>
      <w:r w:rsidRPr="00247515">
        <w:rPr>
          <w:lang w:val="es-ES"/>
        </w:rPr>
        <w:t xml:space="preserve">Email: </w:t>
      </w:r>
      <w:r w:rsidR="00C15FAD" w:rsidRPr="00247515">
        <w:rPr>
          <w:lang w:val="es-ES"/>
        </w:rPr>
        <w:t>cphrmercedes@ceniai.inf.cu</w:t>
      </w:r>
    </w:p>
    <w:p w14:paraId="433FE044" w14:textId="77777777" w:rsidR="00FF386F" w:rsidRPr="00247515" w:rsidRDefault="00FF386F" w:rsidP="00537496">
      <w:pPr>
        <w:pStyle w:val="Authornameandaffiliation"/>
        <w:rPr>
          <w:lang w:val="es-ES"/>
        </w:rPr>
      </w:pPr>
    </w:p>
    <w:p w14:paraId="433FE045" w14:textId="1481B87D" w:rsidR="00FF386F" w:rsidRPr="004067E9" w:rsidRDefault="004067E9" w:rsidP="00537496">
      <w:pPr>
        <w:pStyle w:val="Authornameandaffiliation"/>
        <w:rPr>
          <w:lang w:val="es-ES"/>
        </w:rPr>
      </w:pPr>
      <w:r w:rsidRPr="004067E9">
        <w:rPr>
          <w:lang w:val="es-ES"/>
        </w:rPr>
        <w:t>N. GONZÁLEZ, J.M. HERNÁNDEZ</w:t>
      </w:r>
      <w:r>
        <w:rPr>
          <w:lang w:val="es-ES"/>
        </w:rPr>
        <w:t xml:space="preserve">, R. </w:t>
      </w:r>
      <w:r w:rsidRPr="004067E9">
        <w:rPr>
          <w:lang w:val="es-ES"/>
        </w:rPr>
        <w:t>CASTILLO</w:t>
      </w:r>
      <w:r>
        <w:rPr>
          <w:lang w:val="es-ES"/>
        </w:rPr>
        <w:t>, G.</w:t>
      </w:r>
      <w:r w:rsidRPr="004067E9">
        <w:rPr>
          <w:lang w:val="es-ES"/>
        </w:rPr>
        <w:t xml:space="preserve"> TURRUELLA</w:t>
      </w:r>
      <w:r w:rsidR="00EA0334" w:rsidRPr="004067E9">
        <w:rPr>
          <w:lang w:val="es-ES"/>
        </w:rPr>
        <w:t>, J.</w:t>
      </w:r>
      <w:r w:rsidR="00EA0334">
        <w:rPr>
          <w:lang w:val="es-ES"/>
        </w:rPr>
        <w:t xml:space="preserve"> </w:t>
      </w:r>
      <w:r w:rsidR="00EA0334" w:rsidRPr="004067E9">
        <w:rPr>
          <w:lang w:val="es-ES"/>
        </w:rPr>
        <w:t>MENDOZA</w:t>
      </w:r>
    </w:p>
    <w:p w14:paraId="29535C17" w14:textId="77777777" w:rsidR="004067E9" w:rsidRDefault="004067E9" w:rsidP="004067E9">
      <w:pPr>
        <w:pStyle w:val="Authornameandaffiliation"/>
      </w:pPr>
      <w:r>
        <w:t>Centre for Radiation Protection and Hygiene</w:t>
      </w:r>
    </w:p>
    <w:p w14:paraId="7E00B246" w14:textId="77777777" w:rsidR="004067E9" w:rsidRPr="00B11174" w:rsidRDefault="004067E9" w:rsidP="004067E9">
      <w:pPr>
        <w:pStyle w:val="Authornameandaffiliation"/>
        <w:rPr>
          <w:lang w:val="es-ES"/>
        </w:rPr>
      </w:pPr>
      <w:proofErr w:type="spellStart"/>
      <w:r w:rsidRPr="00B11174">
        <w:rPr>
          <w:lang w:val="es-ES"/>
        </w:rPr>
        <w:t>Havana</w:t>
      </w:r>
      <w:proofErr w:type="spellEnd"/>
      <w:r w:rsidRPr="00B11174">
        <w:rPr>
          <w:lang w:val="es-ES"/>
        </w:rPr>
        <w:t>, Cuba</w:t>
      </w:r>
    </w:p>
    <w:p w14:paraId="433FE048" w14:textId="77777777" w:rsidR="00FF386F" w:rsidRPr="00B11174" w:rsidRDefault="00FF386F" w:rsidP="00537496">
      <w:pPr>
        <w:pStyle w:val="Authornameandaffiliation"/>
        <w:rPr>
          <w:lang w:val="es-ES"/>
        </w:rPr>
      </w:pPr>
    </w:p>
    <w:p w14:paraId="37787B20" w14:textId="201572CE" w:rsidR="004A75DB" w:rsidRPr="004067E9" w:rsidRDefault="00134563" w:rsidP="004A75DB">
      <w:pPr>
        <w:pStyle w:val="Authornameandaffiliation"/>
        <w:rPr>
          <w:lang w:val="es-ES"/>
        </w:rPr>
      </w:pPr>
      <w:r>
        <w:rPr>
          <w:lang w:val="es-ES"/>
        </w:rPr>
        <w:t>L.</w:t>
      </w:r>
      <w:r w:rsidRPr="00B11174">
        <w:rPr>
          <w:sz w:val="22"/>
          <w:szCs w:val="22"/>
          <w:lang w:val="es-ES"/>
        </w:rPr>
        <w:t xml:space="preserve"> HORVÁTH</w:t>
      </w:r>
    </w:p>
    <w:p w14:paraId="24183DFD" w14:textId="2F01EAE1" w:rsidR="004A75DB" w:rsidRPr="00B11174" w:rsidRDefault="00134563" w:rsidP="004A75DB">
      <w:pPr>
        <w:pStyle w:val="Authornameandaffiliation"/>
        <w:rPr>
          <w:lang w:val="es-ES"/>
        </w:rPr>
      </w:pPr>
      <w:r w:rsidRPr="00B11174">
        <w:rPr>
          <w:lang w:val="es-ES"/>
        </w:rPr>
        <w:t xml:space="preserve">IAEA </w:t>
      </w:r>
      <w:proofErr w:type="spellStart"/>
      <w:r w:rsidRPr="00B11174">
        <w:rPr>
          <w:lang w:val="es-ES"/>
        </w:rPr>
        <w:t>Expert</w:t>
      </w:r>
      <w:proofErr w:type="spellEnd"/>
    </w:p>
    <w:p w14:paraId="4D1B9D90" w14:textId="77777777" w:rsidR="004A75DB" w:rsidRPr="00B11174" w:rsidRDefault="004A75DB" w:rsidP="00537496">
      <w:pPr>
        <w:pStyle w:val="Authornameandaffiliation"/>
        <w:rPr>
          <w:lang w:val="es-ES"/>
        </w:rPr>
      </w:pPr>
    </w:p>
    <w:p w14:paraId="779C8078" w14:textId="77777777" w:rsidR="00134563" w:rsidRPr="00B11174" w:rsidRDefault="00134563" w:rsidP="00537496">
      <w:pPr>
        <w:pStyle w:val="Authornameandaffiliation"/>
        <w:rPr>
          <w:lang w:val="es-ES"/>
        </w:rPr>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4479FC7D" w14:textId="2CDACB38" w:rsidR="00632AFC" w:rsidRDefault="009A1FC9" w:rsidP="009A1FC9">
      <w:pPr>
        <w:pStyle w:val="Abstracttext"/>
      </w:pPr>
      <w:r>
        <w:t xml:space="preserve">The industrial irradiation facility, type Product I from the former Soviet Union, was put into operation in Cuba in 1987, in the Research Institute for Food Industry. It was used for irradiation of foodstuffs and other types of products.  The facility stopped operating in the nineties. In order to recover the irradiation capacities, it was necessary to recharge the irradiator with new Co-60 sources. The 52 disused radioactive sources </w:t>
      </w:r>
      <w:r w:rsidR="00662ADA">
        <w:t xml:space="preserve">(DSRS) </w:t>
      </w:r>
      <w:r>
        <w:t xml:space="preserve">had to be previously removed from this </w:t>
      </w:r>
      <w:r w:rsidR="00B11174">
        <w:t>installation</w:t>
      </w:r>
      <w:r>
        <w:t>. Adequate container was not available to put the DSRS and trans</w:t>
      </w:r>
      <w:r w:rsidR="00247515">
        <w:t>port</w:t>
      </w:r>
      <w:r>
        <w:t xml:space="preserve"> to the National Radioactive Waste Storage Facility. So </w:t>
      </w:r>
      <w:r w:rsidR="00247515">
        <w:t xml:space="preserve">the </w:t>
      </w:r>
      <w:r w:rsidR="00662ADA">
        <w:t>DSRS</w:t>
      </w:r>
      <w:r w:rsidR="00247515">
        <w:t xml:space="preserve"> were</w:t>
      </w:r>
      <w:r>
        <w:t xml:space="preserve"> </w:t>
      </w:r>
      <w:r w:rsidR="00247515">
        <w:t>transferred</w:t>
      </w:r>
      <w:r>
        <w:t xml:space="preserve"> and temporary store</w:t>
      </w:r>
      <w:r w:rsidR="00247515">
        <w:t>d</w:t>
      </w:r>
      <w:r>
        <w:t xml:space="preserve"> in the reserve pit, located in the same room. </w:t>
      </w:r>
      <w:r w:rsidR="00664061">
        <w:t>Adequate technical and safety conditions were developed in the facility and the authorization from the Regulatory Body was granted</w:t>
      </w:r>
      <w:r w:rsidR="00664061" w:rsidRPr="00664061">
        <w:t xml:space="preserve"> </w:t>
      </w:r>
      <w:r w:rsidR="00664061">
        <w:t xml:space="preserve">for this operation. </w:t>
      </w:r>
      <w:r w:rsidR="00247515">
        <w:t>Later on</w:t>
      </w:r>
      <w:r w:rsidR="008322F7">
        <w:t>,</w:t>
      </w:r>
      <w:r w:rsidR="00247515">
        <w:t xml:space="preserve"> a container for safe transport and storage of the 52 Cobalt-60 </w:t>
      </w:r>
      <w:r w:rsidR="00662ADA">
        <w:t>DSRS</w:t>
      </w:r>
      <w:r w:rsidR="00247515">
        <w:t xml:space="preserve"> was received with the support of </w:t>
      </w:r>
      <w:r w:rsidR="00664061">
        <w:t xml:space="preserve">the </w:t>
      </w:r>
      <w:r w:rsidR="00247515">
        <w:t>IAEA</w:t>
      </w:r>
      <w:r w:rsidR="00664061">
        <w:t>. Operational and safety procedures, radiation protection program and safety analysis were developed for</w:t>
      </w:r>
      <w:r w:rsidR="00664061" w:rsidRPr="00664061">
        <w:t xml:space="preserve"> </w:t>
      </w:r>
      <w:r w:rsidR="00664061">
        <w:t xml:space="preserve">transferring the </w:t>
      </w:r>
      <w:r w:rsidR="00662ADA">
        <w:t>DSRS</w:t>
      </w:r>
      <w:r w:rsidR="00664061">
        <w:t xml:space="preserve"> from the reserve pit to the container, preparation of the package and transport to the Waste Storage Facility. The required documents were presented to the Regulatory Body and the authorization was granted. The transportation should be carried out under special arrangement. The </w:t>
      </w:r>
      <w:r w:rsidR="00815460">
        <w:t xml:space="preserve">technological </w:t>
      </w:r>
      <w:r w:rsidR="008322F7">
        <w:t xml:space="preserve">and safety </w:t>
      </w:r>
      <w:r w:rsidR="00815460">
        <w:t>conditions dev</w:t>
      </w:r>
      <w:r w:rsidR="00B11174">
        <w:t>eloped for handling the DSRS</w:t>
      </w:r>
      <w:r w:rsidR="00815460">
        <w:t xml:space="preserve"> are described in the paper. </w:t>
      </w:r>
    </w:p>
    <w:p w14:paraId="433FE04C" w14:textId="77777777" w:rsidR="00647F33" w:rsidRDefault="00F523CA" w:rsidP="00537496">
      <w:pPr>
        <w:pStyle w:val="Ttulo2"/>
        <w:numPr>
          <w:ilvl w:val="1"/>
          <w:numId w:val="10"/>
        </w:numPr>
      </w:pPr>
      <w:r>
        <w:t>INTRODUCTION</w:t>
      </w:r>
    </w:p>
    <w:p w14:paraId="753B7C25" w14:textId="47C35EEC" w:rsidR="000C7345" w:rsidRPr="00C22E4D" w:rsidRDefault="00475344" w:rsidP="00475344">
      <w:pPr>
        <w:pStyle w:val="Textoindependiente"/>
      </w:pPr>
      <w:r w:rsidRPr="00C22E4D">
        <w:t xml:space="preserve">The Food Irradiation Plant (PIA), type Product I from the former Soviet Union, was put into operation in Cuba in 1987, in the Research Institute for Food Industry (IIIA). It was designated mainly for irradiation of foodstuffs for preservation, later it was </w:t>
      </w:r>
      <w:r w:rsidR="008322F7" w:rsidRPr="00C22E4D">
        <w:t xml:space="preserve">also </w:t>
      </w:r>
      <w:r w:rsidRPr="00C22E4D">
        <w:t xml:space="preserve">used to irradiate </w:t>
      </w:r>
      <w:r w:rsidR="008322F7" w:rsidRPr="00C22E4D">
        <w:t>medical and pharmaceutical products for sterilization</w:t>
      </w:r>
      <w:r w:rsidRPr="00C22E4D">
        <w:t>. According to the IAEA classification, this is a category II irradiator, panoramic irradiator with dry storage of the radioactive sources. The facility was charged with 52 Co-60 radioactive sources, with an initia</w:t>
      </w:r>
      <w:r w:rsidR="008322F7" w:rsidRPr="00C22E4D">
        <w:t xml:space="preserve">l total activity of 2.50E+15 </w:t>
      </w:r>
      <w:proofErr w:type="spellStart"/>
      <w:r w:rsidR="008322F7" w:rsidRPr="00C22E4D">
        <w:t>Bq</w:t>
      </w:r>
      <w:proofErr w:type="spellEnd"/>
      <w:r w:rsidR="008322F7" w:rsidRPr="00C22E4D">
        <w:t xml:space="preserve"> </w:t>
      </w:r>
      <w:r w:rsidRPr="00C22E4D">
        <w:t xml:space="preserve">(67.6 </w:t>
      </w:r>
      <w:proofErr w:type="spellStart"/>
      <w:r w:rsidRPr="00C22E4D">
        <w:t>kCi</w:t>
      </w:r>
      <w:proofErr w:type="spellEnd"/>
      <w:r w:rsidRPr="00C22E4D">
        <w:t>), reference date May 1986.</w:t>
      </w:r>
      <w:r w:rsidR="000C7345" w:rsidRPr="00C22E4D">
        <w:t xml:space="preserve"> The facility stopped operating in the nineties. </w:t>
      </w:r>
    </w:p>
    <w:p w14:paraId="2CDE083F" w14:textId="1D278B2D" w:rsidR="00475344" w:rsidRDefault="00475344" w:rsidP="00475344">
      <w:pPr>
        <w:pStyle w:val="Textoindependiente"/>
      </w:pPr>
      <w:r w:rsidRPr="00C22E4D">
        <w:t xml:space="preserve">There exists the intention to recover the irradiation capacities at PIA and </w:t>
      </w:r>
      <w:r w:rsidR="00C13B3C" w:rsidRPr="00C22E4D">
        <w:t xml:space="preserve">for that it was required to </w:t>
      </w:r>
      <w:r w:rsidRPr="00C22E4D">
        <w:t>install</w:t>
      </w:r>
      <w:r>
        <w:t xml:space="preserve"> new radioactive sources. Consequently, it was necessary to unload the 52 DSRS from the irradiator and temporarily transfer to a reserve pit located in the same facility, </w:t>
      </w:r>
      <w:r w:rsidR="003D51A9">
        <w:t xml:space="preserve">as an </w:t>
      </w:r>
      <w:r>
        <w:t xml:space="preserve">adequate container </w:t>
      </w:r>
      <w:r w:rsidR="003D51A9">
        <w:t xml:space="preserve">was not </w:t>
      </w:r>
      <w:r>
        <w:t xml:space="preserve">available </w:t>
      </w:r>
      <w:r w:rsidR="008322F7">
        <w:t xml:space="preserve">at that time </w:t>
      </w:r>
      <w:r w:rsidR="00D77F48">
        <w:t>for the</w:t>
      </w:r>
      <w:r>
        <w:t xml:space="preserve"> transport and </w:t>
      </w:r>
      <w:r w:rsidR="00F857AD">
        <w:t xml:space="preserve">safe </w:t>
      </w:r>
      <w:r>
        <w:t>stor</w:t>
      </w:r>
      <w:r w:rsidR="00F857AD">
        <w:t>age of the sources</w:t>
      </w:r>
      <w:r w:rsidR="00792493">
        <w:t xml:space="preserve">. </w:t>
      </w:r>
    </w:p>
    <w:p w14:paraId="183820F2" w14:textId="48B6BAB7" w:rsidR="00D476A5" w:rsidRDefault="00D476A5" w:rsidP="00475344">
      <w:pPr>
        <w:pStyle w:val="Textoindependiente"/>
      </w:pPr>
      <w:r w:rsidRPr="00D476A5">
        <w:t xml:space="preserve">Last year, a container for the 52 DSRS was received </w:t>
      </w:r>
      <w:r w:rsidR="00D9772F" w:rsidRPr="00D9772F">
        <w:t xml:space="preserve">through a </w:t>
      </w:r>
      <w:r w:rsidR="00D9772F">
        <w:t>Technical Cooperation P</w:t>
      </w:r>
      <w:r w:rsidR="00D9772F" w:rsidRPr="00D9772F">
        <w:t>roject</w:t>
      </w:r>
      <w:r w:rsidR="00D9772F">
        <w:t xml:space="preserve"> </w:t>
      </w:r>
      <w:r w:rsidRPr="00D476A5">
        <w:t xml:space="preserve">with the IAEA. The </w:t>
      </w:r>
      <w:r w:rsidR="00D9772F">
        <w:t xml:space="preserve">sources will be removed from the </w:t>
      </w:r>
      <w:r w:rsidR="00C22E4D">
        <w:t>reserve</w:t>
      </w:r>
      <w:r w:rsidR="00D9772F">
        <w:t xml:space="preserve"> pit and transferred to this container, for the safe transport and storage at the Radioactive Waste Storage Facility. </w:t>
      </w:r>
    </w:p>
    <w:p w14:paraId="7A96C3DD" w14:textId="0A910C82" w:rsidR="00F857AD" w:rsidRDefault="00CC707F" w:rsidP="00475344">
      <w:pPr>
        <w:pStyle w:val="Textoindependiente"/>
      </w:pPr>
      <w:r>
        <w:t>The transfer of DSRS</w:t>
      </w:r>
      <w:r w:rsidR="00F857AD">
        <w:t xml:space="preserve"> from the irradiator to the reserve pit, as well as their removal from the reserve pit and transfer to the storage container</w:t>
      </w:r>
      <w:r>
        <w:t xml:space="preserve">, </w:t>
      </w:r>
      <w:r w:rsidR="00F857AD">
        <w:t xml:space="preserve">required adequate planning </w:t>
      </w:r>
      <w:r w:rsidR="005A1343">
        <w:t xml:space="preserve">and preparatory works </w:t>
      </w:r>
      <w:r w:rsidR="00F857AD">
        <w:t>to ensure safety, this includes:</w:t>
      </w:r>
    </w:p>
    <w:p w14:paraId="31986D91" w14:textId="77777777" w:rsidR="00D77F48" w:rsidRDefault="00D77F48">
      <w:pPr>
        <w:overflowPunct/>
        <w:autoSpaceDE/>
        <w:autoSpaceDN/>
        <w:adjustRightInd/>
        <w:textAlignment w:val="auto"/>
        <w:rPr>
          <w:sz w:val="20"/>
        </w:rPr>
      </w:pPr>
      <w:r>
        <w:br w:type="page"/>
      </w:r>
    </w:p>
    <w:p w14:paraId="44A4277D" w14:textId="68C278D0" w:rsidR="005A1343" w:rsidRDefault="005A1343" w:rsidP="005A1343">
      <w:pPr>
        <w:pStyle w:val="ListEmdash"/>
        <w:ind w:left="709"/>
      </w:pPr>
      <w:r>
        <w:lastRenderedPageBreak/>
        <w:t>Design and construct auxiliary devices to facilitate the operations</w:t>
      </w:r>
      <w:r w:rsidR="000B335E">
        <w:t xml:space="preserve"> and to optimize the radiation doses</w:t>
      </w:r>
      <w:r>
        <w:t>;</w:t>
      </w:r>
    </w:p>
    <w:p w14:paraId="0C353E1B" w14:textId="5247DCB5" w:rsidR="004C33A0" w:rsidRDefault="007100FC" w:rsidP="007100FC">
      <w:pPr>
        <w:pStyle w:val="ListEmdash"/>
        <w:ind w:left="709"/>
      </w:pPr>
      <w:r>
        <w:t>Train the operators in the use of the containers</w:t>
      </w:r>
      <w:r w:rsidR="00C22E4D">
        <w:t>,</w:t>
      </w:r>
      <w:r w:rsidR="00A1108F">
        <w:t xml:space="preserve"> </w:t>
      </w:r>
      <w:r w:rsidR="00C22E4D">
        <w:t xml:space="preserve">auxiliary devices </w:t>
      </w:r>
      <w:r>
        <w:t>and special tools to handle the sources</w:t>
      </w:r>
      <w:r w:rsidR="004E5FEB">
        <w:t>;</w:t>
      </w:r>
    </w:p>
    <w:p w14:paraId="12C7EC96" w14:textId="0C475BA7" w:rsidR="007100FC" w:rsidRDefault="007100FC" w:rsidP="007100FC">
      <w:pPr>
        <w:pStyle w:val="ListEmdash"/>
        <w:ind w:left="709"/>
      </w:pPr>
      <w:r>
        <w:t>Develop operational and safety procedures for operations, radiation protection program, the safety analysis and emergency plan</w:t>
      </w:r>
      <w:r w:rsidR="004E5FEB">
        <w:t>;</w:t>
      </w:r>
    </w:p>
    <w:p w14:paraId="3E793560" w14:textId="2225822C" w:rsidR="007100FC" w:rsidRDefault="007100FC" w:rsidP="007100FC">
      <w:pPr>
        <w:pStyle w:val="ListEmdash"/>
        <w:ind w:left="709"/>
      </w:pPr>
      <w:r>
        <w:t>Present these documents to the Regulatory Body to apply for authorization.</w:t>
      </w:r>
    </w:p>
    <w:p w14:paraId="49F9676A" w14:textId="77777777" w:rsidR="00134563" w:rsidRDefault="00134563" w:rsidP="00972459">
      <w:pPr>
        <w:pStyle w:val="Textoindependiente"/>
        <w:ind w:firstLine="0"/>
      </w:pPr>
    </w:p>
    <w:p w14:paraId="68200DCE" w14:textId="55A4CDE1" w:rsidR="00F857AD" w:rsidRDefault="004E5FEB" w:rsidP="00134563">
      <w:pPr>
        <w:pStyle w:val="Textoindependiente"/>
      </w:pPr>
      <w:r>
        <w:t xml:space="preserve">These activities are described in the paper. </w:t>
      </w:r>
    </w:p>
    <w:p w14:paraId="7672D5B0" w14:textId="4E2F18C5" w:rsidR="008D6205" w:rsidRDefault="008D6205" w:rsidP="008D6205">
      <w:pPr>
        <w:pStyle w:val="Ttulo2"/>
        <w:numPr>
          <w:ilvl w:val="1"/>
          <w:numId w:val="10"/>
        </w:numPr>
      </w:pPr>
      <w:r>
        <w:t xml:space="preserve">Transfer of the disused sealed radioactive sources </w:t>
      </w:r>
      <w:r w:rsidR="002F1849">
        <w:t xml:space="preserve">from the irradiator </w:t>
      </w:r>
      <w:r>
        <w:t xml:space="preserve">to the reserve pit </w:t>
      </w:r>
    </w:p>
    <w:p w14:paraId="42D0EF0D" w14:textId="210C9F18" w:rsidR="005A1343" w:rsidRDefault="005A1343" w:rsidP="005A1343">
      <w:pPr>
        <w:pStyle w:val="Ttulo3"/>
      </w:pPr>
      <w:r>
        <w:t xml:space="preserve">Preparation for the operations </w:t>
      </w:r>
    </w:p>
    <w:p w14:paraId="02AA75AF" w14:textId="3525099D" w:rsidR="00DC4E77" w:rsidRDefault="008D6205" w:rsidP="008D6205">
      <w:pPr>
        <w:pStyle w:val="Textoindependiente"/>
      </w:pPr>
      <w:r>
        <w:t>The reserve pit, by design, is the same as the irradiator and it</w:t>
      </w:r>
      <w:r w:rsidR="00B92E01">
        <w:t xml:space="preserve">s function was </w:t>
      </w:r>
      <w:r>
        <w:t xml:space="preserve">to temporary store the radioactive sources during maintenance operations in the irradiator. </w:t>
      </w:r>
      <w:r w:rsidR="00DC4E77">
        <w:t>The reserve pit was review</w:t>
      </w:r>
      <w:r w:rsidR="004972E6">
        <w:t>ed</w:t>
      </w:r>
      <w:r w:rsidR="00DC4E77">
        <w:t xml:space="preserve"> and maintenance works were carried out in order to prepare it to receive the sources</w:t>
      </w:r>
      <w:r w:rsidR="00C772D6">
        <w:t xml:space="preserve"> (figure 1)</w:t>
      </w:r>
      <w:r w:rsidR="00DC4E77">
        <w:t xml:space="preserve">. </w:t>
      </w:r>
    </w:p>
    <w:p w14:paraId="66ACC475" w14:textId="77777777" w:rsidR="00C772D6" w:rsidRDefault="00C772D6" w:rsidP="008D6205">
      <w:pPr>
        <w:pStyle w:val="Textoindependiente"/>
      </w:pPr>
    </w:p>
    <w:tbl>
      <w:tblPr>
        <w:tblStyle w:val="Tablaconcuadrcula"/>
        <w:tblW w:w="0" w:type="auto"/>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tblGrid>
      <w:tr w:rsidR="00C772D6" w14:paraId="76EB7E7D" w14:textId="77777777" w:rsidTr="00C772D6">
        <w:trPr>
          <w:jc w:val="center"/>
        </w:trPr>
        <w:tc>
          <w:tcPr>
            <w:tcW w:w="7655" w:type="dxa"/>
          </w:tcPr>
          <w:p w14:paraId="5BB98335" w14:textId="5638388A" w:rsidR="00C772D6" w:rsidRDefault="00C772D6" w:rsidP="00C772D6">
            <w:pPr>
              <w:pStyle w:val="Textoindependiente"/>
              <w:ind w:firstLine="0"/>
              <w:jc w:val="center"/>
            </w:pPr>
            <w:r>
              <w:rPr>
                <w:noProof/>
                <w:lang w:val="es-ES" w:eastAsia="es-ES"/>
              </w:rPr>
              <w:drawing>
                <wp:inline distT="0" distB="0" distL="0" distR="0" wp14:anchorId="4850C2F8" wp14:editId="6B5235E3">
                  <wp:extent cx="1964176" cy="2695433"/>
                  <wp:effectExtent l="0" t="0" r="0" b="0"/>
                  <wp:docPr id="7" name="Imagen 7" descr="C:\Users\Laury\AppData\Local\Microsoft\Windows\INetCache\Content.Word\P1110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y\AppData\Local\Microsoft\Windows\INetCache\Content.Word\P1110679.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6398"/>
                          <a:stretch/>
                        </pic:blipFill>
                        <pic:spPr bwMode="auto">
                          <a:xfrm>
                            <a:off x="0" y="0"/>
                            <a:ext cx="1968584" cy="270148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772D6" w14:paraId="66370E5A" w14:textId="77777777" w:rsidTr="00C772D6">
        <w:trPr>
          <w:jc w:val="center"/>
        </w:trPr>
        <w:tc>
          <w:tcPr>
            <w:tcW w:w="7655" w:type="dxa"/>
          </w:tcPr>
          <w:p w14:paraId="43607360" w14:textId="52122854" w:rsidR="00C772D6" w:rsidRDefault="00C772D6" w:rsidP="00C772D6">
            <w:pPr>
              <w:pStyle w:val="Textoindependiente"/>
              <w:ind w:firstLine="0"/>
              <w:jc w:val="center"/>
            </w:pPr>
            <w:r w:rsidRPr="00E12B2D">
              <w:rPr>
                <w:i/>
                <w:sz w:val="18"/>
                <w:szCs w:val="18"/>
              </w:rPr>
              <w:t xml:space="preserve">FIG. </w:t>
            </w:r>
            <w:r w:rsidRPr="00E12B2D">
              <w:rPr>
                <w:i/>
                <w:sz w:val="18"/>
                <w:szCs w:val="18"/>
              </w:rPr>
              <w:fldChar w:fldCharType="begin"/>
            </w:r>
            <w:r w:rsidRPr="00E12B2D">
              <w:rPr>
                <w:i/>
                <w:sz w:val="18"/>
                <w:szCs w:val="18"/>
              </w:rPr>
              <w:instrText xml:space="preserve"> SEQ Figure \* ARABIC </w:instrText>
            </w:r>
            <w:r w:rsidRPr="00E12B2D">
              <w:rPr>
                <w:i/>
                <w:sz w:val="18"/>
                <w:szCs w:val="18"/>
              </w:rPr>
              <w:fldChar w:fldCharType="separate"/>
            </w:r>
            <w:r w:rsidRPr="00E12B2D">
              <w:rPr>
                <w:i/>
                <w:noProof/>
                <w:sz w:val="18"/>
                <w:szCs w:val="18"/>
              </w:rPr>
              <w:t>1</w:t>
            </w:r>
            <w:r w:rsidRPr="00E12B2D">
              <w:rPr>
                <w:i/>
                <w:sz w:val="18"/>
                <w:szCs w:val="18"/>
              </w:rPr>
              <w:fldChar w:fldCharType="end"/>
            </w:r>
            <w:r w:rsidRPr="00E12B2D">
              <w:rPr>
                <w:i/>
                <w:sz w:val="18"/>
                <w:szCs w:val="18"/>
              </w:rPr>
              <w:t xml:space="preserve">. </w:t>
            </w:r>
            <w:r>
              <w:rPr>
                <w:i/>
                <w:sz w:val="18"/>
                <w:szCs w:val="18"/>
              </w:rPr>
              <w:t>Review of the reserve pit before transferring the DSRS</w:t>
            </w:r>
          </w:p>
        </w:tc>
      </w:tr>
    </w:tbl>
    <w:p w14:paraId="0CF99D77" w14:textId="77777777" w:rsidR="00C772D6" w:rsidRDefault="00C772D6" w:rsidP="008D6205">
      <w:pPr>
        <w:pStyle w:val="Textoindependiente"/>
      </w:pPr>
    </w:p>
    <w:p w14:paraId="79D3E8ED" w14:textId="4C21666F" w:rsidR="00DC4E77" w:rsidRDefault="008D6205" w:rsidP="008D6205">
      <w:pPr>
        <w:pStyle w:val="Textoindependiente"/>
      </w:pPr>
      <w:r>
        <w:t xml:space="preserve">A </w:t>
      </w:r>
      <w:r w:rsidR="003520CE">
        <w:t xml:space="preserve">transfer </w:t>
      </w:r>
      <w:r>
        <w:t xml:space="preserve">container </w:t>
      </w:r>
      <w:r w:rsidR="003520CE">
        <w:t>to move</w:t>
      </w:r>
      <w:r>
        <w:t xml:space="preserve"> the DSRS from the irradiator to the reserve pit was available in the facility</w:t>
      </w:r>
      <w:r w:rsidR="00B92E01">
        <w:t>,</w:t>
      </w:r>
      <w:r w:rsidR="00B92E01" w:rsidRPr="00B92E01">
        <w:t xml:space="preserve"> </w:t>
      </w:r>
      <w:r w:rsidR="00B92E01" w:rsidRPr="00D476A5">
        <w:t>but it had to be review</w:t>
      </w:r>
      <w:r w:rsidR="00E346F7">
        <w:t>ed</w:t>
      </w:r>
      <w:r w:rsidR="00B92E01" w:rsidRPr="00D476A5">
        <w:t xml:space="preserve"> and repaired</w:t>
      </w:r>
      <w:r w:rsidR="00DC4E77">
        <w:t xml:space="preserve"> as some parts were damaged</w:t>
      </w:r>
      <w:r w:rsidR="00E346F7">
        <w:t xml:space="preserve"> (figure 2)</w:t>
      </w:r>
      <w:r w:rsidR="00DC4E77">
        <w:t xml:space="preserve">. </w:t>
      </w:r>
    </w:p>
    <w:p w14:paraId="125B653B" w14:textId="77777777" w:rsidR="0099176B" w:rsidRDefault="0099176B" w:rsidP="008D6205">
      <w:pPr>
        <w:pStyle w:val="Textoindependiente"/>
      </w:pPr>
    </w:p>
    <w:tbl>
      <w:tblPr>
        <w:tblStyle w:val="Tablaconcuadrcula"/>
        <w:tblW w:w="0" w:type="auto"/>
        <w:jc w:val="center"/>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tblGrid>
      <w:tr w:rsidR="0099176B" w14:paraId="572E6935" w14:textId="77777777" w:rsidTr="0099176B">
        <w:trPr>
          <w:jc w:val="center"/>
        </w:trPr>
        <w:tc>
          <w:tcPr>
            <w:tcW w:w="7655" w:type="dxa"/>
          </w:tcPr>
          <w:p w14:paraId="2677A62A" w14:textId="46518A53" w:rsidR="0099176B" w:rsidRDefault="0099176B" w:rsidP="0099176B">
            <w:pPr>
              <w:pStyle w:val="Textoindependiente"/>
              <w:ind w:firstLine="0"/>
              <w:jc w:val="center"/>
            </w:pPr>
            <w:r>
              <w:rPr>
                <w:noProof/>
                <w:lang w:val="es-ES" w:eastAsia="es-ES"/>
              </w:rPr>
              <w:lastRenderedPageBreak/>
              <w:drawing>
                <wp:inline distT="0" distB="0" distL="0" distR="0" wp14:anchorId="6F265F7F" wp14:editId="5DB8FDF1">
                  <wp:extent cx="1583140" cy="3057130"/>
                  <wp:effectExtent l="0" t="0" r="0" b="0"/>
                  <wp:docPr id="8" name="Imagen 8" descr="C:\Users\Laury\AppData\Local\Microsoft\Windows\INetCache\Content.Word\P1120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y\AppData\Local\Microsoft\Windows\INetCache\Content.Word\P112026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4357" cy="3059480"/>
                          </a:xfrm>
                          <a:prstGeom prst="rect">
                            <a:avLst/>
                          </a:prstGeom>
                          <a:noFill/>
                          <a:ln>
                            <a:noFill/>
                          </a:ln>
                        </pic:spPr>
                      </pic:pic>
                    </a:graphicData>
                  </a:graphic>
                </wp:inline>
              </w:drawing>
            </w:r>
          </w:p>
        </w:tc>
      </w:tr>
      <w:tr w:rsidR="0099176B" w14:paraId="149EC6F0" w14:textId="77777777" w:rsidTr="0099176B">
        <w:trPr>
          <w:jc w:val="center"/>
        </w:trPr>
        <w:tc>
          <w:tcPr>
            <w:tcW w:w="7655" w:type="dxa"/>
          </w:tcPr>
          <w:p w14:paraId="2A86E8D4" w14:textId="4BE20071" w:rsidR="0099176B" w:rsidRDefault="0099176B" w:rsidP="0099176B">
            <w:pPr>
              <w:pStyle w:val="Textoindependiente"/>
              <w:ind w:firstLine="0"/>
              <w:jc w:val="center"/>
            </w:pPr>
            <w:r w:rsidRPr="00E12B2D">
              <w:rPr>
                <w:i/>
                <w:sz w:val="18"/>
                <w:szCs w:val="18"/>
              </w:rPr>
              <w:t xml:space="preserve">FIG. </w:t>
            </w:r>
            <w:r w:rsidRPr="00E12B2D">
              <w:rPr>
                <w:i/>
                <w:sz w:val="18"/>
                <w:szCs w:val="18"/>
              </w:rPr>
              <w:fldChar w:fldCharType="begin"/>
            </w:r>
            <w:r w:rsidRPr="00E12B2D">
              <w:rPr>
                <w:i/>
                <w:sz w:val="18"/>
                <w:szCs w:val="18"/>
              </w:rPr>
              <w:instrText xml:space="preserve"> SEQ Figure \* ARABIC </w:instrText>
            </w:r>
            <w:r w:rsidRPr="00E12B2D">
              <w:rPr>
                <w:i/>
                <w:sz w:val="18"/>
                <w:szCs w:val="18"/>
              </w:rPr>
              <w:fldChar w:fldCharType="separate"/>
            </w:r>
            <w:r>
              <w:rPr>
                <w:i/>
                <w:noProof/>
                <w:sz w:val="18"/>
                <w:szCs w:val="18"/>
              </w:rPr>
              <w:t>2</w:t>
            </w:r>
            <w:r w:rsidRPr="00E12B2D">
              <w:rPr>
                <w:i/>
                <w:sz w:val="18"/>
                <w:szCs w:val="18"/>
              </w:rPr>
              <w:fldChar w:fldCharType="end"/>
            </w:r>
            <w:r w:rsidRPr="00E12B2D">
              <w:rPr>
                <w:i/>
                <w:sz w:val="18"/>
                <w:szCs w:val="18"/>
              </w:rPr>
              <w:t xml:space="preserve">. </w:t>
            </w:r>
            <w:r>
              <w:rPr>
                <w:i/>
                <w:sz w:val="18"/>
                <w:szCs w:val="18"/>
              </w:rPr>
              <w:t>Reviewing the transfer container and preparing for the operations</w:t>
            </w:r>
          </w:p>
        </w:tc>
      </w:tr>
    </w:tbl>
    <w:p w14:paraId="758890E3" w14:textId="77777777" w:rsidR="004972E6" w:rsidRDefault="004972E6" w:rsidP="008D6205">
      <w:pPr>
        <w:pStyle w:val="Textoindependiente"/>
      </w:pPr>
    </w:p>
    <w:p w14:paraId="23185CD7" w14:textId="1A9740BB" w:rsidR="00555127" w:rsidRDefault="00D476A5" w:rsidP="008D6205">
      <w:pPr>
        <w:pStyle w:val="Textoindependiente"/>
      </w:pPr>
      <w:r w:rsidRPr="00D476A5">
        <w:t xml:space="preserve">Some auxiliary devices </w:t>
      </w:r>
      <w:r w:rsidR="00B92E01">
        <w:t xml:space="preserve">to operate the container were designed and produced, in order to </w:t>
      </w:r>
      <w:r w:rsidR="00B92E01" w:rsidRPr="00D476A5">
        <w:t>facilitate the operations and to optimize the operator doses.</w:t>
      </w:r>
      <w:r w:rsidR="00CC5E2B">
        <w:t xml:space="preserve"> A key point of the operations is the alignment of the channels of the container with the channels of the pits (of the irradiator to remove the DSRS and of the reserve pit to place the </w:t>
      </w:r>
      <w:r w:rsidR="00066DE8">
        <w:t>DSRS</w:t>
      </w:r>
      <w:r w:rsidR="00CC5E2B">
        <w:t xml:space="preserve">). </w:t>
      </w:r>
      <w:r w:rsidR="00742369">
        <w:t xml:space="preserve">The device showed in figure </w:t>
      </w:r>
      <w:r w:rsidR="004972E6">
        <w:t>3</w:t>
      </w:r>
      <w:r w:rsidR="00742369">
        <w:t xml:space="preserve"> was used </w:t>
      </w:r>
      <w:r w:rsidR="00E12B2D">
        <w:t xml:space="preserve">to facilitate </w:t>
      </w:r>
      <w:r w:rsidR="00742369">
        <w:t xml:space="preserve">this operation. </w:t>
      </w:r>
      <w:r w:rsidR="00555127">
        <w:t xml:space="preserve">After the container is placed over the channels of the pit, the alignment is verified using </w:t>
      </w:r>
      <w:r w:rsidR="00D438C1">
        <w:t xml:space="preserve">a </w:t>
      </w:r>
      <w:r w:rsidR="00555127">
        <w:t xml:space="preserve">special rod. </w:t>
      </w:r>
    </w:p>
    <w:p w14:paraId="5F726EDA" w14:textId="77777777" w:rsidR="00742369" w:rsidRDefault="00742369" w:rsidP="008D6205">
      <w:pPr>
        <w:pStyle w:val="Textoindependiente"/>
      </w:pPr>
    </w:p>
    <w:tbl>
      <w:tblPr>
        <w:tblStyle w:val="Tablaconcuadrcula"/>
        <w:tblW w:w="0" w:type="auto"/>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257076" w14:paraId="661D8766" w14:textId="77777777" w:rsidTr="00E12B2D">
        <w:trPr>
          <w:jc w:val="center"/>
        </w:trPr>
        <w:tc>
          <w:tcPr>
            <w:tcW w:w="7797" w:type="dxa"/>
          </w:tcPr>
          <w:p w14:paraId="26D21FDF" w14:textId="03C751A5" w:rsidR="00257076" w:rsidRDefault="00257076" w:rsidP="00257076">
            <w:pPr>
              <w:pStyle w:val="Textoindependiente"/>
              <w:ind w:firstLine="0"/>
              <w:jc w:val="center"/>
            </w:pPr>
            <w:r>
              <w:rPr>
                <w:noProof/>
                <w:lang w:val="es-ES" w:eastAsia="es-ES"/>
              </w:rPr>
              <w:drawing>
                <wp:inline distT="0" distB="0" distL="0" distR="0" wp14:anchorId="1093E177" wp14:editId="5AF2BB15">
                  <wp:extent cx="3152633" cy="2067636"/>
                  <wp:effectExtent l="0" t="0" r="0" b="8890"/>
                  <wp:docPr id="9" name="Imagen 9" descr="C:\Users\Mercedes Salgado\AppData\Local\Microsoft\Windows\INetCache\Content.Word\IMG_20191023_131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 Salgado\AppData\Local\Microsoft\Windows\INetCache\Content.Word\IMG_20191023_131750.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901" r="11242"/>
                          <a:stretch/>
                        </pic:blipFill>
                        <pic:spPr bwMode="auto">
                          <a:xfrm>
                            <a:off x="0" y="0"/>
                            <a:ext cx="3168651" cy="207814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57076" w14:paraId="584FADB1" w14:textId="77777777" w:rsidTr="00E12B2D">
        <w:trPr>
          <w:jc w:val="center"/>
        </w:trPr>
        <w:tc>
          <w:tcPr>
            <w:tcW w:w="7797" w:type="dxa"/>
          </w:tcPr>
          <w:p w14:paraId="15E048A5" w14:textId="66DF67CD" w:rsidR="00257076" w:rsidRPr="00E12B2D" w:rsidRDefault="00E12B2D" w:rsidP="003E7572">
            <w:pPr>
              <w:pStyle w:val="Textoindependiente"/>
              <w:ind w:firstLine="0"/>
              <w:jc w:val="center"/>
              <w:rPr>
                <w:sz w:val="18"/>
                <w:szCs w:val="18"/>
              </w:rPr>
            </w:pPr>
            <w:r w:rsidRPr="00E12B2D">
              <w:rPr>
                <w:i/>
                <w:sz w:val="18"/>
                <w:szCs w:val="18"/>
              </w:rPr>
              <w:t xml:space="preserve">FIG. </w:t>
            </w:r>
            <w:r w:rsidRPr="00E12B2D">
              <w:rPr>
                <w:i/>
                <w:sz w:val="18"/>
                <w:szCs w:val="18"/>
              </w:rPr>
              <w:fldChar w:fldCharType="begin"/>
            </w:r>
            <w:r w:rsidRPr="00E12B2D">
              <w:rPr>
                <w:i/>
                <w:sz w:val="18"/>
                <w:szCs w:val="18"/>
              </w:rPr>
              <w:instrText xml:space="preserve"> SEQ Figure \* ARABIC </w:instrText>
            </w:r>
            <w:r w:rsidRPr="00E12B2D">
              <w:rPr>
                <w:i/>
                <w:sz w:val="18"/>
                <w:szCs w:val="18"/>
              </w:rPr>
              <w:fldChar w:fldCharType="separate"/>
            </w:r>
            <w:r w:rsidR="004972E6">
              <w:rPr>
                <w:i/>
                <w:noProof/>
                <w:sz w:val="18"/>
                <w:szCs w:val="18"/>
              </w:rPr>
              <w:t>3</w:t>
            </w:r>
            <w:r w:rsidRPr="00E12B2D">
              <w:rPr>
                <w:i/>
                <w:sz w:val="18"/>
                <w:szCs w:val="18"/>
              </w:rPr>
              <w:fldChar w:fldCharType="end"/>
            </w:r>
            <w:r w:rsidRPr="00E12B2D">
              <w:rPr>
                <w:i/>
                <w:sz w:val="18"/>
                <w:szCs w:val="18"/>
              </w:rPr>
              <w:t xml:space="preserve">. </w:t>
            </w:r>
            <w:r>
              <w:rPr>
                <w:i/>
                <w:sz w:val="18"/>
                <w:szCs w:val="18"/>
              </w:rPr>
              <w:t>Device constructed for alignment of the channels of the container with the channels of the pits</w:t>
            </w:r>
          </w:p>
        </w:tc>
      </w:tr>
    </w:tbl>
    <w:p w14:paraId="44138839" w14:textId="77777777" w:rsidR="00742369" w:rsidRDefault="00742369" w:rsidP="008D6205">
      <w:pPr>
        <w:pStyle w:val="Textoindependiente"/>
      </w:pPr>
    </w:p>
    <w:p w14:paraId="3C5DC32E" w14:textId="688DE1BA" w:rsidR="00742369" w:rsidRDefault="00E346F7" w:rsidP="008D6205">
      <w:pPr>
        <w:pStyle w:val="Textoindependiente"/>
      </w:pPr>
      <w:r>
        <w:t xml:space="preserve">Cold runs were carried out </w:t>
      </w:r>
      <w:r w:rsidR="00E8771B">
        <w:t>in the reserve pit, using the container</w:t>
      </w:r>
      <w:r w:rsidR="00C907E4">
        <w:t>, auxiliary devices, tools</w:t>
      </w:r>
      <w:r w:rsidR="00E8771B">
        <w:t xml:space="preserve"> and dummy sources. The objective was to verify the correct functioning of the container, tools and devices, as well as to measure the time for each operation in order to estimate the operator doses. </w:t>
      </w:r>
    </w:p>
    <w:p w14:paraId="4BAEE2DD" w14:textId="26198F36" w:rsidR="00DF348B" w:rsidRDefault="00E8771B" w:rsidP="008D6205">
      <w:pPr>
        <w:pStyle w:val="Textoindependiente"/>
      </w:pPr>
      <w:r>
        <w:t>Operational and safety procedures were developed including the description of the container functioning, the</w:t>
      </w:r>
      <w:r w:rsidR="00DF348B">
        <w:t xml:space="preserve"> </w:t>
      </w:r>
      <w:r>
        <w:t>cold runs, the real operations for transferring the sources from the irradiator to the reserve pit, the radiological controls during and at the end of the operations</w:t>
      </w:r>
      <w:r w:rsidR="00DF348B">
        <w:t xml:space="preserve"> and </w:t>
      </w:r>
      <w:r w:rsidR="00C907E4">
        <w:t xml:space="preserve">for </w:t>
      </w:r>
      <w:r w:rsidR="00DF348B">
        <w:t xml:space="preserve">the record of the information. </w:t>
      </w:r>
    </w:p>
    <w:p w14:paraId="069FF421" w14:textId="77777777" w:rsidR="00C907E4" w:rsidRDefault="00C907E4">
      <w:pPr>
        <w:overflowPunct/>
        <w:autoSpaceDE/>
        <w:autoSpaceDN/>
        <w:adjustRightInd/>
        <w:textAlignment w:val="auto"/>
        <w:rPr>
          <w:b/>
          <w:sz w:val="20"/>
        </w:rPr>
      </w:pPr>
      <w:r>
        <w:br w:type="page"/>
      </w:r>
    </w:p>
    <w:p w14:paraId="459FF41C" w14:textId="3D97E103" w:rsidR="004D3E21" w:rsidRPr="00EE0041" w:rsidRDefault="004D3E21" w:rsidP="004D3E21">
      <w:pPr>
        <w:pStyle w:val="Ttulo3"/>
      </w:pPr>
      <w:r>
        <w:lastRenderedPageBreak/>
        <w:t>Authorization</w:t>
      </w:r>
      <w:r w:rsidR="003D51A9">
        <w:t xml:space="preserve"> from the Regulatory Body</w:t>
      </w:r>
      <w:r>
        <w:t xml:space="preserve"> </w:t>
      </w:r>
    </w:p>
    <w:p w14:paraId="6F212CCE" w14:textId="11AF3805" w:rsidR="00D476A5" w:rsidRDefault="00D476A5" w:rsidP="000A2990">
      <w:pPr>
        <w:pStyle w:val="Textoindependiente"/>
      </w:pPr>
      <w:r w:rsidRPr="00D476A5">
        <w:t xml:space="preserve">The operational and safety procedures, the radiation protection program, the safety analysis, as well as the emergency plan were prepared and presented to the Regulatory Body to </w:t>
      </w:r>
      <w:r w:rsidR="00733C8D" w:rsidRPr="004D3E21">
        <w:t>support the license application</w:t>
      </w:r>
      <w:r w:rsidRPr="00D476A5">
        <w:t>.</w:t>
      </w:r>
    </w:p>
    <w:p w14:paraId="2858D1D6" w14:textId="6855E090" w:rsidR="00EB7C22" w:rsidRDefault="00706F84" w:rsidP="000A2990">
      <w:pPr>
        <w:pStyle w:val="Textoindependiente"/>
      </w:pPr>
      <w:r w:rsidRPr="00706F84">
        <w:t xml:space="preserve">The risk matrix methodology </w:t>
      </w:r>
      <w:r>
        <w:t xml:space="preserve">was used for the </w:t>
      </w:r>
      <w:r w:rsidR="00EB7C22">
        <w:t xml:space="preserve">safety analysis </w:t>
      </w:r>
      <w:r w:rsidR="00573300">
        <w:t>[1</w:t>
      </w:r>
      <w:r w:rsidR="00C907E4">
        <w:t>, 2</w:t>
      </w:r>
      <w:r w:rsidR="00573300">
        <w:t>]</w:t>
      </w:r>
      <w:r w:rsidRPr="00706F84">
        <w:t xml:space="preserve">. </w:t>
      </w:r>
      <w:r w:rsidR="00EB7C22">
        <w:t xml:space="preserve">The </w:t>
      </w:r>
      <w:r w:rsidR="00EB7C22" w:rsidRPr="00706F84">
        <w:t>possible initiating events of accidental sequences</w:t>
      </w:r>
      <w:r w:rsidR="00EB7C22">
        <w:t xml:space="preserve"> and their </w:t>
      </w:r>
      <w:r w:rsidR="00EB7C22" w:rsidRPr="00706F84">
        <w:t xml:space="preserve">radiological consequences </w:t>
      </w:r>
      <w:r w:rsidR="00EB7C22">
        <w:t xml:space="preserve">were identified, as well as the </w:t>
      </w:r>
      <w:r w:rsidR="00EB7C22" w:rsidRPr="00706F84">
        <w:t>safety barriers to prevent accidents or to mitigate their consequences</w:t>
      </w:r>
      <w:r w:rsidR="00EB7C22">
        <w:t xml:space="preserve">. The </w:t>
      </w:r>
      <w:r w:rsidR="00EB7C22" w:rsidRPr="00706F84">
        <w:t>estimation of expected doses during normal operations and in radiological emergency situations</w:t>
      </w:r>
      <w:r w:rsidR="00EB7C22">
        <w:t xml:space="preserve"> was also included in the safety analysis</w:t>
      </w:r>
      <w:r w:rsidR="00C907E4">
        <w:t xml:space="preserve"> [3]</w:t>
      </w:r>
      <w:r w:rsidR="00EB7C22">
        <w:t xml:space="preserve">. </w:t>
      </w:r>
    </w:p>
    <w:p w14:paraId="6B60AAB0" w14:textId="3C2FB8F0" w:rsidR="00B92E01" w:rsidRDefault="004316BD" w:rsidP="000A2990">
      <w:pPr>
        <w:pStyle w:val="Textoindependiente"/>
      </w:pPr>
      <w:r>
        <w:t xml:space="preserve">These documents were evaluated by the Regulatory Body and the license was granted. </w:t>
      </w:r>
    </w:p>
    <w:p w14:paraId="768108A9" w14:textId="7DA99406" w:rsidR="00B92E01" w:rsidRPr="004316BD" w:rsidRDefault="004316BD" w:rsidP="004316BD">
      <w:pPr>
        <w:pStyle w:val="Ttulo3"/>
      </w:pPr>
      <w:r w:rsidRPr="004316BD">
        <w:t>Brief description of operations</w:t>
      </w:r>
    </w:p>
    <w:p w14:paraId="4F363CCC" w14:textId="7435E2AD" w:rsidR="00B92E01" w:rsidRDefault="004E6AFC" w:rsidP="000A2990">
      <w:pPr>
        <w:pStyle w:val="Textoindependiente"/>
      </w:pPr>
      <w:r w:rsidRPr="004E6AFC">
        <w:rPr>
          <w:lang w:val="en-US"/>
        </w:rPr>
        <w:t xml:space="preserve">The DSRS were transferred </w:t>
      </w:r>
      <w:r>
        <w:rPr>
          <w:lang w:val="en-US"/>
        </w:rPr>
        <w:t xml:space="preserve">from the irradiator </w:t>
      </w:r>
      <w:r w:rsidRPr="004E6AFC">
        <w:rPr>
          <w:lang w:val="en-US"/>
        </w:rPr>
        <w:t xml:space="preserve">to the reserve pit in 2015, with the assistance of an IAEA expert. </w:t>
      </w:r>
      <w:r w:rsidR="00EA28FB">
        <w:rPr>
          <w:lang w:val="en-US"/>
        </w:rPr>
        <w:t xml:space="preserve">The initial distribution of the radioactive sources in the irradiator’s channels is presented in the figure 4. </w:t>
      </w:r>
      <w:r w:rsidR="00421217" w:rsidRPr="00421217">
        <w:rPr>
          <w:lang w:val="en-US"/>
        </w:rPr>
        <w:t xml:space="preserve">Transfer operations were planned in </w:t>
      </w:r>
      <w:r w:rsidR="00EA28FB" w:rsidRPr="00421217">
        <w:rPr>
          <w:lang w:val="en-US"/>
        </w:rPr>
        <w:t>stages</w:t>
      </w:r>
      <w:r w:rsidR="00EA28FB">
        <w:rPr>
          <w:lang w:val="en-US"/>
        </w:rPr>
        <w:t xml:space="preserve"> (7 cycles). All the</w:t>
      </w:r>
      <w:r w:rsidR="00421217" w:rsidRPr="00421217">
        <w:rPr>
          <w:lang w:val="en-US"/>
        </w:rPr>
        <w:t xml:space="preserve"> sources contained in a selected channel of the irradiator were </w:t>
      </w:r>
      <w:r w:rsidR="00EA28FB" w:rsidRPr="00EA28FB">
        <w:rPr>
          <w:lang w:val="en-US"/>
        </w:rPr>
        <w:t>loaded into the container</w:t>
      </w:r>
      <w:r w:rsidR="00EA28FB" w:rsidRPr="00421217">
        <w:rPr>
          <w:lang w:val="en-US"/>
        </w:rPr>
        <w:t xml:space="preserve"> </w:t>
      </w:r>
      <w:r w:rsidR="00EA28FB">
        <w:rPr>
          <w:lang w:val="en-US"/>
        </w:rPr>
        <w:t xml:space="preserve">and </w:t>
      </w:r>
      <w:r w:rsidR="00421217" w:rsidRPr="00421217">
        <w:rPr>
          <w:lang w:val="en-US"/>
        </w:rPr>
        <w:t>transferred to a predefined channel of the reserve pit</w:t>
      </w:r>
      <w:r w:rsidR="003E7572">
        <w:rPr>
          <w:lang w:val="en-US"/>
        </w:rPr>
        <w:t xml:space="preserve">. The dummies were </w:t>
      </w:r>
      <w:r w:rsidR="00776AD1">
        <w:rPr>
          <w:lang w:val="en-US"/>
        </w:rPr>
        <w:t xml:space="preserve">removed from the irradiator, but they were </w:t>
      </w:r>
      <w:r w:rsidR="00C6683C">
        <w:rPr>
          <w:lang w:val="en-US"/>
        </w:rPr>
        <w:t>not transferred to the reserve pit</w:t>
      </w:r>
      <w:r w:rsidR="003E7572">
        <w:rPr>
          <w:lang w:val="en-US"/>
        </w:rPr>
        <w:t xml:space="preserve">. </w:t>
      </w:r>
      <w:r w:rsidR="003C1342">
        <w:rPr>
          <w:lang w:val="en-US"/>
        </w:rPr>
        <w:t xml:space="preserve">The final distribution of DSRS was adequately recorded (figure 5). </w:t>
      </w:r>
    </w:p>
    <w:p w14:paraId="30641033" w14:textId="77777777" w:rsidR="00421217" w:rsidRDefault="00421217" w:rsidP="000A2990">
      <w:pPr>
        <w:pStyle w:val="Textoindependiente"/>
      </w:pPr>
    </w:p>
    <w:tbl>
      <w:tblPr>
        <w:tblStyle w:val="Tablaconcuadrcula"/>
        <w:tblW w:w="0" w:type="auto"/>
        <w:jc w:val="center"/>
        <w:tblInd w:w="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6"/>
        <w:gridCol w:w="4457"/>
      </w:tblGrid>
      <w:tr w:rsidR="00C6683C" w14:paraId="1126FF56" w14:textId="2C2EACCA" w:rsidTr="00C6683C">
        <w:trPr>
          <w:jc w:val="center"/>
        </w:trPr>
        <w:tc>
          <w:tcPr>
            <w:tcW w:w="4456" w:type="dxa"/>
          </w:tcPr>
          <w:p w14:paraId="4A8FFE99" w14:textId="00B9385C" w:rsidR="00C6683C" w:rsidRDefault="00C6683C" w:rsidP="00B05C1D">
            <w:pPr>
              <w:pStyle w:val="Textoindependiente"/>
              <w:ind w:firstLine="0"/>
              <w:jc w:val="center"/>
            </w:pPr>
            <w:r w:rsidRPr="00B07034">
              <w:rPr>
                <w:noProof/>
                <w:sz w:val="22"/>
                <w:szCs w:val="22"/>
                <w:lang w:val="es-ES" w:eastAsia="es-ES"/>
              </w:rPr>
              <w:drawing>
                <wp:inline distT="0" distB="0" distL="0" distR="0" wp14:anchorId="5CB3C1A4" wp14:editId="5138227F">
                  <wp:extent cx="2276617" cy="1712794"/>
                  <wp:effectExtent l="0" t="57150" r="9525" b="78105"/>
                  <wp:docPr id="30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rotWithShape="1">
                          <a:blip r:embed="rId16" cstate="print"/>
                          <a:srcRect b="8468"/>
                          <a:stretch/>
                        </pic:blipFill>
                        <pic:spPr bwMode="auto">
                          <a:xfrm>
                            <a:off x="0" y="0"/>
                            <a:ext cx="2289750" cy="1722675"/>
                          </a:xfrm>
                          <a:prstGeom prst="rect">
                            <a:avLst/>
                          </a:prstGeom>
                          <a:solidFill>
                            <a:schemeClr val="bg1"/>
                          </a:solidFill>
                          <a:ln>
                            <a:noFill/>
                          </a:ln>
                          <a:effectLst/>
                          <a:scene3d>
                            <a:camera prst="perspectiveLeft"/>
                            <a:lightRig rig="threePt" dir="t"/>
                          </a:scene3d>
                          <a:extLst>
                            <a:ext uri="{53640926-AAD7-44D8-BBD7-CCE9431645EC}">
                              <a14:shadowObscured xmlns:a14="http://schemas.microsoft.com/office/drawing/2010/main"/>
                            </a:ext>
                          </a:extLst>
                        </pic:spPr>
                      </pic:pic>
                    </a:graphicData>
                  </a:graphic>
                </wp:inline>
              </w:drawing>
            </w:r>
          </w:p>
        </w:tc>
        <w:tc>
          <w:tcPr>
            <w:tcW w:w="4457" w:type="dxa"/>
          </w:tcPr>
          <w:p w14:paraId="15A794DB" w14:textId="41D9C0AA" w:rsidR="00C6683C" w:rsidRPr="00B07034" w:rsidRDefault="00754603" w:rsidP="00B05C1D">
            <w:pPr>
              <w:pStyle w:val="Textoindependiente"/>
              <w:ind w:firstLine="0"/>
              <w:jc w:val="center"/>
              <w:rPr>
                <w:noProof/>
                <w:sz w:val="22"/>
                <w:szCs w:val="22"/>
              </w:rPr>
            </w:pPr>
            <w:r w:rsidRPr="00B168D3">
              <w:rPr>
                <w:noProof/>
                <w:color w:val="000000"/>
                <w:position w:val="-6"/>
                <w:sz w:val="22"/>
                <w:szCs w:val="22"/>
                <w:lang w:val="es-ES" w:eastAsia="es-ES"/>
              </w:rPr>
              <w:drawing>
                <wp:inline distT="0" distB="0" distL="0" distR="0" wp14:anchorId="59C10788" wp14:editId="02506B34">
                  <wp:extent cx="2258562" cy="1862919"/>
                  <wp:effectExtent l="0" t="0" r="8890" b="444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61744" cy="1865544"/>
                          </a:xfrm>
                          <a:prstGeom prst="rect">
                            <a:avLst/>
                          </a:prstGeom>
                          <a:noFill/>
                        </pic:spPr>
                      </pic:pic>
                    </a:graphicData>
                  </a:graphic>
                </wp:inline>
              </w:drawing>
            </w:r>
          </w:p>
        </w:tc>
      </w:tr>
      <w:tr w:rsidR="00C6683C" w14:paraId="46450F3A" w14:textId="5906565F" w:rsidTr="00C6683C">
        <w:trPr>
          <w:jc w:val="center"/>
        </w:trPr>
        <w:tc>
          <w:tcPr>
            <w:tcW w:w="4456" w:type="dxa"/>
          </w:tcPr>
          <w:p w14:paraId="201E5239" w14:textId="45FC1EC9" w:rsidR="00C6683C" w:rsidRPr="00E12B2D" w:rsidRDefault="00C6683C" w:rsidP="00776AD1">
            <w:pPr>
              <w:pStyle w:val="Textoindependiente"/>
              <w:ind w:firstLine="0"/>
              <w:jc w:val="center"/>
              <w:rPr>
                <w:sz w:val="18"/>
                <w:szCs w:val="18"/>
              </w:rPr>
            </w:pPr>
            <w:r w:rsidRPr="00E12B2D">
              <w:rPr>
                <w:i/>
                <w:sz w:val="18"/>
                <w:szCs w:val="18"/>
              </w:rPr>
              <w:t xml:space="preserve">FIG. </w:t>
            </w:r>
            <w:r w:rsidRPr="00E12B2D">
              <w:rPr>
                <w:i/>
                <w:sz w:val="18"/>
                <w:szCs w:val="18"/>
              </w:rPr>
              <w:fldChar w:fldCharType="begin"/>
            </w:r>
            <w:r w:rsidRPr="00E12B2D">
              <w:rPr>
                <w:i/>
                <w:sz w:val="18"/>
                <w:szCs w:val="18"/>
              </w:rPr>
              <w:instrText xml:space="preserve"> SEQ Figure \* ARABIC </w:instrText>
            </w:r>
            <w:r w:rsidRPr="00E12B2D">
              <w:rPr>
                <w:i/>
                <w:sz w:val="18"/>
                <w:szCs w:val="18"/>
              </w:rPr>
              <w:fldChar w:fldCharType="separate"/>
            </w:r>
            <w:r>
              <w:rPr>
                <w:i/>
                <w:noProof/>
                <w:sz w:val="18"/>
                <w:szCs w:val="18"/>
              </w:rPr>
              <w:t>4</w:t>
            </w:r>
            <w:r w:rsidRPr="00E12B2D">
              <w:rPr>
                <w:i/>
                <w:sz w:val="18"/>
                <w:szCs w:val="18"/>
              </w:rPr>
              <w:fldChar w:fldCharType="end"/>
            </w:r>
            <w:r w:rsidRPr="00E12B2D">
              <w:rPr>
                <w:i/>
                <w:sz w:val="18"/>
                <w:szCs w:val="18"/>
              </w:rPr>
              <w:t xml:space="preserve">. </w:t>
            </w:r>
            <w:r>
              <w:rPr>
                <w:i/>
                <w:sz w:val="18"/>
                <w:szCs w:val="18"/>
              </w:rPr>
              <w:t>Initial distribution of sources (red) and dummie</w:t>
            </w:r>
            <w:r w:rsidR="00776AD1">
              <w:rPr>
                <w:i/>
                <w:sz w:val="18"/>
                <w:szCs w:val="18"/>
              </w:rPr>
              <w:t>s</w:t>
            </w:r>
            <w:r>
              <w:rPr>
                <w:i/>
                <w:sz w:val="18"/>
                <w:szCs w:val="18"/>
              </w:rPr>
              <w:t xml:space="preserve"> (grey) in the  </w:t>
            </w:r>
            <w:r w:rsidRPr="003E7572">
              <w:rPr>
                <w:i/>
                <w:sz w:val="18"/>
                <w:szCs w:val="18"/>
              </w:rPr>
              <w:t>irradiator’s channels</w:t>
            </w:r>
          </w:p>
        </w:tc>
        <w:tc>
          <w:tcPr>
            <w:tcW w:w="4457" w:type="dxa"/>
          </w:tcPr>
          <w:p w14:paraId="632C58EB" w14:textId="5150D3B3" w:rsidR="00C6683C" w:rsidRPr="00E12B2D" w:rsidRDefault="00C6683C" w:rsidP="00C6683C">
            <w:pPr>
              <w:pStyle w:val="Textoindependiente"/>
              <w:ind w:firstLine="0"/>
              <w:jc w:val="center"/>
              <w:rPr>
                <w:i/>
                <w:sz w:val="18"/>
                <w:szCs w:val="18"/>
              </w:rPr>
            </w:pPr>
            <w:r w:rsidRPr="00E12B2D">
              <w:rPr>
                <w:i/>
                <w:sz w:val="18"/>
                <w:szCs w:val="18"/>
              </w:rPr>
              <w:t xml:space="preserve">FIG. </w:t>
            </w:r>
            <w:r w:rsidRPr="00E12B2D">
              <w:rPr>
                <w:i/>
                <w:sz w:val="18"/>
                <w:szCs w:val="18"/>
              </w:rPr>
              <w:fldChar w:fldCharType="begin"/>
            </w:r>
            <w:r w:rsidRPr="00E12B2D">
              <w:rPr>
                <w:i/>
                <w:sz w:val="18"/>
                <w:szCs w:val="18"/>
              </w:rPr>
              <w:instrText xml:space="preserve"> SEQ Figure \* ARABIC </w:instrText>
            </w:r>
            <w:r w:rsidRPr="00E12B2D">
              <w:rPr>
                <w:i/>
                <w:sz w:val="18"/>
                <w:szCs w:val="18"/>
              </w:rPr>
              <w:fldChar w:fldCharType="separate"/>
            </w:r>
            <w:r>
              <w:rPr>
                <w:i/>
                <w:noProof/>
                <w:sz w:val="18"/>
                <w:szCs w:val="18"/>
              </w:rPr>
              <w:t>5</w:t>
            </w:r>
            <w:r w:rsidRPr="00E12B2D">
              <w:rPr>
                <w:i/>
                <w:sz w:val="18"/>
                <w:szCs w:val="18"/>
              </w:rPr>
              <w:fldChar w:fldCharType="end"/>
            </w:r>
            <w:r w:rsidRPr="00E12B2D">
              <w:rPr>
                <w:i/>
                <w:sz w:val="18"/>
                <w:szCs w:val="18"/>
              </w:rPr>
              <w:t xml:space="preserve">. </w:t>
            </w:r>
            <w:r>
              <w:rPr>
                <w:i/>
                <w:sz w:val="18"/>
                <w:szCs w:val="18"/>
              </w:rPr>
              <w:t xml:space="preserve">Distribution of DSRS in the </w:t>
            </w:r>
            <w:r w:rsidRPr="003E7572">
              <w:rPr>
                <w:i/>
                <w:sz w:val="18"/>
                <w:szCs w:val="18"/>
              </w:rPr>
              <w:t>channels</w:t>
            </w:r>
            <w:r>
              <w:rPr>
                <w:i/>
                <w:sz w:val="18"/>
                <w:szCs w:val="18"/>
              </w:rPr>
              <w:t xml:space="preserve"> of the reserve pit</w:t>
            </w:r>
          </w:p>
        </w:tc>
      </w:tr>
    </w:tbl>
    <w:p w14:paraId="09CE4DEC" w14:textId="77777777" w:rsidR="00421217" w:rsidRPr="00421217" w:rsidRDefault="00421217" w:rsidP="000A2990">
      <w:pPr>
        <w:pStyle w:val="Textoindependiente"/>
      </w:pPr>
    </w:p>
    <w:p w14:paraId="7B945C34" w14:textId="558323A9" w:rsidR="00421217" w:rsidRDefault="001F22CF" w:rsidP="000A2990">
      <w:pPr>
        <w:pStyle w:val="Textoindependiente"/>
        <w:rPr>
          <w:lang w:val="en-US"/>
        </w:rPr>
      </w:pPr>
      <w:r>
        <w:rPr>
          <w:lang w:val="en-US"/>
        </w:rPr>
        <w:t xml:space="preserve">The crane available in the facility was used to move the </w:t>
      </w:r>
      <w:r w:rsidR="007039AD">
        <w:rPr>
          <w:lang w:val="en-US"/>
        </w:rPr>
        <w:t xml:space="preserve">transfer </w:t>
      </w:r>
      <w:r>
        <w:rPr>
          <w:lang w:val="en-US"/>
        </w:rPr>
        <w:t xml:space="preserve">container. </w:t>
      </w:r>
      <w:r w:rsidR="004E6AFC">
        <w:rPr>
          <w:lang w:val="en-US"/>
        </w:rPr>
        <w:t>The d</w:t>
      </w:r>
      <w:r w:rsidR="004E6AFC" w:rsidRPr="004E6AFC">
        <w:rPr>
          <w:lang w:val="en-US"/>
        </w:rPr>
        <w:t xml:space="preserve">evice </w:t>
      </w:r>
      <w:r w:rsidR="004E6AFC">
        <w:rPr>
          <w:lang w:val="en-US"/>
        </w:rPr>
        <w:t xml:space="preserve">showed in figure 3 was used </w:t>
      </w:r>
      <w:r w:rsidR="004E6AFC" w:rsidRPr="004E6AFC">
        <w:rPr>
          <w:lang w:val="en-US"/>
        </w:rPr>
        <w:t xml:space="preserve">for </w:t>
      </w:r>
      <w:r w:rsidR="004E6AFC">
        <w:rPr>
          <w:lang w:val="en-US"/>
        </w:rPr>
        <w:t xml:space="preserve">the </w:t>
      </w:r>
      <w:r w:rsidR="004E6AFC" w:rsidRPr="004E6AFC">
        <w:rPr>
          <w:lang w:val="en-US"/>
        </w:rPr>
        <w:t>alignment of the channels of the container with the channels of the pits</w:t>
      </w:r>
      <w:r w:rsidR="004E6AFC">
        <w:rPr>
          <w:lang w:val="en-US"/>
        </w:rPr>
        <w:t xml:space="preserve">. </w:t>
      </w:r>
      <w:r>
        <w:rPr>
          <w:lang w:val="en-US"/>
        </w:rPr>
        <w:t>The figure 6 shows some pictures taken during the operations.</w:t>
      </w:r>
    </w:p>
    <w:p w14:paraId="340EED76" w14:textId="294B1E65" w:rsidR="00421217" w:rsidRPr="004E6AFC" w:rsidRDefault="00421217" w:rsidP="004E6AFC">
      <w:pPr>
        <w:pStyle w:val="Textoindependiente"/>
        <w:rPr>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056"/>
        <w:gridCol w:w="3056"/>
      </w:tblGrid>
      <w:tr w:rsidR="004E6AFC" w:rsidRPr="004E6AFC" w14:paraId="22467527" w14:textId="77777777" w:rsidTr="004E6AFC">
        <w:tc>
          <w:tcPr>
            <w:tcW w:w="3055" w:type="dxa"/>
          </w:tcPr>
          <w:p w14:paraId="0A27FFB5" w14:textId="3DF25DB7" w:rsidR="004E6AFC" w:rsidRPr="004E6AFC" w:rsidRDefault="004E6AFC" w:rsidP="004E6AFC">
            <w:pPr>
              <w:pStyle w:val="Textoindependiente"/>
              <w:ind w:firstLine="0"/>
              <w:rPr>
                <w:sz w:val="16"/>
                <w:szCs w:val="16"/>
                <w:lang w:val="en-US"/>
              </w:rPr>
            </w:pPr>
            <w:r w:rsidRPr="004E6AFC">
              <w:rPr>
                <w:noProof/>
                <w:color w:val="000000"/>
                <w:position w:val="-6"/>
                <w:sz w:val="16"/>
                <w:szCs w:val="16"/>
                <w:lang w:val="es-ES" w:eastAsia="es-ES"/>
              </w:rPr>
              <w:drawing>
                <wp:anchor distT="0" distB="0" distL="114300" distR="114300" simplePos="0" relativeHeight="251665408" behindDoc="0" locked="0" layoutInCell="1" allowOverlap="1" wp14:anchorId="221E7EA6" wp14:editId="24B88ECA">
                  <wp:simplePos x="1187355" y="3828197"/>
                  <wp:positionH relativeFrom="margin">
                    <wp:align>center</wp:align>
                  </wp:positionH>
                  <wp:positionV relativeFrom="margin">
                    <wp:align>center</wp:align>
                  </wp:positionV>
                  <wp:extent cx="1129665" cy="1724660"/>
                  <wp:effectExtent l="0" t="0" r="0" b="8890"/>
                  <wp:wrapSquare wrapText="bothSides"/>
                  <wp:docPr id="10" name="Imagen 3" descr="C:\Users\Niurka\AppData\Local\Microsoft\Windows\Temporary Internet Files\Content.Word\IMG_20151023_171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3" descr="C:\Users\Niurka\AppData\Local\Microsoft\Windows\Temporary Internet Files\Content.Word\IMG_20151023_171800.jp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9665" cy="1724660"/>
                          </a:xfrm>
                          <a:prstGeom prst="rect">
                            <a:avLst/>
                          </a:prstGeom>
                          <a:noFill/>
                          <a:ln>
                            <a:noFill/>
                          </a:ln>
                        </pic:spPr>
                      </pic:pic>
                    </a:graphicData>
                  </a:graphic>
                </wp:anchor>
              </w:drawing>
            </w:r>
          </w:p>
        </w:tc>
        <w:tc>
          <w:tcPr>
            <w:tcW w:w="3056" w:type="dxa"/>
          </w:tcPr>
          <w:p w14:paraId="3B8988F7" w14:textId="33A55BC5" w:rsidR="004E6AFC" w:rsidRPr="004E6AFC" w:rsidRDefault="004E6AFC" w:rsidP="004E6AFC">
            <w:pPr>
              <w:pStyle w:val="Textoindependiente"/>
              <w:ind w:firstLine="0"/>
              <w:rPr>
                <w:sz w:val="16"/>
                <w:szCs w:val="16"/>
                <w:lang w:val="en-US"/>
              </w:rPr>
            </w:pPr>
            <w:r w:rsidRPr="004E6AFC">
              <w:rPr>
                <w:noProof/>
                <w:color w:val="000000"/>
                <w:position w:val="-6"/>
                <w:sz w:val="16"/>
                <w:szCs w:val="16"/>
                <w:lang w:val="es-ES" w:eastAsia="es-ES"/>
              </w:rPr>
              <w:drawing>
                <wp:anchor distT="0" distB="0" distL="114300" distR="114300" simplePos="0" relativeHeight="251655168" behindDoc="0" locked="0" layoutInCell="1" allowOverlap="1" wp14:anchorId="4AC857B9" wp14:editId="7843A337">
                  <wp:simplePos x="3063922" y="3848669"/>
                  <wp:positionH relativeFrom="margin">
                    <wp:align>center</wp:align>
                  </wp:positionH>
                  <wp:positionV relativeFrom="margin">
                    <wp:align>center</wp:align>
                  </wp:positionV>
                  <wp:extent cx="1285240" cy="1707515"/>
                  <wp:effectExtent l="0" t="0" r="0" b="6985"/>
                  <wp:wrapSquare wrapText="bothSides"/>
                  <wp:docPr id="4" name="Imagen 2" descr="E:\01-FotosTrabajo\Irradiador PIA\_Source removal operations\08-removal sources from irradiator\IMG_20151024_115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E:\01-FotosTrabajo\Irradiador PIA\_Source removal operations\08-removal sources from irradiator\IMG_20151024_115856.jp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85240" cy="1707515"/>
                          </a:xfrm>
                          <a:prstGeom prst="rect">
                            <a:avLst/>
                          </a:prstGeom>
                          <a:noFill/>
                          <a:ln>
                            <a:noFill/>
                          </a:ln>
                        </pic:spPr>
                      </pic:pic>
                    </a:graphicData>
                  </a:graphic>
                </wp:anchor>
              </w:drawing>
            </w:r>
          </w:p>
        </w:tc>
        <w:tc>
          <w:tcPr>
            <w:tcW w:w="3056" w:type="dxa"/>
          </w:tcPr>
          <w:p w14:paraId="26583DC5" w14:textId="7EE760A3" w:rsidR="004E6AFC" w:rsidRPr="004E6AFC" w:rsidRDefault="004E6AFC" w:rsidP="004E6AFC">
            <w:pPr>
              <w:pStyle w:val="Textoindependiente"/>
              <w:ind w:firstLine="0"/>
              <w:rPr>
                <w:sz w:val="16"/>
                <w:szCs w:val="16"/>
                <w:lang w:val="en-US"/>
              </w:rPr>
            </w:pPr>
            <w:r w:rsidRPr="004E6AFC">
              <w:rPr>
                <w:noProof/>
                <w:color w:val="000000"/>
                <w:position w:val="-6"/>
                <w:sz w:val="16"/>
                <w:szCs w:val="16"/>
                <w:lang w:val="es-ES" w:eastAsia="es-ES"/>
              </w:rPr>
              <w:drawing>
                <wp:anchor distT="0" distB="0" distL="114300" distR="114300" simplePos="0" relativeHeight="251656192" behindDoc="0" locked="0" layoutInCell="1" allowOverlap="1" wp14:anchorId="1A6429DE" wp14:editId="55D96A2B">
                  <wp:simplePos x="5015552" y="3821373"/>
                  <wp:positionH relativeFrom="margin">
                    <wp:align>center</wp:align>
                  </wp:positionH>
                  <wp:positionV relativeFrom="margin">
                    <wp:align>top</wp:align>
                  </wp:positionV>
                  <wp:extent cx="1302385" cy="1733550"/>
                  <wp:effectExtent l="0" t="0" r="0" b="0"/>
                  <wp:wrapSquare wrapText="bothSides"/>
                  <wp:docPr id="5" name="Imagen 6" descr="E:\01-FotosTrabajo\Irradiador PIA\_Source removal operations\11-discharging source to reserve pit\P1120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6" descr="E:\01-FotosTrabajo\Irradiador PIA\_Source removal operations\11-discharging source to reserve pit\P1120370.JP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02385" cy="1733550"/>
                          </a:xfrm>
                          <a:prstGeom prst="rect">
                            <a:avLst/>
                          </a:prstGeom>
                          <a:noFill/>
                          <a:ln>
                            <a:noFill/>
                          </a:ln>
                        </pic:spPr>
                      </pic:pic>
                    </a:graphicData>
                  </a:graphic>
                </wp:anchor>
              </w:drawing>
            </w:r>
          </w:p>
        </w:tc>
      </w:tr>
      <w:tr w:rsidR="004E6AFC" w14:paraId="56534DD9" w14:textId="77777777" w:rsidTr="00B05C1D">
        <w:tc>
          <w:tcPr>
            <w:tcW w:w="9167" w:type="dxa"/>
            <w:gridSpan w:val="3"/>
          </w:tcPr>
          <w:p w14:paraId="1A3AA186" w14:textId="22FBE044" w:rsidR="004E6AFC" w:rsidRPr="004E6AFC" w:rsidRDefault="004E6AFC" w:rsidP="004E6AFC">
            <w:pPr>
              <w:pStyle w:val="Textoindependiente"/>
              <w:ind w:firstLine="0"/>
              <w:jc w:val="center"/>
              <w:rPr>
                <w:i/>
                <w:sz w:val="18"/>
                <w:szCs w:val="18"/>
              </w:rPr>
            </w:pPr>
            <w:r w:rsidRPr="004E6AFC">
              <w:rPr>
                <w:i/>
                <w:sz w:val="18"/>
                <w:szCs w:val="18"/>
              </w:rPr>
              <w:t xml:space="preserve">FIG. </w:t>
            </w:r>
            <w:r w:rsidRPr="00E12B2D">
              <w:rPr>
                <w:i/>
                <w:sz w:val="18"/>
                <w:szCs w:val="18"/>
              </w:rPr>
              <w:fldChar w:fldCharType="begin"/>
            </w:r>
            <w:r w:rsidRPr="00E12B2D">
              <w:rPr>
                <w:i/>
                <w:sz w:val="18"/>
                <w:szCs w:val="18"/>
              </w:rPr>
              <w:instrText xml:space="preserve"> SEQ Figure \* ARABIC </w:instrText>
            </w:r>
            <w:r w:rsidRPr="00E12B2D">
              <w:rPr>
                <w:i/>
                <w:sz w:val="18"/>
                <w:szCs w:val="18"/>
              </w:rPr>
              <w:fldChar w:fldCharType="separate"/>
            </w:r>
            <w:r>
              <w:rPr>
                <w:i/>
                <w:noProof/>
                <w:sz w:val="18"/>
                <w:szCs w:val="18"/>
              </w:rPr>
              <w:t>6</w:t>
            </w:r>
            <w:r w:rsidRPr="00E12B2D">
              <w:rPr>
                <w:i/>
                <w:sz w:val="18"/>
                <w:szCs w:val="18"/>
              </w:rPr>
              <w:fldChar w:fldCharType="end"/>
            </w:r>
            <w:r w:rsidRPr="00E12B2D">
              <w:rPr>
                <w:i/>
                <w:sz w:val="18"/>
                <w:szCs w:val="18"/>
              </w:rPr>
              <w:t xml:space="preserve">. </w:t>
            </w:r>
            <w:r w:rsidRPr="004E6AFC">
              <w:rPr>
                <w:i/>
                <w:sz w:val="18"/>
                <w:szCs w:val="18"/>
              </w:rPr>
              <w:t xml:space="preserve"> </w:t>
            </w:r>
            <w:r>
              <w:rPr>
                <w:i/>
                <w:sz w:val="18"/>
                <w:szCs w:val="18"/>
              </w:rPr>
              <w:t xml:space="preserve">Pictures taken during the operations: moving the </w:t>
            </w:r>
            <w:r w:rsidR="007039AD">
              <w:rPr>
                <w:i/>
                <w:sz w:val="18"/>
                <w:szCs w:val="18"/>
              </w:rPr>
              <w:t xml:space="preserve">transfer </w:t>
            </w:r>
            <w:r>
              <w:rPr>
                <w:i/>
                <w:sz w:val="18"/>
                <w:szCs w:val="18"/>
              </w:rPr>
              <w:t xml:space="preserve">container, removing the DSRS from the irradiator´s channel, </w:t>
            </w:r>
            <w:r w:rsidR="00322204">
              <w:rPr>
                <w:i/>
                <w:sz w:val="18"/>
                <w:szCs w:val="18"/>
              </w:rPr>
              <w:t>unloading the DSRS in the reserve pit</w:t>
            </w:r>
          </w:p>
        </w:tc>
      </w:tr>
    </w:tbl>
    <w:p w14:paraId="4F192C1F" w14:textId="77777777" w:rsidR="004E6AFC" w:rsidRPr="004E6AFC" w:rsidRDefault="004E6AFC" w:rsidP="004E6AFC">
      <w:pPr>
        <w:pStyle w:val="Textoindependiente"/>
        <w:rPr>
          <w:lang w:val="en-US"/>
        </w:rPr>
      </w:pPr>
    </w:p>
    <w:p w14:paraId="17C4A81E" w14:textId="77777777" w:rsidR="00A47811" w:rsidRDefault="00A47811">
      <w:pPr>
        <w:overflowPunct/>
        <w:autoSpaceDE/>
        <w:autoSpaceDN/>
        <w:adjustRightInd/>
        <w:textAlignment w:val="auto"/>
        <w:rPr>
          <w:sz w:val="20"/>
          <w:lang w:val="en-US"/>
        </w:rPr>
      </w:pPr>
      <w:r>
        <w:rPr>
          <w:lang w:val="en-US"/>
        </w:rPr>
        <w:br w:type="page"/>
      </w:r>
    </w:p>
    <w:p w14:paraId="6F028D73" w14:textId="7E016D22" w:rsidR="00421217" w:rsidRDefault="00D057CA" w:rsidP="00D057CA">
      <w:pPr>
        <w:pStyle w:val="Textoindependiente"/>
        <w:rPr>
          <w:lang w:val="en-US"/>
        </w:rPr>
      </w:pPr>
      <w:r>
        <w:rPr>
          <w:lang w:val="en-US"/>
        </w:rPr>
        <w:lastRenderedPageBreak/>
        <w:t>Radiological controls were carried out</w:t>
      </w:r>
      <w:r w:rsidR="00A817C1">
        <w:rPr>
          <w:lang w:val="en-US"/>
        </w:rPr>
        <w:t xml:space="preserve"> (figure 7)</w:t>
      </w:r>
      <w:r>
        <w:rPr>
          <w:lang w:val="en-US"/>
        </w:rPr>
        <w:t>, including:</w:t>
      </w:r>
    </w:p>
    <w:p w14:paraId="463B8A5C" w14:textId="0BE717D5" w:rsidR="00F81D86" w:rsidRPr="00F81D86" w:rsidRDefault="00D057CA" w:rsidP="00D057CA">
      <w:pPr>
        <w:pStyle w:val="Textoindependiente"/>
        <w:numPr>
          <w:ilvl w:val="0"/>
          <w:numId w:val="20"/>
        </w:numPr>
        <w:ind w:left="709"/>
      </w:pPr>
      <w:r>
        <w:t xml:space="preserve">Dose rate </w:t>
      </w:r>
      <w:r>
        <w:rPr>
          <w:lang w:val="en-US"/>
        </w:rPr>
        <w:t>measurements at the base of the container</w:t>
      </w:r>
      <w:r w:rsidR="00F81D86">
        <w:rPr>
          <w:lang w:val="en-US"/>
        </w:rPr>
        <w:t>:</w:t>
      </w:r>
      <w:r>
        <w:rPr>
          <w:lang w:val="en-US"/>
        </w:rPr>
        <w:t xml:space="preserve"> </w:t>
      </w:r>
    </w:p>
    <w:p w14:paraId="1EE8F328" w14:textId="467C93B7" w:rsidR="00D057CA" w:rsidRDefault="00D057CA" w:rsidP="00F81D86">
      <w:pPr>
        <w:pStyle w:val="Textoindependiente"/>
        <w:numPr>
          <w:ilvl w:val="3"/>
          <w:numId w:val="20"/>
        </w:numPr>
        <w:ind w:left="1134" w:hanging="425"/>
      </w:pPr>
      <w:r w:rsidRPr="00F81D86">
        <w:t xml:space="preserve">to </w:t>
      </w:r>
      <w:r w:rsidR="00F81D86">
        <w:t>check</w:t>
      </w:r>
      <w:r w:rsidRPr="00F81D86">
        <w:t xml:space="preserve"> the </w:t>
      </w:r>
      <w:r w:rsidRPr="00D057CA">
        <w:t>passage of the radioactive source</w:t>
      </w:r>
      <w:r w:rsidR="00F81D86">
        <w:t xml:space="preserve">, from the irradiator´s channel to the </w:t>
      </w:r>
      <w:r w:rsidR="00A47811">
        <w:t xml:space="preserve">transfer </w:t>
      </w:r>
      <w:r w:rsidR="00F81D86">
        <w:t>container and from the container to the channel of the reserve pit,</w:t>
      </w:r>
    </w:p>
    <w:p w14:paraId="671B35D7" w14:textId="3D61F3EC" w:rsidR="00F81D86" w:rsidRDefault="00F81D86" w:rsidP="00F81D86">
      <w:pPr>
        <w:pStyle w:val="Textoindependiente"/>
        <w:numPr>
          <w:ilvl w:val="3"/>
          <w:numId w:val="20"/>
        </w:numPr>
        <w:ind w:left="1134" w:hanging="425"/>
      </w:pPr>
      <w:r>
        <w:t>to verify the removal of a dummy source from the irradiator’s channel;</w:t>
      </w:r>
    </w:p>
    <w:p w14:paraId="69C50FC8" w14:textId="343BB556" w:rsidR="00D057CA" w:rsidRDefault="00F81D86" w:rsidP="008B6C4A">
      <w:pPr>
        <w:pStyle w:val="Textoindependiente"/>
        <w:numPr>
          <w:ilvl w:val="0"/>
          <w:numId w:val="20"/>
        </w:numPr>
        <w:ind w:left="709"/>
      </w:pPr>
      <w:r>
        <w:t xml:space="preserve">Dose rate measurements </w:t>
      </w:r>
      <w:r w:rsidRPr="00F81D86">
        <w:t xml:space="preserve">on the top of the </w:t>
      </w:r>
      <w:r w:rsidR="00A47811">
        <w:t xml:space="preserve">transfer </w:t>
      </w:r>
      <w:r w:rsidRPr="00F81D86">
        <w:t>container</w:t>
      </w:r>
      <w:r w:rsidR="008B6C4A">
        <w:t xml:space="preserve"> to control the movement of the tool with the radioactive source;</w:t>
      </w:r>
    </w:p>
    <w:p w14:paraId="0CA58753" w14:textId="49F537DC" w:rsidR="008B6C4A" w:rsidRDefault="008B6C4A" w:rsidP="008B6C4A">
      <w:pPr>
        <w:pStyle w:val="Textoindependiente"/>
        <w:numPr>
          <w:ilvl w:val="0"/>
          <w:numId w:val="20"/>
        </w:numPr>
        <w:ind w:left="709"/>
      </w:pPr>
      <w:r>
        <w:t>Dose rate measurements around the container when loaded with the sources;</w:t>
      </w:r>
    </w:p>
    <w:p w14:paraId="171151D7" w14:textId="0C3D4C35" w:rsidR="008B6C4A" w:rsidRDefault="008B6C4A" w:rsidP="008B6C4A">
      <w:pPr>
        <w:pStyle w:val="Textoindependiente"/>
        <w:numPr>
          <w:ilvl w:val="0"/>
          <w:numId w:val="20"/>
        </w:numPr>
        <w:ind w:left="709"/>
      </w:pPr>
      <w:r>
        <w:t>Dose rate measurements at the surface of the floor and at 1m from the reserve pit, at the end of the operations</w:t>
      </w:r>
      <w:r w:rsidR="00CA48B1">
        <w:t>;</w:t>
      </w:r>
    </w:p>
    <w:p w14:paraId="26A1539D" w14:textId="5DB78631" w:rsidR="00CA48B1" w:rsidRDefault="00CA48B1" w:rsidP="008B6C4A">
      <w:pPr>
        <w:pStyle w:val="Textoindependiente"/>
        <w:numPr>
          <w:ilvl w:val="0"/>
          <w:numId w:val="20"/>
        </w:numPr>
        <w:ind w:left="709"/>
      </w:pPr>
      <w:r>
        <w:t>Contamination controls through direct measurements of the dummies and plugs removed from the irradiator´s channels;</w:t>
      </w:r>
    </w:p>
    <w:p w14:paraId="4AF212A0" w14:textId="086BC844" w:rsidR="00CA48B1" w:rsidRDefault="001446DA" w:rsidP="008B6C4A">
      <w:pPr>
        <w:pStyle w:val="Textoindependiente"/>
        <w:numPr>
          <w:ilvl w:val="0"/>
          <w:numId w:val="20"/>
        </w:numPr>
        <w:ind w:left="709"/>
      </w:pPr>
      <w:r>
        <w:t>Contamination controls</w:t>
      </w:r>
      <w:r w:rsidRPr="001446DA">
        <w:t xml:space="preserve"> </w:t>
      </w:r>
      <w:r>
        <w:t>by taken wipe samples on the tool after handling the radioactive sources;</w:t>
      </w:r>
    </w:p>
    <w:p w14:paraId="54632E68" w14:textId="1042D121" w:rsidR="001446DA" w:rsidRDefault="001446DA" w:rsidP="008B6C4A">
      <w:pPr>
        <w:pStyle w:val="Textoindependiente"/>
        <w:numPr>
          <w:ilvl w:val="0"/>
          <w:numId w:val="20"/>
        </w:numPr>
        <w:ind w:left="709"/>
      </w:pPr>
      <w:r>
        <w:t>Contamination controls</w:t>
      </w:r>
      <w:r w:rsidRPr="001446DA">
        <w:t xml:space="preserve"> </w:t>
      </w:r>
      <w:r>
        <w:t>by taken wipe samples on the top of the channels</w:t>
      </w:r>
      <w:r w:rsidR="00A47811">
        <w:t xml:space="preserve"> of both pits</w:t>
      </w:r>
      <w:r>
        <w:t>.</w:t>
      </w:r>
    </w:p>
    <w:p w14:paraId="467A9F81" w14:textId="77777777" w:rsidR="00A817C1" w:rsidRDefault="00A817C1" w:rsidP="00E16FF4">
      <w:pPr>
        <w:pStyle w:val="Textoindependiente"/>
        <w:rPr>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0"/>
        <w:gridCol w:w="2556"/>
        <w:gridCol w:w="4355"/>
      </w:tblGrid>
      <w:tr w:rsidR="00A817C1" w:rsidRPr="004E6AFC" w14:paraId="59A32742" w14:textId="77777777" w:rsidTr="00A817C1">
        <w:tc>
          <w:tcPr>
            <w:tcW w:w="2260" w:type="dxa"/>
          </w:tcPr>
          <w:p w14:paraId="33B5170C" w14:textId="7E9AD640" w:rsidR="00A817C1" w:rsidRPr="004E6AFC" w:rsidRDefault="00A817C1" w:rsidP="00B05C1D">
            <w:pPr>
              <w:pStyle w:val="Textoindependiente"/>
              <w:ind w:firstLine="0"/>
              <w:rPr>
                <w:sz w:val="16"/>
                <w:szCs w:val="16"/>
                <w:lang w:val="en-US"/>
              </w:rPr>
            </w:pPr>
            <w:r>
              <w:rPr>
                <w:noProof/>
                <w:color w:val="000000"/>
                <w:position w:val="-6"/>
                <w:szCs w:val="22"/>
                <w:lang w:val="es-ES" w:eastAsia="es-ES"/>
              </w:rPr>
              <w:drawing>
                <wp:anchor distT="0" distB="0" distL="114300" distR="114300" simplePos="0" relativeHeight="251667456" behindDoc="0" locked="0" layoutInCell="1" allowOverlap="1" wp14:anchorId="151A5049" wp14:editId="7847BF7E">
                  <wp:simplePos x="1091821" y="2777319"/>
                  <wp:positionH relativeFrom="margin">
                    <wp:align>center</wp:align>
                  </wp:positionH>
                  <wp:positionV relativeFrom="margin">
                    <wp:align>top</wp:align>
                  </wp:positionV>
                  <wp:extent cx="1297940" cy="2217420"/>
                  <wp:effectExtent l="0" t="0" r="0" b="0"/>
                  <wp:wrapSquare wrapText="bothSides"/>
                  <wp:docPr id="13" name="Imagen 9" descr="C:\Users\Mercedes Salgado\AppData\Local\Microsoft\Windows\INetCache\Content.Word\IMG_20151026_143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9" descr="C:\Users\Mercedes Salgado\AppData\Local\Microsoft\Windows\INetCache\Content.Word\IMG_20151026_143640.jpg"/>
                          <pic:cNvPicPr>
                            <a:picLocks noChangeAspect="1"/>
                          </pic:cNvPicPr>
                        </pic:nvPicPr>
                        <pic:blipFill rotWithShape="1">
                          <a:blip r:embed="rId21" cstate="print">
                            <a:extLst>
                              <a:ext uri="{28A0092B-C50C-407E-A947-70E740481C1C}">
                                <a14:useLocalDpi xmlns:a14="http://schemas.microsoft.com/office/drawing/2010/main" val="0"/>
                              </a:ext>
                            </a:extLst>
                          </a:blip>
                          <a:srcRect l="22566" b="7122"/>
                          <a:stretch/>
                        </pic:blipFill>
                        <pic:spPr bwMode="auto">
                          <a:xfrm>
                            <a:off x="0" y="0"/>
                            <a:ext cx="1298023" cy="22177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556" w:type="dxa"/>
          </w:tcPr>
          <w:p w14:paraId="4541FCDA" w14:textId="2861CFF4" w:rsidR="00A817C1" w:rsidRPr="004E6AFC" w:rsidRDefault="00A817C1" w:rsidP="00B05C1D">
            <w:pPr>
              <w:pStyle w:val="Textoindependiente"/>
              <w:ind w:firstLine="0"/>
              <w:rPr>
                <w:sz w:val="16"/>
                <w:szCs w:val="16"/>
                <w:lang w:val="en-US"/>
              </w:rPr>
            </w:pPr>
            <w:r>
              <w:rPr>
                <w:noProof/>
                <w:color w:val="000000"/>
                <w:position w:val="-6"/>
                <w:szCs w:val="22"/>
                <w:lang w:val="es-ES" w:eastAsia="es-ES"/>
              </w:rPr>
              <w:drawing>
                <wp:anchor distT="0" distB="0" distL="114300" distR="114300" simplePos="0" relativeHeight="251659264" behindDoc="0" locked="0" layoutInCell="1" allowOverlap="1" wp14:anchorId="75D9C4F4" wp14:editId="214D6671">
                  <wp:simplePos x="2552131" y="2763672"/>
                  <wp:positionH relativeFrom="margin">
                    <wp:align>center</wp:align>
                  </wp:positionH>
                  <wp:positionV relativeFrom="margin">
                    <wp:align>top</wp:align>
                  </wp:positionV>
                  <wp:extent cx="1483360" cy="2216150"/>
                  <wp:effectExtent l="0" t="0" r="2540" b="0"/>
                  <wp:wrapSquare wrapText="bothSides"/>
                  <wp:docPr id="12" name="Imagen 8" descr="C:\Users\Mercedes Salgado\AppData\Local\Microsoft\Windows\INetCache\Content.Word\P1120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8" descr="C:\Users\Mercedes Salgado\AppData\Local\Microsoft\Windows\INetCache\Content.Word\P1120366.jp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83360" cy="2216150"/>
                          </a:xfrm>
                          <a:prstGeom prst="rect">
                            <a:avLst/>
                          </a:prstGeom>
                          <a:noFill/>
                          <a:ln>
                            <a:noFill/>
                          </a:ln>
                        </pic:spPr>
                      </pic:pic>
                    </a:graphicData>
                  </a:graphic>
                </wp:anchor>
              </w:drawing>
            </w:r>
          </w:p>
        </w:tc>
        <w:tc>
          <w:tcPr>
            <w:tcW w:w="4355" w:type="dxa"/>
          </w:tcPr>
          <w:p w14:paraId="0F8E1AB4" w14:textId="38B2D2E8" w:rsidR="00A817C1" w:rsidRPr="004E6AFC" w:rsidRDefault="00A817C1" w:rsidP="00B05C1D">
            <w:pPr>
              <w:pStyle w:val="Textoindependiente"/>
              <w:ind w:firstLine="0"/>
              <w:rPr>
                <w:sz w:val="16"/>
                <w:szCs w:val="16"/>
                <w:lang w:val="en-US"/>
              </w:rPr>
            </w:pPr>
            <w:r>
              <w:rPr>
                <w:noProof/>
                <w:color w:val="000000"/>
                <w:position w:val="-6"/>
                <w:szCs w:val="22"/>
                <w:lang w:val="es-ES" w:eastAsia="es-ES"/>
              </w:rPr>
              <w:drawing>
                <wp:anchor distT="0" distB="0" distL="114300" distR="114300" simplePos="0" relativeHeight="251662336" behindDoc="0" locked="0" layoutInCell="1" allowOverlap="1" wp14:anchorId="7C1CDC56" wp14:editId="0417400C">
                  <wp:simplePos x="0" y="0"/>
                  <wp:positionH relativeFrom="column">
                    <wp:posOffset>1233966</wp:posOffset>
                  </wp:positionH>
                  <wp:positionV relativeFrom="paragraph">
                    <wp:posOffset>66675</wp:posOffset>
                  </wp:positionV>
                  <wp:extent cx="1446530" cy="1067435"/>
                  <wp:effectExtent l="0" t="0" r="1270" b="0"/>
                  <wp:wrapNone/>
                  <wp:docPr id="15" name="Imagen 11" descr="C:\Users\Mercedes Salgado\AppData\Local\Microsoft\Windows\INetCache\Content.Word\IMG_20151026_122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1" descr="C:\Users\Mercedes Salgado\AppData\Local\Microsoft\Windows\INetCache\Content.Word\IMG_20151026_122503.jpg"/>
                          <pic:cNvPicPr>
                            <a:picLocks noChangeAspect="1"/>
                          </pic:cNvPicPr>
                        </pic:nvPicPr>
                        <pic:blipFill rotWithShape="1">
                          <a:blip r:embed="rId23" cstate="print">
                            <a:extLst>
                              <a:ext uri="{28A0092B-C50C-407E-A947-70E740481C1C}">
                                <a14:useLocalDpi xmlns:a14="http://schemas.microsoft.com/office/drawing/2010/main" val="0"/>
                              </a:ext>
                            </a:extLst>
                          </a:blip>
                          <a:srcRect l="12033"/>
                          <a:stretch/>
                        </pic:blipFill>
                        <pic:spPr bwMode="auto">
                          <a:xfrm>
                            <a:off x="0" y="0"/>
                            <a:ext cx="1446530" cy="1067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color w:val="000000"/>
                <w:position w:val="-6"/>
                <w:szCs w:val="22"/>
                <w:lang w:val="es-ES" w:eastAsia="es-ES"/>
              </w:rPr>
              <w:drawing>
                <wp:anchor distT="0" distB="0" distL="114300" distR="114300" simplePos="0" relativeHeight="251661312" behindDoc="0" locked="0" layoutInCell="1" allowOverlap="1" wp14:anchorId="61F7D8C6" wp14:editId="3F51D217">
                  <wp:simplePos x="0" y="0"/>
                  <wp:positionH relativeFrom="column">
                    <wp:posOffset>-42545</wp:posOffset>
                  </wp:positionH>
                  <wp:positionV relativeFrom="paragraph">
                    <wp:posOffset>200025</wp:posOffset>
                  </wp:positionV>
                  <wp:extent cx="1228090" cy="931545"/>
                  <wp:effectExtent l="0" t="0" r="0" b="1905"/>
                  <wp:wrapNone/>
                  <wp:docPr id="14" name="Imagen 10" descr="C:\Users\Mercedes Salgado\AppData\Local\Microsoft\Windows\INetCache\Content.Word\IMG_20151026_093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0" descr="C:\Users\Mercedes Salgado\AppData\Local\Microsoft\Windows\INetCache\Content.Word\IMG_20151026_093144.jpg"/>
                          <pic:cNvPicPr>
                            <a:picLocks noChangeAspect="1"/>
                          </pic:cNvPicPr>
                        </pic:nvPicPr>
                        <pic:blipFill rotWithShape="1">
                          <a:blip r:embed="rId24" cstate="print">
                            <a:extLst>
                              <a:ext uri="{28A0092B-C50C-407E-A947-70E740481C1C}">
                                <a14:useLocalDpi xmlns:a14="http://schemas.microsoft.com/office/drawing/2010/main" val="0"/>
                              </a:ext>
                            </a:extLst>
                          </a:blip>
                          <a:srcRect t="9249" b="17919"/>
                          <a:stretch/>
                        </pic:blipFill>
                        <pic:spPr bwMode="auto">
                          <a:xfrm>
                            <a:off x="0" y="0"/>
                            <a:ext cx="1228090" cy="931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00"/>
                <w:position w:val="-6"/>
                <w:szCs w:val="22"/>
                <w:lang w:val="es-ES" w:eastAsia="es-ES"/>
              </w:rPr>
              <w:drawing>
                <wp:anchor distT="0" distB="0" distL="114300" distR="114300" simplePos="0" relativeHeight="251663360" behindDoc="0" locked="0" layoutInCell="1" allowOverlap="1" wp14:anchorId="1ECDEFE3" wp14:editId="1CAE9784">
                  <wp:simplePos x="0" y="0"/>
                  <wp:positionH relativeFrom="column">
                    <wp:posOffset>-40640</wp:posOffset>
                  </wp:positionH>
                  <wp:positionV relativeFrom="paragraph">
                    <wp:posOffset>1259205</wp:posOffset>
                  </wp:positionV>
                  <wp:extent cx="1774190" cy="991235"/>
                  <wp:effectExtent l="0" t="0" r="0" b="0"/>
                  <wp:wrapNone/>
                  <wp:docPr id="16" name="Imagen 12" descr="C:\Users\Mercedes Salgado\AppData\Local\Microsoft\Windows\INetCache\Content.Word\IMG_20151026_084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2" descr="C:\Users\Mercedes Salgado\AppData\Local\Microsoft\Windows\INetCache\Content.Word\IMG_20151026_084956.jp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74190" cy="9912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817C1" w14:paraId="412202EF" w14:textId="77777777" w:rsidTr="00A817C1">
        <w:tc>
          <w:tcPr>
            <w:tcW w:w="9171" w:type="dxa"/>
            <w:gridSpan w:val="3"/>
          </w:tcPr>
          <w:p w14:paraId="6325EDD5" w14:textId="2FAA5023" w:rsidR="00A817C1" w:rsidRPr="004E6AFC" w:rsidRDefault="00A817C1" w:rsidP="00A817C1">
            <w:pPr>
              <w:pStyle w:val="Textoindependiente"/>
              <w:ind w:firstLine="0"/>
              <w:jc w:val="center"/>
              <w:rPr>
                <w:i/>
                <w:sz w:val="18"/>
                <w:szCs w:val="18"/>
              </w:rPr>
            </w:pPr>
            <w:r w:rsidRPr="004E6AFC">
              <w:rPr>
                <w:i/>
                <w:sz w:val="18"/>
                <w:szCs w:val="18"/>
              </w:rPr>
              <w:t xml:space="preserve">FIG. </w:t>
            </w:r>
            <w:r w:rsidRPr="00E12B2D">
              <w:rPr>
                <w:i/>
                <w:sz w:val="18"/>
                <w:szCs w:val="18"/>
              </w:rPr>
              <w:fldChar w:fldCharType="begin"/>
            </w:r>
            <w:r w:rsidRPr="00E12B2D">
              <w:rPr>
                <w:i/>
                <w:sz w:val="18"/>
                <w:szCs w:val="18"/>
              </w:rPr>
              <w:instrText xml:space="preserve"> SEQ Figure \* ARABIC </w:instrText>
            </w:r>
            <w:r w:rsidRPr="00E12B2D">
              <w:rPr>
                <w:i/>
                <w:sz w:val="18"/>
                <w:szCs w:val="18"/>
              </w:rPr>
              <w:fldChar w:fldCharType="separate"/>
            </w:r>
            <w:r w:rsidR="00D313FB">
              <w:rPr>
                <w:i/>
                <w:noProof/>
                <w:sz w:val="18"/>
                <w:szCs w:val="18"/>
              </w:rPr>
              <w:t>7</w:t>
            </w:r>
            <w:r w:rsidRPr="00E12B2D">
              <w:rPr>
                <w:i/>
                <w:sz w:val="18"/>
                <w:szCs w:val="18"/>
              </w:rPr>
              <w:fldChar w:fldCharType="end"/>
            </w:r>
            <w:r w:rsidRPr="00E12B2D">
              <w:rPr>
                <w:i/>
                <w:sz w:val="18"/>
                <w:szCs w:val="18"/>
              </w:rPr>
              <w:t xml:space="preserve">. </w:t>
            </w:r>
            <w:r w:rsidRPr="004E6AFC">
              <w:rPr>
                <w:i/>
                <w:sz w:val="18"/>
                <w:szCs w:val="18"/>
              </w:rPr>
              <w:t xml:space="preserve"> </w:t>
            </w:r>
            <w:r>
              <w:rPr>
                <w:i/>
                <w:sz w:val="18"/>
                <w:szCs w:val="18"/>
              </w:rPr>
              <w:t>Radiological controls during the operations: dose rate measurements above the reserve pit and around the container with the DSRS, contamination controls of dummies and plugs</w:t>
            </w:r>
            <w:r w:rsidR="00951259">
              <w:rPr>
                <w:i/>
                <w:sz w:val="18"/>
                <w:szCs w:val="18"/>
              </w:rPr>
              <w:t xml:space="preserve">. </w:t>
            </w:r>
          </w:p>
        </w:tc>
      </w:tr>
    </w:tbl>
    <w:p w14:paraId="256AE10C" w14:textId="77777777" w:rsidR="00A817C1" w:rsidRPr="00E16FF4" w:rsidRDefault="00A817C1" w:rsidP="00E16FF4">
      <w:pPr>
        <w:pStyle w:val="Textoindependiente"/>
        <w:rPr>
          <w:lang w:val="en-US"/>
        </w:rPr>
      </w:pPr>
    </w:p>
    <w:p w14:paraId="29EE9818" w14:textId="1C429CEF" w:rsidR="001446DA" w:rsidRPr="00E16FF4" w:rsidRDefault="00184339" w:rsidP="00E16FF4">
      <w:pPr>
        <w:pStyle w:val="Textoindependiente"/>
        <w:rPr>
          <w:lang w:val="en-US"/>
        </w:rPr>
      </w:pPr>
      <w:r>
        <w:rPr>
          <w:lang w:val="en-US"/>
        </w:rPr>
        <w:t xml:space="preserve">The results of radiological controls were also recorded. </w:t>
      </w:r>
      <w:r w:rsidRPr="00E16FF4">
        <w:rPr>
          <w:lang w:val="en-US"/>
        </w:rPr>
        <w:t xml:space="preserve">No radioactive contamination was detected, </w:t>
      </w:r>
      <w:r>
        <w:rPr>
          <w:lang w:val="en-US"/>
        </w:rPr>
        <w:t xml:space="preserve">so it was </w:t>
      </w:r>
      <w:r w:rsidRPr="00E16FF4">
        <w:rPr>
          <w:lang w:val="en-US"/>
        </w:rPr>
        <w:t xml:space="preserve">inferred that </w:t>
      </w:r>
      <w:r>
        <w:rPr>
          <w:lang w:val="en-US"/>
        </w:rPr>
        <w:t xml:space="preserve">the </w:t>
      </w:r>
      <w:r w:rsidRPr="00E16FF4">
        <w:rPr>
          <w:lang w:val="en-US"/>
        </w:rPr>
        <w:t>sources remain</w:t>
      </w:r>
      <w:r>
        <w:rPr>
          <w:lang w:val="en-US"/>
        </w:rPr>
        <w:t xml:space="preserve"> sealed. </w:t>
      </w:r>
      <w:r w:rsidR="00D313FB">
        <w:rPr>
          <w:lang w:val="en-US"/>
        </w:rPr>
        <w:t xml:space="preserve">The irradiator´s channels and the transfer container were check at the end of operations to verify that </w:t>
      </w:r>
      <w:r w:rsidR="00392532" w:rsidRPr="00392532">
        <w:rPr>
          <w:lang w:val="en-US"/>
        </w:rPr>
        <w:t>no radioactive source was left inside</w:t>
      </w:r>
      <w:r w:rsidR="00D313FB">
        <w:rPr>
          <w:lang w:val="en-US"/>
        </w:rPr>
        <w:t xml:space="preserve">. </w:t>
      </w:r>
    </w:p>
    <w:p w14:paraId="32CF318D" w14:textId="64194E01" w:rsidR="00184339" w:rsidRPr="00184339" w:rsidRDefault="00184339" w:rsidP="00184339">
      <w:pPr>
        <w:pStyle w:val="Textoindependiente"/>
        <w:rPr>
          <w:lang w:val="en-US"/>
        </w:rPr>
      </w:pPr>
      <w:r w:rsidRPr="00184339">
        <w:rPr>
          <w:lang w:val="en-US"/>
        </w:rPr>
        <w:t>No radiological incidents occurred during real operations.</w:t>
      </w:r>
      <w:r>
        <w:rPr>
          <w:lang w:val="en-US"/>
        </w:rPr>
        <w:t xml:space="preserve"> </w:t>
      </w:r>
      <w:r w:rsidRPr="00184339">
        <w:rPr>
          <w:lang w:val="en-US"/>
        </w:rPr>
        <w:t xml:space="preserve">The results of individual radiological monitoring during real operations demonstrated that the doses received by the operators were below </w:t>
      </w:r>
      <w:r w:rsidR="000743B7">
        <w:rPr>
          <w:lang w:val="en-US"/>
        </w:rPr>
        <w:t xml:space="preserve">0.1 </w:t>
      </w:r>
      <w:proofErr w:type="spellStart"/>
      <w:r w:rsidR="000743B7">
        <w:rPr>
          <w:lang w:val="en-US"/>
        </w:rPr>
        <w:t>m</w:t>
      </w:r>
      <w:r w:rsidRPr="00184339">
        <w:rPr>
          <w:lang w:val="en-US"/>
        </w:rPr>
        <w:t>Sv</w:t>
      </w:r>
      <w:proofErr w:type="spellEnd"/>
      <w:r>
        <w:rPr>
          <w:lang w:val="en-US"/>
        </w:rPr>
        <w:t xml:space="preserve"> (the predicted values were not exceeded)</w:t>
      </w:r>
      <w:r w:rsidRPr="00184339">
        <w:rPr>
          <w:lang w:val="en-US"/>
        </w:rPr>
        <w:t xml:space="preserve">. </w:t>
      </w:r>
    </w:p>
    <w:p w14:paraId="736CA1DE" w14:textId="6E39485A" w:rsidR="00A06BD7" w:rsidRDefault="00A06BD7" w:rsidP="00A06BD7">
      <w:pPr>
        <w:pStyle w:val="Textoindependiente"/>
        <w:rPr>
          <w:lang w:val="en-US"/>
        </w:rPr>
      </w:pPr>
      <w:r>
        <w:rPr>
          <w:lang w:val="en-US"/>
        </w:rPr>
        <w:t xml:space="preserve">The removal of the DSRS from the irradiator allowed the </w:t>
      </w:r>
      <w:r w:rsidRPr="00A06BD7">
        <w:rPr>
          <w:lang w:val="en-US"/>
        </w:rPr>
        <w:t>revision and maintenance of the auxiliary systems</w:t>
      </w:r>
      <w:r>
        <w:rPr>
          <w:lang w:val="en-US"/>
        </w:rPr>
        <w:t xml:space="preserve"> in the facility</w:t>
      </w:r>
      <w:r w:rsidRPr="00A06BD7">
        <w:rPr>
          <w:lang w:val="en-US"/>
        </w:rPr>
        <w:t>, including the irradiator rack and its hoist mechanism</w:t>
      </w:r>
      <w:r>
        <w:rPr>
          <w:lang w:val="en-US"/>
        </w:rPr>
        <w:t>. The facility was then recharge</w:t>
      </w:r>
      <w:r w:rsidR="00C57C86">
        <w:rPr>
          <w:lang w:val="en-US"/>
        </w:rPr>
        <w:t>d</w:t>
      </w:r>
      <w:r>
        <w:rPr>
          <w:lang w:val="en-US"/>
        </w:rPr>
        <w:t xml:space="preserve"> with new Co-60 radioactive sources. </w:t>
      </w:r>
    </w:p>
    <w:p w14:paraId="433FE053" w14:textId="1C958FDA" w:rsidR="00EE0041" w:rsidRDefault="00D82D2A" w:rsidP="00E37317">
      <w:pPr>
        <w:pStyle w:val="Ttulo2"/>
        <w:numPr>
          <w:ilvl w:val="1"/>
          <w:numId w:val="10"/>
        </w:numPr>
        <w:jc w:val="both"/>
      </w:pPr>
      <w:r>
        <w:t>removal of the DSRS from the reserve</w:t>
      </w:r>
      <w:r w:rsidR="00D9772F">
        <w:t xml:space="preserve"> pit and transfer to the Waste storage facility</w:t>
      </w:r>
    </w:p>
    <w:p w14:paraId="2FC00F9B" w14:textId="57DB9887" w:rsidR="00D9772F" w:rsidRDefault="00980174" w:rsidP="00537496">
      <w:pPr>
        <w:pStyle w:val="Textoindependiente"/>
      </w:pPr>
      <w:r>
        <w:t>A</w:t>
      </w:r>
      <w:r w:rsidR="00D9772F" w:rsidRPr="00D9772F">
        <w:t xml:space="preserve"> container </w:t>
      </w:r>
      <w:r w:rsidR="00B7213E">
        <w:t xml:space="preserve">(CUB-40) </w:t>
      </w:r>
      <w:r w:rsidR="00D9772F" w:rsidRPr="00D9772F">
        <w:t xml:space="preserve">for the 52 DSRS was received through a Technical Cooperation Project with the IAEA. The container provides adequate shielding for the 52 sources with total activity of 4.0E+13 </w:t>
      </w:r>
      <w:proofErr w:type="spellStart"/>
      <w:r w:rsidR="00D9772F" w:rsidRPr="00D9772F">
        <w:t>Bq</w:t>
      </w:r>
      <w:proofErr w:type="spellEnd"/>
      <w:r w:rsidR="00D9772F" w:rsidRPr="00D9772F">
        <w:t xml:space="preserve"> </w:t>
      </w:r>
      <w:r w:rsidR="00E37317">
        <w:t xml:space="preserve">         </w:t>
      </w:r>
      <w:r w:rsidR="00D9772F" w:rsidRPr="00D9772F">
        <w:t xml:space="preserve">(1.08 </w:t>
      </w:r>
      <w:proofErr w:type="spellStart"/>
      <w:r w:rsidR="00D9772F" w:rsidRPr="00D9772F">
        <w:t>kCi</w:t>
      </w:r>
      <w:proofErr w:type="spellEnd"/>
      <w:r w:rsidR="00D9772F" w:rsidRPr="00D9772F">
        <w:t>).</w:t>
      </w:r>
    </w:p>
    <w:p w14:paraId="1A266614" w14:textId="77777777" w:rsidR="00E40357" w:rsidRDefault="00E40357" w:rsidP="00E40357">
      <w:pPr>
        <w:pStyle w:val="Ttulo3"/>
        <w:numPr>
          <w:ilvl w:val="2"/>
          <w:numId w:val="37"/>
        </w:numPr>
      </w:pPr>
      <w:r>
        <w:t xml:space="preserve">Preparation for the operations </w:t>
      </w:r>
    </w:p>
    <w:p w14:paraId="00DC9A70" w14:textId="5C95FC23" w:rsidR="001B6355" w:rsidRDefault="00980174" w:rsidP="00537496">
      <w:pPr>
        <w:pStyle w:val="Textoindependiente"/>
      </w:pPr>
      <w:r>
        <w:t>Adequate planning and preparatory works were necessary to ensure safety</w:t>
      </w:r>
      <w:r w:rsidRPr="00D9772F">
        <w:t xml:space="preserve"> </w:t>
      </w:r>
      <w:r>
        <w:t xml:space="preserve">of the operations. </w:t>
      </w:r>
      <w:r w:rsidRPr="00D9772F">
        <w:t>The design of the container allows the direct loading of the sources from the channels of the reserve pit, using a special tool.</w:t>
      </w:r>
      <w:r w:rsidR="00AA3C45">
        <w:t xml:space="preserve"> </w:t>
      </w:r>
      <w:r w:rsidR="00AA3C45">
        <w:lastRenderedPageBreak/>
        <w:t>Cold runs were carried out, using the container</w:t>
      </w:r>
      <w:r w:rsidR="00E37317">
        <w:t xml:space="preserve"> CUB-40</w:t>
      </w:r>
      <w:r w:rsidR="00AA3C45">
        <w:t xml:space="preserve">, </w:t>
      </w:r>
      <w:r w:rsidR="0096667B">
        <w:t xml:space="preserve">dummy-sources, the tool for handling the sources/dummies and </w:t>
      </w:r>
      <w:r w:rsidR="00572EC2">
        <w:t>the auxiliary devices</w:t>
      </w:r>
      <w:r w:rsidR="0096667B">
        <w:t xml:space="preserve"> (for the alignment of the container with the channels of the reserve pit</w:t>
      </w:r>
      <w:r w:rsidR="00572EC2">
        <w:t>,</w:t>
      </w:r>
      <w:r w:rsidR="0096667B">
        <w:t xml:space="preserve"> figure 3, and metallic rods for the operation of the container)</w:t>
      </w:r>
      <w:r w:rsidR="00AA3C45">
        <w:t xml:space="preserve">. </w:t>
      </w:r>
    </w:p>
    <w:p w14:paraId="06FFE86F" w14:textId="11E583D2" w:rsidR="007B1694" w:rsidRDefault="00AA3C45" w:rsidP="00537496">
      <w:pPr>
        <w:pStyle w:val="Textoindependiente"/>
      </w:pPr>
      <w:r>
        <w:t>The cold runs</w:t>
      </w:r>
      <w:r w:rsidR="00572EC2">
        <w:t xml:space="preserve"> allow</w:t>
      </w:r>
      <w:r w:rsidR="001B6355">
        <w:t>ed</w:t>
      </w:r>
      <w:r w:rsidR="00572EC2">
        <w:t xml:space="preserve"> </w:t>
      </w:r>
      <w:r w:rsidR="00E37317">
        <w:t xml:space="preserve">the </w:t>
      </w:r>
      <w:r w:rsidR="001B6355">
        <w:t>training</w:t>
      </w:r>
      <w:r w:rsidR="00572EC2">
        <w:t xml:space="preserve"> </w:t>
      </w:r>
      <w:r w:rsidR="00E37317">
        <w:t xml:space="preserve">of </w:t>
      </w:r>
      <w:r w:rsidR="00572EC2">
        <w:t xml:space="preserve">the operators </w:t>
      </w:r>
      <w:r w:rsidR="001B6355">
        <w:t xml:space="preserve">in handling and operation of the container, tools and auxiliary devices. </w:t>
      </w:r>
      <w:r w:rsidR="007B1694">
        <w:t>Training was very important for th</w:t>
      </w:r>
      <w:r w:rsidR="00951259">
        <w:t>e</w:t>
      </w:r>
      <w:r w:rsidR="007B1694">
        <w:t xml:space="preserve"> operat</w:t>
      </w:r>
      <w:r w:rsidR="00951259">
        <w:t>ors</w:t>
      </w:r>
      <w:r w:rsidR="007B1694">
        <w:t xml:space="preserve">, as it is the first operation involving the handling of high activity sources, without the support of external experts. </w:t>
      </w:r>
    </w:p>
    <w:p w14:paraId="6F4E4029" w14:textId="22849184" w:rsidR="00D9772F" w:rsidRDefault="001B6355" w:rsidP="00537496">
      <w:pPr>
        <w:pStyle w:val="Textoindependiente"/>
      </w:pPr>
      <w:r>
        <w:t>After that it was possible to develop the operational and safety procedures, including:</w:t>
      </w:r>
    </w:p>
    <w:p w14:paraId="354187A7" w14:textId="7A371970" w:rsidR="001B6355" w:rsidRDefault="00B7213E" w:rsidP="00B7213E">
      <w:pPr>
        <w:pStyle w:val="Textoindependiente"/>
        <w:numPr>
          <w:ilvl w:val="0"/>
          <w:numId w:val="20"/>
        </w:numPr>
        <w:ind w:left="709"/>
      </w:pPr>
      <w:r>
        <w:t>Description of the container CUB-40 and auxiliary devices</w:t>
      </w:r>
      <w:r w:rsidR="007B1694">
        <w:t>,</w:t>
      </w:r>
    </w:p>
    <w:p w14:paraId="1E840494" w14:textId="2ED7DF04" w:rsidR="00B7213E" w:rsidRDefault="00B7213E" w:rsidP="00B7213E">
      <w:pPr>
        <w:pStyle w:val="Textoindependiente"/>
        <w:numPr>
          <w:ilvl w:val="0"/>
          <w:numId w:val="20"/>
        </w:numPr>
        <w:ind w:left="709"/>
      </w:pPr>
      <w:r>
        <w:t>Procedures for the cold run using the container CUB-40 and auxiliary devices</w:t>
      </w:r>
      <w:r w:rsidR="007B1694">
        <w:t>,</w:t>
      </w:r>
    </w:p>
    <w:p w14:paraId="7D236C7E" w14:textId="2A936390" w:rsidR="00B7213E" w:rsidRDefault="00B7213E" w:rsidP="00B7213E">
      <w:pPr>
        <w:pStyle w:val="Textoindependiente"/>
        <w:numPr>
          <w:ilvl w:val="0"/>
          <w:numId w:val="20"/>
        </w:numPr>
        <w:ind w:left="709"/>
      </w:pPr>
      <w:r>
        <w:t>Procedures for the removal of DSRS from the reserve pit</w:t>
      </w:r>
      <w:r w:rsidR="007B1694">
        <w:t>,</w:t>
      </w:r>
      <w:r>
        <w:t xml:space="preserve"> </w:t>
      </w:r>
    </w:p>
    <w:p w14:paraId="0FCAB1D8" w14:textId="37C70A49" w:rsidR="00B7213E" w:rsidRDefault="00B7213E" w:rsidP="00537496">
      <w:pPr>
        <w:pStyle w:val="Textoindependiente"/>
        <w:numPr>
          <w:ilvl w:val="0"/>
          <w:numId w:val="20"/>
        </w:numPr>
        <w:ind w:left="709"/>
      </w:pPr>
      <w:r>
        <w:t>Procedures for the radiological controls during the source removal operations</w:t>
      </w:r>
      <w:r w:rsidR="00951259">
        <w:t xml:space="preserve">. </w:t>
      </w:r>
    </w:p>
    <w:p w14:paraId="6B50C9AB" w14:textId="77777777" w:rsidR="007B1694" w:rsidRPr="00EE0041" w:rsidRDefault="007B1694" w:rsidP="007B1694">
      <w:pPr>
        <w:pStyle w:val="Ttulo3"/>
      </w:pPr>
      <w:r>
        <w:t xml:space="preserve">Authorization from the Regulatory Body </w:t>
      </w:r>
    </w:p>
    <w:p w14:paraId="639D9094" w14:textId="77777777" w:rsidR="007B1694" w:rsidRDefault="007B1694" w:rsidP="007B1694">
      <w:pPr>
        <w:pStyle w:val="Textoindependiente"/>
        <w:rPr>
          <w:lang w:val="en-US"/>
        </w:rPr>
      </w:pPr>
      <w:r>
        <w:t>The authorization from the National Regulatory Body was required for the removal of DSRS from the reserve pit and transfer to the container CUB-40. As for the previous operations for the transfer of DSRS from the irradiator to the reserve pit, t</w:t>
      </w:r>
      <w:r w:rsidRPr="00D476A5">
        <w:t xml:space="preserve">he operational and safety procedures, the radiation protection program, the safety analysis, as well as the emergency plan were prepared and presented to the Regulatory Body to </w:t>
      </w:r>
      <w:r w:rsidRPr="004D3E21">
        <w:t>support the license application</w:t>
      </w:r>
      <w:r w:rsidRPr="00D476A5">
        <w:t>.</w:t>
      </w:r>
      <w:r w:rsidRPr="007B1694">
        <w:rPr>
          <w:lang w:val="en-US"/>
        </w:rPr>
        <w:t xml:space="preserve"> </w:t>
      </w:r>
    </w:p>
    <w:p w14:paraId="7317F0F2" w14:textId="69135823" w:rsidR="007B1694" w:rsidRDefault="007B1694" w:rsidP="007B1694">
      <w:pPr>
        <w:pStyle w:val="Textoindependiente"/>
      </w:pPr>
      <w:r w:rsidRPr="0096667B">
        <w:rPr>
          <w:lang w:val="en-US"/>
        </w:rPr>
        <w:t xml:space="preserve">The container CUB-40 is not a </w:t>
      </w:r>
      <w:r>
        <w:rPr>
          <w:lang w:val="en-US"/>
        </w:rPr>
        <w:t>Type B, as required for the transport of the Co-60 sources, because of the</w:t>
      </w:r>
      <w:r w:rsidR="00CA07AE">
        <w:rPr>
          <w:lang w:val="en-US"/>
        </w:rPr>
        <w:t>ir</w:t>
      </w:r>
      <w:r>
        <w:rPr>
          <w:lang w:val="en-US"/>
        </w:rPr>
        <w:t xml:space="preserve"> activity. So the </w:t>
      </w:r>
      <w:r>
        <w:t xml:space="preserve">transportation should be carried out under special arrangement. </w:t>
      </w:r>
    </w:p>
    <w:p w14:paraId="429F3083" w14:textId="77777777" w:rsidR="005F63A1" w:rsidRDefault="00F81E87" w:rsidP="00F81E87">
      <w:pPr>
        <w:pStyle w:val="Textoindependiente"/>
      </w:pPr>
      <w:r>
        <w:t xml:space="preserve">The safety </w:t>
      </w:r>
      <w:r w:rsidR="005F63A1">
        <w:t>analysis</w:t>
      </w:r>
      <w:r>
        <w:t xml:space="preserve"> carried out to support the license application for source </w:t>
      </w:r>
      <w:r w:rsidR="005F63A1">
        <w:t>removal</w:t>
      </w:r>
      <w:r>
        <w:t xml:space="preserve"> operations included the dose estimation due to external radiation during normal operation and potential doses for foreseeable incidents. </w:t>
      </w:r>
    </w:p>
    <w:p w14:paraId="57648F57" w14:textId="51E493DE" w:rsidR="005F63A1" w:rsidRDefault="005F63A1" w:rsidP="005F63A1">
      <w:pPr>
        <w:pStyle w:val="Textoindependiente"/>
      </w:pPr>
      <w:r>
        <w:t xml:space="preserve">The expected doses for occupational exposed workers during normal operations were estimated according to the working procedures, taking into account the foreseeable workload and using conservative scenarios. As a result, it was obtained that the total effective dose will not exceed 1.1 </w:t>
      </w:r>
      <w:proofErr w:type="spellStart"/>
      <w:r>
        <w:t>mSv</w:t>
      </w:r>
      <w:proofErr w:type="spellEnd"/>
      <w:r w:rsidR="00CA07AE">
        <w:t xml:space="preserve"> and the </w:t>
      </w:r>
      <w:r w:rsidR="00CA07AE" w:rsidRPr="00CA07AE">
        <w:t xml:space="preserve">equivalent dose to the extremities </w:t>
      </w:r>
      <w:r w:rsidR="00CA07AE">
        <w:t xml:space="preserve">will not exceed </w:t>
      </w:r>
      <w:r w:rsidR="00D54FB7">
        <w:t xml:space="preserve">0.35 </w:t>
      </w:r>
      <w:proofErr w:type="spellStart"/>
      <w:r w:rsidR="00D54FB7">
        <w:t>mSv</w:t>
      </w:r>
      <w:proofErr w:type="spellEnd"/>
      <w:r>
        <w:t xml:space="preserve">. </w:t>
      </w:r>
    </w:p>
    <w:p w14:paraId="396E4978" w14:textId="2B6821C4" w:rsidR="00F81E87" w:rsidRDefault="005F63A1" w:rsidP="00F81E87">
      <w:pPr>
        <w:pStyle w:val="Textoindependiente"/>
      </w:pPr>
      <w:r>
        <w:t xml:space="preserve">Potential doses </w:t>
      </w:r>
      <w:r w:rsidR="00D54FB7">
        <w:t xml:space="preserve">were also estimated </w:t>
      </w:r>
      <w:r>
        <w:t xml:space="preserve">for foreseeable accidental </w:t>
      </w:r>
      <w:r w:rsidR="00D54FB7">
        <w:t>situations that may occur during:</w:t>
      </w:r>
      <w:r>
        <w:t xml:space="preserve"> </w:t>
      </w:r>
      <w:r w:rsidR="00A020DC">
        <w:t xml:space="preserve">removal </w:t>
      </w:r>
      <w:r w:rsidR="00D54FB7">
        <w:t xml:space="preserve">of the DSRS from the channels of the reserve pit </w:t>
      </w:r>
      <w:r w:rsidR="00A020DC">
        <w:t xml:space="preserve">and transfer </w:t>
      </w:r>
      <w:r w:rsidR="00D54FB7">
        <w:t>to the container</w:t>
      </w:r>
      <w:r w:rsidR="00615138">
        <w:t xml:space="preserve"> CUB-40</w:t>
      </w:r>
      <w:r w:rsidR="00D54FB7">
        <w:t xml:space="preserve">, preparation of the package for transportation and the transport the sources to the Waste Storage Facility. </w:t>
      </w:r>
      <w:r w:rsidR="00F81E87">
        <w:t>A series of events were postulated, related with the failure of equipment, leakage of radioactive sources and human errors. The safety barriers to prevent or mitigate accidental situations were identified and radiological consequences were evaluated. The methodology of risk matrixes was used to evaluate the postulated initiating events</w:t>
      </w:r>
      <w:r w:rsidR="00615138">
        <w:t xml:space="preserve"> [1, 2]</w:t>
      </w:r>
      <w:r w:rsidR="00F81E87">
        <w:t>. According to this method, the risks were classified by levels. The results obtained were used for decision making regarding the operational safety.</w:t>
      </w:r>
    </w:p>
    <w:p w14:paraId="0F7BBC46" w14:textId="7D9EFC85" w:rsidR="00A020DC" w:rsidRDefault="00A020DC" w:rsidP="00F81E87">
      <w:pPr>
        <w:pStyle w:val="Textoindependiente"/>
      </w:pPr>
      <w:r w:rsidRPr="00A020DC">
        <w:t>The results of the safety a</w:t>
      </w:r>
      <w:r>
        <w:t>nalysis</w:t>
      </w:r>
      <w:r w:rsidRPr="00A020DC">
        <w:t xml:space="preserve"> wer</w:t>
      </w:r>
      <w:r>
        <w:t>e used as reference to develop the</w:t>
      </w:r>
      <w:r w:rsidRPr="00A020DC">
        <w:t xml:space="preserve"> emergency response plan, where all initiating events of accidental sequences previously identified were included.</w:t>
      </w:r>
    </w:p>
    <w:p w14:paraId="64C720E5" w14:textId="7355A2DF" w:rsidR="007B1694" w:rsidRDefault="00D015DD" w:rsidP="007B1694">
      <w:pPr>
        <w:pStyle w:val="Textoindependiente"/>
      </w:pPr>
      <w:r>
        <w:t xml:space="preserve">All the required documents were presented </w:t>
      </w:r>
      <w:r w:rsidR="00615138">
        <w:t xml:space="preserve">to </w:t>
      </w:r>
      <w:r>
        <w:t xml:space="preserve">and </w:t>
      </w:r>
      <w:r w:rsidR="007B1694">
        <w:t>evaluated by the Regulatory Body</w:t>
      </w:r>
      <w:r>
        <w:t>. The authorization</w:t>
      </w:r>
      <w:r w:rsidR="00902400">
        <w:t>s</w:t>
      </w:r>
      <w:r>
        <w:t xml:space="preserve"> </w:t>
      </w:r>
      <w:r w:rsidR="007B1694">
        <w:t>w</w:t>
      </w:r>
      <w:r w:rsidR="00902400">
        <w:t>ere</w:t>
      </w:r>
      <w:r w:rsidR="007B1694">
        <w:t xml:space="preserve"> granted</w:t>
      </w:r>
      <w:r w:rsidR="00902400">
        <w:t xml:space="preserve"> to the </w:t>
      </w:r>
      <w:r w:rsidR="00F573F7">
        <w:t>Centre for Radiation Protection and Hygiene (</w:t>
      </w:r>
      <w:r w:rsidR="00902400">
        <w:t>CPHR</w:t>
      </w:r>
      <w:r w:rsidR="00F573F7">
        <w:t>)</w:t>
      </w:r>
      <w:r w:rsidR="00902400">
        <w:t xml:space="preserve">, in form of two </w:t>
      </w:r>
      <w:r w:rsidR="00902400" w:rsidRPr="00902400">
        <w:t>permissions</w:t>
      </w:r>
      <w:r w:rsidR="00902400">
        <w:t>:</w:t>
      </w:r>
    </w:p>
    <w:p w14:paraId="7DFD9598" w14:textId="60DAA003" w:rsidR="00CC40A5" w:rsidRDefault="00CC40A5" w:rsidP="00CC40A5">
      <w:pPr>
        <w:pStyle w:val="Textoindependiente"/>
        <w:numPr>
          <w:ilvl w:val="0"/>
          <w:numId w:val="20"/>
        </w:numPr>
        <w:ind w:left="709"/>
      </w:pPr>
      <w:r>
        <w:t xml:space="preserve">Special permission for the removal </w:t>
      </w:r>
      <w:r w:rsidR="00C85F95">
        <w:t xml:space="preserve">of DSRS from the </w:t>
      </w:r>
      <w:r w:rsidR="00615138">
        <w:t xml:space="preserve">reserve pit of the </w:t>
      </w:r>
      <w:r w:rsidR="00C85F95">
        <w:t>Food Irradiation Plant</w:t>
      </w:r>
      <w:r>
        <w:t>,</w:t>
      </w:r>
    </w:p>
    <w:p w14:paraId="707F532B" w14:textId="0E394B51" w:rsidR="00C85F95" w:rsidRDefault="00C85F95" w:rsidP="00CC40A5">
      <w:pPr>
        <w:pStyle w:val="Textoindependiente"/>
        <w:numPr>
          <w:ilvl w:val="0"/>
          <w:numId w:val="20"/>
        </w:numPr>
        <w:ind w:left="709"/>
      </w:pPr>
      <w:r>
        <w:t>Special arrangement for the transport of DSRS from the Food Irradiation Plant</w:t>
      </w:r>
      <w:r w:rsidR="00A020DC">
        <w:t xml:space="preserve"> to the Waste Storage Facility</w:t>
      </w:r>
      <w:r>
        <w:t xml:space="preserve">. </w:t>
      </w:r>
    </w:p>
    <w:p w14:paraId="3F229FB8" w14:textId="6364346F" w:rsidR="007B1694" w:rsidRPr="007B1694" w:rsidRDefault="00A020DC" w:rsidP="00537496">
      <w:pPr>
        <w:pStyle w:val="Textoindependiente"/>
      </w:pPr>
      <w:r>
        <w:t xml:space="preserve">The source removal operations and the transport of the package to the Waste Storage Facility </w:t>
      </w:r>
      <w:r w:rsidR="000356F4">
        <w:t xml:space="preserve">will be implemented by the end of this year. </w:t>
      </w:r>
    </w:p>
    <w:p w14:paraId="3C681462" w14:textId="77777777" w:rsidR="00615138" w:rsidRDefault="00615138">
      <w:pPr>
        <w:overflowPunct/>
        <w:autoSpaceDE/>
        <w:autoSpaceDN/>
        <w:adjustRightInd/>
        <w:textAlignment w:val="auto"/>
        <w:rPr>
          <w:caps/>
          <w:sz w:val="20"/>
        </w:rPr>
      </w:pPr>
      <w:r>
        <w:br w:type="page"/>
      </w:r>
    </w:p>
    <w:p w14:paraId="6B3C6FB6" w14:textId="3E396F1A" w:rsidR="00EB7C22" w:rsidRDefault="001E4409" w:rsidP="001E4409">
      <w:pPr>
        <w:pStyle w:val="Ttulo2"/>
        <w:numPr>
          <w:ilvl w:val="1"/>
          <w:numId w:val="10"/>
        </w:numPr>
        <w:ind w:left="567" w:hanging="567"/>
      </w:pPr>
      <w:r>
        <w:lastRenderedPageBreak/>
        <w:t>Conclusions</w:t>
      </w:r>
    </w:p>
    <w:p w14:paraId="1A5074B8" w14:textId="619C5EFB" w:rsidR="001E4409" w:rsidRPr="001E4409" w:rsidRDefault="001E4409" w:rsidP="001E4409">
      <w:pPr>
        <w:pStyle w:val="Textoindependiente"/>
        <w:numPr>
          <w:ilvl w:val="0"/>
          <w:numId w:val="20"/>
        </w:numPr>
        <w:ind w:left="709"/>
      </w:pPr>
      <w:r>
        <w:t>As an adequate transport and storage container was not available for the 52 DSRS</w:t>
      </w:r>
      <w:r w:rsidR="00DF080A">
        <w:t xml:space="preserve"> of the Food Irradiation Plant</w:t>
      </w:r>
      <w:r>
        <w:t xml:space="preserve">, the sources were temporary transferred to the reserve pit, to allow </w:t>
      </w:r>
      <w:r>
        <w:rPr>
          <w:lang w:val="en-US"/>
        </w:rPr>
        <w:t xml:space="preserve">the </w:t>
      </w:r>
      <w:r w:rsidRPr="00A06BD7">
        <w:rPr>
          <w:lang w:val="en-US"/>
        </w:rPr>
        <w:t>revision and maintenance of the auxiliary systems</w:t>
      </w:r>
      <w:r>
        <w:rPr>
          <w:lang w:val="en-US"/>
        </w:rPr>
        <w:t xml:space="preserve"> in the facility</w:t>
      </w:r>
      <w:r w:rsidRPr="00A06BD7">
        <w:rPr>
          <w:lang w:val="en-US"/>
        </w:rPr>
        <w:t>, including the irradiator rack and its hoist mechanism</w:t>
      </w:r>
      <w:r>
        <w:rPr>
          <w:lang w:val="en-US"/>
        </w:rPr>
        <w:t xml:space="preserve">. The facility was then recharged with new Co-60 radioactive sources. </w:t>
      </w:r>
    </w:p>
    <w:p w14:paraId="48C0E017" w14:textId="6F1237B3" w:rsidR="00E248BA" w:rsidRDefault="001E4409" w:rsidP="001E4409">
      <w:pPr>
        <w:pStyle w:val="Textoindependiente"/>
        <w:numPr>
          <w:ilvl w:val="0"/>
          <w:numId w:val="20"/>
        </w:numPr>
        <w:ind w:left="709"/>
      </w:pPr>
      <w:r>
        <w:t xml:space="preserve">Storage </w:t>
      </w:r>
      <w:r w:rsidR="00F573F7">
        <w:t xml:space="preserve">of the DSRS </w:t>
      </w:r>
      <w:r>
        <w:t xml:space="preserve">in the reserve pit should be a temporary measure, the DSRS should be transferred to the Waste Storage Facility, </w:t>
      </w:r>
      <w:proofErr w:type="gramStart"/>
      <w:r>
        <w:t>this</w:t>
      </w:r>
      <w:proofErr w:type="gramEnd"/>
      <w:r>
        <w:t xml:space="preserve"> operation will be implemented by the end of this year</w:t>
      </w:r>
      <w:r w:rsidR="00E248BA">
        <w:t xml:space="preserve">. </w:t>
      </w:r>
    </w:p>
    <w:p w14:paraId="4EEA8BE4" w14:textId="1518C8AD" w:rsidR="001E4409" w:rsidRDefault="00E248BA" w:rsidP="001E4409">
      <w:pPr>
        <w:pStyle w:val="Textoindependiente"/>
        <w:numPr>
          <w:ilvl w:val="0"/>
          <w:numId w:val="20"/>
        </w:numPr>
        <w:ind w:left="709"/>
      </w:pPr>
      <w:r>
        <w:t>Safety analyses carried out for transferring the DSRS from irradiator to the reserve pit, for the removal of sources from the reserve pit and transfer to the container CUB-40, and for the transport to the Waste Storage Facility demonstrate the safety for the Occupational Exposed Workers and the public. T</w:t>
      </w:r>
      <w:r w:rsidR="001E4409">
        <w:t>he authorization</w:t>
      </w:r>
      <w:r>
        <w:t>s</w:t>
      </w:r>
      <w:r w:rsidR="001E4409">
        <w:t xml:space="preserve"> from the National Regulatory Body w</w:t>
      </w:r>
      <w:r>
        <w:t>ere</w:t>
      </w:r>
      <w:r w:rsidR="001E4409">
        <w:t xml:space="preserve"> granted to the CPHR. </w:t>
      </w:r>
    </w:p>
    <w:p w14:paraId="5744A4C7" w14:textId="68AD3613" w:rsidR="00EB7C22" w:rsidRPr="00285755" w:rsidRDefault="00EB7C22" w:rsidP="00EB7C22">
      <w:pPr>
        <w:pStyle w:val="Otherunnumberedheadings"/>
      </w:pPr>
      <w:r>
        <w:t>Reference</w:t>
      </w:r>
      <w:bookmarkStart w:id="0" w:name="_GoBack"/>
      <w:bookmarkEnd w:id="0"/>
      <w:r>
        <w:t>s</w:t>
      </w:r>
    </w:p>
    <w:p w14:paraId="787C52F5" w14:textId="77777777" w:rsidR="00DA50F7" w:rsidRDefault="00DA50F7" w:rsidP="00DA50F7">
      <w:pPr>
        <w:pStyle w:val="Referencelist"/>
      </w:pPr>
      <w:r>
        <w:t>INTERNATIONAL ATOMIC ENERGY AGENCY, “Application of the Risk Matrix Method to Radiotherapy”, IAEA-TECDOC-1685, Vienna (2016).</w:t>
      </w:r>
    </w:p>
    <w:p w14:paraId="54878361" w14:textId="77777777" w:rsidR="00DA50F7" w:rsidRPr="0034238B" w:rsidRDefault="00DA50F7" w:rsidP="00DA50F7">
      <w:pPr>
        <w:pStyle w:val="Referencelist"/>
      </w:pPr>
      <w:r>
        <w:t xml:space="preserve">FORO IBEROAMERICANO DE ORGANISMOS REGULADORES RADIOLOGICOS Y NUCLEARES, “Application of risk matrix method for safety assessment in industrial radiography” (Spanish), </w:t>
      </w:r>
      <w:proofErr w:type="spellStart"/>
      <w:r>
        <w:t>Volumen</w:t>
      </w:r>
      <w:proofErr w:type="spellEnd"/>
      <w:r>
        <w:t xml:space="preserve"> 1: </w:t>
      </w:r>
      <w:proofErr w:type="spellStart"/>
      <w:r>
        <w:t>texto</w:t>
      </w:r>
      <w:proofErr w:type="spellEnd"/>
      <w:r>
        <w:t xml:space="preserve"> principal, FORO (2016). </w:t>
      </w:r>
    </w:p>
    <w:p w14:paraId="1181C122" w14:textId="3762E4D3" w:rsidR="00EB7C22" w:rsidRPr="0034238B" w:rsidRDefault="00EB7C22" w:rsidP="00EB7C22">
      <w:pPr>
        <w:pStyle w:val="Referencelist"/>
      </w:pPr>
      <w:r w:rsidRPr="00EB7C22">
        <w:t>González N., Salgado M</w:t>
      </w:r>
      <w:r>
        <w:t>., “</w:t>
      </w:r>
      <w:r w:rsidRPr="00EB7C22">
        <w:t xml:space="preserve">Safety </w:t>
      </w:r>
      <w:r>
        <w:t>a</w:t>
      </w:r>
      <w:r w:rsidRPr="00EB7C22">
        <w:t xml:space="preserve">ssessment for the </w:t>
      </w:r>
      <w:r>
        <w:t>m</w:t>
      </w:r>
      <w:r w:rsidRPr="00EB7C22">
        <w:t xml:space="preserve">anagement of </w:t>
      </w:r>
      <w:r>
        <w:t>d</w:t>
      </w:r>
      <w:r w:rsidRPr="00EB7C22">
        <w:t>isused radioactive sources from the irradia</w:t>
      </w:r>
      <w:r>
        <w:t xml:space="preserve">tion facility product </w:t>
      </w:r>
      <w:r w:rsidR="00D32BB3">
        <w:t>I</w:t>
      </w:r>
      <w:r>
        <w:t xml:space="preserve"> in Cuba”, </w:t>
      </w:r>
      <w:r w:rsidR="00D32BB3" w:rsidRPr="00D32BB3">
        <w:t>Proceedings of the International Conference on the Safety of Radioactive Waste Management, Vienna, Austria</w:t>
      </w:r>
      <w:r w:rsidR="00D32BB3">
        <w:t>, 2016</w:t>
      </w:r>
      <w:r w:rsidRPr="0034238B">
        <w:t>.</w:t>
      </w:r>
    </w:p>
    <w:p w14:paraId="6469E34F" w14:textId="77777777" w:rsidR="00EB7C22" w:rsidRDefault="00EB7C22" w:rsidP="00537496">
      <w:pPr>
        <w:pStyle w:val="Textoindependiente"/>
      </w:pPr>
    </w:p>
    <w:sectPr w:rsidR="00EB7C22" w:rsidSect="0026525A">
      <w:headerReference w:type="even" r:id="rId26"/>
      <w:headerReference w:type="default" r:id="rId27"/>
      <w:footerReference w:type="even" r:id="rId28"/>
      <w:footerReference w:type="default" r:id="rId29"/>
      <w:headerReference w:type="first" r:id="rId30"/>
      <w:footerReference w:type="first" r:id="rId31"/>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A0DEA" w14:textId="77777777" w:rsidR="007030A4" w:rsidRDefault="007030A4">
      <w:r>
        <w:separator/>
      </w:r>
    </w:p>
  </w:endnote>
  <w:endnote w:type="continuationSeparator" w:id="0">
    <w:p w14:paraId="1C28A682" w14:textId="77777777" w:rsidR="007030A4" w:rsidRDefault="00703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6" w14:textId="77777777" w:rsidR="00632AFC" w:rsidRDefault="00632AFC">
    <w:pPr>
      <w:pStyle w:val="zyxClassification1"/>
    </w:pPr>
    <w:r>
      <w:fldChar w:fldCharType="begin"/>
    </w:r>
    <w:r>
      <w:instrText xml:space="preserve"> DOCPROPERTY "IaeaClassification"  \* MERGEFORMAT </w:instrText>
    </w:r>
    <w:r>
      <w:fldChar w:fldCharType="end"/>
    </w:r>
  </w:p>
  <w:p w14:paraId="433FE0C7" w14:textId="77777777" w:rsidR="00632AFC" w:rsidRDefault="00632AFC">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8" w14:textId="77777777" w:rsidR="00632AFC" w:rsidRDefault="00632AFC">
    <w:pPr>
      <w:pStyle w:val="zyxClassification1"/>
    </w:pPr>
    <w:r>
      <w:fldChar w:fldCharType="begin"/>
    </w:r>
    <w:r>
      <w:instrText xml:space="preserve"> DOCPROPERTY "IaeaClassification"  \* MERGEFORMAT </w:instrText>
    </w:r>
    <w:r>
      <w:fldChar w:fldCharType="end"/>
    </w:r>
  </w:p>
  <w:p w14:paraId="433FE0C9" w14:textId="1A12A3B3" w:rsidR="00632AFC" w:rsidRPr="00037321" w:rsidRDefault="00632AFC">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424CED">
      <w:rPr>
        <w:rFonts w:ascii="Times New Roman" w:hAnsi="Times New Roman" w:cs="Times New Roman"/>
        <w:noProof/>
        <w:sz w:val="20"/>
      </w:rPr>
      <w:t>7</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632AFC" w14:paraId="433FE0D8" w14:textId="77777777">
      <w:trPr>
        <w:cantSplit/>
      </w:trPr>
      <w:tc>
        <w:tcPr>
          <w:tcW w:w="4644" w:type="dxa"/>
        </w:tcPr>
        <w:p w14:paraId="433FE0D4" w14:textId="77777777" w:rsidR="00632AFC" w:rsidRDefault="00632AFC">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632AFC" w:rsidRDefault="00632AFC">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433FE0D6" w14:textId="77777777" w:rsidR="00632AFC" w:rsidRDefault="00632AFC">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D7" w14:textId="77777777" w:rsidR="00632AFC" w:rsidRDefault="00632AFC">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33FE0D9" w14:textId="77777777" w:rsidR="00632AFC" w:rsidRDefault="00632AFC">
    <w:r>
      <w:rPr>
        <w:sz w:val="16"/>
      </w:rPr>
      <w:fldChar w:fldCharType="begin"/>
    </w:r>
    <w:r>
      <w:rPr>
        <w:sz w:val="16"/>
      </w:rPr>
      <w:instrText xml:space="preserve"> FILENAME \* MERGEFORMAT </w:instrText>
    </w:r>
    <w:r>
      <w:rPr>
        <w:sz w:val="16"/>
      </w:rPr>
      <w:fldChar w:fldCharType="separate"/>
    </w:r>
    <w:r>
      <w:rPr>
        <w:noProof/>
        <w:sz w:val="16"/>
      </w:rPr>
      <w:t>Example paper.docx</w:t>
    </w:r>
    <w:r>
      <w:rPr>
        <w:sz w:val="16"/>
      </w:rP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B0D3A" w14:textId="77777777" w:rsidR="007030A4" w:rsidRDefault="007030A4">
      <w:r>
        <w:t>___________________________________________________________________________</w:t>
      </w:r>
    </w:p>
  </w:footnote>
  <w:footnote w:type="continuationSeparator" w:id="0">
    <w:p w14:paraId="73E8D0FC" w14:textId="77777777" w:rsidR="007030A4" w:rsidRDefault="007030A4">
      <w:r>
        <w:t>___________________________________________________________________________</w:t>
      </w:r>
    </w:p>
  </w:footnote>
  <w:footnote w:type="continuationNotice" w:id="1">
    <w:p w14:paraId="19383AE1" w14:textId="77777777" w:rsidR="007030A4" w:rsidRDefault="007030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0" w14:textId="4C7A4206" w:rsidR="00632AFC" w:rsidRDefault="00632AFC" w:rsidP="00CF7AF3">
    <w:pPr>
      <w:pStyle w:val="Runninghead"/>
    </w:pPr>
    <w:r>
      <w:tab/>
      <w:t>IAEA-CN-294</w:t>
    </w:r>
    <w:r w:rsidR="004E5FEB">
      <w:t>-</w:t>
    </w:r>
    <w:r w:rsidR="004E5FEB" w:rsidRPr="004E5FEB">
      <w:t>ID #32</w:t>
    </w:r>
  </w:p>
  <w:p w14:paraId="433FE0C2" w14:textId="77777777" w:rsidR="00632AFC" w:rsidRDefault="00632AFC" w:rsidP="00CF7AF3">
    <w:pPr>
      <w:pStyle w:val="zyxClassification1"/>
      <w:tabs>
        <w:tab w:val="left" w:pos="3956"/>
        <w:tab w:val="right" w:pos="9071"/>
      </w:tabs>
      <w:jc w:val="left"/>
    </w:pPr>
    <w:r>
      <w:tab/>
    </w:r>
    <w:r>
      <w:fldChar w:fldCharType="begin"/>
    </w:r>
    <w:r>
      <w:instrText xml:space="preserve"> DOCPROPERTY "IaeaClassification"  \* MERGEFORMAT </w:instrText>
    </w:r>
    <w:r>
      <w:fldChar w:fldCharType="end"/>
    </w:r>
  </w:p>
  <w:p w14:paraId="433FE0C3" w14:textId="77777777" w:rsidR="00632AFC" w:rsidRDefault="00632AFC">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4" w14:textId="0B619A0D" w:rsidR="00632AFC" w:rsidRPr="00286248" w:rsidRDefault="00632AFC" w:rsidP="00B82FA5">
    <w:pPr>
      <w:pStyle w:val="Runninghead"/>
      <w:rPr>
        <w:lang w:val="es-ES"/>
      </w:rPr>
    </w:pPr>
    <w:r w:rsidRPr="00286248">
      <w:rPr>
        <w:lang w:val="es-ES"/>
      </w:rPr>
      <w:t>SALGADO M.M., GONZÁLEZ R.N et 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632AFC" w14:paraId="433FE0CE" w14:textId="77777777">
      <w:trPr>
        <w:cantSplit/>
        <w:trHeight w:val="716"/>
      </w:trPr>
      <w:tc>
        <w:tcPr>
          <w:tcW w:w="979" w:type="dxa"/>
          <w:vMerge w:val="restart"/>
        </w:tcPr>
        <w:p w14:paraId="433FE0CA" w14:textId="77777777" w:rsidR="00632AFC" w:rsidRDefault="00632AFC">
          <w:pPr>
            <w:spacing w:before="180"/>
            <w:ind w:left="17"/>
          </w:pPr>
        </w:p>
      </w:tc>
      <w:tc>
        <w:tcPr>
          <w:tcW w:w="3638" w:type="dxa"/>
          <w:vAlign w:val="bottom"/>
        </w:tcPr>
        <w:p w14:paraId="433FE0CB" w14:textId="77777777" w:rsidR="00632AFC" w:rsidRDefault="00632AFC">
          <w:pPr>
            <w:spacing w:after="20"/>
          </w:pPr>
        </w:p>
      </w:tc>
      <w:bookmarkStart w:id="1" w:name="DOC_bkmClassification1"/>
      <w:tc>
        <w:tcPr>
          <w:tcW w:w="5702" w:type="dxa"/>
          <w:vMerge w:val="restart"/>
          <w:tcMar>
            <w:right w:w="193" w:type="dxa"/>
          </w:tcMar>
        </w:tcPr>
        <w:p w14:paraId="433FE0CC" w14:textId="77777777" w:rsidR="00632AFC" w:rsidRDefault="00632AFC">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3FE0CD" w14:textId="77777777" w:rsidR="00632AFC" w:rsidRDefault="00632AFC">
          <w:pPr>
            <w:pStyle w:val="zyxConfid2Red"/>
          </w:pPr>
          <w:r>
            <w:fldChar w:fldCharType="begin"/>
          </w:r>
          <w:r>
            <w:instrText>DOCPROPERTY "IaeaClassification2"  \* MERGEFORMAT</w:instrText>
          </w:r>
          <w:r>
            <w:fldChar w:fldCharType="end"/>
          </w:r>
        </w:p>
      </w:tc>
    </w:tr>
    <w:tr w:rsidR="00632AFC" w14:paraId="433FE0D2" w14:textId="77777777">
      <w:trPr>
        <w:cantSplit/>
        <w:trHeight w:val="167"/>
      </w:trPr>
      <w:tc>
        <w:tcPr>
          <w:tcW w:w="979" w:type="dxa"/>
          <w:vMerge/>
        </w:tcPr>
        <w:p w14:paraId="433FE0CF" w14:textId="77777777" w:rsidR="00632AFC" w:rsidRDefault="00632AFC">
          <w:pPr>
            <w:spacing w:before="57"/>
          </w:pPr>
        </w:p>
      </w:tc>
      <w:tc>
        <w:tcPr>
          <w:tcW w:w="3638" w:type="dxa"/>
          <w:vAlign w:val="bottom"/>
        </w:tcPr>
        <w:p w14:paraId="433FE0D0" w14:textId="77777777" w:rsidR="00632AFC" w:rsidRDefault="00632AFC">
          <w:pPr>
            <w:pStyle w:val="Ttulo9"/>
            <w:spacing w:before="0" w:after="10"/>
          </w:pPr>
        </w:p>
      </w:tc>
      <w:tc>
        <w:tcPr>
          <w:tcW w:w="5702" w:type="dxa"/>
          <w:vMerge/>
          <w:vAlign w:val="bottom"/>
        </w:tcPr>
        <w:p w14:paraId="433FE0D1" w14:textId="77777777" w:rsidR="00632AFC" w:rsidRDefault="00632AFC">
          <w:pPr>
            <w:pStyle w:val="Ttulo9"/>
            <w:spacing w:before="0" w:after="10"/>
          </w:pPr>
        </w:p>
      </w:tc>
    </w:tr>
  </w:tbl>
  <w:p w14:paraId="433FE0D3" w14:textId="77777777" w:rsidR="00632AFC" w:rsidRDefault="00632A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063FBA"/>
    <w:multiLevelType w:val="hybridMultilevel"/>
    <w:tmpl w:val="3C4ED1A0"/>
    <w:lvl w:ilvl="0" w:tplc="0C0A000F">
      <w:start w:val="1"/>
      <w:numFmt w:val="decimal"/>
      <w:lvlText w:val="%1."/>
      <w:lvlJc w:val="left"/>
      <w:pPr>
        <w:tabs>
          <w:tab w:val="num" w:pos="720"/>
        </w:tabs>
        <w:ind w:left="720" w:hanging="360"/>
      </w:pPr>
    </w:lvl>
    <w:lvl w:ilvl="1" w:tplc="04E2CAD6">
      <w:start w:val="1"/>
      <w:numFmt w:val="bullet"/>
      <w:lvlText w:val=""/>
      <w:lvlJc w:val="left"/>
      <w:pPr>
        <w:tabs>
          <w:tab w:val="num" w:pos="1477"/>
        </w:tabs>
        <w:ind w:left="1477" w:hanging="397"/>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Ttulo2"/>
      <w:suff w:val="space"/>
      <w:lvlText w:val="%1%2."/>
      <w:lvlJc w:val="left"/>
      <w:pPr>
        <w:ind w:left="0" w:firstLine="0"/>
      </w:pPr>
      <w:rPr>
        <w:rFonts w:hint="default"/>
        <w:color w:val="auto"/>
      </w:rPr>
    </w:lvl>
    <w:lvl w:ilvl="2">
      <w:start w:val="1"/>
      <w:numFmt w:val="decimal"/>
      <w:lvlRestart w:val="0"/>
      <w:pStyle w:val="Ttulo3"/>
      <w:lvlText w:val="%1%2.%3."/>
      <w:lvlJc w:val="left"/>
      <w:pPr>
        <w:ind w:left="0" w:firstLine="0"/>
      </w:pPr>
      <w:rPr>
        <w:rFonts w:hint="default"/>
      </w:rPr>
    </w:lvl>
    <w:lvl w:ilvl="3">
      <w:start w:val="1"/>
      <w:numFmt w:val="decimal"/>
      <w:lvlRestart w:val="0"/>
      <w:pStyle w:val="Ttulo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4"/>
  </w:num>
  <w:num w:numId="3">
    <w:abstractNumId w:val="11"/>
  </w:num>
  <w:num w:numId="4">
    <w:abstractNumId w:val="11"/>
  </w:num>
  <w:num w:numId="5">
    <w:abstractNumId w:val="11"/>
  </w:num>
  <w:num w:numId="6">
    <w:abstractNumId w:val="5"/>
  </w:num>
  <w:num w:numId="7">
    <w:abstractNumId w:val="9"/>
  </w:num>
  <w:num w:numId="8">
    <w:abstractNumId w:val="12"/>
  </w:num>
  <w:num w:numId="9">
    <w:abstractNumId w:val="1"/>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tulo2"/>
        <w:lvlText w:val="%1%2."/>
        <w:lvlJc w:val="left"/>
        <w:pPr>
          <w:ind w:left="0" w:firstLine="0"/>
        </w:pPr>
        <w:rPr>
          <w:rFonts w:hint="default"/>
          <w:color w:val="auto"/>
        </w:rPr>
      </w:lvl>
    </w:lvlOverride>
    <w:lvlOverride w:ilvl="2">
      <w:lvl w:ilvl="2">
        <w:start w:val="1"/>
        <w:numFmt w:val="decimal"/>
        <w:lvlRestart w:val="0"/>
        <w:pStyle w:val="Ttulo3"/>
        <w:lvlText w:val="%1%2.%3."/>
        <w:lvlJc w:val="left"/>
        <w:pPr>
          <w:ind w:left="0" w:firstLine="0"/>
        </w:pPr>
        <w:rPr>
          <w:rFonts w:hint="default"/>
        </w:rPr>
      </w:lvl>
    </w:lvlOverride>
    <w:lvlOverride w:ilvl="3">
      <w:lvl w:ilvl="3">
        <w:start w:val="1"/>
        <w:numFmt w:val="none"/>
        <w:lvlRestart w:val="0"/>
        <w:pStyle w:val="Ttulo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tulo2"/>
        <w:suff w:val="space"/>
        <w:lvlText w:val="%1%2."/>
        <w:lvlJc w:val="left"/>
        <w:pPr>
          <w:ind w:left="0" w:firstLine="0"/>
        </w:pPr>
        <w:rPr>
          <w:rFonts w:hint="default"/>
          <w:color w:val="auto"/>
        </w:rPr>
      </w:lvl>
    </w:lvlOverride>
    <w:lvlOverride w:ilvl="2">
      <w:lvl w:ilvl="2">
        <w:start w:val="1"/>
        <w:numFmt w:val="decimal"/>
        <w:lvlRestart w:val="0"/>
        <w:pStyle w:val="Ttulo3"/>
        <w:suff w:val="space"/>
        <w:lvlText w:val="%1%2.%3."/>
        <w:lvlJc w:val="left"/>
        <w:pPr>
          <w:ind w:left="0" w:firstLine="0"/>
        </w:pPr>
        <w:rPr>
          <w:rFonts w:hint="default"/>
        </w:rPr>
      </w:lvl>
    </w:lvlOverride>
    <w:lvlOverride w:ilvl="3">
      <w:lvl w:ilvl="3">
        <w:start w:val="1"/>
        <w:numFmt w:val="decimal"/>
        <w:lvlRestart w:val="0"/>
        <w:pStyle w:val="Ttulo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1"/>
  </w:num>
  <w:num w:numId="22">
    <w:abstractNumId w:val="3"/>
  </w:num>
  <w:num w:numId="23">
    <w:abstractNumId w:val="0"/>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6"/>
  </w:num>
  <w:num w:numId="31">
    <w:abstractNumId w:val="6"/>
  </w:num>
  <w:num w:numId="32">
    <w:abstractNumId w:val="11"/>
  </w:num>
  <w:num w:numId="33">
    <w:abstractNumId w:val="11"/>
  </w:num>
  <w:num w:numId="34">
    <w:abstractNumId w:val="2"/>
  </w:num>
  <w:num w:numId="35">
    <w:abstractNumId w:val="11"/>
  </w:num>
  <w:num w:numId="36">
    <w:abstractNumId w:val="11"/>
  </w:num>
  <w:num w:numId="37">
    <w:abstractNumId w:val="11"/>
    <w:lvlOverride w:ilvl="0">
      <w:startOverride w:val="1"/>
      <w:lvl w:ilvl="0">
        <w:start w:val="1"/>
        <w:numFmt w:val="none"/>
        <w:lvlRestart w:val="0"/>
        <w:lvlText w:val=""/>
        <w:lvlJc w:val="left"/>
        <w:pPr>
          <w:tabs>
            <w:tab w:val="num" w:pos="459"/>
          </w:tabs>
          <w:ind w:left="0" w:firstLine="0"/>
        </w:pPr>
        <w:rPr>
          <w:rFonts w:hint="default"/>
        </w:rPr>
      </w:lvl>
    </w:lvlOverride>
    <w:lvlOverride w:ilvl="1">
      <w:startOverride w:val="1"/>
      <w:lvl w:ilvl="1">
        <w:start w:val="1"/>
        <w:numFmt w:val="decimal"/>
        <w:lvlRestart w:val="0"/>
        <w:pStyle w:val="Ttulo2"/>
        <w:lvlText w:val="%1%2."/>
        <w:lvlJc w:val="left"/>
        <w:pPr>
          <w:ind w:left="0" w:firstLine="0"/>
        </w:pPr>
        <w:rPr>
          <w:rFonts w:hint="default"/>
          <w:color w:val="auto"/>
        </w:rPr>
      </w:lvl>
    </w:lvlOverride>
    <w:lvlOverride w:ilvl="2">
      <w:startOverride w:val="1"/>
      <w:lvl w:ilvl="2">
        <w:start w:val="1"/>
        <w:numFmt w:val="decimal"/>
        <w:lvlRestart w:val="0"/>
        <w:pStyle w:val="Ttulo3"/>
        <w:lvlText w:val="%1%2.%3."/>
        <w:lvlJc w:val="left"/>
        <w:pPr>
          <w:ind w:left="0" w:firstLine="0"/>
        </w:pPr>
        <w:rPr>
          <w:rFonts w:hint="default"/>
        </w:rPr>
      </w:lvl>
    </w:lvlOverride>
    <w:lvlOverride w:ilvl="3">
      <w:startOverride w:val="1"/>
      <w:lvl w:ilvl="3">
        <w:start w:val="1"/>
        <w:numFmt w:val="none"/>
        <w:lvlRestart w:val="0"/>
        <w:pStyle w:val="Ttulo4"/>
        <w:lvlText w:val=""/>
        <w:lvlJc w:val="left"/>
        <w:pPr>
          <w:tabs>
            <w:tab w:val="num" w:pos="2058"/>
          </w:tabs>
          <w:ind w:left="1701" w:firstLine="0"/>
        </w:pPr>
        <w:rPr>
          <w:rFonts w:hint="default"/>
        </w:rPr>
      </w:lvl>
    </w:lvlOverride>
    <w:lvlOverride w:ilvl="4">
      <w:startOverride w:val="1"/>
      <w:lvl w:ilvl="4">
        <w:start w:val="1"/>
        <w:numFmt w:val="lowerLetter"/>
        <w:lvlRestart w:val="0"/>
        <w:lvlText w:val="%1(%5)"/>
        <w:lvlJc w:val="left"/>
        <w:pPr>
          <w:tabs>
            <w:tab w:val="num" w:pos="3345"/>
          </w:tabs>
          <w:ind w:left="2268" w:firstLine="0"/>
        </w:pPr>
        <w:rPr>
          <w:rFonts w:hint="default"/>
          <w:sz w:val="20"/>
        </w:rPr>
      </w:lvl>
    </w:lvlOverride>
    <w:lvlOverride w:ilvl="5">
      <w:startOverride w:val="1"/>
      <w:lvl w:ilvl="5">
        <w:start w:val="1"/>
        <w:numFmt w:val="decimal"/>
        <w:lvlText w:val="%1.%2.%3.%4.%5.%6"/>
        <w:lvlJc w:val="left"/>
        <w:pPr>
          <w:tabs>
            <w:tab w:val="num" w:pos="3912"/>
          </w:tabs>
          <w:ind w:left="2835" w:firstLine="0"/>
        </w:pPr>
        <w:rPr>
          <w:rFonts w:hint="default"/>
        </w:rPr>
      </w:lvl>
    </w:lvlOverride>
    <w:lvlOverride w:ilvl="6">
      <w:startOverride w:val="1"/>
      <w:lvl w:ilvl="6">
        <w:start w:val="1"/>
        <w:numFmt w:val="decimal"/>
        <w:lvlText w:val="%1.%2.%3.%4.%5.%6.%7"/>
        <w:lvlJc w:val="left"/>
        <w:pPr>
          <w:tabs>
            <w:tab w:val="num" w:pos="2432"/>
          </w:tabs>
          <w:ind w:left="2432" w:hanging="1298"/>
        </w:pPr>
        <w:rPr>
          <w:rFonts w:hint="default"/>
        </w:rPr>
      </w:lvl>
    </w:lvlOverride>
    <w:lvlOverride w:ilvl="7">
      <w:startOverride w:val="1"/>
      <w:lvl w:ilvl="7">
        <w:start w:val="1"/>
        <w:numFmt w:val="decimal"/>
        <w:lvlText w:val="%1.%2.%3.%4.%5.%6.%7.%8"/>
        <w:lvlJc w:val="left"/>
        <w:pPr>
          <w:tabs>
            <w:tab w:val="num" w:pos="2574"/>
          </w:tabs>
          <w:ind w:left="2574" w:hanging="1440"/>
        </w:pPr>
        <w:rPr>
          <w:rFonts w:hint="default"/>
        </w:rPr>
      </w:lvl>
    </w:lvlOverride>
    <w:lvlOverride w:ilvl="8">
      <w:startOverride w:val="1"/>
      <w:lvl w:ilvl="8">
        <w:start w:val="1"/>
        <w:numFmt w:val="decimal"/>
        <w:lvlText w:val="%1.%2.%3.%4.%5.%6.%7.%8.%9"/>
        <w:lvlJc w:val="left"/>
        <w:pPr>
          <w:tabs>
            <w:tab w:val="num" w:pos="2716"/>
          </w:tabs>
          <w:ind w:left="2716" w:hanging="1582"/>
        </w:pPr>
        <w:rPr>
          <w:rFonts w:hint="default"/>
        </w:rPr>
      </w:lvl>
    </w:lvlOverride>
  </w:num>
  <w:num w:numId="38">
    <w:abstractNumId w:val="7"/>
  </w:num>
  <w:num w:numId="39">
    <w:abstractNumId w:val="1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56F4"/>
    <w:rsid w:val="00037321"/>
    <w:rsid w:val="00066DE8"/>
    <w:rsid w:val="000743B7"/>
    <w:rsid w:val="000A0299"/>
    <w:rsid w:val="000A2990"/>
    <w:rsid w:val="000B335E"/>
    <w:rsid w:val="000C7345"/>
    <w:rsid w:val="000E6515"/>
    <w:rsid w:val="000F7E94"/>
    <w:rsid w:val="001119D6"/>
    <w:rsid w:val="001308F2"/>
    <w:rsid w:val="001313E8"/>
    <w:rsid w:val="00134563"/>
    <w:rsid w:val="001446DA"/>
    <w:rsid w:val="001467B2"/>
    <w:rsid w:val="00183BC4"/>
    <w:rsid w:val="00184339"/>
    <w:rsid w:val="00185A51"/>
    <w:rsid w:val="001B6355"/>
    <w:rsid w:val="001C58F5"/>
    <w:rsid w:val="001D5CEE"/>
    <w:rsid w:val="001E4409"/>
    <w:rsid w:val="001E5128"/>
    <w:rsid w:val="001F22CF"/>
    <w:rsid w:val="002018A4"/>
    <w:rsid w:val="002071D9"/>
    <w:rsid w:val="00247515"/>
    <w:rsid w:val="00256822"/>
    <w:rsid w:val="00257076"/>
    <w:rsid w:val="002622A1"/>
    <w:rsid w:val="0026525A"/>
    <w:rsid w:val="00274790"/>
    <w:rsid w:val="00285755"/>
    <w:rsid w:val="00286248"/>
    <w:rsid w:val="002A1F9C"/>
    <w:rsid w:val="002B29C2"/>
    <w:rsid w:val="002C4208"/>
    <w:rsid w:val="002E174B"/>
    <w:rsid w:val="002F1849"/>
    <w:rsid w:val="00322204"/>
    <w:rsid w:val="0034238B"/>
    <w:rsid w:val="003520CE"/>
    <w:rsid w:val="00352DE1"/>
    <w:rsid w:val="003728E6"/>
    <w:rsid w:val="00392532"/>
    <w:rsid w:val="003B5E0E"/>
    <w:rsid w:val="003C1342"/>
    <w:rsid w:val="003D255A"/>
    <w:rsid w:val="003D51A9"/>
    <w:rsid w:val="003E7572"/>
    <w:rsid w:val="004067E9"/>
    <w:rsid w:val="00416949"/>
    <w:rsid w:val="00421217"/>
    <w:rsid w:val="00424CED"/>
    <w:rsid w:val="004260F1"/>
    <w:rsid w:val="004316BD"/>
    <w:rsid w:val="004370D8"/>
    <w:rsid w:val="00472C43"/>
    <w:rsid w:val="00475344"/>
    <w:rsid w:val="004972E6"/>
    <w:rsid w:val="004A75DB"/>
    <w:rsid w:val="004C33A0"/>
    <w:rsid w:val="004D3E21"/>
    <w:rsid w:val="004E5FEB"/>
    <w:rsid w:val="004E6AFC"/>
    <w:rsid w:val="00526A8C"/>
    <w:rsid w:val="00537496"/>
    <w:rsid w:val="00544ED3"/>
    <w:rsid w:val="00555127"/>
    <w:rsid w:val="00572EC2"/>
    <w:rsid w:val="00573300"/>
    <w:rsid w:val="005833AF"/>
    <w:rsid w:val="0058477B"/>
    <w:rsid w:val="0058654F"/>
    <w:rsid w:val="00596ACA"/>
    <w:rsid w:val="005A1343"/>
    <w:rsid w:val="005E39BC"/>
    <w:rsid w:val="005F00A0"/>
    <w:rsid w:val="005F63A1"/>
    <w:rsid w:val="00615138"/>
    <w:rsid w:val="00632AFC"/>
    <w:rsid w:val="00636263"/>
    <w:rsid w:val="00647F33"/>
    <w:rsid w:val="00662532"/>
    <w:rsid w:val="00662ADA"/>
    <w:rsid w:val="00664061"/>
    <w:rsid w:val="00696361"/>
    <w:rsid w:val="006B2274"/>
    <w:rsid w:val="007030A4"/>
    <w:rsid w:val="007039AD"/>
    <w:rsid w:val="00706F84"/>
    <w:rsid w:val="007100FC"/>
    <w:rsid w:val="00717C6F"/>
    <w:rsid w:val="007220EB"/>
    <w:rsid w:val="00733C8D"/>
    <w:rsid w:val="00742369"/>
    <w:rsid w:val="007445DA"/>
    <w:rsid w:val="00745D90"/>
    <w:rsid w:val="00754603"/>
    <w:rsid w:val="00776AD1"/>
    <w:rsid w:val="00780E5E"/>
    <w:rsid w:val="00792493"/>
    <w:rsid w:val="007B1694"/>
    <w:rsid w:val="007B4FD1"/>
    <w:rsid w:val="00802381"/>
    <w:rsid w:val="00811D0A"/>
    <w:rsid w:val="00815460"/>
    <w:rsid w:val="008322F7"/>
    <w:rsid w:val="00883848"/>
    <w:rsid w:val="00897ED5"/>
    <w:rsid w:val="008B6BB9"/>
    <w:rsid w:val="008B6C4A"/>
    <w:rsid w:val="008D507F"/>
    <w:rsid w:val="008D6205"/>
    <w:rsid w:val="008E2A93"/>
    <w:rsid w:val="00902400"/>
    <w:rsid w:val="0090626C"/>
    <w:rsid w:val="00911543"/>
    <w:rsid w:val="00951259"/>
    <w:rsid w:val="009519C9"/>
    <w:rsid w:val="009543DE"/>
    <w:rsid w:val="0096667B"/>
    <w:rsid w:val="00971A30"/>
    <w:rsid w:val="00972459"/>
    <w:rsid w:val="00980174"/>
    <w:rsid w:val="00987E91"/>
    <w:rsid w:val="0099176B"/>
    <w:rsid w:val="009A1FC9"/>
    <w:rsid w:val="009D0B86"/>
    <w:rsid w:val="009E0D5B"/>
    <w:rsid w:val="009E1558"/>
    <w:rsid w:val="00A020DC"/>
    <w:rsid w:val="00A06BD7"/>
    <w:rsid w:val="00A1108F"/>
    <w:rsid w:val="00A42898"/>
    <w:rsid w:val="00A47811"/>
    <w:rsid w:val="00A817C1"/>
    <w:rsid w:val="00AA3C45"/>
    <w:rsid w:val="00AB6ACE"/>
    <w:rsid w:val="00AC5A3A"/>
    <w:rsid w:val="00B05C1D"/>
    <w:rsid w:val="00B11174"/>
    <w:rsid w:val="00B7213E"/>
    <w:rsid w:val="00B82FA5"/>
    <w:rsid w:val="00B92E01"/>
    <w:rsid w:val="00BA1CA8"/>
    <w:rsid w:val="00BA74FE"/>
    <w:rsid w:val="00BD1400"/>
    <w:rsid w:val="00BD605C"/>
    <w:rsid w:val="00BE2A76"/>
    <w:rsid w:val="00BE5EF2"/>
    <w:rsid w:val="00C13B3C"/>
    <w:rsid w:val="00C15FAD"/>
    <w:rsid w:val="00C16D2A"/>
    <w:rsid w:val="00C22E4D"/>
    <w:rsid w:val="00C3490B"/>
    <w:rsid w:val="00C57C86"/>
    <w:rsid w:val="00C65E60"/>
    <w:rsid w:val="00C6683C"/>
    <w:rsid w:val="00C772D6"/>
    <w:rsid w:val="00C85F95"/>
    <w:rsid w:val="00C907E4"/>
    <w:rsid w:val="00CA07AE"/>
    <w:rsid w:val="00CA48B1"/>
    <w:rsid w:val="00CC40A5"/>
    <w:rsid w:val="00CC5E2B"/>
    <w:rsid w:val="00CC707F"/>
    <w:rsid w:val="00CE5A52"/>
    <w:rsid w:val="00CF7AF3"/>
    <w:rsid w:val="00D015DD"/>
    <w:rsid w:val="00D057CA"/>
    <w:rsid w:val="00D26ADA"/>
    <w:rsid w:val="00D313FB"/>
    <w:rsid w:val="00D32BB3"/>
    <w:rsid w:val="00D35A78"/>
    <w:rsid w:val="00D438C1"/>
    <w:rsid w:val="00D476A5"/>
    <w:rsid w:val="00D54FB7"/>
    <w:rsid w:val="00D555A1"/>
    <w:rsid w:val="00D64DC2"/>
    <w:rsid w:val="00D77F48"/>
    <w:rsid w:val="00D82D2A"/>
    <w:rsid w:val="00D9772F"/>
    <w:rsid w:val="00DA46CA"/>
    <w:rsid w:val="00DA50F7"/>
    <w:rsid w:val="00DC4E77"/>
    <w:rsid w:val="00DF080A"/>
    <w:rsid w:val="00DF21EB"/>
    <w:rsid w:val="00DF348B"/>
    <w:rsid w:val="00DF53A4"/>
    <w:rsid w:val="00E04553"/>
    <w:rsid w:val="00E12B2D"/>
    <w:rsid w:val="00E16FF4"/>
    <w:rsid w:val="00E20E70"/>
    <w:rsid w:val="00E248BA"/>
    <w:rsid w:val="00E25B68"/>
    <w:rsid w:val="00E346F7"/>
    <w:rsid w:val="00E37317"/>
    <w:rsid w:val="00E40357"/>
    <w:rsid w:val="00E761E3"/>
    <w:rsid w:val="00E76E55"/>
    <w:rsid w:val="00E84003"/>
    <w:rsid w:val="00E8771B"/>
    <w:rsid w:val="00EA0334"/>
    <w:rsid w:val="00EA28FB"/>
    <w:rsid w:val="00EB7C22"/>
    <w:rsid w:val="00EC10FC"/>
    <w:rsid w:val="00ED0A99"/>
    <w:rsid w:val="00EE0041"/>
    <w:rsid w:val="00EE29B9"/>
    <w:rsid w:val="00F004EE"/>
    <w:rsid w:val="00F3247C"/>
    <w:rsid w:val="00F42E23"/>
    <w:rsid w:val="00F45EEE"/>
    <w:rsid w:val="00F51E9C"/>
    <w:rsid w:val="00F523CA"/>
    <w:rsid w:val="00F573F7"/>
    <w:rsid w:val="00F74A9D"/>
    <w:rsid w:val="00F81D86"/>
    <w:rsid w:val="00F81E87"/>
    <w:rsid w:val="00F857AD"/>
    <w:rsid w:val="00FE6FAC"/>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annotation text" w:uiPriority="99"/>
    <w:lsdException w:name="header" w:locked="0" w:uiPriority="0"/>
    <w:lsdException w:name="footer" w:locked="0" w:uiPriority="99"/>
    <w:lsdException w:name="caption" w:locked="0" w:uiPriority="0"/>
    <w:lsdException w:name="footnote reference" w:locked="0" w:uiPriority="0"/>
    <w:lsdException w:name="annotation reference" w:uiPriority="99"/>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Ttulo1">
    <w:name w:val="heading 1"/>
    <w:aliases w:val="Paper title"/>
    <w:next w:val="Subttulo"/>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Ttulo2">
    <w:name w:val="heading 2"/>
    <w:aliases w:val="1st level paper heading"/>
    <w:next w:val="Textoindependiente"/>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Ttulo3">
    <w:name w:val="heading 3"/>
    <w:aliases w:val="2nd level paper heading"/>
    <w:next w:val="Textoindependiente"/>
    <w:uiPriority w:val="4"/>
    <w:qFormat/>
    <w:rsid w:val="00897ED5"/>
    <w:pPr>
      <w:widowControl w:val="0"/>
      <w:numPr>
        <w:ilvl w:val="2"/>
        <w:numId w:val="12"/>
      </w:numPr>
      <w:spacing w:before="240" w:after="240" w:line="240" w:lineRule="exact"/>
      <w:outlineLvl w:val="2"/>
    </w:pPr>
    <w:rPr>
      <w:b/>
      <w:lang w:eastAsia="en-US"/>
    </w:rPr>
  </w:style>
  <w:style w:type="paragraph" w:styleId="Ttulo4">
    <w:name w:val="heading 4"/>
    <w:aliases w:val="3rd level paper heading"/>
    <w:basedOn w:val="Normal"/>
    <w:next w:val="Textoindependiente"/>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Ttulo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Ttulo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Ttulo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Ttulo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Ttulo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link w:val="TextoindependienteCar"/>
    <w:qFormat/>
    <w:rsid w:val="00647F33"/>
    <w:pPr>
      <w:spacing w:line="260" w:lineRule="atLeast"/>
      <w:ind w:firstLine="567"/>
      <w:contextualSpacing/>
      <w:jc w:val="both"/>
    </w:pPr>
    <w:rPr>
      <w:lang w:eastAsia="en-US"/>
    </w:rPr>
  </w:style>
  <w:style w:type="paragraph" w:styleId="Sangradetextonormal">
    <w:name w:val="Body Text Indent"/>
    <w:basedOn w:val="Textoindependiente"/>
    <w:uiPriority w:val="49"/>
    <w:locked/>
    <w:pPr>
      <w:ind w:left="1134" w:hanging="675"/>
    </w:pPr>
  </w:style>
  <w:style w:type="paragraph" w:customStyle="1" w:styleId="BodyTextMultiline">
    <w:name w:val="Body Text Multiline"/>
    <w:basedOn w:val="Textoindependiente"/>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Epgrafe">
    <w:name w:val="caption"/>
    <w:next w:val="Normal"/>
    <w:uiPriority w:val="49"/>
    <w:pPr>
      <w:spacing w:after="85"/>
    </w:pPr>
    <w:rPr>
      <w:bCs/>
      <w:sz w:val="18"/>
      <w:lang w:val="en-US" w:eastAsia="en-US"/>
    </w:rPr>
  </w:style>
  <w:style w:type="paragraph" w:styleId="Piedepgina">
    <w:name w:val="footer"/>
    <w:basedOn w:val="Normal"/>
    <w:link w:val="PiedepginaCar"/>
    <w:uiPriority w:val="99"/>
    <w:locked/>
    <w:pPr>
      <w:overflowPunct/>
      <w:autoSpaceDE/>
      <w:autoSpaceDN/>
      <w:adjustRightInd/>
      <w:textAlignment w:val="auto"/>
    </w:pPr>
    <w:rPr>
      <w:sz w:val="2"/>
      <w:lang w:val="en-US"/>
    </w:rPr>
  </w:style>
  <w:style w:type="paragraph" w:styleId="Textonotapie">
    <w:name w:val="footnote text"/>
    <w:semiHidden/>
    <w:locked/>
    <w:pPr>
      <w:tabs>
        <w:tab w:val="left" w:pos="459"/>
      </w:tabs>
      <w:spacing w:before="142"/>
      <w:ind w:left="459"/>
      <w:jc w:val="both"/>
    </w:pPr>
    <w:rPr>
      <w:sz w:val="18"/>
      <w:lang w:eastAsia="en-US"/>
    </w:rPr>
  </w:style>
  <w:style w:type="paragraph" w:styleId="Encabezado">
    <w:name w:val="header"/>
    <w:next w:val="Textoindependiente"/>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Textoindependiente"/>
    <w:uiPriority w:val="6"/>
    <w:qFormat/>
    <w:rsid w:val="00717C6F"/>
    <w:pPr>
      <w:numPr>
        <w:numId w:val="20"/>
      </w:numPr>
    </w:pPr>
  </w:style>
  <w:style w:type="paragraph" w:customStyle="1" w:styleId="ListNumbered">
    <w:name w:val="List Numbered"/>
    <w:basedOn w:val="Textoindependiente"/>
    <w:uiPriority w:val="5"/>
    <w:qFormat/>
    <w:locked/>
    <w:rsid w:val="00717C6F"/>
    <w:pPr>
      <w:numPr>
        <w:numId w:val="22"/>
      </w:numPr>
    </w:pPr>
  </w:style>
  <w:style w:type="paragraph" w:styleId="Ttulo">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Refdenotaalpie">
    <w:name w:val="footnote reference"/>
    <w:basedOn w:val="Fuentedeprrafopredeter"/>
    <w:semiHidden/>
    <w:locked/>
    <w:rPr>
      <w:vertAlign w:val="superscript"/>
    </w:rPr>
  </w:style>
  <w:style w:type="paragraph" w:styleId="Subttulo">
    <w:name w:val="Subtitle"/>
    <w:next w:val="Textoindependiente"/>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Textoindependiente"/>
    <w:uiPriority w:val="49"/>
    <w:locked/>
    <w:pPr>
      <w:spacing w:line="280" w:lineRule="exact"/>
      <w:jc w:val="right"/>
    </w:pPr>
    <w:rPr>
      <w:rFonts w:ascii="Arial" w:hAnsi="Arial" w:cs="Arial"/>
      <w:b/>
      <w:bCs/>
      <w:caps/>
      <w:sz w:val="24"/>
    </w:rPr>
  </w:style>
  <w:style w:type="paragraph" w:customStyle="1" w:styleId="zyxClassification2">
    <w:name w:val="zyxClassification2"/>
    <w:basedOn w:val="Piedepgina"/>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iedepginaCar">
    <w:name w:val="Pie de página Car"/>
    <w:basedOn w:val="Fuentedeprrafopredeter"/>
    <w:link w:val="Piedepgina"/>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Fuentedeprrafopredeter"/>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TextoindependienteCar">
    <w:name w:val="Texto independiente Car"/>
    <w:basedOn w:val="Fuentedeprrafopredeter"/>
    <w:link w:val="Textoindependiente"/>
    <w:rsid w:val="00647F33"/>
    <w:rPr>
      <w:lang w:eastAsia="en-US"/>
    </w:rPr>
  </w:style>
  <w:style w:type="character" w:customStyle="1" w:styleId="AuthornameandaffiliationChar">
    <w:name w:val="Author name and affiliation Char"/>
    <w:basedOn w:val="TextoindependienteCar"/>
    <w:link w:val="Authornameandaffiliation"/>
    <w:uiPriority w:val="49"/>
    <w:rsid w:val="00647F33"/>
    <w:rPr>
      <w:lang w:val="en-US" w:eastAsia="en-US"/>
    </w:rPr>
  </w:style>
  <w:style w:type="table" w:styleId="Tablaconcuadrcula">
    <w:name w:val="Table Grid"/>
    <w:basedOn w:val="Tablanormal"/>
    <w:locked/>
    <w:rsid w:val="00472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xtodeglobo">
    <w:name w:val="Balloon Text"/>
    <w:basedOn w:val="Normal"/>
    <w:link w:val="TextodegloboCar"/>
    <w:uiPriority w:val="49"/>
    <w:locked/>
    <w:rsid w:val="005F00A0"/>
    <w:rPr>
      <w:rFonts w:ascii="Tahoma" w:hAnsi="Tahoma" w:cs="Tahoma"/>
      <w:sz w:val="16"/>
      <w:szCs w:val="16"/>
    </w:rPr>
  </w:style>
  <w:style w:type="character" w:customStyle="1" w:styleId="TextodegloboCar">
    <w:name w:val="Texto de globo Car"/>
    <w:basedOn w:val="Fuentedeprrafopredeter"/>
    <w:link w:val="Textodeglobo"/>
    <w:uiPriority w:val="49"/>
    <w:rsid w:val="005F00A0"/>
    <w:rPr>
      <w:rFonts w:ascii="Tahoma" w:hAnsi="Tahoma" w:cs="Tahoma"/>
      <w:sz w:val="16"/>
      <w:szCs w:val="16"/>
      <w:lang w:eastAsia="en-US"/>
    </w:rPr>
  </w:style>
  <w:style w:type="paragraph" w:customStyle="1" w:styleId="Figurecaption">
    <w:name w:val="Figure caption"/>
    <w:basedOn w:val="Textoindependiente"/>
    <w:link w:val="FigurecaptionChar"/>
    <w:uiPriority w:val="49"/>
    <w:qFormat/>
    <w:locked/>
    <w:rsid w:val="00717C6F"/>
    <w:pPr>
      <w:jc w:val="center"/>
    </w:pPr>
    <w:rPr>
      <w:i/>
      <w:sz w:val="18"/>
    </w:rPr>
  </w:style>
  <w:style w:type="paragraph" w:customStyle="1" w:styleId="Otherunnumberedheadings">
    <w:name w:val="Other unnumbered headings"/>
    <w:next w:val="Textoindependiente"/>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TextoindependienteCar"/>
    <w:link w:val="Figurecaption"/>
    <w:uiPriority w:val="49"/>
    <w:rsid w:val="00717C6F"/>
    <w:rPr>
      <w:i/>
      <w:sz w:val="18"/>
      <w:lang w:eastAsia="en-US"/>
    </w:rPr>
  </w:style>
  <w:style w:type="paragraph" w:customStyle="1" w:styleId="Referencelist">
    <w:name w:val="Reference list"/>
    <w:basedOn w:val="Textoindependiente"/>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TextoindependienteC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TextoindependienteCar"/>
    <w:link w:val="Referencelist"/>
    <w:uiPriority w:val="49"/>
    <w:rsid w:val="009E0D5B"/>
    <w:rPr>
      <w:sz w:val="18"/>
      <w:szCs w:val="18"/>
      <w:lang w:eastAsia="en-US"/>
    </w:rPr>
  </w:style>
  <w:style w:type="paragraph" w:customStyle="1" w:styleId="Tabletext">
    <w:name w:val="Table text"/>
    <w:basedOn w:val="Textoindependiente"/>
    <w:link w:val="TabletextChar"/>
    <w:uiPriority w:val="49"/>
    <w:qFormat/>
    <w:rsid w:val="00883848"/>
    <w:pPr>
      <w:ind w:firstLine="0"/>
    </w:pPr>
  </w:style>
  <w:style w:type="character" w:customStyle="1" w:styleId="TabletextChar">
    <w:name w:val="Table text Char"/>
    <w:basedOn w:val="TextoindependienteCar"/>
    <w:link w:val="Tabletext"/>
    <w:uiPriority w:val="49"/>
    <w:rsid w:val="00883848"/>
    <w:rPr>
      <w:lang w:eastAsia="en-US"/>
    </w:rPr>
  </w:style>
  <w:style w:type="character" w:styleId="Hipervnculo">
    <w:name w:val="Hyperlink"/>
    <w:uiPriority w:val="99"/>
    <w:unhideWhenUsed/>
    <w:locked/>
    <w:rsid w:val="00EB7C22"/>
    <w:rPr>
      <w:color w:val="0563C1"/>
      <w:u w:val="single"/>
    </w:rPr>
  </w:style>
  <w:style w:type="character" w:styleId="Refdecomentario">
    <w:name w:val="annotation reference"/>
    <w:basedOn w:val="Fuentedeprrafopredeter"/>
    <w:uiPriority w:val="99"/>
    <w:semiHidden/>
    <w:unhideWhenUsed/>
    <w:locked/>
    <w:rsid w:val="00421217"/>
    <w:rPr>
      <w:sz w:val="16"/>
      <w:szCs w:val="16"/>
    </w:rPr>
  </w:style>
  <w:style w:type="paragraph" w:styleId="Textocomentario">
    <w:name w:val="annotation text"/>
    <w:basedOn w:val="Normal"/>
    <w:link w:val="TextocomentarioCar"/>
    <w:uiPriority w:val="99"/>
    <w:semiHidden/>
    <w:unhideWhenUsed/>
    <w:locked/>
    <w:rsid w:val="00421217"/>
    <w:pPr>
      <w:overflowPunct/>
      <w:autoSpaceDE/>
      <w:autoSpaceDN/>
      <w:adjustRightInd/>
      <w:textAlignment w:val="auto"/>
    </w:pPr>
    <w:rPr>
      <w:sz w:val="20"/>
      <w:lang w:val="es-ES" w:eastAsia="es-ES"/>
    </w:rPr>
  </w:style>
  <w:style w:type="character" w:customStyle="1" w:styleId="TextocomentarioCar">
    <w:name w:val="Texto comentario Car"/>
    <w:basedOn w:val="Fuentedeprrafopredeter"/>
    <w:link w:val="Textocomentario"/>
    <w:uiPriority w:val="99"/>
    <w:semiHidden/>
    <w:rsid w:val="00421217"/>
    <w:rPr>
      <w:lang w:val="es-ES" w:eastAsia="es-ES"/>
    </w:rPr>
  </w:style>
  <w:style w:type="paragraph" w:customStyle="1" w:styleId="Textkrper">
    <w:name w:val="Textkörper"/>
    <w:basedOn w:val="Normal"/>
    <w:link w:val="TextkrperChar"/>
    <w:rsid w:val="00184339"/>
    <w:pPr>
      <w:suppressAutoHyphens/>
      <w:spacing w:after="120"/>
      <w:jc w:val="both"/>
    </w:pPr>
    <w:rPr>
      <w:rFonts w:ascii="Times" w:eastAsia="MS Mincho" w:hAnsi="Times"/>
      <w:sz w:val="20"/>
    </w:rPr>
  </w:style>
  <w:style w:type="character" w:customStyle="1" w:styleId="TextkrperChar">
    <w:name w:val="Textkörper Char"/>
    <w:link w:val="Textkrper"/>
    <w:rsid w:val="00184339"/>
    <w:rPr>
      <w:rFonts w:ascii="Times" w:eastAsia="MS Mincho" w:hAnsi="Time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annotation text" w:uiPriority="99"/>
    <w:lsdException w:name="header" w:locked="0" w:uiPriority="0"/>
    <w:lsdException w:name="footer" w:locked="0" w:uiPriority="99"/>
    <w:lsdException w:name="caption" w:locked="0" w:uiPriority="0"/>
    <w:lsdException w:name="footnote reference" w:locked="0" w:uiPriority="0"/>
    <w:lsdException w:name="annotation reference" w:uiPriority="99"/>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Ttulo1">
    <w:name w:val="heading 1"/>
    <w:aliases w:val="Paper title"/>
    <w:next w:val="Subttulo"/>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Ttulo2">
    <w:name w:val="heading 2"/>
    <w:aliases w:val="1st level paper heading"/>
    <w:next w:val="Textoindependiente"/>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Ttulo3">
    <w:name w:val="heading 3"/>
    <w:aliases w:val="2nd level paper heading"/>
    <w:next w:val="Textoindependiente"/>
    <w:uiPriority w:val="4"/>
    <w:qFormat/>
    <w:rsid w:val="00897ED5"/>
    <w:pPr>
      <w:widowControl w:val="0"/>
      <w:numPr>
        <w:ilvl w:val="2"/>
        <w:numId w:val="12"/>
      </w:numPr>
      <w:spacing w:before="240" w:after="240" w:line="240" w:lineRule="exact"/>
      <w:outlineLvl w:val="2"/>
    </w:pPr>
    <w:rPr>
      <w:b/>
      <w:lang w:eastAsia="en-US"/>
    </w:rPr>
  </w:style>
  <w:style w:type="paragraph" w:styleId="Ttulo4">
    <w:name w:val="heading 4"/>
    <w:aliases w:val="3rd level paper heading"/>
    <w:basedOn w:val="Normal"/>
    <w:next w:val="Textoindependiente"/>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Ttulo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Ttulo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Ttulo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Ttulo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Ttulo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link w:val="TextoindependienteCar"/>
    <w:qFormat/>
    <w:rsid w:val="00647F33"/>
    <w:pPr>
      <w:spacing w:line="260" w:lineRule="atLeast"/>
      <w:ind w:firstLine="567"/>
      <w:contextualSpacing/>
      <w:jc w:val="both"/>
    </w:pPr>
    <w:rPr>
      <w:lang w:eastAsia="en-US"/>
    </w:rPr>
  </w:style>
  <w:style w:type="paragraph" w:styleId="Sangradetextonormal">
    <w:name w:val="Body Text Indent"/>
    <w:basedOn w:val="Textoindependiente"/>
    <w:uiPriority w:val="49"/>
    <w:locked/>
    <w:pPr>
      <w:ind w:left="1134" w:hanging="675"/>
    </w:pPr>
  </w:style>
  <w:style w:type="paragraph" w:customStyle="1" w:styleId="BodyTextMultiline">
    <w:name w:val="Body Text Multiline"/>
    <w:basedOn w:val="Textoindependiente"/>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Epgrafe">
    <w:name w:val="caption"/>
    <w:next w:val="Normal"/>
    <w:uiPriority w:val="49"/>
    <w:pPr>
      <w:spacing w:after="85"/>
    </w:pPr>
    <w:rPr>
      <w:bCs/>
      <w:sz w:val="18"/>
      <w:lang w:val="en-US" w:eastAsia="en-US"/>
    </w:rPr>
  </w:style>
  <w:style w:type="paragraph" w:styleId="Piedepgina">
    <w:name w:val="footer"/>
    <w:basedOn w:val="Normal"/>
    <w:link w:val="PiedepginaCar"/>
    <w:uiPriority w:val="99"/>
    <w:locked/>
    <w:pPr>
      <w:overflowPunct/>
      <w:autoSpaceDE/>
      <w:autoSpaceDN/>
      <w:adjustRightInd/>
      <w:textAlignment w:val="auto"/>
    </w:pPr>
    <w:rPr>
      <w:sz w:val="2"/>
      <w:lang w:val="en-US"/>
    </w:rPr>
  </w:style>
  <w:style w:type="paragraph" w:styleId="Textonotapie">
    <w:name w:val="footnote text"/>
    <w:semiHidden/>
    <w:locked/>
    <w:pPr>
      <w:tabs>
        <w:tab w:val="left" w:pos="459"/>
      </w:tabs>
      <w:spacing w:before="142"/>
      <w:ind w:left="459"/>
      <w:jc w:val="both"/>
    </w:pPr>
    <w:rPr>
      <w:sz w:val="18"/>
      <w:lang w:eastAsia="en-US"/>
    </w:rPr>
  </w:style>
  <w:style w:type="paragraph" w:styleId="Encabezado">
    <w:name w:val="header"/>
    <w:next w:val="Textoindependiente"/>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Textoindependiente"/>
    <w:uiPriority w:val="6"/>
    <w:qFormat/>
    <w:rsid w:val="00717C6F"/>
    <w:pPr>
      <w:numPr>
        <w:numId w:val="20"/>
      </w:numPr>
    </w:pPr>
  </w:style>
  <w:style w:type="paragraph" w:customStyle="1" w:styleId="ListNumbered">
    <w:name w:val="List Numbered"/>
    <w:basedOn w:val="Textoindependiente"/>
    <w:uiPriority w:val="5"/>
    <w:qFormat/>
    <w:locked/>
    <w:rsid w:val="00717C6F"/>
    <w:pPr>
      <w:numPr>
        <w:numId w:val="22"/>
      </w:numPr>
    </w:pPr>
  </w:style>
  <w:style w:type="paragraph" w:styleId="Ttulo">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Refdenotaalpie">
    <w:name w:val="footnote reference"/>
    <w:basedOn w:val="Fuentedeprrafopredeter"/>
    <w:semiHidden/>
    <w:locked/>
    <w:rPr>
      <w:vertAlign w:val="superscript"/>
    </w:rPr>
  </w:style>
  <w:style w:type="paragraph" w:styleId="Subttulo">
    <w:name w:val="Subtitle"/>
    <w:next w:val="Textoindependiente"/>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Textoindependiente"/>
    <w:uiPriority w:val="49"/>
    <w:locked/>
    <w:pPr>
      <w:spacing w:line="280" w:lineRule="exact"/>
      <w:jc w:val="right"/>
    </w:pPr>
    <w:rPr>
      <w:rFonts w:ascii="Arial" w:hAnsi="Arial" w:cs="Arial"/>
      <w:b/>
      <w:bCs/>
      <w:caps/>
      <w:sz w:val="24"/>
    </w:rPr>
  </w:style>
  <w:style w:type="paragraph" w:customStyle="1" w:styleId="zyxClassification2">
    <w:name w:val="zyxClassification2"/>
    <w:basedOn w:val="Piedepgina"/>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iedepginaCar">
    <w:name w:val="Pie de página Car"/>
    <w:basedOn w:val="Fuentedeprrafopredeter"/>
    <w:link w:val="Piedepgina"/>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Fuentedeprrafopredeter"/>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TextoindependienteCar">
    <w:name w:val="Texto independiente Car"/>
    <w:basedOn w:val="Fuentedeprrafopredeter"/>
    <w:link w:val="Textoindependiente"/>
    <w:rsid w:val="00647F33"/>
    <w:rPr>
      <w:lang w:eastAsia="en-US"/>
    </w:rPr>
  </w:style>
  <w:style w:type="character" w:customStyle="1" w:styleId="AuthornameandaffiliationChar">
    <w:name w:val="Author name and affiliation Char"/>
    <w:basedOn w:val="TextoindependienteCar"/>
    <w:link w:val="Authornameandaffiliation"/>
    <w:uiPriority w:val="49"/>
    <w:rsid w:val="00647F33"/>
    <w:rPr>
      <w:lang w:val="en-US" w:eastAsia="en-US"/>
    </w:rPr>
  </w:style>
  <w:style w:type="table" w:styleId="Tablaconcuadrcula">
    <w:name w:val="Table Grid"/>
    <w:basedOn w:val="Tablanormal"/>
    <w:locked/>
    <w:rsid w:val="00472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xtodeglobo">
    <w:name w:val="Balloon Text"/>
    <w:basedOn w:val="Normal"/>
    <w:link w:val="TextodegloboCar"/>
    <w:uiPriority w:val="49"/>
    <w:locked/>
    <w:rsid w:val="005F00A0"/>
    <w:rPr>
      <w:rFonts w:ascii="Tahoma" w:hAnsi="Tahoma" w:cs="Tahoma"/>
      <w:sz w:val="16"/>
      <w:szCs w:val="16"/>
    </w:rPr>
  </w:style>
  <w:style w:type="character" w:customStyle="1" w:styleId="TextodegloboCar">
    <w:name w:val="Texto de globo Car"/>
    <w:basedOn w:val="Fuentedeprrafopredeter"/>
    <w:link w:val="Textodeglobo"/>
    <w:uiPriority w:val="49"/>
    <w:rsid w:val="005F00A0"/>
    <w:rPr>
      <w:rFonts w:ascii="Tahoma" w:hAnsi="Tahoma" w:cs="Tahoma"/>
      <w:sz w:val="16"/>
      <w:szCs w:val="16"/>
      <w:lang w:eastAsia="en-US"/>
    </w:rPr>
  </w:style>
  <w:style w:type="paragraph" w:customStyle="1" w:styleId="Figurecaption">
    <w:name w:val="Figure caption"/>
    <w:basedOn w:val="Textoindependiente"/>
    <w:link w:val="FigurecaptionChar"/>
    <w:uiPriority w:val="49"/>
    <w:qFormat/>
    <w:locked/>
    <w:rsid w:val="00717C6F"/>
    <w:pPr>
      <w:jc w:val="center"/>
    </w:pPr>
    <w:rPr>
      <w:i/>
      <w:sz w:val="18"/>
    </w:rPr>
  </w:style>
  <w:style w:type="paragraph" w:customStyle="1" w:styleId="Otherunnumberedheadings">
    <w:name w:val="Other unnumbered headings"/>
    <w:next w:val="Textoindependiente"/>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TextoindependienteCar"/>
    <w:link w:val="Figurecaption"/>
    <w:uiPriority w:val="49"/>
    <w:rsid w:val="00717C6F"/>
    <w:rPr>
      <w:i/>
      <w:sz w:val="18"/>
      <w:lang w:eastAsia="en-US"/>
    </w:rPr>
  </w:style>
  <w:style w:type="paragraph" w:customStyle="1" w:styleId="Referencelist">
    <w:name w:val="Reference list"/>
    <w:basedOn w:val="Textoindependiente"/>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TextoindependienteC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TextoindependienteCar"/>
    <w:link w:val="Referencelist"/>
    <w:uiPriority w:val="49"/>
    <w:rsid w:val="009E0D5B"/>
    <w:rPr>
      <w:sz w:val="18"/>
      <w:szCs w:val="18"/>
      <w:lang w:eastAsia="en-US"/>
    </w:rPr>
  </w:style>
  <w:style w:type="paragraph" w:customStyle="1" w:styleId="Tabletext">
    <w:name w:val="Table text"/>
    <w:basedOn w:val="Textoindependiente"/>
    <w:link w:val="TabletextChar"/>
    <w:uiPriority w:val="49"/>
    <w:qFormat/>
    <w:rsid w:val="00883848"/>
    <w:pPr>
      <w:ind w:firstLine="0"/>
    </w:pPr>
  </w:style>
  <w:style w:type="character" w:customStyle="1" w:styleId="TabletextChar">
    <w:name w:val="Table text Char"/>
    <w:basedOn w:val="TextoindependienteCar"/>
    <w:link w:val="Tabletext"/>
    <w:uiPriority w:val="49"/>
    <w:rsid w:val="00883848"/>
    <w:rPr>
      <w:lang w:eastAsia="en-US"/>
    </w:rPr>
  </w:style>
  <w:style w:type="character" w:styleId="Hipervnculo">
    <w:name w:val="Hyperlink"/>
    <w:uiPriority w:val="99"/>
    <w:unhideWhenUsed/>
    <w:locked/>
    <w:rsid w:val="00EB7C22"/>
    <w:rPr>
      <w:color w:val="0563C1"/>
      <w:u w:val="single"/>
    </w:rPr>
  </w:style>
  <w:style w:type="character" w:styleId="Refdecomentario">
    <w:name w:val="annotation reference"/>
    <w:basedOn w:val="Fuentedeprrafopredeter"/>
    <w:uiPriority w:val="99"/>
    <w:semiHidden/>
    <w:unhideWhenUsed/>
    <w:locked/>
    <w:rsid w:val="00421217"/>
    <w:rPr>
      <w:sz w:val="16"/>
      <w:szCs w:val="16"/>
    </w:rPr>
  </w:style>
  <w:style w:type="paragraph" w:styleId="Textocomentario">
    <w:name w:val="annotation text"/>
    <w:basedOn w:val="Normal"/>
    <w:link w:val="TextocomentarioCar"/>
    <w:uiPriority w:val="99"/>
    <w:semiHidden/>
    <w:unhideWhenUsed/>
    <w:locked/>
    <w:rsid w:val="00421217"/>
    <w:pPr>
      <w:overflowPunct/>
      <w:autoSpaceDE/>
      <w:autoSpaceDN/>
      <w:adjustRightInd/>
      <w:textAlignment w:val="auto"/>
    </w:pPr>
    <w:rPr>
      <w:sz w:val="20"/>
      <w:lang w:val="es-ES" w:eastAsia="es-ES"/>
    </w:rPr>
  </w:style>
  <w:style w:type="character" w:customStyle="1" w:styleId="TextocomentarioCar">
    <w:name w:val="Texto comentario Car"/>
    <w:basedOn w:val="Fuentedeprrafopredeter"/>
    <w:link w:val="Textocomentario"/>
    <w:uiPriority w:val="99"/>
    <w:semiHidden/>
    <w:rsid w:val="00421217"/>
    <w:rPr>
      <w:lang w:val="es-ES" w:eastAsia="es-ES"/>
    </w:rPr>
  </w:style>
  <w:style w:type="paragraph" w:customStyle="1" w:styleId="Textkrper">
    <w:name w:val="Textkörper"/>
    <w:basedOn w:val="Normal"/>
    <w:link w:val="TextkrperChar"/>
    <w:rsid w:val="00184339"/>
    <w:pPr>
      <w:suppressAutoHyphens/>
      <w:spacing w:after="120"/>
      <w:jc w:val="both"/>
    </w:pPr>
    <w:rPr>
      <w:rFonts w:ascii="Times" w:eastAsia="MS Mincho" w:hAnsi="Times"/>
      <w:sz w:val="20"/>
    </w:rPr>
  </w:style>
  <w:style w:type="character" w:customStyle="1" w:styleId="TextkrperChar">
    <w:name w:val="Textkörper Char"/>
    <w:link w:val="Textkrper"/>
    <w:rsid w:val="00184339"/>
    <w:rPr>
      <w:rFonts w:ascii="Times" w:eastAsia="MS Mincho" w:hAnsi="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13.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12.jpe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7.jpe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header" Target="header2.xm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3.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 ds:uri="9a0cca68-9885-4579-a121-0ff71e341cd0"/>
    <ds:schemaRef ds:uri="http://schemas.microsoft.com/sharepoint/v3/fields"/>
  </ds:schemaRefs>
</ds:datastoreItem>
</file>

<file path=customXml/itemProps5.xml><?xml version="1.0" encoding="utf-8"?>
<ds:datastoreItem xmlns:ds="http://schemas.openxmlformats.org/officeDocument/2006/customXml" ds:itemID="{C06A5075-44EF-433D-AC59-0CB013C01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1194</TotalTime>
  <Pages>7</Pages>
  <Words>2435</Words>
  <Characters>13397</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15801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subject/>
  <dc:creator>Gemma Anna Ruffino</dc:creator>
  <cp:keywords/>
  <dc:description/>
  <cp:lastModifiedBy>Mercedes</cp:lastModifiedBy>
  <cp:revision>37</cp:revision>
  <cp:lastPrinted>2015-12-01T10:27:00Z</cp:lastPrinted>
  <dcterms:created xsi:type="dcterms:W3CDTF">2021-07-12T15:30:00Z</dcterms:created>
  <dcterms:modified xsi:type="dcterms:W3CDTF">2021-07-15T18:39:00Z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ies>
</file>