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0573" w14:textId="77777777" w:rsidR="00E75054" w:rsidRPr="0065693B" w:rsidRDefault="00E75054" w:rsidP="00E75054">
      <w:pPr>
        <w:pStyle w:val="Ttulo1"/>
      </w:pPr>
      <w:r w:rsidRPr="0065693B">
        <w:t>Uranium recovery from liquid waste composed of      uranyl nitrate solution</w:t>
      </w:r>
    </w:p>
    <w:p w14:paraId="7BDD3750" w14:textId="77777777" w:rsidR="00E75054" w:rsidRPr="0065693B" w:rsidRDefault="00E75054" w:rsidP="00E75054">
      <w:pPr>
        <w:pStyle w:val="Corpodetexto"/>
      </w:pPr>
    </w:p>
    <w:p w14:paraId="433FE040" w14:textId="49598139" w:rsidR="003B5E0E" w:rsidRPr="0065693B" w:rsidRDefault="006F1A41" w:rsidP="00537496">
      <w:pPr>
        <w:pStyle w:val="Authornameandaffiliation"/>
        <w:rPr>
          <w:lang w:val="pt-BR"/>
        </w:rPr>
      </w:pPr>
      <w:r w:rsidRPr="0065693B">
        <w:rPr>
          <w:lang w:val="pt-BR"/>
        </w:rPr>
        <w:t>CAMPELO, EMANUELE</w:t>
      </w:r>
      <w:r w:rsidR="0065693B">
        <w:rPr>
          <w:lang w:val="pt-BR"/>
        </w:rPr>
        <w:t xml:space="preserve"> </w:t>
      </w:r>
      <w:r w:rsidR="0065693B" w:rsidRPr="0065693B">
        <w:rPr>
          <w:lang w:val="pt-BR"/>
        </w:rPr>
        <w:t>LAZZARETTI</w:t>
      </w:r>
      <w:r w:rsidR="0065693B" w:rsidRPr="0065693B">
        <w:rPr>
          <w:spacing w:val="-4"/>
          <w:lang w:val="pt-BR"/>
        </w:rPr>
        <w:t xml:space="preserve"> </w:t>
      </w:r>
      <w:r w:rsidR="0065693B" w:rsidRPr="0065693B">
        <w:rPr>
          <w:lang w:val="pt-BR"/>
        </w:rPr>
        <w:t>CORDOVA</w:t>
      </w:r>
    </w:p>
    <w:p w14:paraId="433FE041" w14:textId="61F568BA" w:rsidR="00FF386F" w:rsidRPr="0065693B" w:rsidRDefault="008F7806" w:rsidP="00537496">
      <w:pPr>
        <w:pStyle w:val="Authornameandaffiliation"/>
        <w:rPr>
          <w:lang w:val="pt-BR"/>
        </w:rPr>
      </w:pPr>
      <w:proofErr w:type="spellStart"/>
      <w:r w:rsidRPr="0065693B">
        <w:rPr>
          <w:lang w:val="pt-BR"/>
        </w:rPr>
        <w:t>Brazilian</w:t>
      </w:r>
      <w:proofErr w:type="spellEnd"/>
      <w:r w:rsidRPr="0065693B">
        <w:rPr>
          <w:lang w:val="pt-BR"/>
        </w:rPr>
        <w:t xml:space="preserve"> Nuclear Industries</w:t>
      </w:r>
    </w:p>
    <w:p w14:paraId="433FE043" w14:textId="5DAC9DA5" w:rsidR="00FF386F" w:rsidRDefault="00FF386F" w:rsidP="00537496">
      <w:pPr>
        <w:pStyle w:val="Authornameandaffiliation"/>
        <w:rPr>
          <w:lang w:val="pt-BR"/>
        </w:rPr>
      </w:pPr>
      <w:r w:rsidRPr="0065693B">
        <w:rPr>
          <w:lang w:val="pt-BR"/>
        </w:rPr>
        <w:t>E</w:t>
      </w:r>
      <w:r w:rsidR="00216DA5">
        <w:rPr>
          <w:lang w:val="pt-BR"/>
        </w:rPr>
        <w:t>-</w:t>
      </w:r>
      <w:r w:rsidRPr="0065693B">
        <w:rPr>
          <w:lang w:val="pt-BR"/>
        </w:rPr>
        <w:t xml:space="preserve">mail: </w:t>
      </w:r>
      <w:r w:rsidR="0087529D">
        <w:fldChar w:fldCharType="begin"/>
      </w:r>
      <w:r w:rsidR="0087529D" w:rsidRPr="00E81026">
        <w:rPr>
          <w:lang w:val="pt-BR"/>
        </w:rPr>
        <w:instrText xml:space="preserve"> HYPERLINK "mailto:emanuelecampelo@inb.gov.br" </w:instrText>
      </w:r>
      <w:r w:rsidR="0087529D">
        <w:fldChar w:fldCharType="separate"/>
      </w:r>
      <w:r w:rsidR="00216DA5" w:rsidRPr="0058794B">
        <w:rPr>
          <w:rStyle w:val="Hyperlink"/>
          <w:lang w:val="pt-BR"/>
        </w:rPr>
        <w:t>emanuelecampelo@inb.gov.br</w:t>
      </w:r>
      <w:r w:rsidR="0087529D">
        <w:rPr>
          <w:rStyle w:val="Hyperlink"/>
          <w:lang w:val="pt-BR"/>
        </w:rPr>
        <w:fldChar w:fldCharType="end"/>
      </w:r>
    </w:p>
    <w:p w14:paraId="42B4ADA8" w14:textId="77777777" w:rsidR="00216DA5" w:rsidRPr="0065693B" w:rsidRDefault="00216DA5" w:rsidP="00216DA5">
      <w:pPr>
        <w:pStyle w:val="Authornameandaffiliation"/>
        <w:rPr>
          <w:lang w:val="pt-BR"/>
        </w:rPr>
      </w:pPr>
      <w:r w:rsidRPr="0065693B">
        <w:rPr>
          <w:lang w:val="pt-BR"/>
        </w:rPr>
        <w:t xml:space="preserve">Resende, </w:t>
      </w:r>
      <w:proofErr w:type="spellStart"/>
      <w:r w:rsidRPr="0065693B">
        <w:rPr>
          <w:lang w:val="pt-BR"/>
        </w:rPr>
        <w:t>Brazil</w:t>
      </w:r>
      <w:proofErr w:type="spellEnd"/>
    </w:p>
    <w:p w14:paraId="76D13893" w14:textId="248C42DA" w:rsidR="00216DA5" w:rsidRDefault="00216DA5" w:rsidP="00537496">
      <w:pPr>
        <w:pStyle w:val="Authornameandaffiliation"/>
        <w:rPr>
          <w:lang w:val="pt-BR"/>
        </w:rPr>
      </w:pPr>
    </w:p>
    <w:p w14:paraId="3F4B461D" w14:textId="77777777" w:rsidR="00216DA5" w:rsidRDefault="00216DA5" w:rsidP="00216DA5">
      <w:pPr>
        <w:rPr>
          <w:sz w:val="20"/>
          <w:lang w:val="pt-BR"/>
        </w:rPr>
      </w:pPr>
      <w:r>
        <w:rPr>
          <w:sz w:val="20"/>
          <w:lang w:val="pt-BR"/>
        </w:rPr>
        <w:t xml:space="preserve">           </w:t>
      </w:r>
      <w:r w:rsidRPr="0065693B">
        <w:rPr>
          <w:sz w:val="20"/>
          <w:lang w:val="pt-BR"/>
        </w:rPr>
        <w:t xml:space="preserve">FONSECA, FABIANA VALÉRIA DA </w:t>
      </w:r>
    </w:p>
    <w:p w14:paraId="6F33DD66" w14:textId="6C00F31D" w:rsidR="00216DA5" w:rsidRDefault="00216DA5" w:rsidP="00216DA5">
      <w:pPr>
        <w:rPr>
          <w:sz w:val="20"/>
          <w:lang w:val="pt-BR"/>
        </w:rPr>
      </w:pPr>
      <w:r>
        <w:rPr>
          <w:sz w:val="20"/>
          <w:lang w:val="pt-BR"/>
        </w:rPr>
        <w:t xml:space="preserve">           </w:t>
      </w:r>
      <w:r w:rsidRPr="0065693B">
        <w:rPr>
          <w:sz w:val="20"/>
          <w:lang w:val="pt-BR"/>
        </w:rPr>
        <w:t xml:space="preserve">Federal </w:t>
      </w:r>
      <w:proofErr w:type="spellStart"/>
      <w:r w:rsidRPr="0065693B">
        <w:rPr>
          <w:sz w:val="20"/>
          <w:lang w:val="pt-BR"/>
        </w:rPr>
        <w:t>University</w:t>
      </w:r>
      <w:proofErr w:type="spellEnd"/>
      <w:r w:rsidRPr="0065693B">
        <w:rPr>
          <w:sz w:val="20"/>
          <w:lang w:val="pt-BR"/>
        </w:rPr>
        <w:t xml:space="preserve"> </w:t>
      </w:r>
      <w:proofErr w:type="spellStart"/>
      <w:r w:rsidRPr="0065693B">
        <w:rPr>
          <w:sz w:val="20"/>
          <w:lang w:val="pt-BR"/>
        </w:rPr>
        <w:t>of</w:t>
      </w:r>
      <w:proofErr w:type="spellEnd"/>
      <w:r w:rsidRPr="0065693B">
        <w:rPr>
          <w:sz w:val="20"/>
          <w:lang w:val="pt-BR"/>
        </w:rPr>
        <w:t xml:space="preserve"> Rio de Janeiro</w:t>
      </w:r>
    </w:p>
    <w:p w14:paraId="4E9AFF34" w14:textId="77777777" w:rsidR="00216DA5" w:rsidRPr="00E81026" w:rsidRDefault="00216DA5" w:rsidP="00216DA5">
      <w:pPr>
        <w:pStyle w:val="Authornameandaffiliation"/>
        <w:rPr>
          <w:lang w:val="pt-BR"/>
        </w:rPr>
      </w:pPr>
      <w:r w:rsidRPr="00E81026">
        <w:rPr>
          <w:lang w:val="pt-BR"/>
        </w:rPr>
        <w:t>Rio de Janeiro, Brazil</w:t>
      </w:r>
    </w:p>
    <w:p w14:paraId="397036E2" w14:textId="77777777" w:rsidR="00216DA5" w:rsidRPr="0065693B" w:rsidRDefault="00216DA5" w:rsidP="00216DA5">
      <w:pPr>
        <w:pStyle w:val="Authornameandaffiliation"/>
        <w:rPr>
          <w:lang w:val="pt-BR"/>
        </w:rPr>
      </w:pPr>
    </w:p>
    <w:p w14:paraId="20F64216" w14:textId="77777777" w:rsidR="00216DA5" w:rsidRPr="0065693B" w:rsidRDefault="00216DA5" w:rsidP="00216DA5">
      <w:pPr>
        <w:pStyle w:val="Authornameandaffiliation"/>
        <w:rPr>
          <w:lang w:val="pt-BR"/>
        </w:rPr>
      </w:pPr>
      <w:r w:rsidRPr="0065693B">
        <w:rPr>
          <w:lang w:val="pt-BR"/>
        </w:rPr>
        <w:t>MEDRONHO, RICARDO DE ANDRADE</w:t>
      </w:r>
    </w:p>
    <w:p w14:paraId="2252127F" w14:textId="77777777" w:rsidR="00216DA5" w:rsidRPr="0065693B" w:rsidRDefault="00216DA5" w:rsidP="00216DA5">
      <w:pPr>
        <w:pStyle w:val="Authornameandaffiliation"/>
        <w:rPr>
          <w:lang w:val="pt-BR"/>
        </w:rPr>
      </w:pPr>
      <w:r w:rsidRPr="0065693B">
        <w:rPr>
          <w:lang w:val="pt-BR"/>
        </w:rPr>
        <w:t xml:space="preserve">Federal </w:t>
      </w:r>
      <w:proofErr w:type="spellStart"/>
      <w:r w:rsidRPr="0065693B">
        <w:rPr>
          <w:lang w:val="pt-BR"/>
        </w:rPr>
        <w:t>University</w:t>
      </w:r>
      <w:proofErr w:type="spellEnd"/>
      <w:r w:rsidRPr="0065693B">
        <w:rPr>
          <w:lang w:val="pt-BR"/>
        </w:rPr>
        <w:t xml:space="preserve"> </w:t>
      </w:r>
      <w:proofErr w:type="spellStart"/>
      <w:r w:rsidRPr="0065693B">
        <w:rPr>
          <w:lang w:val="pt-BR"/>
        </w:rPr>
        <w:t>of</w:t>
      </w:r>
      <w:proofErr w:type="spellEnd"/>
      <w:r w:rsidRPr="0065693B">
        <w:rPr>
          <w:lang w:val="pt-BR"/>
        </w:rPr>
        <w:t xml:space="preserve"> Rio de Janeiro</w:t>
      </w:r>
    </w:p>
    <w:p w14:paraId="419C5712" w14:textId="77777777" w:rsidR="00216DA5" w:rsidRPr="00216DA5" w:rsidRDefault="00216DA5" w:rsidP="00216DA5">
      <w:pPr>
        <w:pStyle w:val="Authornameandaffiliation"/>
        <w:rPr>
          <w:lang w:val="pt-BR"/>
        </w:rPr>
      </w:pPr>
      <w:r w:rsidRPr="00216DA5">
        <w:rPr>
          <w:lang w:val="pt-BR"/>
        </w:rPr>
        <w:t xml:space="preserve">Rio de Janeiro, </w:t>
      </w:r>
      <w:proofErr w:type="spellStart"/>
      <w:r w:rsidRPr="00216DA5">
        <w:rPr>
          <w:lang w:val="pt-BR"/>
        </w:rPr>
        <w:t>Brazil</w:t>
      </w:r>
      <w:proofErr w:type="spellEnd"/>
    </w:p>
    <w:p w14:paraId="4686B8E6" w14:textId="77777777" w:rsidR="00216DA5" w:rsidRDefault="00216DA5" w:rsidP="00216DA5">
      <w:pPr>
        <w:rPr>
          <w:sz w:val="20"/>
          <w:lang w:val="pt-BR"/>
        </w:rPr>
      </w:pPr>
    </w:p>
    <w:p w14:paraId="71793EE9" w14:textId="77777777" w:rsidR="00216DA5" w:rsidRDefault="00216DA5" w:rsidP="00216DA5">
      <w:pPr>
        <w:pStyle w:val="Authornameandaffiliation"/>
        <w:rPr>
          <w:lang w:val="pt-BR"/>
        </w:rPr>
      </w:pPr>
      <w:r w:rsidRPr="0065693B">
        <w:rPr>
          <w:lang w:val="pt-BR"/>
        </w:rPr>
        <w:t xml:space="preserve">PEREIRA, WAGNER </w:t>
      </w:r>
    </w:p>
    <w:p w14:paraId="1F7A34C0" w14:textId="6FD8A9F1" w:rsidR="00216DA5" w:rsidRDefault="00216DA5" w:rsidP="00216DA5">
      <w:pPr>
        <w:pStyle w:val="Authornameandaffiliation"/>
        <w:rPr>
          <w:lang w:val="pt-BR"/>
        </w:rPr>
      </w:pPr>
      <w:r w:rsidRPr="0065693B">
        <w:rPr>
          <w:lang w:val="pt-BR"/>
        </w:rPr>
        <w:t xml:space="preserve">Federal </w:t>
      </w:r>
      <w:proofErr w:type="spellStart"/>
      <w:r w:rsidRPr="0065693B">
        <w:rPr>
          <w:lang w:val="pt-BR"/>
        </w:rPr>
        <w:t>University</w:t>
      </w:r>
      <w:proofErr w:type="spellEnd"/>
      <w:r w:rsidRPr="0065693B">
        <w:rPr>
          <w:lang w:val="pt-BR"/>
        </w:rPr>
        <w:t xml:space="preserve"> </w:t>
      </w:r>
      <w:proofErr w:type="spellStart"/>
      <w:r w:rsidRPr="0065693B">
        <w:rPr>
          <w:lang w:val="pt-BR"/>
        </w:rPr>
        <w:t>of</w:t>
      </w:r>
      <w:proofErr w:type="spellEnd"/>
      <w:r w:rsidRPr="0065693B">
        <w:rPr>
          <w:lang w:val="pt-BR"/>
        </w:rPr>
        <w:t xml:space="preserve"> Rio de Janeiro</w:t>
      </w:r>
    </w:p>
    <w:p w14:paraId="23B531EA" w14:textId="77777777" w:rsidR="009A2EBC" w:rsidRPr="00216DA5" w:rsidRDefault="009A2EBC" w:rsidP="009A2EBC">
      <w:pPr>
        <w:pStyle w:val="Authornameandaffiliation"/>
        <w:rPr>
          <w:lang w:val="pt-BR"/>
        </w:rPr>
      </w:pPr>
      <w:r w:rsidRPr="00216DA5">
        <w:rPr>
          <w:lang w:val="pt-BR"/>
        </w:rPr>
        <w:t xml:space="preserve">Rio de Janeiro, </w:t>
      </w:r>
      <w:proofErr w:type="spellStart"/>
      <w:r w:rsidRPr="00216DA5">
        <w:rPr>
          <w:lang w:val="pt-BR"/>
        </w:rPr>
        <w:t>Brazil</w:t>
      </w:r>
      <w:proofErr w:type="spellEnd"/>
    </w:p>
    <w:p w14:paraId="59194891" w14:textId="77777777" w:rsidR="00216DA5" w:rsidRPr="0065693B" w:rsidRDefault="00216DA5" w:rsidP="00216DA5">
      <w:pPr>
        <w:pStyle w:val="Authornameandaffiliation"/>
        <w:rPr>
          <w:lang w:val="pt-BR"/>
        </w:rPr>
      </w:pPr>
    </w:p>
    <w:p w14:paraId="576F32AD" w14:textId="77777777" w:rsidR="00216DA5" w:rsidRDefault="00216DA5" w:rsidP="00216DA5">
      <w:pPr>
        <w:pStyle w:val="Authornameandaffiliation"/>
        <w:rPr>
          <w:lang w:val="pt-BR"/>
        </w:rPr>
      </w:pPr>
      <w:r w:rsidRPr="0065693B">
        <w:rPr>
          <w:lang w:val="pt-BR"/>
        </w:rPr>
        <w:t>SANTOS, RAFAEL</w:t>
      </w:r>
      <w:r>
        <w:rPr>
          <w:lang w:val="pt-BR"/>
        </w:rPr>
        <w:t xml:space="preserve"> </w:t>
      </w:r>
      <w:r w:rsidRPr="0065693B">
        <w:rPr>
          <w:lang w:val="pt-BR"/>
        </w:rPr>
        <w:t xml:space="preserve">DURSO DOS </w:t>
      </w:r>
    </w:p>
    <w:p w14:paraId="2E466565" w14:textId="27CBFB2A" w:rsidR="00216DA5" w:rsidRPr="00E81026" w:rsidRDefault="00216DA5" w:rsidP="00216DA5">
      <w:pPr>
        <w:pStyle w:val="Authornameandaffiliation"/>
      </w:pPr>
      <w:r w:rsidRPr="00E81026">
        <w:t xml:space="preserve">Brazilian Nuclear Industries </w:t>
      </w:r>
    </w:p>
    <w:p w14:paraId="2876CF8A" w14:textId="77777777" w:rsidR="00216DA5" w:rsidRPr="00E81026" w:rsidRDefault="00216DA5" w:rsidP="00216DA5">
      <w:pPr>
        <w:pStyle w:val="Authornameandaffiliation"/>
      </w:pPr>
      <w:r w:rsidRPr="00E81026">
        <w:t>Resende, Brazil</w:t>
      </w:r>
    </w:p>
    <w:p w14:paraId="33ED6543" w14:textId="77777777" w:rsidR="00216DA5" w:rsidRPr="00E81026" w:rsidRDefault="00216DA5" w:rsidP="00537496">
      <w:pPr>
        <w:pStyle w:val="Authornameandaffiliation"/>
      </w:pPr>
    </w:p>
    <w:p w14:paraId="0CE39061" w14:textId="77777777" w:rsidR="006F1A41" w:rsidRPr="00E81026" w:rsidRDefault="006F1A41" w:rsidP="00537496">
      <w:pPr>
        <w:pStyle w:val="Authornameandaffiliation"/>
      </w:pPr>
    </w:p>
    <w:p w14:paraId="433FE049" w14:textId="77777777" w:rsidR="00647F33" w:rsidRPr="0065693B" w:rsidRDefault="00647F33" w:rsidP="00537496">
      <w:pPr>
        <w:pStyle w:val="Authornameandaffiliation"/>
        <w:rPr>
          <w:b/>
        </w:rPr>
      </w:pPr>
      <w:r w:rsidRPr="0065693B">
        <w:rPr>
          <w:b/>
        </w:rPr>
        <w:t>Abstract</w:t>
      </w:r>
    </w:p>
    <w:p w14:paraId="3936BD73" w14:textId="77777777" w:rsidR="00697D30" w:rsidRPr="0065693B" w:rsidRDefault="00697D30" w:rsidP="006D3660">
      <w:pPr>
        <w:pStyle w:val="Abstracttext"/>
        <w:jc w:val="both"/>
      </w:pPr>
    </w:p>
    <w:p w14:paraId="61504E8F" w14:textId="3CA8F7C9" w:rsidR="006D3660" w:rsidRPr="0065693B" w:rsidRDefault="006D3660" w:rsidP="006D3660">
      <w:pPr>
        <w:pStyle w:val="Abstracttext"/>
        <w:jc w:val="both"/>
      </w:pPr>
      <w:r w:rsidRPr="0065693B">
        <w:t>The object of this study was to find a route for the treatment of uranyl nitrate solutions generated in the decontamination of equipment in a nuclear installation by chemical precipitation. Through experimental planning by central composite rotation design (CCRD) it was possible to optimize the treatment of this solution. The initial concentration of uranium in solution was 13.9 g∙L</w:t>
      </w:r>
      <w:r w:rsidRPr="0065693B">
        <w:rPr>
          <w:vertAlign w:val="superscript"/>
        </w:rPr>
        <w:t>-1</w:t>
      </w:r>
      <w:r w:rsidRPr="0065693B">
        <w:t xml:space="preserve"> and after treatment with hydrogen peroxide with a concentration of 200 g∙L</w:t>
      </w:r>
      <w:r w:rsidRPr="0065693B">
        <w:rPr>
          <w:vertAlign w:val="superscript"/>
        </w:rPr>
        <w:t>-1</w:t>
      </w:r>
      <w:r w:rsidRPr="0065693B">
        <w:t xml:space="preserve"> with pH adjustment of the solution equal to 1.75 was possible to recover 99.7 % of the uranium present in the initial solution.</w:t>
      </w:r>
    </w:p>
    <w:p w14:paraId="176FE051" w14:textId="5ABAACE2" w:rsidR="00247A97" w:rsidRPr="0065693B" w:rsidRDefault="00F523CA" w:rsidP="007A67CA">
      <w:pPr>
        <w:pStyle w:val="Ttulo2"/>
        <w:numPr>
          <w:ilvl w:val="1"/>
          <w:numId w:val="6"/>
        </w:numPr>
      </w:pPr>
      <w:r w:rsidRPr="0065693B">
        <w:t>INTRODUCTION</w:t>
      </w:r>
    </w:p>
    <w:p w14:paraId="4E3A918B" w14:textId="74C1CA64" w:rsidR="00247A97" w:rsidRPr="0065693B" w:rsidRDefault="00247A97" w:rsidP="00AA7BE5">
      <w:pPr>
        <w:ind w:firstLine="720"/>
        <w:jc w:val="both"/>
        <w:rPr>
          <w:sz w:val="20"/>
          <w:lang w:val="en-US"/>
        </w:rPr>
      </w:pPr>
      <w:r w:rsidRPr="0065693B">
        <w:rPr>
          <w:sz w:val="20"/>
          <w:lang w:val="en-US"/>
        </w:rPr>
        <w:t xml:space="preserve">During the operation of a nuclear facility several instruments and equipment may get contaminated. This contamination may be loose or fixed, being a loose contamination easily transferred to other surfaces and the fixed contamination does not [1]. The hazard of a loose contamination is a greater than that of a fixed contamination [2] as it poses as an additional internal contamination threat. </w:t>
      </w:r>
      <w:r w:rsidR="00AA1F13" w:rsidRPr="0065693B">
        <w:rPr>
          <w:sz w:val="20"/>
          <w:lang w:val="en-US"/>
        </w:rPr>
        <w:t>To</w:t>
      </w:r>
      <w:r w:rsidRPr="0065693B">
        <w:rPr>
          <w:sz w:val="20"/>
          <w:lang w:val="en-US"/>
        </w:rPr>
        <w:t xml:space="preserve"> minimize risk, costs, facilitate waste management, and reduce the dose that the employees are exposed a periodical decontamination of the machinery is needed.</w:t>
      </w:r>
    </w:p>
    <w:p w14:paraId="51B95B4E" w14:textId="77777777" w:rsidR="00247A97" w:rsidRPr="0065693B" w:rsidRDefault="00247A97" w:rsidP="00AA7BE5">
      <w:pPr>
        <w:ind w:firstLine="720"/>
        <w:jc w:val="both"/>
        <w:rPr>
          <w:sz w:val="20"/>
          <w:lang w:val="en-US"/>
        </w:rPr>
      </w:pPr>
      <w:r w:rsidRPr="0065693B">
        <w:rPr>
          <w:sz w:val="20"/>
          <w:lang w:val="en-US"/>
        </w:rPr>
        <w:t>For the past 20 years the Brazilian Nuclear Industries (INB – in Portuguese) enrichment, reconversion and fuel manufacturing facility has used diluted nitric acid (HNO</w:t>
      </w:r>
      <w:r w:rsidRPr="0065693B">
        <w:rPr>
          <w:sz w:val="20"/>
          <w:vertAlign w:val="subscript"/>
          <w:lang w:val="en-US"/>
        </w:rPr>
        <w:t>3</w:t>
      </w:r>
      <w:r w:rsidRPr="0065693B">
        <w:rPr>
          <w:sz w:val="20"/>
          <w:lang w:val="en-US"/>
        </w:rPr>
        <w:t xml:space="preserve"> 15 %) as a chemical method to remove loose contamination from equipment throughout the factory. </w:t>
      </w:r>
    </w:p>
    <w:p w14:paraId="00AC93F4" w14:textId="5AF32A2A" w:rsidR="00247A97" w:rsidRPr="0065693B" w:rsidRDefault="00247A97" w:rsidP="00AA7BE5">
      <w:pPr>
        <w:ind w:firstLine="720"/>
        <w:jc w:val="both"/>
        <w:rPr>
          <w:sz w:val="20"/>
          <w:lang w:val="en-US"/>
        </w:rPr>
      </w:pPr>
      <w:r w:rsidRPr="0065693B">
        <w:rPr>
          <w:sz w:val="20"/>
          <w:lang w:val="en-US"/>
        </w:rPr>
        <w:t xml:space="preserve">This acid has been stored in 50 L plastic drums and, in March 2021, have accumulated 3.000 L of a radioactive acid waste that need to be treated to meet the final deposition specifications [3]. </w:t>
      </w:r>
    </w:p>
    <w:p w14:paraId="67FBBC3E" w14:textId="77777777" w:rsidR="00247A97" w:rsidRPr="0065693B" w:rsidRDefault="00247A97" w:rsidP="00AA7BE5">
      <w:pPr>
        <w:ind w:firstLine="720"/>
        <w:jc w:val="both"/>
        <w:rPr>
          <w:sz w:val="20"/>
          <w:lang w:val="en-US"/>
        </w:rPr>
      </w:pPr>
      <w:r w:rsidRPr="0065693B">
        <w:rPr>
          <w:sz w:val="20"/>
          <w:lang w:val="en-US"/>
        </w:rPr>
        <w:t xml:space="preserve">Several methods for chemical recovery of the dissolved uranium contained in acid solution have been developed. Some methods, such as ion exchange resins [4] and ionic liquid extraction [5] were developed to concentrate the uranium, considering the enrichment, that may lead to critical concentration and is unadvisable to use. </w:t>
      </w:r>
    </w:p>
    <w:p w14:paraId="02A1FB67" w14:textId="77777777" w:rsidR="00247A97" w:rsidRPr="0065693B" w:rsidRDefault="00247A97" w:rsidP="00AA7BE5">
      <w:pPr>
        <w:ind w:firstLine="720"/>
        <w:jc w:val="both"/>
        <w:rPr>
          <w:sz w:val="20"/>
          <w:lang w:val="en-US"/>
        </w:rPr>
      </w:pPr>
      <w:r w:rsidRPr="0065693B">
        <w:rPr>
          <w:sz w:val="20"/>
          <w:lang w:val="en-US"/>
        </w:rPr>
        <w:t>Alkaline precipitation methods, with calcium hydroxide (</w:t>
      </w:r>
      <w:proofErr w:type="gramStart"/>
      <w:r w:rsidRPr="0065693B">
        <w:rPr>
          <w:sz w:val="20"/>
          <w:lang w:val="en-US"/>
        </w:rPr>
        <w:t>Ca(</w:t>
      </w:r>
      <w:proofErr w:type="gramEnd"/>
      <w:r w:rsidRPr="0065693B">
        <w:rPr>
          <w:sz w:val="20"/>
          <w:lang w:val="en-US"/>
        </w:rPr>
        <w:t>OH)</w:t>
      </w:r>
      <w:r w:rsidRPr="0065693B">
        <w:rPr>
          <w:sz w:val="20"/>
          <w:vertAlign w:val="subscript"/>
          <w:lang w:val="en-US"/>
        </w:rPr>
        <w:t>2</w:t>
      </w:r>
      <w:r w:rsidRPr="0065693B">
        <w:rPr>
          <w:sz w:val="20"/>
          <w:lang w:val="en-US"/>
        </w:rPr>
        <w:t>) [6] or ammonium hydroxide (NH</w:t>
      </w:r>
      <w:r w:rsidRPr="0065693B">
        <w:rPr>
          <w:sz w:val="20"/>
          <w:vertAlign w:val="subscript"/>
          <w:lang w:val="en-US"/>
        </w:rPr>
        <w:t>4</w:t>
      </w:r>
      <w:r w:rsidRPr="0065693B">
        <w:rPr>
          <w:sz w:val="20"/>
          <w:lang w:val="en-US"/>
        </w:rPr>
        <w:t xml:space="preserve">OH) are highly efficient to remove the uranium, but they lead to a product that are not suitable to use in INB manufacturing process. An adequate route to treat this solution and recover the uranium is through a uranium peroxide precipitation seen in </w:t>
      </w:r>
      <w:r w:rsidRPr="0065693B">
        <w:rPr>
          <w:b/>
          <w:bCs/>
          <w:sz w:val="20"/>
          <w:lang w:val="en-US"/>
        </w:rPr>
        <w:t xml:space="preserve">Eq. 1 </w:t>
      </w:r>
      <w:r w:rsidRPr="0065693B">
        <w:rPr>
          <w:sz w:val="20"/>
          <w:lang w:val="en-US"/>
        </w:rPr>
        <w:t>[7].</w:t>
      </w:r>
    </w:p>
    <w:p w14:paraId="1B365531" w14:textId="77777777" w:rsidR="00247A97" w:rsidRPr="0065693B" w:rsidRDefault="00247A97" w:rsidP="00AA7BE5">
      <w:pPr>
        <w:ind w:firstLine="720"/>
        <w:jc w:val="both"/>
        <w:rPr>
          <w:sz w:val="20"/>
          <w:lang w:val="en-US"/>
        </w:rPr>
      </w:pPr>
    </w:p>
    <w:p w14:paraId="0E6F0A2E" w14:textId="77777777" w:rsidR="00247A97" w:rsidRPr="0065693B" w:rsidRDefault="0087529D" w:rsidP="00AA7BE5">
      <w:pPr>
        <w:ind w:firstLine="720"/>
        <w:jc w:val="both"/>
        <w:rPr>
          <w:sz w:val="20"/>
          <w:lang w:val="en-US"/>
        </w:rPr>
      </w:pPr>
      <m:oMath>
        <m:sSup>
          <m:sSupPr>
            <m:ctrlPr>
              <w:rPr>
                <w:rFonts w:ascii="Cambria Math" w:hAnsi="Cambria Math"/>
                <w:i/>
                <w:sz w:val="20"/>
              </w:rPr>
            </m:ctrlPr>
          </m:sSupPr>
          <m:e>
            <m:r>
              <w:rPr>
                <w:rFonts w:ascii="Cambria Math" w:hAnsi="Cambria Math"/>
                <w:sz w:val="20"/>
              </w:rPr>
              <m:t>U</m:t>
            </m:r>
            <m:sSub>
              <m:sSubPr>
                <m:ctrlPr>
                  <w:rPr>
                    <w:rFonts w:ascii="Cambria Math" w:hAnsi="Cambria Math"/>
                    <w:i/>
                    <w:sz w:val="20"/>
                  </w:rPr>
                </m:ctrlPr>
              </m:sSubPr>
              <m:e>
                <m:r>
                  <w:rPr>
                    <w:rFonts w:ascii="Cambria Math" w:hAnsi="Cambria Math"/>
                    <w:sz w:val="20"/>
                  </w:rPr>
                  <m:t>O</m:t>
                </m:r>
              </m:e>
              <m:sub>
                <m:r>
                  <w:rPr>
                    <w:rFonts w:ascii="Cambria Math" w:hAnsi="Cambria Math"/>
                    <w:sz w:val="20"/>
                    <w:lang w:val="en-US"/>
                  </w:rPr>
                  <m:t>2</m:t>
                </m:r>
              </m:sub>
            </m:sSub>
          </m:e>
          <m:sup>
            <m:r>
              <w:rPr>
                <w:rFonts w:ascii="Cambria Math" w:hAnsi="Cambria Math"/>
                <w:sz w:val="20"/>
                <w:lang w:val="en-US"/>
              </w:rPr>
              <m:t>2+</m:t>
            </m:r>
          </m:sup>
        </m:sSup>
        <m:r>
          <w:rPr>
            <w:rFonts w:ascii="Cambria Math" w:hAnsi="Cambria Math"/>
            <w:sz w:val="20"/>
            <w:lang w:val="en-US"/>
          </w:rPr>
          <m:t>+</m:t>
        </m:r>
        <m:sSub>
          <m:sSubPr>
            <m:ctrlPr>
              <w:rPr>
                <w:rFonts w:ascii="Cambria Math" w:hAnsi="Cambria Math"/>
                <w:i/>
                <w:sz w:val="20"/>
              </w:rPr>
            </m:ctrlPr>
          </m:sSubPr>
          <m:e>
            <m:r>
              <w:rPr>
                <w:rFonts w:ascii="Cambria Math" w:hAnsi="Cambria Math"/>
                <w:sz w:val="20"/>
              </w:rPr>
              <m:t>H</m:t>
            </m:r>
          </m:e>
          <m:sub>
            <m:r>
              <w:rPr>
                <w:rFonts w:ascii="Cambria Math" w:hAnsi="Cambria Math"/>
                <w:sz w:val="20"/>
                <w:lang w:val="en-US"/>
              </w:rPr>
              <m:t>2</m:t>
            </m:r>
          </m:sub>
        </m:sSub>
        <m:r>
          <w:rPr>
            <w:rFonts w:ascii="Cambria Math" w:hAnsi="Cambria Math"/>
            <w:sz w:val="20"/>
          </w:rPr>
          <m:t>O</m:t>
        </m:r>
        <m:box>
          <m:boxPr>
            <m:opEmu m:val="1"/>
            <m:ctrlPr>
              <w:rPr>
                <w:rFonts w:ascii="Cambria Math" w:hAnsi="Cambria Math"/>
                <w:i/>
                <w:sz w:val="20"/>
              </w:rPr>
            </m:ctrlPr>
          </m:boxPr>
          <m:e>
            <m:groupChr>
              <m:groupChrPr>
                <m:chr m:val="→"/>
                <m:pos m:val="top"/>
                <m:ctrlPr>
                  <w:rPr>
                    <w:rFonts w:ascii="Cambria Math" w:hAnsi="Cambria Math"/>
                    <w:i/>
                    <w:sz w:val="20"/>
                  </w:rPr>
                </m:ctrlPr>
              </m:groupChrPr>
              <m:e>
                <m:sSub>
                  <m:sSubPr>
                    <m:ctrlPr>
                      <w:rPr>
                        <w:rFonts w:ascii="Cambria Math" w:hAnsi="Cambria Math"/>
                        <w:i/>
                        <w:sz w:val="20"/>
                      </w:rPr>
                    </m:ctrlPr>
                  </m:sSubPr>
                  <m:e>
                    <m:r>
                      <w:rPr>
                        <w:rFonts w:ascii="Cambria Math" w:hAnsi="Cambria Math"/>
                        <w:sz w:val="20"/>
                      </w:rPr>
                      <m:t>H</m:t>
                    </m:r>
                  </m:e>
                  <m:sub>
                    <m:r>
                      <w:rPr>
                        <w:rFonts w:ascii="Cambria Math" w:hAnsi="Cambria Math"/>
                        <w:sz w:val="20"/>
                        <w:lang w:val="en-US"/>
                      </w:rPr>
                      <m:t>2</m:t>
                    </m:r>
                  </m:sub>
                </m:sSub>
                <m:r>
                  <w:rPr>
                    <w:rFonts w:ascii="Cambria Math" w:hAnsi="Cambria Math"/>
                    <w:sz w:val="20"/>
                  </w:rPr>
                  <m:t>O</m:t>
                </m:r>
              </m:e>
            </m:groupChr>
          </m:e>
        </m:box>
        <m:r>
          <w:rPr>
            <w:rFonts w:ascii="Cambria Math" w:hAnsi="Cambria Math"/>
            <w:sz w:val="20"/>
          </w:rPr>
          <m:t>U</m:t>
        </m:r>
        <m:sSub>
          <m:sSubPr>
            <m:ctrlPr>
              <w:rPr>
                <w:rFonts w:ascii="Cambria Math" w:hAnsi="Cambria Math"/>
                <w:i/>
                <w:sz w:val="20"/>
              </w:rPr>
            </m:ctrlPr>
          </m:sSubPr>
          <m:e>
            <m:r>
              <w:rPr>
                <w:rFonts w:ascii="Cambria Math" w:hAnsi="Cambria Math"/>
                <w:sz w:val="20"/>
              </w:rPr>
              <m:t>O</m:t>
            </m:r>
          </m:e>
          <m:sub>
            <m:r>
              <w:rPr>
                <w:rFonts w:ascii="Cambria Math" w:hAnsi="Cambria Math"/>
                <w:sz w:val="20"/>
                <w:lang w:val="en-US"/>
              </w:rPr>
              <m:t>2</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O</m:t>
                </m:r>
              </m:e>
              <m:sub>
                <m:r>
                  <w:rPr>
                    <w:rFonts w:ascii="Cambria Math" w:hAnsi="Cambria Math"/>
                    <w:sz w:val="20"/>
                    <w:lang w:val="en-US"/>
                  </w:rPr>
                  <m:t>2</m:t>
                </m:r>
              </m:sub>
            </m:sSub>
          </m:e>
        </m:d>
        <m:r>
          <w:rPr>
            <w:rFonts w:ascii="Cambria Math" w:hAnsi="Cambria Math"/>
            <w:sz w:val="20"/>
            <w:lang w:val="en-US"/>
          </w:rPr>
          <m:t>.</m:t>
        </m:r>
        <m:r>
          <w:rPr>
            <w:rFonts w:ascii="Cambria Math" w:hAnsi="Cambria Math"/>
            <w:sz w:val="20"/>
          </w:rPr>
          <m:t>x</m:t>
        </m:r>
        <m:sSub>
          <m:sSubPr>
            <m:ctrlPr>
              <w:rPr>
                <w:rFonts w:ascii="Cambria Math" w:hAnsi="Cambria Math"/>
                <w:i/>
                <w:sz w:val="20"/>
              </w:rPr>
            </m:ctrlPr>
          </m:sSubPr>
          <m:e>
            <m:r>
              <w:rPr>
                <w:rFonts w:ascii="Cambria Math" w:hAnsi="Cambria Math"/>
                <w:sz w:val="20"/>
              </w:rPr>
              <m:t>H</m:t>
            </m:r>
          </m:e>
          <m:sub>
            <m:r>
              <w:rPr>
                <w:rFonts w:ascii="Cambria Math" w:hAnsi="Cambria Math"/>
                <w:sz w:val="20"/>
                <w:lang w:val="en-US"/>
              </w:rPr>
              <m:t>2</m:t>
            </m:r>
          </m:sub>
        </m:sSub>
        <m:r>
          <w:rPr>
            <w:rFonts w:ascii="Cambria Math" w:hAnsi="Cambria Math"/>
            <w:sz w:val="20"/>
          </w:rPr>
          <m:t>O</m:t>
        </m:r>
        <m:r>
          <w:rPr>
            <w:rFonts w:ascii="Cambria Math" w:hAnsi="Cambria Math"/>
            <w:sz w:val="20"/>
            <w:lang w:val="en-US"/>
          </w:rPr>
          <m:t>+2</m:t>
        </m:r>
        <m:sSup>
          <m:sSupPr>
            <m:ctrlPr>
              <w:rPr>
                <w:rFonts w:ascii="Cambria Math" w:hAnsi="Cambria Math"/>
                <w:i/>
                <w:sz w:val="20"/>
              </w:rPr>
            </m:ctrlPr>
          </m:sSupPr>
          <m:e>
            <m:r>
              <w:rPr>
                <w:rFonts w:ascii="Cambria Math" w:hAnsi="Cambria Math"/>
                <w:sz w:val="20"/>
              </w:rPr>
              <m:t>H</m:t>
            </m:r>
          </m:e>
          <m:sup>
            <m:r>
              <w:rPr>
                <w:rFonts w:ascii="Cambria Math" w:hAnsi="Cambria Math"/>
                <w:sz w:val="20"/>
                <w:lang w:val="en-US"/>
              </w:rPr>
              <m:t>+</m:t>
            </m:r>
          </m:sup>
        </m:sSup>
      </m:oMath>
      <w:r w:rsidR="00247A97" w:rsidRPr="0065693B">
        <w:rPr>
          <w:sz w:val="20"/>
          <w:lang w:val="en-US"/>
        </w:rPr>
        <w:t xml:space="preserve"> </w:t>
      </w:r>
      <w:r w:rsidR="00247A97" w:rsidRPr="0065693B">
        <w:rPr>
          <w:sz w:val="20"/>
          <w:lang w:val="en-US"/>
        </w:rPr>
        <w:tab/>
      </w:r>
      <w:r w:rsidR="00247A97" w:rsidRPr="0065693B">
        <w:rPr>
          <w:sz w:val="20"/>
          <w:lang w:val="en-US"/>
        </w:rPr>
        <w:tab/>
      </w:r>
      <w:r w:rsidR="00247A97" w:rsidRPr="0065693B">
        <w:rPr>
          <w:sz w:val="20"/>
          <w:lang w:val="en-US"/>
        </w:rPr>
        <w:tab/>
      </w:r>
      <w:r w:rsidR="00247A97" w:rsidRPr="0065693B">
        <w:rPr>
          <w:b/>
          <w:bCs/>
          <w:sz w:val="20"/>
          <w:lang w:val="en-US"/>
        </w:rPr>
        <w:t>Eq. 1</w:t>
      </w:r>
    </w:p>
    <w:p w14:paraId="44EA229D" w14:textId="77777777" w:rsidR="00697D30" w:rsidRPr="0065693B" w:rsidRDefault="00697D30" w:rsidP="00AA7BE5">
      <w:pPr>
        <w:ind w:firstLine="720"/>
        <w:jc w:val="both"/>
        <w:rPr>
          <w:sz w:val="20"/>
          <w:lang w:val="en-US"/>
        </w:rPr>
      </w:pPr>
    </w:p>
    <w:p w14:paraId="7FF96C7F" w14:textId="0F84C3D5" w:rsidR="00697D30" w:rsidRPr="0065693B" w:rsidRDefault="00247A97" w:rsidP="00345EDF">
      <w:pPr>
        <w:ind w:firstLine="720"/>
        <w:jc w:val="both"/>
        <w:rPr>
          <w:sz w:val="20"/>
          <w:lang w:val="en-US"/>
        </w:rPr>
      </w:pPr>
      <w:r w:rsidRPr="0065693B">
        <w:rPr>
          <w:sz w:val="20"/>
          <w:lang w:val="en-US"/>
        </w:rPr>
        <w:t>This work aims to optimize the uranium recovery using a Central Composite Rotational Design (CCRD) considering pH, reaction time and hydrogen peroxide mass as study factors.</w:t>
      </w:r>
    </w:p>
    <w:p w14:paraId="36716F40" w14:textId="77777777" w:rsidR="00697D30" w:rsidRPr="0065693B" w:rsidRDefault="00697D30" w:rsidP="007A67CA">
      <w:pPr>
        <w:pStyle w:val="Ttulo2"/>
        <w:numPr>
          <w:ilvl w:val="1"/>
          <w:numId w:val="6"/>
        </w:numPr>
      </w:pPr>
      <w:r w:rsidRPr="0065693B">
        <w:lastRenderedPageBreak/>
        <w:t>Experimental</w:t>
      </w:r>
    </w:p>
    <w:p w14:paraId="175C56C5" w14:textId="77777777" w:rsidR="00697D30" w:rsidRPr="0065693B" w:rsidRDefault="00697D30" w:rsidP="00697D30">
      <w:pPr>
        <w:pStyle w:val="Ttulo3"/>
        <w:numPr>
          <w:ilvl w:val="2"/>
          <w:numId w:val="3"/>
        </w:numPr>
      </w:pPr>
      <w:r w:rsidRPr="0065693B">
        <w:t>Instrumentation</w:t>
      </w:r>
    </w:p>
    <w:p w14:paraId="6A125B97" w14:textId="77777777" w:rsidR="00697D30" w:rsidRPr="0065693B" w:rsidRDefault="00697D30" w:rsidP="00ED4F5F">
      <w:pPr>
        <w:ind w:firstLine="720"/>
        <w:jc w:val="both"/>
        <w:rPr>
          <w:sz w:val="20"/>
          <w:lang w:val="en-US"/>
        </w:rPr>
      </w:pPr>
      <w:r w:rsidRPr="0065693B">
        <w:rPr>
          <w:sz w:val="20"/>
          <w:lang w:val="en-US"/>
        </w:rPr>
        <w:t xml:space="preserve">A PerkinElmer Optima 2100 DV ICP-OES was used for quantitative measurements. Stirring was accomplished by a magnetic stirrer (IKA C-MAG HS 7, Germany). </w:t>
      </w:r>
      <w:proofErr w:type="spellStart"/>
      <w:r w:rsidRPr="0065693B">
        <w:rPr>
          <w:sz w:val="20"/>
          <w:lang w:val="en-US"/>
        </w:rPr>
        <w:t>Statistica</w:t>
      </w:r>
      <w:proofErr w:type="spellEnd"/>
      <w:r w:rsidRPr="0065693B">
        <w:rPr>
          <w:sz w:val="20"/>
          <w:lang w:val="en-US"/>
        </w:rPr>
        <w:t>® version 10.0.228.2 was used for calculations.</w:t>
      </w:r>
    </w:p>
    <w:p w14:paraId="13E9DF38" w14:textId="60745319" w:rsidR="00697D30" w:rsidRPr="0065693B" w:rsidRDefault="00697D30" w:rsidP="00697D30">
      <w:pPr>
        <w:pStyle w:val="Ttulo3"/>
        <w:numPr>
          <w:ilvl w:val="2"/>
          <w:numId w:val="3"/>
        </w:numPr>
      </w:pPr>
      <w:r w:rsidRPr="0065693B">
        <w:t>Reagent and chemicals</w:t>
      </w:r>
    </w:p>
    <w:p w14:paraId="0E245C67" w14:textId="381E2CCC" w:rsidR="00436562" w:rsidRPr="0065693B" w:rsidRDefault="00697D30" w:rsidP="00436562">
      <w:pPr>
        <w:ind w:firstLine="720"/>
        <w:jc w:val="both"/>
        <w:rPr>
          <w:sz w:val="20"/>
          <w:lang w:val="en-US"/>
        </w:rPr>
      </w:pPr>
      <w:r w:rsidRPr="0065693B">
        <w:rPr>
          <w:sz w:val="20"/>
          <w:lang w:val="en-US"/>
        </w:rPr>
        <w:t xml:space="preserve">Hydrogen peroxide 50 % and Ammonium hydroxide 25 % were purchased from </w:t>
      </w:r>
      <w:proofErr w:type="spellStart"/>
      <w:r w:rsidRPr="0065693B">
        <w:rPr>
          <w:sz w:val="20"/>
          <w:lang w:val="en-US"/>
        </w:rPr>
        <w:t>Vetec</w:t>
      </w:r>
      <w:proofErr w:type="spellEnd"/>
      <w:r w:rsidRPr="0065693B">
        <w:rPr>
          <w:sz w:val="20"/>
          <w:lang w:val="en-US"/>
        </w:rPr>
        <w:t xml:space="preserve"> (Brazil) and were used without any further dilution. The waste samples were collected from a 50 L plastic drum labeled as 0615031 at INB’s.</w:t>
      </w:r>
      <w:r w:rsidR="00436562" w:rsidRPr="0065693B">
        <w:rPr>
          <w:sz w:val="20"/>
          <w:lang w:val="en-US"/>
        </w:rPr>
        <w:t xml:space="preserve"> Into a 50 mL sample was added the hydrogen peroxide, and mixed for 2 minutes, after that the ammonium hydroxide was added and the stirring was turned off and the solution was put to rest for the designated time. After this step the solution was filtered and analyzed for uranium content.</w:t>
      </w:r>
    </w:p>
    <w:p w14:paraId="23F985E8" w14:textId="77777777" w:rsidR="00436562" w:rsidRPr="0065693B" w:rsidRDefault="00436562" w:rsidP="00436562">
      <w:pPr>
        <w:pStyle w:val="Ttulo3"/>
        <w:numPr>
          <w:ilvl w:val="2"/>
          <w:numId w:val="3"/>
        </w:numPr>
        <w:jc w:val="both"/>
      </w:pPr>
      <w:r w:rsidRPr="0065693B">
        <w:t>Optimization strategy</w:t>
      </w:r>
    </w:p>
    <w:p w14:paraId="7A93821E" w14:textId="77777777" w:rsidR="000157EB" w:rsidRPr="007C5888" w:rsidRDefault="000157EB" w:rsidP="000157EB">
      <w:pPr>
        <w:ind w:firstLine="720"/>
        <w:jc w:val="both"/>
        <w:rPr>
          <w:szCs w:val="24"/>
          <w:lang w:val="en-US"/>
        </w:rPr>
      </w:pPr>
      <w:r w:rsidRPr="007C5888">
        <w:rPr>
          <w:szCs w:val="24"/>
          <w:lang w:val="en-US"/>
        </w:rPr>
        <w:t>The study was based on a CCRD with adjusted pH, resting time and hydrogen peroxide added mass as independent variables. The residual uranium concentration was used as dependent variable.</w:t>
      </w:r>
    </w:p>
    <w:p w14:paraId="05768E66" w14:textId="77777777" w:rsidR="00697D30" w:rsidRPr="0065693B" w:rsidRDefault="00697D30" w:rsidP="00697D30">
      <w:pPr>
        <w:pStyle w:val="Ttulo3"/>
        <w:numPr>
          <w:ilvl w:val="2"/>
          <w:numId w:val="3"/>
        </w:numPr>
      </w:pPr>
      <w:r w:rsidRPr="0065693B">
        <w:t>General procedure</w:t>
      </w:r>
    </w:p>
    <w:p w14:paraId="25A6F9B7" w14:textId="77777777" w:rsidR="00697D30" w:rsidRPr="0065693B" w:rsidRDefault="00697D30" w:rsidP="00ED4F5F">
      <w:pPr>
        <w:ind w:firstLine="720"/>
        <w:jc w:val="both"/>
        <w:rPr>
          <w:sz w:val="20"/>
          <w:lang w:val="en-US"/>
        </w:rPr>
      </w:pPr>
      <w:r w:rsidRPr="0065693B">
        <w:rPr>
          <w:sz w:val="20"/>
          <w:lang w:val="en-US"/>
        </w:rPr>
        <w:t>The study was based on a CCRD with adjusted pH, resting time and hydrogen peroxide added mass as independent variables. The residual uranium concentration was used as dependent variable.</w:t>
      </w:r>
    </w:p>
    <w:p w14:paraId="2BA2178C" w14:textId="14207C84" w:rsidR="00697D30" w:rsidRPr="0065693B" w:rsidRDefault="00697D30" w:rsidP="007A67CA">
      <w:pPr>
        <w:pStyle w:val="Ttulo2"/>
        <w:numPr>
          <w:ilvl w:val="1"/>
          <w:numId w:val="6"/>
        </w:numPr>
      </w:pPr>
      <w:r w:rsidRPr="0065693B">
        <w:t>Results and discussion</w:t>
      </w:r>
    </w:p>
    <w:p w14:paraId="046E1DB8" w14:textId="107151F6" w:rsidR="00697D30" w:rsidRPr="0065693B" w:rsidRDefault="00697D30" w:rsidP="00ED4F5F">
      <w:pPr>
        <w:ind w:firstLine="720"/>
        <w:jc w:val="both"/>
        <w:rPr>
          <w:sz w:val="20"/>
          <w:lang w:val="en-US"/>
        </w:rPr>
      </w:pPr>
      <w:r w:rsidRPr="0065693B">
        <w:rPr>
          <w:sz w:val="20"/>
          <w:lang w:val="en-US"/>
        </w:rPr>
        <w:t xml:space="preserve">With the recovery values ​​obtained with the </w:t>
      </w:r>
      <w:r w:rsidR="00B42519">
        <w:rPr>
          <w:sz w:val="20"/>
          <w:lang w:val="en-US"/>
        </w:rPr>
        <w:t xml:space="preserve">exploratory </w:t>
      </w:r>
      <w:r w:rsidRPr="0065693B">
        <w:rPr>
          <w:sz w:val="20"/>
          <w:lang w:val="en-US"/>
        </w:rPr>
        <w:t>experiments and with a focus on having the shortest possible time, the lowest expenditure of reagents and, of course, the greatest possible uranium recovery, even with a view to releasing the effluent, a CCRD experiment planning was prepared.</w:t>
      </w:r>
    </w:p>
    <w:p w14:paraId="5D18E1A8" w14:textId="77777777" w:rsidR="00697D30" w:rsidRPr="0065693B" w:rsidRDefault="00697D30" w:rsidP="00ED4F5F">
      <w:pPr>
        <w:ind w:firstLine="720"/>
        <w:jc w:val="both"/>
        <w:rPr>
          <w:sz w:val="20"/>
          <w:lang w:val="en-US"/>
        </w:rPr>
      </w:pPr>
      <w:r w:rsidRPr="0065693B">
        <w:rPr>
          <w:sz w:val="20"/>
          <w:lang w:val="en-US"/>
        </w:rPr>
        <w:t>The advantage of applying the design of experiments is the reduction in the number of tests and the need to repeat them, as well as the simultaneous analysis of the variables and evaluation of the experimental error.</w:t>
      </w:r>
    </w:p>
    <w:p w14:paraId="6130D82C" w14:textId="3E3C06D5" w:rsidR="00697D30" w:rsidRPr="0065693B" w:rsidRDefault="00697D30" w:rsidP="005C73EC">
      <w:pPr>
        <w:ind w:firstLine="720"/>
        <w:jc w:val="both"/>
        <w:rPr>
          <w:sz w:val="20"/>
          <w:lang w:val="en-US"/>
        </w:rPr>
      </w:pPr>
      <w:r w:rsidRPr="0065693B">
        <w:rPr>
          <w:sz w:val="20"/>
          <w:lang w:val="en-US"/>
        </w:rPr>
        <w:t xml:space="preserve"> Based on the best uranium recovery values ​​according to the findings in the preliminary tests, it was possible to establish the main variables to be studied, as well as their levels, aiming to find the optimum point to have more uranium removal from the solution aiming at lesser financial expenditure for this.</w:t>
      </w:r>
    </w:p>
    <w:p w14:paraId="3D30BB36" w14:textId="7A7560CE" w:rsidR="000063E3" w:rsidRPr="0065693B" w:rsidRDefault="000063E3" w:rsidP="000063E3">
      <w:pPr>
        <w:ind w:firstLine="720"/>
        <w:jc w:val="both"/>
        <w:rPr>
          <w:sz w:val="20"/>
          <w:lang w:val="en-US"/>
        </w:rPr>
      </w:pPr>
      <w:r w:rsidRPr="0065693B">
        <w:rPr>
          <w:sz w:val="20"/>
          <w:lang w:val="en-US"/>
        </w:rPr>
        <w:t>It is noteworthy that the number of blocks adopted was 1 because it is a small planning, and a total of 16 experiments were carried out, and 15 unique experiments, since the central point was done in duplicate. Independent variables that were shown to have a greater influence on the studied system were inserted in the planning according to the results of the preliminary tests.</w:t>
      </w:r>
      <w:r w:rsidR="005F3489">
        <w:rPr>
          <w:sz w:val="20"/>
          <w:lang w:val="en-US"/>
        </w:rPr>
        <w:t xml:space="preserve"> Table 1</w:t>
      </w:r>
      <w:r w:rsidR="005F3489" w:rsidRPr="0065693B">
        <w:rPr>
          <w:sz w:val="20"/>
          <w:lang w:val="en-US"/>
        </w:rPr>
        <w:t xml:space="preserve"> </w:t>
      </w:r>
      <w:r w:rsidR="005F3489">
        <w:rPr>
          <w:sz w:val="20"/>
          <w:lang w:val="en-US"/>
        </w:rPr>
        <w:t>s</w:t>
      </w:r>
      <w:r w:rsidRPr="0065693B">
        <w:rPr>
          <w:sz w:val="20"/>
          <w:lang w:val="en-US"/>
        </w:rPr>
        <w:t xml:space="preserve">hows the result of the concentration of uranium in uranyl nitrate solution after carrying out the planned experiments using the CCRD elaborated with the </w:t>
      </w:r>
      <w:proofErr w:type="spellStart"/>
      <w:r w:rsidRPr="0065693B">
        <w:rPr>
          <w:sz w:val="20"/>
          <w:lang w:val="en-US"/>
        </w:rPr>
        <w:t>Statistica</w:t>
      </w:r>
      <w:proofErr w:type="spellEnd"/>
      <w:r w:rsidRPr="0065693B">
        <w:rPr>
          <w:sz w:val="20"/>
          <w:lang w:val="en-US"/>
        </w:rPr>
        <w:t>® program. The experiments highlighted in gray</w:t>
      </w:r>
      <w:r w:rsidR="005F3489">
        <w:rPr>
          <w:sz w:val="20"/>
          <w:lang w:val="en-US"/>
        </w:rPr>
        <w:t>,</w:t>
      </w:r>
      <w:r w:rsidRPr="0065693B">
        <w:rPr>
          <w:sz w:val="20"/>
          <w:lang w:val="en-US"/>
        </w:rPr>
        <w:t xml:space="preserve"> </w:t>
      </w:r>
      <w:r w:rsidR="005F3489">
        <w:rPr>
          <w:sz w:val="20"/>
        </w:rPr>
        <w:t xml:space="preserve">according to Table 1, </w:t>
      </w:r>
      <w:r w:rsidRPr="0065693B">
        <w:rPr>
          <w:sz w:val="20"/>
          <w:lang w:val="en-US"/>
        </w:rPr>
        <w:t xml:space="preserve">were the ones that showed the best performance in removing uranium from the solution. Therefore, in this table </w:t>
      </w:r>
      <w:r w:rsidR="005F3489" w:rsidRPr="0065693B">
        <w:rPr>
          <w:sz w:val="20"/>
          <w:lang w:val="en-US"/>
        </w:rPr>
        <w:t>the</w:t>
      </w:r>
      <w:r w:rsidRPr="0065693B">
        <w:rPr>
          <w:sz w:val="20"/>
          <w:lang w:val="en-US"/>
        </w:rPr>
        <w:t xml:space="preserve"> time, pH and dosage of hydrogen peroxide were varied.</w:t>
      </w:r>
    </w:p>
    <w:p w14:paraId="29E1FBCF" w14:textId="118AEA0D" w:rsidR="008F7806" w:rsidRPr="0065693B" w:rsidRDefault="008F7806" w:rsidP="005C73EC">
      <w:pPr>
        <w:ind w:firstLine="720"/>
        <w:jc w:val="both"/>
        <w:rPr>
          <w:sz w:val="20"/>
          <w:lang w:val="en-US"/>
        </w:rPr>
      </w:pPr>
    </w:p>
    <w:p w14:paraId="4833159C" w14:textId="77777777" w:rsidR="008F7806" w:rsidRPr="0065693B" w:rsidRDefault="008F7806">
      <w:pPr>
        <w:overflowPunct/>
        <w:autoSpaceDE/>
        <w:autoSpaceDN/>
        <w:adjustRightInd/>
        <w:textAlignment w:val="auto"/>
        <w:rPr>
          <w:sz w:val="20"/>
          <w:lang w:val="en-US"/>
        </w:rPr>
      </w:pPr>
      <w:r w:rsidRPr="0065693B">
        <w:rPr>
          <w:sz w:val="20"/>
          <w:lang w:val="en-US"/>
        </w:rPr>
        <w:br w:type="page"/>
      </w:r>
    </w:p>
    <w:p w14:paraId="7746304C" w14:textId="756B1BA2" w:rsidR="00697D30" w:rsidRPr="0065693B" w:rsidRDefault="00DD4AC5" w:rsidP="00DD4AC5">
      <w:pPr>
        <w:pStyle w:val="Corpodetexto"/>
        <w:ind w:firstLine="0"/>
      </w:pPr>
      <w:bookmarkStart w:id="0" w:name="_Toc74353962"/>
      <w:bookmarkStart w:id="1" w:name="_Toc74421362"/>
      <w:bookmarkStart w:id="2" w:name="_Toc75705318"/>
      <w:r w:rsidRPr="0065693B">
        <w:lastRenderedPageBreak/>
        <w:t xml:space="preserve">TABLE </w:t>
      </w:r>
      <w:r w:rsidR="0087529D">
        <w:fldChar w:fldCharType="begin"/>
      </w:r>
      <w:r w:rsidR="0087529D">
        <w:instrText xml:space="preserve"> SEQ Tabela \* ARABIC </w:instrText>
      </w:r>
      <w:r w:rsidR="0087529D">
        <w:fldChar w:fldCharType="separate"/>
      </w:r>
      <w:r w:rsidR="00030BFE">
        <w:rPr>
          <w:noProof/>
        </w:rPr>
        <w:t>1</w:t>
      </w:r>
      <w:r w:rsidR="0087529D">
        <w:rPr>
          <w:noProof/>
        </w:rPr>
        <w:fldChar w:fldCharType="end"/>
      </w:r>
      <w:r w:rsidRPr="0065693B">
        <w:t>. RESULTS OF PLANNED EXPERIMENTS WITH CCRD.</w:t>
      </w:r>
      <w:bookmarkEnd w:id="0"/>
      <w:bookmarkEnd w:id="1"/>
      <w:bookmarkEnd w:id="2"/>
    </w:p>
    <w:tbl>
      <w:tblPr>
        <w:tblW w:w="9072" w:type="dxa"/>
        <w:tblLayout w:type="fixed"/>
        <w:tblCellMar>
          <w:left w:w="70" w:type="dxa"/>
          <w:right w:w="70" w:type="dxa"/>
        </w:tblCellMar>
        <w:tblLook w:val="04A0" w:firstRow="1" w:lastRow="0" w:firstColumn="1" w:lastColumn="0" w:noHBand="0" w:noVBand="1"/>
      </w:tblPr>
      <w:tblGrid>
        <w:gridCol w:w="980"/>
        <w:gridCol w:w="650"/>
        <w:gridCol w:w="992"/>
        <w:gridCol w:w="1559"/>
        <w:gridCol w:w="1985"/>
        <w:gridCol w:w="2906"/>
      </w:tblGrid>
      <w:tr w:rsidR="0065693B" w:rsidRPr="0065693B" w14:paraId="10DE297A" w14:textId="77777777" w:rsidTr="004334CE">
        <w:trPr>
          <w:trHeight w:val="474"/>
        </w:trPr>
        <w:tc>
          <w:tcPr>
            <w:tcW w:w="1630" w:type="dxa"/>
            <w:gridSpan w:val="2"/>
            <w:tcBorders>
              <w:top w:val="single" w:sz="4" w:space="0" w:color="auto"/>
              <w:bottom w:val="single" w:sz="4" w:space="0" w:color="auto"/>
            </w:tcBorders>
            <w:shd w:val="clear" w:color="auto" w:fill="auto"/>
            <w:noWrap/>
            <w:vAlign w:val="center"/>
            <w:hideMark/>
          </w:tcPr>
          <w:p w14:paraId="5AB7D562" w14:textId="77777777" w:rsidR="00697D30" w:rsidRPr="0065693B" w:rsidRDefault="00697D30" w:rsidP="004E211F">
            <w:pPr>
              <w:jc w:val="center"/>
              <w:rPr>
                <w:b/>
                <w:bCs/>
                <w:sz w:val="20"/>
              </w:rPr>
            </w:pPr>
            <w:r w:rsidRPr="0065693B">
              <w:rPr>
                <w:b/>
                <w:bCs/>
                <w:sz w:val="20"/>
              </w:rPr>
              <w:t>Experiment</w:t>
            </w:r>
          </w:p>
        </w:tc>
        <w:tc>
          <w:tcPr>
            <w:tcW w:w="992" w:type="dxa"/>
            <w:tcBorders>
              <w:top w:val="single" w:sz="4" w:space="0" w:color="auto"/>
              <w:bottom w:val="single" w:sz="4" w:space="0" w:color="auto"/>
            </w:tcBorders>
            <w:shd w:val="clear" w:color="auto" w:fill="auto"/>
            <w:noWrap/>
            <w:vAlign w:val="center"/>
            <w:hideMark/>
          </w:tcPr>
          <w:p w14:paraId="59820184" w14:textId="77777777" w:rsidR="00697D30" w:rsidRPr="0065693B" w:rsidRDefault="00697D30" w:rsidP="004E211F">
            <w:pPr>
              <w:jc w:val="center"/>
              <w:rPr>
                <w:b/>
                <w:bCs/>
                <w:sz w:val="20"/>
              </w:rPr>
            </w:pPr>
            <w:r w:rsidRPr="0065693B">
              <w:rPr>
                <w:b/>
                <w:bCs/>
                <w:sz w:val="20"/>
              </w:rPr>
              <w:t>pH</w:t>
            </w:r>
          </w:p>
        </w:tc>
        <w:tc>
          <w:tcPr>
            <w:tcW w:w="1559" w:type="dxa"/>
            <w:tcBorders>
              <w:top w:val="single" w:sz="4" w:space="0" w:color="auto"/>
              <w:bottom w:val="single" w:sz="4" w:space="0" w:color="auto"/>
            </w:tcBorders>
            <w:shd w:val="clear" w:color="auto" w:fill="auto"/>
            <w:noWrap/>
            <w:vAlign w:val="center"/>
            <w:hideMark/>
          </w:tcPr>
          <w:p w14:paraId="6B811AE3" w14:textId="77777777" w:rsidR="00697D30" w:rsidRPr="0065693B" w:rsidRDefault="00697D30" w:rsidP="004E211F">
            <w:pPr>
              <w:jc w:val="center"/>
              <w:rPr>
                <w:b/>
                <w:bCs/>
                <w:sz w:val="20"/>
              </w:rPr>
            </w:pPr>
            <w:r w:rsidRPr="0065693B">
              <w:rPr>
                <w:b/>
                <w:bCs/>
                <w:sz w:val="20"/>
              </w:rPr>
              <w:t>Time (hours)</w:t>
            </w:r>
          </w:p>
        </w:tc>
        <w:tc>
          <w:tcPr>
            <w:tcW w:w="1985" w:type="dxa"/>
            <w:tcBorders>
              <w:top w:val="single" w:sz="4" w:space="0" w:color="auto"/>
              <w:bottom w:val="single" w:sz="4" w:space="0" w:color="auto"/>
            </w:tcBorders>
            <w:shd w:val="clear" w:color="auto" w:fill="auto"/>
            <w:noWrap/>
            <w:vAlign w:val="center"/>
            <w:hideMark/>
          </w:tcPr>
          <w:p w14:paraId="52F172EB" w14:textId="77777777" w:rsidR="00697D30" w:rsidRPr="0065693B" w:rsidRDefault="00697D30" w:rsidP="004E211F">
            <w:pPr>
              <w:jc w:val="center"/>
              <w:rPr>
                <w:b/>
                <w:bCs/>
                <w:sz w:val="20"/>
              </w:rPr>
            </w:pPr>
            <w:r w:rsidRPr="0065693B">
              <w:rPr>
                <w:b/>
                <w:bCs/>
                <w:sz w:val="20"/>
              </w:rPr>
              <w:t>Hydrogen peroxide (g∙L</w:t>
            </w:r>
            <w:r w:rsidRPr="0065693B">
              <w:rPr>
                <w:b/>
                <w:bCs/>
                <w:sz w:val="20"/>
                <w:vertAlign w:val="superscript"/>
              </w:rPr>
              <w:t>-1</w:t>
            </w:r>
            <w:r w:rsidRPr="0065693B">
              <w:rPr>
                <w:b/>
                <w:bCs/>
                <w:sz w:val="20"/>
              </w:rPr>
              <w:t>)</w:t>
            </w:r>
          </w:p>
        </w:tc>
        <w:tc>
          <w:tcPr>
            <w:tcW w:w="2906" w:type="dxa"/>
            <w:tcBorders>
              <w:top w:val="single" w:sz="4" w:space="0" w:color="auto"/>
              <w:bottom w:val="single" w:sz="4" w:space="0" w:color="auto"/>
            </w:tcBorders>
            <w:vAlign w:val="center"/>
          </w:tcPr>
          <w:p w14:paraId="13D29656" w14:textId="77777777" w:rsidR="00697D30" w:rsidRPr="0065693B" w:rsidRDefault="00697D30" w:rsidP="004E211F">
            <w:pPr>
              <w:jc w:val="center"/>
              <w:rPr>
                <w:b/>
                <w:bCs/>
                <w:sz w:val="20"/>
                <w:lang w:val="en-US"/>
              </w:rPr>
            </w:pPr>
            <w:r w:rsidRPr="0065693B">
              <w:rPr>
                <w:b/>
                <w:bCs/>
                <w:sz w:val="20"/>
                <w:lang w:val="en-US"/>
              </w:rPr>
              <w:t>Residual concentration of U in the solution (g∙L</w:t>
            </w:r>
            <w:r w:rsidRPr="0065693B">
              <w:rPr>
                <w:b/>
                <w:bCs/>
                <w:sz w:val="20"/>
                <w:vertAlign w:val="superscript"/>
                <w:lang w:val="en-US"/>
              </w:rPr>
              <w:t>-1</w:t>
            </w:r>
            <w:r w:rsidRPr="0065693B">
              <w:rPr>
                <w:b/>
                <w:bCs/>
                <w:sz w:val="20"/>
                <w:lang w:val="en-US"/>
              </w:rPr>
              <w:t>)</w:t>
            </w:r>
          </w:p>
        </w:tc>
      </w:tr>
      <w:tr w:rsidR="0065693B" w:rsidRPr="0065693B" w14:paraId="5082C433" w14:textId="77777777" w:rsidTr="004334CE">
        <w:trPr>
          <w:trHeight w:val="139"/>
        </w:trPr>
        <w:tc>
          <w:tcPr>
            <w:tcW w:w="980" w:type="dxa"/>
            <w:tcBorders>
              <w:top w:val="single" w:sz="4" w:space="0" w:color="auto"/>
              <w:bottom w:val="single" w:sz="4" w:space="0" w:color="auto"/>
            </w:tcBorders>
            <w:shd w:val="clear" w:color="auto" w:fill="auto"/>
            <w:noWrap/>
            <w:vAlign w:val="center"/>
            <w:hideMark/>
          </w:tcPr>
          <w:p w14:paraId="35E9E4B1" w14:textId="77777777" w:rsidR="00697D30" w:rsidRPr="0065693B" w:rsidRDefault="00697D30" w:rsidP="004E211F">
            <w:pPr>
              <w:jc w:val="center"/>
              <w:rPr>
                <w:sz w:val="20"/>
              </w:rPr>
            </w:pPr>
            <w:r w:rsidRPr="0065693B">
              <w:rPr>
                <w:sz w:val="20"/>
              </w:rPr>
              <w:t>1</w:t>
            </w:r>
          </w:p>
        </w:tc>
        <w:tc>
          <w:tcPr>
            <w:tcW w:w="650" w:type="dxa"/>
            <w:tcBorders>
              <w:top w:val="single" w:sz="4" w:space="0" w:color="auto"/>
              <w:bottom w:val="single" w:sz="4" w:space="0" w:color="auto"/>
            </w:tcBorders>
            <w:shd w:val="clear" w:color="auto" w:fill="auto"/>
            <w:noWrap/>
            <w:vAlign w:val="center"/>
            <w:hideMark/>
          </w:tcPr>
          <w:p w14:paraId="68F73D0E"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6FEE2B5C" w14:textId="77777777" w:rsidR="00697D30" w:rsidRPr="0065693B" w:rsidRDefault="00697D30" w:rsidP="004E211F">
            <w:pPr>
              <w:jc w:val="center"/>
              <w:rPr>
                <w:sz w:val="20"/>
              </w:rPr>
            </w:pPr>
            <w:r w:rsidRPr="0065693B">
              <w:rPr>
                <w:sz w:val="20"/>
              </w:rPr>
              <w:t>1,00</w:t>
            </w:r>
          </w:p>
        </w:tc>
        <w:tc>
          <w:tcPr>
            <w:tcW w:w="1559" w:type="dxa"/>
            <w:tcBorders>
              <w:top w:val="single" w:sz="4" w:space="0" w:color="auto"/>
              <w:bottom w:val="single" w:sz="4" w:space="0" w:color="auto"/>
            </w:tcBorders>
            <w:shd w:val="clear" w:color="auto" w:fill="auto"/>
            <w:noWrap/>
            <w:vAlign w:val="center"/>
            <w:hideMark/>
          </w:tcPr>
          <w:p w14:paraId="1F024A21" w14:textId="77777777" w:rsidR="00697D30" w:rsidRPr="0065693B" w:rsidRDefault="00697D30" w:rsidP="004E211F">
            <w:pPr>
              <w:jc w:val="center"/>
              <w:rPr>
                <w:sz w:val="20"/>
              </w:rPr>
            </w:pPr>
            <w:r w:rsidRPr="0065693B">
              <w:rPr>
                <w:sz w:val="20"/>
              </w:rPr>
              <w:t>4,0</w:t>
            </w:r>
          </w:p>
        </w:tc>
        <w:tc>
          <w:tcPr>
            <w:tcW w:w="1985" w:type="dxa"/>
            <w:tcBorders>
              <w:top w:val="single" w:sz="4" w:space="0" w:color="auto"/>
              <w:bottom w:val="single" w:sz="4" w:space="0" w:color="auto"/>
            </w:tcBorders>
            <w:shd w:val="clear" w:color="auto" w:fill="auto"/>
            <w:noWrap/>
            <w:vAlign w:val="center"/>
            <w:hideMark/>
          </w:tcPr>
          <w:p w14:paraId="35E2A86F" w14:textId="77777777" w:rsidR="00697D30" w:rsidRPr="0065693B" w:rsidRDefault="00697D30" w:rsidP="004E211F">
            <w:pPr>
              <w:jc w:val="center"/>
              <w:rPr>
                <w:sz w:val="20"/>
              </w:rPr>
            </w:pPr>
            <w:r w:rsidRPr="0065693B">
              <w:rPr>
                <w:sz w:val="20"/>
              </w:rPr>
              <w:t>100</w:t>
            </w:r>
          </w:p>
        </w:tc>
        <w:tc>
          <w:tcPr>
            <w:tcW w:w="2906" w:type="dxa"/>
            <w:tcBorders>
              <w:top w:val="single" w:sz="4" w:space="0" w:color="auto"/>
              <w:bottom w:val="single" w:sz="4" w:space="0" w:color="auto"/>
            </w:tcBorders>
            <w:shd w:val="clear" w:color="auto" w:fill="auto"/>
            <w:noWrap/>
            <w:vAlign w:val="center"/>
          </w:tcPr>
          <w:p w14:paraId="53647900" w14:textId="77777777" w:rsidR="00697D30" w:rsidRPr="0065693B" w:rsidRDefault="00697D30" w:rsidP="004E211F">
            <w:pPr>
              <w:jc w:val="center"/>
              <w:rPr>
                <w:sz w:val="20"/>
              </w:rPr>
            </w:pPr>
            <w:r w:rsidRPr="0065693B">
              <w:rPr>
                <w:sz w:val="20"/>
              </w:rPr>
              <w:t>1,51</w:t>
            </w:r>
          </w:p>
        </w:tc>
      </w:tr>
      <w:tr w:rsidR="0065693B" w:rsidRPr="0065693B" w14:paraId="10E63372" w14:textId="77777777" w:rsidTr="004334CE">
        <w:trPr>
          <w:trHeight w:val="157"/>
        </w:trPr>
        <w:tc>
          <w:tcPr>
            <w:tcW w:w="980" w:type="dxa"/>
            <w:tcBorders>
              <w:top w:val="single" w:sz="4" w:space="0" w:color="auto"/>
              <w:bottom w:val="single" w:sz="4" w:space="0" w:color="auto"/>
            </w:tcBorders>
            <w:shd w:val="clear" w:color="auto" w:fill="auto"/>
            <w:noWrap/>
            <w:vAlign w:val="center"/>
            <w:hideMark/>
          </w:tcPr>
          <w:p w14:paraId="43ADB224" w14:textId="77777777" w:rsidR="00697D30" w:rsidRPr="0065693B" w:rsidRDefault="00697D30" w:rsidP="004E211F">
            <w:pPr>
              <w:jc w:val="center"/>
              <w:rPr>
                <w:sz w:val="20"/>
              </w:rPr>
            </w:pPr>
            <w:r w:rsidRPr="0065693B">
              <w:rPr>
                <w:sz w:val="20"/>
              </w:rPr>
              <w:t>2</w:t>
            </w:r>
          </w:p>
        </w:tc>
        <w:tc>
          <w:tcPr>
            <w:tcW w:w="650" w:type="dxa"/>
            <w:tcBorders>
              <w:top w:val="single" w:sz="4" w:space="0" w:color="auto"/>
              <w:bottom w:val="single" w:sz="4" w:space="0" w:color="auto"/>
            </w:tcBorders>
            <w:shd w:val="clear" w:color="auto" w:fill="auto"/>
            <w:noWrap/>
            <w:vAlign w:val="center"/>
            <w:hideMark/>
          </w:tcPr>
          <w:p w14:paraId="7997F234"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5533C101" w14:textId="77777777" w:rsidR="00697D30" w:rsidRPr="0065693B" w:rsidRDefault="00697D30" w:rsidP="004E211F">
            <w:pPr>
              <w:jc w:val="center"/>
              <w:rPr>
                <w:sz w:val="20"/>
              </w:rPr>
            </w:pPr>
            <w:r w:rsidRPr="0065693B">
              <w:rPr>
                <w:sz w:val="20"/>
              </w:rPr>
              <w:t>1,00</w:t>
            </w:r>
          </w:p>
        </w:tc>
        <w:tc>
          <w:tcPr>
            <w:tcW w:w="1559" w:type="dxa"/>
            <w:tcBorders>
              <w:top w:val="single" w:sz="4" w:space="0" w:color="auto"/>
              <w:bottom w:val="single" w:sz="4" w:space="0" w:color="auto"/>
            </w:tcBorders>
            <w:shd w:val="clear" w:color="auto" w:fill="auto"/>
            <w:noWrap/>
            <w:vAlign w:val="center"/>
            <w:hideMark/>
          </w:tcPr>
          <w:p w14:paraId="3D8036FA" w14:textId="77777777" w:rsidR="00697D30" w:rsidRPr="0065693B" w:rsidRDefault="00697D30" w:rsidP="004E211F">
            <w:pPr>
              <w:jc w:val="center"/>
              <w:rPr>
                <w:sz w:val="20"/>
              </w:rPr>
            </w:pPr>
            <w:r w:rsidRPr="0065693B">
              <w:rPr>
                <w:sz w:val="20"/>
              </w:rPr>
              <w:t>4,0</w:t>
            </w:r>
          </w:p>
        </w:tc>
        <w:tc>
          <w:tcPr>
            <w:tcW w:w="1985" w:type="dxa"/>
            <w:tcBorders>
              <w:top w:val="single" w:sz="4" w:space="0" w:color="auto"/>
              <w:bottom w:val="single" w:sz="4" w:space="0" w:color="auto"/>
            </w:tcBorders>
            <w:shd w:val="clear" w:color="auto" w:fill="auto"/>
            <w:noWrap/>
            <w:vAlign w:val="center"/>
            <w:hideMark/>
          </w:tcPr>
          <w:p w14:paraId="7AC9F912" w14:textId="77777777" w:rsidR="00697D30" w:rsidRPr="0065693B" w:rsidRDefault="00697D30" w:rsidP="004E211F">
            <w:pPr>
              <w:jc w:val="center"/>
              <w:rPr>
                <w:sz w:val="20"/>
              </w:rPr>
            </w:pPr>
            <w:r w:rsidRPr="0065693B">
              <w:rPr>
                <w:sz w:val="20"/>
              </w:rPr>
              <w:t>200</w:t>
            </w:r>
          </w:p>
        </w:tc>
        <w:tc>
          <w:tcPr>
            <w:tcW w:w="2906" w:type="dxa"/>
            <w:tcBorders>
              <w:top w:val="single" w:sz="4" w:space="0" w:color="auto"/>
              <w:bottom w:val="single" w:sz="4" w:space="0" w:color="auto"/>
            </w:tcBorders>
            <w:shd w:val="clear" w:color="auto" w:fill="auto"/>
            <w:noWrap/>
            <w:vAlign w:val="center"/>
          </w:tcPr>
          <w:p w14:paraId="31652917" w14:textId="77777777" w:rsidR="00697D30" w:rsidRPr="0065693B" w:rsidRDefault="00697D30" w:rsidP="004E211F">
            <w:pPr>
              <w:jc w:val="center"/>
              <w:rPr>
                <w:sz w:val="20"/>
              </w:rPr>
            </w:pPr>
            <w:r w:rsidRPr="0065693B">
              <w:rPr>
                <w:sz w:val="20"/>
              </w:rPr>
              <w:t>0,24</w:t>
            </w:r>
          </w:p>
        </w:tc>
      </w:tr>
      <w:tr w:rsidR="0065693B" w:rsidRPr="0065693B" w14:paraId="2CD6E834" w14:textId="77777777" w:rsidTr="004334CE">
        <w:trPr>
          <w:trHeight w:val="135"/>
        </w:trPr>
        <w:tc>
          <w:tcPr>
            <w:tcW w:w="980" w:type="dxa"/>
            <w:tcBorders>
              <w:top w:val="single" w:sz="4" w:space="0" w:color="auto"/>
              <w:bottom w:val="single" w:sz="4" w:space="0" w:color="auto"/>
            </w:tcBorders>
            <w:shd w:val="clear" w:color="auto" w:fill="auto"/>
            <w:noWrap/>
            <w:vAlign w:val="center"/>
            <w:hideMark/>
          </w:tcPr>
          <w:p w14:paraId="6A5058F4" w14:textId="77777777" w:rsidR="00697D30" w:rsidRPr="0065693B" w:rsidRDefault="00697D30" w:rsidP="004E211F">
            <w:pPr>
              <w:jc w:val="center"/>
              <w:rPr>
                <w:sz w:val="20"/>
              </w:rPr>
            </w:pPr>
            <w:r w:rsidRPr="0065693B">
              <w:rPr>
                <w:sz w:val="20"/>
              </w:rPr>
              <w:t>3</w:t>
            </w:r>
          </w:p>
        </w:tc>
        <w:tc>
          <w:tcPr>
            <w:tcW w:w="650" w:type="dxa"/>
            <w:tcBorders>
              <w:top w:val="single" w:sz="4" w:space="0" w:color="auto"/>
              <w:bottom w:val="single" w:sz="4" w:space="0" w:color="auto"/>
            </w:tcBorders>
            <w:shd w:val="clear" w:color="auto" w:fill="auto"/>
            <w:noWrap/>
            <w:vAlign w:val="center"/>
            <w:hideMark/>
          </w:tcPr>
          <w:p w14:paraId="27717FDA"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4842A7A9" w14:textId="77777777" w:rsidR="00697D30" w:rsidRPr="0065693B" w:rsidRDefault="00697D30" w:rsidP="004E211F">
            <w:pPr>
              <w:jc w:val="center"/>
              <w:rPr>
                <w:sz w:val="20"/>
              </w:rPr>
            </w:pPr>
            <w:r w:rsidRPr="0065693B">
              <w:rPr>
                <w:sz w:val="20"/>
              </w:rPr>
              <w:t>1,00</w:t>
            </w:r>
          </w:p>
        </w:tc>
        <w:tc>
          <w:tcPr>
            <w:tcW w:w="1559" w:type="dxa"/>
            <w:tcBorders>
              <w:top w:val="single" w:sz="4" w:space="0" w:color="auto"/>
              <w:bottom w:val="single" w:sz="4" w:space="0" w:color="auto"/>
            </w:tcBorders>
            <w:shd w:val="clear" w:color="auto" w:fill="auto"/>
            <w:noWrap/>
            <w:vAlign w:val="center"/>
            <w:hideMark/>
          </w:tcPr>
          <w:p w14:paraId="4026D397" w14:textId="77777777" w:rsidR="00697D30" w:rsidRPr="0065693B" w:rsidRDefault="00697D30" w:rsidP="004E211F">
            <w:pPr>
              <w:jc w:val="center"/>
              <w:rPr>
                <w:sz w:val="20"/>
              </w:rPr>
            </w:pPr>
            <w:r w:rsidRPr="0065693B">
              <w:rPr>
                <w:sz w:val="20"/>
              </w:rPr>
              <w:t>12,0</w:t>
            </w:r>
          </w:p>
        </w:tc>
        <w:tc>
          <w:tcPr>
            <w:tcW w:w="1985" w:type="dxa"/>
            <w:tcBorders>
              <w:top w:val="single" w:sz="4" w:space="0" w:color="auto"/>
              <w:bottom w:val="single" w:sz="4" w:space="0" w:color="auto"/>
            </w:tcBorders>
            <w:shd w:val="clear" w:color="auto" w:fill="auto"/>
            <w:noWrap/>
            <w:vAlign w:val="center"/>
            <w:hideMark/>
          </w:tcPr>
          <w:p w14:paraId="2C900F7D" w14:textId="77777777" w:rsidR="00697D30" w:rsidRPr="0065693B" w:rsidRDefault="00697D30" w:rsidP="004E211F">
            <w:pPr>
              <w:jc w:val="center"/>
              <w:rPr>
                <w:sz w:val="20"/>
              </w:rPr>
            </w:pPr>
            <w:r w:rsidRPr="0065693B">
              <w:rPr>
                <w:sz w:val="20"/>
              </w:rPr>
              <w:t>100</w:t>
            </w:r>
          </w:p>
        </w:tc>
        <w:tc>
          <w:tcPr>
            <w:tcW w:w="2906" w:type="dxa"/>
            <w:tcBorders>
              <w:top w:val="single" w:sz="4" w:space="0" w:color="auto"/>
              <w:bottom w:val="single" w:sz="4" w:space="0" w:color="auto"/>
            </w:tcBorders>
            <w:shd w:val="clear" w:color="auto" w:fill="auto"/>
            <w:noWrap/>
            <w:vAlign w:val="center"/>
          </w:tcPr>
          <w:p w14:paraId="2DAEFAC3" w14:textId="77777777" w:rsidR="00697D30" w:rsidRPr="0065693B" w:rsidRDefault="00697D30" w:rsidP="004E211F">
            <w:pPr>
              <w:jc w:val="center"/>
              <w:rPr>
                <w:sz w:val="20"/>
              </w:rPr>
            </w:pPr>
            <w:r w:rsidRPr="0065693B">
              <w:rPr>
                <w:sz w:val="20"/>
              </w:rPr>
              <w:t>0,61</w:t>
            </w:r>
          </w:p>
        </w:tc>
      </w:tr>
      <w:tr w:rsidR="0065693B" w:rsidRPr="0065693B" w14:paraId="584FB144" w14:textId="77777777" w:rsidTr="004334CE">
        <w:trPr>
          <w:trHeight w:val="241"/>
        </w:trPr>
        <w:tc>
          <w:tcPr>
            <w:tcW w:w="980" w:type="dxa"/>
            <w:tcBorders>
              <w:top w:val="single" w:sz="4" w:space="0" w:color="auto"/>
              <w:bottom w:val="single" w:sz="4" w:space="0" w:color="auto"/>
            </w:tcBorders>
            <w:shd w:val="clear" w:color="auto" w:fill="auto"/>
            <w:noWrap/>
            <w:vAlign w:val="center"/>
            <w:hideMark/>
          </w:tcPr>
          <w:p w14:paraId="4B96D2CE" w14:textId="77777777" w:rsidR="00697D30" w:rsidRPr="0065693B" w:rsidRDefault="00697D30" w:rsidP="004E211F">
            <w:pPr>
              <w:jc w:val="center"/>
              <w:rPr>
                <w:sz w:val="20"/>
              </w:rPr>
            </w:pPr>
            <w:r w:rsidRPr="0065693B">
              <w:rPr>
                <w:sz w:val="20"/>
              </w:rPr>
              <w:t>4</w:t>
            </w:r>
          </w:p>
        </w:tc>
        <w:tc>
          <w:tcPr>
            <w:tcW w:w="650" w:type="dxa"/>
            <w:tcBorders>
              <w:top w:val="single" w:sz="4" w:space="0" w:color="auto"/>
              <w:bottom w:val="single" w:sz="4" w:space="0" w:color="auto"/>
            </w:tcBorders>
            <w:shd w:val="clear" w:color="auto" w:fill="auto"/>
            <w:noWrap/>
            <w:vAlign w:val="center"/>
            <w:hideMark/>
          </w:tcPr>
          <w:p w14:paraId="74220059"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57745C87" w14:textId="77777777" w:rsidR="00697D30" w:rsidRPr="0065693B" w:rsidRDefault="00697D30" w:rsidP="004E211F">
            <w:pPr>
              <w:jc w:val="center"/>
              <w:rPr>
                <w:sz w:val="20"/>
              </w:rPr>
            </w:pPr>
            <w:r w:rsidRPr="0065693B">
              <w:rPr>
                <w:sz w:val="20"/>
              </w:rPr>
              <w:t>1,00</w:t>
            </w:r>
          </w:p>
        </w:tc>
        <w:tc>
          <w:tcPr>
            <w:tcW w:w="1559" w:type="dxa"/>
            <w:tcBorders>
              <w:top w:val="single" w:sz="4" w:space="0" w:color="auto"/>
              <w:bottom w:val="single" w:sz="4" w:space="0" w:color="auto"/>
            </w:tcBorders>
            <w:shd w:val="clear" w:color="auto" w:fill="auto"/>
            <w:noWrap/>
            <w:vAlign w:val="center"/>
            <w:hideMark/>
          </w:tcPr>
          <w:p w14:paraId="260E8D2C" w14:textId="77777777" w:rsidR="00697D30" w:rsidRPr="0065693B" w:rsidRDefault="00697D30" w:rsidP="004E211F">
            <w:pPr>
              <w:jc w:val="center"/>
              <w:rPr>
                <w:sz w:val="20"/>
              </w:rPr>
            </w:pPr>
            <w:r w:rsidRPr="0065693B">
              <w:rPr>
                <w:sz w:val="20"/>
              </w:rPr>
              <w:t>12,0</w:t>
            </w:r>
          </w:p>
        </w:tc>
        <w:tc>
          <w:tcPr>
            <w:tcW w:w="1985" w:type="dxa"/>
            <w:tcBorders>
              <w:top w:val="single" w:sz="4" w:space="0" w:color="auto"/>
              <w:bottom w:val="single" w:sz="4" w:space="0" w:color="auto"/>
            </w:tcBorders>
            <w:shd w:val="clear" w:color="auto" w:fill="auto"/>
            <w:noWrap/>
            <w:vAlign w:val="center"/>
            <w:hideMark/>
          </w:tcPr>
          <w:p w14:paraId="174A9A91" w14:textId="77777777" w:rsidR="00697D30" w:rsidRPr="0065693B" w:rsidRDefault="00697D30" w:rsidP="004E211F">
            <w:pPr>
              <w:jc w:val="center"/>
              <w:rPr>
                <w:sz w:val="20"/>
              </w:rPr>
            </w:pPr>
            <w:r w:rsidRPr="0065693B">
              <w:rPr>
                <w:sz w:val="20"/>
              </w:rPr>
              <w:t>200</w:t>
            </w:r>
          </w:p>
        </w:tc>
        <w:tc>
          <w:tcPr>
            <w:tcW w:w="2906" w:type="dxa"/>
            <w:tcBorders>
              <w:top w:val="single" w:sz="4" w:space="0" w:color="auto"/>
              <w:bottom w:val="single" w:sz="4" w:space="0" w:color="auto"/>
            </w:tcBorders>
            <w:shd w:val="clear" w:color="auto" w:fill="auto"/>
            <w:noWrap/>
            <w:vAlign w:val="center"/>
          </w:tcPr>
          <w:p w14:paraId="24186E64" w14:textId="77777777" w:rsidR="00697D30" w:rsidRPr="0065693B" w:rsidRDefault="00697D30" w:rsidP="004E211F">
            <w:pPr>
              <w:jc w:val="center"/>
              <w:rPr>
                <w:sz w:val="20"/>
              </w:rPr>
            </w:pPr>
            <w:r w:rsidRPr="0065693B">
              <w:rPr>
                <w:sz w:val="20"/>
              </w:rPr>
              <w:t>0,33</w:t>
            </w:r>
          </w:p>
        </w:tc>
      </w:tr>
      <w:tr w:rsidR="0065693B" w:rsidRPr="0065693B" w14:paraId="6E01B289" w14:textId="77777777" w:rsidTr="004334CE">
        <w:trPr>
          <w:trHeight w:val="245"/>
        </w:trPr>
        <w:tc>
          <w:tcPr>
            <w:tcW w:w="980" w:type="dxa"/>
            <w:tcBorders>
              <w:top w:val="single" w:sz="4" w:space="0" w:color="auto"/>
              <w:bottom w:val="single" w:sz="4" w:space="0" w:color="auto"/>
            </w:tcBorders>
            <w:shd w:val="clear" w:color="auto" w:fill="auto"/>
            <w:noWrap/>
            <w:vAlign w:val="center"/>
            <w:hideMark/>
          </w:tcPr>
          <w:p w14:paraId="04506DBA" w14:textId="77777777" w:rsidR="00697D30" w:rsidRPr="0065693B" w:rsidRDefault="00697D30" w:rsidP="004E211F">
            <w:pPr>
              <w:jc w:val="center"/>
              <w:rPr>
                <w:sz w:val="20"/>
              </w:rPr>
            </w:pPr>
            <w:r w:rsidRPr="0065693B">
              <w:rPr>
                <w:sz w:val="20"/>
              </w:rPr>
              <w:t>5</w:t>
            </w:r>
          </w:p>
        </w:tc>
        <w:tc>
          <w:tcPr>
            <w:tcW w:w="650" w:type="dxa"/>
            <w:tcBorders>
              <w:top w:val="single" w:sz="4" w:space="0" w:color="auto"/>
              <w:bottom w:val="single" w:sz="4" w:space="0" w:color="auto"/>
            </w:tcBorders>
            <w:shd w:val="clear" w:color="auto" w:fill="auto"/>
            <w:noWrap/>
            <w:vAlign w:val="center"/>
            <w:hideMark/>
          </w:tcPr>
          <w:p w14:paraId="1C8E1AE4"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12AA57A6" w14:textId="77777777" w:rsidR="00697D30" w:rsidRPr="0065693B" w:rsidRDefault="00697D30" w:rsidP="004E211F">
            <w:pPr>
              <w:jc w:val="center"/>
              <w:rPr>
                <w:sz w:val="20"/>
              </w:rPr>
            </w:pPr>
            <w:r w:rsidRPr="0065693B">
              <w:rPr>
                <w:sz w:val="20"/>
              </w:rPr>
              <w:t>2,50</w:t>
            </w:r>
          </w:p>
        </w:tc>
        <w:tc>
          <w:tcPr>
            <w:tcW w:w="1559" w:type="dxa"/>
            <w:tcBorders>
              <w:top w:val="single" w:sz="4" w:space="0" w:color="auto"/>
              <w:bottom w:val="single" w:sz="4" w:space="0" w:color="auto"/>
            </w:tcBorders>
            <w:shd w:val="clear" w:color="auto" w:fill="auto"/>
            <w:noWrap/>
            <w:vAlign w:val="center"/>
            <w:hideMark/>
          </w:tcPr>
          <w:p w14:paraId="2BF14556" w14:textId="77777777" w:rsidR="00697D30" w:rsidRPr="0065693B" w:rsidRDefault="00697D30" w:rsidP="004E211F">
            <w:pPr>
              <w:jc w:val="center"/>
              <w:rPr>
                <w:sz w:val="20"/>
              </w:rPr>
            </w:pPr>
            <w:r w:rsidRPr="0065693B">
              <w:rPr>
                <w:sz w:val="20"/>
              </w:rPr>
              <w:t>4,0</w:t>
            </w:r>
          </w:p>
        </w:tc>
        <w:tc>
          <w:tcPr>
            <w:tcW w:w="1985" w:type="dxa"/>
            <w:tcBorders>
              <w:top w:val="single" w:sz="4" w:space="0" w:color="auto"/>
              <w:bottom w:val="single" w:sz="4" w:space="0" w:color="auto"/>
            </w:tcBorders>
            <w:shd w:val="clear" w:color="auto" w:fill="auto"/>
            <w:noWrap/>
            <w:vAlign w:val="center"/>
            <w:hideMark/>
          </w:tcPr>
          <w:p w14:paraId="61FDB966" w14:textId="77777777" w:rsidR="00697D30" w:rsidRPr="0065693B" w:rsidRDefault="00697D30" w:rsidP="004E211F">
            <w:pPr>
              <w:jc w:val="center"/>
              <w:rPr>
                <w:sz w:val="20"/>
              </w:rPr>
            </w:pPr>
            <w:r w:rsidRPr="0065693B">
              <w:rPr>
                <w:sz w:val="20"/>
              </w:rPr>
              <w:t>100</w:t>
            </w:r>
          </w:p>
        </w:tc>
        <w:tc>
          <w:tcPr>
            <w:tcW w:w="2906" w:type="dxa"/>
            <w:tcBorders>
              <w:top w:val="single" w:sz="4" w:space="0" w:color="auto"/>
              <w:bottom w:val="single" w:sz="4" w:space="0" w:color="auto"/>
            </w:tcBorders>
            <w:shd w:val="clear" w:color="auto" w:fill="auto"/>
            <w:noWrap/>
            <w:vAlign w:val="center"/>
          </w:tcPr>
          <w:p w14:paraId="5DBE70FE" w14:textId="48417552" w:rsidR="00697D30" w:rsidRPr="0065693B" w:rsidRDefault="00697D30" w:rsidP="004E211F">
            <w:pPr>
              <w:jc w:val="center"/>
              <w:rPr>
                <w:sz w:val="20"/>
              </w:rPr>
            </w:pPr>
            <w:r w:rsidRPr="0065693B">
              <w:rPr>
                <w:sz w:val="20"/>
              </w:rPr>
              <w:t>9,1.</w:t>
            </w:r>
            <w:r w:rsidR="00A860BD" w:rsidRPr="0065693B">
              <w:rPr>
                <w:sz w:val="20"/>
              </w:rPr>
              <w:t>10</w:t>
            </w:r>
            <w:r w:rsidR="00A860BD" w:rsidRPr="00A860BD">
              <w:rPr>
                <w:sz w:val="20"/>
                <w:vertAlign w:val="superscript"/>
              </w:rPr>
              <w:t>-2</w:t>
            </w:r>
          </w:p>
        </w:tc>
      </w:tr>
      <w:tr w:rsidR="0065693B" w:rsidRPr="0065693B" w14:paraId="2816F9B8" w14:textId="77777777" w:rsidTr="004334CE">
        <w:trPr>
          <w:trHeight w:val="174"/>
        </w:trPr>
        <w:tc>
          <w:tcPr>
            <w:tcW w:w="980" w:type="dxa"/>
            <w:tcBorders>
              <w:top w:val="single" w:sz="4" w:space="0" w:color="auto"/>
              <w:bottom w:val="single" w:sz="4" w:space="0" w:color="auto"/>
            </w:tcBorders>
            <w:shd w:val="clear" w:color="auto" w:fill="auto"/>
            <w:noWrap/>
            <w:vAlign w:val="center"/>
            <w:hideMark/>
          </w:tcPr>
          <w:p w14:paraId="522B320C" w14:textId="77777777" w:rsidR="00697D30" w:rsidRPr="0065693B" w:rsidRDefault="00697D30" w:rsidP="004E211F">
            <w:pPr>
              <w:jc w:val="center"/>
              <w:rPr>
                <w:sz w:val="20"/>
              </w:rPr>
            </w:pPr>
            <w:r w:rsidRPr="0065693B">
              <w:rPr>
                <w:sz w:val="20"/>
              </w:rPr>
              <w:t>6</w:t>
            </w:r>
          </w:p>
        </w:tc>
        <w:tc>
          <w:tcPr>
            <w:tcW w:w="650" w:type="dxa"/>
            <w:tcBorders>
              <w:top w:val="single" w:sz="4" w:space="0" w:color="auto"/>
              <w:bottom w:val="single" w:sz="4" w:space="0" w:color="auto"/>
            </w:tcBorders>
            <w:shd w:val="clear" w:color="auto" w:fill="auto"/>
            <w:noWrap/>
            <w:vAlign w:val="center"/>
            <w:hideMark/>
          </w:tcPr>
          <w:p w14:paraId="5E2BCEFF"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51B10845" w14:textId="77777777" w:rsidR="00697D30" w:rsidRPr="0065693B" w:rsidRDefault="00697D30" w:rsidP="004E211F">
            <w:pPr>
              <w:jc w:val="center"/>
              <w:rPr>
                <w:sz w:val="20"/>
              </w:rPr>
            </w:pPr>
            <w:r w:rsidRPr="0065693B">
              <w:rPr>
                <w:sz w:val="20"/>
              </w:rPr>
              <w:t>2,50</w:t>
            </w:r>
          </w:p>
        </w:tc>
        <w:tc>
          <w:tcPr>
            <w:tcW w:w="1559" w:type="dxa"/>
            <w:tcBorders>
              <w:top w:val="single" w:sz="4" w:space="0" w:color="auto"/>
              <w:bottom w:val="single" w:sz="4" w:space="0" w:color="auto"/>
            </w:tcBorders>
            <w:shd w:val="clear" w:color="auto" w:fill="auto"/>
            <w:noWrap/>
            <w:vAlign w:val="center"/>
            <w:hideMark/>
          </w:tcPr>
          <w:p w14:paraId="0F970DAB" w14:textId="77777777" w:rsidR="00697D30" w:rsidRPr="0065693B" w:rsidRDefault="00697D30" w:rsidP="004E211F">
            <w:pPr>
              <w:jc w:val="center"/>
              <w:rPr>
                <w:sz w:val="20"/>
              </w:rPr>
            </w:pPr>
            <w:r w:rsidRPr="0065693B">
              <w:rPr>
                <w:sz w:val="20"/>
              </w:rPr>
              <w:t>4,0</w:t>
            </w:r>
          </w:p>
        </w:tc>
        <w:tc>
          <w:tcPr>
            <w:tcW w:w="1985" w:type="dxa"/>
            <w:tcBorders>
              <w:top w:val="single" w:sz="4" w:space="0" w:color="auto"/>
              <w:bottom w:val="single" w:sz="4" w:space="0" w:color="auto"/>
            </w:tcBorders>
            <w:shd w:val="clear" w:color="auto" w:fill="auto"/>
            <w:noWrap/>
            <w:vAlign w:val="center"/>
            <w:hideMark/>
          </w:tcPr>
          <w:p w14:paraId="30F4215A" w14:textId="77777777" w:rsidR="00697D30" w:rsidRPr="0065693B" w:rsidRDefault="00697D30" w:rsidP="004E211F">
            <w:pPr>
              <w:jc w:val="center"/>
              <w:rPr>
                <w:sz w:val="20"/>
              </w:rPr>
            </w:pPr>
            <w:r w:rsidRPr="0065693B">
              <w:rPr>
                <w:sz w:val="20"/>
              </w:rPr>
              <w:t>200</w:t>
            </w:r>
          </w:p>
        </w:tc>
        <w:tc>
          <w:tcPr>
            <w:tcW w:w="2906" w:type="dxa"/>
            <w:tcBorders>
              <w:top w:val="single" w:sz="4" w:space="0" w:color="auto"/>
              <w:bottom w:val="single" w:sz="4" w:space="0" w:color="auto"/>
            </w:tcBorders>
            <w:shd w:val="clear" w:color="auto" w:fill="auto"/>
            <w:noWrap/>
            <w:vAlign w:val="center"/>
          </w:tcPr>
          <w:p w14:paraId="20B0576F" w14:textId="7C591F7B" w:rsidR="00697D30" w:rsidRPr="0065693B" w:rsidRDefault="00697D30" w:rsidP="004E211F">
            <w:pPr>
              <w:jc w:val="center"/>
              <w:rPr>
                <w:sz w:val="20"/>
              </w:rPr>
            </w:pPr>
            <w:r w:rsidRPr="0065693B">
              <w:rPr>
                <w:sz w:val="20"/>
              </w:rPr>
              <w:t>4,8.</w:t>
            </w:r>
            <w:r w:rsidR="00A860BD" w:rsidRPr="0065693B">
              <w:rPr>
                <w:sz w:val="20"/>
              </w:rPr>
              <w:t>10</w:t>
            </w:r>
            <w:r w:rsidR="00A860BD" w:rsidRPr="00A860BD">
              <w:rPr>
                <w:sz w:val="20"/>
                <w:vertAlign w:val="superscript"/>
              </w:rPr>
              <w:t>-2</w:t>
            </w:r>
          </w:p>
        </w:tc>
      </w:tr>
      <w:tr w:rsidR="0065693B" w:rsidRPr="0065693B" w14:paraId="57EA9312" w14:textId="77777777" w:rsidTr="004334CE">
        <w:trPr>
          <w:trHeight w:val="294"/>
        </w:trPr>
        <w:tc>
          <w:tcPr>
            <w:tcW w:w="980" w:type="dxa"/>
            <w:tcBorders>
              <w:top w:val="single" w:sz="4" w:space="0" w:color="auto"/>
              <w:bottom w:val="single" w:sz="4" w:space="0" w:color="auto"/>
            </w:tcBorders>
            <w:shd w:val="clear" w:color="auto" w:fill="auto"/>
            <w:noWrap/>
            <w:vAlign w:val="center"/>
            <w:hideMark/>
          </w:tcPr>
          <w:p w14:paraId="1476CAC2" w14:textId="77777777" w:rsidR="00697D30" w:rsidRPr="0065693B" w:rsidRDefault="00697D30" w:rsidP="004E211F">
            <w:pPr>
              <w:jc w:val="center"/>
              <w:rPr>
                <w:sz w:val="20"/>
              </w:rPr>
            </w:pPr>
            <w:r w:rsidRPr="0065693B">
              <w:rPr>
                <w:sz w:val="20"/>
              </w:rPr>
              <w:t>7</w:t>
            </w:r>
          </w:p>
        </w:tc>
        <w:tc>
          <w:tcPr>
            <w:tcW w:w="650" w:type="dxa"/>
            <w:tcBorders>
              <w:top w:val="single" w:sz="4" w:space="0" w:color="auto"/>
              <w:bottom w:val="single" w:sz="4" w:space="0" w:color="auto"/>
            </w:tcBorders>
            <w:shd w:val="clear" w:color="auto" w:fill="auto"/>
            <w:noWrap/>
            <w:vAlign w:val="center"/>
            <w:hideMark/>
          </w:tcPr>
          <w:p w14:paraId="2C4D2FD2"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28305FBC" w14:textId="77777777" w:rsidR="00697D30" w:rsidRPr="0065693B" w:rsidRDefault="00697D30" w:rsidP="004E211F">
            <w:pPr>
              <w:jc w:val="center"/>
              <w:rPr>
                <w:sz w:val="20"/>
              </w:rPr>
            </w:pPr>
            <w:r w:rsidRPr="0065693B">
              <w:rPr>
                <w:sz w:val="20"/>
              </w:rPr>
              <w:t>2,50</w:t>
            </w:r>
          </w:p>
        </w:tc>
        <w:tc>
          <w:tcPr>
            <w:tcW w:w="1559" w:type="dxa"/>
            <w:tcBorders>
              <w:top w:val="single" w:sz="4" w:space="0" w:color="auto"/>
              <w:bottom w:val="single" w:sz="4" w:space="0" w:color="auto"/>
            </w:tcBorders>
            <w:shd w:val="clear" w:color="auto" w:fill="auto"/>
            <w:noWrap/>
            <w:vAlign w:val="center"/>
            <w:hideMark/>
          </w:tcPr>
          <w:p w14:paraId="62D57DF8" w14:textId="77777777" w:rsidR="00697D30" w:rsidRPr="0065693B" w:rsidRDefault="00697D30" w:rsidP="004E211F">
            <w:pPr>
              <w:jc w:val="center"/>
              <w:rPr>
                <w:sz w:val="20"/>
              </w:rPr>
            </w:pPr>
            <w:r w:rsidRPr="0065693B">
              <w:rPr>
                <w:sz w:val="20"/>
              </w:rPr>
              <w:t>12,0</w:t>
            </w:r>
          </w:p>
        </w:tc>
        <w:tc>
          <w:tcPr>
            <w:tcW w:w="1985" w:type="dxa"/>
            <w:tcBorders>
              <w:top w:val="single" w:sz="4" w:space="0" w:color="auto"/>
              <w:bottom w:val="single" w:sz="4" w:space="0" w:color="auto"/>
            </w:tcBorders>
            <w:shd w:val="clear" w:color="auto" w:fill="auto"/>
            <w:noWrap/>
            <w:vAlign w:val="center"/>
            <w:hideMark/>
          </w:tcPr>
          <w:p w14:paraId="334E88A8" w14:textId="77777777" w:rsidR="00697D30" w:rsidRPr="0065693B" w:rsidRDefault="00697D30" w:rsidP="004E211F">
            <w:pPr>
              <w:jc w:val="center"/>
              <w:rPr>
                <w:sz w:val="20"/>
              </w:rPr>
            </w:pPr>
            <w:r w:rsidRPr="0065693B">
              <w:rPr>
                <w:sz w:val="20"/>
              </w:rPr>
              <w:t>100</w:t>
            </w:r>
          </w:p>
        </w:tc>
        <w:tc>
          <w:tcPr>
            <w:tcW w:w="2906" w:type="dxa"/>
            <w:tcBorders>
              <w:top w:val="single" w:sz="4" w:space="0" w:color="auto"/>
              <w:bottom w:val="single" w:sz="4" w:space="0" w:color="auto"/>
            </w:tcBorders>
            <w:shd w:val="clear" w:color="auto" w:fill="auto"/>
            <w:noWrap/>
            <w:vAlign w:val="center"/>
          </w:tcPr>
          <w:p w14:paraId="66DD6EA5" w14:textId="77777777" w:rsidR="00697D30" w:rsidRPr="0065693B" w:rsidRDefault="00697D30" w:rsidP="004E211F">
            <w:pPr>
              <w:jc w:val="center"/>
              <w:rPr>
                <w:sz w:val="20"/>
              </w:rPr>
            </w:pPr>
            <w:r w:rsidRPr="0065693B">
              <w:rPr>
                <w:sz w:val="20"/>
              </w:rPr>
              <w:t>8,4.10-2</w:t>
            </w:r>
          </w:p>
        </w:tc>
      </w:tr>
      <w:tr w:rsidR="0065693B" w:rsidRPr="0065693B" w14:paraId="3849F55A" w14:textId="77777777" w:rsidTr="004334CE">
        <w:trPr>
          <w:trHeight w:val="246"/>
        </w:trPr>
        <w:tc>
          <w:tcPr>
            <w:tcW w:w="980" w:type="dxa"/>
            <w:tcBorders>
              <w:top w:val="single" w:sz="4" w:space="0" w:color="auto"/>
              <w:bottom w:val="single" w:sz="4" w:space="0" w:color="auto"/>
            </w:tcBorders>
            <w:shd w:val="clear" w:color="auto" w:fill="auto"/>
            <w:noWrap/>
            <w:vAlign w:val="center"/>
            <w:hideMark/>
          </w:tcPr>
          <w:p w14:paraId="5D18FF4A" w14:textId="77777777" w:rsidR="00697D30" w:rsidRPr="0065693B" w:rsidRDefault="00697D30" w:rsidP="004E211F">
            <w:pPr>
              <w:jc w:val="center"/>
              <w:rPr>
                <w:sz w:val="20"/>
              </w:rPr>
            </w:pPr>
            <w:r w:rsidRPr="0065693B">
              <w:rPr>
                <w:sz w:val="20"/>
              </w:rPr>
              <w:t>8</w:t>
            </w:r>
          </w:p>
        </w:tc>
        <w:tc>
          <w:tcPr>
            <w:tcW w:w="650" w:type="dxa"/>
            <w:tcBorders>
              <w:top w:val="single" w:sz="4" w:space="0" w:color="auto"/>
              <w:bottom w:val="single" w:sz="4" w:space="0" w:color="auto"/>
            </w:tcBorders>
            <w:shd w:val="clear" w:color="auto" w:fill="auto"/>
            <w:noWrap/>
            <w:vAlign w:val="center"/>
            <w:hideMark/>
          </w:tcPr>
          <w:p w14:paraId="2306AD59"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523505A6" w14:textId="77777777" w:rsidR="00697D30" w:rsidRPr="0065693B" w:rsidRDefault="00697D30" w:rsidP="004E211F">
            <w:pPr>
              <w:jc w:val="center"/>
              <w:rPr>
                <w:sz w:val="20"/>
              </w:rPr>
            </w:pPr>
            <w:r w:rsidRPr="0065693B">
              <w:rPr>
                <w:sz w:val="20"/>
              </w:rPr>
              <w:t>2,50</w:t>
            </w:r>
          </w:p>
        </w:tc>
        <w:tc>
          <w:tcPr>
            <w:tcW w:w="1559" w:type="dxa"/>
            <w:tcBorders>
              <w:top w:val="single" w:sz="4" w:space="0" w:color="auto"/>
              <w:bottom w:val="single" w:sz="4" w:space="0" w:color="auto"/>
            </w:tcBorders>
            <w:shd w:val="clear" w:color="auto" w:fill="auto"/>
            <w:noWrap/>
            <w:vAlign w:val="center"/>
            <w:hideMark/>
          </w:tcPr>
          <w:p w14:paraId="572694BC" w14:textId="77777777" w:rsidR="00697D30" w:rsidRPr="0065693B" w:rsidRDefault="00697D30" w:rsidP="004E211F">
            <w:pPr>
              <w:jc w:val="center"/>
              <w:rPr>
                <w:sz w:val="20"/>
              </w:rPr>
            </w:pPr>
            <w:r w:rsidRPr="0065693B">
              <w:rPr>
                <w:sz w:val="20"/>
              </w:rPr>
              <w:t>12,0</w:t>
            </w:r>
          </w:p>
        </w:tc>
        <w:tc>
          <w:tcPr>
            <w:tcW w:w="1985" w:type="dxa"/>
            <w:tcBorders>
              <w:top w:val="single" w:sz="4" w:space="0" w:color="auto"/>
              <w:bottom w:val="single" w:sz="4" w:space="0" w:color="auto"/>
            </w:tcBorders>
            <w:shd w:val="clear" w:color="auto" w:fill="auto"/>
            <w:noWrap/>
            <w:vAlign w:val="center"/>
            <w:hideMark/>
          </w:tcPr>
          <w:p w14:paraId="7E24CB8E" w14:textId="77777777" w:rsidR="00697D30" w:rsidRPr="0065693B" w:rsidRDefault="00697D30" w:rsidP="004E211F">
            <w:pPr>
              <w:jc w:val="center"/>
              <w:rPr>
                <w:sz w:val="20"/>
              </w:rPr>
            </w:pPr>
            <w:r w:rsidRPr="0065693B">
              <w:rPr>
                <w:sz w:val="20"/>
              </w:rPr>
              <w:t>200</w:t>
            </w:r>
          </w:p>
        </w:tc>
        <w:tc>
          <w:tcPr>
            <w:tcW w:w="2906" w:type="dxa"/>
            <w:tcBorders>
              <w:top w:val="single" w:sz="4" w:space="0" w:color="auto"/>
              <w:bottom w:val="single" w:sz="4" w:space="0" w:color="auto"/>
            </w:tcBorders>
            <w:shd w:val="clear" w:color="auto" w:fill="auto"/>
            <w:noWrap/>
            <w:vAlign w:val="center"/>
          </w:tcPr>
          <w:p w14:paraId="64A20FED" w14:textId="0B9D7D9B" w:rsidR="00697D30" w:rsidRPr="0065693B" w:rsidRDefault="00697D30" w:rsidP="004E211F">
            <w:pPr>
              <w:jc w:val="center"/>
              <w:rPr>
                <w:sz w:val="20"/>
              </w:rPr>
            </w:pPr>
            <w:r w:rsidRPr="0065693B">
              <w:rPr>
                <w:sz w:val="20"/>
              </w:rPr>
              <w:t>4,0.</w:t>
            </w:r>
            <w:r w:rsidR="00A860BD" w:rsidRPr="0065693B">
              <w:rPr>
                <w:sz w:val="20"/>
              </w:rPr>
              <w:t>10</w:t>
            </w:r>
            <w:r w:rsidR="00A860BD" w:rsidRPr="00A860BD">
              <w:rPr>
                <w:sz w:val="20"/>
                <w:vertAlign w:val="superscript"/>
              </w:rPr>
              <w:t>-2</w:t>
            </w:r>
          </w:p>
        </w:tc>
      </w:tr>
      <w:tr w:rsidR="0065693B" w:rsidRPr="0065693B" w14:paraId="2DD909DF" w14:textId="77777777" w:rsidTr="004334CE">
        <w:trPr>
          <w:trHeight w:val="214"/>
        </w:trPr>
        <w:tc>
          <w:tcPr>
            <w:tcW w:w="980" w:type="dxa"/>
            <w:tcBorders>
              <w:top w:val="single" w:sz="4" w:space="0" w:color="auto"/>
              <w:bottom w:val="single" w:sz="4" w:space="0" w:color="auto"/>
            </w:tcBorders>
            <w:shd w:val="clear" w:color="auto" w:fill="auto"/>
            <w:noWrap/>
            <w:vAlign w:val="center"/>
            <w:hideMark/>
          </w:tcPr>
          <w:p w14:paraId="08565A03" w14:textId="77777777" w:rsidR="00697D30" w:rsidRPr="0065693B" w:rsidRDefault="00697D30" w:rsidP="004E211F">
            <w:pPr>
              <w:jc w:val="center"/>
              <w:rPr>
                <w:sz w:val="20"/>
              </w:rPr>
            </w:pPr>
            <w:r w:rsidRPr="0065693B">
              <w:rPr>
                <w:sz w:val="20"/>
              </w:rPr>
              <w:t>9</w:t>
            </w:r>
          </w:p>
        </w:tc>
        <w:tc>
          <w:tcPr>
            <w:tcW w:w="650" w:type="dxa"/>
            <w:tcBorders>
              <w:top w:val="single" w:sz="4" w:space="0" w:color="auto"/>
              <w:bottom w:val="single" w:sz="4" w:space="0" w:color="auto"/>
            </w:tcBorders>
            <w:shd w:val="clear" w:color="auto" w:fill="auto"/>
            <w:noWrap/>
            <w:vAlign w:val="center"/>
            <w:hideMark/>
          </w:tcPr>
          <w:p w14:paraId="73C7D02C"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538A12D5" w14:textId="77777777" w:rsidR="00697D30" w:rsidRPr="0065693B" w:rsidRDefault="00697D30" w:rsidP="004E211F">
            <w:pPr>
              <w:jc w:val="center"/>
              <w:rPr>
                <w:sz w:val="20"/>
              </w:rPr>
            </w:pPr>
            <w:r w:rsidRPr="0065693B">
              <w:rPr>
                <w:sz w:val="20"/>
              </w:rPr>
              <w:t>0,50</w:t>
            </w:r>
          </w:p>
        </w:tc>
        <w:tc>
          <w:tcPr>
            <w:tcW w:w="1559" w:type="dxa"/>
            <w:tcBorders>
              <w:top w:val="single" w:sz="4" w:space="0" w:color="auto"/>
              <w:bottom w:val="single" w:sz="4" w:space="0" w:color="auto"/>
            </w:tcBorders>
            <w:shd w:val="clear" w:color="auto" w:fill="auto"/>
            <w:noWrap/>
            <w:vAlign w:val="center"/>
            <w:hideMark/>
          </w:tcPr>
          <w:p w14:paraId="7301501D" w14:textId="77777777" w:rsidR="00697D30" w:rsidRPr="0065693B" w:rsidRDefault="00697D30" w:rsidP="004E211F">
            <w:pPr>
              <w:jc w:val="center"/>
              <w:rPr>
                <w:sz w:val="20"/>
              </w:rPr>
            </w:pPr>
            <w:r w:rsidRPr="0065693B">
              <w:rPr>
                <w:sz w:val="20"/>
              </w:rPr>
              <w:t>8,0</w:t>
            </w:r>
          </w:p>
        </w:tc>
        <w:tc>
          <w:tcPr>
            <w:tcW w:w="1985" w:type="dxa"/>
            <w:tcBorders>
              <w:top w:val="single" w:sz="4" w:space="0" w:color="auto"/>
              <w:bottom w:val="single" w:sz="4" w:space="0" w:color="auto"/>
            </w:tcBorders>
            <w:shd w:val="clear" w:color="auto" w:fill="auto"/>
            <w:noWrap/>
            <w:vAlign w:val="center"/>
            <w:hideMark/>
          </w:tcPr>
          <w:p w14:paraId="146B6777" w14:textId="77777777" w:rsidR="00697D30" w:rsidRPr="0065693B" w:rsidRDefault="00697D30" w:rsidP="004E211F">
            <w:pPr>
              <w:jc w:val="center"/>
              <w:rPr>
                <w:sz w:val="20"/>
              </w:rPr>
            </w:pPr>
            <w:r w:rsidRPr="0065693B">
              <w:rPr>
                <w:sz w:val="20"/>
              </w:rPr>
              <w:t>150</w:t>
            </w:r>
          </w:p>
        </w:tc>
        <w:tc>
          <w:tcPr>
            <w:tcW w:w="2906" w:type="dxa"/>
            <w:tcBorders>
              <w:top w:val="single" w:sz="4" w:space="0" w:color="auto"/>
              <w:bottom w:val="single" w:sz="4" w:space="0" w:color="auto"/>
            </w:tcBorders>
            <w:shd w:val="clear" w:color="auto" w:fill="auto"/>
            <w:noWrap/>
            <w:vAlign w:val="center"/>
          </w:tcPr>
          <w:p w14:paraId="776D0EAD" w14:textId="77777777" w:rsidR="00697D30" w:rsidRPr="0065693B" w:rsidRDefault="00697D30" w:rsidP="004E211F">
            <w:pPr>
              <w:jc w:val="center"/>
              <w:rPr>
                <w:sz w:val="20"/>
              </w:rPr>
            </w:pPr>
            <w:r w:rsidRPr="0065693B">
              <w:rPr>
                <w:sz w:val="20"/>
              </w:rPr>
              <w:t>0,48</w:t>
            </w:r>
          </w:p>
        </w:tc>
      </w:tr>
      <w:tr w:rsidR="0065693B" w:rsidRPr="0065693B" w14:paraId="3EB8EB4E" w14:textId="77777777" w:rsidTr="004334CE">
        <w:trPr>
          <w:trHeight w:val="194"/>
        </w:trPr>
        <w:tc>
          <w:tcPr>
            <w:tcW w:w="980" w:type="dxa"/>
            <w:tcBorders>
              <w:top w:val="single" w:sz="4" w:space="0" w:color="auto"/>
              <w:bottom w:val="single" w:sz="4" w:space="0" w:color="auto"/>
            </w:tcBorders>
            <w:shd w:val="clear" w:color="auto" w:fill="D9D9D9" w:themeFill="background1" w:themeFillShade="D9"/>
            <w:noWrap/>
            <w:vAlign w:val="center"/>
            <w:hideMark/>
          </w:tcPr>
          <w:p w14:paraId="7A5C6FC6" w14:textId="77777777" w:rsidR="00697D30" w:rsidRPr="0065693B" w:rsidRDefault="00697D30" w:rsidP="004E211F">
            <w:pPr>
              <w:jc w:val="center"/>
              <w:rPr>
                <w:sz w:val="20"/>
              </w:rPr>
            </w:pPr>
            <w:r w:rsidRPr="0065693B">
              <w:rPr>
                <w:sz w:val="20"/>
              </w:rPr>
              <w:t>10</w:t>
            </w:r>
          </w:p>
        </w:tc>
        <w:tc>
          <w:tcPr>
            <w:tcW w:w="650" w:type="dxa"/>
            <w:tcBorders>
              <w:top w:val="single" w:sz="4" w:space="0" w:color="auto"/>
              <w:bottom w:val="single" w:sz="4" w:space="0" w:color="auto"/>
            </w:tcBorders>
            <w:shd w:val="clear" w:color="auto" w:fill="D9D9D9" w:themeFill="background1" w:themeFillShade="D9"/>
            <w:noWrap/>
            <w:vAlign w:val="center"/>
            <w:hideMark/>
          </w:tcPr>
          <w:p w14:paraId="4738EEDF"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D9D9D9" w:themeFill="background1" w:themeFillShade="D9"/>
            <w:noWrap/>
            <w:vAlign w:val="center"/>
            <w:hideMark/>
          </w:tcPr>
          <w:p w14:paraId="6E30C93C" w14:textId="77777777" w:rsidR="00697D30" w:rsidRPr="0065693B" w:rsidRDefault="00697D30" w:rsidP="004E211F">
            <w:pPr>
              <w:jc w:val="center"/>
              <w:rPr>
                <w:sz w:val="20"/>
              </w:rPr>
            </w:pPr>
            <w:r w:rsidRPr="0065693B">
              <w:rPr>
                <w:sz w:val="20"/>
              </w:rPr>
              <w:t>3,00</w:t>
            </w:r>
          </w:p>
        </w:tc>
        <w:tc>
          <w:tcPr>
            <w:tcW w:w="1559" w:type="dxa"/>
            <w:tcBorders>
              <w:top w:val="single" w:sz="4" w:space="0" w:color="auto"/>
              <w:bottom w:val="single" w:sz="4" w:space="0" w:color="auto"/>
            </w:tcBorders>
            <w:shd w:val="clear" w:color="auto" w:fill="D9D9D9" w:themeFill="background1" w:themeFillShade="D9"/>
            <w:noWrap/>
            <w:vAlign w:val="center"/>
            <w:hideMark/>
          </w:tcPr>
          <w:p w14:paraId="60A4F609" w14:textId="77777777" w:rsidR="00697D30" w:rsidRPr="0065693B" w:rsidRDefault="00697D30" w:rsidP="004E211F">
            <w:pPr>
              <w:jc w:val="center"/>
              <w:rPr>
                <w:sz w:val="20"/>
              </w:rPr>
            </w:pPr>
            <w:r w:rsidRPr="0065693B">
              <w:rPr>
                <w:sz w:val="20"/>
              </w:rPr>
              <w:t>8,0</w:t>
            </w:r>
          </w:p>
        </w:tc>
        <w:tc>
          <w:tcPr>
            <w:tcW w:w="1985" w:type="dxa"/>
            <w:tcBorders>
              <w:top w:val="single" w:sz="4" w:space="0" w:color="auto"/>
              <w:bottom w:val="single" w:sz="4" w:space="0" w:color="auto"/>
            </w:tcBorders>
            <w:shd w:val="clear" w:color="auto" w:fill="D9D9D9" w:themeFill="background1" w:themeFillShade="D9"/>
            <w:noWrap/>
            <w:vAlign w:val="center"/>
            <w:hideMark/>
          </w:tcPr>
          <w:p w14:paraId="337F9F32" w14:textId="77777777" w:rsidR="00697D30" w:rsidRPr="0065693B" w:rsidRDefault="00697D30" w:rsidP="004E211F">
            <w:pPr>
              <w:jc w:val="center"/>
              <w:rPr>
                <w:sz w:val="20"/>
              </w:rPr>
            </w:pPr>
            <w:r w:rsidRPr="0065693B">
              <w:rPr>
                <w:sz w:val="20"/>
              </w:rPr>
              <w:t>150</w:t>
            </w:r>
          </w:p>
        </w:tc>
        <w:tc>
          <w:tcPr>
            <w:tcW w:w="2906" w:type="dxa"/>
            <w:tcBorders>
              <w:top w:val="single" w:sz="4" w:space="0" w:color="auto"/>
              <w:bottom w:val="single" w:sz="4" w:space="0" w:color="auto"/>
            </w:tcBorders>
            <w:shd w:val="clear" w:color="auto" w:fill="D9D9D9" w:themeFill="background1" w:themeFillShade="D9"/>
            <w:noWrap/>
            <w:vAlign w:val="center"/>
          </w:tcPr>
          <w:p w14:paraId="420B1888" w14:textId="77777777" w:rsidR="00697D30" w:rsidRPr="0065693B" w:rsidRDefault="00697D30" w:rsidP="004E211F">
            <w:pPr>
              <w:jc w:val="center"/>
              <w:rPr>
                <w:sz w:val="20"/>
              </w:rPr>
            </w:pPr>
            <w:r w:rsidRPr="0065693B">
              <w:rPr>
                <w:sz w:val="20"/>
              </w:rPr>
              <w:t>2,1.10</w:t>
            </w:r>
            <w:r w:rsidRPr="00A860BD">
              <w:rPr>
                <w:sz w:val="20"/>
                <w:vertAlign w:val="superscript"/>
              </w:rPr>
              <w:t>-2</w:t>
            </w:r>
          </w:p>
        </w:tc>
      </w:tr>
      <w:tr w:rsidR="0065693B" w:rsidRPr="0065693B" w14:paraId="342EF8BA" w14:textId="77777777" w:rsidTr="004334CE">
        <w:trPr>
          <w:trHeight w:val="207"/>
        </w:trPr>
        <w:tc>
          <w:tcPr>
            <w:tcW w:w="980" w:type="dxa"/>
            <w:tcBorders>
              <w:top w:val="single" w:sz="4" w:space="0" w:color="auto"/>
              <w:bottom w:val="single" w:sz="4" w:space="0" w:color="auto"/>
            </w:tcBorders>
            <w:shd w:val="clear" w:color="auto" w:fill="auto"/>
            <w:noWrap/>
            <w:vAlign w:val="center"/>
            <w:hideMark/>
          </w:tcPr>
          <w:p w14:paraId="5727D744" w14:textId="77777777" w:rsidR="00697D30" w:rsidRPr="0065693B" w:rsidRDefault="00697D30" w:rsidP="004E211F">
            <w:pPr>
              <w:jc w:val="center"/>
              <w:rPr>
                <w:sz w:val="20"/>
              </w:rPr>
            </w:pPr>
            <w:r w:rsidRPr="0065693B">
              <w:rPr>
                <w:sz w:val="20"/>
              </w:rPr>
              <w:t>11</w:t>
            </w:r>
          </w:p>
        </w:tc>
        <w:tc>
          <w:tcPr>
            <w:tcW w:w="650" w:type="dxa"/>
            <w:tcBorders>
              <w:top w:val="single" w:sz="4" w:space="0" w:color="auto"/>
              <w:bottom w:val="single" w:sz="4" w:space="0" w:color="auto"/>
            </w:tcBorders>
            <w:shd w:val="clear" w:color="auto" w:fill="auto"/>
            <w:noWrap/>
            <w:vAlign w:val="center"/>
            <w:hideMark/>
          </w:tcPr>
          <w:p w14:paraId="2E7A33EE"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2126FE57" w14:textId="77777777" w:rsidR="00697D30" w:rsidRPr="0065693B" w:rsidRDefault="00697D30" w:rsidP="004E211F">
            <w:pPr>
              <w:jc w:val="center"/>
              <w:rPr>
                <w:sz w:val="20"/>
              </w:rPr>
            </w:pPr>
            <w:r w:rsidRPr="0065693B">
              <w:rPr>
                <w:sz w:val="20"/>
              </w:rPr>
              <w:t>1,75</w:t>
            </w:r>
          </w:p>
        </w:tc>
        <w:tc>
          <w:tcPr>
            <w:tcW w:w="1559" w:type="dxa"/>
            <w:tcBorders>
              <w:top w:val="single" w:sz="4" w:space="0" w:color="auto"/>
              <w:bottom w:val="single" w:sz="4" w:space="0" w:color="auto"/>
            </w:tcBorders>
            <w:shd w:val="clear" w:color="auto" w:fill="auto"/>
            <w:noWrap/>
            <w:vAlign w:val="center"/>
            <w:hideMark/>
          </w:tcPr>
          <w:p w14:paraId="6FF81104" w14:textId="77777777" w:rsidR="00697D30" w:rsidRPr="0065693B" w:rsidRDefault="00697D30" w:rsidP="004E211F">
            <w:pPr>
              <w:jc w:val="center"/>
              <w:rPr>
                <w:sz w:val="20"/>
              </w:rPr>
            </w:pPr>
            <w:r w:rsidRPr="0065693B">
              <w:rPr>
                <w:sz w:val="20"/>
              </w:rPr>
              <w:t>1,3</w:t>
            </w:r>
          </w:p>
        </w:tc>
        <w:tc>
          <w:tcPr>
            <w:tcW w:w="1985" w:type="dxa"/>
            <w:tcBorders>
              <w:top w:val="single" w:sz="4" w:space="0" w:color="auto"/>
              <w:bottom w:val="single" w:sz="4" w:space="0" w:color="auto"/>
            </w:tcBorders>
            <w:shd w:val="clear" w:color="auto" w:fill="auto"/>
            <w:noWrap/>
            <w:vAlign w:val="center"/>
            <w:hideMark/>
          </w:tcPr>
          <w:p w14:paraId="1AB1B640" w14:textId="77777777" w:rsidR="00697D30" w:rsidRPr="0065693B" w:rsidRDefault="00697D30" w:rsidP="004E211F">
            <w:pPr>
              <w:jc w:val="center"/>
              <w:rPr>
                <w:sz w:val="20"/>
              </w:rPr>
            </w:pPr>
            <w:r w:rsidRPr="0065693B">
              <w:rPr>
                <w:sz w:val="20"/>
              </w:rPr>
              <w:t>150</w:t>
            </w:r>
          </w:p>
        </w:tc>
        <w:tc>
          <w:tcPr>
            <w:tcW w:w="2906" w:type="dxa"/>
            <w:tcBorders>
              <w:top w:val="single" w:sz="4" w:space="0" w:color="auto"/>
              <w:bottom w:val="single" w:sz="4" w:space="0" w:color="auto"/>
            </w:tcBorders>
            <w:shd w:val="clear" w:color="auto" w:fill="auto"/>
            <w:noWrap/>
            <w:vAlign w:val="center"/>
          </w:tcPr>
          <w:p w14:paraId="2EA96907" w14:textId="77777777" w:rsidR="00697D30" w:rsidRPr="0065693B" w:rsidRDefault="00697D30" w:rsidP="004E211F">
            <w:pPr>
              <w:jc w:val="center"/>
              <w:rPr>
                <w:sz w:val="20"/>
              </w:rPr>
            </w:pPr>
            <w:r w:rsidRPr="0065693B">
              <w:rPr>
                <w:sz w:val="20"/>
              </w:rPr>
              <w:t>0,28</w:t>
            </w:r>
          </w:p>
        </w:tc>
      </w:tr>
      <w:tr w:rsidR="0065693B" w:rsidRPr="0065693B" w14:paraId="07103FAD" w14:textId="77777777" w:rsidTr="004334CE">
        <w:trPr>
          <w:trHeight w:val="312"/>
        </w:trPr>
        <w:tc>
          <w:tcPr>
            <w:tcW w:w="980" w:type="dxa"/>
            <w:tcBorders>
              <w:top w:val="single" w:sz="4" w:space="0" w:color="auto"/>
              <w:bottom w:val="single" w:sz="4" w:space="0" w:color="auto"/>
            </w:tcBorders>
            <w:shd w:val="clear" w:color="auto" w:fill="auto"/>
            <w:noWrap/>
            <w:vAlign w:val="center"/>
            <w:hideMark/>
          </w:tcPr>
          <w:p w14:paraId="0908C07B" w14:textId="77777777" w:rsidR="00697D30" w:rsidRPr="0065693B" w:rsidRDefault="00697D30" w:rsidP="004E211F">
            <w:pPr>
              <w:jc w:val="center"/>
              <w:rPr>
                <w:sz w:val="20"/>
              </w:rPr>
            </w:pPr>
            <w:r w:rsidRPr="0065693B">
              <w:rPr>
                <w:sz w:val="20"/>
              </w:rPr>
              <w:t>12</w:t>
            </w:r>
          </w:p>
        </w:tc>
        <w:tc>
          <w:tcPr>
            <w:tcW w:w="650" w:type="dxa"/>
            <w:tcBorders>
              <w:top w:val="single" w:sz="4" w:space="0" w:color="auto"/>
              <w:bottom w:val="single" w:sz="4" w:space="0" w:color="auto"/>
            </w:tcBorders>
            <w:shd w:val="clear" w:color="auto" w:fill="auto"/>
            <w:noWrap/>
            <w:vAlign w:val="center"/>
            <w:hideMark/>
          </w:tcPr>
          <w:p w14:paraId="2FCCD80C"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60890206" w14:textId="77777777" w:rsidR="00697D30" w:rsidRPr="0065693B" w:rsidRDefault="00697D30" w:rsidP="004E211F">
            <w:pPr>
              <w:jc w:val="center"/>
              <w:rPr>
                <w:sz w:val="20"/>
              </w:rPr>
            </w:pPr>
            <w:r w:rsidRPr="0065693B">
              <w:rPr>
                <w:sz w:val="20"/>
              </w:rPr>
              <w:t>1,75</w:t>
            </w:r>
          </w:p>
        </w:tc>
        <w:tc>
          <w:tcPr>
            <w:tcW w:w="1559" w:type="dxa"/>
            <w:tcBorders>
              <w:top w:val="single" w:sz="4" w:space="0" w:color="auto"/>
              <w:bottom w:val="single" w:sz="4" w:space="0" w:color="auto"/>
            </w:tcBorders>
            <w:shd w:val="clear" w:color="auto" w:fill="auto"/>
            <w:noWrap/>
            <w:vAlign w:val="center"/>
            <w:hideMark/>
          </w:tcPr>
          <w:p w14:paraId="031F8CD4" w14:textId="77777777" w:rsidR="00697D30" w:rsidRPr="0065693B" w:rsidRDefault="00697D30" w:rsidP="004E211F">
            <w:pPr>
              <w:jc w:val="center"/>
              <w:rPr>
                <w:sz w:val="20"/>
              </w:rPr>
            </w:pPr>
            <w:r w:rsidRPr="0065693B">
              <w:rPr>
                <w:sz w:val="20"/>
              </w:rPr>
              <w:t>14,7</w:t>
            </w:r>
          </w:p>
        </w:tc>
        <w:tc>
          <w:tcPr>
            <w:tcW w:w="1985" w:type="dxa"/>
            <w:tcBorders>
              <w:top w:val="single" w:sz="4" w:space="0" w:color="auto"/>
              <w:bottom w:val="single" w:sz="4" w:space="0" w:color="auto"/>
            </w:tcBorders>
            <w:shd w:val="clear" w:color="auto" w:fill="auto"/>
            <w:noWrap/>
            <w:vAlign w:val="center"/>
            <w:hideMark/>
          </w:tcPr>
          <w:p w14:paraId="6C6A6306" w14:textId="77777777" w:rsidR="00697D30" w:rsidRPr="0065693B" w:rsidRDefault="00697D30" w:rsidP="004E211F">
            <w:pPr>
              <w:jc w:val="center"/>
              <w:rPr>
                <w:sz w:val="20"/>
              </w:rPr>
            </w:pPr>
            <w:r w:rsidRPr="0065693B">
              <w:rPr>
                <w:sz w:val="20"/>
              </w:rPr>
              <w:t>150</w:t>
            </w:r>
          </w:p>
        </w:tc>
        <w:tc>
          <w:tcPr>
            <w:tcW w:w="2906" w:type="dxa"/>
            <w:tcBorders>
              <w:top w:val="single" w:sz="4" w:space="0" w:color="auto"/>
              <w:bottom w:val="single" w:sz="4" w:space="0" w:color="auto"/>
            </w:tcBorders>
            <w:shd w:val="clear" w:color="auto" w:fill="auto"/>
            <w:noWrap/>
            <w:vAlign w:val="center"/>
          </w:tcPr>
          <w:p w14:paraId="4865DE5C" w14:textId="12F67AF7" w:rsidR="00697D30" w:rsidRPr="0065693B" w:rsidRDefault="00697D30" w:rsidP="004E211F">
            <w:pPr>
              <w:jc w:val="center"/>
              <w:rPr>
                <w:sz w:val="20"/>
              </w:rPr>
            </w:pPr>
            <w:r w:rsidRPr="0065693B">
              <w:rPr>
                <w:sz w:val="20"/>
              </w:rPr>
              <w:t>9,4</w:t>
            </w:r>
            <w:r w:rsidR="00A860BD" w:rsidRPr="0065693B">
              <w:rPr>
                <w:sz w:val="20"/>
              </w:rPr>
              <w:t>.10</w:t>
            </w:r>
            <w:r w:rsidR="00A860BD" w:rsidRPr="00A860BD">
              <w:rPr>
                <w:sz w:val="20"/>
                <w:vertAlign w:val="superscript"/>
              </w:rPr>
              <w:t>-2</w:t>
            </w:r>
          </w:p>
        </w:tc>
      </w:tr>
      <w:tr w:rsidR="0065693B" w:rsidRPr="0065693B" w14:paraId="498B66D2" w14:textId="77777777" w:rsidTr="004334CE">
        <w:trPr>
          <w:trHeight w:val="292"/>
        </w:trPr>
        <w:tc>
          <w:tcPr>
            <w:tcW w:w="980" w:type="dxa"/>
            <w:tcBorders>
              <w:top w:val="single" w:sz="4" w:space="0" w:color="auto"/>
              <w:bottom w:val="single" w:sz="4" w:space="0" w:color="auto"/>
            </w:tcBorders>
            <w:shd w:val="clear" w:color="auto" w:fill="auto"/>
            <w:noWrap/>
            <w:vAlign w:val="center"/>
            <w:hideMark/>
          </w:tcPr>
          <w:p w14:paraId="15677191" w14:textId="77777777" w:rsidR="00697D30" w:rsidRPr="0065693B" w:rsidRDefault="00697D30" w:rsidP="004E211F">
            <w:pPr>
              <w:jc w:val="center"/>
              <w:rPr>
                <w:sz w:val="20"/>
              </w:rPr>
            </w:pPr>
            <w:r w:rsidRPr="0065693B">
              <w:rPr>
                <w:sz w:val="20"/>
              </w:rPr>
              <w:t>13</w:t>
            </w:r>
          </w:p>
        </w:tc>
        <w:tc>
          <w:tcPr>
            <w:tcW w:w="650" w:type="dxa"/>
            <w:tcBorders>
              <w:top w:val="single" w:sz="4" w:space="0" w:color="auto"/>
              <w:bottom w:val="single" w:sz="4" w:space="0" w:color="auto"/>
            </w:tcBorders>
            <w:shd w:val="clear" w:color="auto" w:fill="auto"/>
            <w:noWrap/>
            <w:vAlign w:val="center"/>
            <w:hideMark/>
          </w:tcPr>
          <w:p w14:paraId="3C7C977A"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12CBE7F5" w14:textId="77777777" w:rsidR="00697D30" w:rsidRPr="0065693B" w:rsidRDefault="00697D30" w:rsidP="004E211F">
            <w:pPr>
              <w:jc w:val="center"/>
              <w:rPr>
                <w:sz w:val="20"/>
              </w:rPr>
            </w:pPr>
            <w:r w:rsidRPr="0065693B">
              <w:rPr>
                <w:sz w:val="20"/>
              </w:rPr>
              <w:t>1,75</w:t>
            </w:r>
          </w:p>
        </w:tc>
        <w:tc>
          <w:tcPr>
            <w:tcW w:w="1559" w:type="dxa"/>
            <w:tcBorders>
              <w:top w:val="single" w:sz="4" w:space="0" w:color="auto"/>
              <w:bottom w:val="single" w:sz="4" w:space="0" w:color="auto"/>
            </w:tcBorders>
            <w:shd w:val="clear" w:color="auto" w:fill="auto"/>
            <w:noWrap/>
            <w:vAlign w:val="center"/>
            <w:hideMark/>
          </w:tcPr>
          <w:p w14:paraId="338E642B" w14:textId="77777777" w:rsidR="00697D30" w:rsidRPr="0065693B" w:rsidRDefault="00697D30" w:rsidP="004E211F">
            <w:pPr>
              <w:jc w:val="center"/>
              <w:rPr>
                <w:sz w:val="20"/>
              </w:rPr>
            </w:pPr>
            <w:r w:rsidRPr="0065693B">
              <w:rPr>
                <w:sz w:val="20"/>
              </w:rPr>
              <w:t>8,0</w:t>
            </w:r>
          </w:p>
        </w:tc>
        <w:tc>
          <w:tcPr>
            <w:tcW w:w="1985" w:type="dxa"/>
            <w:tcBorders>
              <w:top w:val="single" w:sz="4" w:space="0" w:color="auto"/>
              <w:bottom w:val="single" w:sz="4" w:space="0" w:color="auto"/>
            </w:tcBorders>
            <w:shd w:val="clear" w:color="auto" w:fill="auto"/>
            <w:noWrap/>
            <w:vAlign w:val="center"/>
            <w:hideMark/>
          </w:tcPr>
          <w:p w14:paraId="78A58801" w14:textId="77777777" w:rsidR="00697D30" w:rsidRPr="0065693B" w:rsidRDefault="00697D30" w:rsidP="004E211F">
            <w:pPr>
              <w:jc w:val="center"/>
              <w:rPr>
                <w:sz w:val="20"/>
              </w:rPr>
            </w:pPr>
            <w:r w:rsidRPr="0065693B">
              <w:rPr>
                <w:sz w:val="20"/>
              </w:rPr>
              <w:t>66</w:t>
            </w:r>
          </w:p>
        </w:tc>
        <w:tc>
          <w:tcPr>
            <w:tcW w:w="2906" w:type="dxa"/>
            <w:tcBorders>
              <w:top w:val="single" w:sz="4" w:space="0" w:color="auto"/>
              <w:bottom w:val="single" w:sz="4" w:space="0" w:color="auto"/>
            </w:tcBorders>
            <w:shd w:val="clear" w:color="auto" w:fill="auto"/>
            <w:noWrap/>
            <w:vAlign w:val="center"/>
          </w:tcPr>
          <w:p w14:paraId="015F8C06" w14:textId="77777777" w:rsidR="00697D30" w:rsidRPr="0065693B" w:rsidRDefault="00697D30" w:rsidP="004E211F">
            <w:pPr>
              <w:jc w:val="center"/>
              <w:rPr>
                <w:sz w:val="20"/>
              </w:rPr>
            </w:pPr>
            <w:r w:rsidRPr="0065693B">
              <w:rPr>
                <w:sz w:val="20"/>
              </w:rPr>
              <w:t>0,16</w:t>
            </w:r>
          </w:p>
        </w:tc>
      </w:tr>
      <w:tr w:rsidR="0065693B" w:rsidRPr="0065693B" w14:paraId="5EADEA19" w14:textId="77777777" w:rsidTr="004334CE">
        <w:trPr>
          <w:trHeight w:val="259"/>
        </w:trPr>
        <w:tc>
          <w:tcPr>
            <w:tcW w:w="980" w:type="dxa"/>
            <w:tcBorders>
              <w:top w:val="single" w:sz="4" w:space="0" w:color="auto"/>
              <w:bottom w:val="single" w:sz="4" w:space="0" w:color="auto"/>
            </w:tcBorders>
            <w:shd w:val="clear" w:color="auto" w:fill="auto"/>
            <w:noWrap/>
            <w:vAlign w:val="center"/>
            <w:hideMark/>
          </w:tcPr>
          <w:p w14:paraId="03F45951" w14:textId="77777777" w:rsidR="00697D30" w:rsidRPr="0065693B" w:rsidRDefault="00697D30" w:rsidP="004E211F">
            <w:pPr>
              <w:jc w:val="center"/>
              <w:rPr>
                <w:sz w:val="20"/>
              </w:rPr>
            </w:pPr>
            <w:r w:rsidRPr="0065693B">
              <w:rPr>
                <w:sz w:val="20"/>
              </w:rPr>
              <w:t>14</w:t>
            </w:r>
          </w:p>
        </w:tc>
        <w:tc>
          <w:tcPr>
            <w:tcW w:w="650" w:type="dxa"/>
            <w:tcBorders>
              <w:top w:val="single" w:sz="4" w:space="0" w:color="auto"/>
              <w:bottom w:val="single" w:sz="4" w:space="0" w:color="auto"/>
            </w:tcBorders>
            <w:shd w:val="clear" w:color="auto" w:fill="auto"/>
            <w:noWrap/>
            <w:vAlign w:val="center"/>
            <w:hideMark/>
          </w:tcPr>
          <w:p w14:paraId="50131AE4" w14:textId="77777777" w:rsidR="00697D30" w:rsidRPr="0065693B" w:rsidRDefault="00697D30" w:rsidP="004E211F">
            <w:pPr>
              <w:jc w:val="center"/>
              <w:rPr>
                <w:sz w:val="20"/>
              </w:rPr>
            </w:pPr>
          </w:p>
        </w:tc>
        <w:tc>
          <w:tcPr>
            <w:tcW w:w="992" w:type="dxa"/>
            <w:tcBorders>
              <w:top w:val="single" w:sz="4" w:space="0" w:color="auto"/>
              <w:bottom w:val="single" w:sz="4" w:space="0" w:color="auto"/>
            </w:tcBorders>
            <w:shd w:val="clear" w:color="auto" w:fill="auto"/>
            <w:noWrap/>
            <w:vAlign w:val="center"/>
            <w:hideMark/>
          </w:tcPr>
          <w:p w14:paraId="07FB8BF3" w14:textId="77777777" w:rsidR="00697D30" w:rsidRPr="0065693B" w:rsidRDefault="00697D30" w:rsidP="004E211F">
            <w:pPr>
              <w:jc w:val="center"/>
              <w:rPr>
                <w:sz w:val="20"/>
              </w:rPr>
            </w:pPr>
            <w:r w:rsidRPr="0065693B">
              <w:rPr>
                <w:sz w:val="20"/>
              </w:rPr>
              <w:t>1,75</w:t>
            </w:r>
          </w:p>
        </w:tc>
        <w:tc>
          <w:tcPr>
            <w:tcW w:w="1559" w:type="dxa"/>
            <w:tcBorders>
              <w:top w:val="single" w:sz="4" w:space="0" w:color="auto"/>
              <w:bottom w:val="single" w:sz="4" w:space="0" w:color="auto"/>
            </w:tcBorders>
            <w:shd w:val="clear" w:color="auto" w:fill="auto"/>
            <w:noWrap/>
            <w:vAlign w:val="center"/>
            <w:hideMark/>
          </w:tcPr>
          <w:p w14:paraId="5834AB10" w14:textId="77777777" w:rsidR="00697D30" w:rsidRPr="0065693B" w:rsidRDefault="00697D30" w:rsidP="004E211F">
            <w:pPr>
              <w:jc w:val="center"/>
              <w:rPr>
                <w:sz w:val="20"/>
              </w:rPr>
            </w:pPr>
            <w:r w:rsidRPr="0065693B">
              <w:rPr>
                <w:sz w:val="20"/>
              </w:rPr>
              <w:t>8,0</w:t>
            </w:r>
          </w:p>
        </w:tc>
        <w:tc>
          <w:tcPr>
            <w:tcW w:w="1985" w:type="dxa"/>
            <w:tcBorders>
              <w:top w:val="single" w:sz="4" w:space="0" w:color="auto"/>
              <w:bottom w:val="single" w:sz="4" w:space="0" w:color="auto"/>
            </w:tcBorders>
            <w:shd w:val="clear" w:color="auto" w:fill="auto"/>
            <w:noWrap/>
            <w:vAlign w:val="center"/>
            <w:hideMark/>
          </w:tcPr>
          <w:p w14:paraId="77937115" w14:textId="77777777" w:rsidR="00697D30" w:rsidRPr="0065693B" w:rsidRDefault="00697D30" w:rsidP="004E211F">
            <w:pPr>
              <w:jc w:val="center"/>
              <w:rPr>
                <w:sz w:val="20"/>
              </w:rPr>
            </w:pPr>
            <w:r w:rsidRPr="0065693B">
              <w:rPr>
                <w:sz w:val="20"/>
              </w:rPr>
              <w:t>234</w:t>
            </w:r>
          </w:p>
        </w:tc>
        <w:tc>
          <w:tcPr>
            <w:tcW w:w="2906" w:type="dxa"/>
            <w:tcBorders>
              <w:top w:val="single" w:sz="4" w:space="0" w:color="auto"/>
              <w:bottom w:val="single" w:sz="4" w:space="0" w:color="auto"/>
            </w:tcBorders>
            <w:shd w:val="clear" w:color="auto" w:fill="auto"/>
            <w:noWrap/>
            <w:vAlign w:val="center"/>
          </w:tcPr>
          <w:p w14:paraId="6E661E86" w14:textId="77777777" w:rsidR="00697D30" w:rsidRPr="0065693B" w:rsidRDefault="00697D30" w:rsidP="004E211F">
            <w:pPr>
              <w:jc w:val="center"/>
              <w:rPr>
                <w:sz w:val="20"/>
              </w:rPr>
            </w:pPr>
            <w:r w:rsidRPr="0065693B">
              <w:rPr>
                <w:sz w:val="20"/>
              </w:rPr>
              <w:t>0,12</w:t>
            </w:r>
          </w:p>
        </w:tc>
      </w:tr>
      <w:tr w:rsidR="0065693B" w:rsidRPr="0065693B" w14:paraId="4C5048A0" w14:textId="77777777" w:rsidTr="004334CE">
        <w:trPr>
          <w:trHeight w:val="259"/>
        </w:trPr>
        <w:tc>
          <w:tcPr>
            <w:tcW w:w="1630" w:type="dxa"/>
            <w:gridSpan w:val="2"/>
            <w:tcBorders>
              <w:top w:val="single" w:sz="4" w:space="0" w:color="auto"/>
              <w:bottom w:val="single" w:sz="4" w:space="0" w:color="auto"/>
            </w:tcBorders>
            <w:shd w:val="clear" w:color="auto" w:fill="auto"/>
            <w:noWrap/>
            <w:vAlign w:val="center"/>
            <w:hideMark/>
          </w:tcPr>
          <w:p w14:paraId="50FA9ED1" w14:textId="77777777" w:rsidR="00697D30" w:rsidRPr="0065693B" w:rsidRDefault="00697D30" w:rsidP="004E211F">
            <w:pPr>
              <w:rPr>
                <w:sz w:val="20"/>
              </w:rPr>
            </w:pPr>
            <w:r w:rsidRPr="0065693B">
              <w:rPr>
                <w:sz w:val="20"/>
              </w:rPr>
              <w:t>15 C *</w:t>
            </w:r>
          </w:p>
        </w:tc>
        <w:tc>
          <w:tcPr>
            <w:tcW w:w="992" w:type="dxa"/>
            <w:tcBorders>
              <w:top w:val="single" w:sz="4" w:space="0" w:color="auto"/>
              <w:bottom w:val="single" w:sz="4" w:space="0" w:color="auto"/>
            </w:tcBorders>
            <w:shd w:val="clear" w:color="auto" w:fill="auto"/>
            <w:noWrap/>
            <w:vAlign w:val="center"/>
            <w:hideMark/>
          </w:tcPr>
          <w:p w14:paraId="39AB9AAF" w14:textId="77777777" w:rsidR="00697D30" w:rsidRPr="0065693B" w:rsidRDefault="00697D30" w:rsidP="004E211F">
            <w:pPr>
              <w:jc w:val="center"/>
              <w:rPr>
                <w:sz w:val="20"/>
              </w:rPr>
            </w:pPr>
            <w:r w:rsidRPr="0065693B">
              <w:rPr>
                <w:sz w:val="20"/>
              </w:rPr>
              <w:t>1,75</w:t>
            </w:r>
          </w:p>
        </w:tc>
        <w:tc>
          <w:tcPr>
            <w:tcW w:w="1559" w:type="dxa"/>
            <w:tcBorders>
              <w:top w:val="single" w:sz="4" w:space="0" w:color="auto"/>
              <w:bottom w:val="single" w:sz="4" w:space="0" w:color="auto"/>
            </w:tcBorders>
            <w:shd w:val="clear" w:color="auto" w:fill="auto"/>
            <w:noWrap/>
            <w:vAlign w:val="center"/>
            <w:hideMark/>
          </w:tcPr>
          <w:p w14:paraId="0759EE7D" w14:textId="77777777" w:rsidR="00697D30" w:rsidRPr="0065693B" w:rsidRDefault="00697D30" w:rsidP="004E211F">
            <w:pPr>
              <w:jc w:val="center"/>
              <w:rPr>
                <w:sz w:val="20"/>
              </w:rPr>
            </w:pPr>
            <w:r w:rsidRPr="0065693B">
              <w:rPr>
                <w:sz w:val="20"/>
              </w:rPr>
              <w:t>8,0</w:t>
            </w:r>
          </w:p>
        </w:tc>
        <w:tc>
          <w:tcPr>
            <w:tcW w:w="1985" w:type="dxa"/>
            <w:tcBorders>
              <w:top w:val="single" w:sz="4" w:space="0" w:color="auto"/>
              <w:bottom w:val="single" w:sz="4" w:space="0" w:color="auto"/>
            </w:tcBorders>
            <w:shd w:val="clear" w:color="auto" w:fill="auto"/>
            <w:noWrap/>
            <w:vAlign w:val="center"/>
            <w:hideMark/>
          </w:tcPr>
          <w:p w14:paraId="201EECC1" w14:textId="77777777" w:rsidR="00697D30" w:rsidRPr="0065693B" w:rsidRDefault="00697D30" w:rsidP="004E211F">
            <w:pPr>
              <w:jc w:val="center"/>
              <w:rPr>
                <w:sz w:val="20"/>
              </w:rPr>
            </w:pPr>
            <w:r w:rsidRPr="0065693B">
              <w:rPr>
                <w:sz w:val="20"/>
              </w:rPr>
              <w:t>150</w:t>
            </w:r>
          </w:p>
        </w:tc>
        <w:tc>
          <w:tcPr>
            <w:tcW w:w="2906" w:type="dxa"/>
            <w:tcBorders>
              <w:top w:val="single" w:sz="4" w:space="0" w:color="auto"/>
              <w:bottom w:val="single" w:sz="4" w:space="0" w:color="auto"/>
            </w:tcBorders>
            <w:shd w:val="clear" w:color="auto" w:fill="auto"/>
            <w:noWrap/>
            <w:vAlign w:val="center"/>
          </w:tcPr>
          <w:p w14:paraId="5D6D7C8E" w14:textId="40BD72B7" w:rsidR="00697D30" w:rsidRPr="0065693B" w:rsidRDefault="00697D30" w:rsidP="004E211F">
            <w:pPr>
              <w:jc w:val="center"/>
              <w:rPr>
                <w:sz w:val="20"/>
              </w:rPr>
            </w:pPr>
            <w:r w:rsidRPr="0065693B">
              <w:rPr>
                <w:sz w:val="20"/>
              </w:rPr>
              <w:t>3,9</w:t>
            </w:r>
            <w:r w:rsidR="00A860BD" w:rsidRPr="0065693B">
              <w:rPr>
                <w:sz w:val="20"/>
              </w:rPr>
              <w:t>.10</w:t>
            </w:r>
            <w:r w:rsidR="00A860BD" w:rsidRPr="00A860BD">
              <w:rPr>
                <w:sz w:val="20"/>
                <w:vertAlign w:val="superscript"/>
              </w:rPr>
              <w:t>-2</w:t>
            </w:r>
          </w:p>
        </w:tc>
      </w:tr>
      <w:tr w:rsidR="0065693B" w:rsidRPr="0065693B" w14:paraId="409D7FF5" w14:textId="77777777" w:rsidTr="004334CE">
        <w:trPr>
          <w:trHeight w:val="123"/>
        </w:trPr>
        <w:tc>
          <w:tcPr>
            <w:tcW w:w="1630" w:type="dxa"/>
            <w:gridSpan w:val="2"/>
            <w:tcBorders>
              <w:top w:val="single" w:sz="4" w:space="0" w:color="auto"/>
              <w:bottom w:val="single" w:sz="4" w:space="0" w:color="auto"/>
            </w:tcBorders>
            <w:shd w:val="clear" w:color="auto" w:fill="D9D9D9" w:themeFill="background1" w:themeFillShade="D9"/>
            <w:noWrap/>
            <w:vAlign w:val="center"/>
            <w:hideMark/>
          </w:tcPr>
          <w:p w14:paraId="3EFEF153" w14:textId="77777777" w:rsidR="00697D30" w:rsidRPr="0065693B" w:rsidRDefault="00697D30" w:rsidP="004E211F">
            <w:pPr>
              <w:rPr>
                <w:sz w:val="20"/>
              </w:rPr>
            </w:pPr>
            <w:r w:rsidRPr="0065693B">
              <w:rPr>
                <w:sz w:val="20"/>
              </w:rPr>
              <w:t>16 C*</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557CD6C4" w14:textId="77777777" w:rsidR="00697D30" w:rsidRPr="0065693B" w:rsidRDefault="00697D30" w:rsidP="004E211F">
            <w:pPr>
              <w:jc w:val="center"/>
              <w:rPr>
                <w:sz w:val="20"/>
              </w:rPr>
            </w:pPr>
            <w:r w:rsidRPr="0065693B">
              <w:rPr>
                <w:sz w:val="20"/>
              </w:rPr>
              <w:t>1,75</w:t>
            </w:r>
          </w:p>
        </w:tc>
        <w:tc>
          <w:tcPr>
            <w:tcW w:w="1559" w:type="dxa"/>
            <w:tcBorders>
              <w:top w:val="single" w:sz="4" w:space="0" w:color="auto"/>
              <w:bottom w:val="single" w:sz="4" w:space="0" w:color="auto"/>
            </w:tcBorders>
            <w:shd w:val="clear" w:color="auto" w:fill="D9D9D9" w:themeFill="background1" w:themeFillShade="D9"/>
            <w:noWrap/>
            <w:vAlign w:val="center"/>
            <w:hideMark/>
          </w:tcPr>
          <w:p w14:paraId="31480056" w14:textId="77777777" w:rsidR="00697D30" w:rsidRPr="0065693B" w:rsidRDefault="00697D30" w:rsidP="004E211F">
            <w:pPr>
              <w:jc w:val="center"/>
              <w:rPr>
                <w:sz w:val="20"/>
              </w:rPr>
            </w:pPr>
            <w:r w:rsidRPr="0065693B">
              <w:rPr>
                <w:sz w:val="20"/>
              </w:rPr>
              <w:t>8,0</w:t>
            </w:r>
          </w:p>
        </w:tc>
        <w:tc>
          <w:tcPr>
            <w:tcW w:w="1985" w:type="dxa"/>
            <w:tcBorders>
              <w:top w:val="single" w:sz="4" w:space="0" w:color="auto"/>
              <w:bottom w:val="single" w:sz="4" w:space="0" w:color="auto"/>
            </w:tcBorders>
            <w:shd w:val="clear" w:color="auto" w:fill="D9D9D9" w:themeFill="background1" w:themeFillShade="D9"/>
            <w:noWrap/>
            <w:vAlign w:val="center"/>
            <w:hideMark/>
          </w:tcPr>
          <w:p w14:paraId="3241A2A2" w14:textId="77777777" w:rsidR="00697D30" w:rsidRPr="0065693B" w:rsidRDefault="00697D30" w:rsidP="004E211F">
            <w:pPr>
              <w:jc w:val="center"/>
              <w:rPr>
                <w:sz w:val="20"/>
              </w:rPr>
            </w:pPr>
            <w:r w:rsidRPr="0065693B">
              <w:rPr>
                <w:sz w:val="20"/>
              </w:rPr>
              <w:t>150</w:t>
            </w:r>
          </w:p>
        </w:tc>
        <w:tc>
          <w:tcPr>
            <w:tcW w:w="2906" w:type="dxa"/>
            <w:tcBorders>
              <w:top w:val="single" w:sz="4" w:space="0" w:color="auto"/>
              <w:bottom w:val="single" w:sz="4" w:space="0" w:color="auto"/>
            </w:tcBorders>
            <w:shd w:val="clear" w:color="auto" w:fill="D9D9D9" w:themeFill="background1" w:themeFillShade="D9"/>
            <w:noWrap/>
            <w:vAlign w:val="center"/>
          </w:tcPr>
          <w:p w14:paraId="1B08EDF5" w14:textId="352932E4" w:rsidR="00697D30" w:rsidRPr="0065693B" w:rsidRDefault="00697D30" w:rsidP="004E211F">
            <w:pPr>
              <w:jc w:val="center"/>
              <w:rPr>
                <w:sz w:val="20"/>
              </w:rPr>
            </w:pPr>
            <w:r w:rsidRPr="0065693B">
              <w:rPr>
                <w:sz w:val="20"/>
              </w:rPr>
              <w:t>3,6</w:t>
            </w:r>
            <w:r w:rsidR="00A860BD" w:rsidRPr="0065693B">
              <w:rPr>
                <w:sz w:val="20"/>
              </w:rPr>
              <w:t>.10</w:t>
            </w:r>
            <w:r w:rsidR="00A860BD" w:rsidRPr="00A860BD">
              <w:rPr>
                <w:sz w:val="20"/>
                <w:vertAlign w:val="superscript"/>
              </w:rPr>
              <w:t>-2</w:t>
            </w:r>
          </w:p>
        </w:tc>
      </w:tr>
    </w:tbl>
    <w:p w14:paraId="7542BD6E" w14:textId="77777777" w:rsidR="00697D30" w:rsidRPr="0065693B" w:rsidRDefault="00697D30" w:rsidP="00697D30">
      <w:pPr>
        <w:rPr>
          <w:sz w:val="20"/>
          <w:lang w:val="en-US"/>
        </w:rPr>
      </w:pPr>
      <w:r w:rsidRPr="0065693B">
        <w:rPr>
          <w:sz w:val="20"/>
          <w:lang w:val="en-US"/>
        </w:rPr>
        <w:t>* C - Refers to the central point of the CCRD.</w:t>
      </w:r>
    </w:p>
    <w:p w14:paraId="1C6A2697" w14:textId="77777777" w:rsidR="00697D30" w:rsidRPr="0065693B" w:rsidRDefault="00697D30" w:rsidP="00697D30">
      <w:pPr>
        <w:rPr>
          <w:sz w:val="20"/>
          <w:lang w:val="en-US"/>
        </w:rPr>
      </w:pPr>
      <w:r w:rsidRPr="0065693B">
        <w:rPr>
          <w:sz w:val="20"/>
          <w:lang w:val="en-US"/>
        </w:rPr>
        <w:t>** Used for pH adjustment.</w:t>
      </w:r>
    </w:p>
    <w:p w14:paraId="2F572BA0" w14:textId="77777777" w:rsidR="00697D30" w:rsidRPr="0065693B" w:rsidRDefault="00697D30" w:rsidP="00697D30">
      <w:pPr>
        <w:rPr>
          <w:sz w:val="20"/>
          <w:lang w:val="en-US"/>
        </w:rPr>
      </w:pPr>
      <w:r w:rsidRPr="0065693B">
        <w:rPr>
          <w:sz w:val="20"/>
          <w:lang w:val="en-US"/>
        </w:rPr>
        <w:t>*** Nitric acid 65 % for pH adjustment - acidification of the solution.</w:t>
      </w:r>
    </w:p>
    <w:p w14:paraId="3E315884" w14:textId="77777777" w:rsidR="00697D30" w:rsidRPr="0065693B" w:rsidRDefault="00697D30" w:rsidP="00697D30">
      <w:pPr>
        <w:rPr>
          <w:sz w:val="20"/>
          <w:lang w:val="en-US"/>
        </w:rPr>
      </w:pPr>
    </w:p>
    <w:p w14:paraId="4368271E" w14:textId="2C11C69F" w:rsidR="000063E3" w:rsidRPr="0065693B" w:rsidRDefault="000063E3" w:rsidP="000063E3">
      <w:pPr>
        <w:ind w:firstLine="720"/>
        <w:jc w:val="both"/>
        <w:rPr>
          <w:sz w:val="20"/>
          <w:lang w:val="en-US"/>
        </w:rPr>
      </w:pPr>
      <w:r w:rsidRPr="0065693B">
        <w:rPr>
          <w:sz w:val="20"/>
          <w:lang w:val="en-US"/>
        </w:rPr>
        <w:t xml:space="preserve">In addition to this high removal obtained that extends the value range of uranium in solution, the difference between predicted and observed values ​​can be attributed to analytical uncertainties, sampling variations and technicians who performed the analyzes, in addition to the instrumental uncertainty inherent in the glassware, pipettes and instrument used to carry out the determination of uranium in solution. In </w:t>
      </w:r>
      <w:r w:rsidR="005F3489">
        <w:rPr>
          <w:sz w:val="20"/>
          <w:lang w:val="en-US"/>
        </w:rPr>
        <w:t>Figure 1 i</w:t>
      </w:r>
      <w:r w:rsidRPr="0065693B">
        <w:rPr>
          <w:sz w:val="20"/>
          <w:lang w:val="en-US"/>
        </w:rPr>
        <w:t>t is possible see the observed vs. predicted values.</w:t>
      </w:r>
    </w:p>
    <w:p w14:paraId="4258ADC7" w14:textId="5F0F8DAC" w:rsidR="000063E3" w:rsidRPr="0065693B" w:rsidRDefault="000063E3" w:rsidP="00DD4AC5">
      <w:pPr>
        <w:ind w:firstLine="720"/>
        <w:jc w:val="both"/>
        <w:rPr>
          <w:sz w:val="20"/>
          <w:lang w:val="en-US"/>
        </w:rPr>
      </w:pPr>
    </w:p>
    <w:p w14:paraId="57B8C6AA" w14:textId="77777777" w:rsidR="000063E3" w:rsidRPr="0065693B" w:rsidRDefault="000063E3" w:rsidP="000063E3">
      <w:pPr>
        <w:rPr>
          <w:szCs w:val="24"/>
          <w:lang w:val="en-US"/>
        </w:rPr>
      </w:pPr>
    </w:p>
    <w:p w14:paraId="66AA54A0" w14:textId="77777777" w:rsidR="000063E3" w:rsidRPr="0065693B" w:rsidRDefault="000063E3" w:rsidP="000063E3">
      <w:pPr>
        <w:rPr>
          <w:szCs w:val="24"/>
          <w:lang w:val="en-US"/>
        </w:rPr>
      </w:pPr>
    </w:p>
    <w:p w14:paraId="2F7D7B68" w14:textId="77777777" w:rsidR="000063E3" w:rsidRPr="0065693B" w:rsidRDefault="000063E3" w:rsidP="000063E3">
      <w:pPr>
        <w:jc w:val="center"/>
        <w:rPr>
          <w:szCs w:val="24"/>
        </w:rPr>
      </w:pPr>
      <w:r w:rsidRPr="0065693B">
        <w:rPr>
          <w:noProof/>
          <w:szCs w:val="24"/>
        </w:rPr>
        <w:drawing>
          <wp:inline distT="0" distB="0" distL="0" distR="0" wp14:anchorId="41B03D76" wp14:editId="2132A1E6">
            <wp:extent cx="3741059" cy="2466975"/>
            <wp:effectExtent l="0" t="0" r="0" b="0"/>
            <wp:docPr id="9" name="Imagem 1" descr="Gráfico, Gráfico de dispersão&#10;&#10;Descrição gerada automaticamente">
              <a:extLst xmlns:a="http://schemas.openxmlformats.org/drawingml/2006/main">
                <a:ext uri="{FF2B5EF4-FFF2-40B4-BE49-F238E27FC236}">
                  <a16:creationId xmlns:a16="http://schemas.microsoft.com/office/drawing/2014/main" id="{C323DAAD-BCB2-4FA7-8322-25B3A2FB69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 descr="Gráfico, Gráfico de dispersão&#10;&#10;Descrição gerada automaticamente">
                      <a:extLst>
                        <a:ext uri="{FF2B5EF4-FFF2-40B4-BE49-F238E27FC236}">
                          <a16:creationId xmlns:a16="http://schemas.microsoft.com/office/drawing/2014/main" id="{C323DAAD-BCB2-4FA7-8322-25B3A2FB6945}"/>
                        </a:ext>
                      </a:extLst>
                    </pic:cNvPr>
                    <pic:cNvPicPr>
                      <a:picLocks noChangeAspect="1"/>
                    </pic:cNvPicPr>
                  </pic:nvPicPr>
                  <pic:blipFill rotWithShape="1">
                    <a:blip r:embed="rId12"/>
                    <a:srcRect l="9371" t="23299" r="37548" b="14442"/>
                    <a:stretch/>
                  </pic:blipFill>
                  <pic:spPr bwMode="auto">
                    <a:xfrm>
                      <a:off x="0" y="0"/>
                      <a:ext cx="3770244" cy="2486221"/>
                    </a:xfrm>
                    <a:prstGeom prst="rect">
                      <a:avLst/>
                    </a:prstGeom>
                    <a:ln>
                      <a:noFill/>
                    </a:ln>
                    <a:extLst>
                      <a:ext uri="{53640926-AAD7-44D8-BBD7-CCE9431645EC}">
                        <a14:shadowObscured xmlns:a14="http://schemas.microsoft.com/office/drawing/2010/main"/>
                      </a:ext>
                    </a:extLst>
                  </pic:spPr>
                </pic:pic>
              </a:graphicData>
            </a:graphic>
          </wp:inline>
        </w:drawing>
      </w:r>
    </w:p>
    <w:p w14:paraId="7BF4133A" w14:textId="469481FD" w:rsidR="000063E3" w:rsidRPr="0065693B" w:rsidRDefault="000063E3" w:rsidP="000063E3">
      <w:pPr>
        <w:rPr>
          <w:szCs w:val="24"/>
          <w:lang w:val="en-US"/>
        </w:rPr>
      </w:pPr>
      <w:bookmarkStart w:id="3" w:name="_Ref72836424"/>
      <w:bookmarkStart w:id="4" w:name="_Toc74347817"/>
      <w:bookmarkStart w:id="5" w:name="_Toc74421331"/>
      <w:bookmarkStart w:id="6" w:name="_Toc75705297"/>
      <w:r w:rsidRPr="0065693B">
        <w:rPr>
          <w:szCs w:val="24"/>
          <w:lang w:val="en-US"/>
        </w:rPr>
        <w:t xml:space="preserve">FIG 1. </w:t>
      </w:r>
      <w:r w:rsidRPr="0065693B">
        <w:rPr>
          <w:i/>
          <w:iCs/>
          <w:szCs w:val="24"/>
          <w:lang w:val="en-US"/>
        </w:rPr>
        <w:t>Observed vs. predicted values.</w:t>
      </w:r>
      <w:bookmarkEnd w:id="3"/>
      <w:bookmarkEnd w:id="4"/>
      <w:bookmarkEnd w:id="5"/>
      <w:bookmarkEnd w:id="6"/>
    </w:p>
    <w:p w14:paraId="5D929F17" w14:textId="77777777" w:rsidR="000063E3" w:rsidRPr="0065693B" w:rsidRDefault="000063E3" w:rsidP="000063E3">
      <w:pPr>
        <w:rPr>
          <w:szCs w:val="24"/>
          <w:lang w:val="en-US"/>
        </w:rPr>
      </w:pPr>
    </w:p>
    <w:p w14:paraId="1F57B950" w14:textId="239921FD" w:rsidR="00E148C1" w:rsidRPr="0065693B" w:rsidRDefault="00E148C1" w:rsidP="00E148C1">
      <w:pPr>
        <w:ind w:firstLine="720"/>
        <w:jc w:val="both"/>
        <w:rPr>
          <w:sz w:val="20"/>
          <w:lang w:val="en-US"/>
        </w:rPr>
      </w:pPr>
      <w:r w:rsidRPr="0065693B">
        <w:rPr>
          <w:sz w:val="20"/>
          <w:lang w:val="en-US"/>
        </w:rPr>
        <w:t xml:space="preserve">In </w:t>
      </w:r>
      <w:r w:rsidR="005F3489">
        <w:rPr>
          <w:sz w:val="20"/>
          <w:lang w:val="en-US"/>
        </w:rPr>
        <w:t>Figure 2,</w:t>
      </w:r>
      <w:r w:rsidRPr="0065693B">
        <w:rPr>
          <w:sz w:val="20"/>
          <w:lang w:val="en-US"/>
        </w:rPr>
        <w:t xml:space="preserve"> it is possible to observe the normal probability distribution of the residues and that they are close and well distributed in relation to the line, which is a good sign for the model applied in this study.</w:t>
      </w:r>
    </w:p>
    <w:p w14:paraId="35A12DA1" w14:textId="77777777" w:rsidR="000063E3" w:rsidRPr="0065693B" w:rsidRDefault="000063E3" w:rsidP="000063E3">
      <w:pPr>
        <w:rPr>
          <w:szCs w:val="24"/>
          <w:lang w:val="en-US"/>
        </w:rPr>
      </w:pPr>
    </w:p>
    <w:p w14:paraId="03603B34" w14:textId="77777777" w:rsidR="000063E3" w:rsidRPr="0065693B" w:rsidRDefault="000063E3" w:rsidP="000063E3">
      <w:pPr>
        <w:jc w:val="center"/>
        <w:rPr>
          <w:szCs w:val="24"/>
        </w:rPr>
      </w:pPr>
      <w:r w:rsidRPr="0065693B">
        <w:rPr>
          <w:noProof/>
          <w:szCs w:val="24"/>
        </w:rPr>
        <w:lastRenderedPageBreak/>
        <w:drawing>
          <wp:inline distT="0" distB="0" distL="0" distR="0" wp14:anchorId="2E79B9B7" wp14:editId="0ED66E0F">
            <wp:extent cx="3758860" cy="2438906"/>
            <wp:effectExtent l="0" t="0" r="0" b="0"/>
            <wp:docPr id="12" name="Imagem 8" descr="Gráfico&#10;&#10;Descrição gerada automaticamente">
              <a:extLst xmlns:a="http://schemas.openxmlformats.org/drawingml/2006/main">
                <a:ext uri="{FF2B5EF4-FFF2-40B4-BE49-F238E27FC236}">
                  <a16:creationId xmlns:a16="http://schemas.microsoft.com/office/drawing/2014/main" id="{3635F231-AF63-42AA-93CE-90B0DACB05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8" descr="Gráfico&#10;&#10;Descrição gerada automaticamente">
                      <a:extLst>
                        <a:ext uri="{FF2B5EF4-FFF2-40B4-BE49-F238E27FC236}">
                          <a16:creationId xmlns:a16="http://schemas.microsoft.com/office/drawing/2014/main" id="{3635F231-AF63-42AA-93CE-90B0DACB05AC}"/>
                        </a:ext>
                      </a:extLst>
                    </pic:cNvPr>
                    <pic:cNvPicPr>
                      <a:picLocks noChangeAspect="1"/>
                    </pic:cNvPicPr>
                  </pic:nvPicPr>
                  <pic:blipFill rotWithShape="1">
                    <a:blip r:embed="rId13"/>
                    <a:srcRect l="9664" t="23401" r="36815" b="14834"/>
                    <a:stretch/>
                  </pic:blipFill>
                  <pic:spPr bwMode="auto">
                    <a:xfrm>
                      <a:off x="0" y="0"/>
                      <a:ext cx="3789831" cy="2459001"/>
                    </a:xfrm>
                    <a:prstGeom prst="rect">
                      <a:avLst/>
                    </a:prstGeom>
                    <a:ln>
                      <a:noFill/>
                    </a:ln>
                    <a:extLst>
                      <a:ext uri="{53640926-AAD7-44D8-BBD7-CCE9431645EC}">
                        <a14:shadowObscured xmlns:a14="http://schemas.microsoft.com/office/drawing/2010/main"/>
                      </a:ext>
                    </a:extLst>
                  </pic:spPr>
                </pic:pic>
              </a:graphicData>
            </a:graphic>
          </wp:inline>
        </w:drawing>
      </w:r>
    </w:p>
    <w:p w14:paraId="1DCBF8D5" w14:textId="7033EA5C" w:rsidR="000063E3" w:rsidRPr="0065693B" w:rsidRDefault="00E148C1" w:rsidP="00E148C1">
      <w:pPr>
        <w:rPr>
          <w:szCs w:val="24"/>
          <w:lang w:val="en-US"/>
        </w:rPr>
      </w:pPr>
      <w:bookmarkStart w:id="7" w:name="_Toc74347818"/>
      <w:bookmarkStart w:id="8" w:name="_Toc74421332"/>
      <w:bookmarkStart w:id="9" w:name="_Toc75705298"/>
      <w:r w:rsidRPr="0065693B">
        <w:rPr>
          <w:szCs w:val="24"/>
          <w:lang w:val="en-US"/>
        </w:rPr>
        <w:t xml:space="preserve">FIG 2. </w:t>
      </w:r>
      <w:r w:rsidR="000063E3" w:rsidRPr="0065693B">
        <w:rPr>
          <w:szCs w:val="24"/>
          <w:lang w:val="en-US"/>
        </w:rPr>
        <w:t xml:space="preserve"> </w:t>
      </w:r>
      <w:r w:rsidR="000063E3" w:rsidRPr="0065693B">
        <w:rPr>
          <w:i/>
          <w:iCs/>
          <w:szCs w:val="24"/>
          <w:lang w:val="en-US"/>
        </w:rPr>
        <w:t>Normal probability distribution of the residuals.</w:t>
      </w:r>
      <w:bookmarkEnd w:id="7"/>
      <w:bookmarkEnd w:id="8"/>
      <w:bookmarkEnd w:id="9"/>
    </w:p>
    <w:p w14:paraId="3515CD09" w14:textId="77777777" w:rsidR="000063E3" w:rsidRPr="0065693B" w:rsidRDefault="000063E3" w:rsidP="000063E3">
      <w:pPr>
        <w:rPr>
          <w:szCs w:val="24"/>
          <w:lang w:val="en-US"/>
        </w:rPr>
      </w:pPr>
    </w:p>
    <w:p w14:paraId="66E76FCC" w14:textId="77777777" w:rsidR="000063E3" w:rsidRPr="0065693B" w:rsidRDefault="000063E3" w:rsidP="00DD4AC5">
      <w:pPr>
        <w:ind w:firstLine="720"/>
        <w:jc w:val="both"/>
        <w:rPr>
          <w:sz w:val="20"/>
          <w:lang w:val="en-US"/>
        </w:rPr>
      </w:pPr>
    </w:p>
    <w:p w14:paraId="7D92A743" w14:textId="77777777" w:rsidR="00697D30" w:rsidRPr="0065693B" w:rsidRDefault="00697D30" w:rsidP="006B392A">
      <w:pPr>
        <w:ind w:firstLine="720"/>
        <w:jc w:val="both"/>
        <w:rPr>
          <w:sz w:val="20"/>
          <w:lang w:val="en-US"/>
        </w:rPr>
      </w:pPr>
      <w:r w:rsidRPr="0065693B">
        <w:rPr>
          <w:sz w:val="20"/>
          <w:lang w:val="en-US"/>
        </w:rPr>
        <w:t>Even with the best condition obtained, the treated uranyl nitrate solution is not found within the limit recommended by the regulator in the licensing of the nuclear installation, which is 5.10</w:t>
      </w:r>
      <w:r w:rsidRPr="0065693B">
        <w:rPr>
          <w:sz w:val="20"/>
          <w:vertAlign w:val="superscript"/>
          <w:lang w:val="en-US"/>
        </w:rPr>
        <w:t>-3</w:t>
      </w:r>
      <w:r w:rsidRPr="0065693B">
        <w:rPr>
          <w:sz w:val="20"/>
          <w:lang w:val="en-US"/>
        </w:rPr>
        <w:t xml:space="preserve"> g∙L</w:t>
      </w:r>
      <w:r w:rsidRPr="0065693B">
        <w:rPr>
          <w:sz w:val="20"/>
          <w:vertAlign w:val="superscript"/>
          <w:lang w:val="en-US"/>
        </w:rPr>
        <w:t>-1</w:t>
      </w:r>
      <w:r w:rsidRPr="0065693B">
        <w:rPr>
          <w:sz w:val="20"/>
          <w:lang w:val="en-US"/>
        </w:rPr>
        <w:t xml:space="preserve"> for uranium in solution. Thus, it will be necessary to carry out another stage of precipitation, now with lime to reach this limit.</w:t>
      </w:r>
    </w:p>
    <w:p w14:paraId="543B8984" w14:textId="77777777" w:rsidR="00697D30" w:rsidRPr="0065693B" w:rsidRDefault="00697D30" w:rsidP="007A67CA">
      <w:pPr>
        <w:pStyle w:val="Ttulo2"/>
        <w:numPr>
          <w:ilvl w:val="1"/>
          <w:numId w:val="6"/>
        </w:numPr>
        <w:rPr>
          <w:b/>
          <w:bCs/>
          <w:spacing w:val="5"/>
          <w:lang w:val="en-US"/>
        </w:rPr>
      </w:pPr>
      <w:r w:rsidRPr="0065693B">
        <w:t>Conclusions</w:t>
      </w:r>
    </w:p>
    <w:p w14:paraId="1CD7BF86" w14:textId="77777777" w:rsidR="00697D30" w:rsidRPr="0065693B" w:rsidRDefault="00697D30" w:rsidP="006B392A">
      <w:pPr>
        <w:ind w:firstLine="720"/>
        <w:jc w:val="both"/>
        <w:rPr>
          <w:spacing w:val="2"/>
          <w:sz w:val="20"/>
          <w:lang w:val="en-US"/>
        </w:rPr>
      </w:pPr>
      <w:r w:rsidRPr="0065693B">
        <w:rPr>
          <w:spacing w:val="2"/>
          <w:sz w:val="20"/>
          <w:lang w:val="en-US"/>
        </w:rPr>
        <w:t>Through experimental planning by CCRD, it is possible to confirm that hydrogen peroxide and lime bring satisfactory results in uranium precipitation. With the experiment planning tool, it was possible to optimize this treatment, aiming to generate the minimum amount of waste, the lowest possible use of reagents, gain in operational time, and mainly, to define the best treatment condition for the uranyl nitrate solution, obtaining the highest precipitation. possible uranium to remove this element from the solution and return this precipitate to the production of UO</w:t>
      </w:r>
      <w:r w:rsidRPr="0065693B">
        <w:rPr>
          <w:spacing w:val="2"/>
          <w:sz w:val="20"/>
          <w:vertAlign w:val="subscript"/>
          <w:lang w:val="en-US"/>
        </w:rPr>
        <w:t>2</w:t>
      </w:r>
      <w:r w:rsidRPr="0065693B">
        <w:rPr>
          <w:spacing w:val="2"/>
          <w:sz w:val="20"/>
          <w:lang w:val="en-US"/>
        </w:rPr>
        <w:t xml:space="preserve"> powders and pellets.</w:t>
      </w:r>
    </w:p>
    <w:p w14:paraId="3C212BC6" w14:textId="63B6F0EC" w:rsidR="004334CE" w:rsidRPr="0065693B" w:rsidRDefault="00697D30" w:rsidP="00190903">
      <w:pPr>
        <w:ind w:firstLine="720"/>
        <w:jc w:val="both"/>
        <w:rPr>
          <w:spacing w:val="2"/>
          <w:sz w:val="20"/>
          <w:lang w:val="en-US"/>
        </w:rPr>
      </w:pPr>
      <w:r w:rsidRPr="0065693B">
        <w:rPr>
          <w:spacing w:val="2"/>
          <w:sz w:val="20"/>
          <w:lang w:val="en-US"/>
        </w:rPr>
        <w:t xml:space="preserve">As a result, maximum removal was achieved by precipitation with 50 % </w:t>
      </w:r>
      <w:r w:rsidR="00190903" w:rsidRPr="0065693B">
        <w:rPr>
          <w:spacing w:val="2"/>
          <w:sz w:val="20"/>
          <w:lang w:val="en-US"/>
        </w:rPr>
        <w:t>H</w:t>
      </w:r>
      <w:r w:rsidR="00190903" w:rsidRPr="0065693B">
        <w:rPr>
          <w:spacing w:val="2"/>
          <w:sz w:val="20"/>
          <w:vertAlign w:val="subscript"/>
          <w:lang w:val="en-US"/>
        </w:rPr>
        <w:t>2</w:t>
      </w:r>
      <w:r w:rsidR="00190903" w:rsidRPr="0065693B">
        <w:rPr>
          <w:spacing w:val="2"/>
          <w:sz w:val="20"/>
          <w:lang w:val="en-US"/>
        </w:rPr>
        <w:t>O</w:t>
      </w:r>
      <w:r w:rsidR="00190903" w:rsidRPr="0065693B">
        <w:rPr>
          <w:spacing w:val="2"/>
          <w:sz w:val="20"/>
          <w:vertAlign w:val="subscript"/>
          <w:lang w:val="en-US"/>
        </w:rPr>
        <w:t>2</w:t>
      </w:r>
      <w:r w:rsidR="00190903" w:rsidRPr="0065693B">
        <w:rPr>
          <w:spacing w:val="2"/>
          <w:sz w:val="20"/>
          <w:lang w:val="en-US"/>
        </w:rPr>
        <w:t xml:space="preserve"> a</w:t>
      </w:r>
      <w:r w:rsidRPr="0065693B">
        <w:rPr>
          <w:spacing w:val="2"/>
          <w:sz w:val="20"/>
          <w:lang w:val="en-US"/>
        </w:rPr>
        <w:t xml:space="preserve">t </w:t>
      </w:r>
      <w:r w:rsidR="006B392A" w:rsidRPr="0065693B">
        <w:rPr>
          <w:spacing w:val="2"/>
          <w:sz w:val="20"/>
          <w:lang w:val="en-US"/>
        </w:rPr>
        <w:t>200</w:t>
      </w:r>
      <w:r w:rsidRPr="0065693B">
        <w:rPr>
          <w:spacing w:val="2"/>
          <w:sz w:val="20"/>
          <w:lang w:val="en-US"/>
        </w:rPr>
        <w:t xml:space="preserve"> g∙L</w:t>
      </w:r>
      <w:r w:rsidRPr="0065693B">
        <w:rPr>
          <w:spacing w:val="2"/>
          <w:sz w:val="20"/>
          <w:vertAlign w:val="superscript"/>
          <w:lang w:val="en-US"/>
        </w:rPr>
        <w:t>-1</w:t>
      </w:r>
      <w:r w:rsidRPr="0065693B">
        <w:rPr>
          <w:spacing w:val="2"/>
          <w:sz w:val="20"/>
          <w:lang w:val="en-US"/>
        </w:rPr>
        <w:t xml:space="preserve"> in solution, pH equal to </w:t>
      </w:r>
      <w:r w:rsidR="006B392A" w:rsidRPr="0065693B">
        <w:rPr>
          <w:spacing w:val="2"/>
          <w:sz w:val="20"/>
          <w:lang w:val="en-US"/>
        </w:rPr>
        <w:t>1.75</w:t>
      </w:r>
      <w:r w:rsidRPr="0065693B">
        <w:rPr>
          <w:spacing w:val="2"/>
          <w:sz w:val="20"/>
          <w:lang w:val="en-US"/>
        </w:rPr>
        <w:t xml:space="preserve"> and a reaction time of 8 hours, where 99.</w:t>
      </w:r>
      <w:r w:rsidR="006B392A" w:rsidRPr="0065693B">
        <w:rPr>
          <w:spacing w:val="2"/>
          <w:sz w:val="20"/>
          <w:lang w:val="en-US"/>
        </w:rPr>
        <w:t>7</w:t>
      </w:r>
      <w:r w:rsidRPr="0065693B">
        <w:rPr>
          <w:spacing w:val="2"/>
          <w:sz w:val="20"/>
          <w:lang w:val="en-US"/>
        </w:rPr>
        <w:t xml:space="preserve"> % of uranium was removed in solution. Therefore, the initial solution had 13.9 g∙L</w:t>
      </w:r>
      <w:r w:rsidRPr="0065693B">
        <w:rPr>
          <w:spacing w:val="2"/>
          <w:sz w:val="20"/>
          <w:vertAlign w:val="superscript"/>
          <w:lang w:val="en-US"/>
        </w:rPr>
        <w:t>-1</w:t>
      </w:r>
      <w:r w:rsidRPr="0065693B">
        <w:rPr>
          <w:spacing w:val="2"/>
          <w:sz w:val="20"/>
          <w:lang w:val="en-US"/>
        </w:rPr>
        <w:t xml:space="preserve"> and </w:t>
      </w:r>
      <w:r w:rsidR="00953CFC" w:rsidRPr="0065693B">
        <w:rPr>
          <w:spacing w:val="2"/>
          <w:sz w:val="20"/>
          <w:lang w:val="en-US"/>
        </w:rPr>
        <w:t>36</w:t>
      </w:r>
      <w:r w:rsidRPr="0065693B">
        <w:rPr>
          <w:spacing w:val="2"/>
          <w:sz w:val="20"/>
          <w:lang w:val="en-US"/>
        </w:rPr>
        <w:t>.10</w:t>
      </w:r>
      <w:r w:rsidRPr="0065693B">
        <w:rPr>
          <w:spacing w:val="2"/>
          <w:sz w:val="20"/>
          <w:vertAlign w:val="superscript"/>
          <w:lang w:val="en-US"/>
        </w:rPr>
        <w:t>-3</w:t>
      </w:r>
      <w:r w:rsidRPr="0065693B">
        <w:rPr>
          <w:spacing w:val="2"/>
          <w:sz w:val="20"/>
          <w:lang w:val="en-US"/>
        </w:rPr>
        <w:t xml:space="preserve"> g∙L</w:t>
      </w:r>
      <w:r w:rsidRPr="0065693B">
        <w:rPr>
          <w:spacing w:val="2"/>
          <w:sz w:val="20"/>
          <w:vertAlign w:val="superscript"/>
          <w:lang w:val="en-US"/>
        </w:rPr>
        <w:t>-1</w:t>
      </w:r>
      <w:r w:rsidRPr="0065693B">
        <w:rPr>
          <w:spacing w:val="2"/>
          <w:sz w:val="20"/>
          <w:lang w:val="en-US"/>
        </w:rPr>
        <w:t xml:space="preserve"> of 5 % enriched uranium remained in solution. The uranyl peroxide precipitate can be returned for UO</w:t>
      </w:r>
      <w:r w:rsidRPr="0065693B">
        <w:rPr>
          <w:spacing w:val="2"/>
          <w:sz w:val="20"/>
          <w:vertAlign w:val="subscript"/>
          <w:lang w:val="en-US"/>
        </w:rPr>
        <w:t>2</w:t>
      </w:r>
      <w:r w:rsidRPr="0065693B">
        <w:rPr>
          <w:spacing w:val="2"/>
          <w:sz w:val="20"/>
          <w:lang w:val="en-US"/>
        </w:rPr>
        <w:t xml:space="preserve"> production. To reach the release limit, a future study will be necessary as to polish the solution with calcium oxide, thus reaching values lower than 5.10</w:t>
      </w:r>
      <w:r w:rsidRPr="0065693B">
        <w:rPr>
          <w:spacing w:val="2"/>
          <w:sz w:val="20"/>
          <w:vertAlign w:val="superscript"/>
          <w:lang w:val="en-US"/>
        </w:rPr>
        <w:t>-3</w:t>
      </w:r>
      <w:r w:rsidRPr="0065693B">
        <w:rPr>
          <w:spacing w:val="2"/>
          <w:sz w:val="20"/>
          <w:lang w:val="en-US"/>
        </w:rPr>
        <w:t xml:space="preserve"> g∙L</w:t>
      </w:r>
      <w:r w:rsidRPr="0065693B">
        <w:rPr>
          <w:spacing w:val="2"/>
          <w:sz w:val="20"/>
          <w:vertAlign w:val="superscript"/>
          <w:lang w:val="en-US"/>
        </w:rPr>
        <w:t>-1</w:t>
      </w:r>
      <w:r w:rsidRPr="0065693B">
        <w:rPr>
          <w:spacing w:val="2"/>
          <w:sz w:val="20"/>
          <w:lang w:val="en-US"/>
        </w:rPr>
        <w:t xml:space="preserve"> of uranium in solution and generating the minimum of radioactive waste.</w:t>
      </w:r>
    </w:p>
    <w:p w14:paraId="001993B4" w14:textId="77777777" w:rsidR="00953CFC" w:rsidRPr="0065693B" w:rsidRDefault="00953CFC" w:rsidP="007A67CA">
      <w:pPr>
        <w:pStyle w:val="Ttulo2"/>
        <w:numPr>
          <w:ilvl w:val="1"/>
          <w:numId w:val="6"/>
        </w:numPr>
      </w:pPr>
      <w:r w:rsidRPr="0065693B">
        <w:t>Further information</w:t>
      </w:r>
    </w:p>
    <w:p w14:paraId="6147EEB1" w14:textId="77777777" w:rsidR="008F7806" w:rsidRPr="0065693B" w:rsidRDefault="008F7806" w:rsidP="007A67CA">
      <w:pPr>
        <w:pStyle w:val="Ttulo3"/>
        <w:numPr>
          <w:ilvl w:val="2"/>
          <w:numId w:val="8"/>
        </w:numPr>
      </w:pPr>
      <w:r w:rsidRPr="0065693B">
        <w:t>Author affiliation</w:t>
      </w:r>
    </w:p>
    <w:p w14:paraId="77D4AC92" w14:textId="28F5FB09" w:rsidR="00CF097A" w:rsidRPr="0065693B" w:rsidRDefault="00FC528F" w:rsidP="00FC528F">
      <w:pPr>
        <w:ind w:firstLine="720"/>
        <w:rPr>
          <w:sz w:val="20"/>
          <w:lang w:val="pt-BR"/>
        </w:rPr>
      </w:pPr>
      <w:r w:rsidRPr="0065693B">
        <w:rPr>
          <w:sz w:val="20"/>
          <w:lang w:val="pt-BR"/>
        </w:rPr>
        <w:t>CAMPELO, EMANUELE</w:t>
      </w:r>
      <w:r w:rsidR="008F17C7" w:rsidRPr="0065693B">
        <w:rPr>
          <w:sz w:val="20"/>
          <w:lang w:val="pt-BR"/>
        </w:rPr>
        <w:t xml:space="preserve"> </w:t>
      </w:r>
      <w:r w:rsidR="00190903" w:rsidRPr="0065693B">
        <w:rPr>
          <w:sz w:val="20"/>
          <w:lang w:val="pt-BR"/>
        </w:rPr>
        <w:t xml:space="preserve">LAZZARETTI CORDOVA </w:t>
      </w:r>
      <w:r w:rsidR="008F17C7" w:rsidRPr="0065693B">
        <w:rPr>
          <w:sz w:val="20"/>
          <w:lang w:val="pt-BR"/>
        </w:rPr>
        <w:t xml:space="preserve">/ </w:t>
      </w:r>
      <w:proofErr w:type="spellStart"/>
      <w:r w:rsidR="008F17C7" w:rsidRPr="0065693B">
        <w:rPr>
          <w:sz w:val="20"/>
          <w:lang w:val="pt-BR"/>
        </w:rPr>
        <w:t>Brazilian</w:t>
      </w:r>
      <w:proofErr w:type="spellEnd"/>
      <w:r w:rsidR="008F17C7" w:rsidRPr="0065693B">
        <w:rPr>
          <w:sz w:val="20"/>
          <w:lang w:val="pt-BR"/>
        </w:rPr>
        <w:t xml:space="preserve"> Nuclear Industries</w:t>
      </w:r>
    </w:p>
    <w:p w14:paraId="3FB1206A" w14:textId="7CA57CE8" w:rsidR="00CF097A" w:rsidRPr="0065693B" w:rsidRDefault="00FC528F" w:rsidP="00FC528F">
      <w:pPr>
        <w:ind w:firstLine="720"/>
        <w:rPr>
          <w:sz w:val="20"/>
          <w:lang w:val="pt-BR"/>
        </w:rPr>
      </w:pPr>
      <w:r w:rsidRPr="0065693B">
        <w:rPr>
          <w:sz w:val="20"/>
          <w:lang w:val="pt-BR"/>
        </w:rPr>
        <w:t xml:space="preserve">FONSECA, FABIANA VALÉRIA DA </w:t>
      </w:r>
      <w:r w:rsidR="008F17C7" w:rsidRPr="0065693B">
        <w:rPr>
          <w:sz w:val="20"/>
          <w:lang w:val="pt-BR"/>
        </w:rPr>
        <w:t xml:space="preserve">/ Federal </w:t>
      </w:r>
      <w:proofErr w:type="spellStart"/>
      <w:r w:rsidR="008F17C7" w:rsidRPr="0065693B">
        <w:rPr>
          <w:sz w:val="20"/>
          <w:lang w:val="pt-BR"/>
        </w:rPr>
        <w:t>University</w:t>
      </w:r>
      <w:proofErr w:type="spellEnd"/>
      <w:r w:rsidR="008F17C7" w:rsidRPr="0065693B">
        <w:rPr>
          <w:sz w:val="20"/>
          <w:lang w:val="pt-BR"/>
        </w:rPr>
        <w:t xml:space="preserve"> </w:t>
      </w:r>
      <w:proofErr w:type="spellStart"/>
      <w:r w:rsidR="008F17C7" w:rsidRPr="0065693B">
        <w:rPr>
          <w:sz w:val="20"/>
          <w:lang w:val="pt-BR"/>
        </w:rPr>
        <w:t>of</w:t>
      </w:r>
      <w:proofErr w:type="spellEnd"/>
      <w:r w:rsidR="008F17C7" w:rsidRPr="0065693B">
        <w:rPr>
          <w:sz w:val="20"/>
          <w:lang w:val="pt-BR"/>
        </w:rPr>
        <w:t xml:space="preserve"> Rio de Janeiro</w:t>
      </w:r>
    </w:p>
    <w:p w14:paraId="4F04A383" w14:textId="343314F9" w:rsidR="00CF097A" w:rsidRPr="0065693B" w:rsidRDefault="00FC528F" w:rsidP="00FC528F">
      <w:pPr>
        <w:ind w:firstLine="720"/>
        <w:rPr>
          <w:sz w:val="20"/>
          <w:lang w:val="pt-BR"/>
        </w:rPr>
      </w:pPr>
      <w:r w:rsidRPr="0065693B">
        <w:rPr>
          <w:sz w:val="20"/>
          <w:lang w:val="pt-BR"/>
        </w:rPr>
        <w:t xml:space="preserve">ANDRADE MEDRONHO, RICARDO DE / </w:t>
      </w:r>
      <w:r w:rsidR="008F17C7" w:rsidRPr="0065693B">
        <w:rPr>
          <w:sz w:val="20"/>
          <w:lang w:val="pt-BR"/>
        </w:rPr>
        <w:t xml:space="preserve">Federal </w:t>
      </w:r>
      <w:proofErr w:type="spellStart"/>
      <w:r w:rsidR="008F17C7" w:rsidRPr="0065693B">
        <w:rPr>
          <w:sz w:val="20"/>
          <w:lang w:val="pt-BR"/>
        </w:rPr>
        <w:t>University</w:t>
      </w:r>
      <w:proofErr w:type="spellEnd"/>
      <w:r w:rsidR="008F17C7" w:rsidRPr="0065693B">
        <w:rPr>
          <w:sz w:val="20"/>
          <w:lang w:val="pt-BR"/>
        </w:rPr>
        <w:t xml:space="preserve"> </w:t>
      </w:r>
      <w:proofErr w:type="spellStart"/>
      <w:r w:rsidR="008F17C7" w:rsidRPr="0065693B">
        <w:rPr>
          <w:sz w:val="20"/>
          <w:lang w:val="pt-BR"/>
        </w:rPr>
        <w:t>of</w:t>
      </w:r>
      <w:proofErr w:type="spellEnd"/>
      <w:r w:rsidR="008F17C7" w:rsidRPr="0065693B">
        <w:rPr>
          <w:sz w:val="20"/>
          <w:lang w:val="pt-BR"/>
        </w:rPr>
        <w:t xml:space="preserve"> Rio de Janeiro</w:t>
      </w:r>
    </w:p>
    <w:p w14:paraId="4743AA21" w14:textId="5689D976" w:rsidR="00CF097A" w:rsidRPr="0065693B" w:rsidRDefault="00FC528F" w:rsidP="00FC528F">
      <w:pPr>
        <w:ind w:firstLine="720"/>
        <w:rPr>
          <w:sz w:val="20"/>
          <w:lang w:val="pt-BR"/>
        </w:rPr>
      </w:pPr>
      <w:r w:rsidRPr="0065693B">
        <w:rPr>
          <w:sz w:val="20"/>
          <w:lang w:val="pt-BR"/>
        </w:rPr>
        <w:t xml:space="preserve">PEREIRA, WAGNER / </w:t>
      </w:r>
      <w:r w:rsidR="00595F11" w:rsidRPr="0065693B">
        <w:rPr>
          <w:sz w:val="20"/>
          <w:lang w:val="pt-BR"/>
        </w:rPr>
        <w:t xml:space="preserve">Federal </w:t>
      </w:r>
      <w:proofErr w:type="spellStart"/>
      <w:r w:rsidR="00595F11" w:rsidRPr="0065693B">
        <w:rPr>
          <w:sz w:val="20"/>
          <w:lang w:val="pt-BR"/>
        </w:rPr>
        <w:t>University</w:t>
      </w:r>
      <w:proofErr w:type="spellEnd"/>
      <w:r w:rsidR="00595F11" w:rsidRPr="0065693B">
        <w:rPr>
          <w:sz w:val="20"/>
          <w:lang w:val="pt-BR"/>
        </w:rPr>
        <w:t xml:space="preserve"> </w:t>
      </w:r>
      <w:proofErr w:type="spellStart"/>
      <w:r w:rsidR="00595F11" w:rsidRPr="0065693B">
        <w:rPr>
          <w:sz w:val="20"/>
          <w:lang w:val="pt-BR"/>
        </w:rPr>
        <w:t>of</w:t>
      </w:r>
      <w:proofErr w:type="spellEnd"/>
      <w:r w:rsidR="00595F11" w:rsidRPr="0065693B">
        <w:rPr>
          <w:sz w:val="20"/>
          <w:lang w:val="pt-BR"/>
        </w:rPr>
        <w:t xml:space="preserve"> Rio de Janeiro</w:t>
      </w:r>
    </w:p>
    <w:p w14:paraId="6900A814" w14:textId="21587AB2" w:rsidR="008F7806" w:rsidRPr="0065693B" w:rsidRDefault="00FC528F" w:rsidP="00FC528F">
      <w:pPr>
        <w:ind w:firstLine="720"/>
        <w:rPr>
          <w:sz w:val="20"/>
          <w:lang w:val="pt-BR"/>
        </w:rPr>
      </w:pPr>
      <w:r w:rsidRPr="0065693B">
        <w:rPr>
          <w:sz w:val="20"/>
          <w:lang w:val="pt-BR"/>
        </w:rPr>
        <w:t>SANTOS, RAFAEL</w:t>
      </w:r>
      <w:r w:rsidR="009A2EBC">
        <w:rPr>
          <w:sz w:val="20"/>
          <w:lang w:val="pt-BR"/>
        </w:rPr>
        <w:t xml:space="preserve"> </w:t>
      </w:r>
      <w:r w:rsidR="009A2EBC" w:rsidRPr="0065693B">
        <w:rPr>
          <w:sz w:val="20"/>
          <w:lang w:val="pt-BR"/>
        </w:rPr>
        <w:t>DURSO DOS</w:t>
      </w:r>
      <w:r w:rsidRPr="0065693B">
        <w:rPr>
          <w:sz w:val="20"/>
          <w:lang w:val="pt-BR"/>
        </w:rPr>
        <w:t xml:space="preserve"> </w:t>
      </w:r>
      <w:r w:rsidR="008F17C7" w:rsidRPr="0065693B">
        <w:rPr>
          <w:sz w:val="20"/>
          <w:lang w:val="pt-BR"/>
        </w:rPr>
        <w:t xml:space="preserve">/ </w:t>
      </w:r>
      <w:proofErr w:type="spellStart"/>
      <w:r w:rsidR="008F17C7" w:rsidRPr="0065693B">
        <w:rPr>
          <w:sz w:val="20"/>
          <w:lang w:val="pt-BR"/>
        </w:rPr>
        <w:t>Brazilian</w:t>
      </w:r>
      <w:proofErr w:type="spellEnd"/>
      <w:r w:rsidR="008F17C7" w:rsidRPr="0065693B">
        <w:rPr>
          <w:sz w:val="20"/>
          <w:lang w:val="pt-BR"/>
        </w:rPr>
        <w:t xml:space="preserve"> Nuclear Industries </w:t>
      </w:r>
    </w:p>
    <w:p w14:paraId="005BCA93" w14:textId="593D00B9" w:rsidR="00953CFC" w:rsidRPr="0065693B" w:rsidRDefault="00953CFC" w:rsidP="00953CFC">
      <w:pPr>
        <w:pStyle w:val="Ttulo2"/>
        <w:numPr>
          <w:ilvl w:val="0"/>
          <w:numId w:val="0"/>
        </w:numPr>
        <w:jc w:val="center"/>
      </w:pPr>
      <w:r w:rsidRPr="0065693B">
        <w:t>ACKNOWLEDGEMENTS</w:t>
      </w:r>
    </w:p>
    <w:p w14:paraId="457D9E50" w14:textId="16B5D601" w:rsidR="00190903" w:rsidRPr="0065693B" w:rsidRDefault="00953CFC" w:rsidP="00953CFC">
      <w:pPr>
        <w:ind w:firstLine="720"/>
        <w:jc w:val="both"/>
        <w:rPr>
          <w:sz w:val="20"/>
          <w:lang w:val="en-US"/>
        </w:rPr>
      </w:pPr>
      <w:r w:rsidRPr="0065693B">
        <w:rPr>
          <w:sz w:val="20"/>
          <w:lang w:val="en-US"/>
        </w:rPr>
        <w:t xml:space="preserve">To Brazilian Nuclear Industries, who provided the opportunity to treat an effluent and support for carrying out the case study and carrying out the experiments, and to the team and coordination of the chemical laboratory of Brazilian Nuclear Industries for the infrastructure and assistance in the analyzes. To the supervising professors Professor Ricardo de Andrade Medronho and Professor Fabiana </w:t>
      </w:r>
      <w:proofErr w:type="spellStart"/>
      <w:r w:rsidRPr="0065693B">
        <w:rPr>
          <w:sz w:val="20"/>
          <w:lang w:val="en-US"/>
        </w:rPr>
        <w:t>Valéria</w:t>
      </w:r>
      <w:proofErr w:type="spellEnd"/>
      <w:r w:rsidRPr="0065693B">
        <w:rPr>
          <w:sz w:val="20"/>
          <w:lang w:val="en-US"/>
        </w:rPr>
        <w:t xml:space="preserve"> da Fonseca for the accompaniment and for the time dedicated to the orientation throughout this work.</w:t>
      </w:r>
    </w:p>
    <w:p w14:paraId="74ECB6FC" w14:textId="77777777" w:rsidR="00206F96" w:rsidRPr="0065693B" w:rsidRDefault="00206F96">
      <w:pPr>
        <w:overflowPunct/>
        <w:autoSpaceDE/>
        <w:autoSpaceDN/>
        <w:adjustRightInd/>
        <w:textAlignment w:val="auto"/>
        <w:rPr>
          <w:sz w:val="20"/>
          <w:lang w:val="en-US"/>
        </w:rPr>
      </w:pPr>
      <w:r w:rsidRPr="0065693B">
        <w:rPr>
          <w:sz w:val="20"/>
          <w:lang w:val="en-US"/>
        </w:rPr>
        <w:br w:type="page"/>
      </w:r>
    </w:p>
    <w:p w14:paraId="663C6522" w14:textId="5D514A78" w:rsidR="00BE28AC" w:rsidRPr="0065693B" w:rsidRDefault="00953CFC" w:rsidP="00CD0EF6">
      <w:pPr>
        <w:pStyle w:val="Ttulo2"/>
        <w:numPr>
          <w:ilvl w:val="0"/>
          <w:numId w:val="0"/>
        </w:numPr>
        <w:jc w:val="center"/>
        <w:rPr>
          <w:highlight w:val="lightGray"/>
        </w:rPr>
      </w:pPr>
      <w:r w:rsidRPr="0065693B">
        <w:lastRenderedPageBreak/>
        <w:t>References</w:t>
      </w:r>
    </w:p>
    <w:p w14:paraId="571BBFF0" w14:textId="25EB8F81" w:rsidR="00BE28AC" w:rsidRPr="00D718C8" w:rsidRDefault="00BE28AC" w:rsidP="00CD0EF6">
      <w:pPr>
        <w:pStyle w:val="Referencelist"/>
        <w:numPr>
          <w:ilvl w:val="0"/>
          <w:numId w:val="0"/>
        </w:numPr>
        <w:ind w:left="360"/>
        <w:rPr>
          <w:sz w:val="20"/>
          <w:szCs w:val="20"/>
        </w:rPr>
      </w:pPr>
      <w:r w:rsidRPr="0065693B">
        <w:rPr>
          <w:sz w:val="20"/>
          <w:szCs w:val="20"/>
        </w:rPr>
        <w:t xml:space="preserve">[1] IAEA Technical Report Series 120 – Monitoring of radioactive contamination on surfaces. </w:t>
      </w:r>
      <w:hyperlink r:id="rId14" w:history="1">
        <w:r w:rsidRPr="0065693B">
          <w:rPr>
            <w:sz w:val="20"/>
            <w:szCs w:val="20"/>
          </w:rPr>
          <w:t>https://inis.iaea.org/collection/NCLCollectionStore/_Public/02/004/2004458.pdf</w:t>
        </w:r>
      </w:hyperlink>
      <w:r w:rsidRPr="00D718C8">
        <w:rPr>
          <w:sz w:val="20"/>
          <w:szCs w:val="20"/>
        </w:rPr>
        <w:t>. Accessed 25 May 2021.</w:t>
      </w:r>
    </w:p>
    <w:p w14:paraId="1ED208BD" w14:textId="222CE1A6" w:rsidR="00BE28AC" w:rsidRPr="00D718C8" w:rsidRDefault="00BE28AC" w:rsidP="00CD0EF6">
      <w:pPr>
        <w:pStyle w:val="Referencelist"/>
        <w:numPr>
          <w:ilvl w:val="0"/>
          <w:numId w:val="0"/>
        </w:numPr>
        <w:ind w:left="360"/>
        <w:rPr>
          <w:sz w:val="20"/>
          <w:szCs w:val="20"/>
        </w:rPr>
      </w:pPr>
      <w:r w:rsidRPr="00D718C8">
        <w:rPr>
          <w:sz w:val="20"/>
          <w:szCs w:val="20"/>
        </w:rPr>
        <w:t xml:space="preserve">[2] CANTEACH – Radiation protection “Green book” – chapter 9 - </w:t>
      </w:r>
      <w:hyperlink r:id="rId15" w:history="1">
        <w:r w:rsidRPr="00D718C8">
          <w:rPr>
            <w:sz w:val="20"/>
            <w:szCs w:val="20"/>
          </w:rPr>
          <w:t>https://canteach.candu.org/Content%20Library/20031309.pdf</w:t>
        </w:r>
      </w:hyperlink>
      <w:r w:rsidRPr="00D718C8">
        <w:rPr>
          <w:sz w:val="20"/>
          <w:szCs w:val="20"/>
        </w:rPr>
        <w:t>. Accessed 25 May 2021.</w:t>
      </w:r>
    </w:p>
    <w:p w14:paraId="4F6D6FAE" w14:textId="36C38655" w:rsidR="00BE28AC" w:rsidRPr="00D718C8" w:rsidRDefault="00BE28AC" w:rsidP="00CD0EF6">
      <w:pPr>
        <w:pStyle w:val="Referencelist"/>
        <w:numPr>
          <w:ilvl w:val="0"/>
          <w:numId w:val="0"/>
        </w:numPr>
        <w:ind w:left="360"/>
        <w:rPr>
          <w:sz w:val="20"/>
          <w:szCs w:val="20"/>
        </w:rPr>
      </w:pPr>
      <w:r w:rsidRPr="00D718C8">
        <w:rPr>
          <w:sz w:val="20"/>
          <w:szCs w:val="20"/>
        </w:rPr>
        <w:t xml:space="preserve">[3] Norma CNEN NN 8.01. </w:t>
      </w:r>
      <w:hyperlink r:id="rId16" w:history="1">
        <w:r w:rsidRPr="00D718C8">
          <w:rPr>
            <w:sz w:val="20"/>
            <w:szCs w:val="20"/>
          </w:rPr>
          <w:t>http://appasp.cnen.gov.br/seguranca/normas/pdf/Nrm801.pdf</w:t>
        </w:r>
      </w:hyperlink>
      <w:r w:rsidRPr="00D718C8">
        <w:rPr>
          <w:sz w:val="20"/>
          <w:szCs w:val="20"/>
        </w:rPr>
        <w:t>.  Accessed 25 May 2021.</w:t>
      </w:r>
    </w:p>
    <w:p w14:paraId="3B6A9FED" w14:textId="6F7FCEA1" w:rsidR="00BE28AC" w:rsidRPr="00D718C8" w:rsidRDefault="00BE28AC" w:rsidP="00CD0EF6">
      <w:pPr>
        <w:pStyle w:val="Referencelist"/>
        <w:numPr>
          <w:ilvl w:val="0"/>
          <w:numId w:val="0"/>
        </w:numPr>
        <w:ind w:left="360"/>
        <w:rPr>
          <w:sz w:val="20"/>
          <w:szCs w:val="20"/>
          <w:lang w:val="en-US"/>
        </w:rPr>
      </w:pPr>
      <w:r w:rsidRPr="0065693B">
        <w:rPr>
          <w:sz w:val="20"/>
          <w:szCs w:val="20"/>
          <w:lang w:val="en-US"/>
        </w:rPr>
        <w:t xml:space="preserve">[4] Smirnov A L, </w:t>
      </w:r>
      <w:proofErr w:type="spellStart"/>
      <w:r w:rsidRPr="0065693B">
        <w:rPr>
          <w:sz w:val="20"/>
          <w:szCs w:val="20"/>
          <w:lang w:val="en-US"/>
        </w:rPr>
        <w:t>Rychkov</w:t>
      </w:r>
      <w:proofErr w:type="spellEnd"/>
      <w:r w:rsidRPr="0065693B">
        <w:rPr>
          <w:sz w:val="20"/>
          <w:szCs w:val="20"/>
          <w:lang w:val="en-US"/>
        </w:rPr>
        <w:t xml:space="preserve"> V N, </w:t>
      </w:r>
      <w:proofErr w:type="spellStart"/>
      <w:r w:rsidRPr="0065693B">
        <w:rPr>
          <w:sz w:val="20"/>
          <w:szCs w:val="20"/>
          <w:lang w:val="en-US"/>
        </w:rPr>
        <w:t>Titova</w:t>
      </w:r>
      <w:proofErr w:type="spellEnd"/>
      <w:r w:rsidRPr="0065693B">
        <w:rPr>
          <w:sz w:val="20"/>
          <w:szCs w:val="20"/>
          <w:lang w:val="en-US"/>
        </w:rPr>
        <w:t xml:space="preserve"> S M et al. </w:t>
      </w:r>
      <w:r w:rsidRPr="00D718C8">
        <w:rPr>
          <w:sz w:val="20"/>
          <w:szCs w:val="20"/>
        </w:rPr>
        <w:t xml:space="preserve">(2018) Precipitation of uranium from nitrate-sulfuric eluates by aqueous ammonia solution. J </w:t>
      </w:r>
      <w:proofErr w:type="spellStart"/>
      <w:r w:rsidRPr="00D718C8">
        <w:rPr>
          <w:sz w:val="20"/>
          <w:szCs w:val="20"/>
        </w:rPr>
        <w:t>Radioanal</w:t>
      </w:r>
      <w:proofErr w:type="spellEnd"/>
      <w:r w:rsidRPr="00D718C8">
        <w:rPr>
          <w:sz w:val="20"/>
          <w:szCs w:val="20"/>
        </w:rPr>
        <w:t xml:space="preserve"> </w:t>
      </w:r>
      <w:proofErr w:type="spellStart"/>
      <w:r w:rsidRPr="00D718C8">
        <w:rPr>
          <w:sz w:val="20"/>
          <w:szCs w:val="20"/>
        </w:rPr>
        <w:t>Nucl</w:t>
      </w:r>
      <w:proofErr w:type="spellEnd"/>
      <w:r w:rsidRPr="00D718C8">
        <w:rPr>
          <w:sz w:val="20"/>
          <w:szCs w:val="20"/>
        </w:rPr>
        <w:t xml:space="preserve"> Chem. 317:863–69</w:t>
      </w:r>
      <w:r w:rsidRPr="00D718C8">
        <w:rPr>
          <w:sz w:val="20"/>
          <w:szCs w:val="20"/>
          <w:lang w:val="en-US"/>
        </w:rPr>
        <w:t>.</w:t>
      </w:r>
    </w:p>
    <w:p w14:paraId="26E9FD09" w14:textId="2496C8E5" w:rsidR="00BE28AC" w:rsidRPr="00D718C8" w:rsidRDefault="00BE28AC" w:rsidP="00CD0EF6">
      <w:pPr>
        <w:pStyle w:val="Referencelist"/>
        <w:numPr>
          <w:ilvl w:val="0"/>
          <w:numId w:val="0"/>
        </w:numPr>
        <w:ind w:left="360"/>
        <w:rPr>
          <w:sz w:val="20"/>
          <w:szCs w:val="20"/>
        </w:rPr>
      </w:pPr>
      <w:r w:rsidRPr="00D718C8">
        <w:rPr>
          <w:sz w:val="20"/>
          <w:szCs w:val="20"/>
        </w:rPr>
        <w:t>[5] Takao K, Arakawa K, Mori T, Harada M, Ikeda Y (2015) Outer-Sphere Extraction of Uranyl (VI) from HNO3(</w:t>
      </w:r>
      <w:proofErr w:type="spellStart"/>
      <w:r w:rsidRPr="00D718C8">
        <w:rPr>
          <w:sz w:val="20"/>
          <w:szCs w:val="20"/>
        </w:rPr>
        <w:t>aq</w:t>
      </w:r>
      <w:proofErr w:type="spellEnd"/>
      <w:r w:rsidRPr="00D718C8">
        <w:rPr>
          <w:sz w:val="20"/>
          <w:szCs w:val="20"/>
        </w:rPr>
        <w:t xml:space="preserve">) to 1-Butyl-3-methylimidazolium </w:t>
      </w:r>
      <w:proofErr w:type="spellStart"/>
      <w:r w:rsidRPr="00D718C8">
        <w:rPr>
          <w:sz w:val="20"/>
          <w:szCs w:val="20"/>
        </w:rPr>
        <w:t>Nonafluorobutanesulfonate</w:t>
      </w:r>
      <w:proofErr w:type="spellEnd"/>
      <w:r w:rsidRPr="00D718C8">
        <w:rPr>
          <w:sz w:val="20"/>
          <w:szCs w:val="20"/>
        </w:rPr>
        <w:t xml:space="preserve"> Ionic Liquid −Towards Decontamination of Uranium Wastes. Bulletin of the Chemical Society of Japan. 88. </w:t>
      </w:r>
    </w:p>
    <w:p w14:paraId="19D680A9" w14:textId="050836D0" w:rsidR="00BE28AC" w:rsidRPr="00D718C8" w:rsidRDefault="00BE28AC" w:rsidP="00CD0EF6">
      <w:pPr>
        <w:pStyle w:val="Referencelist"/>
        <w:numPr>
          <w:ilvl w:val="0"/>
          <w:numId w:val="0"/>
        </w:numPr>
        <w:ind w:left="360"/>
        <w:rPr>
          <w:sz w:val="20"/>
          <w:szCs w:val="20"/>
        </w:rPr>
      </w:pPr>
      <w:r w:rsidRPr="00D718C8">
        <w:rPr>
          <w:sz w:val="20"/>
          <w:szCs w:val="20"/>
        </w:rPr>
        <w:t>[6] Chen B et al (2012) Heavy Metal and Phosphorus Removal from Waters by Optimizing Use of Calcium Hydroxide and Risk Assessment. Environment and Pollution. 1:38-54.</w:t>
      </w:r>
    </w:p>
    <w:p w14:paraId="3FE09241" w14:textId="26F02977" w:rsidR="00876F0C" w:rsidRPr="00216DA5" w:rsidRDefault="00BE28AC" w:rsidP="00216DA5">
      <w:pPr>
        <w:pStyle w:val="Referencelist"/>
        <w:numPr>
          <w:ilvl w:val="0"/>
          <w:numId w:val="0"/>
        </w:numPr>
        <w:ind w:left="360"/>
        <w:rPr>
          <w:sz w:val="20"/>
          <w:szCs w:val="20"/>
        </w:rPr>
      </w:pPr>
      <w:r w:rsidRPr="00D718C8">
        <w:rPr>
          <w:sz w:val="20"/>
          <w:szCs w:val="20"/>
        </w:rPr>
        <w:t xml:space="preserve">[7] Kim KW, Hyun JT, Lee KY, Lee EH, Lee KW, Song KC, Moon JK (2011) Effects of the different conditions of uranyl and hydrogen peroxide solutions on the </w:t>
      </w:r>
      <w:proofErr w:type="spellStart"/>
      <w:r w:rsidRPr="00D718C8">
        <w:rPr>
          <w:sz w:val="20"/>
          <w:szCs w:val="20"/>
        </w:rPr>
        <w:t>behavior</w:t>
      </w:r>
      <w:proofErr w:type="spellEnd"/>
      <w:r w:rsidRPr="00D718C8">
        <w:rPr>
          <w:sz w:val="20"/>
          <w:szCs w:val="20"/>
        </w:rPr>
        <w:t xml:space="preserve"> of the uranium peroxide precipitation. J Hazard Mater. 193:52-</w:t>
      </w:r>
      <w:r w:rsidR="00216DA5">
        <w:rPr>
          <w:sz w:val="20"/>
          <w:szCs w:val="20"/>
        </w:rPr>
        <w:t>58.</w:t>
      </w:r>
    </w:p>
    <w:sectPr w:rsidR="00876F0C" w:rsidRPr="00216DA5" w:rsidSect="00A42E36">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C3317" w14:textId="77777777" w:rsidR="00975DBC" w:rsidRDefault="00975DBC">
      <w:r>
        <w:separator/>
      </w:r>
    </w:p>
  </w:endnote>
  <w:endnote w:type="continuationSeparator" w:id="0">
    <w:p w14:paraId="75229FD0" w14:textId="77777777" w:rsidR="00975DBC" w:rsidRDefault="0097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439A269B" w:rsidR="00E20E70" w:rsidRDefault="00E20E70">
    <w:pPr>
      <w:pStyle w:val="zyxClassification1"/>
    </w:pPr>
    <w:r>
      <w:fldChar w:fldCharType="begin"/>
    </w:r>
    <w:r>
      <w:instrText xml:space="preserve"> DOCPROPERTY "IaeaClassification"  \* MERGEFORMAT </w:instrText>
    </w:r>
    <w:r>
      <w:fldChar w:fldCharType="end"/>
    </w:r>
  </w:p>
  <w:p w14:paraId="433FE0C7" w14:textId="0B925C21" w:rsidR="00E20E70" w:rsidRPr="00A42E36" w:rsidRDefault="00A42E36">
    <w:pPr>
      <w:pStyle w:val="zyxClassification2"/>
      <w:rPr>
        <w:rFonts w:ascii="Times New Roman" w:hAnsi="Times New Roman" w:cs="Times New Roman"/>
        <w:noProof/>
        <w:sz w:val="20"/>
      </w:rPr>
    </w:pPr>
    <w:r w:rsidRPr="00A42E36">
      <w:rPr>
        <w:rFonts w:ascii="Times New Roman" w:hAnsi="Times New Roman" w:cs="Times New Roman"/>
        <w:noProof/>
        <w:sz w:val="20"/>
      </w:rPr>
      <w:t>4</w:t>
    </w:r>
    <w:r w:rsidR="00E20E70" w:rsidRPr="00A42E36">
      <w:rPr>
        <w:rFonts w:ascii="Times New Roman" w:hAnsi="Times New Roman" w:cs="Times New Roman"/>
        <w:noProof/>
        <w:sz w:val="20"/>
      </w:rPr>
      <w:fldChar w:fldCharType="begin"/>
    </w:r>
    <w:r w:rsidR="00E20E70" w:rsidRPr="00A42E36">
      <w:rPr>
        <w:rFonts w:ascii="Times New Roman" w:hAnsi="Times New Roman" w:cs="Times New Roman"/>
        <w:noProof/>
        <w:sz w:val="20"/>
      </w:rPr>
      <w:instrText>DOCPROPERTY "IaeaClassification2"  \* MERGEFORMAT</w:instrText>
    </w:r>
    <w:r w:rsidR="00E20E70" w:rsidRPr="00A42E36">
      <w:rPr>
        <w:rFonts w:ascii="Times New Roman" w:hAnsi="Times New Roman" w:cs="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596E1649" w:rsidR="00E20E70" w:rsidRDefault="00E20E70">
    <w:pPr>
      <w:pStyle w:val="zyxClassification1"/>
    </w:pPr>
    <w:r>
      <w:fldChar w:fldCharType="begin"/>
    </w:r>
    <w:r>
      <w:instrText xml:space="preserve"> DOCPROPERTY "IaeaClassification"  \* MERGEFORMAT </w:instrText>
    </w:r>
    <w:r>
      <w:fldChar w:fldCharType="end"/>
    </w:r>
  </w:p>
  <w:p w14:paraId="433FE0C9" w14:textId="64A4495B"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0E35F00"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38C4A9B2"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1" w:name="DOC_bkmClassification2"/>
      <w:tc>
        <w:tcPr>
          <w:tcW w:w="5670" w:type="dxa"/>
          <w:tcMar>
            <w:right w:w="249" w:type="dxa"/>
          </w:tcMar>
        </w:tcPr>
        <w:p w14:paraId="433FE0D6" w14:textId="30F7E0C0"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1"/>
        <w:p w14:paraId="433FE0D7" w14:textId="3D1CAF3A"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2" w:name="DOC_bkmFileName"/>
  <w:p w14:paraId="433FE0D9" w14:textId="5F4E18C5" w:rsidR="00E20E70" w:rsidRDefault="00E20E70">
    <w:r>
      <w:rPr>
        <w:sz w:val="16"/>
      </w:rPr>
      <w:fldChar w:fldCharType="begin"/>
    </w:r>
    <w:r>
      <w:rPr>
        <w:sz w:val="16"/>
      </w:rPr>
      <w:instrText xml:space="preserve"> FILENAME \* MERGEFORMAT </w:instrText>
    </w:r>
    <w:r>
      <w:rPr>
        <w:sz w:val="16"/>
      </w:rPr>
      <w:fldChar w:fldCharType="separate"/>
    </w:r>
    <w:r w:rsidR="00030BFE">
      <w:rPr>
        <w:noProof/>
        <w:sz w:val="16"/>
      </w:rPr>
      <w:t>CN294_revWASP_14</w:t>
    </w:r>
    <w:r>
      <w:rPr>
        <w:sz w:val="16"/>
      </w:rPr>
      <w:fldChar w:fldCharType="end"/>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A62C2" w14:textId="77777777" w:rsidR="00975DBC" w:rsidRDefault="00975DBC">
      <w:r>
        <w:t>___________________________________________________________________________</w:t>
      </w:r>
    </w:p>
  </w:footnote>
  <w:footnote w:type="continuationSeparator" w:id="0">
    <w:p w14:paraId="5D7A3534" w14:textId="77777777" w:rsidR="00975DBC" w:rsidRDefault="00975DBC">
      <w:r>
        <w:t>___________________________________________________________________________</w:t>
      </w:r>
    </w:p>
  </w:footnote>
  <w:footnote w:type="continuationNotice" w:id="1">
    <w:p w14:paraId="2B3D46CC" w14:textId="77777777" w:rsidR="00975DBC" w:rsidRDefault="00975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575053C3" w:rsidR="00CF7AF3" w:rsidRPr="00EB1FF3" w:rsidRDefault="00CF7AF3" w:rsidP="00EB1FF3">
    <w:pPr>
      <w:pStyle w:val="Runninghead"/>
      <w:rPr>
        <w:b w:val="0"/>
        <w:bCs/>
      </w:rPr>
    </w:pPr>
    <w:r w:rsidRPr="00EB1FF3">
      <w:rPr>
        <w:b w:val="0"/>
        <w:bCs/>
      </w:rPr>
      <w:t>IAEA-CN-</w:t>
    </w:r>
    <w:r w:rsidR="00185A51" w:rsidRPr="00EB1FF3">
      <w:rPr>
        <w:b w:val="0"/>
        <w:bCs/>
      </w:rPr>
      <w:t>294</w:t>
    </w:r>
  </w:p>
  <w:p w14:paraId="433FE0C2" w14:textId="650FFC84" w:rsidR="00E20E70" w:rsidRPr="00EB1FF3" w:rsidRDefault="00EB1FF3" w:rsidP="00EB1FF3">
    <w:pPr>
      <w:pStyle w:val="zyxClassification1"/>
      <w:tabs>
        <w:tab w:val="left" w:pos="3956"/>
        <w:tab w:val="right" w:pos="9071"/>
      </w:tabs>
      <w:jc w:val="center"/>
      <w:rPr>
        <w:b w:val="0"/>
        <w:sz w:val="16"/>
        <w:szCs w:val="16"/>
      </w:rPr>
    </w:pPr>
    <w:r w:rsidRPr="00EB1FF3">
      <w:rPr>
        <w:b w:val="0"/>
        <w:color w:val="222222"/>
        <w:sz w:val="16"/>
        <w:szCs w:val="16"/>
        <w:shd w:val="clear" w:color="auto" w:fill="FFFFFF"/>
      </w:rPr>
      <w:t>ID #12 at track "3.</w:t>
    </w:r>
    <w:r w:rsidR="00E20E70" w:rsidRPr="00EB1FF3">
      <w:rPr>
        <w:b w:val="0"/>
        <w:sz w:val="16"/>
        <w:szCs w:val="16"/>
      </w:rPr>
      <w:fldChar w:fldCharType="begin"/>
    </w:r>
    <w:r w:rsidR="00E20E70" w:rsidRPr="00EB1FF3">
      <w:rPr>
        <w:b w:val="0"/>
        <w:sz w:val="16"/>
        <w:szCs w:val="16"/>
      </w:rPr>
      <w:instrText xml:space="preserve"> DOCPROPERTY "IaeaClassification"  \* MERGEFORMAT </w:instrText>
    </w:r>
    <w:r w:rsidR="00E20E70" w:rsidRPr="00EB1FF3">
      <w:rPr>
        <w:b w:val="0"/>
        <w:sz w:val="16"/>
        <w:szCs w:val="16"/>
      </w:rPr>
      <w:fldChar w:fldCharType="end"/>
    </w:r>
  </w:p>
  <w:p w14:paraId="433FE0C3" w14:textId="7D1C4185"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464D" w14:textId="77777777" w:rsidR="00EB1FF3" w:rsidRPr="00EB1FF3" w:rsidRDefault="00EB1FF3" w:rsidP="00EB1FF3">
    <w:pPr>
      <w:pStyle w:val="Runninghead"/>
    </w:pPr>
    <w:r w:rsidRPr="00EB1FF3">
      <w:t>IAEA-CN-294</w:t>
    </w:r>
  </w:p>
  <w:p w14:paraId="1D68DD94" w14:textId="6FE4DBA5" w:rsidR="00EB1FF3" w:rsidRPr="00EB1FF3" w:rsidRDefault="00EB1FF3" w:rsidP="00EB1FF3">
    <w:pPr>
      <w:pStyle w:val="zyxClassification1"/>
      <w:tabs>
        <w:tab w:val="left" w:pos="3956"/>
        <w:tab w:val="right" w:pos="9071"/>
      </w:tabs>
      <w:jc w:val="center"/>
      <w:rPr>
        <w:rFonts w:ascii="Times New Roman" w:hAnsi="Times New Roman" w:cs="Times New Roman"/>
        <w:sz w:val="16"/>
        <w:szCs w:val="16"/>
      </w:rPr>
    </w:pPr>
    <w:r w:rsidRPr="00EB1FF3">
      <w:rPr>
        <w:rFonts w:ascii="Times New Roman" w:hAnsi="Times New Roman" w:cs="Times New Roman"/>
        <w:color w:val="222222"/>
        <w:sz w:val="16"/>
        <w:szCs w:val="16"/>
        <w:shd w:val="clear" w:color="auto" w:fill="FFFFFF"/>
      </w:rPr>
      <w:t>ID #12 at track "3.</w:t>
    </w:r>
    <w:r w:rsidRPr="00EB1FF3">
      <w:rPr>
        <w:rFonts w:ascii="Times New Roman" w:hAnsi="Times New Roman" w:cs="Times New Roman"/>
        <w:sz w:val="16"/>
        <w:szCs w:val="16"/>
      </w:rPr>
      <w:fldChar w:fldCharType="begin"/>
    </w:r>
    <w:r w:rsidRPr="00EB1FF3">
      <w:rPr>
        <w:rFonts w:ascii="Times New Roman" w:hAnsi="Times New Roman" w:cs="Times New Roman"/>
        <w:sz w:val="16"/>
        <w:szCs w:val="16"/>
      </w:rPr>
      <w:instrText xml:space="preserve"> DOCPROPERTY "IaeaClassification"  \* MERGEFORMAT </w:instrText>
    </w:r>
    <w:r w:rsidRPr="00EB1FF3">
      <w:rPr>
        <w:rFonts w:ascii="Times New Roman" w:hAnsi="Times New Roman" w:cs="Times New Roman"/>
        <w:sz w:val="16"/>
        <w:szCs w:val="16"/>
      </w:rPr>
      <w:fldChar w:fldCharType="end"/>
    </w:r>
  </w:p>
  <w:p w14:paraId="433FE0C5" w14:textId="6D342A42" w:rsidR="00037321" w:rsidRPr="00190903" w:rsidRDefault="00037321" w:rsidP="0019090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0" w:name="DOC_bkmClassification1"/>
      <w:tc>
        <w:tcPr>
          <w:tcW w:w="5702" w:type="dxa"/>
          <w:vMerge w:val="restart"/>
          <w:tcMar>
            <w:right w:w="193" w:type="dxa"/>
          </w:tcMar>
        </w:tcPr>
        <w:p w14:paraId="433FE0CC" w14:textId="2B9F3D9F"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0"/>
        <w:p w14:paraId="433FE0CD" w14:textId="63CB6920"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tulo9"/>
            <w:spacing w:before="0" w:after="10"/>
          </w:pPr>
        </w:p>
      </w:tc>
      <w:tc>
        <w:tcPr>
          <w:tcW w:w="5702" w:type="dxa"/>
          <w:vMerge/>
          <w:vAlign w:val="bottom"/>
        </w:tcPr>
        <w:p w14:paraId="433FE0D1" w14:textId="77777777" w:rsidR="00E20E70" w:rsidRDefault="00E20E70">
          <w:pPr>
            <w:pStyle w:val="Ttulo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F2C09"/>
    <w:multiLevelType w:val="hybridMultilevel"/>
    <w:tmpl w:val="7D84C9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6"/>
  </w:num>
  <w:num w:numId="2">
    <w:abstractNumId w:val="3"/>
  </w:num>
  <w:num w:numId="3">
    <w:abstractNumId w:val="9"/>
  </w:num>
  <w:num w:numId="4">
    <w:abstractNumId w:val="4"/>
  </w:num>
  <w:num w:numId="5">
    <w:abstractNumId w:val="0"/>
  </w:num>
  <w:num w:numId="6">
    <w:abstractNumId w:val="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7"/>
  </w:num>
  <w:num w:numId="12">
    <w:abstractNumId w:val="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3E3"/>
    <w:rsid w:val="000157EB"/>
    <w:rsid w:val="000229AB"/>
    <w:rsid w:val="0002569A"/>
    <w:rsid w:val="00030BFE"/>
    <w:rsid w:val="00037321"/>
    <w:rsid w:val="000A0299"/>
    <w:rsid w:val="000A2990"/>
    <w:rsid w:val="000F7E94"/>
    <w:rsid w:val="001119D6"/>
    <w:rsid w:val="001308F2"/>
    <w:rsid w:val="001313E8"/>
    <w:rsid w:val="0015570D"/>
    <w:rsid w:val="00161413"/>
    <w:rsid w:val="00173048"/>
    <w:rsid w:val="00183BC4"/>
    <w:rsid w:val="00185A51"/>
    <w:rsid w:val="00190903"/>
    <w:rsid w:val="001C58F5"/>
    <w:rsid w:val="001D5CEE"/>
    <w:rsid w:val="00206F96"/>
    <w:rsid w:val="002071D9"/>
    <w:rsid w:val="00216DA5"/>
    <w:rsid w:val="00247A97"/>
    <w:rsid w:val="00256822"/>
    <w:rsid w:val="0026525A"/>
    <w:rsid w:val="00274790"/>
    <w:rsid w:val="00285755"/>
    <w:rsid w:val="002A0240"/>
    <w:rsid w:val="002A1F9C"/>
    <w:rsid w:val="002B29C2"/>
    <w:rsid w:val="002C4208"/>
    <w:rsid w:val="00345EDF"/>
    <w:rsid w:val="00352DE1"/>
    <w:rsid w:val="003728E6"/>
    <w:rsid w:val="003B5E0E"/>
    <w:rsid w:val="003D255A"/>
    <w:rsid w:val="00416949"/>
    <w:rsid w:val="004334CE"/>
    <w:rsid w:val="00436562"/>
    <w:rsid w:val="004370D8"/>
    <w:rsid w:val="00472C43"/>
    <w:rsid w:val="004B04E4"/>
    <w:rsid w:val="00537496"/>
    <w:rsid w:val="00544ED3"/>
    <w:rsid w:val="0058477B"/>
    <w:rsid w:val="0058654F"/>
    <w:rsid w:val="00595F11"/>
    <w:rsid w:val="00596ACA"/>
    <w:rsid w:val="005B7717"/>
    <w:rsid w:val="005C73EC"/>
    <w:rsid w:val="005E39BC"/>
    <w:rsid w:val="005F00A0"/>
    <w:rsid w:val="005F3489"/>
    <w:rsid w:val="00647F33"/>
    <w:rsid w:val="00654CBE"/>
    <w:rsid w:val="0065693B"/>
    <w:rsid w:val="00662532"/>
    <w:rsid w:val="00662A4A"/>
    <w:rsid w:val="00697D30"/>
    <w:rsid w:val="006B2274"/>
    <w:rsid w:val="006B392A"/>
    <w:rsid w:val="006D3660"/>
    <w:rsid w:val="006F1A41"/>
    <w:rsid w:val="00717C6F"/>
    <w:rsid w:val="007445DA"/>
    <w:rsid w:val="007A15C3"/>
    <w:rsid w:val="007A375C"/>
    <w:rsid w:val="007A67CA"/>
    <w:rsid w:val="007B4FD1"/>
    <w:rsid w:val="007D0703"/>
    <w:rsid w:val="00802381"/>
    <w:rsid w:val="0087529D"/>
    <w:rsid w:val="00876F0C"/>
    <w:rsid w:val="00883848"/>
    <w:rsid w:val="00897ED5"/>
    <w:rsid w:val="008B6BB9"/>
    <w:rsid w:val="008D507F"/>
    <w:rsid w:val="008F17C7"/>
    <w:rsid w:val="008F7806"/>
    <w:rsid w:val="00911543"/>
    <w:rsid w:val="009519C9"/>
    <w:rsid w:val="00953CFC"/>
    <w:rsid w:val="00975DBC"/>
    <w:rsid w:val="00987E91"/>
    <w:rsid w:val="009A2EBC"/>
    <w:rsid w:val="009D0B86"/>
    <w:rsid w:val="009E0D5B"/>
    <w:rsid w:val="009E1558"/>
    <w:rsid w:val="00A42898"/>
    <w:rsid w:val="00A42E36"/>
    <w:rsid w:val="00A860BD"/>
    <w:rsid w:val="00AA1F13"/>
    <w:rsid w:val="00AA7BE5"/>
    <w:rsid w:val="00AB6ACE"/>
    <w:rsid w:val="00AC5A3A"/>
    <w:rsid w:val="00B42519"/>
    <w:rsid w:val="00B82FA5"/>
    <w:rsid w:val="00BC0343"/>
    <w:rsid w:val="00BD1400"/>
    <w:rsid w:val="00BD605C"/>
    <w:rsid w:val="00BE28AC"/>
    <w:rsid w:val="00BE2A76"/>
    <w:rsid w:val="00C54D51"/>
    <w:rsid w:val="00C65E60"/>
    <w:rsid w:val="00C7718C"/>
    <w:rsid w:val="00CD0EF6"/>
    <w:rsid w:val="00CE5A52"/>
    <w:rsid w:val="00CF097A"/>
    <w:rsid w:val="00CF7AF3"/>
    <w:rsid w:val="00D027BA"/>
    <w:rsid w:val="00D05316"/>
    <w:rsid w:val="00D26ADA"/>
    <w:rsid w:val="00D35A78"/>
    <w:rsid w:val="00D3778C"/>
    <w:rsid w:val="00D555A1"/>
    <w:rsid w:val="00D64DC2"/>
    <w:rsid w:val="00D718C8"/>
    <w:rsid w:val="00DA0961"/>
    <w:rsid w:val="00DA46CA"/>
    <w:rsid w:val="00DD4AC5"/>
    <w:rsid w:val="00DF21EB"/>
    <w:rsid w:val="00E148C1"/>
    <w:rsid w:val="00E20E70"/>
    <w:rsid w:val="00E25B68"/>
    <w:rsid w:val="00E75054"/>
    <w:rsid w:val="00E81026"/>
    <w:rsid w:val="00E84003"/>
    <w:rsid w:val="00EA20EC"/>
    <w:rsid w:val="00EB1FF3"/>
    <w:rsid w:val="00EC10FC"/>
    <w:rsid w:val="00ED0A99"/>
    <w:rsid w:val="00ED4F5F"/>
    <w:rsid w:val="00EE0041"/>
    <w:rsid w:val="00EE29B9"/>
    <w:rsid w:val="00F004EE"/>
    <w:rsid w:val="00F036C6"/>
    <w:rsid w:val="00F42E23"/>
    <w:rsid w:val="00F45EEE"/>
    <w:rsid w:val="00F51E9C"/>
    <w:rsid w:val="00F523CA"/>
    <w:rsid w:val="00F74A9D"/>
    <w:rsid w:val="00F943C5"/>
    <w:rsid w:val="00FC528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Corpodetexto"/>
    <w:uiPriority w:val="4"/>
    <w:qFormat/>
    <w:rsid w:val="00EE0041"/>
    <w:pPr>
      <w:widowControl w:val="0"/>
      <w:numPr>
        <w:ilvl w:val="1"/>
        <w:numId w:val="7"/>
      </w:numPr>
      <w:spacing w:before="100" w:beforeAutospacing="1" w:after="100" w:afterAutospacing="1" w:line="280" w:lineRule="atLeast"/>
      <w:outlineLvl w:val="1"/>
    </w:pPr>
    <w:rPr>
      <w:caps/>
      <w:lang w:eastAsia="en-US"/>
    </w:rPr>
  </w:style>
  <w:style w:type="paragraph" w:styleId="Ttulo3">
    <w:name w:val="heading 3"/>
    <w:aliases w:val="2nd level paper heading"/>
    <w:next w:val="Corpodetexto"/>
    <w:uiPriority w:val="4"/>
    <w:qFormat/>
    <w:rsid w:val="00897ED5"/>
    <w:pPr>
      <w:widowControl w:val="0"/>
      <w:numPr>
        <w:ilvl w:val="2"/>
        <w:numId w:val="7"/>
      </w:numPr>
      <w:spacing w:before="240" w:after="240" w:line="240" w:lineRule="exact"/>
      <w:outlineLvl w:val="2"/>
    </w:pPr>
    <w:rPr>
      <w:b/>
      <w:lang w:eastAsia="en-US"/>
    </w:rPr>
  </w:style>
  <w:style w:type="paragraph" w:styleId="Ttulo4">
    <w:name w:val="heading 4"/>
    <w:aliases w:val="3rd level paper heading"/>
    <w:basedOn w:val="Normal"/>
    <w:next w:val="Corpodetexto"/>
    <w:uiPriority w:val="4"/>
    <w:qFormat/>
    <w:rsid w:val="00897ED5"/>
    <w:pPr>
      <w:widowControl w:val="0"/>
      <w:numPr>
        <w:ilvl w:val="3"/>
        <w:numId w:val="7"/>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qFormat/>
    <w:rsid w:val="00647F33"/>
    <w:pPr>
      <w:spacing w:line="260" w:lineRule="atLeast"/>
      <w:ind w:firstLine="567"/>
      <w:contextualSpacing/>
      <w:jc w:val="both"/>
    </w:pPr>
    <w:rPr>
      <w:lang w:eastAsia="en-US"/>
    </w:rPr>
  </w:style>
  <w:style w:type="paragraph" w:styleId="Recuodecorpodetexto">
    <w:name w:val="Body Text Indent"/>
    <w:basedOn w:val="Corpodetexto"/>
    <w:uiPriority w:val="49"/>
    <w:locked/>
    <w:pPr>
      <w:ind w:left="1134" w:hanging="675"/>
    </w:pPr>
  </w:style>
  <w:style w:type="paragraph" w:customStyle="1" w:styleId="BodyTextMultiline">
    <w:name w:val="Body Text Multiline"/>
    <w:basedOn w:val="Corpodetex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
    <w:qFormat/>
    <w:pPr>
      <w:spacing w:after="85"/>
    </w:pPr>
    <w:rPr>
      <w:bCs/>
      <w:sz w:val="18"/>
      <w:lang w:val="en-US" w:eastAsia="en-US"/>
    </w:rPr>
  </w:style>
  <w:style w:type="paragraph" w:styleId="Rodap">
    <w:name w:val="footer"/>
    <w:basedOn w:val="Normal"/>
    <w:link w:val="RodapChar"/>
    <w:uiPriority w:val="99"/>
    <w:locked/>
    <w:pPr>
      <w:overflowPunct/>
      <w:autoSpaceDE/>
      <w:autoSpaceDN/>
      <w:adjustRightInd/>
      <w:textAlignment w:val="auto"/>
    </w:pPr>
    <w:rPr>
      <w:sz w:val="2"/>
      <w:lang w:val="en-US"/>
    </w:rPr>
  </w:style>
  <w:style w:type="paragraph" w:styleId="Textodenotaderodap">
    <w:name w:val="footnote text"/>
    <w:semiHidden/>
    <w:locked/>
    <w:pPr>
      <w:tabs>
        <w:tab w:val="left" w:pos="459"/>
      </w:tabs>
      <w:spacing w:before="142"/>
      <w:ind w:left="459"/>
      <w:jc w:val="both"/>
    </w:pPr>
    <w:rPr>
      <w:sz w:val="18"/>
      <w:lang w:eastAsia="en-US"/>
    </w:rPr>
  </w:style>
  <w:style w:type="paragraph" w:styleId="Cabealho">
    <w:name w:val="header"/>
    <w:next w:val="Corpodetexto"/>
    <w:uiPriority w:val="49"/>
    <w:locked/>
    <w:pPr>
      <w:spacing w:after="85"/>
    </w:pPr>
    <w:rPr>
      <w:sz w:val="18"/>
      <w:lang w:val="en-US" w:eastAsia="en-US"/>
    </w:rPr>
  </w:style>
  <w:style w:type="paragraph" w:customStyle="1" w:styleId="ListBulleted">
    <w:name w:val="List Bulleted"/>
    <w:uiPriority w:val="7"/>
    <w:qFormat/>
    <w:locked/>
    <w:pPr>
      <w:numPr>
        <w:numId w:val="4"/>
      </w:numPr>
      <w:tabs>
        <w:tab w:val="clear" w:pos="1179"/>
        <w:tab w:val="left" w:pos="919"/>
      </w:tabs>
      <w:ind w:left="918" w:right="1134" w:hanging="459"/>
      <w:jc w:val="both"/>
    </w:pPr>
    <w:rPr>
      <w:sz w:val="22"/>
      <w:lang w:eastAsia="en-US"/>
    </w:rPr>
  </w:style>
  <w:style w:type="paragraph" w:customStyle="1" w:styleId="ListEmdash">
    <w:name w:val="List Emdash"/>
    <w:basedOn w:val="Corpodetexto"/>
    <w:uiPriority w:val="6"/>
    <w:qFormat/>
    <w:rsid w:val="00717C6F"/>
    <w:pPr>
      <w:numPr>
        <w:numId w:val="9"/>
      </w:numPr>
      <w:ind w:left="709"/>
    </w:pPr>
  </w:style>
  <w:style w:type="paragraph" w:customStyle="1" w:styleId="ListNumbered">
    <w:name w:val="List Numbered"/>
    <w:basedOn w:val="Corpodetexto"/>
    <w:uiPriority w:val="5"/>
    <w:qFormat/>
    <w:locked/>
    <w:rsid w:val="00717C6F"/>
    <w:pPr>
      <w:numPr>
        <w:numId w:val="10"/>
      </w:numPr>
    </w:pPr>
  </w:style>
  <w:style w:type="paragraph" w:styleId="Ttulo">
    <w:name w:val="Title"/>
    <w:link w:val="TtuloChar"/>
    <w:uiPriority w:val="10"/>
    <w:qFormat/>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derodap">
    <w:name w:val="footnote reference"/>
    <w:basedOn w:val="Fontepargpadro"/>
    <w:semiHidden/>
    <w:locked/>
    <w:rPr>
      <w:vertAlign w:val="superscript"/>
    </w:rPr>
  </w:style>
  <w:style w:type="paragraph" w:styleId="Subttulo">
    <w:name w:val="Subtitle"/>
    <w:next w:val="Corpodetex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5"/>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detexto"/>
    <w:uiPriority w:val="49"/>
    <w:locked/>
    <w:pPr>
      <w:spacing w:line="280" w:lineRule="exact"/>
      <w:jc w:val="right"/>
    </w:pPr>
    <w:rPr>
      <w:rFonts w:ascii="Arial" w:hAnsi="Arial" w:cs="Arial"/>
      <w:b/>
      <w:bCs/>
      <w:caps/>
      <w:sz w:val="24"/>
    </w:rPr>
  </w:style>
  <w:style w:type="paragraph" w:customStyle="1" w:styleId="zyxClassification2">
    <w:name w:val="zyxClassification2"/>
    <w:basedOn w:val="Rodap"/>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RodapChar">
    <w:name w:val="Rodapé Char"/>
    <w:basedOn w:val="Fontepargpadro"/>
    <w:link w:val="Rodap"/>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ontepargpadr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detextoChar">
    <w:name w:val="Corpo de texto Char"/>
    <w:basedOn w:val="Fontepargpadro"/>
    <w:link w:val="Corpodetexto"/>
    <w:rsid w:val="00647F33"/>
    <w:rPr>
      <w:lang w:eastAsia="en-US"/>
    </w:rPr>
  </w:style>
  <w:style w:type="character" w:customStyle="1" w:styleId="AuthornameandaffiliationChar">
    <w:name w:val="Author name and affiliation Char"/>
    <w:basedOn w:val="CorpodetextoChar"/>
    <w:link w:val="Authornameandaffiliation"/>
    <w:uiPriority w:val="49"/>
    <w:rsid w:val="00647F33"/>
    <w:rPr>
      <w:lang w:val="en-US" w:eastAsia="en-US"/>
    </w:rPr>
  </w:style>
  <w:style w:type="table" w:styleId="Tabelacomgrade">
    <w:name w:val="Table Grid"/>
    <w:basedOn w:val="Tabela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balo">
    <w:name w:val="Balloon Text"/>
    <w:basedOn w:val="Normal"/>
    <w:link w:val="TextodebaloChar"/>
    <w:uiPriority w:val="49"/>
    <w:locked/>
    <w:rsid w:val="005F00A0"/>
    <w:rPr>
      <w:rFonts w:ascii="Tahoma" w:hAnsi="Tahoma" w:cs="Tahoma"/>
      <w:sz w:val="16"/>
      <w:szCs w:val="16"/>
    </w:rPr>
  </w:style>
  <w:style w:type="character" w:customStyle="1" w:styleId="TextodebaloChar">
    <w:name w:val="Texto de balão Char"/>
    <w:basedOn w:val="Fontepargpadro"/>
    <w:link w:val="Textodebalo"/>
    <w:uiPriority w:val="49"/>
    <w:rsid w:val="005F00A0"/>
    <w:rPr>
      <w:rFonts w:ascii="Tahoma" w:hAnsi="Tahoma" w:cs="Tahoma"/>
      <w:sz w:val="16"/>
      <w:szCs w:val="16"/>
      <w:lang w:eastAsia="en-US"/>
    </w:rPr>
  </w:style>
  <w:style w:type="paragraph" w:customStyle="1" w:styleId="Figurecaption">
    <w:name w:val="Figure caption"/>
    <w:basedOn w:val="Corpodetexto"/>
    <w:link w:val="FigurecaptionChar"/>
    <w:uiPriority w:val="49"/>
    <w:qFormat/>
    <w:locked/>
    <w:rsid w:val="00717C6F"/>
    <w:pPr>
      <w:jc w:val="center"/>
    </w:pPr>
    <w:rPr>
      <w:i/>
      <w:sz w:val="18"/>
    </w:rPr>
  </w:style>
  <w:style w:type="paragraph" w:customStyle="1" w:styleId="Otherunnumberedheadings">
    <w:name w:val="Other unnumbered headings"/>
    <w:next w:val="Corpodetex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detextoChar"/>
    <w:link w:val="Figurecaption"/>
    <w:uiPriority w:val="49"/>
    <w:rsid w:val="00717C6F"/>
    <w:rPr>
      <w:i/>
      <w:sz w:val="18"/>
      <w:lang w:eastAsia="en-US"/>
    </w:rPr>
  </w:style>
  <w:style w:type="paragraph" w:customStyle="1" w:styleId="Referencelist">
    <w:name w:val="Reference list"/>
    <w:basedOn w:val="Corpodetexto"/>
    <w:link w:val="ReferencelistChar"/>
    <w:uiPriority w:val="49"/>
    <w:qFormat/>
    <w:rsid w:val="009E0D5B"/>
    <w:pPr>
      <w:numPr>
        <w:numId w:val="12"/>
      </w:numPr>
    </w:pPr>
    <w:rPr>
      <w:sz w:val="18"/>
      <w:szCs w:val="18"/>
    </w:rPr>
  </w:style>
  <w:style w:type="character" w:customStyle="1" w:styleId="OtherunnumberedheadingsChar">
    <w:name w:val="Other unnumbered headings Char"/>
    <w:basedOn w:val="Corpodetexto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detextoChar"/>
    <w:link w:val="Referencelist"/>
    <w:uiPriority w:val="49"/>
    <w:rsid w:val="009E0D5B"/>
    <w:rPr>
      <w:sz w:val="18"/>
      <w:szCs w:val="18"/>
      <w:lang w:eastAsia="en-US"/>
    </w:rPr>
  </w:style>
  <w:style w:type="paragraph" w:customStyle="1" w:styleId="Tabletext">
    <w:name w:val="Table text"/>
    <w:basedOn w:val="Corpodetexto"/>
    <w:link w:val="TabletextChar"/>
    <w:uiPriority w:val="49"/>
    <w:qFormat/>
    <w:rsid w:val="00883848"/>
    <w:pPr>
      <w:ind w:firstLine="0"/>
    </w:pPr>
  </w:style>
  <w:style w:type="character" w:customStyle="1" w:styleId="TabletextChar">
    <w:name w:val="Table text Char"/>
    <w:basedOn w:val="CorpodetextoChar"/>
    <w:link w:val="Tabletext"/>
    <w:uiPriority w:val="49"/>
    <w:rsid w:val="00883848"/>
    <w:rPr>
      <w:lang w:eastAsia="en-US"/>
    </w:rPr>
  </w:style>
  <w:style w:type="character" w:customStyle="1" w:styleId="TtuloChar">
    <w:name w:val="Título Char"/>
    <w:basedOn w:val="Fontepargpadro"/>
    <w:link w:val="Ttulo"/>
    <w:uiPriority w:val="10"/>
    <w:rsid w:val="00E75054"/>
    <w:rPr>
      <w:rFonts w:ascii="Arial" w:hAnsi="Arial" w:cs="Arial"/>
      <w:bCs/>
      <w:sz w:val="42"/>
      <w:szCs w:val="32"/>
      <w:lang w:eastAsia="en-US"/>
    </w:rPr>
  </w:style>
  <w:style w:type="character" w:styleId="Hyperlink">
    <w:name w:val="Hyperlink"/>
    <w:basedOn w:val="Fontepargpadro"/>
    <w:uiPriority w:val="99"/>
    <w:unhideWhenUsed/>
    <w:locked/>
    <w:rsid w:val="00BE28AC"/>
    <w:rPr>
      <w:color w:val="0000FF" w:themeColor="hyperlink"/>
      <w:u w:val="single"/>
    </w:rPr>
  </w:style>
  <w:style w:type="paragraph" w:styleId="Bibliografia">
    <w:name w:val="Bibliography"/>
    <w:basedOn w:val="Normal"/>
    <w:next w:val="Normal"/>
    <w:uiPriority w:val="37"/>
    <w:unhideWhenUsed/>
    <w:locked/>
    <w:rsid w:val="00BE28AC"/>
    <w:pPr>
      <w:overflowPunct/>
      <w:autoSpaceDE/>
      <w:autoSpaceDN/>
      <w:adjustRightInd/>
      <w:spacing w:line="360" w:lineRule="auto"/>
      <w:jc w:val="both"/>
      <w:textAlignment w:val="auto"/>
    </w:pPr>
    <w:rPr>
      <w:sz w:val="24"/>
      <w:lang w:val="pt-BR" w:eastAsia="pt-BR"/>
    </w:rPr>
  </w:style>
  <w:style w:type="character" w:styleId="Refdecomentrio">
    <w:name w:val="annotation reference"/>
    <w:basedOn w:val="Fontepargpadro"/>
    <w:uiPriority w:val="49"/>
    <w:semiHidden/>
    <w:unhideWhenUsed/>
    <w:locked/>
    <w:rsid w:val="00595F11"/>
    <w:rPr>
      <w:sz w:val="16"/>
      <w:szCs w:val="16"/>
    </w:rPr>
  </w:style>
  <w:style w:type="paragraph" w:styleId="Textodecomentrio">
    <w:name w:val="annotation text"/>
    <w:basedOn w:val="Normal"/>
    <w:link w:val="TextodecomentrioChar"/>
    <w:uiPriority w:val="49"/>
    <w:semiHidden/>
    <w:unhideWhenUsed/>
    <w:locked/>
    <w:rsid w:val="00595F11"/>
    <w:rPr>
      <w:sz w:val="20"/>
    </w:rPr>
  </w:style>
  <w:style w:type="character" w:customStyle="1" w:styleId="TextodecomentrioChar">
    <w:name w:val="Texto de comentário Char"/>
    <w:basedOn w:val="Fontepargpadro"/>
    <w:link w:val="Textodecomentrio"/>
    <w:uiPriority w:val="49"/>
    <w:semiHidden/>
    <w:rsid w:val="00595F11"/>
    <w:rPr>
      <w:lang w:eastAsia="en-US"/>
    </w:rPr>
  </w:style>
  <w:style w:type="paragraph" w:styleId="Assuntodocomentrio">
    <w:name w:val="annotation subject"/>
    <w:basedOn w:val="Textodecomentrio"/>
    <w:next w:val="Textodecomentrio"/>
    <w:link w:val="AssuntodocomentrioChar"/>
    <w:uiPriority w:val="49"/>
    <w:semiHidden/>
    <w:unhideWhenUsed/>
    <w:locked/>
    <w:rsid w:val="00595F11"/>
    <w:rPr>
      <w:b/>
      <w:bCs/>
    </w:rPr>
  </w:style>
  <w:style w:type="character" w:customStyle="1" w:styleId="AssuntodocomentrioChar">
    <w:name w:val="Assunto do comentário Char"/>
    <w:basedOn w:val="TextodecomentrioChar"/>
    <w:link w:val="Assuntodocomentrio"/>
    <w:uiPriority w:val="49"/>
    <w:semiHidden/>
    <w:rsid w:val="00595F11"/>
    <w:rPr>
      <w:b/>
      <w:bCs/>
      <w:lang w:eastAsia="en-US"/>
    </w:rPr>
  </w:style>
  <w:style w:type="character" w:styleId="MenoPendente">
    <w:name w:val="Unresolved Mention"/>
    <w:basedOn w:val="Fontepargpadro"/>
    <w:uiPriority w:val="99"/>
    <w:semiHidden/>
    <w:unhideWhenUsed/>
    <w:rsid w:val="0059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asp.cnen.gov.br/seguranca/normas/pdf/Nrm80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nteach.candu.org/Content%20Library/20031309.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is.iaea.org/collection/NCLCollectionStore/_Public/02/004/2004458.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A37EDD-2E1A-4759-89A8-5D2D8E84B97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0cca68-9885-4579-a121-0ff71e341cd0"/>
    <ds:schemaRef ds:uri="http://purl.org/dc/elements/1.1/"/>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5</Pages>
  <Words>1734</Words>
  <Characters>9765</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emanuele campelo</cp:lastModifiedBy>
  <cp:revision>2</cp:revision>
  <cp:lastPrinted>2021-07-14T22:44:00Z</cp:lastPrinted>
  <dcterms:created xsi:type="dcterms:W3CDTF">2021-07-15T11:33:00Z</dcterms:created>
  <dcterms:modified xsi:type="dcterms:W3CDTF">2021-07-15T11:33:00Z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