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3FE03E" w14:textId="2CB43C33" w:rsidR="003B5E0E" w:rsidRPr="003B5E0E" w:rsidRDefault="00C77807" w:rsidP="00951267">
      <w:pPr>
        <w:pStyle w:val="1"/>
      </w:pPr>
      <w:bookmarkStart w:id="0" w:name="_Hlk69130178"/>
      <w:r>
        <w:rPr>
          <w:rFonts w:hint="eastAsia"/>
        </w:rPr>
        <w:t>A</w:t>
      </w:r>
      <w:r>
        <w:t xml:space="preserve"> </w:t>
      </w:r>
      <w:r>
        <w:rPr>
          <w:rFonts w:hint="eastAsia"/>
        </w:rPr>
        <w:t>REACT</w:t>
      </w:r>
      <w:r>
        <w:rPr>
          <w:rFonts w:hint="eastAsia"/>
          <w:lang w:eastAsia="zh-CN"/>
        </w:rPr>
        <w:t>ION</w:t>
      </w:r>
      <w:r>
        <w:t xml:space="preserve"> </w:t>
      </w:r>
      <w:r>
        <w:rPr>
          <w:rFonts w:hint="eastAsia"/>
          <w:lang w:eastAsia="zh-CN"/>
        </w:rPr>
        <w:t>MEASUREMENT</w:t>
      </w:r>
      <w:r>
        <w:t xml:space="preserve"> </w:t>
      </w:r>
      <w:r>
        <w:rPr>
          <w:rFonts w:hint="eastAsia"/>
          <w:lang w:eastAsia="zh-CN"/>
        </w:rPr>
        <w:t>EXPERIMENTAL</w:t>
      </w:r>
      <w:r>
        <w:t xml:space="preserve"> </w:t>
      </w:r>
      <w:r>
        <w:rPr>
          <w:rFonts w:hint="eastAsia"/>
          <w:lang w:eastAsia="zh-CN"/>
        </w:rPr>
        <w:t>PROGRAM</w:t>
      </w:r>
      <w:r>
        <w:t xml:space="preserve"> </w:t>
      </w:r>
      <w:r>
        <w:rPr>
          <w:rFonts w:hint="eastAsia"/>
          <w:lang w:eastAsia="zh-CN"/>
        </w:rPr>
        <w:t>OF</w:t>
      </w:r>
      <w:r>
        <w:t xml:space="preserve"> </w:t>
      </w:r>
      <w:r>
        <w:rPr>
          <w:rFonts w:hint="eastAsia"/>
          <w:lang w:eastAsia="zh-CN"/>
        </w:rPr>
        <w:t>CHINA</w:t>
      </w:r>
      <w:r>
        <w:rPr>
          <w:lang w:eastAsia="zh-CN"/>
        </w:rPr>
        <w:t xml:space="preserve"> </w:t>
      </w:r>
      <w:r>
        <w:rPr>
          <w:rFonts w:hint="eastAsia"/>
          <w:lang w:eastAsia="zh-CN"/>
        </w:rPr>
        <w:t>EXPERIMENTAL</w:t>
      </w:r>
      <w:r>
        <w:rPr>
          <w:lang w:eastAsia="zh-CN"/>
        </w:rPr>
        <w:t xml:space="preserve"> </w:t>
      </w:r>
      <w:r w:rsidR="00951267">
        <w:rPr>
          <w:rFonts w:hint="eastAsia"/>
          <w:lang w:eastAsia="zh-CN"/>
        </w:rPr>
        <w:t>FAST</w:t>
      </w:r>
      <w:r w:rsidR="00951267">
        <w:rPr>
          <w:lang w:eastAsia="zh-CN"/>
        </w:rPr>
        <w:t xml:space="preserve"> </w:t>
      </w:r>
      <w:r w:rsidR="00951267">
        <w:rPr>
          <w:rFonts w:hint="eastAsia"/>
          <w:lang w:eastAsia="zh-CN"/>
        </w:rPr>
        <w:t>REACTOR</w:t>
      </w:r>
    </w:p>
    <w:p w14:paraId="09DB7638" w14:textId="224D0D7B" w:rsidR="00132E90" w:rsidRDefault="00132E90" w:rsidP="00537496">
      <w:pPr>
        <w:pStyle w:val="Authornameandaffiliation"/>
      </w:pPr>
    </w:p>
    <w:p w14:paraId="67250DE4" w14:textId="4A28BA6F" w:rsidR="00003206" w:rsidRDefault="007A0FDF" w:rsidP="007A0FDF">
      <w:pPr>
        <w:pStyle w:val="Authornameandaffiliation"/>
      </w:pPr>
      <w:r>
        <w:rPr>
          <w:rFonts w:hint="eastAsia"/>
          <w:lang w:eastAsia="zh-CN"/>
        </w:rPr>
        <w:t>HU</w:t>
      </w:r>
      <w:r>
        <w:t xml:space="preserve"> </w:t>
      </w:r>
      <w:r>
        <w:rPr>
          <w:rFonts w:hint="eastAsia"/>
          <w:lang w:eastAsia="zh-CN"/>
        </w:rPr>
        <w:t>XIAO</w:t>
      </w:r>
      <w:r w:rsidR="00003206" w:rsidRPr="00003206">
        <w:rPr>
          <w:vertAlign w:val="superscript"/>
        </w:rPr>
        <w:t>1</w:t>
      </w:r>
      <w:r>
        <w:t xml:space="preserve">, </w:t>
      </w:r>
      <w:r>
        <w:rPr>
          <w:rFonts w:hint="eastAsia"/>
          <w:lang w:eastAsia="zh-CN"/>
        </w:rPr>
        <w:t>CHEN</w:t>
      </w:r>
      <w:r>
        <w:t xml:space="preserve"> </w:t>
      </w:r>
      <w:r>
        <w:rPr>
          <w:rFonts w:hint="eastAsia"/>
          <w:lang w:eastAsia="zh-CN"/>
        </w:rPr>
        <w:t>XIAOXAIN</w:t>
      </w:r>
      <w:r w:rsidR="00003206" w:rsidRPr="00003206">
        <w:rPr>
          <w:vertAlign w:val="superscript"/>
        </w:rPr>
        <w:t>1</w:t>
      </w:r>
      <w:r>
        <w:t xml:space="preserve">, </w:t>
      </w:r>
      <w:r>
        <w:rPr>
          <w:rFonts w:hint="eastAsia"/>
          <w:lang w:eastAsia="zh-CN"/>
        </w:rPr>
        <w:t>CHEN</w:t>
      </w:r>
      <w:r>
        <w:t xml:space="preserve"> </w:t>
      </w:r>
      <w:r>
        <w:rPr>
          <w:rFonts w:hint="eastAsia"/>
          <w:lang w:eastAsia="zh-CN"/>
        </w:rPr>
        <w:t>XIAOLIANG</w:t>
      </w:r>
      <w:r w:rsidR="00003206" w:rsidRPr="00003206">
        <w:rPr>
          <w:vertAlign w:val="superscript"/>
        </w:rPr>
        <w:t>1</w:t>
      </w:r>
      <w:r>
        <w:t xml:space="preserve">, </w:t>
      </w:r>
      <w:r>
        <w:rPr>
          <w:rFonts w:hint="eastAsia"/>
          <w:lang w:eastAsia="zh-CN"/>
        </w:rPr>
        <w:t>HUO</w:t>
      </w:r>
      <w:r w:rsidR="00132E90">
        <w:rPr>
          <w:lang w:eastAsia="zh-CN"/>
        </w:rPr>
        <w:t xml:space="preserve"> </w:t>
      </w:r>
      <w:r>
        <w:rPr>
          <w:rFonts w:hint="eastAsia"/>
          <w:lang w:eastAsia="zh-CN"/>
        </w:rPr>
        <w:t>XINGKAI</w:t>
      </w:r>
      <w:r w:rsidR="003D3CAD" w:rsidRPr="003D3CAD">
        <w:rPr>
          <w:rFonts w:hint="eastAsia"/>
          <w:vertAlign w:val="superscript"/>
          <w:lang w:eastAsia="zh-CN"/>
        </w:rPr>
        <w:t>1</w:t>
      </w:r>
    </w:p>
    <w:p w14:paraId="2AAFE484" w14:textId="77777777" w:rsidR="00003206" w:rsidRDefault="00003206" w:rsidP="00537496">
      <w:pPr>
        <w:pStyle w:val="Authornameandaffiliation"/>
      </w:pPr>
    </w:p>
    <w:p w14:paraId="2EFA8EC7" w14:textId="18B3F670" w:rsidR="00003206" w:rsidRPr="00FF386F" w:rsidRDefault="00003206" w:rsidP="00003206">
      <w:pPr>
        <w:pStyle w:val="Authornameandaffiliation"/>
      </w:pPr>
      <w:r>
        <w:rPr>
          <w:vertAlign w:val="superscript"/>
        </w:rPr>
        <w:t>1</w:t>
      </w:r>
      <w:r w:rsidR="003D3CAD">
        <w:rPr>
          <w:rFonts w:hint="eastAsia"/>
          <w:lang w:eastAsia="zh-CN"/>
        </w:rPr>
        <w:t>China</w:t>
      </w:r>
      <w:r w:rsidR="003D3CAD">
        <w:t xml:space="preserve"> </w:t>
      </w:r>
      <w:r w:rsidR="003D3CAD">
        <w:rPr>
          <w:rFonts w:hint="eastAsia"/>
          <w:lang w:eastAsia="zh-CN"/>
        </w:rPr>
        <w:t>Institute</w:t>
      </w:r>
      <w:r w:rsidR="003D3CAD">
        <w:t xml:space="preserve"> </w:t>
      </w:r>
      <w:r w:rsidR="003D3CAD">
        <w:rPr>
          <w:rFonts w:hint="eastAsia"/>
          <w:lang w:eastAsia="zh-CN"/>
        </w:rPr>
        <w:t>of</w:t>
      </w:r>
      <w:r w:rsidR="003D3CAD">
        <w:t xml:space="preserve"> </w:t>
      </w:r>
      <w:r w:rsidR="003D3CAD">
        <w:rPr>
          <w:rFonts w:hint="eastAsia"/>
          <w:lang w:eastAsia="zh-CN"/>
        </w:rPr>
        <w:t>Atomic</w:t>
      </w:r>
      <w:r w:rsidR="003D3CAD">
        <w:t xml:space="preserve"> </w:t>
      </w:r>
      <w:r w:rsidR="003D3CAD">
        <w:rPr>
          <w:rFonts w:hint="eastAsia"/>
          <w:lang w:eastAsia="zh-CN"/>
        </w:rPr>
        <w:t>Energy</w:t>
      </w:r>
      <w:r>
        <w:t xml:space="preserve">, </w:t>
      </w:r>
      <w:r w:rsidR="003D3CAD">
        <w:rPr>
          <w:rFonts w:hint="eastAsia"/>
          <w:lang w:eastAsia="zh-CN"/>
        </w:rPr>
        <w:t>Beijing</w:t>
      </w:r>
      <w:r w:rsidR="003D3CAD">
        <w:t>, C</w:t>
      </w:r>
      <w:r w:rsidR="003D3CAD">
        <w:rPr>
          <w:rFonts w:hint="eastAsia"/>
          <w:lang w:eastAsia="zh-CN"/>
        </w:rPr>
        <w:t>hina</w:t>
      </w:r>
    </w:p>
    <w:p w14:paraId="3F7D6C77" w14:textId="77777777" w:rsidR="00003206" w:rsidRDefault="00003206" w:rsidP="00003206">
      <w:pPr>
        <w:pStyle w:val="Authornameandaffiliation"/>
      </w:pPr>
    </w:p>
    <w:p w14:paraId="2EA71BD6" w14:textId="30C991B5" w:rsidR="00003206" w:rsidRDefault="00E90C1D" w:rsidP="00003206">
      <w:pPr>
        <w:pStyle w:val="Authornameandaffiliation"/>
      </w:pPr>
      <w:r>
        <w:t>Email</w:t>
      </w:r>
      <w:r w:rsidRPr="00003206">
        <w:t xml:space="preserve"> contact of </w:t>
      </w:r>
      <w:r>
        <w:t>corresponding</w:t>
      </w:r>
      <w:r w:rsidRPr="00003206">
        <w:t xml:space="preserve"> author</w:t>
      </w:r>
      <w:r>
        <w:t>:</w:t>
      </w:r>
      <w:r w:rsidR="00003206">
        <w:t>:</w:t>
      </w:r>
      <w:r w:rsidR="006A1143">
        <w:rPr>
          <w:rFonts w:hint="eastAsia"/>
          <w:lang w:eastAsia="zh-CN"/>
        </w:rPr>
        <w:t>chenxiaoxian2007@126.com</w:t>
      </w:r>
    </w:p>
    <w:p w14:paraId="107A145D" w14:textId="2FE95E51" w:rsidR="00003206" w:rsidRDefault="00003206" w:rsidP="00537496">
      <w:pPr>
        <w:pStyle w:val="Authornameandaffiliation"/>
      </w:pPr>
    </w:p>
    <w:p w14:paraId="433FE049" w14:textId="77777777" w:rsidR="00647F33" w:rsidRPr="00647F33" w:rsidRDefault="00647F33" w:rsidP="00537496">
      <w:pPr>
        <w:pStyle w:val="Authornameandaffiliation"/>
        <w:rPr>
          <w:b/>
        </w:rPr>
      </w:pPr>
      <w:r w:rsidRPr="00647F33">
        <w:rPr>
          <w:b/>
        </w:rPr>
        <w:t>Abstract</w:t>
      </w:r>
    </w:p>
    <w:bookmarkEnd w:id="0"/>
    <w:p w14:paraId="433FE04A" w14:textId="77777777" w:rsidR="00647F33" w:rsidRDefault="00647F33" w:rsidP="00537496">
      <w:pPr>
        <w:pStyle w:val="Authornameandaffiliation"/>
      </w:pPr>
    </w:p>
    <w:p w14:paraId="433FE04B" w14:textId="7129B131" w:rsidR="00647F33" w:rsidRPr="00BD605C" w:rsidRDefault="00731EC7" w:rsidP="00E406FB">
      <w:pPr>
        <w:pStyle w:val="Abstracttext"/>
        <w:jc w:val="both"/>
      </w:pPr>
      <w:r w:rsidRPr="00731EC7">
        <w:t>The study of the nuclear reaction rate distribution in the MOX core of China Experimental Fast Reactor is a necessary condition for obtaining the operating license. From the characteristics of core structure, both the experimental principle and experimental system are studied, emphasizes on the scheme design. Firstly, based on the Monte Carlo Code</w:t>
      </w:r>
      <w:r w:rsidRPr="00731EC7">
        <w:rPr>
          <w:rFonts w:hint="eastAsia"/>
        </w:rPr>
        <w:t>（</w:t>
      </w:r>
      <w:r w:rsidRPr="00731EC7">
        <w:t>MCNP</w:t>
      </w:r>
      <w:r w:rsidRPr="00731EC7">
        <w:rPr>
          <w:rFonts w:hint="eastAsia"/>
        </w:rPr>
        <w:t>）</w:t>
      </w:r>
      <w:r w:rsidRPr="00731EC7">
        <w:t>and NJOY codes, the distribution of the axial and radial reaction rates is obtained through theoretical calculation. MCNP is a general-purpose Monte Carlo N-Particle code that can be used for neutron, photon, electron, and so on. The NJOY nuclear data processing system is a comprehensive computer code package for producing cross sections and related nuclear parameters from ENDF/B evaluated nuclear data. Secondly, the count rate of each nuclide activity measurement was deduced using relative formula, and the irradiation power, irradiation time and foil quality were determined in combination. It is worth noting that the experimental reactivity introduction has a negligible effect on the reactor core by MCNP simulated calculation. Finally, a set of activation experiment scheme that is suitable for CEFR MOX core is formed, which provides technical guidance to carry out activation method experiments.</w:t>
      </w:r>
    </w:p>
    <w:p w14:paraId="433FE04C" w14:textId="77777777" w:rsidR="00647F33" w:rsidRDefault="00F523CA" w:rsidP="00537496">
      <w:pPr>
        <w:pStyle w:val="2"/>
        <w:numPr>
          <w:ilvl w:val="1"/>
          <w:numId w:val="10"/>
        </w:numPr>
      </w:pPr>
      <w:r>
        <w:t>INTRODUCTION</w:t>
      </w:r>
    </w:p>
    <w:p w14:paraId="2DBEE680" w14:textId="088DB243" w:rsidR="00731EC7" w:rsidRPr="00731EC7" w:rsidRDefault="00731EC7" w:rsidP="00731EC7">
      <w:pPr>
        <w:pStyle w:val="a1"/>
        <w:rPr>
          <w:lang w:val="en-US"/>
        </w:rPr>
      </w:pPr>
      <w:r w:rsidRPr="00731EC7">
        <w:rPr>
          <w:lang w:val="en-US"/>
        </w:rPr>
        <w:t>The distribution of nuclear reaction rate is an important parameter for reactor operation, and it is also one of the necessary test data for obtaining the operating license. CEFR is a sodium-cooled fast reactor, and its complex structural characteristics, harsh operating conditions and even no special probe channels make the measurement of reaction rate distribution many restrictions, so the activation method becomes an inevitable choice.</w:t>
      </w:r>
    </w:p>
    <w:p w14:paraId="433FE04E" w14:textId="2CFA480C" w:rsidR="00EE0041" w:rsidRPr="00132E90" w:rsidRDefault="00731EC7" w:rsidP="00132E90">
      <w:pPr>
        <w:pStyle w:val="a1"/>
        <w:rPr>
          <w:lang w:val="en-US"/>
        </w:rPr>
      </w:pPr>
      <w:r w:rsidRPr="00731EC7">
        <w:rPr>
          <w:lang w:val="en-US"/>
        </w:rPr>
        <w:t>After four transitions, the CEFR uranium core is converted to a MOX core. 54 boxes of fuel assemblies are loaded inner core, and 30 boxes of fuel assemblies are loaded in outer cores. CEFR MOX is expected to begin physical start-up experiments in 2027, the reaction rate distribution experiment is carried out in the physical start stage of the reactor.</w:t>
      </w:r>
    </w:p>
    <w:p w14:paraId="433FE04F" w14:textId="7FBF3A54" w:rsidR="00E25B68" w:rsidRDefault="0078568D" w:rsidP="0026525A">
      <w:pPr>
        <w:pStyle w:val="2"/>
        <w:numPr>
          <w:ilvl w:val="1"/>
          <w:numId w:val="10"/>
        </w:numPr>
      </w:pPr>
      <w:r>
        <w:t>EXPERIMENTAL PRINCIPLE</w:t>
      </w:r>
    </w:p>
    <w:p w14:paraId="746766DE" w14:textId="6E43E7D3" w:rsidR="0078568D" w:rsidRPr="0078568D" w:rsidRDefault="0078568D" w:rsidP="0078568D">
      <w:pPr>
        <w:pStyle w:val="a1"/>
        <w:rPr>
          <w:lang w:val="en-US"/>
        </w:rPr>
      </w:pPr>
      <w:r w:rsidRPr="0078568D">
        <w:rPr>
          <w:lang w:val="en-US"/>
        </w:rPr>
        <w:t xml:space="preserve">Using special experimental components, the CEFR MOX core is loaded with the same foils at specific radial or axial positions by an irradiation device. After irradiation in core, the activity data of induced nuclides is measured by high-purity-germanium spectrometer. Finally, the data is normalized to obtain a distribution of reaction rates. </w:t>
      </w:r>
    </w:p>
    <w:p w14:paraId="3DE258E2" w14:textId="66D15EA2" w:rsidR="0078568D" w:rsidRDefault="0078568D" w:rsidP="0078568D">
      <w:pPr>
        <w:pStyle w:val="a1"/>
        <w:rPr>
          <w:lang w:val="en-US"/>
        </w:rPr>
      </w:pPr>
      <w:r w:rsidRPr="0078568D">
        <w:rPr>
          <w:lang w:val="en-US"/>
        </w:rPr>
        <w:t>It is necessary to replace the fuel SAs in the stack with experimental SAs loaded with a group of similar detection foils, irradiated at a certain stable low power, then quickly shut down the core and cool down for an appropriate time. Pull out the special experimental SAs, take out the irradiation device, remove sodium, clean, and disassemble, disassemble the irradiation device and take out the activation foils, then place the foils one by one in the sample tray at the suitable distance from the high-purity germanium measurement system to measure the counts of photo peak. Table 1 shows the neutron physical properties of the detection foil</w:t>
      </w:r>
      <w:r w:rsidRPr="0078568D">
        <w:rPr>
          <w:vertAlign w:val="superscript"/>
          <w:lang w:val="en-US"/>
        </w:rPr>
        <w:t>[1]</w:t>
      </w:r>
      <w:r w:rsidRPr="0078568D">
        <w:rPr>
          <w:lang w:val="en-US"/>
        </w:rPr>
        <w:t>.</w:t>
      </w:r>
    </w:p>
    <w:p w14:paraId="09B8FBC9" w14:textId="2099920A" w:rsidR="00435A78" w:rsidRDefault="00435A78" w:rsidP="00435A78">
      <w:pPr>
        <w:pStyle w:val="a1"/>
        <w:ind w:firstLine="0"/>
      </w:pPr>
      <w:r>
        <w:t>TABLE 1.</w:t>
      </w:r>
      <w:r>
        <w:tab/>
        <w:t>THE NEUTRON PHYSICAL PROPERITIES OF THE ACTVATION FOILS</w:t>
      </w:r>
    </w:p>
    <w:p w14:paraId="3E843F6F" w14:textId="77777777" w:rsidR="00435A78" w:rsidRDefault="00435A78" w:rsidP="00435A78">
      <w:pPr>
        <w:pStyle w:val="a1"/>
        <w:ind w:firstLine="0"/>
      </w:pPr>
    </w:p>
    <w:tbl>
      <w:tblPr>
        <w:tblStyle w:val="ae"/>
        <w:tblW w:w="8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0"/>
        <w:gridCol w:w="1418"/>
        <w:gridCol w:w="1417"/>
        <w:gridCol w:w="1008"/>
        <w:gridCol w:w="1267"/>
        <w:gridCol w:w="1190"/>
      </w:tblGrid>
      <w:tr w:rsidR="00435A78" w14:paraId="6F5AB1D4" w14:textId="77777777" w:rsidTr="009F2577">
        <w:trPr>
          <w:trHeight w:val="356"/>
        </w:trPr>
        <w:tc>
          <w:tcPr>
            <w:tcW w:w="2520" w:type="dxa"/>
            <w:tcBorders>
              <w:top w:val="single" w:sz="12" w:space="0" w:color="auto"/>
              <w:left w:val="nil"/>
              <w:bottom w:val="single" w:sz="12" w:space="0" w:color="auto"/>
              <w:right w:val="nil"/>
            </w:tcBorders>
            <w:hideMark/>
          </w:tcPr>
          <w:p w14:paraId="01EAD8EF" w14:textId="77777777" w:rsidR="00435A78" w:rsidRDefault="00435A78">
            <w:pPr>
              <w:pStyle w:val="af7"/>
              <w:ind w:firstLine="0"/>
              <w:rPr>
                <w:kern w:val="0"/>
                <w:sz w:val="21"/>
                <w:szCs w:val="21"/>
              </w:rPr>
            </w:pPr>
            <w:r>
              <w:rPr>
                <w:kern w:val="0"/>
                <w:sz w:val="21"/>
                <w:szCs w:val="21"/>
              </w:rPr>
              <w:t>material</w:t>
            </w:r>
          </w:p>
        </w:tc>
        <w:tc>
          <w:tcPr>
            <w:tcW w:w="1418" w:type="dxa"/>
            <w:tcBorders>
              <w:top w:val="single" w:sz="12" w:space="0" w:color="auto"/>
              <w:left w:val="nil"/>
              <w:bottom w:val="single" w:sz="12" w:space="0" w:color="auto"/>
              <w:right w:val="nil"/>
            </w:tcBorders>
            <w:hideMark/>
          </w:tcPr>
          <w:p w14:paraId="2990F46F" w14:textId="77777777" w:rsidR="00435A78" w:rsidRDefault="00435A78">
            <w:pPr>
              <w:pStyle w:val="af7"/>
              <w:ind w:firstLine="0"/>
              <w:rPr>
                <w:kern w:val="0"/>
                <w:sz w:val="21"/>
                <w:szCs w:val="21"/>
              </w:rPr>
            </w:pPr>
            <w:r>
              <w:rPr>
                <w:kern w:val="0"/>
                <w:sz w:val="21"/>
                <w:szCs w:val="21"/>
              </w:rPr>
              <w:t>Nuclear reaction</w:t>
            </w:r>
          </w:p>
        </w:tc>
        <w:tc>
          <w:tcPr>
            <w:tcW w:w="1417" w:type="dxa"/>
            <w:tcBorders>
              <w:top w:val="single" w:sz="12" w:space="0" w:color="auto"/>
              <w:left w:val="nil"/>
              <w:bottom w:val="single" w:sz="12" w:space="0" w:color="auto"/>
              <w:right w:val="nil"/>
            </w:tcBorders>
            <w:hideMark/>
          </w:tcPr>
          <w:p w14:paraId="38FE153A" w14:textId="77777777" w:rsidR="00435A78" w:rsidRDefault="00435A78">
            <w:pPr>
              <w:pStyle w:val="af7"/>
              <w:ind w:firstLine="0"/>
              <w:rPr>
                <w:kern w:val="0"/>
                <w:sz w:val="21"/>
                <w:szCs w:val="21"/>
              </w:rPr>
            </w:pPr>
            <w:r>
              <w:rPr>
                <w:kern w:val="0"/>
                <w:sz w:val="21"/>
                <w:szCs w:val="21"/>
              </w:rPr>
              <w:t>Measured</w:t>
            </w:r>
          </w:p>
          <w:p w14:paraId="068126D1" w14:textId="77777777" w:rsidR="00435A78" w:rsidRDefault="00435A78">
            <w:pPr>
              <w:pStyle w:val="af7"/>
              <w:ind w:firstLine="0"/>
              <w:rPr>
                <w:kern w:val="0"/>
                <w:sz w:val="21"/>
                <w:szCs w:val="21"/>
              </w:rPr>
            </w:pPr>
            <w:r>
              <w:rPr>
                <w:kern w:val="0"/>
                <w:sz w:val="21"/>
                <w:szCs w:val="21"/>
              </w:rPr>
              <w:t xml:space="preserve"> nuclide</w:t>
            </w:r>
          </w:p>
        </w:tc>
        <w:tc>
          <w:tcPr>
            <w:tcW w:w="1008" w:type="dxa"/>
            <w:tcBorders>
              <w:top w:val="single" w:sz="12" w:space="0" w:color="auto"/>
              <w:left w:val="nil"/>
              <w:bottom w:val="single" w:sz="12" w:space="0" w:color="auto"/>
              <w:right w:val="nil"/>
            </w:tcBorders>
            <w:hideMark/>
          </w:tcPr>
          <w:p w14:paraId="23BAE41D" w14:textId="77777777" w:rsidR="00435A78" w:rsidRDefault="00435A78">
            <w:pPr>
              <w:pStyle w:val="af7"/>
              <w:ind w:firstLine="0"/>
              <w:rPr>
                <w:kern w:val="0"/>
                <w:sz w:val="21"/>
                <w:szCs w:val="21"/>
              </w:rPr>
            </w:pPr>
            <w:r>
              <w:rPr>
                <w:kern w:val="0"/>
                <w:sz w:val="21"/>
                <w:szCs w:val="21"/>
              </w:rPr>
              <w:t>E</w:t>
            </w:r>
            <w:r>
              <w:rPr>
                <w:kern w:val="0"/>
                <w:sz w:val="21"/>
                <w:szCs w:val="21"/>
                <w:vertAlign w:val="subscript"/>
              </w:rPr>
              <w:t>γ</w:t>
            </w:r>
            <w:r>
              <w:rPr>
                <w:kern w:val="0"/>
                <w:sz w:val="21"/>
                <w:szCs w:val="21"/>
              </w:rPr>
              <w:t xml:space="preserve"> (keV)</w:t>
            </w:r>
          </w:p>
        </w:tc>
        <w:tc>
          <w:tcPr>
            <w:tcW w:w="1267" w:type="dxa"/>
            <w:tcBorders>
              <w:top w:val="single" w:sz="12" w:space="0" w:color="auto"/>
              <w:left w:val="nil"/>
              <w:bottom w:val="single" w:sz="12" w:space="0" w:color="auto"/>
              <w:right w:val="nil"/>
            </w:tcBorders>
            <w:hideMark/>
          </w:tcPr>
          <w:p w14:paraId="53CDEB40" w14:textId="77777777" w:rsidR="00435A78" w:rsidRDefault="00435A78">
            <w:pPr>
              <w:pStyle w:val="af7"/>
              <w:ind w:firstLine="0"/>
              <w:rPr>
                <w:kern w:val="0"/>
                <w:sz w:val="21"/>
                <w:szCs w:val="21"/>
              </w:rPr>
            </w:pPr>
            <w:r>
              <w:rPr>
                <w:kern w:val="0"/>
                <w:sz w:val="21"/>
                <w:szCs w:val="21"/>
              </w:rPr>
              <w:t>Radioactive half-time</w:t>
            </w:r>
          </w:p>
        </w:tc>
        <w:tc>
          <w:tcPr>
            <w:tcW w:w="1190" w:type="dxa"/>
            <w:tcBorders>
              <w:top w:val="single" w:sz="12" w:space="0" w:color="auto"/>
              <w:left w:val="nil"/>
              <w:bottom w:val="single" w:sz="12" w:space="0" w:color="auto"/>
              <w:right w:val="nil"/>
            </w:tcBorders>
            <w:hideMark/>
          </w:tcPr>
          <w:p w14:paraId="1DC6D15D" w14:textId="77777777" w:rsidR="00435A78" w:rsidRDefault="00435A78">
            <w:pPr>
              <w:pStyle w:val="af7"/>
              <w:ind w:firstLine="0"/>
              <w:rPr>
                <w:kern w:val="0"/>
                <w:sz w:val="21"/>
                <w:szCs w:val="21"/>
              </w:rPr>
            </w:pPr>
            <w:r>
              <w:rPr>
                <w:kern w:val="0"/>
                <w:sz w:val="21"/>
                <w:szCs w:val="21"/>
              </w:rPr>
              <w:t>Branching ratio(%)</w:t>
            </w:r>
          </w:p>
        </w:tc>
      </w:tr>
      <w:tr w:rsidR="00435A78" w14:paraId="379DD344" w14:textId="77777777" w:rsidTr="009F2577">
        <w:trPr>
          <w:trHeight w:val="266"/>
        </w:trPr>
        <w:tc>
          <w:tcPr>
            <w:tcW w:w="2520" w:type="dxa"/>
            <w:vMerge w:val="restart"/>
            <w:tcBorders>
              <w:top w:val="single" w:sz="12" w:space="0" w:color="auto"/>
              <w:left w:val="nil"/>
              <w:bottom w:val="nil"/>
              <w:right w:val="nil"/>
            </w:tcBorders>
            <w:hideMark/>
          </w:tcPr>
          <w:p w14:paraId="0564F214" w14:textId="77777777" w:rsidR="00435A78" w:rsidRDefault="00435A78">
            <w:pPr>
              <w:pStyle w:val="af7"/>
              <w:ind w:firstLine="0"/>
              <w:rPr>
                <w:kern w:val="0"/>
                <w:sz w:val="21"/>
                <w:szCs w:val="21"/>
              </w:rPr>
            </w:pPr>
            <w:r>
              <w:rPr>
                <w:kern w:val="0"/>
                <w:sz w:val="21"/>
                <w:szCs w:val="21"/>
              </w:rPr>
              <w:t>U</w:t>
            </w:r>
            <w:r>
              <w:rPr>
                <w:rFonts w:hint="eastAsia"/>
                <w:kern w:val="0"/>
                <w:sz w:val="21"/>
                <w:szCs w:val="21"/>
              </w:rPr>
              <w:t>（</w:t>
            </w:r>
            <w:r>
              <w:rPr>
                <w:kern w:val="0"/>
                <w:sz w:val="21"/>
                <w:szCs w:val="21"/>
              </w:rPr>
              <w:t>90%</w:t>
            </w:r>
            <w:r>
              <w:rPr>
                <w:rFonts w:hint="eastAsia"/>
                <w:kern w:val="0"/>
                <w:sz w:val="21"/>
                <w:szCs w:val="21"/>
              </w:rPr>
              <w:t>）</w:t>
            </w:r>
          </w:p>
        </w:tc>
        <w:tc>
          <w:tcPr>
            <w:tcW w:w="1418" w:type="dxa"/>
            <w:tcBorders>
              <w:top w:val="single" w:sz="12" w:space="0" w:color="auto"/>
              <w:left w:val="nil"/>
              <w:bottom w:val="nil"/>
              <w:right w:val="nil"/>
            </w:tcBorders>
            <w:hideMark/>
          </w:tcPr>
          <w:p w14:paraId="0CA797A6" w14:textId="77777777" w:rsidR="00435A78" w:rsidRDefault="00435A78">
            <w:pPr>
              <w:pStyle w:val="af7"/>
              <w:ind w:firstLine="0"/>
              <w:rPr>
                <w:kern w:val="0"/>
                <w:sz w:val="21"/>
                <w:szCs w:val="21"/>
              </w:rPr>
            </w:pPr>
            <w:r>
              <w:rPr>
                <w:kern w:val="0"/>
                <w:sz w:val="21"/>
                <w:szCs w:val="21"/>
                <w:vertAlign w:val="superscript"/>
              </w:rPr>
              <w:t>235</w:t>
            </w:r>
            <w:r>
              <w:rPr>
                <w:kern w:val="0"/>
                <w:sz w:val="21"/>
                <w:szCs w:val="21"/>
              </w:rPr>
              <w:t>U(n.f)</w:t>
            </w:r>
          </w:p>
        </w:tc>
        <w:tc>
          <w:tcPr>
            <w:tcW w:w="1417" w:type="dxa"/>
            <w:tcBorders>
              <w:top w:val="single" w:sz="12" w:space="0" w:color="auto"/>
              <w:left w:val="nil"/>
              <w:bottom w:val="nil"/>
              <w:right w:val="nil"/>
            </w:tcBorders>
            <w:hideMark/>
          </w:tcPr>
          <w:p w14:paraId="14717F7E" w14:textId="77777777" w:rsidR="00435A78" w:rsidRDefault="00435A78">
            <w:pPr>
              <w:pStyle w:val="af7"/>
              <w:ind w:firstLine="0"/>
              <w:rPr>
                <w:kern w:val="0"/>
                <w:sz w:val="21"/>
                <w:szCs w:val="21"/>
              </w:rPr>
            </w:pPr>
            <w:r>
              <w:rPr>
                <w:kern w:val="0"/>
                <w:sz w:val="21"/>
                <w:szCs w:val="21"/>
                <w:vertAlign w:val="superscript"/>
              </w:rPr>
              <w:t>140</w:t>
            </w:r>
            <w:r>
              <w:rPr>
                <w:kern w:val="0"/>
                <w:sz w:val="21"/>
                <w:szCs w:val="21"/>
              </w:rPr>
              <w:t>La</w:t>
            </w:r>
          </w:p>
        </w:tc>
        <w:tc>
          <w:tcPr>
            <w:tcW w:w="1008" w:type="dxa"/>
            <w:tcBorders>
              <w:top w:val="single" w:sz="12" w:space="0" w:color="auto"/>
              <w:left w:val="nil"/>
              <w:bottom w:val="nil"/>
              <w:right w:val="nil"/>
            </w:tcBorders>
            <w:hideMark/>
          </w:tcPr>
          <w:p w14:paraId="6134C37D" w14:textId="77777777" w:rsidR="00435A78" w:rsidRDefault="00435A78">
            <w:pPr>
              <w:pStyle w:val="af7"/>
              <w:ind w:firstLine="0"/>
              <w:rPr>
                <w:kern w:val="0"/>
                <w:sz w:val="21"/>
                <w:szCs w:val="21"/>
              </w:rPr>
            </w:pPr>
            <w:r>
              <w:rPr>
                <w:kern w:val="0"/>
                <w:sz w:val="21"/>
                <w:szCs w:val="21"/>
              </w:rPr>
              <w:t>1596</w:t>
            </w:r>
          </w:p>
        </w:tc>
        <w:tc>
          <w:tcPr>
            <w:tcW w:w="1267" w:type="dxa"/>
            <w:tcBorders>
              <w:top w:val="single" w:sz="12" w:space="0" w:color="auto"/>
              <w:left w:val="nil"/>
              <w:bottom w:val="nil"/>
              <w:right w:val="nil"/>
            </w:tcBorders>
            <w:hideMark/>
          </w:tcPr>
          <w:p w14:paraId="403C6D86" w14:textId="77777777" w:rsidR="00435A78" w:rsidRDefault="00435A78">
            <w:pPr>
              <w:pStyle w:val="af7"/>
              <w:ind w:firstLine="0"/>
              <w:rPr>
                <w:kern w:val="0"/>
                <w:sz w:val="21"/>
                <w:szCs w:val="21"/>
              </w:rPr>
            </w:pPr>
            <w:r>
              <w:rPr>
                <w:kern w:val="0"/>
                <w:sz w:val="21"/>
                <w:szCs w:val="21"/>
              </w:rPr>
              <w:t>40.27h</w:t>
            </w:r>
          </w:p>
        </w:tc>
        <w:tc>
          <w:tcPr>
            <w:tcW w:w="1190" w:type="dxa"/>
            <w:tcBorders>
              <w:top w:val="single" w:sz="12" w:space="0" w:color="auto"/>
              <w:left w:val="nil"/>
              <w:bottom w:val="nil"/>
              <w:right w:val="nil"/>
            </w:tcBorders>
            <w:hideMark/>
          </w:tcPr>
          <w:p w14:paraId="694282B9" w14:textId="77777777" w:rsidR="00435A78" w:rsidRDefault="00435A78">
            <w:pPr>
              <w:pStyle w:val="af7"/>
              <w:ind w:firstLine="0"/>
              <w:rPr>
                <w:kern w:val="0"/>
                <w:sz w:val="21"/>
                <w:szCs w:val="21"/>
              </w:rPr>
            </w:pPr>
            <w:r>
              <w:rPr>
                <w:kern w:val="0"/>
                <w:sz w:val="21"/>
                <w:szCs w:val="21"/>
              </w:rPr>
              <w:t>95.6</w:t>
            </w:r>
          </w:p>
        </w:tc>
      </w:tr>
      <w:tr w:rsidR="00435A78" w14:paraId="678FD3F3" w14:textId="77777777" w:rsidTr="009F2577">
        <w:trPr>
          <w:trHeight w:val="266"/>
        </w:trPr>
        <w:tc>
          <w:tcPr>
            <w:tcW w:w="2520" w:type="dxa"/>
            <w:vMerge/>
            <w:tcBorders>
              <w:top w:val="single" w:sz="12" w:space="0" w:color="auto"/>
              <w:left w:val="nil"/>
              <w:bottom w:val="nil"/>
              <w:right w:val="nil"/>
            </w:tcBorders>
            <w:vAlign w:val="center"/>
            <w:hideMark/>
          </w:tcPr>
          <w:p w14:paraId="3CBEAC4C" w14:textId="77777777" w:rsidR="00435A78" w:rsidRDefault="00435A78">
            <w:pPr>
              <w:rPr>
                <w:rFonts w:eastAsia="宋体"/>
                <w:sz w:val="21"/>
                <w:szCs w:val="21"/>
              </w:rPr>
            </w:pPr>
          </w:p>
        </w:tc>
        <w:tc>
          <w:tcPr>
            <w:tcW w:w="1418" w:type="dxa"/>
            <w:hideMark/>
          </w:tcPr>
          <w:p w14:paraId="79E4BC38" w14:textId="77777777" w:rsidR="00435A78" w:rsidRDefault="00435A78">
            <w:pPr>
              <w:pStyle w:val="af7"/>
              <w:ind w:firstLine="0"/>
              <w:rPr>
                <w:kern w:val="0"/>
                <w:sz w:val="21"/>
                <w:szCs w:val="21"/>
                <w:vertAlign w:val="superscript"/>
              </w:rPr>
            </w:pPr>
            <w:r>
              <w:rPr>
                <w:kern w:val="0"/>
                <w:sz w:val="21"/>
                <w:szCs w:val="21"/>
                <w:vertAlign w:val="superscript"/>
              </w:rPr>
              <w:t>235</w:t>
            </w:r>
            <w:r>
              <w:rPr>
                <w:kern w:val="0"/>
                <w:sz w:val="21"/>
                <w:szCs w:val="21"/>
              </w:rPr>
              <w:t>U(n.f)</w:t>
            </w:r>
          </w:p>
        </w:tc>
        <w:tc>
          <w:tcPr>
            <w:tcW w:w="1417" w:type="dxa"/>
            <w:hideMark/>
          </w:tcPr>
          <w:p w14:paraId="57159DAA" w14:textId="77777777" w:rsidR="00435A78" w:rsidRDefault="00435A78">
            <w:pPr>
              <w:pStyle w:val="af7"/>
              <w:ind w:firstLine="0"/>
              <w:rPr>
                <w:kern w:val="0"/>
                <w:sz w:val="21"/>
                <w:szCs w:val="21"/>
                <w:vertAlign w:val="superscript"/>
              </w:rPr>
            </w:pPr>
            <w:r>
              <w:rPr>
                <w:kern w:val="0"/>
                <w:sz w:val="21"/>
                <w:szCs w:val="21"/>
                <w:vertAlign w:val="superscript"/>
              </w:rPr>
              <w:t>143</w:t>
            </w:r>
            <w:r>
              <w:rPr>
                <w:kern w:val="0"/>
                <w:sz w:val="21"/>
                <w:szCs w:val="21"/>
              </w:rPr>
              <w:t>Ce</w:t>
            </w:r>
          </w:p>
        </w:tc>
        <w:tc>
          <w:tcPr>
            <w:tcW w:w="1008" w:type="dxa"/>
            <w:hideMark/>
          </w:tcPr>
          <w:p w14:paraId="734E5D32" w14:textId="77777777" w:rsidR="00435A78" w:rsidRDefault="00435A78">
            <w:pPr>
              <w:pStyle w:val="af7"/>
              <w:ind w:firstLine="0"/>
              <w:rPr>
                <w:kern w:val="0"/>
                <w:sz w:val="21"/>
                <w:szCs w:val="21"/>
              </w:rPr>
            </w:pPr>
            <w:r>
              <w:rPr>
                <w:kern w:val="0"/>
                <w:sz w:val="21"/>
                <w:szCs w:val="21"/>
              </w:rPr>
              <w:t>239</w:t>
            </w:r>
          </w:p>
        </w:tc>
        <w:tc>
          <w:tcPr>
            <w:tcW w:w="1267" w:type="dxa"/>
            <w:hideMark/>
          </w:tcPr>
          <w:p w14:paraId="205A2A39" w14:textId="77777777" w:rsidR="00435A78" w:rsidRDefault="00435A78">
            <w:pPr>
              <w:pStyle w:val="af7"/>
              <w:ind w:firstLine="0"/>
              <w:rPr>
                <w:kern w:val="0"/>
                <w:sz w:val="21"/>
                <w:szCs w:val="21"/>
              </w:rPr>
            </w:pPr>
            <w:r>
              <w:rPr>
                <w:kern w:val="0"/>
                <w:sz w:val="21"/>
                <w:szCs w:val="21"/>
              </w:rPr>
              <w:t>33.039h</w:t>
            </w:r>
          </w:p>
        </w:tc>
        <w:tc>
          <w:tcPr>
            <w:tcW w:w="1190" w:type="dxa"/>
            <w:hideMark/>
          </w:tcPr>
          <w:p w14:paraId="3E128547" w14:textId="77777777" w:rsidR="00435A78" w:rsidRDefault="00435A78">
            <w:pPr>
              <w:pStyle w:val="af7"/>
              <w:ind w:firstLine="0"/>
              <w:rPr>
                <w:kern w:val="0"/>
                <w:sz w:val="21"/>
                <w:szCs w:val="21"/>
              </w:rPr>
            </w:pPr>
            <w:r>
              <w:rPr>
                <w:kern w:val="0"/>
                <w:sz w:val="21"/>
                <w:szCs w:val="21"/>
              </w:rPr>
              <w:t>42.8</w:t>
            </w:r>
          </w:p>
        </w:tc>
      </w:tr>
      <w:tr w:rsidR="00435A78" w14:paraId="4DD9143D" w14:textId="77777777" w:rsidTr="009F2577">
        <w:trPr>
          <w:trHeight w:val="258"/>
        </w:trPr>
        <w:tc>
          <w:tcPr>
            <w:tcW w:w="2520" w:type="dxa"/>
            <w:vMerge w:val="restart"/>
            <w:tcBorders>
              <w:top w:val="nil"/>
              <w:left w:val="nil"/>
              <w:bottom w:val="single" w:sz="12" w:space="0" w:color="auto"/>
              <w:right w:val="nil"/>
            </w:tcBorders>
            <w:hideMark/>
          </w:tcPr>
          <w:p w14:paraId="13C30558" w14:textId="77777777" w:rsidR="00435A78" w:rsidRDefault="00435A78">
            <w:pPr>
              <w:pStyle w:val="af7"/>
              <w:ind w:firstLine="0"/>
              <w:rPr>
                <w:kern w:val="0"/>
                <w:sz w:val="21"/>
                <w:szCs w:val="21"/>
              </w:rPr>
            </w:pPr>
            <w:r>
              <w:rPr>
                <w:kern w:val="0"/>
                <w:sz w:val="21"/>
                <w:szCs w:val="21"/>
              </w:rPr>
              <w:t>U(Depleted uranium)</w:t>
            </w:r>
          </w:p>
        </w:tc>
        <w:tc>
          <w:tcPr>
            <w:tcW w:w="1418" w:type="dxa"/>
            <w:hideMark/>
          </w:tcPr>
          <w:p w14:paraId="3BB0C24F" w14:textId="77777777" w:rsidR="00435A78" w:rsidRDefault="00435A78">
            <w:pPr>
              <w:pStyle w:val="af7"/>
              <w:ind w:firstLine="0"/>
              <w:rPr>
                <w:kern w:val="0"/>
                <w:sz w:val="21"/>
                <w:szCs w:val="21"/>
              </w:rPr>
            </w:pPr>
            <w:r>
              <w:rPr>
                <w:kern w:val="0"/>
                <w:sz w:val="21"/>
                <w:szCs w:val="21"/>
                <w:vertAlign w:val="superscript"/>
              </w:rPr>
              <w:t>238</w:t>
            </w:r>
            <w:r>
              <w:rPr>
                <w:kern w:val="0"/>
                <w:sz w:val="21"/>
                <w:szCs w:val="21"/>
              </w:rPr>
              <w:t>U(n.f)</w:t>
            </w:r>
          </w:p>
        </w:tc>
        <w:tc>
          <w:tcPr>
            <w:tcW w:w="1417" w:type="dxa"/>
            <w:hideMark/>
          </w:tcPr>
          <w:p w14:paraId="071B132A" w14:textId="77777777" w:rsidR="00435A78" w:rsidRDefault="00435A78">
            <w:pPr>
              <w:pStyle w:val="af7"/>
              <w:ind w:firstLine="0"/>
              <w:rPr>
                <w:kern w:val="0"/>
                <w:sz w:val="21"/>
                <w:szCs w:val="21"/>
              </w:rPr>
            </w:pPr>
            <w:r>
              <w:rPr>
                <w:kern w:val="0"/>
                <w:sz w:val="21"/>
                <w:szCs w:val="21"/>
                <w:vertAlign w:val="superscript"/>
              </w:rPr>
              <w:t>140</w:t>
            </w:r>
            <w:r>
              <w:rPr>
                <w:kern w:val="0"/>
                <w:sz w:val="21"/>
                <w:szCs w:val="21"/>
              </w:rPr>
              <w:t>La</w:t>
            </w:r>
          </w:p>
        </w:tc>
        <w:tc>
          <w:tcPr>
            <w:tcW w:w="1008" w:type="dxa"/>
            <w:hideMark/>
          </w:tcPr>
          <w:p w14:paraId="34BAEA28" w14:textId="77777777" w:rsidR="00435A78" w:rsidRDefault="00435A78">
            <w:pPr>
              <w:pStyle w:val="af7"/>
              <w:ind w:firstLine="0"/>
              <w:rPr>
                <w:kern w:val="0"/>
                <w:sz w:val="21"/>
                <w:szCs w:val="21"/>
              </w:rPr>
            </w:pPr>
            <w:r>
              <w:rPr>
                <w:kern w:val="0"/>
                <w:sz w:val="21"/>
                <w:szCs w:val="21"/>
              </w:rPr>
              <w:t>1596</w:t>
            </w:r>
          </w:p>
        </w:tc>
        <w:tc>
          <w:tcPr>
            <w:tcW w:w="1267" w:type="dxa"/>
            <w:hideMark/>
          </w:tcPr>
          <w:p w14:paraId="01B5C758" w14:textId="77777777" w:rsidR="00435A78" w:rsidRDefault="00435A78">
            <w:pPr>
              <w:pStyle w:val="af7"/>
              <w:ind w:firstLine="0"/>
              <w:rPr>
                <w:kern w:val="0"/>
                <w:sz w:val="21"/>
                <w:szCs w:val="21"/>
              </w:rPr>
            </w:pPr>
            <w:r>
              <w:rPr>
                <w:kern w:val="0"/>
                <w:sz w:val="21"/>
                <w:szCs w:val="21"/>
              </w:rPr>
              <w:t>40.27h</w:t>
            </w:r>
          </w:p>
        </w:tc>
        <w:tc>
          <w:tcPr>
            <w:tcW w:w="1190" w:type="dxa"/>
            <w:hideMark/>
          </w:tcPr>
          <w:p w14:paraId="35AD2109" w14:textId="77777777" w:rsidR="00435A78" w:rsidRDefault="00435A78">
            <w:pPr>
              <w:pStyle w:val="af7"/>
              <w:ind w:firstLine="0"/>
              <w:rPr>
                <w:kern w:val="0"/>
                <w:sz w:val="21"/>
                <w:szCs w:val="21"/>
              </w:rPr>
            </w:pPr>
            <w:r>
              <w:rPr>
                <w:kern w:val="0"/>
                <w:sz w:val="21"/>
                <w:szCs w:val="21"/>
              </w:rPr>
              <w:t>95.6</w:t>
            </w:r>
          </w:p>
        </w:tc>
      </w:tr>
      <w:tr w:rsidR="00435A78" w14:paraId="3041BFA9" w14:textId="77777777" w:rsidTr="009F2577">
        <w:trPr>
          <w:trHeight w:val="258"/>
        </w:trPr>
        <w:tc>
          <w:tcPr>
            <w:tcW w:w="2520" w:type="dxa"/>
            <w:vMerge/>
            <w:tcBorders>
              <w:top w:val="nil"/>
              <w:left w:val="nil"/>
              <w:bottom w:val="single" w:sz="12" w:space="0" w:color="auto"/>
              <w:right w:val="nil"/>
            </w:tcBorders>
            <w:vAlign w:val="center"/>
            <w:hideMark/>
          </w:tcPr>
          <w:p w14:paraId="1BEA3AF5" w14:textId="77777777" w:rsidR="00435A78" w:rsidRDefault="00435A78">
            <w:pPr>
              <w:rPr>
                <w:rFonts w:eastAsia="宋体"/>
                <w:sz w:val="21"/>
                <w:szCs w:val="21"/>
              </w:rPr>
            </w:pPr>
          </w:p>
        </w:tc>
        <w:tc>
          <w:tcPr>
            <w:tcW w:w="1418" w:type="dxa"/>
            <w:tcBorders>
              <w:top w:val="nil"/>
              <w:left w:val="nil"/>
              <w:bottom w:val="single" w:sz="12" w:space="0" w:color="auto"/>
              <w:right w:val="nil"/>
            </w:tcBorders>
            <w:hideMark/>
          </w:tcPr>
          <w:p w14:paraId="03E497D5" w14:textId="77777777" w:rsidR="00435A78" w:rsidRDefault="00435A78">
            <w:pPr>
              <w:pStyle w:val="af7"/>
              <w:ind w:firstLine="0"/>
              <w:rPr>
                <w:kern w:val="0"/>
                <w:sz w:val="21"/>
                <w:szCs w:val="21"/>
                <w:vertAlign w:val="superscript"/>
              </w:rPr>
            </w:pPr>
            <w:r>
              <w:rPr>
                <w:kern w:val="0"/>
                <w:sz w:val="21"/>
                <w:szCs w:val="21"/>
                <w:vertAlign w:val="superscript"/>
              </w:rPr>
              <w:t>238</w:t>
            </w:r>
            <w:r>
              <w:rPr>
                <w:kern w:val="0"/>
                <w:sz w:val="21"/>
                <w:szCs w:val="21"/>
              </w:rPr>
              <w:t>U(n.f)</w:t>
            </w:r>
          </w:p>
        </w:tc>
        <w:tc>
          <w:tcPr>
            <w:tcW w:w="1417" w:type="dxa"/>
            <w:tcBorders>
              <w:top w:val="nil"/>
              <w:left w:val="nil"/>
              <w:bottom w:val="single" w:sz="12" w:space="0" w:color="auto"/>
              <w:right w:val="nil"/>
            </w:tcBorders>
            <w:hideMark/>
          </w:tcPr>
          <w:p w14:paraId="73A17D26" w14:textId="77777777" w:rsidR="00435A78" w:rsidRDefault="00435A78">
            <w:pPr>
              <w:pStyle w:val="af7"/>
              <w:ind w:firstLine="0"/>
              <w:rPr>
                <w:kern w:val="0"/>
                <w:sz w:val="21"/>
                <w:szCs w:val="21"/>
                <w:vertAlign w:val="superscript"/>
              </w:rPr>
            </w:pPr>
            <w:r>
              <w:rPr>
                <w:kern w:val="0"/>
                <w:sz w:val="21"/>
                <w:szCs w:val="21"/>
                <w:vertAlign w:val="superscript"/>
              </w:rPr>
              <w:t>143</w:t>
            </w:r>
            <w:r>
              <w:rPr>
                <w:kern w:val="0"/>
                <w:sz w:val="21"/>
                <w:szCs w:val="21"/>
              </w:rPr>
              <w:t>Ce</w:t>
            </w:r>
          </w:p>
        </w:tc>
        <w:tc>
          <w:tcPr>
            <w:tcW w:w="1008" w:type="dxa"/>
            <w:tcBorders>
              <w:top w:val="nil"/>
              <w:left w:val="nil"/>
              <w:bottom w:val="single" w:sz="12" w:space="0" w:color="auto"/>
              <w:right w:val="nil"/>
            </w:tcBorders>
            <w:hideMark/>
          </w:tcPr>
          <w:p w14:paraId="154B128B" w14:textId="77777777" w:rsidR="00435A78" w:rsidRDefault="00435A78">
            <w:pPr>
              <w:pStyle w:val="af7"/>
              <w:ind w:firstLine="0"/>
              <w:rPr>
                <w:kern w:val="0"/>
                <w:sz w:val="21"/>
                <w:szCs w:val="21"/>
              </w:rPr>
            </w:pPr>
            <w:r>
              <w:rPr>
                <w:kern w:val="0"/>
                <w:sz w:val="21"/>
                <w:szCs w:val="21"/>
              </w:rPr>
              <w:t>239</w:t>
            </w:r>
          </w:p>
        </w:tc>
        <w:tc>
          <w:tcPr>
            <w:tcW w:w="1267" w:type="dxa"/>
            <w:tcBorders>
              <w:top w:val="nil"/>
              <w:left w:val="nil"/>
              <w:bottom w:val="single" w:sz="12" w:space="0" w:color="auto"/>
              <w:right w:val="nil"/>
            </w:tcBorders>
            <w:hideMark/>
          </w:tcPr>
          <w:p w14:paraId="7C131C29" w14:textId="77777777" w:rsidR="00435A78" w:rsidRDefault="00435A78">
            <w:pPr>
              <w:pStyle w:val="af7"/>
              <w:ind w:firstLine="0"/>
              <w:rPr>
                <w:kern w:val="0"/>
                <w:sz w:val="21"/>
                <w:szCs w:val="21"/>
              </w:rPr>
            </w:pPr>
            <w:r>
              <w:rPr>
                <w:kern w:val="0"/>
                <w:sz w:val="21"/>
                <w:szCs w:val="21"/>
              </w:rPr>
              <w:t>33.039h</w:t>
            </w:r>
          </w:p>
        </w:tc>
        <w:tc>
          <w:tcPr>
            <w:tcW w:w="1190" w:type="dxa"/>
            <w:tcBorders>
              <w:top w:val="nil"/>
              <w:left w:val="nil"/>
              <w:bottom w:val="single" w:sz="12" w:space="0" w:color="auto"/>
              <w:right w:val="nil"/>
            </w:tcBorders>
            <w:hideMark/>
          </w:tcPr>
          <w:p w14:paraId="042C3D8B" w14:textId="77777777" w:rsidR="00435A78" w:rsidRDefault="00435A78">
            <w:pPr>
              <w:pStyle w:val="af7"/>
              <w:ind w:firstLine="0"/>
              <w:rPr>
                <w:kern w:val="0"/>
                <w:sz w:val="21"/>
                <w:szCs w:val="21"/>
              </w:rPr>
            </w:pPr>
            <w:r>
              <w:rPr>
                <w:kern w:val="0"/>
                <w:sz w:val="21"/>
                <w:szCs w:val="21"/>
              </w:rPr>
              <w:t>42.8</w:t>
            </w:r>
          </w:p>
        </w:tc>
      </w:tr>
    </w:tbl>
    <w:p w14:paraId="77789A85" w14:textId="77777777" w:rsidR="009F2577" w:rsidRDefault="009F2577" w:rsidP="009F2577">
      <w:pPr>
        <w:ind w:right="72" w:firstLineChars="200" w:firstLine="400"/>
        <w:jc w:val="both"/>
        <w:rPr>
          <w:rFonts w:eastAsia="宋体"/>
          <w:sz w:val="20"/>
        </w:rPr>
      </w:pPr>
    </w:p>
    <w:p w14:paraId="59CF8400" w14:textId="6C32E498" w:rsidR="009F2577" w:rsidRPr="009F2577" w:rsidRDefault="009F2577" w:rsidP="009F2577">
      <w:pPr>
        <w:ind w:right="72" w:firstLineChars="200" w:firstLine="400"/>
        <w:jc w:val="both"/>
        <w:rPr>
          <w:rFonts w:eastAsia="宋体"/>
          <w:sz w:val="20"/>
          <w:lang w:eastAsia="zh-CN"/>
        </w:rPr>
      </w:pPr>
      <w:r w:rsidRPr="009F2577">
        <w:rPr>
          <w:rFonts w:eastAsia="宋体"/>
          <w:sz w:val="20"/>
        </w:rPr>
        <w:t>Take</w:t>
      </w:r>
      <w:r w:rsidRPr="009F2577">
        <w:rPr>
          <w:rFonts w:eastAsia="宋体"/>
          <w:sz w:val="20"/>
          <w:vertAlign w:val="superscript"/>
        </w:rPr>
        <w:t xml:space="preserve"> 235</w:t>
      </w:r>
      <w:r w:rsidRPr="009F2577">
        <w:rPr>
          <w:rFonts w:eastAsia="宋体"/>
          <w:sz w:val="20"/>
        </w:rPr>
        <w:t>U fission rate distribution measurement as an example. Put a highly enriched uranium foil (</w:t>
      </w:r>
      <w:r w:rsidRPr="009F2577">
        <w:rPr>
          <w:rFonts w:eastAsia="宋体"/>
          <w:sz w:val="20"/>
          <w:vertAlign w:val="superscript"/>
        </w:rPr>
        <w:t>235</w:t>
      </w:r>
      <w:r w:rsidRPr="009F2577">
        <w:rPr>
          <w:rFonts w:eastAsia="宋体"/>
          <w:sz w:val="20"/>
        </w:rPr>
        <w:t>U of 90% enrichment degree) into the reactor for irradiation, and at a certain moment T</w:t>
      </w:r>
      <w:r w:rsidRPr="009F2577">
        <w:rPr>
          <w:rFonts w:eastAsia="宋体"/>
          <w:sz w:val="20"/>
          <w:vertAlign w:val="subscript"/>
        </w:rPr>
        <w:t>W</w:t>
      </w:r>
      <w:r w:rsidRPr="009F2577">
        <w:rPr>
          <w:rFonts w:eastAsia="宋体"/>
          <w:sz w:val="20"/>
        </w:rPr>
        <w:t xml:space="preserve"> after the irradiation (irradiation time is T</w:t>
      </w:r>
      <w:r w:rsidRPr="009F2577">
        <w:rPr>
          <w:rFonts w:eastAsia="宋体"/>
          <w:sz w:val="20"/>
          <w:vertAlign w:val="subscript"/>
        </w:rPr>
        <w:t>S</w:t>
      </w:r>
      <w:r w:rsidRPr="009F2577">
        <w:rPr>
          <w:rFonts w:eastAsia="宋体"/>
          <w:sz w:val="20"/>
        </w:rPr>
        <w:t>), measure 497 keV ray emitted by fission product nucleus (</w:t>
      </w:r>
      <w:r w:rsidRPr="009F2577">
        <w:rPr>
          <w:rFonts w:eastAsia="宋体"/>
          <w:sz w:val="20"/>
          <w:vertAlign w:val="superscript"/>
        </w:rPr>
        <w:t>103</w:t>
      </w:r>
      <w:r w:rsidRPr="009F2577">
        <w:rPr>
          <w:rFonts w:eastAsia="宋体"/>
          <w:sz w:val="20"/>
        </w:rPr>
        <w:t xml:space="preserve">Ru). As measurement time is very short, the activity change induced by </w:t>
      </w:r>
      <w:r w:rsidRPr="009F2577">
        <w:rPr>
          <w:rFonts w:eastAsia="宋体"/>
          <w:sz w:val="20"/>
          <w:vertAlign w:val="superscript"/>
        </w:rPr>
        <w:t>103</w:t>
      </w:r>
      <w:r w:rsidRPr="009F2577">
        <w:rPr>
          <w:rFonts w:eastAsia="宋体"/>
          <w:sz w:val="20"/>
        </w:rPr>
        <w:t>Ru during measurement can be negligible.</w:t>
      </w:r>
    </w:p>
    <w:p w14:paraId="35BC9161" w14:textId="77777777" w:rsidR="009F2577" w:rsidRPr="009F2577" w:rsidRDefault="009F2577" w:rsidP="009F2577">
      <w:pPr>
        <w:pStyle w:val="a1"/>
      </w:pPr>
      <w:r w:rsidRPr="009F2577">
        <w:t xml:space="preserve">(1) Considering the attenuation correction during the measurement process, the activity of the fission product </w:t>
      </w:r>
      <w:r w:rsidRPr="009F2577">
        <w:rPr>
          <w:vertAlign w:val="superscript"/>
        </w:rPr>
        <w:t>103</w:t>
      </w:r>
      <w:r w:rsidRPr="009F2577">
        <w:t>Ru is A is shown in Eq.(1).</w:t>
      </w:r>
    </w:p>
    <w:p w14:paraId="1E21F46E" w14:textId="6E83BD0A" w:rsidR="009F2577" w:rsidRPr="009F2577" w:rsidRDefault="009F2577" w:rsidP="009F2577">
      <w:pPr>
        <w:pStyle w:val="a1"/>
      </w:pPr>
      <m:oMath>
        <m:r>
          <w:rPr>
            <w:rFonts w:ascii="Cambria Math" w:hAnsi="Cambria Math"/>
          </w:rPr>
          <m:t>A</m:t>
        </m:r>
        <m:r>
          <m:rPr>
            <m:sty m:val="p"/>
          </m:rPr>
          <w:rPr>
            <w:rFonts w:ascii="Cambria Math" w:hAnsi="Cambria Math"/>
          </w:rPr>
          <m:t>=</m:t>
        </m:r>
        <m:f>
          <m:fPr>
            <m:ctrlPr>
              <w:rPr>
                <w:rFonts w:ascii="Cambria Math" w:hAnsi="Cambria Math"/>
              </w:rPr>
            </m:ctrlPr>
          </m:fPr>
          <m:num>
            <m:r>
              <w:rPr>
                <w:rFonts w:ascii="Cambria Math" w:hAnsi="Cambria Math"/>
              </w:rPr>
              <m:t>C</m:t>
            </m:r>
          </m:num>
          <m:den>
            <m:sSub>
              <m:sSubPr>
                <m:ctrlPr>
                  <w:rPr>
                    <w:rFonts w:ascii="Cambria Math" w:hAnsi="Cambria Math"/>
                    <w:i/>
                  </w:rPr>
                </m:ctrlPr>
              </m:sSubPr>
              <m:e>
                <m:r>
                  <w:rPr>
                    <w:rFonts w:ascii="Cambria Math" w:hAnsi="Cambria Math"/>
                  </w:rPr>
                  <m:t>I</m:t>
                </m:r>
              </m:e>
              <m:sub>
                <m:r>
                  <w:rPr>
                    <w:rFonts w:ascii="Cambria Math" w:hAnsi="Cambria Math"/>
                  </w:rPr>
                  <m:t>γ</m:t>
                </m:r>
              </m:sub>
            </m:sSub>
            <m:r>
              <w:rPr>
                <w:rFonts w:ascii="Cambria Math" w:hAnsi="Cambria Math"/>
              </w:rPr>
              <m:t>εK(1-τ)</m:t>
            </m:r>
          </m:den>
        </m:f>
        <m:r>
          <w:rPr>
            <w:rFonts w:ascii="Cambria Math" w:hAnsi="Cambria Math"/>
          </w:rPr>
          <m:t>×</m:t>
        </m:r>
        <m:f>
          <m:fPr>
            <m:ctrlPr>
              <w:rPr>
                <w:rFonts w:ascii="Cambria Math" w:hAnsi="Cambria Math"/>
              </w:rPr>
            </m:ctrlPr>
          </m:fPr>
          <m:num>
            <m:r>
              <w:rPr>
                <w:rFonts w:ascii="Cambria Math" w:hAnsi="Cambria Math"/>
              </w:rPr>
              <m:t>λ</m:t>
            </m:r>
          </m:num>
          <m:den>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M</m:t>
                    </m:r>
                  </m:sub>
                </m:sSub>
              </m:sup>
            </m:sSup>
            <m:r>
              <w:rPr>
                <w:rFonts w:ascii="Cambria Math" w:hAnsi="Cambria Math"/>
              </w:rPr>
              <m:t xml:space="preserve">  </m:t>
            </m:r>
          </m:den>
        </m:f>
      </m:oMath>
      <w:r w:rsidRPr="009F2577">
        <w:t xml:space="preserve">               </w:t>
      </w:r>
      <w:r w:rsidRPr="009F2577">
        <w:rPr>
          <w:rFonts w:hint="eastAsia"/>
        </w:rPr>
        <w:t>（</w:t>
      </w:r>
      <w:r w:rsidRPr="009F2577">
        <w:t>1</w:t>
      </w:r>
      <w:r w:rsidRPr="009F2577">
        <w:rPr>
          <w:rFonts w:hint="eastAsia"/>
        </w:rPr>
        <w:t>）</w:t>
      </w:r>
    </w:p>
    <w:p w14:paraId="17AAF0A9" w14:textId="77777777" w:rsidR="009F2577" w:rsidRPr="009F2577" w:rsidRDefault="009F2577" w:rsidP="009F2577">
      <w:pPr>
        <w:pStyle w:val="a1"/>
      </w:pPr>
      <w:r w:rsidRPr="009F2577">
        <w:t>where,</w:t>
      </w:r>
    </w:p>
    <w:p w14:paraId="13DF4EED" w14:textId="77777777" w:rsidR="009F2577" w:rsidRPr="009F2577" w:rsidRDefault="009F2577" w:rsidP="009F2577">
      <w:pPr>
        <w:pStyle w:val="a1"/>
      </w:pPr>
      <w:r w:rsidRPr="009F2577">
        <w:t xml:space="preserve">C is the measured light peak area of </w:t>
      </w:r>
      <w:r w:rsidRPr="009F2577">
        <w:rPr>
          <w:vertAlign w:val="superscript"/>
        </w:rPr>
        <w:t>103</w:t>
      </w:r>
      <w:r w:rsidRPr="009F2577">
        <w:t>Ru emitted rays (497keV);</w:t>
      </w:r>
    </w:p>
    <w:p w14:paraId="78E3912B" w14:textId="77777777" w:rsidR="009F2577" w:rsidRPr="009F2577" w:rsidRDefault="009F2577" w:rsidP="009F2577">
      <w:pPr>
        <w:pStyle w:val="a1"/>
      </w:pPr>
      <w:r w:rsidRPr="009F2577">
        <w:rPr>
          <w:i/>
          <w:iCs/>
        </w:rPr>
        <w:t>I</w:t>
      </w:r>
      <w:r w:rsidRPr="009F2577">
        <w:rPr>
          <w:i/>
          <w:iCs/>
          <w:vertAlign w:val="subscript"/>
        </w:rPr>
        <w:sym w:font="Symbol" w:char="F067"/>
      </w:r>
      <w:r w:rsidRPr="009F2577">
        <w:rPr>
          <w:i/>
          <w:iCs/>
          <w:vertAlign w:val="subscript"/>
        </w:rPr>
        <w:t xml:space="preserve"> </w:t>
      </w:r>
      <w:r w:rsidRPr="009F2577">
        <w:t xml:space="preserve">is the absolute intensity (branch ratio) of </w:t>
      </w:r>
      <w:r w:rsidRPr="009F2577">
        <w:rPr>
          <w:vertAlign w:val="superscript"/>
        </w:rPr>
        <w:t>103</w:t>
      </w:r>
      <w:r w:rsidRPr="009F2577">
        <w:t>Ru emitted 497keV radiation;</w:t>
      </w:r>
    </w:p>
    <w:p w14:paraId="4D450BDE" w14:textId="77777777" w:rsidR="009F2577" w:rsidRPr="009F2577" w:rsidRDefault="009F2577" w:rsidP="009F2577">
      <w:pPr>
        <w:pStyle w:val="a1"/>
      </w:pPr>
      <w:r w:rsidRPr="009F2577">
        <w:rPr>
          <w:i/>
          <w:iCs/>
        </w:rPr>
        <w:sym w:font="Symbol" w:char="F065"/>
      </w:r>
      <w:r w:rsidRPr="009F2577">
        <w:rPr>
          <w:i/>
          <w:iCs/>
        </w:rPr>
        <w:t xml:space="preserve"> is </w:t>
      </w:r>
      <w:r w:rsidRPr="009F2577">
        <w:t>measure the peak efficiency of 497keV rays for the spectrometer;</w:t>
      </w:r>
    </w:p>
    <w:p w14:paraId="6CE51731" w14:textId="77777777" w:rsidR="009F2577" w:rsidRPr="009F2577" w:rsidRDefault="009F2577" w:rsidP="009F2577">
      <w:pPr>
        <w:pStyle w:val="a1"/>
      </w:pPr>
      <w:r w:rsidRPr="009F2577">
        <w:t>K is the self-absorption correction coefficient of the 497keV ray of foil;</w:t>
      </w:r>
    </w:p>
    <w:p w14:paraId="2BB7A0F2" w14:textId="77777777" w:rsidR="009F2577" w:rsidRPr="009F2577" w:rsidRDefault="009F2577" w:rsidP="009F2577">
      <w:pPr>
        <w:pStyle w:val="a1"/>
      </w:pPr>
      <w:r w:rsidRPr="009F2577">
        <w:t>T</w:t>
      </w:r>
      <w:r w:rsidRPr="009F2577">
        <w:rPr>
          <w:vertAlign w:val="subscript"/>
        </w:rPr>
        <w:t>M</w:t>
      </w:r>
      <w:r w:rsidRPr="009F2577">
        <w:t xml:space="preserve"> is the measurement time interval;</w:t>
      </w:r>
    </w:p>
    <w:p w14:paraId="3EA63E5A" w14:textId="77777777" w:rsidR="009F2577" w:rsidRPr="009F2577" w:rsidRDefault="009F2577" w:rsidP="009F2577">
      <w:pPr>
        <w:pStyle w:val="a1"/>
      </w:pPr>
      <w:r w:rsidRPr="009F2577">
        <w:sym w:font="Symbol" w:char="F074"/>
      </w:r>
      <w:r w:rsidRPr="009F2577">
        <w:t xml:space="preserve"> is the "dead" time (percentage) of the system;</w:t>
      </w:r>
    </w:p>
    <w:p w14:paraId="0AB2E5C1" w14:textId="1F384307" w:rsidR="009F2577" w:rsidRPr="009F2577" w:rsidRDefault="009F2577" w:rsidP="009F2577">
      <w:pPr>
        <w:pStyle w:val="a1"/>
      </w:pPr>
      <m:oMath>
        <m:r>
          <w:rPr>
            <w:rFonts w:ascii="Cambria Math" w:hAnsi="Cambria Math"/>
          </w:rPr>
          <m:t>λ</m:t>
        </m:r>
      </m:oMath>
      <w:r w:rsidRPr="009F2577">
        <w:t xml:space="preserve"> is the decay constant of </w:t>
      </w:r>
      <w:r w:rsidRPr="009F2577">
        <w:rPr>
          <w:vertAlign w:val="superscript"/>
        </w:rPr>
        <w:t>103</w:t>
      </w:r>
      <w:r w:rsidRPr="009F2577">
        <w:t>Ru.</w:t>
      </w:r>
    </w:p>
    <w:p w14:paraId="0C24D58A" w14:textId="77777777" w:rsidR="009F2577" w:rsidRPr="009F2577" w:rsidRDefault="009F2577" w:rsidP="009F2577">
      <w:pPr>
        <w:pStyle w:val="a1"/>
      </w:pPr>
      <w:r w:rsidRPr="009F2577">
        <w:t xml:space="preserve">(2) The decay chain of </w:t>
      </w:r>
      <w:r w:rsidRPr="009F2577">
        <w:rPr>
          <w:vertAlign w:val="superscript"/>
        </w:rPr>
        <w:t>103</w:t>
      </w:r>
      <w:r w:rsidRPr="009F2577">
        <w:t>Ru is shown blow</w:t>
      </w:r>
    </w:p>
    <w:p w14:paraId="7C20B9FD" w14:textId="5FC55BA5" w:rsidR="009F2577" w:rsidRPr="009F2577" w:rsidRDefault="009C2AC7" w:rsidP="009F2577">
      <w:pPr>
        <w:pStyle w:val="a1"/>
      </w:pPr>
      <m:oMathPara>
        <m:oMath>
          <m:sPre>
            <m:sPrePr>
              <m:ctrlPr>
                <w:rPr>
                  <w:rFonts w:ascii="Cambria Math" w:hAnsi="Cambria Math"/>
                </w:rPr>
              </m:ctrlPr>
            </m:sPrePr>
            <m:sub/>
            <m:sup>
              <m:r>
                <w:rPr>
                  <w:rFonts w:ascii="Cambria Math" w:hAnsi="Cambria Math"/>
                </w:rPr>
                <m:t>103</m:t>
              </m:r>
            </m:sup>
            <m:e>
              <m:r>
                <w:rPr>
                  <w:rFonts w:ascii="Cambria Math" w:hAnsi="Cambria Math"/>
                </w:rPr>
                <m:t>Y</m:t>
              </m:r>
              <m:box>
                <m:boxPr>
                  <m:opEmu m:val="1"/>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92%</m:t>
                      </m:r>
                    </m:e>
                  </m:groupChr>
                </m:e>
              </m:box>
            </m:e>
          </m:sPre>
          <m:sPre>
            <m:sPrePr>
              <m:ctrlPr>
                <w:rPr>
                  <w:rFonts w:ascii="Cambria Math" w:hAnsi="Cambria Math"/>
                  <w:i/>
                </w:rPr>
              </m:ctrlPr>
            </m:sPrePr>
            <m:sub/>
            <m:sup>
              <m:r>
                <w:rPr>
                  <w:rFonts w:ascii="Cambria Math" w:hAnsi="Cambria Math"/>
                </w:rPr>
                <m:t>103</m:t>
              </m:r>
            </m:sup>
            <m:e>
              <m:r>
                <w:rPr>
                  <w:rFonts w:ascii="Cambria Math" w:hAnsi="Cambria Math"/>
                </w:rPr>
                <m:t>Zr→</m:t>
              </m:r>
              <m:sPre>
                <m:sPrePr>
                  <m:ctrlPr>
                    <w:rPr>
                      <w:rFonts w:ascii="Cambria Math" w:hAnsi="Cambria Math"/>
                      <w:i/>
                    </w:rPr>
                  </m:ctrlPr>
                </m:sPrePr>
                <m:sub/>
                <m:sup>
                  <m:r>
                    <w:rPr>
                      <w:rFonts w:ascii="Cambria Math" w:hAnsi="Cambria Math"/>
                    </w:rPr>
                    <m:t>103</m:t>
                  </m:r>
                </m:sup>
                <m:e>
                  <m:r>
                    <w:rPr>
                      <w:rFonts w:ascii="Cambria Math" w:hAnsi="Cambria Math"/>
                    </w:rPr>
                    <m:t>Nb→</m:t>
                  </m:r>
                  <m:sPre>
                    <m:sPrePr>
                      <m:ctrlPr>
                        <w:rPr>
                          <w:rFonts w:ascii="Cambria Math" w:hAnsi="Cambria Math"/>
                          <w:i/>
                        </w:rPr>
                      </m:ctrlPr>
                    </m:sPrePr>
                    <m:sub/>
                    <m:sup>
                      <m:r>
                        <w:rPr>
                          <w:rFonts w:ascii="Cambria Math" w:hAnsi="Cambria Math"/>
                        </w:rPr>
                        <m:t>103</m:t>
                      </m:r>
                    </m:sup>
                    <m:e>
                      <m:r>
                        <w:rPr>
                          <w:rFonts w:ascii="Cambria Math" w:hAnsi="Cambria Math"/>
                        </w:rPr>
                        <m:t>Mo→</m:t>
                      </m:r>
                      <m:sPre>
                        <m:sPrePr>
                          <m:ctrlPr>
                            <w:rPr>
                              <w:rFonts w:ascii="Cambria Math" w:hAnsi="Cambria Math"/>
                              <w:i/>
                            </w:rPr>
                          </m:ctrlPr>
                        </m:sPrePr>
                        <m:sub/>
                        <m:sup>
                          <m:r>
                            <w:rPr>
                              <w:rFonts w:ascii="Cambria Math" w:hAnsi="Cambria Math"/>
                            </w:rPr>
                            <m:t>103</m:t>
                          </m:r>
                        </m:sup>
                        <m:e>
                          <m:r>
                            <w:rPr>
                              <w:rFonts w:ascii="Cambria Math" w:hAnsi="Cambria Math"/>
                            </w:rPr>
                            <m:t>Tc→</m:t>
                          </m:r>
                          <m:sPre>
                            <m:sPrePr>
                              <m:ctrlPr>
                                <w:rPr>
                                  <w:rFonts w:ascii="Cambria Math" w:hAnsi="Cambria Math"/>
                                  <w:i/>
                                </w:rPr>
                              </m:ctrlPr>
                            </m:sPrePr>
                            <m:sub/>
                            <m:sup>
                              <m:r>
                                <w:rPr>
                                  <w:rFonts w:ascii="Cambria Math" w:hAnsi="Cambria Math"/>
                                </w:rPr>
                                <m:t>103</m:t>
                              </m:r>
                            </m:sup>
                            <m:e>
                              <m:r>
                                <w:rPr>
                                  <w:rFonts w:ascii="Cambria Math" w:hAnsi="Cambria Math"/>
                                </w:rPr>
                                <m:t>Ru→</m:t>
                              </m:r>
                            </m:e>
                          </m:sPre>
                        </m:e>
                      </m:sPre>
                    </m:e>
                  </m:sPre>
                </m:e>
              </m:sPre>
            </m:e>
          </m:sPre>
          <m:r>
            <m:rPr>
              <m:sty m:val="p"/>
            </m:rPr>
            <w:rPr>
              <w:rFonts w:ascii="Cambria Math" w:hAnsi="Cambria Math"/>
            </w:rPr>
            <m:t>γ</m:t>
          </m:r>
          <m:r>
            <m:rPr>
              <m:sty m:val="p"/>
            </m:rPr>
            <w:rPr>
              <w:rFonts w:ascii="Cambria Math" w:hAnsi="Cambria Math" w:hint="eastAsia"/>
            </w:rPr>
            <m:t>（</m:t>
          </m:r>
          <m:r>
            <m:rPr>
              <m:sty m:val="p"/>
            </m:rPr>
            <w:rPr>
              <w:rFonts w:ascii="Cambria Math" w:hAnsi="Cambria Math"/>
            </w:rPr>
            <m:t>497KeV,91.0%</m:t>
          </m:r>
          <m:r>
            <m:rPr>
              <m:sty m:val="p"/>
            </m:rPr>
            <w:rPr>
              <w:rFonts w:ascii="Cambria Math" w:hAnsi="Cambria Math" w:hint="eastAsia"/>
            </w:rPr>
            <m:t>）</m:t>
          </m:r>
        </m:oMath>
      </m:oMathPara>
    </w:p>
    <w:p w14:paraId="0E8C1B38" w14:textId="77777777" w:rsidR="009F2577" w:rsidRPr="009F2577" w:rsidRDefault="009F2577" w:rsidP="009F2577">
      <w:pPr>
        <w:pStyle w:val="a1"/>
      </w:pPr>
      <w:r w:rsidRPr="009F2577">
        <w:t xml:space="preserve">The activity of </w:t>
      </w:r>
      <w:r w:rsidRPr="009F2577">
        <w:rPr>
          <w:vertAlign w:val="superscript"/>
        </w:rPr>
        <w:t>103</w:t>
      </w:r>
      <w:r w:rsidRPr="009F2577">
        <w:t>Ru at measurement time A is got by Eq.(2).</w:t>
      </w:r>
    </w:p>
    <w:p w14:paraId="2FFCF402" w14:textId="1DC3A9BE" w:rsidR="009F2577" w:rsidRPr="009F2577" w:rsidRDefault="009F2577" w:rsidP="009F2577">
      <w:pPr>
        <w:pStyle w:val="a1"/>
      </w:pPr>
      <m:oMath>
        <m:r>
          <m:rPr>
            <m:sty m:val="p"/>
          </m:rPr>
          <w:rPr>
            <w:rFonts w:ascii="Cambria Math" w:hAnsi="Cambria Math"/>
          </w:rPr>
          <m:t>A=Φ</m:t>
        </m:r>
        <m:sSubSup>
          <m:sSubSupPr>
            <m:ctrlPr>
              <w:rPr>
                <w:rFonts w:ascii="Cambria Math" w:hAnsi="Cambria Math"/>
              </w:rPr>
            </m:ctrlPr>
          </m:sSubSupPr>
          <m:e>
            <m:r>
              <m:rPr>
                <m:sty m:val="p"/>
              </m:rPr>
              <w:rPr>
                <w:rFonts w:ascii="Cambria Math" w:hAnsi="Cambria Math"/>
              </w:rPr>
              <m:t>σ</m:t>
            </m:r>
          </m:e>
          <m:sub>
            <m:r>
              <w:rPr>
                <w:rFonts w:ascii="Cambria Math" w:hAnsi="Cambria Math"/>
              </w:rPr>
              <m:t>f</m:t>
            </m:r>
          </m:sub>
          <m:sup>
            <m:r>
              <w:rPr>
                <w:rFonts w:ascii="Cambria Math" w:hAnsi="Cambria Math"/>
              </w:rPr>
              <m:t>5</m:t>
            </m:r>
          </m:sup>
        </m:sSubSup>
        <m:sSub>
          <m:sSubPr>
            <m:ctrlPr>
              <w:rPr>
                <w:rFonts w:ascii="Cambria Math" w:hAnsi="Cambria Math"/>
              </w:rPr>
            </m:ctrlPr>
          </m:sSubPr>
          <m:e>
            <m:r>
              <m:rPr>
                <m:sty m:val="p"/>
              </m:rPr>
              <w:rPr>
                <w:rFonts w:ascii="Cambria Math" w:hAnsi="Cambria Math"/>
              </w:rPr>
              <m:t>Γ</m:t>
            </m:r>
          </m:e>
          <m:sub>
            <m:r>
              <w:rPr>
                <w:rFonts w:ascii="Cambria Math" w:hAnsi="Cambria Math"/>
              </w:rPr>
              <m:t>5</m:t>
            </m:r>
          </m:sub>
        </m:sSub>
        <m:r>
          <w:rPr>
            <w:rFonts w:ascii="Cambria Math" w:hAnsi="Cambria Math"/>
          </w:rPr>
          <m:t>N</m:t>
        </m:r>
        <m:sSub>
          <m:sSubPr>
            <m:ctrlPr>
              <w:rPr>
                <w:rFonts w:ascii="Cambria Math" w:hAnsi="Cambria Math"/>
              </w:rPr>
            </m:ctrlPr>
          </m:sSubPr>
          <m:e>
            <m:r>
              <w:rPr>
                <w:rFonts w:ascii="Cambria Math" w:hAnsi="Cambria Math"/>
              </w:rPr>
              <m:t>Y</m:t>
            </m:r>
          </m:e>
          <m:sub>
            <m:r>
              <w:rPr>
                <w:rFonts w:ascii="Cambria Math" w:hAnsi="Cambria Math"/>
              </w:rPr>
              <m:t>5</m:t>
            </m:r>
          </m:sub>
        </m:sSub>
        <m:r>
          <m:rPr>
            <m:sty m:val="p"/>
          </m:rPr>
          <w:rPr>
            <w:rFonts w:ascii="Cambria Math" w:hAnsi="Cambria Math"/>
          </w:rPr>
          <m:t>(1-</m:t>
        </m:r>
        <m:sSup>
          <m:sSupPr>
            <m:ctrlPr>
              <w:rPr>
                <w:rFonts w:ascii="Cambria Math" w:hAnsi="Cambria Math"/>
              </w:rPr>
            </m:ctrlPr>
          </m:sSupPr>
          <m:e>
            <m:r>
              <w:rPr>
                <w:rFonts w:ascii="Cambria Math" w:hAnsi="Cambria Math"/>
              </w:rPr>
              <m:t>e</m:t>
            </m:r>
          </m:e>
          <m:sup>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s</m:t>
                </m:r>
              </m:sub>
            </m:sSub>
          </m:sup>
        </m:sSup>
        <m:r>
          <m:rPr>
            <m:sty m:val="p"/>
          </m:rP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w</m:t>
                </m:r>
              </m:sub>
            </m:sSub>
          </m:sup>
        </m:sSup>
      </m:oMath>
      <w:r w:rsidRPr="009F2577">
        <w:t xml:space="preserve">             </w:t>
      </w:r>
      <w:r w:rsidRPr="009F2577">
        <w:rPr>
          <w:rFonts w:hint="eastAsia"/>
        </w:rPr>
        <w:t>（</w:t>
      </w:r>
      <w:r w:rsidRPr="009F2577">
        <w:t>2</w:t>
      </w:r>
      <w:r w:rsidRPr="009F2577">
        <w:rPr>
          <w:rFonts w:hint="eastAsia"/>
        </w:rPr>
        <w:t>）</w:t>
      </w:r>
    </w:p>
    <w:p w14:paraId="1629C134" w14:textId="77777777" w:rsidR="009F2577" w:rsidRPr="009F2577" w:rsidRDefault="009F2577" w:rsidP="009F2577">
      <w:pPr>
        <w:pStyle w:val="a1"/>
      </w:pPr>
      <w:r w:rsidRPr="009F2577">
        <w:t>Where,</w:t>
      </w:r>
    </w:p>
    <w:p w14:paraId="5AE59E83" w14:textId="77777777" w:rsidR="009F2577" w:rsidRPr="009F2577" w:rsidRDefault="009F2577" w:rsidP="009F2577">
      <w:pPr>
        <w:pStyle w:val="a1"/>
      </w:pPr>
      <w:r w:rsidRPr="009F2577">
        <w:rPr>
          <w:i/>
          <w:iCs/>
        </w:rPr>
        <w:sym w:font="Symbol" w:char="F073"/>
      </w:r>
      <w:r w:rsidRPr="009F2577">
        <w:rPr>
          <w:i/>
          <w:iCs/>
          <w:vertAlign w:val="subscript"/>
        </w:rPr>
        <w:t>f</w:t>
      </w:r>
      <w:r w:rsidRPr="009F2577">
        <w:rPr>
          <w:i/>
          <w:iCs/>
          <w:vertAlign w:val="superscript"/>
        </w:rPr>
        <w:t>5</w:t>
      </w:r>
      <w:r w:rsidRPr="009F2577">
        <w:t xml:space="preserve">is average fission cross-section of </w:t>
      </w:r>
      <w:r w:rsidRPr="009F2577">
        <w:rPr>
          <w:vertAlign w:val="superscript"/>
        </w:rPr>
        <w:t>235</w:t>
      </w:r>
      <w:r w:rsidRPr="009F2577">
        <w:t>U;</w:t>
      </w:r>
      <w:r w:rsidRPr="009F2577">
        <w:rPr>
          <w:rFonts w:hint="eastAsia"/>
        </w:rPr>
        <w:t>；</w:t>
      </w:r>
    </w:p>
    <w:p w14:paraId="35FEF164" w14:textId="77777777" w:rsidR="009F2577" w:rsidRPr="009F2577" w:rsidRDefault="009F2577" w:rsidP="009F2577">
      <w:pPr>
        <w:pStyle w:val="a1"/>
      </w:pPr>
      <w:r w:rsidRPr="009F2577">
        <w:rPr>
          <w:i/>
          <w:iCs/>
        </w:rPr>
        <w:sym w:font="Symbol" w:char="F06A"/>
      </w:r>
      <w:r w:rsidRPr="009F2577">
        <w:t xml:space="preserve"> is measured neutron flux of the core</w:t>
      </w:r>
      <w:r w:rsidRPr="009F2577">
        <w:rPr>
          <w:rFonts w:hint="eastAsia"/>
        </w:rPr>
        <w:t>；</w:t>
      </w:r>
    </w:p>
    <w:p w14:paraId="107F4F17" w14:textId="77777777" w:rsidR="009F2577" w:rsidRPr="009F2577" w:rsidRDefault="009F2577" w:rsidP="009F2577">
      <w:pPr>
        <w:pStyle w:val="a1"/>
      </w:pPr>
      <w:r w:rsidRPr="009F2577">
        <w:rPr>
          <w:i/>
          <w:iCs/>
        </w:rPr>
        <w:t xml:space="preserve">N </w:t>
      </w:r>
      <w:r w:rsidRPr="009F2577">
        <w:t xml:space="preserve">is nucleon number of </w:t>
      </w:r>
      <w:r w:rsidRPr="009F2577">
        <w:rPr>
          <w:vertAlign w:val="superscript"/>
        </w:rPr>
        <w:t>235</w:t>
      </w:r>
      <w:r w:rsidRPr="009F2577">
        <w:t xml:space="preserve">U; </w:t>
      </w:r>
    </w:p>
    <w:p w14:paraId="7F09DCF3" w14:textId="07FBE19A" w:rsidR="009F2577" w:rsidRPr="009F2577" w:rsidRDefault="009C2AC7" w:rsidP="009F2577">
      <w:pPr>
        <w:pStyle w:val="a1"/>
      </w:pPr>
      <m:oMath>
        <m:sSub>
          <m:sSubPr>
            <m:ctrlPr>
              <w:rPr>
                <w:rFonts w:ascii="Cambria Math" w:hAnsi="Cambria Math"/>
              </w:rPr>
            </m:ctrlPr>
          </m:sSubPr>
          <m:e>
            <m:r>
              <m:rPr>
                <m:sty m:val="p"/>
              </m:rPr>
              <w:rPr>
                <w:rFonts w:ascii="Cambria Math" w:hAnsi="Cambria Math"/>
              </w:rPr>
              <m:t>Γ</m:t>
            </m:r>
          </m:e>
          <m:sub>
            <m:r>
              <w:rPr>
                <w:rFonts w:ascii="Cambria Math" w:hAnsi="Cambria Math"/>
              </w:rPr>
              <m:t>5</m:t>
            </m:r>
          </m:sub>
        </m:sSub>
        <m:r>
          <w:rPr>
            <w:rFonts w:ascii="Cambria Math" w:hAnsi="Cambria Math"/>
          </w:rPr>
          <m:t xml:space="preserve"> </m:t>
        </m:r>
      </m:oMath>
      <w:r w:rsidR="009F2577" w:rsidRPr="009F2577">
        <w:t xml:space="preserve">is </w:t>
      </w:r>
      <w:r w:rsidR="009F2577" w:rsidRPr="009F2577">
        <w:rPr>
          <w:vertAlign w:val="superscript"/>
        </w:rPr>
        <w:t>235</w:t>
      </w:r>
      <w:r w:rsidR="009F2577" w:rsidRPr="009F2577">
        <w:t>U enrichment degree</w:t>
      </w:r>
      <w:r w:rsidR="009F2577" w:rsidRPr="009F2577">
        <w:rPr>
          <w:rFonts w:hint="eastAsia"/>
        </w:rPr>
        <w:t>；</w:t>
      </w:r>
    </w:p>
    <w:p w14:paraId="386E4DF0" w14:textId="77777777" w:rsidR="009F2577" w:rsidRPr="009F2577" w:rsidRDefault="009F2577" w:rsidP="009F2577">
      <w:pPr>
        <w:pStyle w:val="a1"/>
      </w:pPr>
      <w:r w:rsidRPr="009F2577">
        <w:rPr>
          <w:i/>
          <w:iCs/>
        </w:rPr>
        <w:t>Y</w:t>
      </w:r>
      <w:r w:rsidRPr="009F2577">
        <w:rPr>
          <w:i/>
          <w:iCs/>
          <w:vertAlign w:val="subscript"/>
        </w:rPr>
        <w:t xml:space="preserve">5 </w:t>
      </w:r>
      <w:r w:rsidRPr="009F2577">
        <w:t xml:space="preserve">is the yield of </w:t>
      </w:r>
      <w:r w:rsidRPr="009F2577">
        <w:rPr>
          <w:vertAlign w:val="superscript"/>
        </w:rPr>
        <w:t>235</w:t>
      </w:r>
      <w:r w:rsidRPr="009F2577">
        <w:t>U fission produce</w:t>
      </w:r>
      <w:r w:rsidRPr="009F2577">
        <w:rPr>
          <w:vertAlign w:val="superscript"/>
        </w:rPr>
        <w:t xml:space="preserve"> 143</w:t>
      </w:r>
      <w:r w:rsidRPr="009F2577">
        <w:t>Ce</w:t>
      </w:r>
      <w:r w:rsidRPr="009F2577">
        <w:rPr>
          <w:rFonts w:hint="eastAsia"/>
        </w:rPr>
        <w:t>；</w:t>
      </w:r>
    </w:p>
    <w:p w14:paraId="7AB0CD2C" w14:textId="77777777" w:rsidR="009F2577" w:rsidRPr="009F2577" w:rsidRDefault="009F2577" w:rsidP="009F2577">
      <w:pPr>
        <w:pStyle w:val="a1"/>
      </w:pPr>
      <w:r w:rsidRPr="009F2577">
        <w:rPr>
          <w:i/>
          <w:iCs/>
        </w:rPr>
        <w:t>T</w:t>
      </w:r>
      <w:r w:rsidRPr="009F2577">
        <w:rPr>
          <w:i/>
          <w:iCs/>
          <w:vertAlign w:val="subscript"/>
        </w:rPr>
        <w:t>s</w:t>
      </w:r>
      <w:r w:rsidRPr="009F2577">
        <w:t xml:space="preserve"> is the irradiation time;</w:t>
      </w:r>
    </w:p>
    <w:p w14:paraId="6BBBFAC8" w14:textId="77777777" w:rsidR="009F2577" w:rsidRPr="009F2577" w:rsidRDefault="009F2577" w:rsidP="009F2577">
      <w:pPr>
        <w:pStyle w:val="a1"/>
      </w:pPr>
      <w:r w:rsidRPr="009F2577">
        <w:rPr>
          <w:i/>
          <w:iCs/>
        </w:rPr>
        <w:t>T</w:t>
      </w:r>
      <w:r w:rsidRPr="009F2577">
        <w:rPr>
          <w:i/>
          <w:iCs/>
          <w:vertAlign w:val="subscript"/>
        </w:rPr>
        <w:t>w</w:t>
      </w:r>
      <w:r w:rsidRPr="009F2577">
        <w:t xml:space="preserve"> means the holding time after irradiation.</w:t>
      </w:r>
    </w:p>
    <w:p w14:paraId="2590B6C8" w14:textId="77777777" w:rsidR="009F2577" w:rsidRPr="009F2577" w:rsidRDefault="009F2577" w:rsidP="009F2577">
      <w:pPr>
        <w:pStyle w:val="a1"/>
      </w:pPr>
      <w:r w:rsidRPr="009F2577">
        <w:t xml:space="preserve">(3) The mononuclear nuclide of </w:t>
      </w:r>
      <w:r w:rsidRPr="009F2577">
        <w:rPr>
          <w:vertAlign w:val="superscript"/>
        </w:rPr>
        <w:t>235</w:t>
      </w:r>
      <w:r w:rsidRPr="009F2577">
        <w:t xml:space="preserve">U in the foil can be obtained by Eq.(3). </w:t>
      </w:r>
    </w:p>
    <w:p w14:paraId="3BC0CE54" w14:textId="18E6E7CF" w:rsidR="009F2577" w:rsidRPr="009F2577" w:rsidRDefault="009C2AC7" w:rsidP="009F2577">
      <w:pPr>
        <w:pStyle w:val="a1"/>
      </w:pPr>
      <m:oMath>
        <m:sSubSup>
          <m:sSubSupPr>
            <m:ctrlPr>
              <w:rPr>
                <w:rFonts w:ascii="Cambria Math" w:hAnsi="Cambria Math"/>
              </w:rPr>
            </m:ctrlPr>
          </m:sSubSupPr>
          <m:e>
            <m:r>
              <w:rPr>
                <w:rFonts w:ascii="Cambria Math" w:hAnsi="Cambria Math"/>
              </w:rPr>
              <m:t>R</m:t>
            </m:r>
          </m:e>
          <m:sub>
            <m:r>
              <w:rPr>
                <w:rFonts w:ascii="Cambria Math" w:hAnsi="Cambria Math"/>
              </w:rPr>
              <m:t>f</m:t>
            </m:r>
          </m:sub>
          <m:sup>
            <m:r>
              <w:rPr>
                <w:rFonts w:ascii="Cambria Math" w:hAnsi="Cambria Math"/>
              </w:rPr>
              <m:t>5</m:t>
            </m:r>
          </m:sup>
        </m:sSubSup>
        <m:r>
          <m:rPr>
            <m:sty m:val="p"/>
          </m:rPr>
          <w:rPr>
            <w:rFonts w:ascii="Cambria Math" w:hAnsi="Cambria Math"/>
          </w:rPr>
          <m:t>=Φ</m:t>
        </m:r>
        <m:sSubSup>
          <m:sSubSupPr>
            <m:ctrlPr>
              <w:rPr>
                <w:rFonts w:ascii="Cambria Math" w:hAnsi="Cambria Math"/>
              </w:rPr>
            </m:ctrlPr>
          </m:sSubSupPr>
          <m:e>
            <m:r>
              <m:rPr>
                <m:sty m:val="p"/>
              </m:rPr>
              <w:rPr>
                <w:rFonts w:ascii="Cambria Math" w:hAnsi="Cambria Math"/>
              </w:rPr>
              <m:t>σ</m:t>
            </m:r>
          </m:e>
          <m:sub>
            <m:r>
              <w:rPr>
                <w:rFonts w:ascii="Cambria Math" w:hAnsi="Cambria Math"/>
              </w:rPr>
              <m:t>f</m:t>
            </m:r>
          </m:sub>
          <m:sup>
            <m:r>
              <w:rPr>
                <w:rFonts w:ascii="Cambria Math" w:hAnsi="Cambria Math"/>
              </w:rPr>
              <m:t>5</m:t>
            </m:r>
          </m:sup>
        </m:sSubSup>
      </m:oMath>
      <w:r w:rsidR="009F2577" w:rsidRPr="009F2577">
        <w:t xml:space="preserve">                    (3)</w:t>
      </w:r>
    </w:p>
    <w:p w14:paraId="6EB844C7" w14:textId="49F0F95E" w:rsidR="009F2577" w:rsidRPr="009F2577" w:rsidRDefault="009F2577" w:rsidP="009F2577">
      <w:pPr>
        <w:pStyle w:val="a1"/>
      </w:pPr>
      <w:r w:rsidRPr="009F2577">
        <w:t xml:space="preserve">Through the formula (1-3), </w:t>
      </w:r>
      <m:oMath>
        <m:sSubSup>
          <m:sSubSupPr>
            <m:ctrlPr>
              <w:rPr>
                <w:rFonts w:ascii="Cambria Math" w:hAnsi="Cambria Math"/>
              </w:rPr>
            </m:ctrlPr>
          </m:sSubSupPr>
          <m:e>
            <m:r>
              <w:rPr>
                <w:rFonts w:ascii="Cambria Math" w:hAnsi="Cambria Math"/>
              </w:rPr>
              <m:t>R</m:t>
            </m:r>
          </m:e>
          <m:sub>
            <m:r>
              <w:rPr>
                <w:rFonts w:ascii="Cambria Math" w:hAnsi="Cambria Math"/>
              </w:rPr>
              <m:t>f</m:t>
            </m:r>
          </m:sub>
          <m:sup>
            <m:r>
              <w:rPr>
                <w:rFonts w:ascii="Cambria Math" w:hAnsi="Cambria Math"/>
              </w:rPr>
              <m:t>5</m:t>
            </m:r>
          </m:sup>
        </m:sSubSup>
      </m:oMath>
      <w:r w:rsidRPr="009F2577">
        <w:t xml:space="preserve"> can be obtained by Eq.(4)</w:t>
      </w:r>
    </w:p>
    <w:p w14:paraId="433FE052" w14:textId="4B821CBD" w:rsidR="0026525A" w:rsidRDefault="009C2AC7" w:rsidP="009F2577">
      <w:pPr>
        <w:pStyle w:val="a1"/>
      </w:pPr>
      <m:oMathPara>
        <m:oMath>
          <m:sSubSup>
            <m:sSubSupPr>
              <m:ctrlPr>
                <w:rPr>
                  <w:rFonts w:ascii="Cambria Math" w:hAnsi="Cambria Math"/>
                </w:rPr>
              </m:ctrlPr>
            </m:sSubSupPr>
            <m:e>
              <m:r>
                <w:rPr>
                  <w:rFonts w:ascii="Cambria Math" w:hAnsi="Cambria Math"/>
                </w:rPr>
                <m:t>R</m:t>
              </m:r>
            </m:e>
            <m:sub>
              <m:r>
                <w:rPr>
                  <w:rFonts w:ascii="Cambria Math" w:hAnsi="Cambria Math"/>
                </w:rPr>
                <m:t>f</m:t>
              </m:r>
            </m:sub>
            <m:sup>
              <m:r>
                <w:rPr>
                  <w:rFonts w:ascii="Cambria Math" w:hAnsi="Cambria Math"/>
                </w:rPr>
                <m:t>5</m:t>
              </m:r>
            </m:sup>
          </m:sSubSup>
          <m:r>
            <m:rPr>
              <m:sty m:val="p"/>
            </m:rPr>
            <w:rPr>
              <w:rFonts w:ascii="Cambria Math" w:hAnsi="Cambria Math"/>
            </w:rPr>
            <m:t>=</m:t>
          </m:r>
          <m:f>
            <m:fPr>
              <m:ctrlPr>
                <w:rPr>
                  <w:rFonts w:ascii="Cambria Math" w:hAnsi="Cambria Math"/>
                </w:rPr>
              </m:ctrlPr>
            </m:fPr>
            <m:num>
              <m:r>
                <w:rPr>
                  <w:rFonts w:ascii="Cambria Math" w:hAnsi="Cambria Math"/>
                </w:rPr>
                <m:t>Cλ</m:t>
              </m:r>
              <m:sSup>
                <m:sSupPr>
                  <m:ctrlPr>
                    <w:rPr>
                      <w:rFonts w:ascii="Cambria Math" w:hAnsi="Cambria Math"/>
                      <w:i/>
                    </w:rPr>
                  </m:ctrlPr>
                </m:sSupPr>
                <m:e>
                  <m:r>
                    <w:rPr>
                      <w:rFonts w:ascii="Cambria Math" w:hAnsi="Cambria Math"/>
                    </w:rPr>
                    <m:t>e</m:t>
                  </m:r>
                </m:e>
                <m:sup>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w</m:t>
                      </m:r>
                    </m:sub>
                  </m:sSub>
                </m:sup>
              </m:sSup>
            </m:num>
            <m:den>
              <m:sSub>
                <m:sSubPr>
                  <m:ctrlPr>
                    <w:rPr>
                      <w:rFonts w:ascii="Cambria Math" w:hAnsi="Cambria Math"/>
                    </w:rPr>
                  </m:ctrlPr>
                </m:sSubPr>
                <m:e>
                  <m:r>
                    <m:rPr>
                      <m:sty m:val="p"/>
                    </m:rPr>
                    <w:rPr>
                      <w:rFonts w:ascii="Cambria Math" w:hAnsi="Cambria Math"/>
                    </w:rPr>
                    <m:t>Γ</m:t>
                  </m:r>
                </m:e>
                <m:sub>
                  <m:r>
                    <w:rPr>
                      <w:rFonts w:ascii="Cambria Math" w:hAnsi="Cambria Math"/>
                    </w:rPr>
                    <m:t>5</m:t>
                  </m:r>
                </m:sub>
              </m:sSub>
              <m:r>
                <w:rPr>
                  <w:rFonts w:ascii="Cambria Math" w:hAnsi="Cambria Math"/>
                </w:rPr>
                <m:t>N</m:t>
              </m:r>
              <m:sSub>
                <m:sSubPr>
                  <m:ctrlPr>
                    <w:rPr>
                      <w:rFonts w:ascii="Cambria Math" w:hAnsi="Cambria Math"/>
                    </w:rPr>
                  </m:ctrlPr>
                </m:sSubPr>
                <m:e>
                  <m:r>
                    <w:rPr>
                      <w:rFonts w:ascii="Cambria Math" w:hAnsi="Cambria Math"/>
                    </w:rPr>
                    <m:t>Y</m:t>
                  </m:r>
                </m:e>
                <m:sub>
                  <m:r>
                    <w:rPr>
                      <w:rFonts w:ascii="Cambria Math" w:hAnsi="Cambria Math"/>
                    </w:rPr>
                    <m:t>5</m:t>
                  </m:r>
                </m:sub>
              </m:sSub>
              <m:r>
                <m:rPr>
                  <m:sty m:val="p"/>
                </m:rPr>
                <w:rPr>
                  <w:rFonts w:ascii="Cambria Math" w:hAnsi="Cambria Math"/>
                </w:rPr>
                <m:t>(1-</m:t>
              </m:r>
              <m:sSup>
                <m:sSupPr>
                  <m:ctrlPr>
                    <w:rPr>
                      <w:rFonts w:ascii="Cambria Math" w:hAnsi="Cambria Math"/>
                    </w:rPr>
                  </m:ctrlPr>
                </m:sSupPr>
                <m:e>
                  <m:r>
                    <w:rPr>
                      <w:rFonts w:ascii="Cambria Math" w:hAnsi="Cambria Math"/>
                    </w:rPr>
                    <m:t>e</m:t>
                  </m:r>
                </m:e>
                <m:sup>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s</m:t>
                      </m:r>
                    </m:sub>
                  </m:sSub>
                </m:sup>
              </m:sSup>
              <m:r>
                <m:rPr>
                  <m:sty m:val="p"/>
                </m:rP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γ</m:t>
                  </m:r>
                </m:sub>
              </m:sSub>
              <m:r>
                <w:rPr>
                  <w:rFonts w:ascii="Cambria Math" w:hAnsi="Cambria Math"/>
                </w:rPr>
                <m:t>εK(1-τ)</m:t>
              </m:r>
              <m:r>
                <m:rPr>
                  <m:sty m:val="p"/>
                </m:rPr>
                <w:rPr>
                  <w:rFonts w:ascii="Cambria Math" w:hAnsi="Cambria Math" w:hint="eastAsia"/>
                </w:rPr>
                <m:t>（</m:t>
              </m:r>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M</m:t>
                      </m:r>
                    </m:sub>
                  </m:sSub>
                </m:sup>
              </m:sSup>
              <m:r>
                <m:rPr>
                  <m:sty m:val="p"/>
                </m:rPr>
                <w:rPr>
                  <w:rFonts w:ascii="Cambria Math" w:hAnsi="Cambria Math" w:hint="eastAsia"/>
                </w:rPr>
                <m:t>）</m:t>
              </m:r>
            </m:den>
          </m:f>
          <m:r>
            <w:rPr>
              <w:rFonts w:ascii="Cambria Math" w:hAnsi="Cambria Math"/>
            </w:rPr>
            <m:t xml:space="preserve">   </m:t>
          </m:r>
          <m:r>
            <m:rPr>
              <m:sty m:val="p"/>
            </m:rPr>
            <w:rPr>
              <w:rFonts w:ascii="Cambria Math" w:hAnsi="Cambria Math" w:hint="eastAsia"/>
            </w:rPr>
            <m:t>（</m:t>
          </m:r>
          <m:r>
            <m:rPr>
              <m:sty m:val="p"/>
            </m:rPr>
            <w:rPr>
              <w:rFonts w:ascii="Cambria Math" w:hAnsi="Cambria Math"/>
            </w:rPr>
            <m:t>4</m:t>
          </m:r>
          <m:r>
            <m:rPr>
              <m:sty m:val="p"/>
            </m:rPr>
            <w:rPr>
              <w:rFonts w:ascii="Cambria Math" w:hAnsi="Cambria Math" w:hint="eastAsia"/>
            </w:rPr>
            <m:t>）</m:t>
          </m:r>
        </m:oMath>
      </m:oMathPara>
    </w:p>
    <w:p w14:paraId="433FE053" w14:textId="5E9D22A4" w:rsidR="00EE0041" w:rsidRDefault="00EC1064" w:rsidP="0026525A">
      <w:pPr>
        <w:pStyle w:val="2"/>
        <w:numPr>
          <w:ilvl w:val="1"/>
          <w:numId w:val="10"/>
        </w:numPr>
      </w:pPr>
      <w:r>
        <w:t>experiment systrm</w:t>
      </w:r>
    </w:p>
    <w:p w14:paraId="6483E280" w14:textId="1701C71E" w:rsidR="00EC1064" w:rsidRPr="00EC1064" w:rsidRDefault="00EC1064" w:rsidP="00EC1064">
      <w:pPr>
        <w:pStyle w:val="a1"/>
        <w:rPr>
          <w:lang w:val="en-US"/>
        </w:rPr>
      </w:pPr>
      <w:r w:rsidRPr="00EC1064">
        <w:rPr>
          <w:lang w:val="en-US"/>
        </w:rPr>
        <w:t>In the activation method experiment, special experimental components and irradiation devices are required to enter the reactor. The detector foils are placed in the irradiation device, and the irradiation device is inserted into the experimental component. The experimental component replaces the original core component and enters the reactor for irradiation. The irradiating device is pulled out and cut, and the irradiated foils are taken out to measure the activity. Among the experiment, there are two specialized equipment play a significant role, namely irradiation device pick-up tool disassembly equipment. Otherwise, the high-purity germanium γ-spectrometer is needed to measure the activity of irradiated foils</w:t>
      </w:r>
      <w:r w:rsidRPr="00EC1064">
        <w:rPr>
          <w:vertAlign w:val="superscript"/>
          <w:lang w:val="en-US"/>
        </w:rPr>
        <w:t>[2]</w:t>
      </w:r>
      <w:r w:rsidRPr="00EC1064">
        <w:rPr>
          <w:lang w:val="en-US"/>
        </w:rPr>
        <w:t>.</w:t>
      </w:r>
    </w:p>
    <w:p w14:paraId="433FE054" w14:textId="77777777" w:rsidR="00EE0041" w:rsidRDefault="00EE0041" w:rsidP="00537496">
      <w:pPr>
        <w:pStyle w:val="a1"/>
      </w:pPr>
    </w:p>
    <w:p w14:paraId="433FE055" w14:textId="0774145D" w:rsidR="008B6BB9" w:rsidRPr="00EE0041" w:rsidRDefault="00EC1064" w:rsidP="00537496">
      <w:pPr>
        <w:pStyle w:val="3"/>
      </w:pPr>
      <w:r>
        <w:t>Irradiation experiment components</w:t>
      </w:r>
    </w:p>
    <w:p w14:paraId="59B76CBD" w14:textId="4589EA4B" w:rsidR="00EC1064" w:rsidRPr="00EC1064" w:rsidRDefault="00EC1064" w:rsidP="00EC1064">
      <w:pPr>
        <w:pStyle w:val="Authornameandaffiliation"/>
        <w:ind w:left="0" w:firstLine="567"/>
        <w:jc w:val="both"/>
      </w:pPr>
      <w:r w:rsidRPr="00EC1064">
        <w:t xml:space="preserve">Designed specialized experimental </w:t>
      </w:r>
      <w:bookmarkStart w:id="1" w:name="OLE_LINK10"/>
      <w:r w:rsidRPr="00EC1064">
        <w:t>fuel SA</w:t>
      </w:r>
      <w:bookmarkEnd w:id="1"/>
      <w:r w:rsidRPr="00EC1064">
        <w:rPr>
          <w:rFonts w:hint="eastAsia"/>
        </w:rPr>
        <w:t>，</w:t>
      </w:r>
      <w:r w:rsidRPr="00EC1064">
        <w:t>which is attached in Figure 1. The experimental fuel SA was specially designed to contain foils by an irradiation device. The main difference from actual fuel SA is that the 7 fuel rods in the center are replaced by the irradiation device. In addition, the head is redesigned to make the irradiation device can be easily loaded or taken out. For other parts, it is the same with fuel SA.</w:t>
      </w:r>
    </w:p>
    <w:p w14:paraId="433FE056" w14:textId="747E7927" w:rsidR="00EE0041" w:rsidRDefault="00773AA4" w:rsidP="00773AA4">
      <w:pPr>
        <w:pStyle w:val="Authornameandaffiliation"/>
        <w:jc w:val="center"/>
        <w:rPr>
          <w:lang w:val="en-GB"/>
        </w:rPr>
      </w:pPr>
      <w:r>
        <w:rPr>
          <w:noProof/>
          <w:lang w:eastAsia="zh-CN"/>
        </w:rPr>
        <w:lastRenderedPageBreak/>
        <w:drawing>
          <wp:inline distT="0" distB="0" distL="0" distR="0" wp14:anchorId="67E7C41C" wp14:editId="415B5810">
            <wp:extent cx="1976120" cy="1543050"/>
            <wp:effectExtent l="0" t="0" r="5080" b="0"/>
            <wp:docPr id="10" name="图片 10"/>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1">
                      <a:extLst>
                        <a:ext uri="{28A0092B-C50C-407E-A947-70E740481C1C}">
                          <a14:useLocalDpi xmlns:a14="http://schemas.microsoft.com/office/drawing/2010/main" val="0"/>
                        </a:ext>
                      </a:extLst>
                    </a:blip>
                    <a:stretch>
                      <a:fillRect/>
                    </a:stretch>
                  </pic:blipFill>
                  <pic:spPr>
                    <a:xfrm>
                      <a:off x="0" y="0"/>
                      <a:ext cx="1976120" cy="1543050"/>
                    </a:xfrm>
                    <a:prstGeom prst="rect">
                      <a:avLst/>
                    </a:prstGeom>
                  </pic:spPr>
                </pic:pic>
              </a:graphicData>
            </a:graphic>
          </wp:inline>
        </w:drawing>
      </w:r>
    </w:p>
    <w:p w14:paraId="5A1A2D32" w14:textId="2C48973A" w:rsidR="00773AA4" w:rsidRPr="00773AA4" w:rsidRDefault="00773AA4" w:rsidP="00773AA4">
      <w:pPr>
        <w:pStyle w:val="Figurecaption"/>
        <w:rPr>
          <w:lang w:val="en-US" w:eastAsia="es-ES"/>
        </w:rPr>
      </w:pPr>
      <w:r w:rsidRPr="00FA5F27">
        <w:rPr>
          <w:caps/>
          <w:lang w:eastAsia="es-ES"/>
        </w:rPr>
        <w:t>Fig</w:t>
      </w:r>
      <w:r w:rsidRPr="00FA5F27">
        <w:rPr>
          <w:lang w:eastAsia="es-ES"/>
        </w:rPr>
        <w:t>.</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Pr>
          <w:noProof/>
          <w:lang w:eastAsia="es-ES"/>
        </w:rPr>
        <w:t>1</w:t>
      </w:r>
      <w:r w:rsidRPr="00FA5F27">
        <w:rPr>
          <w:b/>
          <w:lang w:eastAsia="es-ES"/>
        </w:rPr>
        <w:fldChar w:fldCharType="end"/>
      </w:r>
      <w:r w:rsidRPr="00FA5F27">
        <w:rPr>
          <w:lang w:eastAsia="es-ES"/>
        </w:rPr>
        <w:t>..</w:t>
      </w:r>
      <w:bookmarkStart w:id="2" w:name="OLE_LINK8"/>
      <w:bookmarkStart w:id="3" w:name="OLE_LINK7"/>
      <w:r w:rsidRPr="00773AA4">
        <w:rPr>
          <w:rFonts w:eastAsia="宋体"/>
          <w:kern w:val="2"/>
          <w:sz w:val="21"/>
          <w:szCs w:val="21"/>
          <w:lang w:val="en-US" w:eastAsia="zh-CN"/>
        </w:rPr>
        <w:t xml:space="preserve"> </w:t>
      </w:r>
      <w:r w:rsidRPr="00773AA4">
        <w:rPr>
          <w:lang w:val="en-US" w:eastAsia="es-ES"/>
        </w:rPr>
        <w:t>Experimental Fuel SA</w:t>
      </w:r>
      <w:bookmarkEnd w:id="2"/>
      <w:bookmarkEnd w:id="3"/>
    </w:p>
    <w:p w14:paraId="14661907" w14:textId="5A7C098B" w:rsidR="00773AA4" w:rsidRDefault="00773AA4" w:rsidP="00773AA4">
      <w:pPr>
        <w:pStyle w:val="Figurecaption"/>
        <w:rPr>
          <w:b/>
          <w:lang w:eastAsia="es-ES"/>
        </w:rPr>
      </w:pPr>
      <w:r>
        <w:rPr>
          <w:noProof/>
          <w:lang w:val="en-US" w:eastAsia="zh-CN"/>
        </w:rPr>
        <w:drawing>
          <wp:inline distT="0" distB="0" distL="0" distR="0" wp14:anchorId="771B169C" wp14:editId="653F4852">
            <wp:extent cx="3383915" cy="574675"/>
            <wp:effectExtent l="0" t="0" r="6985" b="0"/>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2">
                      <a:extLst>
                        <a:ext uri="{28A0092B-C50C-407E-A947-70E740481C1C}">
                          <a14:useLocalDpi xmlns:a14="http://schemas.microsoft.com/office/drawing/2010/main" val="0"/>
                        </a:ext>
                      </a:extLst>
                    </a:blip>
                    <a:stretch>
                      <a:fillRect/>
                    </a:stretch>
                  </pic:blipFill>
                  <pic:spPr>
                    <a:xfrm>
                      <a:off x="0" y="0"/>
                      <a:ext cx="3383915" cy="574675"/>
                    </a:xfrm>
                    <a:prstGeom prst="rect">
                      <a:avLst/>
                    </a:prstGeom>
                  </pic:spPr>
                </pic:pic>
              </a:graphicData>
            </a:graphic>
          </wp:inline>
        </w:drawing>
      </w:r>
    </w:p>
    <w:p w14:paraId="3785B02B" w14:textId="5B4A9755" w:rsidR="00773AA4" w:rsidRDefault="00773AA4" w:rsidP="00773AA4">
      <w:pPr>
        <w:pStyle w:val="Figurecaption"/>
        <w:rPr>
          <w:lang w:val="en-US" w:eastAsia="es-ES"/>
        </w:rPr>
      </w:pPr>
      <w:r w:rsidRPr="00FA5F27">
        <w:rPr>
          <w:caps/>
          <w:lang w:eastAsia="es-ES"/>
        </w:rPr>
        <w:t>Fig</w:t>
      </w:r>
      <w:r w:rsidRPr="00FA5F27">
        <w:rPr>
          <w:lang w:eastAsia="es-ES"/>
        </w:rPr>
        <w:t>.</w:t>
      </w:r>
      <w:r>
        <w:rPr>
          <w:b/>
          <w:lang w:eastAsia="es-ES"/>
        </w:rPr>
        <w:t>2</w:t>
      </w:r>
      <w:r w:rsidRPr="00FA5F27">
        <w:rPr>
          <w:lang w:eastAsia="es-ES"/>
        </w:rPr>
        <w:t>.</w:t>
      </w:r>
      <w:r w:rsidRPr="00773AA4">
        <w:rPr>
          <w:rFonts w:eastAsia="宋体"/>
          <w:kern w:val="2"/>
          <w:sz w:val="21"/>
          <w:szCs w:val="21"/>
          <w:lang w:val="en-US" w:eastAsia="zh-CN"/>
        </w:rPr>
        <w:t xml:space="preserve"> </w:t>
      </w:r>
      <w:r w:rsidRPr="00773AA4">
        <w:rPr>
          <w:lang w:val="en-US" w:eastAsia="es-ES"/>
        </w:rPr>
        <w:t>Irradiation device</w:t>
      </w:r>
    </w:p>
    <w:p w14:paraId="6DD29E04" w14:textId="77777777" w:rsidR="00773AA4" w:rsidRPr="00773AA4" w:rsidRDefault="00773AA4" w:rsidP="00773AA4">
      <w:pPr>
        <w:pStyle w:val="Figurecaption"/>
        <w:rPr>
          <w:lang w:val="en-US" w:eastAsia="es-ES"/>
        </w:rPr>
      </w:pPr>
    </w:p>
    <w:p w14:paraId="3B37CEC4" w14:textId="44A8D463" w:rsidR="00773AA4" w:rsidRPr="00773AA4" w:rsidRDefault="00773AA4" w:rsidP="00802E2F">
      <w:pPr>
        <w:pStyle w:val="Figurecaption"/>
        <w:jc w:val="both"/>
        <w:rPr>
          <w:i w:val="0"/>
          <w:sz w:val="20"/>
          <w:lang w:val="en-US"/>
        </w:rPr>
      </w:pPr>
      <w:r w:rsidRPr="00773AA4">
        <w:rPr>
          <w:i w:val="0"/>
          <w:sz w:val="20"/>
          <w:lang w:val="en-US"/>
        </w:rPr>
        <w:t>Irradiation device is illustrated in Figure 2. The design is beneficial to reduce the influence of the irradiation device and foils on the core neutron field characteristics. The irradiation device is comprised of an upper grab head and a lower hollow stainless steel tube. The upper grasp head facilitates irradiating device to load and take out from the</w:t>
      </w:r>
      <w:r w:rsidRPr="00773AA4">
        <w:rPr>
          <w:rFonts w:hint="eastAsia"/>
          <w:i w:val="0"/>
          <w:sz w:val="20"/>
          <w:lang w:val="en-US"/>
        </w:rPr>
        <w:t xml:space="preserve"> </w:t>
      </w:r>
      <w:r w:rsidRPr="00773AA4">
        <w:rPr>
          <w:i w:val="0"/>
          <w:sz w:val="20"/>
          <w:lang w:val="en-US"/>
        </w:rPr>
        <w:t xml:space="preserve">experimental fuel SA and the concave stainless steel tube is used to place foils. </w:t>
      </w:r>
    </w:p>
    <w:p w14:paraId="6472BE33" w14:textId="190C922F" w:rsidR="00773AA4" w:rsidRDefault="00C41DCD" w:rsidP="00773AA4">
      <w:pPr>
        <w:pStyle w:val="3"/>
        <w:rPr>
          <w:lang w:val="en-US" w:eastAsia="zh-CN"/>
        </w:rPr>
      </w:pPr>
      <w:r>
        <w:rPr>
          <w:rFonts w:hint="eastAsia"/>
          <w:lang w:val="en-US" w:eastAsia="zh-CN"/>
        </w:rPr>
        <w:t>Specialized equipment</w:t>
      </w:r>
    </w:p>
    <w:p w14:paraId="57B88626" w14:textId="77777777" w:rsidR="00C41DCD" w:rsidRPr="00C41DCD" w:rsidRDefault="00C41DCD" w:rsidP="00C41DCD">
      <w:pPr>
        <w:ind w:firstLineChars="200" w:firstLine="400"/>
        <w:jc w:val="both"/>
        <w:rPr>
          <w:rFonts w:eastAsia="宋体"/>
          <w:sz w:val="20"/>
          <w:lang w:eastAsia="zh-CN"/>
        </w:rPr>
      </w:pPr>
      <w:r w:rsidRPr="00C41DCD">
        <w:rPr>
          <w:rFonts w:eastAsia="宋体"/>
          <w:sz w:val="20"/>
        </w:rPr>
        <w:t>In order to distinguish different types of foils, which are round thin plate made by stamping by laser</w:t>
      </w:r>
      <w:r w:rsidRPr="00C41DCD">
        <w:rPr>
          <w:rFonts w:eastAsia="宋体" w:hint="eastAsia"/>
          <w:sz w:val="20"/>
        </w:rPr>
        <w:t>，</w:t>
      </w:r>
      <w:r w:rsidRPr="00C41DCD">
        <w:rPr>
          <w:rFonts w:eastAsia="宋体"/>
          <w:sz w:val="20"/>
        </w:rPr>
        <w:t>enclosed with aluminium wrapper and vacuum drawer. The internal and external refueling mechanism can be used to put the experimental SA into a certain position of the reactor core. However, irradiated experimental SA has strong radioactivity. It not allows to directly remove the total experimental SA from the core. For this reason, a series of special devices need to be designed to take out the irradiation device from the irradiation experimental SA.</w:t>
      </w:r>
    </w:p>
    <w:p w14:paraId="5CFF54C4" w14:textId="77777777" w:rsidR="00C41DCD" w:rsidRPr="00C41DCD" w:rsidRDefault="00C41DCD" w:rsidP="00C41DCD">
      <w:pPr>
        <w:ind w:firstLineChars="200" w:firstLine="400"/>
        <w:jc w:val="both"/>
        <w:rPr>
          <w:rFonts w:eastAsia="宋体"/>
          <w:sz w:val="20"/>
        </w:rPr>
      </w:pPr>
      <w:r w:rsidRPr="00C41DCD">
        <w:rPr>
          <w:rFonts w:eastAsia="宋体"/>
          <w:sz w:val="20"/>
        </w:rPr>
        <w:t>This series of devices includes mechatronics irradiation device pick-and-place tools and irradiation device disassembly platform, which are displayed in Fig.3 and Fig.4. The irradiated experimental SAs are placed in the conversion barrel after being out of the core, and the irradiation device put into or put out the center of the experimental assembly by this special pick-and-place tool.</w:t>
      </w:r>
    </w:p>
    <w:p w14:paraId="1250E2C7" w14:textId="77777777" w:rsidR="00C41DCD" w:rsidRPr="00C41DCD" w:rsidRDefault="00C41DCD" w:rsidP="00C41DCD">
      <w:pPr>
        <w:pStyle w:val="a1"/>
        <w:rPr>
          <w:lang w:eastAsia="zh-CN"/>
        </w:rPr>
      </w:pPr>
    </w:p>
    <w:p w14:paraId="6386F25C" w14:textId="59275B97" w:rsidR="00773AA4" w:rsidRDefault="00C41DCD" w:rsidP="00773AA4">
      <w:pPr>
        <w:pStyle w:val="Figurecaption"/>
        <w:rPr>
          <w:b/>
          <w:lang w:eastAsia="es-ES"/>
        </w:rPr>
      </w:pPr>
      <w:r>
        <w:rPr>
          <w:noProof/>
          <w:lang w:val="en-US" w:eastAsia="zh-CN"/>
        </w:rPr>
        <w:drawing>
          <wp:inline distT="0" distB="0" distL="0" distR="0" wp14:anchorId="7597FF86" wp14:editId="0CE731DC">
            <wp:extent cx="1760220" cy="2804160"/>
            <wp:effectExtent l="0" t="0" r="0" b="0"/>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3">
                      <a:extLst>
                        <a:ext uri="{28A0092B-C50C-407E-A947-70E740481C1C}">
                          <a14:useLocalDpi xmlns:a14="http://schemas.microsoft.com/office/drawing/2010/main" val="0"/>
                        </a:ext>
                      </a:extLst>
                    </a:blip>
                    <a:stretch>
                      <a:fillRect/>
                    </a:stretch>
                  </pic:blipFill>
                  <pic:spPr>
                    <a:xfrm>
                      <a:off x="0" y="0"/>
                      <a:ext cx="1760220" cy="2804160"/>
                    </a:xfrm>
                    <a:prstGeom prst="rect">
                      <a:avLst/>
                    </a:prstGeom>
                  </pic:spPr>
                </pic:pic>
              </a:graphicData>
            </a:graphic>
          </wp:inline>
        </w:drawing>
      </w:r>
    </w:p>
    <w:p w14:paraId="51FA00D0" w14:textId="302E7C77" w:rsidR="00C41DCD" w:rsidRPr="00C41DCD" w:rsidRDefault="00C41DCD" w:rsidP="00C41DCD">
      <w:pPr>
        <w:pStyle w:val="Figurecaption"/>
        <w:rPr>
          <w:lang w:val="en-US" w:eastAsia="es-ES"/>
        </w:rPr>
      </w:pPr>
      <w:r w:rsidRPr="00FA5F27">
        <w:rPr>
          <w:caps/>
          <w:lang w:eastAsia="es-ES"/>
        </w:rPr>
        <w:t>Fig</w:t>
      </w:r>
      <w:r w:rsidRPr="00FA5F27">
        <w:rPr>
          <w:lang w:eastAsia="es-ES"/>
        </w:rPr>
        <w:t>.</w:t>
      </w:r>
      <w:r>
        <w:rPr>
          <w:b/>
          <w:lang w:eastAsia="es-ES"/>
        </w:rPr>
        <w:t>3</w:t>
      </w:r>
      <w:r w:rsidRPr="00FA5F27">
        <w:rPr>
          <w:lang w:eastAsia="es-ES"/>
        </w:rPr>
        <w:t>.</w:t>
      </w:r>
      <w:r w:rsidRPr="00773AA4">
        <w:rPr>
          <w:rFonts w:eastAsia="宋体"/>
          <w:kern w:val="2"/>
          <w:sz w:val="21"/>
          <w:szCs w:val="21"/>
          <w:lang w:val="en-US" w:eastAsia="zh-CN"/>
        </w:rPr>
        <w:t xml:space="preserve"> </w:t>
      </w:r>
      <w:r w:rsidRPr="00C41DCD">
        <w:rPr>
          <w:lang w:val="en-US" w:eastAsia="es-ES"/>
        </w:rPr>
        <w:t>Irradiation device pick-up tool</w:t>
      </w:r>
    </w:p>
    <w:p w14:paraId="51E50A03" w14:textId="47DF33CA" w:rsidR="00C41DCD" w:rsidRPr="00C41DCD" w:rsidRDefault="00C41DCD" w:rsidP="00C41DCD">
      <w:pPr>
        <w:pStyle w:val="Figurecaption"/>
        <w:rPr>
          <w:lang w:val="en-US" w:eastAsia="es-ES"/>
        </w:rPr>
      </w:pPr>
      <w:r>
        <w:rPr>
          <w:noProof/>
          <w:lang w:val="en-US" w:eastAsia="zh-CN"/>
        </w:rPr>
        <w:lastRenderedPageBreak/>
        <w:drawing>
          <wp:inline distT="0" distB="0" distL="0" distR="0" wp14:anchorId="58D2A03A" wp14:editId="627CE748">
            <wp:extent cx="2674620" cy="2042160"/>
            <wp:effectExtent l="0" t="0" r="0" b="0"/>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4">
                      <a:extLst>
                        <a:ext uri="{28A0092B-C50C-407E-A947-70E740481C1C}">
                          <a14:useLocalDpi xmlns:a14="http://schemas.microsoft.com/office/drawing/2010/main" val="0"/>
                        </a:ext>
                      </a:extLst>
                    </a:blip>
                    <a:stretch>
                      <a:fillRect/>
                    </a:stretch>
                  </pic:blipFill>
                  <pic:spPr>
                    <a:xfrm>
                      <a:off x="0" y="0"/>
                      <a:ext cx="2674620" cy="2042160"/>
                    </a:xfrm>
                    <a:prstGeom prst="rect">
                      <a:avLst/>
                    </a:prstGeom>
                  </pic:spPr>
                </pic:pic>
              </a:graphicData>
            </a:graphic>
          </wp:inline>
        </w:drawing>
      </w:r>
    </w:p>
    <w:p w14:paraId="62932A73" w14:textId="212551D4" w:rsidR="00802E2F" w:rsidRDefault="00C41DCD" w:rsidP="00C41DCD">
      <w:pPr>
        <w:pStyle w:val="Figurecaption"/>
        <w:rPr>
          <w:lang w:val="en-US" w:eastAsia="es-ES"/>
        </w:rPr>
      </w:pPr>
      <w:r w:rsidRPr="00FA5F27">
        <w:rPr>
          <w:caps/>
          <w:lang w:eastAsia="es-ES"/>
        </w:rPr>
        <w:t>Fig</w:t>
      </w:r>
      <w:r w:rsidRPr="00FA5F27">
        <w:rPr>
          <w:lang w:eastAsia="es-ES"/>
        </w:rPr>
        <w:t>.</w:t>
      </w:r>
      <w:r>
        <w:rPr>
          <w:b/>
          <w:lang w:eastAsia="es-ES"/>
        </w:rPr>
        <w:t>4</w:t>
      </w:r>
      <w:r w:rsidRPr="00FA5F27">
        <w:rPr>
          <w:lang w:eastAsia="es-ES"/>
        </w:rPr>
        <w:t>.</w:t>
      </w:r>
      <w:r w:rsidRPr="00773AA4">
        <w:rPr>
          <w:rFonts w:eastAsia="宋体"/>
          <w:kern w:val="2"/>
          <w:sz w:val="21"/>
          <w:szCs w:val="21"/>
          <w:lang w:val="en-US" w:eastAsia="zh-CN"/>
        </w:rPr>
        <w:t xml:space="preserve"> </w:t>
      </w:r>
      <w:r w:rsidRPr="00C41DCD">
        <w:rPr>
          <w:lang w:val="en-US" w:eastAsia="es-ES"/>
        </w:rPr>
        <w:t>l</w:t>
      </w:r>
      <w:r w:rsidRPr="00C41DCD">
        <w:rPr>
          <w:rFonts w:eastAsia="宋体"/>
          <w:kern w:val="2"/>
          <w:sz w:val="21"/>
          <w:szCs w:val="21"/>
          <w:lang w:val="en-US" w:eastAsia="zh-CN"/>
        </w:rPr>
        <w:t xml:space="preserve"> </w:t>
      </w:r>
      <w:r w:rsidRPr="00C41DCD">
        <w:rPr>
          <w:lang w:val="en-US" w:eastAsia="es-ES"/>
        </w:rPr>
        <w:t>Irradiation device disassembly equipmen</w:t>
      </w:r>
    </w:p>
    <w:p w14:paraId="29D80343" w14:textId="287D1B75" w:rsidR="00C41DCD" w:rsidRPr="00C41DCD" w:rsidRDefault="00C41DCD" w:rsidP="00C41DCD">
      <w:pPr>
        <w:pStyle w:val="Figurecaption"/>
        <w:rPr>
          <w:lang w:val="en-US" w:eastAsia="es-ES"/>
        </w:rPr>
      </w:pPr>
      <w:r w:rsidRPr="00C41DCD">
        <w:rPr>
          <w:lang w:val="en-US" w:eastAsia="es-ES"/>
        </w:rPr>
        <w:t>t</w:t>
      </w:r>
    </w:p>
    <w:p w14:paraId="30DC2458" w14:textId="77777777" w:rsidR="00802E2F" w:rsidRPr="00802E2F" w:rsidRDefault="00802E2F" w:rsidP="00802E2F">
      <w:pPr>
        <w:ind w:firstLineChars="200" w:firstLine="400"/>
        <w:jc w:val="both"/>
        <w:rPr>
          <w:rFonts w:eastAsia="宋体"/>
          <w:sz w:val="20"/>
          <w:lang w:eastAsia="zh-CN"/>
        </w:rPr>
      </w:pPr>
      <w:r w:rsidRPr="00802E2F">
        <w:rPr>
          <w:rFonts w:eastAsia="宋体"/>
          <w:sz w:val="20"/>
        </w:rPr>
        <w:t xml:space="preserve">The irradiation device needs to be disassembled in order to obtain the irradiated foils, namely disassembly equipment. After calculating the dose of the irradiation device, the disassembly platform adopts stainless steel as protection, and the viewing window adopts 9cm lead glass, which can protect hand from dose irradiation. </w:t>
      </w:r>
    </w:p>
    <w:p w14:paraId="30CD6BEF" w14:textId="42830502" w:rsidR="00C41DCD" w:rsidRDefault="00802E2F" w:rsidP="00802E2F">
      <w:pPr>
        <w:pStyle w:val="3"/>
        <w:rPr>
          <w:lang w:eastAsia="es-ES"/>
        </w:rPr>
      </w:pPr>
      <w:r w:rsidRPr="00802E2F">
        <w:rPr>
          <w:lang w:eastAsia="es-ES"/>
        </w:rPr>
        <w:t>Gamma spectrum measurement system</w:t>
      </w:r>
    </w:p>
    <w:p w14:paraId="3763E848" w14:textId="01E8C203" w:rsidR="00802E2F" w:rsidRDefault="00802E2F" w:rsidP="00802E2F">
      <w:pPr>
        <w:pStyle w:val="a1"/>
        <w:rPr>
          <w:lang w:eastAsia="es-ES"/>
        </w:rPr>
      </w:pPr>
      <w:r w:rsidRPr="00802E2F">
        <w:rPr>
          <w:lang w:eastAsia="es-ES"/>
        </w:rPr>
        <w:t>Due to the large number of activated foils, it is necessary to establish a gamma spectrum measurement system with high measurement accuracy, wide measurement energy range, and low environmental background. a set of automatic detection foil replacement is designed. The automatic refueling and measuring device of the detection foil are shown in Figure 5. It mainly includes a manipulator, a translational lead chamber, a workbench, a programmable logic controller (PLC) electronic control system, an equipment cabinet, a host computer system, etc., through which 100 activation foils can be automatically measured in succession.</w:t>
      </w:r>
    </w:p>
    <w:p w14:paraId="5967A7AF" w14:textId="77777777" w:rsidR="00802E2F" w:rsidRPr="00802E2F" w:rsidRDefault="00802E2F" w:rsidP="00802E2F">
      <w:pPr>
        <w:pStyle w:val="a1"/>
        <w:rPr>
          <w:lang w:eastAsia="es-ES"/>
        </w:rPr>
      </w:pPr>
    </w:p>
    <w:p w14:paraId="55F188A5" w14:textId="009E3277" w:rsidR="00C41DCD" w:rsidRPr="00C41DCD" w:rsidRDefault="00802E2F" w:rsidP="00773AA4">
      <w:pPr>
        <w:pStyle w:val="Figurecaption"/>
        <w:rPr>
          <w:b/>
          <w:lang w:val="en-US" w:eastAsia="es-ES"/>
        </w:rPr>
      </w:pPr>
      <w:r>
        <w:rPr>
          <w:noProof/>
          <w:lang w:val="en-US" w:eastAsia="zh-CN"/>
        </w:rPr>
        <w:drawing>
          <wp:inline distT="0" distB="0" distL="0" distR="0" wp14:anchorId="5002B70D" wp14:editId="133553EE">
            <wp:extent cx="2308225" cy="2204085"/>
            <wp:effectExtent l="0" t="0" r="0" b="5715"/>
            <wp:docPr id="8" name="图片 8"/>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5">
                      <a:extLst>
                        <a:ext uri="{28A0092B-C50C-407E-A947-70E740481C1C}">
                          <a14:useLocalDpi xmlns:a14="http://schemas.microsoft.com/office/drawing/2010/main" val="0"/>
                        </a:ext>
                      </a:extLst>
                    </a:blip>
                    <a:srcRect/>
                    <a:stretch>
                      <a:fillRect/>
                    </a:stretch>
                  </pic:blipFill>
                  <pic:spPr>
                    <a:xfrm>
                      <a:off x="0" y="0"/>
                      <a:ext cx="2308225" cy="2204085"/>
                    </a:xfrm>
                    <a:prstGeom prst="rect">
                      <a:avLst/>
                    </a:prstGeom>
                    <a:noFill/>
                    <a:ln>
                      <a:noFill/>
                    </a:ln>
                  </pic:spPr>
                </pic:pic>
              </a:graphicData>
            </a:graphic>
          </wp:inline>
        </w:drawing>
      </w:r>
    </w:p>
    <w:p w14:paraId="32FAD2EB" w14:textId="6F5CDA3A" w:rsidR="00773AA4" w:rsidRPr="00CB4C2E" w:rsidRDefault="00802E2F" w:rsidP="00CB4C2E">
      <w:pPr>
        <w:pStyle w:val="Figurecaption"/>
        <w:rPr>
          <w:lang w:val="en-US" w:eastAsia="es-ES"/>
        </w:rPr>
      </w:pPr>
      <w:r w:rsidRPr="00FA5F27">
        <w:rPr>
          <w:caps/>
          <w:lang w:eastAsia="es-ES"/>
        </w:rPr>
        <w:t>Fig</w:t>
      </w:r>
      <w:r w:rsidRPr="00FA5F27">
        <w:rPr>
          <w:lang w:eastAsia="es-ES"/>
        </w:rPr>
        <w:t>.</w:t>
      </w:r>
      <w:r>
        <w:rPr>
          <w:b/>
          <w:lang w:eastAsia="es-ES"/>
        </w:rPr>
        <w:t xml:space="preserve">5 </w:t>
      </w:r>
      <w:r>
        <w:rPr>
          <w:lang w:val="en-US" w:eastAsia="es-ES"/>
        </w:rPr>
        <w:t>A</w:t>
      </w:r>
      <w:r w:rsidRPr="00802E2F">
        <w:rPr>
          <w:lang w:val="en-US" w:eastAsia="es-ES"/>
        </w:rPr>
        <w:t>utomatic measuring device for detection foil</w:t>
      </w:r>
    </w:p>
    <w:p w14:paraId="433FE059" w14:textId="19F4A69D" w:rsidR="00F004EE" w:rsidRDefault="00CB4C2E" w:rsidP="00537496">
      <w:pPr>
        <w:pStyle w:val="2"/>
      </w:pPr>
      <w:r>
        <w:t>SCHEME DESIGN</w:t>
      </w:r>
    </w:p>
    <w:p w14:paraId="5BF68F8E" w14:textId="78D876E8" w:rsidR="00CB4C2E" w:rsidRDefault="00CB4C2E" w:rsidP="00CB4C2E">
      <w:pPr>
        <w:pStyle w:val="a1"/>
      </w:pPr>
      <w:r>
        <w:t>The</w:t>
      </w:r>
      <w:r w:rsidRPr="00CB4C2E">
        <w:t xml:space="preserve"> paper mainly studies the reaction rate distribution of </w:t>
      </w:r>
      <w:r w:rsidRPr="00CB4C2E">
        <w:rPr>
          <w:vertAlign w:val="superscript"/>
        </w:rPr>
        <w:t>235</w:t>
      </w:r>
      <w:r w:rsidRPr="00CB4C2E">
        <w:t xml:space="preserve">U and </w:t>
      </w:r>
      <w:r w:rsidRPr="00CB4C2E">
        <w:rPr>
          <w:vertAlign w:val="superscript"/>
        </w:rPr>
        <w:t>238</w:t>
      </w:r>
      <w:r w:rsidRPr="00CB4C2E">
        <w:t xml:space="preserve">U. Firstly, the reaction rate distribution of the typical position of the core is calculated, the MCNP program is used to calculate the neutron flux density of the MOX core, and the NJOY program is used to process the reaction group fission cross-sections of </w:t>
      </w:r>
      <w:r w:rsidRPr="00CB4C2E">
        <w:rPr>
          <w:vertAlign w:val="superscript"/>
        </w:rPr>
        <w:t>235</w:t>
      </w:r>
      <w:r w:rsidRPr="00CB4C2E">
        <w:t xml:space="preserve">U and </w:t>
      </w:r>
      <w:r w:rsidRPr="00CB4C2E">
        <w:rPr>
          <w:vertAlign w:val="superscript"/>
        </w:rPr>
        <w:t>238</w:t>
      </w:r>
      <w:r w:rsidRPr="00CB4C2E">
        <w:t xml:space="preserve">U, and finally </w:t>
      </w:r>
      <w:r w:rsidRPr="00CB4C2E">
        <w:rPr>
          <w:vertAlign w:val="superscript"/>
        </w:rPr>
        <w:t>235</w:t>
      </w:r>
      <w:r w:rsidRPr="00CB4C2E">
        <w:t xml:space="preserve">U and </w:t>
      </w:r>
      <w:r w:rsidRPr="00CB4C2E">
        <w:rPr>
          <w:vertAlign w:val="superscript"/>
        </w:rPr>
        <w:t>238</w:t>
      </w:r>
      <w:r w:rsidRPr="00CB4C2E">
        <w:t>U axial and radial single-nuclear fission rate distributions are obtained at full power. The counting rate is determined by formula derivation. In order to obtain an appropriate counting rate that meets the measurement requirements, the irradiation power, irradiation time and cooling time are determined. According to the size requirements of irradiation device, the size of the uranium foils is obtained.</w:t>
      </w:r>
      <w:r w:rsidRPr="00CB4C2E">
        <w:rPr>
          <w:rFonts w:hint="eastAsia"/>
        </w:rPr>
        <w:t xml:space="preserve"> </w:t>
      </w:r>
      <w:r w:rsidRPr="00CB4C2E">
        <w:t xml:space="preserve">At the same time, the radial and axial positions of the reaction rate measurement points at typical positions of the core can be obtained. Finally evaluate the effect of the activation method experiment on the introduction of the reactivity of the core. </w:t>
      </w:r>
    </w:p>
    <w:p w14:paraId="2356A256" w14:textId="10F93E77" w:rsidR="00CB4C2E" w:rsidRDefault="00914411" w:rsidP="00914411">
      <w:pPr>
        <w:pStyle w:val="3"/>
        <w:numPr>
          <w:ilvl w:val="2"/>
          <w:numId w:val="33"/>
        </w:numPr>
        <w:rPr>
          <w:lang w:val="en-US" w:eastAsia="zh-CN"/>
        </w:rPr>
      </w:pPr>
      <w:r w:rsidRPr="00914411">
        <w:rPr>
          <w:lang w:val="en-US" w:eastAsia="zh-CN"/>
        </w:rPr>
        <w:lastRenderedPageBreak/>
        <w:t>Single nuclear reaction rate calculation</w:t>
      </w:r>
    </w:p>
    <w:p w14:paraId="44DE1DFE" w14:textId="5744CE0F" w:rsidR="00914411" w:rsidRPr="00914411" w:rsidRDefault="000F7E31" w:rsidP="00914411">
      <w:pPr>
        <w:pStyle w:val="4"/>
        <w:ind w:left="0"/>
        <w:rPr>
          <w:lang w:eastAsia="zh-CN"/>
        </w:rPr>
      </w:pPr>
      <w:r>
        <w:rPr>
          <w:rFonts w:hint="eastAsia"/>
          <w:lang w:eastAsia="zh-CN"/>
        </w:rPr>
        <w:t>MCNP simulation</w:t>
      </w:r>
    </w:p>
    <w:p w14:paraId="6DBF02E4" w14:textId="430415E5" w:rsidR="00624DBF" w:rsidRPr="00624DBF" w:rsidRDefault="00624DBF" w:rsidP="00624DBF">
      <w:pPr>
        <w:pStyle w:val="a1"/>
        <w:rPr>
          <w:lang w:eastAsia="zh-CN"/>
        </w:rPr>
      </w:pPr>
      <w:r w:rsidRPr="00624DBF">
        <w:rPr>
          <w:lang w:eastAsia="zh-CN"/>
        </w:rPr>
        <w:t>Fig.6 shows the Configuration of CEFR MOX Core, which is Modeled by MCNP code[3] is shown in Fig.7. In order to save the calculation time and optimize the calculation results, the fuel assemblies at the 5 typical positions are described in detail, and the other assemblies are uniformly. Among them, position1 and position5 are selected as the axial calculation points. The calculation results are shown in Fig. 8 and Fig.9. The fuel active zone and conversion area are taken radially and evenly divided into 16 layers.</w:t>
      </w:r>
    </w:p>
    <w:p w14:paraId="433FE05A" w14:textId="6FAB6561" w:rsidR="001308F2" w:rsidRDefault="00624DBF" w:rsidP="00624DBF">
      <w:pPr>
        <w:pStyle w:val="a1"/>
        <w:jc w:val="center"/>
      </w:pPr>
      <w:r>
        <w:rPr>
          <w:noProof/>
          <w:lang w:val="en-US" w:eastAsia="zh-CN"/>
        </w:rPr>
        <w:drawing>
          <wp:inline distT="0" distB="0" distL="0" distR="0" wp14:anchorId="4462863B" wp14:editId="1118071C">
            <wp:extent cx="3340100" cy="2559050"/>
            <wp:effectExtent l="0" t="0" r="0" b="0"/>
            <wp:docPr id="1" name="图片 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40100" cy="2559050"/>
                    </a:xfrm>
                    <a:prstGeom prst="rect">
                      <a:avLst/>
                    </a:prstGeom>
                  </pic:spPr>
                </pic:pic>
              </a:graphicData>
            </a:graphic>
          </wp:inline>
        </w:drawing>
      </w:r>
    </w:p>
    <w:p w14:paraId="5CE45FB4" w14:textId="763A6DB1" w:rsidR="00624DBF" w:rsidRPr="00624DBF" w:rsidRDefault="00624DBF" w:rsidP="00624DBF">
      <w:pPr>
        <w:pStyle w:val="a1"/>
        <w:jc w:val="center"/>
        <w:rPr>
          <w:i/>
          <w:sz w:val="18"/>
          <w:lang w:val="en-US" w:eastAsia="es-ES"/>
        </w:rPr>
      </w:pPr>
      <w:r w:rsidRPr="00624DBF">
        <w:rPr>
          <w:i/>
          <w:caps/>
          <w:lang w:eastAsia="es-ES"/>
        </w:rPr>
        <w:t>Fig</w:t>
      </w:r>
      <w:r w:rsidRPr="00624DBF">
        <w:rPr>
          <w:i/>
          <w:lang w:eastAsia="es-ES"/>
        </w:rPr>
        <w:t>.</w:t>
      </w:r>
      <w:r w:rsidRPr="00624DBF">
        <w:rPr>
          <w:b/>
          <w:i/>
          <w:lang w:eastAsia="es-ES"/>
        </w:rPr>
        <w:t xml:space="preserve">6 </w:t>
      </w:r>
      <w:r w:rsidRPr="00624DBF">
        <w:rPr>
          <w:i/>
          <w:sz w:val="18"/>
          <w:lang w:val="en-US" w:eastAsia="es-ES"/>
        </w:rPr>
        <w:t>Configuration of CEFR MOX</w:t>
      </w:r>
      <w:r w:rsidRPr="00624DBF">
        <w:rPr>
          <w:rFonts w:hint="eastAsia"/>
          <w:i/>
          <w:sz w:val="18"/>
          <w:lang w:val="en-US" w:eastAsia="es-ES"/>
        </w:rPr>
        <w:t xml:space="preserve"> </w:t>
      </w:r>
      <w:r w:rsidRPr="00624DBF">
        <w:rPr>
          <w:i/>
          <w:sz w:val="18"/>
          <w:lang w:val="en-US" w:eastAsia="es-ES"/>
        </w:rPr>
        <w:t>Core</w:t>
      </w:r>
    </w:p>
    <w:p w14:paraId="1D5D1EB8" w14:textId="313FCA20" w:rsidR="00624DBF" w:rsidRDefault="00624DBF" w:rsidP="00624DBF">
      <w:pPr>
        <w:pStyle w:val="a1"/>
        <w:jc w:val="center"/>
        <w:rPr>
          <w:i/>
        </w:rPr>
      </w:pPr>
      <w:r>
        <w:rPr>
          <w:noProof/>
          <w:lang w:val="en-US" w:eastAsia="zh-CN"/>
        </w:rPr>
        <w:drawing>
          <wp:inline distT="0" distB="0" distL="0" distR="0" wp14:anchorId="364D6F21" wp14:editId="0FD01CB9">
            <wp:extent cx="3778250" cy="2914650"/>
            <wp:effectExtent l="0" t="0" r="0" b="0"/>
            <wp:docPr id="17" name="图片 17"/>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17">
                      <a:extLst>
                        <a:ext uri="{28A0092B-C50C-407E-A947-70E740481C1C}">
                          <a14:useLocalDpi xmlns:a14="http://schemas.microsoft.com/office/drawing/2010/main" val="0"/>
                        </a:ext>
                      </a:extLst>
                    </a:blip>
                    <a:stretch>
                      <a:fillRect/>
                    </a:stretch>
                  </pic:blipFill>
                  <pic:spPr>
                    <a:xfrm>
                      <a:off x="0" y="0"/>
                      <a:ext cx="3778250" cy="2914650"/>
                    </a:xfrm>
                    <a:prstGeom prst="rect">
                      <a:avLst/>
                    </a:prstGeom>
                  </pic:spPr>
                </pic:pic>
              </a:graphicData>
            </a:graphic>
          </wp:inline>
        </w:drawing>
      </w:r>
    </w:p>
    <w:p w14:paraId="139A34A2" w14:textId="77777777" w:rsidR="0075513D" w:rsidRPr="0075513D" w:rsidRDefault="00624DBF" w:rsidP="0075513D">
      <w:pPr>
        <w:pStyle w:val="a1"/>
        <w:jc w:val="center"/>
        <w:rPr>
          <w:i/>
          <w:lang w:val="en-US" w:eastAsia="es-ES"/>
        </w:rPr>
      </w:pPr>
      <w:r w:rsidRPr="0075513D">
        <w:rPr>
          <w:i/>
          <w:caps/>
          <w:lang w:eastAsia="es-ES"/>
        </w:rPr>
        <w:t>Fig</w:t>
      </w:r>
      <w:r w:rsidRPr="0075513D">
        <w:rPr>
          <w:i/>
          <w:lang w:eastAsia="es-ES"/>
        </w:rPr>
        <w:t xml:space="preserve">.7 </w:t>
      </w:r>
      <w:r w:rsidR="0075513D" w:rsidRPr="0075513D">
        <w:rPr>
          <w:i/>
          <w:lang w:val="en-US" w:eastAsia="es-ES"/>
        </w:rPr>
        <w:t>The irradiated location of Experimental Fuel SA</w:t>
      </w:r>
    </w:p>
    <w:p w14:paraId="7739EE36" w14:textId="4E0D1AD7" w:rsidR="00624DBF" w:rsidRDefault="0075513D" w:rsidP="00624DBF">
      <w:pPr>
        <w:pStyle w:val="a1"/>
        <w:jc w:val="center"/>
        <w:rPr>
          <w:i/>
        </w:rPr>
      </w:pPr>
      <w:r>
        <w:rPr>
          <w:noProof/>
          <w:lang w:val="en-US" w:eastAsia="zh-CN"/>
        </w:rPr>
        <w:lastRenderedPageBreak/>
        <w:drawing>
          <wp:inline distT="0" distB="0" distL="0" distR="0" wp14:anchorId="161A5649" wp14:editId="0EAE1905">
            <wp:extent cx="4895850" cy="3175000"/>
            <wp:effectExtent l="0" t="0" r="0" b="6350"/>
            <wp:docPr id="20" name="图片 20"/>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95850" cy="3175000"/>
                    </a:xfrm>
                    <a:prstGeom prst="rect">
                      <a:avLst/>
                    </a:prstGeom>
                  </pic:spPr>
                </pic:pic>
              </a:graphicData>
            </a:graphic>
          </wp:inline>
        </w:drawing>
      </w:r>
    </w:p>
    <w:p w14:paraId="67CB7841" w14:textId="4A7E1CF9" w:rsidR="0075513D" w:rsidRDefault="0075513D" w:rsidP="00624DBF">
      <w:pPr>
        <w:pStyle w:val="a1"/>
        <w:jc w:val="center"/>
        <w:rPr>
          <w:i/>
          <w:lang w:eastAsia="es-ES"/>
        </w:rPr>
      </w:pPr>
      <w:r w:rsidRPr="0075513D">
        <w:rPr>
          <w:i/>
          <w:caps/>
          <w:lang w:eastAsia="es-ES"/>
        </w:rPr>
        <w:t>Fig</w:t>
      </w:r>
      <w:r w:rsidRPr="0075513D">
        <w:rPr>
          <w:i/>
          <w:lang w:eastAsia="es-ES"/>
        </w:rPr>
        <w:t>.</w:t>
      </w:r>
      <w:r>
        <w:rPr>
          <w:i/>
          <w:lang w:eastAsia="es-ES"/>
        </w:rPr>
        <w:t xml:space="preserve">8 </w:t>
      </w:r>
      <w:r w:rsidRPr="0075513D">
        <w:rPr>
          <w:i/>
          <w:lang w:eastAsia="es-ES"/>
        </w:rPr>
        <w:t>Radial neutron flux relative distribution</w:t>
      </w:r>
    </w:p>
    <w:p w14:paraId="632A4E5A" w14:textId="7D1D6C47" w:rsidR="0075513D" w:rsidRDefault="0075513D" w:rsidP="00624DBF">
      <w:pPr>
        <w:pStyle w:val="a1"/>
        <w:jc w:val="center"/>
        <w:rPr>
          <w:i/>
        </w:rPr>
      </w:pPr>
      <w:r>
        <w:rPr>
          <w:noProof/>
          <w:lang w:val="en-US" w:eastAsia="zh-CN"/>
        </w:rPr>
        <w:drawing>
          <wp:inline distT="0" distB="0" distL="0" distR="0" wp14:anchorId="60F9E409" wp14:editId="42FD97C6">
            <wp:extent cx="5245100" cy="2946400"/>
            <wp:effectExtent l="0" t="0" r="0" b="6350"/>
            <wp:docPr id="14" name="图片 14"/>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45100" cy="2946400"/>
                    </a:xfrm>
                    <a:prstGeom prst="rect">
                      <a:avLst/>
                    </a:prstGeom>
                  </pic:spPr>
                </pic:pic>
              </a:graphicData>
            </a:graphic>
          </wp:inline>
        </w:drawing>
      </w:r>
    </w:p>
    <w:p w14:paraId="7B2E6A21" w14:textId="77777777" w:rsidR="0075513D" w:rsidRPr="0075513D" w:rsidRDefault="0075513D" w:rsidP="0075513D">
      <w:pPr>
        <w:pStyle w:val="a1"/>
        <w:jc w:val="center"/>
        <w:rPr>
          <w:i/>
          <w:lang w:val="en-US" w:eastAsia="es-ES"/>
        </w:rPr>
      </w:pPr>
      <w:r w:rsidRPr="0075513D">
        <w:rPr>
          <w:i/>
          <w:caps/>
          <w:lang w:eastAsia="es-ES"/>
        </w:rPr>
        <w:t>Fig</w:t>
      </w:r>
      <w:r w:rsidRPr="0075513D">
        <w:rPr>
          <w:i/>
          <w:lang w:eastAsia="es-ES"/>
        </w:rPr>
        <w:t>.</w:t>
      </w:r>
      <w:r>
        <w:rPr>
          <w:i/>
          <w:lang w:eastAsia="es-ES"/>
        </w:rPr>
        <w:t xml:space="preserve">9 </w:t>
      </w:r>
      <w:r w:rsidRPr="0075513D">
        <w:rPr>
          <w:i/>
          <w:lang w:val="en-US" w:eastAsia="es-ES"/>
        </w:rPr>
        <w:t>Relative distribution of axial neutron flux of position 1</w:t>
      </w:r>
    </w:p>
    <w:p w14:paraId="6CCFE803" w14:textId="704F93C2" w:rsidR="0075513D" w:rsidRDefault="000F7E31" w:rsidP="000F7E31">
      <w:pPr>
        <w:pStyle w:val="4"/>
        <w:ind w:left="0"/>
      </w:pPr>
      <w:r w:rsidRPr="000F7E31">
        <w:t>Group Section Machining</w:t>
      </w:r>
    </w:p>
    <w:p w14:paraId="37E4727D" w14:textId="40938111" w:rsidR="000F7E31" w:rsidRDefault="000F7E31" w:rsidP="000F7E31">
      <w:pPr>
        <w:pStyle w:val="a1"/>
        <w:rPr>
          <w:lang w:val="en-US"/>
        </w:rPr>
      </w:pPr>
      <w:r w:rsidRPr="000F7E31">
        <w:rPr>
          <w:lang w:val="en-US"/>
        </w:rPr>
        <w:t xml:space="preserve">The original data from the database in ENDF/B VIII.0 format by the NJOY[4], and the original data was linearized within 0.1% error range using a special processing program, and then the resonance reconstruction was carried out, and the obtained resonance cross section was The contribution of is added to the linearized section. Doppler broadening is then performed. Finally, the multi-group section processing is carried out. The process is shown in Figure 10. In this paper, the NJOY program is used, corresponding to the above four processes of group section processing, using subroutines such as MODER, RECONR, BROADR, UNRESR, GROUPR, etc., and by appropriately adjusting the corresponding input parameters, the required group section can be obtained. The obtained point section is processed into the required 46 group section, and the fission group section of </w:t>
      </w:r>
      <w:r w:rsidRPr="00632CC7">
        <w:rPr>
          <w:vertAlign w:val="superscript"/>
          <w:lang w:val="en-US"/>
        </w:rPr>
        <w:t>235</w:t>
      </w:r>
      <w:r w:rsidRPr="000F7E31">
        <w:rPr>
          <w:lang w:val="en-US"/>
        </w:rPr>
        <w:t xml:space="preserve">U and </w:t>
      </w:r>
      <w:r w:rsidRPr="00632CC7">
        <w:rPr>
          <w:vertAlign w:val="superscript"/>
          <w:lang w:val="en-US"/>
        </w:rPr>
        <w:t>238</w:t>
      </w:r>
      <w:r w:rsidRPr="000F7E31">
        <w:rPr>
          <w:lang w:val="en-US"/>
        </w:rPr>
        <w:t>U are shown in Figure 11 and Figure 12.</w:t>
      </w:r>
      <w:bookmarkStart w:id="4" w:name="_GoBack"/>
      <w:bookmarkEnd w:id="4"/>
    </w:p>
    <w:p w14:paraId="75CB48DB" w14:textId="2A82DC11" w:rsidR="000F7E31" w:rsidRDefault="00E501F6" w:rsidP="00E501F6">
      <w:pPr>
        <w:pStyle w:val="a1"/>
        <w:jc w:val="center"/>
        <w:rPr>
          <w:lang w:val="en-US"/>
        </w:rPr>
      </w:pPr>
      <w:r>
        <w:rPr>
          <w:noProof/>
          <w:lang w:val="en-US" w:eastAsia="zh-CN"/>
        </w:rPr>
        <w:lastRenderedPageBreak/>
        <w:drawing>
          <wp:inline distT="0" distB="0" distL="0" distR="0" wp14:anchorId="0354D75B" wp14:editId="3CFB426A">
            <wp:extent cx="1270000" cy="2019300"/>
            <wp:effectExtent l="0" t="0" r="6350" b="0"/>
            <wp:docPr id="16" name="图片 16"/>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20">
                      <a:extLst>
                        <a:ext uri="{28A0092B-C50C-407E-A947-70E740481C1C}">
                          <a14:useLocalDpi xmlns:a14="http://schemas.microsoft.com/office/drawing/2010/main" val="0"/>
                        </a:ext>
                      </a:extLst>
                    </a:blip>
                    <a:stretch>
                      <a:fillRect/>
                    </a:stretch>
                  </pic:blipFill>
                  <pic:spPr>
                    <a:xfrm>
                      <a:off x="0" y="0"/>
                      <a:ext cx="1270000" cy="2019300"/>
                    </a:xfrm>
                    <a:prstGeom prst="rect">
                      <a:avLst/>
                    </a:prstGeom>
                  </pic:spPr>
                </pic:pic>
              </a:graphicData>
            </a:graphic>
          </wp:inline>
        </w:drawing>
      </w:r>
    </w:p>
    <w:p w14:paraId="170E7FFF" w14:textId="77777777" w:rsidR="00E501F6" w:rsidRPr="00E501F6" w:rsidRDefault="00E501F6" w:rsidP="00E501F6">
      <w:pPr>
        <w:pStyle w:val="a1"/>
        <w:jc w:val="center"/>
        <w:rPr>
          <w:i/>
          <w:iCs/>
          <w:lang w:val="en-US" w:eastAsia="es-ES"/>
        </w:rPr>
      </w:pPr>
      <w:r w:rsidRPr="0075513D">
        <w:rPr>
          <w:i/>
          <w:caps/>
          <w:lang w:eastAsia="es-ES"/>
        </w:rPr>
        <w:t>Fig</w:t>
      </w:r>
      <w:r w:rsidRPr="0075513D">
        <w:rPr>
          <w:i/>
          <w:lang w:eastAsia="es-ES"/>
        </w:rPr>
        <w:t>.</w:t>
      </w:r>
      <w:r>
        <w:rPr>
          <w:i/>
          <w:lang w:eastAsia="es-ES"/>
        </w:rPr>
        <w:t xml:space="preserve">10 </w:t>
      </w:r>
      <w:r w:rsidRPr="00E501F6">
        <w:rPr>
          <w:i/>
          <w:iCs/>
          <w:lang w:val="en-US" w:eastAsia="es-ES"/>
        </w:rPr>
        <w:t>NJOY group cross-section processing flow chart</w:t>
      </w:r>
    </w:p>
    <w:p w14:paraId="79414413" w14:textId="2A000F6D" w:rsidR="00E501F6" w:rsidRDefault="00E501F6" w:rsidP="00E501F6">
      <w:pPr>
        <w:pStyle w:val="a1"/>
        <w:jc w:val="center"/>
        <w:rPr>
          <w:lang w:val="en-US"/>
        </w:rPr>
      </w:pPr>
      <w:r>
        <w:rPr>
          <w:noProof/>
          <w:lang w:val="en-US" w:eastAsia="zh-CN"/>
        </w:rPr>
        <w:drawing>
          <wp:inline distT="0" distB="0" distL="0" distR="0" wp14:anchorId="48A2AA80" wp14:editId="33EA987F">
            <wp:extent cx="4281054" cy="2978727"/>
            <wp:effectExtent l="0" t="0" r="5715" b="0"/>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83009" cy="2980087"/>
                    </a:xfrm>
                    <a:prstGeom prst="rect">
                      <a:avLst/>
                    </a:prstGeom>
                  </pic:spPr>
                </pic:pic>
              </a:graphicData>
            </a:graphic>
          </wp:inline>
        </w:drawing>
      </w:r>
    </w:p>
    <w:p w14:paraId="5F5C85AA" w14:textId="79E9CE70" w:rsidR="00E501F6" w:rsidRDefault="00E501F6" w:rsidP="00E501F6">
      <w:pPr>
        <w:pStyle w:val="a1"/>
        <w:jc w:val="center"/>
        <w:rPr>
          <w:i/>
          <w:iCs/>
          <w:lang w:eastAsia="es-ES"/>
        </w:rPr>
      </w:pPr>
      <w:r w:rsidRPr="0075513D">
        <w:rPr>
          <w:i/>
          <w:caps/>
          <w:lang w:eastAsia="es-ES"/>
        </w:rPr>
        <w:t>Fig</w:t>
      </w:r>
      <w:r w:rsidRPr="0075513D">
        <w:rPr>
          <w:i/>
          <w:lang w:eastAsia="es-ES"/>
        </w:rPr>
        <w:t>.</w:t>
      </w:r>
      <w:r>
        <w:rPr>
          <w:i/>
          <w:lang w:eastAsia="es-ES"/>
        </w:rPr>
        <w:t xml:space="preserve">11 </w:t>
      </w:r>
      <w:r w:rsidRPr="00E501F6">
        <w:rPr>
          <w:i/>
          <w:iCs/>
          <w:lang w:eastAsia="es-ES"/>
        </w:rPr>
        <w:t xml:space="preserve">46 group cross section of </w:t>
      </w:r>
      <w:r w:rsidRPr="00E501F6">
        <w:rPr>
          <w:i/>
          <w:iCs/>
          <w:vertAlign w:val="superscript"/>
          <w:lang w:eastAsia="es-ES"/>
        </w:rPr>
        <w:t>235</w:t>
      </w:r>
      <w:r w:rsidRPr="00E501F6">
        <w:rPr>
          <w:i/>
          <w:iCs/>
          <w:lang w:eastAsia="es-ES"/>
        </w:rPr>
        <w:t>U(n,f)</w:t>
      </w:r>
    </w:p>
    <w:p w14:paraId="19A1A543" w14:textId="3CA78CD4" w:rsidR="00E501F6" w:rsidRDefault="00E501F6" w:rsidP="00E501F6">
      <w:pPr>
        <w:pStyle w:val="a1"/>
        <w:jc w:val="center"/>
        <w:rPr>
          <w:lang w:val="en-US"/>
        </w:rPr>
      </w:pPr>
      <w:r>
        <w:rPr>
          <w:noProof/>
          <w:lang w:val="en-US" w:eastAsia="zh-CN"/>
        </w:rPr>
        <w:drawing>
          <wp:inline distT="0" distB="0" distL="0" distR="0" wp14:anchorId="674F921F" wp14:editId="79AA9522">
            <wp:extent cx="4197350" cy="3187700"/>
            <wp:effectExtent l="0" t="0" r="0" b="0"/>
            <wp:docPr id="12" name="图片 12"/>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97350" cy="3187700"/>
                    </a:xfrm>
                    <a:prstGeom prst="rect">
                      <a:avLst/>
                    </a:prstGeom>
                  </pic:spPr>
                </pic:pic>
              </a:graphicData>
            </a:graphic>
          </wp:inline>
        </w:drawing>
      </w:r>
    </w:p>
    <w:p w14:paraId="772352DF" w14:textId="6957C3CB" w:rsidR="00E501F6" w:rsidRDefault="00E501F6" w:rsidP="00E501F6">
      <w:pPr>
        <w:pStyle w:val="a1"/>
        <w:jc w:val="center"/>
        <w:rPr>
          <w:i/>
          <w:iCs/>
          <w:lang w:val="en-US" w:eastAsia="es-ES"/>
        </w:rPr>
      </w:pPr>
      <w:r w:rsidRPr="0075513D">
        <w:rPr>
          <w:i/>
          <w:caps/>
          <w:lang w:eastAsia="es-ES"/>
        </w:rPr>
        <w:t>Fig</w:t>
      </w:r>
      <w:r w:rsidRPr="0075513D">
        <w:rPr>
          <w:i/>
          <w:lang w:eastAsia="es-ES"/>
        </w:rPr>
        <w:t>.</w:t>
      </w:r>
      <w:r>
        <w:rPr>
          <w:i/>
          <w:lang w:eastAsia="es-ES"/>
        </w:rPr>
        <w:t xml:space="preserve">12 </w:t>
      </w:r>
      <w:r w:rsidRPr="00E501F6">
        <w:rPr>
          <w:i/>
          <w:iCs/>
          <w:lang w:val="en-US" w:eastAsia="es-ES"/>
        </w:rPr>
        <w:t xml:space="preserve">46 group cross section of </w:t>
      </w:r>
      <w:r w:rsidRPr="00E501F6">
        <w:rPr>
          <w:i/>
          <w:iCs/>
          <w:vertAlign w:val="superscript"/>
          <w:lang w:val="en-US" w:eastAsia="es-ES"/>
        </w:rPr>
        <w:t>238</w:t>
      </w:r>
      <w:r w:rsidRPr="00E501F6">
        <w:rPr>
          <w:i/>
          <w:iCs/>
          <w:lang w:val="en-US" w:eastAsia="es-ES"/>
        </w:rPr>
        <w:t>U(n,f)</w:t>
      </w:r>
    </w:p>
    <w:p w14:paraId="66FF2AAB" w14:textId="2277B6A0" w:rsidR="00E501F6" w:rsidRDefault="00021949" w:rsidP="00E501F6">
      <w:pPr>
        <w:pStyle w:val="4"/>
        <w:ind w:left="0"/>
        <w:rPr>
          <w:lang w:eastAsia="zh-CN"/>
        </w:rPr>
      </w:pPr>
      <w:r>
        <w:rPr>
          <w:rFonts w:hint="eastAsia"/>
          <w:lang w:eastAsia="zh-CN"/>
        </w:rPr>
        <w:lastRenderedPageBreak/>
        <w:t>Calculation result</w:t>
      </w:r>
    </w:p>
    <w:p w14:paraId="03F34281" w14:textId="1F31331F" w:rsidR="00021949" w:rsidRDefault="00021949" w:rsidP="00021949">
      <w:pPr>
        <w:pStyle w:val="a1"/>
        <w:rPr>
          <w:lang w:val="en-US" w:eastAsia="zh-CN"/>
        </w:rPr>
      </w:pPr>
      <w:r w:rsidRPr="00021949">
        <w:rPr>
          <w:lang w:val="en-US" w:eastAsia="zh-CN"/>
        </w:rPr>
        <w:t>Using the formula R=σφ</w:t>
      </w:r>
      <w:r w:rsidR="00252D9A">
        <w:rPr>
          <w:lang w:val="en-US" w:eastAsia="zh-CN"/>
        </w:rPr>
        <w:t xml:space="preserve"> </w:t>
      </w:r>
      <w:r w:rsidRPr="00021949">
        <w:rPr>
          <w:lang w:val="en-US" w:eastAsia="zh-CN"/>
        </w:rPr>
        <w:t>to obtain the fission mononuclear reaction rates of 235U and 238U. When MCNP calculates the neutron flux, it is the normalized neutron flux. In order to obtain the absolute value of the neutron flux, the normalization constant needs to be multiplied, and the absolute value of the neutron flux is obtained by the following formula, the results are shown in Fig13 and Fig.14.</w:t>
      </w:r>
    </w:p>
    <w:p w14:paraId="62C90282" w14:textId="1E463377" w:rsidR="00021949" w:rsidRDefault="00E90C1D" w:rsidP="00E90C1D">
      <w:pPr>
        <w:ind w:firstLine="420"/>
        <w:jc w:val="center"/>
        <w:rPr>
          <w:rFonts w:eastAsia="宋体"/>
          <w:sz w:val="21"/>
          <w:szCs w:val="21"/>
          <w:lang w:eastAsia="zh-CN"/>
        </w:rPr>
      </w:pPr>
      <w:r>
        <w:rPr>
          <w:rFonts w:hint="eastAsia"/>
          <w:sz w:val="21"/>
          <w:szCs w:val="21"/>
          <w:lang w:eastAsia="zh-CN"/>
        </w:rPr>
        <w:t xml:space="preserve">                  </w:t>
      </w:r>
      <m:oMath>
        <m:sSub>
          <m:sSubPr>
            <m:ctrlPr>
              <w:rPr>
                <w:rFonts w:ascii="Cambria Math" w:eastAsia="宋体" w:hAnsi="Cambria Math"/>
                <w:sz w:val="21"/>
                <w:szCs w:val="21"/>
              </w:rPr>
            </m:ctrlPr>
          </m:sSubPr>
          <m:e>
            <m:r>
              <w:rPr>
                <w:rFonts w:ascii="Cambria Math" w:eastAsia="宋体" w:hAnsi="Cambria Math"/>
                <w:szCs w:val="21"/>
              </w:rPr>
              <m:t>ϕ</m:t>
            </m:r>
          </m:e>
          <m:sub>
            <m:r>
              <w:rPr>
                <w:rFonts w:ascii="Cambria Math" w:eastAsia="宋体" w:hAnsi="Cambria Math"/>
                <w:szCs w:val="21"/>
              </w:rPr>
              <m:t>absolute</m:t>
            </m:r>
          </m:sub>
        </m:sSub>
        <m:r>
          <w:rPr>
            <w:rFonts w:ascii="Cambria Math" w:eastAsia="宋体" w:hAnsi="Cambria Math"/>
            <w:szCs w:val="21"/>
          </w:rPr>
          <m:t>=</m:t>
        </m:r>
        <m:sSub>
          <m:sSubPr>
            <m:ctrlPr>
              <w:rPr>
                <w:rFonts w:ascii="Cambria Math" w:eastAsia="宋体" w:hAnsi="Cambria Math"/>
                <w:i/>
                <w:sz w:val="21"/>
                <w:szCs w:val="21"/>
              </w:rPr>
            </m:ctrlPr>
          </m:sSubPr>
          <m:e>
            <m:r>
              <w:rPr>
                <w:rFonts w:ascii="Cambria Math" w:eastAsia="宋体" w:hAnsi="Cambria Math"/>
                <w:szCs w:val="21"/>
              </w:rPr>
              <m:t>ϕ</m:t>
            </m:r>
          </m:e>
          <m:sub>
            <m:sSub>
              <m:sSubPr>
                <m:ctrlPr>
                  <w:rPr>
                    <w:rFonts w:ascii="Cambria Math" w:eastAsia="宋体" w:hAnsi="Cambria Math"/>
                    <w:i/>
                    <w:sz w:val="21"/>
                    <w:szCs w:val="21"/>
                  </w:rPr>
                </m:ctrlPr>
              </m:sSubPr>
              <m:e>
                <m:r>
                  <w:rPr>
                    <w:rFonts w:ascii="Cambria Math" w:eastAsia="宋体" w:hAnsi="Cambria Math"/>
                    <w:szCs w:val="21"/>
                  </w:rPr>
                  <m:t>F</m:t>
                </m:r>
              </m:e>
              <m:sub>
                <m:r>
                  <w:rPr>
                    <w:rFonts w:ascii="Cambria Math" w:eastAsia="宋体" w:hAnsi="Cambria Math"/>
                    <w:szCs w:val="21"/>
                  </w:rPr>
                  <m:t>4</m:t>
                </m:r>
              </m:sub>
            </m:sSub>
          </m:sub>
        </m:sSub>
        <m:r>
          <w:rPr>
            <w:rFonts w:ascii="Cambria Math" w:eastAsia="宋体" w:hAnsi="Cambria Math"/>
            <w:szCs w:val="21"/>
          </w:rPr>
          <m:t>×</m:t>
        </m:r>
        <m:f>
          <m:fPr>
            <m:ctrlPr>
              <w:rPr>
                <w:rFonts w:ascii="Cambria Math" w:eastAsia="宋体" w:hAnsi="Cambria Math"/>
                <w:i/>
                <w:sz w:val="21"/>
                <w:szCs w:val="21"/>
              </w:rPr>
            </m:ctrlPr>
          </m:fPr>
          <m:num>
            <m:acc>
              <m:accPr>
                <m:chr m:val="̅"/>
                <m:ctrlPr>
                  <w:rPr>
                    <w:rFonts w:ascii="Cambria Math" w:eastAsia="宋体" w:hAnsi="Cambria Math"/>
                    <w:i/>
                    <w:sz w:val="21"/>
                    <w:szCs w:val="21"/>
                  </w:rPr>
                </m:ctrlPr>
              </m:accPr>
              <m:e>
                <m:r>
                  <w:rPr>
                    <w:rFonts w:ascii="Cambria Math" w:eastAsia="宋体" w:hAnsi="Cambria Math"/>
                    <w:szCs w:val="21"/>
                  </w:rPr>
                  <m:t>ν</m:t>
                </m:r>
              </m:e>
            </m:acc>
            <m:r>
              <w:rPr>
                <w:rFonts w:ascii="Cambria Math" w:eastAsia="宋体" w:hAnsi="Cambria Math"/>
                <w:szCs w:val="21"/>
              </w:rPr>
              <m:t>∙P</m:t>
            </m:r>
          </m:num>
          <m:den>
            <m:sSub>
              <m:sSubPr>
                <m:ctrlPr>
                  <w:rPr>
                    <w:rFonts w:ascii="Cambria Math" w:eastAsia="宋体" w:hAnsi="Cambria Math"/>
                    <w:i/>
                    <w:sz w:val="21"/>
                    <w:szCs w:val="21"/>
                  </w:rPr>
                </m:ctrlPr>
              </m:sSubPr>
              <m:e>
                <m:r>
                  <w:rPr>
                    <w:rFonts w:ascii="Cambria Math" w:eastAsia="宋体" w:hAnsi="Cambria Math"/>
                    <w:szCs w:val="21"/>
                  </w:rPr>
                  <m:t>k</m:t>
                </m:r>
              </m:e>
              <m:sub>
                <m:r>
                  <w:rPr>
                    <w:rFonts w:ascii="Cambria Math" w:eastAsia="宋体" w:hAnsi="Cambria Math"/>
                    <w:szCs w:val="21"/>
                  </w:rPr>
                  <m:t>eff</m:t>
                </m:r>
              </m:sub>
            </m:sSub>
            <m:r>
              <w:rPr>
                <w:rFonts w:ascii="Cambria Math" w:eastAsia="宋体" w:hAnsi="Cambria Math"/>
                <w:szCs w:val="21"/>
              </w:rPr>
              <m:t>×1.602×</m:t>
            </m:r>
            <m:sSup>
              <m:sSupPr>
                <m:ctrlPr>
                  <w:rPr>
                    <w:rFonts w:ascii="Cambria Math" w:eastAsia="宋体" w:hAnsi="Cambria Math"/>
                    <w:i/>
                    <w:sz w:val="21"/>
                    <w:szCs w:val="21"/>
                  </w:rPr>
                </m:ctrlPr>
              </m:sSupPr>
              <m:e>
                <m:r>
                  <w:rPr>
                    <w:rFonts w:ascii="Cambria Math" w:eastAsia="宋体" w:hAnsi="Cambria Math"/>
                    <w:szCs w:val="21"/>
                  </w:rPr>
                  <m:t>10</m:t>
                </m:r>
              </m:e>
              <m:sup>
                <m:r>
                  <w:rPr>
                    <w:rFonts w:ascii="Cambria Math" w:eastAsia="宋体" w:hAnsi="Cambria Math"/>
                    <w:szCs w:val="21"/>
                  </w:rPr>
                  <m:t>-13</m:t>
                </m:r>
              </m:sup>
            </m:sSup>
            <m:sSub>
              <m:sSubPr>
                <m:ctrlPr>
                  <w:rPr>
                    <w:rFonts w:ascii="Cambria Math" w:eastAsia="宋体" w:hAnsi="Cambria Math"/>
                    <w:i/>
                    <w:sz w:val="21"/>
                    <w:szCs w:val="21"/>
                  </w:rPr>
                </m:ctrlPr>
              </m:sSubPr>
              <m:e>
                <m:r>
                  <w:rPr>
                    <w:rFonts w:ascii="Cambria Math" w:eastAsia="宋体" w:hAnsi="Cambria Math"/>
                    <w:szCs w:val="21"/>
                  </w:rPr>
                  <m:t>E</m:t>
                </m:r>
              </m:e>
              <m:sub>
                <m:r>
                  <w:rPr>
                    <w:rFonts w:ascii="Cambria Math" w:eastAsia="宋体" w:hAnsi="Cambria Math"/>
                    <w:szCs w:val="21"/>
                  </w:rPr>
                  <m:t>fission</m:t>
                </m:r>
              </m:sub>
            </m:sSub>
          </m:den>
        </m:f>
      </m:oMath>
      <w:r>
        <w:rPr>
          <w:rFonts w:eastAsia="宋体" w:hint="eastAsia"/>
          <w:sz w:val="21"/>
          <w:szCs w:val="21"/>
          <w:lang w:eastAsia="zh-CN"/>
        </w:rPr>
        <w:t xml:space="preserve">    </w:t>
      </w:r>
      <w:r>
        <w:rPr>
          <w:rFonts w:eastAsia="宋体"/>
          <w:sz w:val="21"/>
          <w:szCs w:val="21"/>
          <w:lang w:eastAsia="zh-CN"/>
        </w:rPr>
        <w:t xml:space="preserve">    </w:t>
      </w:r>
      <w:r>
        <w:rPr>
          <w:rFonts w:eastAsia="宋体" w:hint="eastAsia"/>
          <w:sz w:val="21"/>
          <w:szCs w:val="21"/>
          <w:lang w:eastAsia="zh-CN"/>
        </w:rPr>
        <w:t>（</w:t>
      </w:r>
      <w:r>
        <w:rPr>
          <w:rFonts w:eastAsia="宋体" w:hint="eastAsia"/>
          <w:sz w:val="21"/>
          <w:szCs w:val="21"/>
          <w:lang w:eastAsia="zh-CN"/>
        </w:rPr>
        <w:t>5</w:t>
      </w:r>
      <w:r>
        <w:rPr>
          <w:rFonts w:eastAsia="宋体" w:hint="eastAsia"/>
          <w:sz w:val="21"/>
          <w:szCs w:val="21"/>
          <w:lang w:eastAsia="zh-CN"/>
        </w:rPr>
        <w:t>）</w:t>
      </w:r>
      <w:r>
        <w:rPr>
          <w:rFonts w:eastAsia="宋体"/>
          <w:sz w:val="21"/>
          <w:szCs w:val="21"/>
          <w:lang w:eastAsia="zh-CN"/>
        </w:rPr>
        <w:t xml:space="preserve">                                </w:t>
      </w:r>
    </w:p>
    <w:p w14:paraId="47EDDCE5" w14:textId="77777777" w:rsidR="00021949" w:rsidRPr="00021949" w:rsidRDefault="00021949" w:rsidP="00021949">
      <w:pPr>
        <w:pStyle w:val="a1"/>
        <w:rPr>
          <w:lang w:val="en-US" w:eastAsia="zh-CN"/>
        </w:rPr>
      </w:pPr>
    </w:p>
    <w:p w14:paraId="65A5EFCA" w14:textId="0BBB0FE5" w:rsidR="00021949" w:rsidRDefault="00021949" w:rsidP="00021949">
      <w:pPr>
        <w:pStyle w:val="a1"/>
        <w:rPr>
          <w:lang w:val="en-US" w:eastAsia="zh-CN"/>
        </w:rPr>
      </w:pPr>
      <w:r w:rsidRPr="00021949">
        <w:rPr>
          <w:lang w:val="en-US" w:eastAsia="zh-CN"/>
        </w:rPr>
        <w:t>Where Φabsolute is the absolute value of neutron flux; ΦF4 is the neutron flux count of MCNP; ν is the average number of neutrons released per fission, which is 2.501 for CEFR; P is the power of the reactor, which is 65 MW for CEFR; keff is the effective multiplication coefficient; Efission is the energy released per fission, which is 200 MeV for CEFR.</w:t>
      </w:r>
    </w:p>
    <w:p w14:paraId="225D6C35" w14:textId="534689C9" w:rsidR="00021949" w:rsidRDefault="00021949" w:rsidP="00021949">
      <w:pPr>
        <w:pStyle w:val="a1"/>
        <w:jc w:val="center"/>
        <w:rPr>
          <w:lang w:val="en-US" w:eastAsia="zh-CN"/>
        </w:rPr>
      </w:pPr>
      <w:r>
        <w:rPr>
          <w:noProof/>
          <w:lang w:val="en-US" w:eastAsia="zh-CN"/>
        </w:rPr>
        <w:drawing>
          <wp:inline distT="0" distB="0" distL="0" distR="0" wp14:anchorId="7722DEA1" wp14:editId="2DDBB295">
            <wp:extent cx="4425950" cy="2813050"/>
            <wp:effectExtent l="0" t="0" r="0" b="6350"/>
            <wp:docPr id="13" name="图片 13"/>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25950" cy="2813050"/>
                    </a:xfrm>
                    <a:prstGeom prst="rect">
                      <a:avLst/>
                    </a:prstGeom>
                  </pic:spPr>
                </pic:pic>
              </a:graphicData>
            </a:graphic>
          </wp:inline>
        </w:drawing>
      </w:r>
    </w:p>
    <w:p w14:paraId="0EBDB06C" w14:textId="4E22695C" w:rsidR="00021949" w:rsidRDefault="00021949" w:rsidP="00021949">
      <w:pPr>
        <w:pStyle w:val="a1"/>
        <w:jc w:val="center"/>
        <w:rPr>
          <w:i/>
          <w:lang w:eastAsia="es-ES"/>
        </w:rPr>
      </w:pPr>
      <w:r w:rsidRPr="0075513D">
        <w:rPr>
          <w:i/>
          <w:caps/>
          <w:lang w:eastAsia="es-ES"/>
        </w:rPr>
        <w:t>Fig</w:t>
      </w:r>
      <w:r w:rsidRPr="0075513D">
        <w:rPr>
          <w:i/>
          <w:lang w:eastAsia="es-ES"/>
        </w:rPr>
        <w:t>.</w:t>
      </w:r>
      <w:r>
        <w:rPr>
          <w:i/>
          <w:lang w:eastAsia="es-ES"/>
        </w:rPr>
        <w:t xml:space="preserve">13 </w:t>
      </w:r>
      <w:r w:rsidRPr="00021949">
        <w:rPr>
          <w:i/>
          <w:lang w:eastAsia="es-ES"/>
        </w:rPr>
        <w:t>Radial mononuclear reaction rate distribution</w:t>
      </w:r>
    </w:p>
    <w:p w14:paraId="1930C33E" w14:textId="30C3344B" w:rsidR="00021949" w:rsidRDefault="00021949" w:rsidP="00021949">
      <w:pPr>
        <w:pStyle w:val="a1"/>
        <w:jc w:val="center"/>
        <w:rPr>
          <w:i/>
          <w:lang w:eastAsia="es-ES"/>
        </w:rPr>
      </w:pPr>
      <w:r>
        <w:rPr>
          <w:noProof/>
          <w:lang w:val="en-US" w:eastAsia="zh-CN"/>
        </w:rPr>
        <w:drawing>
          <wp:inline distT="0" distB="0" distL="0" distR="0" wp14:anchorId="6691C7F6" wp14:editId="72D5D31B">
            <wp:extent cx="3943350" cy="2686050"/>
            <wp:effectExtent l="0" t="0" r="0" b="0"/>
            <wp:docPr id="9" name="图片 9"/>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43350" cy="2686050"/>
                    </a:xfrm>
                    <a:prstGeom prst="rect">
                      <a:avLst/>
                    </a:prstGeom>
                  </pic:spPr>
                </pic:pic>
              </a:graphicData>
            </a:graphic>
          </wp:inline>
        </w:drawing>
      </w:r>
    </w:p>
    <w:p w14:paraId="7A635349" w14:textId="77777777" w:rsidR="00021949" w:rsidRPr="00021949" w:rsidRDefault="00021949" w:rsidP="00021949">
      <w:pPr>
        <w:pStyle w:val="a1"/>
        <w:jc w:val="center"/>
        <w:rPr>
          <w:i/>
          <w:lang w:val="en-US" w:eastAsia="es-ES"/>
        </w:rPr>
      </w:pPr>
      <w:r w:rsidRPr="0075513D">
        <w:rPr>
          <w:i/>
          <w:caps/>
          <w:lang w:eastAsia="es-ES"/>
        </w:rPr>
        <w:t>Fig</w:t>
      </w:r>
      <w:r w:rsidRPr="0075513D">
        <w:rPr>
          <w:i/>
          <w:lang w:eastAsia="es-ES"/>
        </w:rPr>
        <w:t>.</w:t>
      </w:r>
      <w:r>
        <w:rPr>
          <w:i/>
          <w:lang w:eastAsia="es-ES"/>
        </w:rPr>
        <w:t xml:space="preserve">14 </w:t>
      </w:r>
      <w:r w:rsidRPr="00021949">
        <w:rPr>
          <w:i/>
          <w:lang w:val="en-US" w:eastAsia="es-ES"/>
        </w:rPr>
        <w:t>Axial mononuclear reaction rate distribution</w:t>
      </w:r>
    </w:p>
    <w:p w14:paraId="4BB9FBFC" w14:textId="5BA28FC2" w:rsidR="00021949" w:rsidRDefault="00CB65D6" w:rsidP="00CB65D6">
      <w:pPr>
        <w:pStyle w:val="3"/>
        <w:rPr>
          <w:lang w:val="en-US" w:eastAsia="zh-CN"/>
        </w:rPr>
      </w:pPr>
      <w:r>
        <w:rPr>
          <w:rFonts w:hint="eastAsia"/>
          <w:lang w:val="en-US" w:eastAsia="zh-CN"/>
        </w:rPr>
        <w:t>Selection of detection foil</w:t>
      </w:r>
    </w:p>
    <w:p w14:paraId="0671DFD8" w14:textId="65283368" w:rsidR="00CB65D6" w:rsidRDefault="00CB65D6" w:rsidP="00CB65D6">
      <w:pPr>
        <w:pStyle w:val="a1"/>
        <w:rPr>
          <w:lang w:val="en-US" w:eastAsia="zh-CN"/>
        </w:rPr>
      </w:pPr>
      <w:r w:rsidRPr="00CB65D6">
        <w:rPr>
          <w:lang w:val="en-US" w:eastAsia="zh-CN"/>
        </w:rPr>
        <w:t xml:space="preserve">According to Section 4.2, the mononuclear fission reaction rates of 235U and 238U are calculated. Given the quality of the detector piece and the irradiation time of 1 hour, under the condition of full power, the count </w:t>
      </w:r>
      <w:r w:rsidRPr="00CB65D6">
        <w:rPr>
          <w:lang w:val="en-US" w:eastAsia="zh-CN"/>
        </w:rPr>
        <w:lastRenderedPageBreak/>
        <w:t>rate of the detector foils after cooling for 3 hours can be obtained from Equation 4. In addition, the Fission foil information are indicated in table 2. Axial measuring point layout diagram is displayed in Fig.16. It is necessary to select the appropriate irradiation power level and irradiation time through theoretical calculation, so that the activity of the detector after irradiation can reach a reasonable level, which can complete the activity measurement quickly and reduce the dose received by the experimenters as much as possible. In general, the count rate needs to be 10~100 count per second, which requires the activity level of the detector after irradiation to be 1 ~ 10 μCi. From the results, the irradiation power needs to be reduced to 0.25‰ FP.</w:t>
      </w:r>
    </w:p>
    <w:p w14:paraId="52490469" w14:textId="77777777" w:rsidR="00CB65D6" w:rsidRDefault="00CB65D6" w:rsidP="00CB65D6">
      <w:pPr>
        <w:pStyle w:val="a1"/>
        <w:rPr>
          <w:lang w:val="en-US" w:eastAsia="zh-CN"/>
        </w:rPr>
      </w:pPr>
    </w:p>
    <w:p w14:paraId="72391C54" w14:textId="7E3735D6" w:rsidR="00CB65D6" w:rsidRDefault="00CB65D6" w:rsidP="00CB65D6">
      <w:pPr>
        <w:pStyle w:val="a1"/>
        <w:ind w:firstLine="0"/>
      </w:pPr>
      <w:r>
        <w:t>TABLE 2.</w:t>
      </w:r>
      <w:r>
        <w:tab/>
        <w:t>FISSION FOIL INFORMATION</w:t>
      </w:r>
    </w:p>
    <w:tbl>
      <w:tblPr>
        <w:tblStyle w:val="ae"/>
        <w:tblW w:w="8780" w:type="dxa"/>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531"/>
        <w:gridCol w:w="956"/>
        <w:gridCol w:w="1166"/>
        <w:gridCol w:w="1167"/>
        <w:gridCol w:w="1001"/>
        <w:gridCol w:w="966"/>
        <w:gridCol w:w="970"/>
        <w:gridCol w:w="1067"/>
        <w:gridCol w:w="956"/>
      </w:tblGrid>
      <w:tr w:rsidR="00CB65D6" w14:paraId="20C86768" w14:textId="77777777" w:rsidTr="00CB65D6">
        <w:trPr>
          <w:trHeight w:val="373"/>
          <w:jc w:val="center"/>
        </w:trPr>
        <w:tc>
          <w:tcPr>
            <w:tcW w:w="531" w:type="dxa"/>
            <w:tcBorders>
              <w:top w:val="single" w:sz="12" w:space="0" w:color="auto"/>
              <w:left w:val="nil"/>
              <w:bottom w:val="single" w:sz="4" w:space="0" w:color="auto"/>
              <w:right w:val="single" w:sz="4" w:space="0" w:color="auto"/>
            </w:tcBorders>
            <w:hideMark/>
          </w:tcPr>
          <w:p w14:paraId="745B13A7" w14:textId="77777777" w:rsidR="00CB65D6" w:rsidRDefault="00CB65D6">
            <w:pPr>
              <w:rPr>
                <w:rFonts w:eastAsia="宋体"/>
                <w:sz w:val="18"/>
                <w:szCs w:val="18"/>
                <w:lang w:eastAsia="zh-CN"/>
              </w:rPr>
            </w:pPr>
            <w:r>
              <w:rPr>
                <w:rFonts w:eastAsia="宋体"/>
                <w:sz w:val="18"/>
                <w:szCs w:val="18"/>
              </w:rPr>
              <w:t>No.</w:t>
            </w:r>
          </w:p>
        </w:tc>
        <w:tc>
          <w:tcPr>
            <w:tcW w:w="956" w:type="dxa"/>
            <w:tcBorders>
              <w:top w:val="single" w:sz="12" w:space="0" w:color="auto"/>
              <w:left w:val="single" w:sz="4" w:space="0" w:color="auto"/>
              <w:bottom w:val="single" w:sz="4" w:space="0" w:color="auto"/>
              <w:right w:val="single" w:sz="4" w:space="0" w:color="auto"/>
            </w:tcBorders>
            <w:hideMark/>
          </w:tcPr>
          <w:p w14:paraId="650DE720" w14:textId="77777777" w:rsidR="00CB65D6" w:rsidRDefault="00CB65D6">
            <w:pPr>
              <w:rPr>
                <w:rFonts w:eastAsia="宋体"/>
                <w:sz w:val="18"/>
                <w:szCs w:val="18"/>
              </w:rPr>
            </w:pPr>
            <w:r>
              <w:rPr>
                <w:rFonts w:eastAsia="宋体"/>
                <w:sz w:val="18"/>
                <w:szCs w:val="18"/>
              </w:rPr>
              <w:t>Material</w:t>
            </w:r>
          </w:p>
        </w:tc>
        <w:tc>
          <w:tcPr>
            <w:tcW w:w="1166" w:type="dxa"/>
            <w:tcBorders>
              <w:top w:val="single" w:sz="12" w:space="0" w:color="auto"/>
              <w:left w:val="single" w:sz="4" w:space="0" w:color="auto"/>
              <w:bottom w:val="single" w:sz="4" w:space="0" w:color="auto"/>
              <w:right w:val="single" w:sz="4" w:space="0" w:color="auto"/>
            </w:tcBorders>
            <w:hideMark/>
          </w:tcPr>
          <w:p w14:paraId="6168A165" w14:textId="77777777" w:rsidR="00CB65D6" w:rsidRDefault="00CB65D6">
            <w:pPr>
              <w:rPr>
                <w:rFonts w:eastAsia="宋体"/>
                <w:sz w:val="18"/>
                <w:szCs w:val="18"/>
              </w:rPr>
            </w:pPr>
            <w:r>
              <w:rPr>
                <w:rFonts w:eastAsia="宋体"/>
                <w:sz w:val="18"/>
                <w:szCs w:val="18"/>
              </w:rPr>
              <w:t>Enrichment</w:t>
            </w:r>
          </w:p>
        </w:tc>
        <w:tc>
          <w:tcPr>
            <w:tcW w:w="1167" w:type="dxa"/>
            <w:tcBorders>
              <w:top w:val="single" w:sz="12" w:space="0" w:color="auto"/>
              <w:left w:val="single" w:sz="4" w:space="0" w:color="auto"/>
              <w:bottom w:val="single" w:sz="4" w:space="0" w:color="auto"/>
              <w:right w:val="single" w:sz="4" w:space="0" w:color="auto"/>
            </w:tcBorders>
            <w:hideMark/>
          </w:tcPr>
          <w:p w14:paraId="060499AE" w14:textId="77777777" w:rsidR="00CB65D6" w:rsidRDefault="00CB65D6">
            <w:pPr>
              <w:rPr>
                <w:rFonts w:eastAsia="宋体"/>
                <w:sz w:val="18"/>
                <w:szCs w:val="18"/>
              </w:rPr>
            </w:pPr>
            <w:r>
              <w:rPr>
                <w:rFonts w:eastAsia="宋体"/>
                <w:sz w:val="18"/>
                <w:szCs w:val="18"/>
              </w:rPr>
              <w:t>Nuclear reaction channel</w:t>
            </w:r>
          </w:p>
        </w:tc>
        <w:tc>
          <w:tcPr>
            <w:tcW w:w="1001" w:type="dxa"/>
            <w:tcBorders>
              <w:top w:val="single" w:sz="12" w:space="0" w:color="auto"/>
              <w:left w:val="single" w:sz="4" w:space="0" w:color="auto"/>
              <w:bottom w:val="single" w:sz="4" w:space="0" w:color="auto"/>
              <w:right w:val="single" w:sz="4" w:space="0" w:color="auto"/>
            </w:tcBorders>
            <w:hideMark/>
          </w:tcPr>
          <w:p w14:paraId="79885098" w14:textId="77777777" w:rsidR="00CB65D6" w:rsidRDefault="00CB65D6">
            <w:pPr>
              <w:rPr>
                <w:rFonts w:eastAsia="宋体"/>
                <w:sz w:val="18"/>
                <w:szCs w:val="18"/>
              </w:rPr>
            </w:pPr>
            <w:r>
              <w:rPr>
                <w:rFonts w:eastAsia="宋体"/>
                <w:sz w:val="18"/>
                <w:szCs w:val="18"/>
              </w:rPr>
              <w:t>measured Nuclide</w:t>
            </w:r>
          </w:p>
        </w:tc>
        <w:tc>
          <w:tcPr>
            <w:tcW w:w="966" w:type="dxa"/>
            <w:tcBorders>
              <w:top w:val="single" w:sz="12" w:space="0" w:color="auto"/>
              <w:left w:val="single" w:sz="4" w:space="0" w:color="auto"/>
              <w:bottom w:val="single" w:sz="4" w:space="0" w:color="auto"/>
              <w:right w:val="single" w:sz="4" w:space="0" w:color="auto"/>
            </w:tcBorders>
            <w:hideMark/>
          </w:tcPr>
          <w:p w14:paraId="7D88D3BF" w14:textId="77777777" w:rsidR="00CB65D6" w:rsidRDefault="009C2AC7">
            <w:pPr>
              <w:rPr>
                <w:rFonts w:eastAsia="宋体"/>
                <w:sz w:val="18"/>
                <w:szCs w:val="18"/>
              </w:rPr>
            </w:pPr>
            <m:oMath>
              <m:sSub>
                <m:sSubPr>
                  <m:ctrlPr>
                    <w:rPr>
                      <w:rFonts w:ascii="Cambria Math" w:eastAsia="宋体" w:hAnsi="Cambria Math"/>
                      <w:kern w:val="2"/>
                      <w:sz w:val="18"/>
                      <w:szCs w:val="18"/>
                    </w:rPr>
                  </m:ctrlPr>
                </m:sSubPr>
                <m:e>
                  <m:r>
                    <w:rPr>
                      <w:rFonts w:ascii="Cambria Math" w:eastAsia="宋体" w:hAnsi="Cambria Math"/>
                      <w:sz w:val="18"/>
                      <w:szCs w:val="18"/>
                    </w:rPr>
                    <m:t>E</m:t>
                  </m:r>
                </m:e>
                <m:sub>
                  <m:r>
                    <w:rPr>
                      <w:rFonts w:ascii="Cambria Math" w:eastAsia="宋体" w:hAnsi="Cambria Math"/>
                      <w:sz w:val="18"/>
                      <w:szCs w:val="18"/>
                    </w:rPr>
                    <m:t>γ</m:t>
                  </m:r>
                </m:sub>
              </m:sSub>
            </m:oMath>
            <w:r w:rsidR="00CB65D6">
              <w:rPr>
                <w:rFonts w:eastAsia="宋体" w:hint="eastAsia"/>
                <w:sz w:val="18"/>
                <w:szCs w:val="18"/>
              </w:rPr>
              <w:t>（</w:t>
            </w:r>
            <w:r w:rsidR="00CB65D6">
              <w:rPr>
                <w:rFonts w:eastAsia="宋体"/>
                <w:sz w:val="18"/>
                <w:szCs w:val="18"/>
              </w:rPr>
              <w:t>keV</w:t>
            </w:r>
            <w:r w:rsidR="00CB65D6">
              <w:rPr>
                <w:rFonts w:eastAsia="宋体" w:hint="eastAsia"/>
                <w:sz w:val="18"/>
                <w:szCs w:val="18"/>
              </w:rPr>
              <w:t>）</w:t>
            </w:r>
          </w:p>
        </w:tc>
        <w:tc>
          <w:tcPr>
            <w:tcW w:w="970" w:type="dxa"/>
            <w:tcBorders>
              <w:top w:val="single" w:sz="12" w:space="0" w:color="auto"/>
              <w:left w:val="single" w:sz="4" w:space="0" w:color="auto"/>
              <w:bottom w:val="single" w:sz="4" w:space="0" w:color="auto"/>
              <w:right w:val="single" w:sz="4" w:space="0" w:color="auto"/>
            </w:tcBorders>
            <w:hideMark/>
          </w:tcPr>
          <w:p w14:paraId="05304266" w14:textId="77777777" w:rsidR="00CB65D6" w:rsidRDefault="00CB65D6">
            <w:pPr>
              <w:rPr>
                <w:rFonts w:eastAsia="宋体"/>
                <w:sz w:val="18"/>
                <w:szCs w:val="18"/>
              </w:rPr>
            </w:pPr>
            <w:r>
              <w:rPr>
                <w:rFonts w:eastAsia="宋体"/>
                <w:sz w:val="18"/>
                <w:szCs w:val="18"/>
              </w:rPr>
              <w:t>Half-life</w:t>
            </w:r>
          </w:p>
          <w:p w14:paraId="276FE7D9" w14:textId="77777777" w:rsidR="00CB65D6" w:rsidRDefault="00CB65D6">
            <w:pPr>
              <w:rPr>
                <w:rFonts w:eastAsia="宋体"/>
                <w:sz w:val="18"/>
                <w:szCs w:val="18"/>
              </w:rPr>
            </w:pPr>
            <w:r>
              <w:rPr>
                <w:rFonts w:eastAsia="宋体"/>
                <w:sz w:val="18"/>
                <w:szCs w:val="18"/>
              </w:rPr>
              <w:t>/hours</w:t>
            </w:r>
          </w:p>
        </w:tc>
        <w:tc>
          <w:tcPr>
            <w:tcW w:w="1067" w:type="dxa"/>
            <w:tcBorders>
              <w:top w:val="single" w:sz="12" w:space="0" w:color="auto"/>
              <w:left w:val="single" w:sz="4" w:space="0" w:color="auto"/>
              <w:bottom w:val="single" w:sz="4" w:space="0" w:color="auto"/>
              <w:right w:val="single" w:sz="4" w:space="0" w:color="auto"/>
            </w:tcBorders>
            <w:hideMark/>
          </w:tcPr>
          <w:p w14:paraId="0B1E2A6E" w14:textId="77777777" w:rsidR="00CB65D6" w:rsidRDefault="00CB65D6">
            <w:pPr>
              <w:rPr>
                <w:rFonts w:eastAsia="宋体"/>
                <w:sz w:val="18"/>
                <w:szCs w:val="18"/>
              </w:rPr>
            </w:pPr>
            <w:r>
              <w:rPr>
                <w:rFonts w:eastAsia="宋体"/>
                <w:sz w:val="18"/>
                <w:szCs w:val="18"/>
              </w:rPr>
              <w:t>Branching ratio (%)</w:t>
            </w:r>
          </w:p>
        </w:tc>
        <w:tc>
          <w:tcPr>
            <w:tcW w:w="956" w:type="dxa"/>
            <w:tcBorders>
              <w:top w:val="single" w:sz="12" w:space="0" w:color="auto"/>
              <w:left w:val="single" w:sz="4" w:space="0" w:color="auto"/>
              <w:bottom w:val="single" w:sz="4" w:space="0" w:color="auto"/>
              <w:right w:val="nil"/>
            </w:tcBorders>
            <w:hideMark/>
          </w:tcPr>
          <w:p w14:paraId="1F4E7316" w14:textId="77777777" w:rsidR="00CB65D6" w:rsidRDefault="00CB65D6">
            <w:pPr>
              <w:rPr>
                <w:rFonts w:eastAsia="宋体"/>
                <w:sz w:val="18"/>
                <w:szCs w:val="18"/>
              </w:rPr>
            </w:pPr>
            <w:r>
              <w:rPr>
                <w:rFonts w:eastAsia="宋体"/>
                <w:sz w:val="18"/>
                <w:szCs w:val="18"/>
              </w:rPr>
              <w:t>Mass</w:t>
            </w:r>
          </w:p>
          <w:p w14:paraId="1FA1E484" w14:textId="77777777" w:rsidR="00CB65D6" w:rsidRDefault="00CB65D6">
            <w:pPr>
              <w:rPr>
                <w:rFonts w:eastAsia="宋体"/>
                <w:sz w:val="18"/>
                <w:szCs w:val="18"/>
              </w:rPr>
            </w:pPr>
            <w:r>
              <w:rPr>
                <w:rFonts w:eastAsia="宋体"/>
                <w:sz w:val="18"/>
                <w:szCs w:val="18"/>
              </w:rPr>
              <w:t>/mg</w:t>
            </w:r>
          </w:p>
        </w:tc>
      </w:tr>
      <w:tr w:rsidR="00CB65D6" w14:paraId="3DB08B12" w14:textId="77777777" w:rsidTr="00CB65D6">
        <w:trPr>
          <w:trHeight w:val="497"/>
          <w:jc w:val="center"/>
        </w:trPr>
        <w:tc>
          <w:tcPr>
            <w:tcW w:w="531" w:type="dxa"/>
            <w:tcBorders>
              <w:top w:val="single" w:sz="4" w:space="0" w:color="auto"/>
              <w:left w:val="nil"/>
              <w:bottom w:val="single" w:sz="4" w:space="0" w:color="auto"/>
              <w:right w:val="single" w:sz="4" w:space="0" w:color="auto"/>
            </w:tcBorders>
            <w:hideMark/>
          </w:tcPr>
          <w:p w14:paraId="4333D740" w14:textId="77777777" w:rsidR="00CB65D6" w:rsidRDefault="00CB65D6">
            <w:pPr>
              <w:rPr>
                <w:rFonts w:eastAsia="宋体"/>
                <w:sz w:val="18"/>
                <w:szCs w:val="18"/>
              </w:rPr>
            </w:pPr>
            <w:r>
              <w:rPr>
                <w:rFonts w:eastAsia="宋体"/>
                <w:sz w:val="18"/>
                <w:szCs w:val="18"/>
              </w:rPr>
              <w:t>1</w:t>
            </w:r>
          </w:p>
        </w:tc>
        <w:tc>
          <w:tcPr>
            <w:tcW w:w="956" w:type="dxa"/>
            <w:tcBorders>
              <w:top w:val="single" w:sz="4" w:space="0" w:color="auto"/>
              <w:left w:val="single" w:sz="4" w:space="0" w:color="auto"/>
              <w:bottom w:val="single" w:sz="4" w:space="0" w:color="auto"/>
              <w:right w:val="single" w:sz="4" w:space="0" w:color="auto"/>
            </w:tcBorders>
            <w:hideMark/>
          </w:tcPr>
          <w:p w14:paraId="36D57D41" w14:textId="77777777" w:rsidR="00CB65D6" w:rsidRDefault="00CB65D6">
            <w:pPr>
              <w:rPr>
                <w:rFonts w:eastAsia="宋体"/>
                <w:sz w:val="18"/>
                <w:szCs w:val="18"/>
              </w:rPr>
            </w:pPr>
            <w:r>
              <w:rPr>
                <w:rFonts w:eastAsia="宋体"/>
                <w:sz w:val="18"/>
                <w:szCs w:val="18"/>
              </w:rPr>
              <w:t>Highly enriched uranium</w:t>
            </w:r>
          </w:p>
        </w:tc>
        <w:tc>
          <w:tcPr>
            <w:tcW w:w="1166" w:type="dxa"/>
            <w:tcBorders>
              <w:top w:val="single" w:sz="4" w:space="0" w:color="auto"/>
              <w:left w:val="single" w:sz="4" w:space="0" w:color="auto"/>
              <w:bottom w:val="single" w:sz="4" w:space="0" w:color="auto"/>
              <w:right w:val="single" w:sz="4" w:space="0" w:color="auto"/>
            </w:tcBorders>
            <w:hideMark/>
          </w:tcPr>
          <w:p w14:paraId="3732F9A2" w14:textId="77777777" w:rsidR="00CB65D6" w:rsidRDefault="00CB65D6">
            <w:pPr>
              <w:rPr>
                <w:rFonts w:eastAsia="宋体"/>
                <w:sz w:val="18"/>
                <w:szCs w:val="18"/>
              </w:rPr>
            </w:pPr>
            <w:r>
              <w:rPr>
                <w:rFonts w:eastAsia="宋体"/>
                <w:sz w:val="18"/>
                <w:szCs w:val="18"/>
              </w:rPr>
              <w:t>90%</w:t>
            </w:r>
          </w:p>
        </w:tc>
        <w:tc>
          <w:tcPr>
            <w:tcW w:w="1167" w:type="dxa"/>
            <w:tcBorders>
              <w:top w:val="single" w:sz="4" w:space="0" w:color="auto"/>
              <w:left w:val="single" w:sz="4" w:space="0" w:color="auto"/>
              <w:bottom w:val="single" w:sz="4" w:space="0" w:color="auto"/>
              <w:right w:val="single" w:sz="4" w:space="0" w:color="auto"/>
            </w:tcBorders>
            <w:hideMark/>
          </w:tcPr>
          <w:p w14:paraId="399F9F95" w14:textId="77777777" w:rsidR="00CB65D6" w:rsidRDefault="00CB65D6">
            <w:pPr>
              <w:rPr>
                <w:rFonts w:eastAsia="宋体"/>
                <w:sz w:val="18"/>
                <w:szCs w:val="18"/>
              </w:rPr>
            </w:pPr>
            <w:r>
              <w:rPr>
                <w:rFonts w:eastAsia="宋体"/>
                <w:sz w:val="18"/>
                <w:szCs w:val="18"/>
                <w:vertAlign w:val="superscript"/>
              </w:rPr>
              <w:t>235</w:t>
            </w:r>
            <w:r>
              <w:rPr>
                <w:rFonts w:eastAsia="宋体"/>
                <w:sz w:val="18"/>
                <w:szCs w:val="18"/>
              </w:rPr>
              <w:t>U(n</w:t>
            </w:r>
            <w:r>
              <w:rPr>
                <w:rFonts w:eastAsia="宋体" w:hint="eastAsia"/>
                <w:sz w:val="18"/>
                <w:szCs w:val="18"/>
              </w:rPr>
              <w:t>，</w:t>
            </w:r>
            <w:r>
              <w:rPr>
                <w:rFonts w:eastAsia="宋体"/>
                <w:sz w:val="18"/>
                <w:szCs w:val="18"/>
              </w:rPr>
              <w:t>f)</w:t>
            </w:r>
          </w:p>
        </w:tc>
        <w:tc>
          <w:tcPr>
            <w:tcW w:w="1001" w:type="dxa"/>
            <w:tcBorders>
              <w:top w:val="single" w:sz="4" w:space="0" w:color="auto"/>
              <w:left w:val="single" w:sz="4" w:space="0" w:color="auto"/>
              <w:bottom w:val="single" w:sz="4" w:space="0" w:color="auto"/>
              <w:right w:val="single" w:sz="4" w:space="0" w:color="auto"/>
            </w:tcBorders>
            <w:hideMark/>
          </w:tcPr>
          <w:p w14:paraId="3BB9E7E7" w14:textId="77777777" w:rsidR="00CB65D6" w:rsidRDefault="00CB65D6">
            <w:pPr>
              <w:rPr>
                <w:rFonts w:eastAsia="宋体"/>
                <w:sz w:val="18"/>
                <w:szCs w:val="18"/>
              </w:rPr>
            </w:pPr>
            <w:r>
              <w:rPr>
                <w:rFonts w:eastAsia="宋体"/>
                <w:sz w:val="18"/>
                <w:szCs w:val="18"/>
                <w:vertAlign w:val="superscript"/>
              </w:rPr>
              <w:t>143</w:t>
            </w:r>
            <w:r>
              <w:rPr>
                <w:rFonts w:eastAsia="宋体"/>
                <w:sz w:val="18"/>
                <w:szCs w:val="18"/>
              </w:rPr>
              <w:t>Ce</w:t>
            </w:r>
          </w:p>
        </w:tc>
        <w:tc>
          <w:tcPr>
            <w:tcW w:w="966" w:type="dxa"/>
            <w:tcBorders>
              <w:top w:val="single" w:sz="4" w:space="0" w:color="auto"/>
              <w:left w:val="single" w:sz="4" w:space="0" w:color="auto"/>
              <w:bottom w:val="single" w:sz="4" w:space="0" w:color="auto"/>
              <w:right w:val="single" w:sz="4" w:space="0" w:color="auto"/>
            </w:tcBorders>
            <w:hideMark/>
          </w:tcPr>
          <w:p w14:paraId="66025B69" w14:textId="77777777" w:rsidR="00CB65D6" w:rsidRDefault="00CB65D6">
            <w:pPr>
              <w:rPr>
                <w:rFonts w:eastAsia="宋体"/>
                <w:sz w:val="18"/>
                <w:szCs w:val="18"/>
              </w:rPr>
            </w:pPr>
            <w:r>
              <w:rPr>
                <w:rFonts w:eastAsia="宋体"/>
                <w:sz w:val="18"/>
                <w:szCs w:val="18"/>
              </w:rPr>
              <w:t>239</w:t>
            </w:r>
          </w:p>
        </w:tc>
        <w:tc>
          <w:tcPr>
            <w:tcW w:w="970" w:type="dxa"/>
            <w:tcBorders>
              <w:top w:val="single" w:sz="4" w:space="0" w:color="auto"/>
              <w:left w:val="single" w:sz="4" w:space="0" w:color="auto"/>
              <w:bottom w:val="single" w:sz="4" w:space="0" w:color="auto"/>
              <w:right w:val="single" w:sz="4" w:space="0" w:color="auto"/>
            </w:tcBorders>
            <w:hideMark/>
          </w:tcPr>
          <w:p w14:paraId="0379CAD4" w14:textId="77777777" w:rsidR="00CB65D6" w:rsidRDefault="00CB65D6">
            <w:pPr>
              <w:rPr>
                <w:rFonts w:eastAsia="宋体"/>
                <w:sz w:val="18"/>
                <w:szCs w:val="18"/>
              </w:rPr>
            </w:pPr>
            <w:r>
              <w:rPr>
                <w:rFonts w:eastAsia="宋体"/>
                <w:sz w:val="18"/>
                <w:szCs w:val="18"/>
              </w:rPr>
              <w:t>33.039</w:t>
            </w:r>
          </w:p>
        </w:tc>
        <w:tc>
          <w:tcPr>
            <w:tcW w:w="1067" w:type="dxa"/>
            <w:tcBorders>
              <w:top w:val="single" w:sz="4" w:space="0" w:color="auto"/>
              <w:left w:val="single" w:sz="4" w:space="0" w:color="auto"/>
              <w:bottom w:val="single" w:sz="4" w:space="0" w:color="auto"/>
              <w:right w:val="single" w:sz="4" w:space="0" w:color="auto"/>
            </w:tcBorders>
            <w:hideMark/>
          </w:tcPr>
          <w:p w14:paraId="7266C7E8" w14:textId="77777777" w:rsidR="00CB65D6" w:rsidRDefault="00CB65D6">
            <w:pPr>
              <w:rPr>
                <w:rFonts w:eastAsia="宋体"/>
                <w:sz w:val="18"/>
                <w:szCs w:val="18"/>
              </w:rPr>
            </w:pPr>
            <w:r>
              <w:rPr>
                <w:rFonts w:eastAsia="宋体"/>
                <w:sz w:val="18"/>
                <w:szCs w:val="18"/>
              </w:rPr>
              <w:t>42.8</w:t>
            </w:r>
          </w:p>
        </w:tc>
        <w:tc>
          <w:tcPr>
            <w:tcW w:w="956" w:type="dxa"/>
            <w:tcBorders>
              <w:top w:val="single" w:sz="4" w:space="0" w:color="auto"/>
              <w:left w:val="single" w:sz="4" w:space="0" w:color="auto"/>
              <w:bottom w:val="single" w:sz="4" w:space="0" w:color="auto"/>
              <w:right w:val="nil"/>
            </w:tcBorders>
            <w:hideMark/>
          </w:tcPr>
          <w:p w14:paraId="6C100584" w14:textId="77777777" w:rsidR="00CB65D6" w:rsidRDefault="00CB65D6">
            <w:pPr>
              <w:rPr>
                <w:rFonts w:eastAsia="宋体"/>
                <w:sz w:val="18"/>
                <w:szCs w:val="18"/>
              </w:rPr>
            </w:pPr>
            <w:r>
              <w:rPr>
                <w:rFonts w:eastAsia="宋体"/>
                <w:sz w:val="18"/>
                <w:szCs w:val="18"/>
              </w:rPr>
              <w:t>30</w:t>
            </w:r>
          </w:p>
        </w:tc>
      </w:tr>
      <w:tr w:rsidR="00CB65D6" w14:paraId="2D598391" w14:textId="77777777" w:rsidTr="00CB65D6">
        <w:trPr>
          <w:trHeight w:val="147"/>
          <w:jc w:val="center"/>
        </w:trPr>
        <w:tc>
          <w:tcPr>
            <w:tcW w:w="531" w:type="dxa"/>
            <w:tcBorders>
              <w:top w:val="single" w:sz="4" w:space="0" w:color="auto"/>
              <w:left w:val="nil"/>
              <w:bottom w:val="single" w:sz="12" w:space="0" w:color="auto"/>
              <w:right w:val="single" w:sz="4" w:space="0" w:color="auto"/>
            </w:tcBorders>
            <w:hideMark/>
          </w:tcPr>
          <w:p w14:paraId="38D3FD98" w14:textId="77777777" w:rsidR="00CB65D6" w:rsidRDefault="00CB65D6">
            <w:pPr>
              <w:rPr>
                <w:rFonts w:eastAsia="宋体"/>
                <w:sz w:val="18"/>
                <w:szCs w:val="18"/>
              </w:rPr>
            </w:pPr>
            <w:r>
              <w:rPr>
                <w:rFonts w:eastAsia="宋体"/>
                <w:sz w:val="18"/>
                <w:szCs w:val="18"/>
              </w:rPr>
              <w:t>2</w:t>
            </w:r>
          </w:p>
        </w:tc>
        <w:tc>
          <w:tcPr>
            <w:tcW w:w="956" w:type="dxa"/>
            <w:tcBorders>
              <w:top w:val="single" w:sz="4" w:space="0" w:color="auto"/>
              <w:left w:val="single" w:sz="4" w:space="0" w:color="auto"/>
              <w:bottom w:val="single" w:sz="12" w:space="0" w:color="auto"/>
              <w:right w:val="single" w:sz="4" w:space="0" w:color="auto"/>
            </w:tcBorders>
            <w:hideMark/>
          </w:tcPr>
          <w:p w14:paraId="37B471B5" w14:textId="77777777" w:rsidR="00CB65D6" w:rsidRDefault="00CB65D6">
            <w:pPr>
              <w:rPr>
                <w:rFonts w:eastAsia="宋体"/>
                <w:sz w:val="18"/>
                <w:szCs w:val="18"/>
              </w:rPr>
            </w:pPr>
            <w:r>
              <w:rPr>
                <w:rFonts w:eastAsia="宋体"/>
                <w:sz w:val="18"/>
                <w:szCs w:val="18"/>
              </w:rPr>
              <w:t>Depleted uranium</w:t>
            </w:r>
          </w:p>
        </w:tc>
        <w:tc>
          <w:tcPr>
            <w:tcW w:w="1166" w:type="dxa"/>
            <w:tcBorders>
              <w:top w:val="single" w:sz="4" w:space="0" w:color="auto"/>
              <w:left w:val="single" w:sz="4" w:space="0" w:color="auto"/>
              <w:bottom w:val="single" w:sz="12" w:space="0" w:color="auto"/>
              <w:right w:val="single" w:sz="4" w:space="0" w:color="auto"/>
            </w:tcBorders>
            <w:hideMark/>
          </w:tcPr>
          <w:p w14:paraId="207AFD27" w14:textId="77777777" w:rsidR="00CB65D6" w:rsidRDefault="00CB65D6">
            <w:pPr>
              <w:rPr>
                <w:rFonts w:eastAsia="宋体"/>
                <w:sz w:val="18"/>
                <w:szCs w:val="18"/>
              </w:rPr>
            </w:pPr>
            <w:r>
              <w:rPr>
                <w:rFonts w:eastAsia="宋体"/>
                <w:sz w:val="18"/>
                <w:szCs w:val="18"/>
              </w:rPr>
              <w:t>0.335%</w:t>
            </w:r>
          </w:p>
        </w:tc>
        <w:tc>
          <w:tcPr>
            <w:tcW w:w="1167" w:type="dxa"/>
            <w:tcBorders>
              <w:top w:val="single" w:sz="4" w:space="0" w:color="auto"/>
              <w:left w:val="single" w:sz="4" w:space="0" w:color="auto"/>
              <w:bottom w:val="single" w:sz="12" w:space="0" w:color="auto"/>
              <w:right w:val="single" w:sz="4" w:space="0" w:color="auto"/>
            </w:tcBorders>
            <w:hideMark/>
          </w:tcPr>
          <w:p w14:paraId="294E9730" w14:textId="77777777" w:rsidR="00CB65D6" w:rsidRDefault="00CB65D6">
            <w:pPr>
              <w:rPr>
                <w:rFonts w:eastAsia="宋体"/>
                <w:sz w:val="18"/>
                <w:szCs w:val="18"/>
              </w:rPr>
            </w:pPr>
            <w:bookmarkStart w:id="5" w:name="OLE_LINK1"/>
            <w:bookmarkStart w:id="6" w:name="OLE_LINK2"/>
            <w:r>
              <w:rPr>
                <w:rFonts w:eastAsia="宋体"/>
                <w:sz w:val="18"/>
                <w:szCs w:val="18"/>
                <w:vertAlign w:val="superscript"/>
              </w:rPr>
              <w:t>238</w:t>
            </w:r>
            <w:r>
              <w:rPr>
                <w:rFonts w:eastAsia="宋体"/>
                <w:sz w:val="18"/>
                <w:szCs w:val="18"/>
              </w:rPr>
              <w:t>U(n</w:t>
            </w:r>
            <w:r>
              <w:rPr>
                <w:rFonts w:eastAsia="宋体" w:hint="eastAsia"/>
                <w:sz w:val="18"/>
                <w:szCs w:val="18"/>
              </w:rPr>
              <w:t>，</w:t>
            </w:r>
            <w:r>
              <w:rPr>
                <w:rFonts w:eastAsia="宋体"/>
                <w:sz w:val="18"/>
                <w:szCs w:val="18"/>
              </w:rPr>
              <w:t>f)</w:t>
            </w:r>
            <w:bookmarkEnd w:id="5"/>
            <w:bookmarkEnd w:id="6"/>
          </w:p>
        </w:tc>
        <w:tc>
          <w:tcPr>
            <w:tcW w:w="1001" w:type="dxa"/>
            <w:tcBorders>
              <w:top w:val="single" w:sz="4" w:space="0" w:color="auto"/>
              <w:left w:val="single" w:sz="4" w:space="0" w:color="auto"/>
              <w:bottom w:val="single" w:sz="12" w:space="0" w:color="auto"/>
              <w:right w:val="single" w:sz="4" w:space="0" w:color="auto"/>
            </w:tcBorders>
            <w:hideMark/>
          </w:tcPr>
          <w:p w14:paraId="470AD3FE" w14:textId="77777777" w:rsidR="00CB65D6" w:rsidRDefault="00CB65D6">
            <w:pPr>
              <w:rPr>
                <w:rFonts w:eastAsia="宋体"/>
                <w:sz w:val="18"/>
                <w:szCs w:val="18"/>
              </w:rPr>
            </w:pPr>
            <w:r>
              <w:rPr>
                <w:rFonts w:eastAsia="宋体"/>
                <w:sz w:val="18"/>
                <w:szCs w:val="18"/>
                <w:vertAlign w:val="superscript"/>
              </w:rPr>
              <w:t>143</w:t>
            </w:r>
            <w:r>
              <w:rPr>
                <w:rFonts w:eastAsia="宋体"/>
                <w:sz w:val="18"/>
                <w:szCs w:val="18"/>
              </w:rPr>
              <w:t>Ce</w:t>
            </w:r>
          </w:p>
        </w:tc>
        <w:tc>
          <w:tcPr>
            <w:tcW w:w="966" w:type="dxa"/>
            <w:tcBorders>
              <w:top w:val="single" w:sz="4" w:space="0" w:color="auto"/>
              <w:left w:val="single" w:sz="4" w:space="0" w:color="auto"/>
              <w:bottom w:val="single" w:sz="12" w:space="0" w:color="auto"/>
              <w:right w:val="single" w:sz="4" w:space="0" w:color="auto"/>
            </w:tcBorders>
            <w:hideMark/>
          </w:tcPr>
          <w:p w14:paraId="0573A306" w14:textId="77777777" w:rsidR="00CB65D6" w:rsidRDefault="00CB65D6">
            <w:pPr>
              <w:rPr>
                <w:rFonts w:eastAsia="宋体"/>
                <w:sz w:val="18"/>
                <w:szCs w:val="18"/>
              </w:rPr>
            </w:pPr>
            <w:r>
              <w:rPr>
                <w:rFonts w:eastAsia="宋体"/>
                <w:sz w:val="18"/>
                <w:szCs w:val="18"/>
              </w:rPr>
              <w:t>239</w:t>
            </w:r>
          </w:p>
        </w:tc>
        <w:tc>
          <w:tcPr>
            <w:tcW w:w="970" w:type="dxa"/>
            <w:tcBorders>
              <w:top w:val="single" w:sz="4" w:space="0" w:color="auto"/>
              <w:left w:val="single" w:sz="4" w:space="0" w:color="auto"/>
              <w:bottom w:val="single" w:sz="12" w:space="0" w:color="auto"/>
              <w:right w:val="single" w:sz="4" w:space="0" w:color="auto"/>
            </w:tcBorders>
            <w:hideMark/>
          </w:tcPr>
          <w:p w14:paraId="4041D84C" w14:textId="77777777" w:rsidR="00CB65D6" w:rsidRDefault="00CB65D6">
            <w:pPr>
              <w:rPr>
                <w:rFonts w:eastAsia="宋体"/>
                <w:sz w:val="18"/>
                <w:szCs w:val="18"/>
              </w:rPr>
            </w:pPr>
            <w:r>
              <w:rPr>
                <w:rFonts w:eastAsia="宋体"/>
                <w:sz w:val="18"/>
                <w:szCs w:val="18"/>
              </w:rPr>
              <w:t>33.039</w:t>
            </w:r>
          </w:p>
        </w:tc>
        <w:tc>
          <w:tcPr>
            <w:tcW w:w="1067" w:type="dxa"/>
            <w:tcBorders>
              <w:top w:val="single" w:sz="4" w:space="0" w:color="auto"/>
              <w:left w:val="single" w:sz="4" w:space="0" w:color="auto"/>
              <w:bottom w:val="single" w:sz="12" w:space="0" w:color="auto"/>
              <w:right w:val="single" w:sz="4" w:space="0" w:color="auto"/>
            </w:tcBorders>
            <w:hideMark/>
          </w:tcPr>
          <w:p w14:paraId="3913C183" w14:textId="77777777" w:rsidR="00CB65D6" w:rsidRDefault="00CB65D6">
            <w:pPr>
              <w:rPr>
                <w:rFonts w:eastAsia="宋体"/>
                <w:sz w:val="18"/>
                <w:szCs w:val="18"/>
              </w:rPr>
            </w:pPr>
            <w:r>
              <w:rPr>
                <w:rFonts w:eastAsia="宋体"/>
                <w:sz w:val="18"/>
                <w:szCs w:val="18"/>
              </w:rPr>
              <w:t>42.8</w:t>
            </w:r>
          </w:p>
        </w:tc>
        <w:tc>
          <w:tcPr>
            <w:tcW w:w="956" w:type="dxa"/>
            <w:tcBorders>
              <w:top w:val="single" w:sz="4" w:space="0" w:color="auto"/>
              <w:left w:val="single" w:sz="4" w:space="0" w:color="auto"/>
              <w:bottom w:val="single" w:sz="12" w:space="0" w:color="auto"/>
              <w:right w:val="nil"/>
            </w:tcBorders>
            <w:hideMark/>
          </w:tcPr>
          <w:p w14:paraId="45F399A1" w14:textId="77777777" w:rsidR="00CB65D6" w:rsidRDefault="00CB65D6">
            <w:pPr>
              <w:rPr>
                <w:rFonts w:eastAsia="宋体"/>
                <w:sz w:val="18"/>
                <w:szCs w:val="18"/>
              </w:rPr>
            </w:pPr>
            <w:r>
              <w:rPr>
                <w:rFonts w:eastAsia="宋体"/>
                <w:sz w:val="18"/>
                <w:szCs w:val="18"/>
              </w:rPr>
              <w:t>250</w:t>
            </w:r>
          </w:p>
        </w:tc>
      </w:tr>
    </w:tbl>
    <w:p w14:paraId="271942E9" w14:textId="52C4428A" w:rsidR="00CB65D6" w:rsidRDefault="00CB65D6" w:rsidP="00CB65D6">
      <w:pPr>
        <w:pStyle w:val="a1"/>
        <w:ind w:firstLine="0"/>
      </w:pPr>
    </w:p>
    <w:p w14:paraId="4E3988DD" w14:textId="76B75D4A" w:rsidR="00CB65D6" w:rsidRDefault="00CB65D6" w:rsidP="00CB65D6">
      <w:pPr>
        <w:pStyle w:val="a1"/>
        <w:ind w:firstLine="0"/>
        <w:jc w:val="center"/>
      </w:pPr>
      <w:r>
        <w:rPr>
          <w:noProof/>
          <w:lang w:val="en-US" w:eastAsia="zh-CN"/>
        </w:rPr>
        <w:drawing>
          <wp:inline distT="0" distB="0" distL="0" distR="0" wp14:anchorId="448AA1F6" wp14:editId="15744405">
            <wp:extent cx="4029075" cy="2795905"/>
            <wp:effectExtent l="0" t="0" r="9525" b="4445"/>
            <wp:docPr id="15" name="图片 15"/>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29075" cy="2795905"/>
                    </a:xfrm>
                    <a:prstGeom prst="rect">
                      <a:avLst/>
                    </a:prstGeom>
                  </pic:spPr>
                </pic:pic>
              </a:graphicData>
            </a:graphic>
          </wp:inline>
        </w:drawing>
      </w:r>
    </w:p>
    <w:p w14:paraId="35E51212" w14:textId="7C7FC3BC" w:rsidR="00CB65D6" w:rsidRDefault="00CB65D6" w:rsidP="00CB65D6">
      <w:pPr>
        <w:pStyle w:val="a1"/>
        <w:ind w:firstLine="0"/>
        <w:jc w:val="center"/>
        <w:rPr>
          <w:i/>
          <w:lang w:eastAsia="es-ES"/>
        </w:rPr>
      </w:pPr>
      <w:r w:rsidRPr="0075513D">
        <w:rPr>
          <w:i/>
          <w:caps/>
          <w:lang w:eastAsia="es-ES"/>
        </w:rPr>
        <w:t>Fig</w:t>
      </w:r>
      <w:r w:rsidRPr="0075513D">
        <w:rPr>
          <w:i/>
          <w:lang w:eastAsia="es-ES"/>
        </w:rPr>
        <w:t>.</w:t>
      </w:r>
      <w:r>
        <w:rPr>
          <w:i/>
          <w:lang w:eastAsia="es-ES"/>
        </w:rPr>
        <w:t xml:space="preserve">15 </w:t>
      </w:r>
      <w:r w:rsidRPr="00CB65D6">
        <w:rPr>
          <w:i/>
          <w:lang w:eastAsia="es-ES"/>
        </w:rPr>
        <w:t>Estimation of counting rate of position 5</w:t>
      </w:r>
    </w:p>
    <w:p w14:paraId="7FAE4A62" w14:textId="51A04ED9" w:rsidR="009474DC" w:rsidRPr="00CB65D6" w:rsidRDefault="009474DC" w:rsidP="009474DC">
      <w:pPr>
        <w:pStyle w:val="a1"/>
        <w:ind w:firstLine="0"/>
        <w:jc w:val="center"/>
        <w:rPr>
          <w:i/>
          <w:lang w:eastAsia="es-ES"/>
        </w:rPr>
      </w:pPr>
      <w:r>
        <w:rPr>
          <w:noProof/>
          <w:lang w:val="en-US" w:eastAsia="zh-CN"/>
        </w:rPr>
        <w:drawing>
          <wp:inline distT="0" distB="0" distL="0" distR="0" wp14:anchorId="7DBF08B1" wp14:editId="24BD666A">
            <wp:extent cx="4674870" cy="1546225"/>
            <wp:effectExtent l="0" t="0" r="0" b="0"/>
            <wp:docPr id="21" name="图片 2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74870" cy="1546225"/>
                    </a:xfrm>
                    <a:prstGeom prst="rect">
                      <a:avLst/>
                    </a:prstGeom>
                  </pic:spPr>
                </pic:pic>
              </a:graphicData>
            </a:graphic>
          </wp:inline>
        </w:drawing>
      </w:r>
    </w:p>
    <w:p w14:paraId="2C7AEA3B" w14:textId="77777777" w:rsidR="009474DC" w:rsidRPr="009474DC" w:rsidRDefault="009474DC" w:rsidP="009474DC">
      <w:pPr>
        <w:pStyle w:val="a1"/>
        <w:ind w:firstLine="0"/>
        <w:jc w:val="center"/>
        <w:rPr>
          <w:i/>
          <w:lang w:eastAsia="es-ES"/>
        </w:rPr>
      </w:pPr>
      <w:r w:rsidRPr="0075513D">
        <w:rPr>
          <w:i/>
          <w:caps/>
          <w:lang w:eastAsia="es-ES"/>
        </w:rPr>
        <w:t>Fig</w:t>
      </w:r>
      <w:r w:rsidRPr="0075513D">
        <w:rPr>
          <w:i/>
          <w:lang w:eastAsia="es-ES"/>
        </w:rPr>
        <w:t>.</w:t>
      </w:r>
      <w:r>
        <w:rPr>
          <w:i/>
          <w:lang w:eastAsia="es-ES"/>
        </w:rPr>
        <w:t xml:space="preserve">16 </w:t>
      </w:r>
      <w:r w:rsidRPr="009474DC">
        <w:rPr>
          <w:i/>
          <w:lang w:eastAsia="es-ES"/>
        </w:rPr>
        <w:t>Axial measuring point layout diagram</w:t>
      </w:r>
    </w:p>
    <w:p w14:paraId="7382D8BD" w14:textId="73710D13" w:rsidR="00CB65D6" w:rsidRPr="009474DC" w:rsidRDefault="009474DC" w:rsidP="009474DC">
      <w:pPr>
        <w:pStyle w:val="3"/>
        <w:rPr>
          <w:lang w:eastAsia="es-ES"/>
        </w:rPr>
      </w:pPr>
      <w:r w:rsidRPr="009474DC">
        <w:rPr>
          <w:lang w:eastAsia="es-ES"/>
        </w:rPr>
        <w:t>Reactivity introduced by the experiment</w:t>
      </w:r>
    </w:p>
    <w:p w14:paraId="14A7F46B" w14:textId="6F956242" w:rsidR="00CB65D6" w:rsidRDefault="009474DC" w:rsidP="00CB65D6">
      <w:pPr>
        <w:pStyle w:val="a1"/>
        <w:rPr>
          <w:lang w:eastAsia="zh-CN"/>
        </w:rPr>
      </w:pPr>
      <w:r w:rsidRPr="009474DC">
        <w:rPr>
          <w:lang w:eastAsia="zh-CN"/>
        </w:rPr>
        <w:t>The fuel test assembly used in the activation method experiment is to replace the 7 fuel rods in the center of the fuel assembly with a large irradiator, which introduces negative reactivity to the core. In order to quantitatively analyze the entire experi</w:t>
      </w:r>
      <w:r w:rsidRPr="009474DC">
        <w:rPr>
          <w:rFonts w:hint="eastAsia"/>
          <w:lang w:eastAsia="zh-CN"/>
        </w:rPr>
        <w:t>mental process, the activation method is introduced to use MCNP Code to calculate the value of 7 rods in the center of 5 position in the fuel zone</w:t>
      </w:r>
      <w:r w:rsidRPr="009474DC">
        <w:rPr>
          <w:rFonts w:hint="eastAsia"/>
          <w:lang w:eastAsia="zh-CN"/>
        </w:rPr>
        <w:t>，</w:t>
      </w:r>
      <w:r w:rsidRPr="009474DC">
        <w:rPr>
          <w:rFonts w:hint="eastAsia"/>
          <w:lang w:eastAsia="zh-CN"/>
        </w:rPr>
        <w:t>which are shown in Table3.</w:t>
      </w:r>
    </w:p>
    <w:p w14:paraId="50E76095" w14:textId="77777777" w:rsidR="009474DC" w:rsidRDefault="009474DC" w:rsidP="00CB65D6">
      <w:pPr>
        <w:pStyle w:val="a1"/>
        <w:rPr>
          <w:lang w:eastAsia="zh-CN"/>
        </w:rPr>
      </w:pPr>
    </w:p>
    <w:p w14:paraId="4D7CC87E" w14:textId="453E232E" w:rsidR="009474DC" w:rsidRDefault="009474DC" w:rsidP="009474DC">
      <w:pPr>
        <w:pStyle w:val="a1"/>
        <w:ind w:firstLine="0"/>
      </w:pPr>
      <w:r>
        <w:lastRenderedPageBreak/>
        <w:t>TABLE 3.</w:t>
      </w:r>
      <w:r>
        <w:tab/>
        <w:t>THE VALUE OF 7 FUEL RODS</w:t>
      </w:r>
    </w:p>
    <w:tbl>
      <w:tblPr>
        <w:tblStyle w:val="10"/>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3"/>
        <w:gridCol w:w="2903"/>
      </w:tblGrid>
      <w:tr w:rsidR="00514288" w14:paraId="0FE97888" w14:textId="77777777" w:rsidTr="00514288">
        <w:trPr>
          <w:trHeight w:val="164"/>
          <w:jc w:val="center"/>
        </w:trPr>
        <w:tc>
          <w:tcPr>
            <w:tcW w:w="2903" w:type="dxa"/>
            <w:tcBorders>
              <w:top w:val="single" w:sz="12" w:space="0" w:color="auto"/>
              <w:left w:val="nil"/>
              <w:bottom w:val="single" w:sz="12" w:space="0" w:color="auto"/>
              <w:right w:val="nil"/>
            </w:tcBorders>
            <w:hideMark/>
          </w:tcPr>
          <w:p w14:paraId="1B892016" w14:textId="77777777" w:rsidR="00514288" w:rsidRDefault="00514288">
            <w:pPr>
              <w:rPr>
                <w:rFonts w:eastAsia="宋体" w:cs="Times New Roman"/>
                <w:sz w:val="21"/>
                <w:szCs w:val="21"/>
                <w:lang w:eastAsia="zh-CN"/>
              </w:rPr>
            </w:pPr>
            <w:r>
              <w:rPr>
                <w:rFonts w:eastAsia="宋体" w:cs="Times New Roman"/>
                <w:szCs w:val="21"/>
              </w:rPr>
              <w:t>The number of fuel SAs</w:t>
            </w:r>
          </w:p>
        </w:tc>
        <w:tc>
          <w:tcPr>
            <w:tcW w:w="2903" w:type="dxa"/>
            <w:tcBorders>
              <w:top w:val="single" w:sz="12" w:space="0" w:color="auto"/>
              <w:left w:val="nil"/>
              <w:bottom w:val="single" w:sz="12" w:space="0" w:color="auto"/>
              <w:right w:val="nil"/>
            </w:tcBorders>
            <w:hideMark/>
          </w:tcPr>
          <w:p w14:paraId="76A0BFC2" w14:textId="77777777" w:rsidR="00514288" w:rsidRDefault="00514288">
            <w:pPr>
              <w:rPr>
                <w:rFonts w:eastAsia="宋体" w:cs="Times New Roman"/>
                <w:szCs w:val="21"/>
              </w:rPr>
            </w:pPr>
            <w:r>
              <w:rPr>
                <w:rFonts w:eastAsia="宋体" w:cs="Times New Roman"/>
                <w:szCs w:val="21"/>
              </w:rPr>
              <w:t>The value of 7 fuel rods</w:t>
            </w:r>
            <w:r>
              <w:rPr>
                <w:rFonts w:eastAsia="宋体" w:cs="Times New Roman" w:hint="eastAsia"/>
                <w:szCs w:val="21"/>
              </w:rPr>
              <w:t>（</w:t>
            </w:r>
            <w:r>
              <w:rPr>
                <w:rFonts w:eastAsia="宋体" w:cs="Times New Roman"/>
                <w:szCs w:val="21"/>
              </w:rPr>
              <w:t>pcm</w:t>
            </w:r>
            <w:r>
              <w:rPr>
                <w:rFonts w:eastAsia="宋体" w:cs="Times New Roman" w:hint="eastAsia"/>
                <w:szCs w:val="21"/>
              </w:rPr>
              <w:t>）</w:t>
            </w:r>
          </w:p>
        </w:tc>
      </w:tr>
      <w:tr w:rsidR="00514288" w14:paraId="1BB0C999" w14:textId="77777777" w:rsidTr="00514288">
        <w:trPr>
          <w:trHeight w:val="223"/>
          <w:jc w:val="center"/>
        </w:trPr>
        <w:tc>
          <w:tcPr>
            <w:tcW w:w="2903" w:type="dxa"/>
            <w:tcBorders>
              <w:top w:val="single" w:sz="12" w:space="0" w:color="auto"/>
              <w:left w:val="nil"/>
              <w:bottom w:val="nil"/>
              <w:right w:val="nil"/>
            </w:tcBorders>
            <w:hideMark/>
          </w:tcPr>
          <w:p w14:paraId="0AC1A10C" w14:textId="77777777" w:rsidR="00514288" w:rsidRDefault="00514288">
            <w:pPr>
              <w:jc w:val="center"/>
              <w:rPr>
                <w:rFonts w:eastAsia="宋体" w:cs="Times New Roman"/>
                <w:szCs w:val="21"/>
              </w:rPr>
            </w:pPr>
            <w:r>
              <w:rPr>
                <w:rFonts w:eastAsia="宋体" w:cs="Times New Roman"/>
                <w:szCs w:val="21"/>
              </w:rPr>
              <w:t>1</w:t>
            </w:r>
          </w:p>
        </w:tc>
        <w:tc>
          <w:tcPr>
            <w:tcW w:w="2903" w:type="dxa"/>
            <w:tcBorders>
              <w:top w:val="single" w:sz="12" w:space="0" w:color="auto"/>
              <w:left w:val="nil"/>
              <w:bottom w:val="nil"/>
              <w:right w:val="nil"/>
            </w:tcBorders>
            <w:hideMark/>
          </w:tcPr>
          <w:p w14:paraId="414C0035" w14:textId="77777777" w:rsidR="00514288" w:rsidRDefault="00514288">
            <w:pPr>
              <w:jc w:val="center"/>
              <w:rPr>
                <w:rFonts w:eastAsia="宋体" w:cs="Times New Roman"/>
                <w:szCs w:val="21"/>
              </w:rPr>
            </w:pPr>
            <w:r>
              <w:rPr>
                <w:rFonts w:eastAsia="宋体" w:cs="Times New Roman"/>
                <w:szCs w:val="21"/>
              </w:rPr>
              <w:t>-5.0</w:t>
            </w:r>
          </w:p>
        </w:tc>
      </w:tr>
      <w:tr w:rsidR="00514288" w14:paraId="421DAF04" w14:textId="77777777" w:rsidTr="00514288">
        <w:trPr>
          <w:trHeight w:val="212"/>
          <w:jc w:val="center"/>
        </w:trPr>
        <w:tc>
          <w:tcPr>
            <w:tcW w:w="2903" w:type="dxa"/>
            <w:hideMark/>
          </w:tcPr>
          <w:p w14:paraId="6832ABFA" w14:textId="77777777" w:rsidR="00514288" w:rsidRDefault="00514288">
            <w:pPr>
              <w:jc w:val="center"/>
              <w:rPr>
                <w:rFonts w:eastAsia="宋体" w:cs="Times New Roman"/>
                <w:szCs w:val="21"/>
              </w:rPr>
            </w:pPr>
            <w:r>
              <w:rPr>
                <w:rFonts w:eastAsia="宋体" w:cs="Times New Roman"/>
                <w:szCs w:val="21"/>
              </w:rPr>
              <w:t>2</w:t>
            </w:r>
          </w:p>
        </w:tc>
        <w:tc>
          <w:tcPr>
            <w:tcW w:w="2903" w:type="dxa"/>
            <w:hideMark/>
          </w:tcPr>
          <w:p w14:paraId="7AFC74E7" w14:textId="77777777" w:rsidR="00514288" w:rsidRDefault="00514288">
            <w:pPr>
              <w:jc w:val="center"/>
              <w:rPr>
                <w:rFonts w:eastAsia="宋体" w:cs="Times New Roman"/>
                <w:szCs w:val="21"/>
              </w:rPr>
            </w:pPr>
            <w:r>
              <w:rPr>
                <w:rFonts w:eastAsia="宋体" w:cs="Times New Roman"/>
                <w:szCs w:val="21"/>
              </w:rPr>
              <w:t>-5.0</w:t>
            </w:r>
          </w:p>
        </w:tc>
      </w:tr>
      <w:tr w:rsidR="00514288" w14:paraId="0AF35A81" w14:textId="77777777" w:rsidTr="00514288">
        <w:trPr>
          <w:trHeight w:val="223"/>
          <w:jc w:val="center"/>
        </w:trPr>
        <w:tc>
          <w:tcPr>
            <w:tcW w:w="2903" w:type="dxa"/>
            <w:hideMark/>
          </w:tcPr>
          <w:p w14:paraId="07CFF1EA" w14:textId="77777777" w:rsidR="00514288" w:rsidRDefault="00514288">
            <w:pPr>
              <w:jc w:val="center"/>
              <w:rPr>
                <w:rFonts w:eastAsia="宋体" w:cs="Times New Roman"/>
                <w:szCs w:val="21"/>
              </w:rPr>
            </w:pPr>
            <w:r>
              <w:rPr>
                <w:rFonts w:eastAsia="宋体" w:cs="Times New Roman"/>
                <w:szCs w:val="21"/>
              </w:rPr>
              <w:t>3</w:t>
            </w:r>
          </w:p>
        </w:tc>
        <w:tc>
          <w:tcPr>
            <w:tcW w:w="2903" w:type="dxa"/>
            <w:hideMark/>
          </w:tcPr>
          <w:p w14:paraId="4F806018" w14:textId="77777777" w:rsidR="00514288" w:rsidRDefault="00514288">
            <w:pPr>
              <w:jc w:val="center"/>
              <w:rPr>
                <w:rFonts w:eastAsia="宋体" w:cs="Times New Roman"/>
                <w:szCs w:val="21"/>
              </w:rPr>
            </w:pPr>
            <w:r>
              <w:rPr>
                <w:rFonts w:eastAsia="宋体" w:cs="Times New Roman"/>
                <w:szCs w:val="21"/>
              </w:rPr>
              <w:t>-5.1</w:t>
            </w:r>
          </w:p>
        </w:tc>
      </w:tr>
      <w:tr w:rsidR="00514288" w14:paraId="42E3C5E3" w14:textId="77777777" w:rsidTr="00514288">
        <w:trPr>
          <w:trHeight w:val="212"/>
          <w:jc w:val="center"/>
        </w:trPr>
        <w:tc>
          <w:tcPr>
            <w:tcW w:w="2903" w:type="dxa"/>
            <w:hideMark/>
          </w:tcPr>
          <w:p w14:paraId="34E3BBEA" w14:textId="77777777" w:rsidR="00514288" w:rsidRDefault="00514288">
            <w:pPr>
              <w:jc w:val="center"/>
              <w:rPr>
                <w:rFonts w:eastAsia="宋体" w:cs="Times New Roman"/>
                <w:szCs w:val="21"/>
              </w:rPr>
            </w:pPr>
            <w:r>
              <w:rPr>
                <w:rFonts w:eastAsia="宋体" w:cs="Times New Roman"/>
                <w:szCs w:val="21"/>
              </w:rPr>
              <w:t>4</w:t>
            </w:r>
          </w:p>
        </w:tc>
        <w:tc>
          <w:tcPr>
            <w:tcW w:w="2903" w:type="dxa"/>
            <w:hideMark/>
          </w:tcPr>
          <w:p w14:paraId="1FACCA90" w14:textId="77777777" w:rsidR="00514288" w:rsidRDefault="00514288">
            <w:pPr>
              <w:jc w:val="center"/>
              <w:rPr>
                <w:rFonts w:eastAsia="宋体" w:cs="Times New Roman"/>
                <w:szCs w:val="21"/>
              </w:rPr>
            </w:pPr>
            <w:r>
              <w:rPr>
                <w:rFonts w:eastAsia="宋体" w:cs="Times New Roman"/>
                <w:szCs w:val="21"/>
              </w:rPr>
              <w:t>-5.2</w:t>
            </w:r>
          </w:p>
        </w:tc>
      </w:tr>
      <w:tr w:rsidR="00514288" w14:paraId="3F8CD895" w14:textId="77777777" w:rsidTr="00514288">
        <w:trPr>
          <w:trHeight w:val="223"/>
          <w:jc w:val="center"/>
        </w:trPr>
        <w:tc>
          <w:tcPr>
            <w:tcW w:w="2903" w:type="dxa"/>
            <w:tcBorders>
              <w:top w:val="nil"/>
              <w:left w:val="nil"/>
              <w:bottom w:val="single" w:sz="12" w:space="0" w:color="auto"/>
              <w:right w:val="nil"/>
            </w:tcBorders>
            <w:hideMark/>
          </w:tcPr>
          <w:p w14:paraId="372B6B8F" w14:textId="77777777" w:rsidR="00514288" w:rsidRDefault="00514288">
            <w:pPr>
              <w:jc w:val="center"/>
              <w:rPr>
                <w:rFonts w:eastAsia="宋体" w:cs="Times New Roman"/>
                <w:szCs w:val="21"/>
              </w:rPr>
            </w:pPr>
            <w:r>
              <w:rPr>
                <w:rFonts w:eastAsia="宋体" w:cs="Times New Roman"/>
                <w:szCs w:val="21"/>
              </w:rPr>
              <w:t>5</w:t>
            </w:r>
          </w:p>
        </w:tc>
        <w:tc>
          <w:tcPr>
            <w:tcW w:w="2903" w:type="dxa"/>
            <w:tcBorders>
              <w:top w:val="nil"/>
              <w:left w:val="nil"/>
              <w:bottom w:val="single" w:sz="12" w:space="0" w:color="auto"/>
              <w:right w:val="nil"/>
            </w:tcBorders>
            <w:hideMark/>
          </w:tcPr>
          <w:p w14:paraId="17CA1B7A" w14:textId="77777777" w:rsidR="00514288" w:rsidRDefault="00514288">
            <w:pPr>
              <w:jc w:val="center"/>
              <w:rPr>
                <w:rFonts w:eastAsia="宋体" w:cs="Times New Roman"/>
                <w:szCs w:val="21"/>
              </w:rPr>
            </w:pPr>
            <w:r>
              <w:rPr>
                <w:rFonts w:eastAsia="宋体" w:cs="Times New Roman"/>
                <w:szCs w:val="21"/>
              </w:rPr>
              <w:t>-5.1</w:t>
            </w:r>
          </w:p>
        </w:tc>
      </w:tr>
    </w:tbl>
    <w:p w14:paraId="7BD88090" w14:textId="77777777" w:rsidR="009474DC" w:rsidRDefault="009474DC" w:rsidP="009474DC">
      <w:pPr>
        <w:pStyle w:val="a1"/>
        <w:ind w:firstLine="0"/>
      </w:pPr>
    </w:p>
    <w:p w14:paraId="02D26C8C" w14:textId="426D93E4" w:rsidR="00E501F6" w:rsidRPr="00514288" w:rsidRDefault="00514288" w:rsidP="00514288">
      <w:pPr>
        <w:ind w:firstLineChars="200" w:firstLine="440"/>
        <w:rPr>
          <w:rFonts w:eastAsia="宋体"/>
          <w:sz w:val="21"/>
          <w:szCs w:val="21"/>
          <w:lang w:eastAsia="zh-CN"/>
        </w:rPr>
      </w:pPr>
      <w:r>
        <w:rPr>
          <w:rFonts w:eastAsia="宋体"/>
          <w:szCs w:val="21"/>
        </w:rPr>
        <w:t>When replacing 5 cartridges of fuel SAs in the fuel area each time, it is equivalent to introducing a maximum negative reactivity of 25.4 pcm. When the fuel zone replaces 2~3 boxes of fuel SAs at the same time, the impact on the core is small (because there are 169 fuel rods in one box assembly, the experimental assembly only replaces the middle 7 fuel rods. The reactivity is very small.</w:t>
      </w:r>
    </w:p>
    <w:p w14:paraId="433FE05B" w14:textId="3514A5AA" w:rsidR="00E20E70" w:rsidRDefault="00514288" w:rsidP="00537496">
      <w:pPr>
        <w:pStyle w:val="2"/>
      </w:pPr>
      <w:r>
        <w:t>CONCLUSION</w:t>
      </w:r>
    </w:p>
    <w:p w14:paraId="433FE05D" w14:textId="429069D0" w:rsidR="00472C43" w:rsidRPr="00514288" w:rsidRDefault="00514288" w:rsidP="00514288">
      <w:pPr>
        <w:pStyle w:val="a1"/>
        <w:rPr>
          <w:lang w:val="en-US"/>
        </w:rPr>
      </w:pPr>
      <w:r>
        <w:rPr>
          <w:lang w:val="en-US"/>
        </w:rPr>
        <w:t>The</w:t>
      </w:r>
      <w:r w:rsidRPr="00514288">
        <w:rPr>
          <w:lang w:val="en-US"/>
        </w:rPr>
        <w:t xml:space="preserve"> paper introduces the experimental principle, measurement system and special tools of CEFR MOX fission rate distribution experiment, and formulates a set of feasible schemes for </w:t>
      </w:r>
      <w:r w:rsidRPr="00514288">
        <w:rPr>
          <w:vertAlign w:val="superscript"/>
          <w:lang w:val="en-US"/>
        </w:rPr>
        <w:t>235</w:t>
      </w:r>
      <w:r w:rsidRPr="00514288">
        <w:rPr>
          <w:lang w:val="en-US"/>
        </w:rPr>
        <w:t xml:space="preserve">U and </w:t>
      </w:r>
      <w:r w:rsidRPr="00514288">
        <w:rPr>
          <w:vertAlign w:val="superscript"/>
          <w:lang w:val="en-US"/>
        </w:rPr>
        <w:t>238</w:t>
      </w:r>
      <w:r w:rsidRPr="00514288">
        <w:rPr>
          <w:lang w:val="en-US"/>
        </w:rPr>
        <w:t xml:space="preserve">U fission rate distribution experiment. Firstly, the radial and axial distributions of </w:t>
      </w:r>
      <w:r w:rsidRPr="00514288">
        <w:rPr>
          <w:vertAlign w:val="superscript"/>
          <w:lang w:val="en-US"/>
        </w:rPr>
        <w:t>235</w:t>
      </w:r>
      <w:r w:rsidRPr="00514288">
        <w:rPr>
          <w:lang w:val="en-US"/>
        </w:rPr>
        <w:t xml:space="preserve">U and </w:t>
      </w:r>
      <w:r w:rsidRPr="00514288">
        <w:rPr>
          <w:vertAlign w:val="superscript"/>
          <w:lang w:val="en-US"/>
        </w:rPr>
        <w:t>238</w:t>
      </w:r>
      <w:r w:rsidRPr="00514288">
        <w:rPr>
          <w:lang w:val="en-US"/>
        </w:rPr>
        <w:t xml:space="preserve">U single nuclear fission rates at full power of CEFR MOX are obtained through MCNP and NJOY calculation, so as to determine the core measurement position of </w:t>
      </w:r>
      <w:r w:rsidRPr="00514288">
        <w:rPr>
          <w:vertAlign w:val="superscript"/>
          <w:lang w:val="en-US"/>
        </w:rPr>
        <w:t>235</w:t>
      </w:r>
      <w:r w:rsidRPr="00514288">
        <w:rPr>
          <w:lang w:val="en-US"/>
        </w:rPr>
        <w:t xml:space="preserve">U and </w:t>
      </w:r>
      <w:r w:rsidRPr="00514288">
        <w:rPr>
          <w:vertAlign w:val="superscript"/>
          <w:lang w:val="en-US"/>
        </w:rPr>
        <w:t>238</w:t>
      </w:r>
      <w:r w:rsidRPr="00514288">
        <w:rPr>
          <w:lang w:val="en-US"/>
        </w:rPr>
        <w:t>U fission rate distribution experiment; Then, through the activity evaluation of the detection foil at the measurement point before measurement, the quality of the detection foils are obtained, which can be used as a reference for the size of the subsequent detection foil and the size of the irradiation device. It is further determined that the irradiation power of the experiment is 0.25 ‰ FP and irradiation time is 1 hours; Finally, the reactivity introduced in the whole experiment is calculated in detail to evaluate the risk of the experiment. Finally, a relatively sound experimental scheme of CEFR MOX fission rate distribution is formed, which not only provides a theoretical basis for subsequent experiments, but also has guiding significance for the activation method experiment of large commercial fast reactor.</w:t>
      </w:r>
    </w:p>
    <w:p w14:paraId="23E412AD" w14:textId="77777777" w:rsidR="002C29DB" w:rsidRPr="004370D8" w:rsidRDefault="002C29DB" w:rsidP="00537496">
      <w:pPr>
        <w:pStyle w:val="a1"/>
      </w:pPr>
    </w:p>
    <w:p w14:paraId="433FE095" w14:textId="77777777" w:rsidR="00285755" w:rsidRDefault="00285755" w:rsidP="00537496">
      <w:pPr>
        <w:pStyle w:val="Otherunnumberedheadings"/>
      </w:pPr>
      <w:r w:rsidRPr="00285755">
        <w:t>ACKNOWLEDGEMENTS</w:t>
      </w:r>
    </w:p>
    <w:p w14:paraId="2D035250" w14:textId="46EEA0E3" w:rsidR="003B63C3" w:rsidRPr="003B63C3" w:rsidRDefault="003B63C3" w:rsidP="003B63C3">
      <w:pPr>
        <w:pStyle w:val="a1"/>
        <w:rPr>
          <w:lang w:val="en-US"/>
        </w:rPr>
      </w:pPr>
      <w:r w:rsidRPr="003B63C3">
        <w:rPr>
          <w:lang w:val="en-US"/>
        </w:rPr>
        <w:t>The author wishes to acknowledge the hard work and support of many of our colleagues at China Institute of Atomic Energy,in particular, the Reactor Physics Research Laboratory and the Core Laboratory, Chen Xiao-liang, Chen Xiao-xian and Xia Zhao-Dong, etc.</w:t>
      </w:r>
    </w:p>
    <w:p w14:paraId="433FE096" w14:textId="77777777" w:rsidR="00D26ADA" w:rsidRDefault="00D26ADA" w:rsidP="00537496">
      <w:pPr>
        <w:pStyle w:val="a1"/>
      </w:pPr>
    </w:p>
    <w:p w14:paraId="433FE097" w14:textId="77777777" w:rsidR="00D26ADA" w:rsidRPr="00285755" w:rsidRDefault="00D26ADA" w:rsidP="00537496">
      <w:pPr>
        <w:pStyle w:val="Otherunnumberedheadings"/>
      </w:pPr>
      <w:r>
        <w:t>References</w:t>
      </w:r>
    </w:p>
    <w:p w14:paraId="433FE098" w14:textId="76895335" w:rsidR="00285755" w:rsidRDefault="003B63C3" w:rsidP="003B63C3">
      <w:pPr>
        <w:pStyle w:val="Referencelist"/>
      </w:pPr>
      <w:r w:rsidRPr="003B63C3">
        <w:t>FAN Zhen-dong, CHEN Xiao-liang.etc. Experimental research of nuclear reaction rate in China Expeirmental Fast Reactor[J]. Atomic Eenergy Science and Technology. Vol 47, suppl. Jun.2013.</w:t>
      </w:r>
    </w:p>
    <w:p w14:paraId="433FE099" w14:textId="2CEA725C" w:rsidR="009E0D5B" w:rsidRPr="009E0D5B" w:rsidRDefault="003B63C3" w:rsidP="003B63C3">
      <w:pPr>
        <w:pStyle w:val="Referencelist"/>
      </w:pPr>
      <w:r w:rsidRPr="003B63C3">
        <w:rPr>
          <w:rFonts w:hint="eastAsia"/>
        </w:rPr>
        <w:t>HU Dapu, ZHENG Fuyu. Nuclear reactor physics experiment method[M]. Beijing: Atomic Energy Press</w:t>
      </w:r>
      <w:r w:rsidRPr="003B63C3">
        <w:rPr>
          <w:rFonts w:hint="eastAsia"/>
        </w:rPr>
        <w:t>，</w:t>
      </w:r>
      <w:r w:rsidRPr="003B63C3">
        <w:rPr>
          <w:rFonts w:hint="eastAsia"/>
        </w:rPr>
        <w:t>1988.</w:t>
      </w:r>
    </w:p>
    <w:p w14:paraId="433FE09A" w14:textId="112ABF06" w:rsidR="009E0D5B" w:rsidRDefault="003B63C3" w:rsidP="00537496">
      <w:pPr>
        <w:pStyle w:val="Referencelist"/>
      </w:pPr>
      <w:r w:rsidRPr="003B63C3">
        <w:t>Team X-M C. MCNP-A General Monte Carlo N-Particle Transport Code[R]. Version 5</w:t>
      </w:r>
      <w:r w:rsidRPr="003B63C3">
        <w:rPr>
          <w:rFonts w:hint="eastAsia"/>
        </w:rPr>
        <w:t>，</w:t>
      </w:r>
      <w:r w:rsidRPr="003B63C3">
        <w:t>in LA-UR-03-1987.USA</w:t>
      </w:r>
      <w:r w:rsidRPr="003B63C3">
        <w:rPr>
          <w:rFonts w:hint="eastAsia"/>
        </w:rPr>
        <w:t>：</w:t>
      </w:r>
      <w:r w:rsidRPr="003B63C3">
        <w:t>Los AlarmosNational Laboratory</w:t>
      </w:r>
      <w:r w:rsidRPr="003B63C3">
        <w:rPr>
          <w:rFonts w:hint="eastAsia"/>
        </w:rPr>
        <w:t>，</w:t>
      </w:r>
      <w:r w:rsidRPr="003B63C3">
        <w:t xml:space="preserve">2003. </w:t>
      </w:r>
    </w:p>
    <w:p w14:paraId="433FE0B6" w14:textId="6368DB61" w:rsidR="00F45EEE" w:rsidRPr="00662532" w:rsidRDefault="003B63C3" w:rsidP="003B63C3">
      <w:pPr>
        <w:pStyle w:val="Referencelist"/>
      </w:pPr>
      <w:r w:rsidRPr="003B63C3">
        <w:rPr>
          <w:rFonts w:hint="eastAsia"/>
        </w:rPr>
        <w:t>R.E.MacFarlane. The NJOY Nuclear Data processing System version 2016[R]. in LA-UR-17-20093.USA</w:t>
      </w:r>
      <w:r w:rsidRPr="003B63C3">
        <w:rPr>
          <w:rFonts w:hint="eastAsia"/>
        </w:rPr>
        <w:t>：</w:t>
      </w:r>
      <w:r w:rsidRPr="003B63C3">
        <w:rPr>
          <w:rFonts w:hint="eastAsia"/>
        </w:rPr>
        <w:t>Los Alarmos National Laboratory</w:t>
      </w:r>
      <w:r w:rsidRPr="003B63C3">
        <w:rPr>
          <w:rFonts w:hint="eastAsia"/>
        </w:rPr>
        <w:t>，</w:t>
      </w:r>
      <w:r w:rsidRPr="003B63C3">
        <w:rPr>
          <w:rFonts w:hint="eastAsia"/>
        </w:rPr>
        <w:t xml:space="preserve">2019. </w:t>
      </w:r>
    </w:p>
    <w:sectPr w:rsidR="00F45EEE" w:rsidRPr="00662532" w:rsidSect="0026525A">
      <w:headerReference w:type="even" r:id="rId27"/>
      <w:headerReference w:type="default" r:id="rId28"/>
      <w:footerReference w:type="even" r:id="rId29"/>
      <w:footerReference w:type="default" r:id="rId30"/>
      <w:headerReference w:type="first" r:id="rId31"/>
      <w:footerReference w:type="first" r:id="rId32"/>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D8A9DA" w14:textId="77777777" w:rsidR="009C2AC7" w:rsidRDefault="009C2AC7">
      <w:r>
        <w:separator/>
      </w:r>
    </w:p>
  </w:endnote>
  <w:endnote w:type="continuationSeparator" w:id="0">
    <w:p w14:paraId="1F7A4F07" w14:textId="77777777" w:rsidR="009C2AC7" w:rsidRDefault="009C2A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6" w14:textId="77777777" w:rsidR="00C41DCD" w:rsidRDefault="00C41DCD">
    <w:pPr>
      <w:pStyle w:val="zyxClassification1"/>
    </w:pPr>
    <w:r>
      <w:fldChar w:fldCharType="begin"/>
    </w:r>
    <w:r>
      <w:instrText xml:space="preserve"> DOCPROPERTY "IaeaClassification"  \* MERGEFORMAT </w:instrText>
    </w:r>
    <w:r>
      <w:fldChar w:fldCharType="end"/>
    </w:r>
  </w:p>
  <w:p w14:paraId="433FE0C7" w14:textId="77777777" w:rsidR="00C41DCD" w:rsidRDefault="00C41DCD">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8" w14:textId="77777777" w:rsidR="00C41DCD" w:rsidRDefault="00C41DCD">
    <w:pPr>
      <w:pStyle w:val="zyxClassification1"/>
    </w:pPr>
    <w:r>
      <w:fldChar w:fldCharType="begin"/>
    </w:r>
    <w:r>
      <w:instrText xml:space="preserve"> DOCPROPERTY "IaeaClassification"  \* MERGEFORMAT </w:instrText>
    </w:r>
    <w:r>
      <w:fldChar w:fldCharType="end"/>
    </w:r>
  </w:p>
  <w:p w14:paraId="433FE0C9" w14:textId="265B9BBB" w:rsidR="00C41DCD" w:rsidRPr="00037321" w:rsidRDefault="00C41DCD">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632CC7">
      <w:rPr>
        <w:rFonts w:ascii="Times New Roman" w:hAnsi="Times New Roman" w:cs="Times New Roman"/>
        <w:noProof/>
        <w:sz w:val="20"/>
      </w:rPr>
      <w:t>9</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C41DCD" w14:paraId="433FE0D8" w14:textId="77777777">
      <w:trPr>
        <w:cantSplit/>
      </w:trPr>
      <w:tc>
        <w:tcPr>
          <w:tcW w:w="4644" w:type="dxa"/>
        </w:tcPr>
        <w:p w14:paraId="433FE0D4" w14:textId="77777777" w:rsidR="00C41DCD" w:rsidRDefault="00C41DCD">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77777777" w:rsidR="00C41DCD" w:rsidRDefault="00C41DCD">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8" w:name="DOC_bkmClassification2"/>
      <w:tc>
        <w:tcPr>
          <w:tcW w:w="5670" w:type="dxa"/>
          <w:tcMar>
            <w:right w:w="249" w:type="dxa"/>
          </w:tcMar>
        </w:tcPr>
        <w:p w14:paraId="433FE0D6" w14:textId="77777777" w:rsidR="00C41DCD" w:rsidRDefault="00C41DCD">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8"/>
        <w:p w14:paraId="433FE0D7" w14:textId="77777777" w:rsidR="00C41DCD" w:rsidRDefault="00C41DCD">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9" w:name="DOC_bkmFileName"/>
  <w:p w14:paraId="433FE0D9" w14:textId="77777777" w:rsidR="00C41DCD" w:rsidRDefault="00C41DCD">
    <w:r>
      <w:rPr>
        <w:sz w:val="16"/>
      </w:rPr>
      <w:fldChar w:fldCharType="begin"/>
    </w:r>
    <w:r>
      <w:rPr>
        <w:sz w:val="16"/>
      </w:rPr>
      <w:instrText xml:space="preserve"> FILENAME \* MERGEFORMAT </w:instrText>
    </w:r>
    <w:r>
      <w:rPr>
        <w:sz w:val="16"/>
      </w:rPr>
      <w:fldChar w:fldCharType="separate"/>
    </w:r>
    <w:r>
      <w:rPr>
        <w:noProof/>
        <w:sz w:val="16"/>
      </w:rPr>
      <w:t>Example paper.docx</w:t>
    </w:r>
    <w:r>
      <w:rPr>
        <w:sz w:val="16"/>
      </w:rPr>
      <w:fldChar w:fldCharType="end"/>
    </w:r>
    <w:bookmarkEnd w:id="9"/>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EB1C7D" w14:textId="77777777" w:rsidR="009C2AC7" w:rsidRDefault="009C2AC7">
      <w:r>
        <w:t>___________________________________________________________________________</w:t>
      </w:r>
    </w:p>
  </w:footnote>
  <w:footnote w:type="continuationSeparator" w:id="0">
    <w:p w14:paraId="6ED2BBD5" w14:textId="77777777" w:rsidR="009C2AC7" w:rsidRDefault="009C2AC7">
      <w:r>
        <w:t>___________________________________________________________________________</w:t>
      </w:r>
    </w:p>
  </w:footnote>
  <w:footnote w:type="continuationNotice" w:id="1">
    <w:p w14:paraId="3F9B71BE" w14:textId="77777777" w:rsidR="009C2AC7" w:rsidRDefault="009C2AC7"/>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0" w14:textId="2F728B3A" w:rsidR="00C41DCD" w:rsidRDefault="00C41DCD" w:rsidP="00CF7AF3">
    <w:pPr>
      <w:pStyle w:val="Runninghead"/>
    </w:pPr>
    <w:r>
      <w:tab/>
      <w:t>FR21: IAEA-CN-291/## (Replace ## with contribution ID Number)</w:t>
    </w:r>
  </w:p>
  <w:p w14:paraId="433FE0C1" w14:textId="77777777" w:rsidR="00C41DCD" w:rsidRPr="009E1558" w:rsidRDefault="00C41DCD" w:rsidP="00CF7AF3">
    <w:pPr>
      <w:jc w:val="center"/>
      <w:rPr>
        <w:color w:val="BFBFBF" w:themeColor="background1" w:themeShade="BF"/>
        <w:sz w:val="16"/>
        <w:szCs w:val="16"/>
      </w:rPr>
    </w:pPr>
    <w:r>
      <w:rPr>
        <w:color w:val="BFBFBF" w:themeColor="background1" w:themeShade="BF"/>
        <w:sz w:val="16"/>
        <w:szCs w:val="16"/>
      </w:rPr>
      <w:t>[Right</w:t>
    </w:r>
    <w:r w:rsidRPr="009E1558">
      <w:rPr>
        <w:color w:val="BFBFBF" w:themeColor="background1" w:themeShade="BF"/>
        <w:sz w:val="16"/>
        <w:szCs w:val="16"/>
      </w:rPr>
      <w:t xml:space="preserve"> hand page running head is</w:t>
    </w:r>
    <w:r>
      <w:rPr>
        <w:color w:val="BFBFBF" w:themeColor="background1" w:themeShade="BF"/>
        <w:sz w:val="16"/>
        <w:szCs w:val="16"/>
      </w:rPr>
      <w:t xml:space="preserve"> the</w:t>
    </w:r>
    <w:r w:rsidRPr="009E1558">
      <w:rPr>
        <w:color w:val="BFBFBF" w:themeColor="background1" w:themeShade="BF"/>
        <w:sz w:val="16"/>
        <w:szCs w:val="16"/>
      </w:rPr>
      <w:t xml:space="preserve"> </w:t>
    </w:r>
    <w:r>
      <w:rPr>
        <w:color w:val="BFBFBF" w:themeColor="background1" w:themeShade="BF"/>
        <w:sz w:val="16"/>
        <w:szCs w:val="16"/>
      </w:rPr>
      <w:t>paper number</w:t>
    </w:r>
    <w:r w:rsidRPr="009E1558">
      <w:rPr>
        <w:color w:val="BFBFBF" w:themeColor="background1" w:themeShade="BF"/>
        <w:sz w:val="16"/>
        <w:szCs w:val="16"/>
      </w:rPr>
      <w:t xml:space="preserve"> in Times New Roman 8 p</w:t>
    </w:r>
    <w:r>
      <w:rPr>
        <w:color w:val="BFBFBF" w:themeColor="background1" w:themeShade="BF"/>
        <w:sz w:val="16"/>
        <w:szCs w:val="16"/>
      </w:rPr>
      <w:t>oin</w:t>
    </w:r>
    <w:r w:rsidRPr="009E1558">
      <w:rPr>
        <w:color w:val="BFBFBF" w:themeColor="background1" w:themeShade="BF"/>
        <w:sz w:val="16"/>
        <w:szCs w:val="16"/>
      </w:rPr>
      <w:t>t bold capitals, centred</w:t>
    </w:r>
    <w:r w:rsidRPr="00AC5A3A">
      <w:rPr>
        <w:color w:val="BFBFBF" w:themeColor="background1" w:themeShade="BF"/>
        <w:sz w:val="16"/>
        <w:szCs w:val="16"/>
      </w:rPr>
      <w:t>]</w:t>
    </w:r>
  </w:p>
  <w:p w14:paraId="433FE0C2" w14:textId="77777777" w:rsidR="00C41DCD" w:rsidRDefault="00C41DCD" w:rsidP="00CF7AF3">
    <w:pPr>
      <w:pStyle w:val="zyxClassification1"/>
      <w:tabs>
        <w:tab w:val="left" w:pos="3956"/>
        <w:tab w:val="right" w:pos="9071"/>
      </w:tabs>
      <w:jc w:val="left"/>
    </w:pPr>
    <w:r>
      <w:tab/>
    </w:r>
    <w:r>
      <w:fldChar w:fldCharType="begin"/>
    </w:r>
    <w:r>
      <w:instrText xml:space="preserve"> DOCPROPERTY "IaeaClassification"  \* MERGEFORMAT </w:instrText>
    </w:r>
    <w:r>
      <w:fldChar w:fldCharType="end"/>
    </w:r>
  </w:p>
  <w:p w14:paraId="433FE0C3" w14:textId="77777777" w:rsidR="00C41DCD" w:rsidRDefault="00C41DCD">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FE0C4" w14:textId="77777777" w:rsidR="00C41DCD" w:rsidRDefault="00C41DCD" w:rsidP="00B82FA5">
    <w:pPr>
      <w:pStyle w:val="Runninghead"/>
    </w:pPr>
    <w:r>
      <w:t>AUTHOR and OTHER-AUTHOR</w:t>
    </w:r>
  </w:p>
  <w:p w14:paraId="433FE0C5" w14:textId="77777777" w:rsidR="00C41DCD" w:rsidRPr="009E1558" w:rsidRDefault="00C41DCD" w:rsidP="00037321">
    <w:pPr>
      <w:jc w:val="center"/>
      <w:rPr>
        <w:color w:val="BFBFBF" w:themeColor="background1" w:themeShade="BF"/>
        <w:sz w:val="16"/>
        <w:szCs w:val="16"/>
      </w:rPr>
    </w:pPr>
    <w:r>
      <w:rPr>
        <w:color w:val="BFBFBF" w:themeColor="background1" w:themeShade="BF"/>
        <w:sz w:val="16"/>
        <w:szCs w:val="16"/>
      </w:rPr>
      <w:t>[</w:t>
    </w:r>
    <w:r w:rsidRPr="009E1558">
      <w:rPr>
        <w:color w:val="BFBFBF" w:themeColor="background1" w:themeShade="BF"/>
        <w:sz w:val="16"/>
        <w:szCs w:val="16"/>
      </w:rPr>
      <w:t>Left hand page running head is author’s name in Times New Roman 8 p</w:t>
    </w:r>
    <w:r>
      <w:rPr>
        <w:color w:val="BFBFBF" w:themeColor="background1" w:themeShade="BF"/>
        <w:sz w:val="16"/>
        <w:szCs w:val="16"/>
      </w:rPr>
      <w:t>oin</w:t>
    </w:r>
    <w:r w:rsidRPr="009E1558">
      <w:rPr>
        <w:color w:val="BFBFBF" w:themeColor="background1" w:themeShade="BF"/>
        <w:sz w:val="16"/>
        <w:szCs w:val="16"/>
      </w:rPr>
      <w:t>t bold capitals, centred</w:t>
    </w:r>
    <w:r>
      <w:rPr>
        <w:color w:val="BFBFBF" w:themeColor="background1" w:themeShade="BF"/>
        <w:sz w:val="16"/>
        <w:szCs w:val="16"/>
      </w:rPr>
      <w:t>. F</w:t>
    </w:r>
    <w:r w:rsidRPr="009E1558">
      <w:rPr>
        <w:color w:val="BFBFBF" w:themeColor="background1" w:themeShade="BF"/>
        <w:sz w:val="16"/>
        <w:szCs w:val="16"/>
      </w:rPr>
      <w:t xml:space="preserve">or more </w:t>
    </w:r>
    <w:r>
      <w:rPr>
        <w:color w:val="BFBFBF" w:themeColor="background1" w:themeShade="BF"/>
        <w:sz w:val="16"/>
        <w:szCs w:val="16"/>
      </w:rPr>
      <w:t xml:space="preserve">than two </w:t>
    </w:r>
    <w:r w:rsidRPr="009E1558">
      <w:rPr>
        <w:color w:val="BFBFBF" w:themeColor="background1" w:themeShade="BF"/>
        <w:sz w:val="16"/>
        <w:szCs w:val="16"/>
      </w:rPr>
      <w:t>authors</w:t>
    </w:r>
    <w:r>
      <w:rPr>
        <w:color w:val="BFBFBF" w:themeColor="background1" w:themeShade="BF"/>
        <w:sz w:val="16"/>
        <w:szCs w:val="16"/>
      </w:rPr>
      <w:t>,</w:t>
    </w:r>
    <w:r w:rsidRPr="009E1558">
      <w:rPr>
        <w:color w:val="BFBFBF" w:themeColor="background1" w:themeShade="BF"/>
        <w:sz w:val="16"/>
        <w:szCs w:val="16"/>
      </w:rPr>
      <w:t xml:space="preserve"> write </w:t>
    </w:r>
    <w:r>
      <w:rPr>
        <w:b/>
        <w:color w:val="BFBFBF" w:themeColor="background1" w:themeShade="BF"/>
        <w:sz w:val="16"/>
        <w:szCs w:val="16"/>
      </w:rPr>
      <w:t>AUTHOR</w:t>
    </w:r>
    <w:r w:rsidRPr="009E1558">
      <w:rPr>
        <w:b/>
        <w:color w:val="BFBFBF" w:themeColor="background1" w:themeShade="BF"/>
        <w:sz w:val="16"/>
        <w:szCs w:val="16"/>
      </w:rPr>
      <w:t xml:space="preserve"> et al.</w:t>
    </w:r>
    <w:r w:rsidRPr="00AC5A3A">
      <w:rPr>
        <w:color w:val="BFBFBF" w:themeColor="background1" w:themeShade="BF"/>
        <w:sz w:val="16"/>
        <w:szCs w:val="16"/>
      </w:rPr>
      <w:t>]</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C41DCD" w14:paraId="433FE0CE" w14:textId="77777777">
      <w:trPr>
        <w:cantSplit/>
        <w:trHeight w:val="716"/>
      </w:trPr>
      <w:tc>
        <w:tcPr>
          <w:tcW w:w="979" w:type="dxa"/>
          <w:vMerge w:val="restart"/>
        </w:tcPr>
        <w:p w14:paraId="433FE0CA" w14:textId="77777777" w:rsidR="00C41DCD" w:rsidRDefault="00C41DCD">
          <w:pPr>
            <w:spacing w:before="180"/>
            <w:ind w:left="17"/>
          </w:pPr>
        </w:p>
      </w:tc>
      <w:tc>
        <w:tcPr>
          <w:tcW w:w="3638" w:type="dxa"/>
          <w:vAlign w:val="bottom"/>
        </w:tcPr>
        <w:p w14:paraId="433FE0CB" w14:textId="77777777" w:rsidR="00C41DCD" w:rsidRDefault="00C41DCD">
          <w:pPr>
            <w:spacing w:after="20"/>
          </w:pPr>
        </w:p>
      </w:tc>
      <w:bookmarkStart w:id="7" w:name="DOC_bkmClassification1"/>
      <w:tc>
        <w:tcPr>
          <w:tcW w:w="5702" w:type="dxa"/>
          <w:vMerge w:val="restart"/>
          <w:tcMar>
            <w:right w:w="193" w:type="dxa"/>
          </w:tcMar>
        </w:tcPr>
        <w:p w14:paraId="433FE0CC" w14:textId="77777777" w:rsidR="00C41DCD" w:rsidRDefault="00C41DCD">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7"/>
        <w:p w14:paraId="433FE0CD" w14:textId="77777777" w:rsidR="00C41DCD" w:rsidRDefault="00C41DCD">
          <w:pPr>
            <w:pStyle w:val="zyxConfid2Red"/>
          </w:pPr>
          <w:r>
            <w:fldChar w:fldCharType="begin"/>
          </w:r>
          <w:r>
            <w:instrText>DOCPROPERTY "IaeaClassification2"  \* MERGEFORMAT</w:instrText>
          </w:r>
          <w:r>
            <w:fldChar w:fldCharType="end"/>
          </w:r>
        </w:p>
      </w:tc>
    </w:tr>
    <w:tr w:rsidR="00C41DCD" w14:paraId="433FE0D2" w14:textId="77777777">
      <w:trPr>
        <w:cantSplit/>
        <w:trHeight w:val="167"/>
      </w:trPr>
      <w:tc>
        <w:tcPr>
          <w:tcW w:w="979" w:type="dxa"/>
          <w:vMerge/>
        </w:tcPr>
        <w:p w14:paraId="433FE0CF" w14:textId="77777777" w:rsidR="00C41DCD" w:rsidRDefault="00C41DCD">
          <w:pPr>
            <w:spacing w:before="57"/>
          </w:pPr>
        </w:p>
      </w:tc>
      <w:tc>
        <w:tcPr>
          <w:tcW w:w="3638" w:type="dxa"/>
          <w:vAlign w:val="bottom"/>
        </w:tcPr>
        <w:p w14:paraId="433FE0D0" w14:textId="77777777" w:rsidR="00C41DCD" w:rsidRDefault="00C41DCD">
          <w:pPr>
            <w:pStyle w:val="9"/>
            <w:spacing w:before="0" w:after="10"/>
          </w:pPr>
        </w:p>
      </w:tc>
      <w:tc>
        <w:tcPr>
          <w:tcW w:w="5702" w:type="dxa"/>
          <w:vMerge/>
          <w:vAlign w:val="bottom"/>
        </w:tcPr>
        <w:p w14:paraId="433FE0D1" w14:textId="77777777" w:rsidR="00C41DCD" w:rsidRDefault="00C41DCD">
          <w:pPr>
            <w:pStyle w:val="9"/>
            <w:spacing w:before="0" w:after="10"/>
          </w:pPr>
        </w:p>
      </w:tc>
    </w:tr>
  </w:tbl>
  <w:p w14:paraId="433FE0D3" w14:textId="77777777" w:rsidR="00C41DCD" w:rsidRDefault="00C41DCD"/>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2"/>
      <w:suff w:val="space"/>
      <w:lvlText w:val="%1%2."/>
      <w:lvlJc w:val="left"/>
      <w:pPr>
        <w:ind w:left="0" w:firstLine="0"/>
      </w:pPr>
      <w:rPr>
        <w:rFonts w:hint="default"/>
        <w:color w:val="auto"/>
      </w:rPr>
    </w:lvl>
    <w:lvl w:ilvl="2">
      <w:start w:val="1"/>
      <w:numFmt w:val="decimal"/>
      <w:lvlRestart w:val="0"/>
      <w:pStyle w:val="3"/>
      <w:lvlText w:val="%1%2.%3."/>
      <w:lvlJc w:val="left"/>
      <w:pPr>
        <w:ind w:left="0" w:firstLine="0"/>
      </w:pPr>
      <w:rPr>
        <w:rFonts w:hint="default"/>
      </w:rPr>
    </w:lvl>
    <w:lvl w:ilvl="3">
      <w:start w:val="1"/>
      <w:numFmt w:val="decimal"/>
      <w:lvlRestart w:val="0"/>
      <w:pStyle w:val="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1"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7"/>
  </w:num>
  <w:num w:numId="2">
    <w:abstractNumId w:val="4"/>
  </w:num>
  <w:num w:numId="3">
    <w:abstractNumId w:val="10"/>
  </w:num>
  <w:num w:numId="4">
    <w:abstractNumId w:val="10"/>
  </w:num>
  <w:num w:numId="5">
    <w:abstractNumId w:val="10"/>
  </w:num>
  <w:num w:numId="6">
    <w:abstractNumId w:val="5"/>
  </w:num>
  <w:num w:numId="7">
    <w:abstractNumId w:val="8"/>
  </w:num>
  <w:num w:numId="8">
    <w:abstractNumId w:val="11"/>
  </w:num>
  <w:num w:numId="9">
    <w:abstractNumId w:val="1"/>
  </w:num>
  <w:num w:numId="10">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2"/>
        <w:lvlText w:val="%1%2."/>
        <w:lvlJc w:val="left"/>
        <w:pPr>
          <w:ind w:left="0" w:firstLine="0"/>
        </w:pPr>
        <w:rPr>
          <w:rFonts w:hint="default"/>
          <w:color w:val="auto"/>
        </w:rPr>
      </w:lvl>
    </w:lvlOverride>
    <w:lvlOverride w:ilvl="2">
      <w:lvl w:ilvl="2">
        <w:start w:val="1"/>
        <w:numFmt w:val="decimal"/>
        <w:lvlRestart w:val="0"/>
        <w:pStyle w:val="3"/>
        <w:lvlText w:val="%1%2.%3."/>
        <w:lvlJc w:val="left"/>
        <w:pPr>
          <w:ind w:left="0" w:firstLine="0"/>
        </w:pPr>
        <w:rPr>
          <w:rFonts w:hint="default"/>
        </w:rPr>
      </w:lvl>
    </w:lvlOverride>
    <w:lvlOverride w:ilvl="3">
      <w:lvl w:ilvl="3">
        <w:start w:val="1"/>
        <w:numFmt w:val="none"/>
        <w:lvlRestart w:val="0"/>
        <w:pStyle w:val="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0"/>
  </w:num>
  <w:num w:numId="12">
    <w:abstractNumId w:val="10"/>
  </w:num>
  <w:num w:numId="13">
    <w:abstractNumId w:val="10"/>
  </w:num>
  <w:num w:numId="14">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2"/>
        <w:suff w:val="space"/>
        <w:lvlText w:val="%1%2."/>
        <w:lvlJc w:val="left"/>
        <w:pPr>
          <w:ind w:left="0" w:firstLine="0"/>
        </w:pPr>
        <w:rPr>
          <w:rFonts w:hint="default"/>
          <w:color w:val="auto"/>
        </w:rPr>
      </w:lvl>
    </w:lvlOverride>
    <w:lvlOverride w:ilvl="2">
      <w:lvl w:ilvl="2">
        <w:start w:val="1"/>
        <w:numFmt w:val="decimal"/>
        <w:lvlRestart w:val="0"/>
        <w:pStyle w:val="3"/>
        <w:suff w:val="space"/>
        <w:lvlText w:val="%1%2.%3."/>
        <w:lvlJc w:val="left"/>
        <w:pPr>
          <w:ind w:left="0" w:firstLine="0"/>
        </w:pPr>
        <w:rPr>
          <w:rFonts w:hint="default"/>
        </w:rPr>
      </w:lvl>
    </w:lvlOverride>
    <w:lvlOverride w:ilvl="3">
      <w:lvl w:ilvl="3">
        <w:start w:val="1"/>
        <w:numFmt w:val="decimal"/>
        <w:lvlRestart w:val="0"/>
        <w:pStyle w:val="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0"/>
  </w:num>
  <w:num w:numId="16">
    <w:abstractNumId w:val="10"/>
  </w:num>
  <w:num w:numId="17">
    <w:abstractNumId w:val="10"/>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
  </w:num>
  <w:num w:numId="21">
    <w:abstractNumId w:val="10"/>
  </w:num>
  <w:num w:numId="22">
    <w:abstractNumId w:val="3"/>
  </w:num>
  <w:num w:numId="23">
    <w:abstractNumId w:val="0"/>
  </w:num>
  <w:num w:numId="24">
    <w:abstractNumId w:val="9"/>
  </w:num>
  <w:num w:numId="25">
    <w:abstractNumId w:val="10"/>
  </w:num>
  <w:num w:numId="26">
    <w:abstractNumId w:val="10"/>
  </w:num>
  <w:num w:numId="27">
    <w:abstractNumId w:val="10"/>
  </w:num>
  <w:num w:numId="28">
    <w:abstractNumId w:val="10"/>
  </w:num>
  <w:num w:numId="29">
    <w:abstractNumId w:val="10"/>
  </w:num>
  <w:num w:numId="30">
    <w:abstractNumId w:val="6"/>
  </w:num>
  <w:num w:numId="31">
    <w:abstractNumId w:val="6"/>
  </w:num>
  <w:num w:numId="32">
    <w:abstractNumId w:val="10"/>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3206"/>
    <w:rsid w:val="00021949"/>
    <w:rsid w:val="000229AB"/>
    <w:rsid w:val="0002569A"/>
    <w:rsid w:val="00037321"/>
    <w:rsid w:val="00093A64"/>
    <w:rsid w:val="000A0299"/>
    <w:rsid w:val="000A2990"/>
    <w:rsid w:val="000C4332"/>
    <w:rsid w:val="000F7E31"/>
    <w:rsid w:val="000F7E94"/>
    <w:rsid w:val="001119D6"/>
    <w:rsid w:val="001308F2"/>
    <w:rsid w:val="001313E8"/>
    <w:rsid w:val="00132E90"/>
    <w:rsid w:val="00183BC4"/>
    <w:rsid w:val="001C58F5"/>
    <w:rsid w:val="001D5CEE"/>
    <w:rsid w:val="002071D9"/>
    <w:rsid w:val="0023450F"/>
    <w:rsid w:val="00252D9A"/>
    <w:rsid w:val="00256822"/>
    <w:rsid w:val="0026525A"/>
    <w:rsid w:val="00274790"/>
    <w:rsid w:val="00285755"/>
    <w:rsid w:val="002A1F9C"/>
    <w:rsid w:val="002B29C2"/>
    <w:rsid w:val="002C29DB"/>
    <w:rsid w:val="002C4208"/>
    <w:rsid w:val="00352DE1"/>
    <w:rsid w:val="003728E6"/>
    <w:rsid w:val="003B5E0E"/>
    <w:rsid w:val="003B63C3"/>
    <w:rsid w:val="003D255A"/>
    <w:rsid w:val="003D3CAD"/>
    <w:rsid w:val="00416949"/>
    <w:rsid w:val="00435A78"/>
    <w:rsid w:val="004370D8"/>
    <w:rsid w:val="00472C43"/>
    <w:rsid w:val="00473C4B"/>
    <w:rsid w:val="00514288"/>
    <w:rsid w:val="00537496"/>
    <w:rsid w:val="00544ED3"/>
    <w:rsid w:val="0058477B"/>
    <w:rsid w:val="0058654F"/>
    <w:rsid w:val="00596ACA"/>
    <w:rsid w:val="005E39BC"/>
    <w:rsid w:val="005F00A0"/>
    <w:rsid w:val="00624DBF"/>
    <w:rsid w:val="00632CC7"/>
    <w:rsid w:val="00647F33"/>
    <w:rsid w:val="00662532"/>
    <w:rsid w:val="00671907"/>
    <w:rsid w:val="006A1143"/>
    <w:rsid w:val="006B2274"/>
    <w:rsid w:val="006C29BE"/>
    <w:rsid w:val="00717C6F"/>
    <w:rsid w:val="00731EC7"/>
    <w:rsid w:val="007445DA"/>
    <w:rsid w:val="0075513D"/>
    <w:rsid w:val="00773AA4"/>
    <w:rsid w:val="0078568D"/>
    <w:rsid w:val="007A0FDF"/>
    <w:rsid w:val="007B4FD1"/>
    <w:rsid w:val="00802381"/>
    <w:rsid w:val="00802E2F"/>
    <w:rsid w:val="0083096A"/>
    <w:rsid w:val="008541D0"/>
    <w:rsid w:val="0086759F"/>
    <w:rsid w:val="00871F40"/>
    <w:rsid w:val="00883848"/>
    <w:rsid w:val="00897ED5"/>
    <w:rsid w:val="008B6BB9"/>
    <w:rsid w:val="00911543"/>
    <w:rsid w:val="00914411"/>
    <w:rsid w:val="009474DC"/>
    <w:rsid w:val="00951267"/>
    <w:rsid w:val="009519C9"/>
    <w:rsid w:val="009C2AC7"/>
    <w:rsid w:val="009D0B86"/>
    <w:rsid w:val="009E0D5B"/>
    <w:rsid w:val="009E1558"/>
    <w:rsid w:val="009F2577"/>
    <w:rsid w:val="00A233D1"/>
    <w:rsid w:val="00A42898"/>
    <w:rsid w:val="00A57919"/>
    <w:rsid w:val="00AB6ACE"/>
    <w:rsid w:val="00AC5A3A"/>
    <w:rsid w:val="00AE3C24"/>
    <w:rsid w:val="00B604BE"/>
    <w:rsid w:val="00B82FA5"/>
    <w:rsid w:val="00BD1400"/>
    <w:rsid w:val="00BD605C"/>
    <w:rsid w:val="00BE19CA"/>
    <w:rsid w:val="00BE2A76"/>
    <w:rsid w:val="00BF1901"/>
    <w:rsid w:val="00C41DCD"/>
    <w:rsid w:val="00C65E60"/>
    <w:rsid w:val="00C77807"/>
    <w:rsid w:val="00CA0102"/>
    <w:rsid w:val="00CB4C2E"/>
    <w:rsid w:val="00CB65D6"/>
    <w:rsid w:val="00CE5A52"/>
    <w:rsid w:val="00CF7AF3"/>
    <w:rsid w:val="00D26ADA"/>
    <w:rsid w:val="00D35A78"/>
    <w:rsid w:val="00D555A1"/>
    <w:rsid w:val="00D64DC2"/>
    <w:rsid w:val="00D8494A"/>
    <w:rsid w:val="00DA46CA"/>
    <w:rsid w:val="00DF21EB"/>
    <w:rsid w:val="00E20E70"/>
    <w:rsid w:val="00E25B68"/>
    <w:rsid w:val="00E406FB"/>
    <w:rsid w:val="00E501F6"/>
    <w:rsid w:val="00E84003"/>
    <w:rsid w:val="00E90C1D"/>
    <w:rsid w:val="00EC1064"/>
    <w:rsid w:val="00EC10FC"/>
    <w:rsid w:val="00ED0A99"/>
    <w:rsid w:val="00EE0041"/>
    <w:rsid w:val="00EE29B9"/>
    <w:rsid w:val="00F004EE"/>
    <w:rsid w:val="00F42E23"/>
    <w:rsid w:val="00F45EEE"/>
    <w:rsid w:val="00F51E9C"/>
    <w:rsid w:val="00F523CA"/>
    <w:rsid w:val="00F73892"/>
    <w:rsid w:val="00F74A9D"/>
    <w:rsid w:val="00FF386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en-GB" w:bidi="ar-SA"/>
      </w:rPr>
    </w:rPrDefault>
    <w:pPrDefault/>
  </w:docDefaults>
  <w:latentStyles w:defLockedState="1" w:defUIPriority="49" w:defSemiHidden="0" w:defUnhideWhenUsed="0" w:defQFormat="0" w:count="371">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0" w:unhideWhenUsed="1" w:qFormat="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39" w:qFormat="1"/>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uiPriority w:val="49"/>
    <w:rsid w:val="00CF7AF3"/>
    <w:pPr>
      <w:overflowPunct w:val="0"/>
      <w:autoSpaceDE w:val="0"/>
      <w:autoSpaceDN w:val="0"/>
      <w:adjustRightInd w:val="0"/>
      <w:textAlignment w:val="baseline"/>
    </w:pPr>
    <w:rPr>
      <w:sz w:val="22"/>
      <w:lang w:eastAsia="en-US"/>
    </w:rPr>
  </w:style>
  <w:style w:type="paragraph" w:styleId="1">
    <w:name w:val="heading 1"/>
    <w:aliases w:val="Paper title"/>
    <w:next w:val="a0"/>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2">
    <w:name w:val="heading 2"/>
    <w:aliases w:val="1st level paper heading"/>
    <w:next w:val="a1"/>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3">
    <w:name w:val="heading 3"/>
    <w:aliases w:val="2nd level paper heading"/>
    <w:next w:val="a1"/>
    <w:uiPriority w:val="4"/>
    <w:qFormat/>
    <w:rsid w:val="00897ED5"/>
    <w:pPr>
      <w:widowControl w:val="0"/>
      <w:numPr>
        <w:ilvl w:val="2"/>
        <w:numId w:val="12"/>
      </w:numPr>
      <w:spacing w:before="240" w:after="240" w:line="240" w:lineRule="exact"/>
      <w:outlineLvl w:val="2"/>
    </w:pPr>
    <w:rPr>
      <w:b/>
      <w:lang w:eastAsia="en-US"/>
    </w:rPr>
  </w:style>
  <w:style w:type="paragraph" w:styleId="4">
    <w:name w:val="heading 4"/>
    <w:aliases w:val="3rd level paper heading"/>
    <w:basedOn w:val="a"/>
    <w:next w:val="a1"/>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5">
    <w:name w:val="heading 5"/>
    <w:basedOn w:val="a"/>
    <w:next w:val="a"/>
    <w:uiPriority w:val="19"/>
    <w:locked/>
    <w:pPr>
      <w:overflowPunct/>
      <w:autoSpaceDE/>
      <w:autoSpaceDN/>
      <w:adjustRightInd/>
      <w:spacing w:before="240" w:after="60"/>
      <w:textAlignment w:val="auto"/>
      <w:outlineLvl w:val="4"/>
    </w:pPr>
    <w:rPr>
      <w:b/>
      <w:bCs/>
      <w:i/>
      <w:iCs/>
      <w:sz w:val="26"/>
      <w:szCs w:val="26"/>
      <w:lang w:val="en-US"/>
    </w:rPr>
  </w:style>
  <w:style w:type="paragraph" w:styleId="6">
    <w:name w:val="heading 6"/>
    <w:basedOn w:val="a"/>
    <w:next w:val="a"/>
    <w:uiPriority w:val="19"/>
    <w:locked/>
    <w:pPr>
      <w:overflowPunct/>
      <w:autoSpaceDE/>
      <w:autoSpaceDN/>
      <w:adjustRightInd/>
      <w:spacing w:before="240" w:after="60"/>
      <w:textAlignment w:val="auto"/>
      <w:outlineLvl w:val="5"/>
    </w:pPr>
    <w:rPr>
      <w:b/>
      <w:bCs/>
      <w:szCs w:val="22"/>
      <w:lang w:val="en-US"/>
    </w:rPr>
  </w:style>
  <w:style w:type="paragraph" w:styleId="7">
    <w:name w:val="heading 7"/>
    <w:basedOn w:val="a"/>
    <w:next w:val="a"/>
    <w:uiPriority w:val="19"/>
    <w:locked/>
    <w:pPr>
      <w:overflowPunct/>
      <w:autoSpaceDE/>
      <w:autoSpaceDN/>
      <w:adjustRightInd/>
      <w:spacing w:before="240" w:after="60"/>
      <w:textAlignment w:val="auto"/>
      <w:outlineLvl w:val="6"/>
    </w:pPr>
    <w:rPr>
      <w:szCs w:val="24"/>
      <w:lang w:val="en-US"/>
    </w:rPr>
  </w:style>
  <w:style w:type="paragraph" w:styleId="8">
    <w:name w:val="heading 8"/>
    <w:basedOn w:val="a"/>
    <w:next w:val="a"/>
    <w:uiPriority w:val="19"/>
    <w:locked/>
    <w:pPr>
      <w:overflowPunct/>
      <w:autoSpaceDE/>
      <w:autoSpaceDN/>
      <w:adjustRightInd/>
      <w:spacing w:before="240" w:after="60"/>
      <w:textAlignment w:val="auto"/>
      <w:outlineLvl w:val="7"/>
    </w:pPr>
    <w:rPr>
      <w:i/>
      <w:iCs/>
      <w:szCs w:val="24"/>
      <w:lang w:val="en-US"/>
    </w:rPr>
  </w:style>
  <w:style w:type="paragraph" w:styleId="9">
    <w:name w:val="heading 9"/>
    <w:basedOn w:val="a"/>
    <w:next w:val="a"/>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link w:val="a5"/>
    <w:qFormat/>
    <w:rsid w:val="00647F33"/>
    <w:pPr>
      <w:spacing w:line="260" w:lineRule="atLeast"/>
      <w:ind w:firstLine="567"/>
      <w:contextualSpacing/>
      <w:jc w:val="both"/>
    </w:pPr>
    <w:rPr>
      <w:lang w:eastAsia="en-US"/>
    </w:rPr>
  </w:style>
  <w:style w:type="paragraph" w:styleId="a6">
    <w:name w:val="Body Text Indent"/>
    <w:basedOn w:val="a1"/>
    <w:uiPriority w:val="49"/>
    <w:locked/>
    <w:pPr>
      <w:ind w:left="1134" w:hanging="675"/>
    </w:pPr>
  </w:style>
  <w:style w:type="paragraph" w:customStyle="1" w:styleId="BodyTextMultiline">
    <w:name w:val="Body Text Multiline"/>
    <w:basedOn w:val="a1"/>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a7">
    <w:name w:val="caption"/>
    <w:next w:val="a"/>
    <w:uiPriority w:val="49"/>
    <w:pPr>
      <w:spacing w:after="85"/>
    </w:pPr>
    <w:rPr>
      <w:bCs/>
      <w:sz w:val="18"/>
      <w:lang w:val="en-US" w:eastAsia="en-US"/>
    </w:rPr>
  </w:style>
  <w:style w:type="paragraph" w:styleId="a8">
    <w:name w:val="footer"/>
    <w:basedOn w:val="a"/>
    <w:link w:val="a9"/>
    <w:uiPriority w:val="99"/>
    <w:locked/>
    <w:pPr>
      <w:overflowPunct/>
      <w:autoSpaceDE/>
      <w:autoSpaceDN/>
      <w:adjustRightInd/>
      <w:textAlignment w:val="auto"/>
    </w:pPr>
    <w:rPr>
      <w:sz w:val="2"/>
      <w:lang w:val="en-US"/>
    </w:rPr>
  </w:style>
  <w:style w:type="paragraph" w:styleId="aa">
    <w:name w:val="footnote text"/>
    <w:semiHidden/>
    <w:locked/>
    <w:pPr>
      <w:tabs>
        <w:tab w:val="left" w:pos="459"/>
      </w:tabs>
      <w:spacing w:before="142"/>
      <w:ind w:left="459"/>
      <w:jc w:val="both"/>
    </w:pPr>
    <w:rPr>
      <w:sz w:val="18"/>
      <w:lang w:eastAsia="en-US"/>
    </w:rPr>
  </w:style>
  <w:style w:type="paragraph" w:styleId="ab">
    <w:name w:val="header"/>
    <w:next w:val="a1"/>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a1"/>
    <w:uiPriority w:val="6"/>
    <w:qFormat/>
    <w:rsid w:val="00717C6F"/>
    <w:pPr>
      <w:numPr>
        <w:numId w:val="20"/>
      </w:numPr>
      <w:ind w:left="709"/>
    </w:pPr>
  </w:style>
  <w:style w:type="paragraph" w:customStyle="1" w:styleId="ListNumbered">
    <w:name w:val="List Numbered"/>
    <w:basedOn w:val="a1"/>
    <w:uiPriority w:val="5"/>
    <w:qFormat/>
    <w:locked/>
    <w:rsid w:val="00717C6F"/>
    <w:pPr>
      <w:numPr>
        <w:numId w:val="22"/>
      </w:numPr>
    </w:pPr>
  </w:style>
  <w:style w:type="paragraph" w:styleId="ac">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a"/>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a"/>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a"/>
    <w:uiPriority w:val="49"/>
    <w:locked/>
    <w:pPr>
      <w:keepNext/>
      <w:spacing w:after="10"/>
    </w:pPr>
    <w:rPr>
      <w:rFonts w:ascii="Arial" w:hAnsi="Arial"/>
      <w:b/>
      <w:sz w:val="13"/>
    </w:rPr>
  </w:style>
  <w:style w:type="paragraph" w:customStyle="1" w:styleId="zyxP1Footer">
    <w:name w:val="zyxP1_Footer"/>
    <w:basedOn w:val="a"/>
    <w:uiPriority w:val="49"/>
    <w:locked/>
    <w:pPr>
      <w:widowControl w:val="0"/>
      <w:spacing w:line="160" w:lineRule="exact"/>
      <w:ind w:left="108"/>
    </w:pPr>
    <w:rPr>
      <w:sz w:val="14"/>
    </w:rPr>
  </w:style>
  <w:style w:type="paragraph" w:customStyle="1" w:styleId="zyxSensitivity">
    <w:name w:val="zyxSensitivity"/>
    <w:basedOn w:val="a"/>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a"/>
    <w:uiPriority w:val="49"/>
    <w:locked/>
    <w:pPr>
      <w:keepNext/>
      <w:spacing w:line="420" w:lineRule="exact"/>
    </w:pPr>
    <w:rPr>
      <w:rFonts w:ascii="Arial" w:hAnsi="Arial"/>
      <w:sz w:val="40"/>
    </w:rPr>
  </w:style>
  <w:style w:type="character" w:styleId="ad">
    <w:name w:val="footnote reference"/>
    <w:basedOn w:val="a2"/>
    <w:semiHidden/>
    <w:locked/>
    <w:rPr>
      <w:vertAlign w:val="superscript"/>
    </w:rPr>
  </w:style>
  <w:style w:type="paragraph" w:styleId="a0">
    <w:name w:val="Subtitle"/>
    <w:next w:val="a1"/>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a1"/>
    <w:uiPriority w:val="49"/>
    <w:locked/>
    <w:pPr>
      <w:spacing w:line="280" w:lineRule="exact"/>
      <w:jc w:val="right"/>
    </w:pPr>
    <w:rPr>
      <w:rFonts w:ascii="Arial" w:hAnsi="Arial" w:cs="Arial"/>
      <w:b/>
      <w:bCs/>
      <w:caps/>
      <w:sz w:val="24"/>
    </w:rPr>
  </w:style>
  <w:style w:type="paragraph" w:customStyle="1" w:styleId="zyxClassification2">
    <w:name w:val="zyxClassification2"/>
    <w:basedOn w:val="a8"/>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a9">
    <w:name w:val="页脚 字符"/>
    <w:basedOn w:val="a2"/>
    <w:link w:val="a8"/>
    <w:uiPriority w:val="99"/>
    <w:rsid w:val="00037321"/>
    <w:rPr>
      <w:sz w:val="2"/>
      <w:lang w:val="en-US" w:eastAsia="en-US"/>
    </w:rPr>
  </w:style>
  <w:style w:type="paragraph" w:customStyle="1" w:styleId="Runninghead">
    <w:name w:val="Running head"/>
    <w:basedOn w:val="a"/>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a2"/>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a5">
    <w:name w:val="正文文本 字符"/>
    <w:basedOn w:val="a2"/>
    <w:link w:val="a1"/>
    <w:rsid w:val="00647F33"/>
    <w:rPr>
      <w:lang w:eastAsia="en-US"/>
    </w:rPr>
  </w:style>
  <w:style w:type="character" w:customStyle="1" w:styleId="AuthornameandaffiliationChar">
    <w:name w:val="Author name and affiliation Char"/>
    <w:basedOn w:val="a5"/>
    <w:link w:val="Authornameandaffiliation"/>
    <w:uiPriority w:val="49"/>
    <w:rsid w:val="00647F33"/>
    <w:rPr>
      <w:lang w:val="en-US" w:eastAsia="en-US"/>
    </w:rPr>
  </w:style>
  <w:style w:type="table" w:styleId="ae">
    <w:name w:val="Table Grid"/>
    <w:basedOn w:val="a3"/>
    <w:uiPriority w:val="39"/>
    <w:qFormat/>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af">
    <w:name w:val="Balloon Text"/>
    <w:basedOn w:val="a"/>
    <w:link w:val="af0"/>
    <w:uiPriority w:val="49"/>
    <w:locked/>
    <w:rsid w:val="005F00A0"/>
    <w:rPr>
      <w:rFonts w:ascii="Tahoma" w:hAnsi="Tahoma" w:cs="Tahoma"/>
      <w:sz w:val="16"/>
      <w:szCs w:val="16"/>
    </w:rPr>
  </w:style>
  <w:style w:type="character" w:customStyle="1" w:styleId="af0">
    <w:name w:val="批注框文本 字符"/>
    <w:basedOn w:val="a2"/>
    <w:link w:val="af"/>
    <w:uiPriority w:val="49"/>
    <w:rsid w:val="005F00A0"/>
    <w:rPr>
      <w:rFonts w:ascii="Tahoma" w:hAnsi="Tahoma" w:cs="Tahoma"/>
      <w:sz w:val="16"/>
      <w:szCs w:val="16"/>
      <w:lang w:eastAsia="en-US"/>
    </w:rPr>
  </w:style>
  <w:style w:type="paragraph" w:customStyle="1" w:styleId="Figurecaption">
    <w:name w:val="Figure caption"/>
    <w:basedOn w:val="a1"/>
    <w:link w:val="FigurecaptionChar"/>
    <w:uiPriority w:val="49"/>
    <w:qFormat/>
    <w:locked/>
    <w:rsid w:val="00717C6F"/>
    <w:pPr>
      <w:jc w:val="center"/>
    </w:pPr>
    <w:rPr>
      <w:i/>
      <w:sz w:val="18"/>
    </w:rPr>
  </w:style>
  <w:style w:type="paragraph" w:customStyle="1" w:styleId="Otherunnumberedheadings">
    <w:name w:val="Other unnumbered headings"/>
    <w:next w:val="a1"/>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a5"/>
    <w:link w:val="Figurecaption"/>
    <w:uiPriority w:val="49"/>
    <w:rsid w:val="00717C6F"/>
    <w:rPr>
      <w:i/>
      <w:sz w:val="18"/>
      <w:lang w:eastAsia="en-US"/>
    </w:rPr>
  </w:style>
  <w:style w:type="paragraph" w:customStyle="1" w:styleId="Referencelist">
    <w:name w:val="Reference list"/>
    <w:basedOn w:val="a1"/>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a5"/>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a5"/>
    <w:link w:val="Referencelist"/>
    <w:uiPriority w:val="49"/>
    <w:rsid w:val="009E0D5B"/>
    <w:rPr>
      <w:sz w:val="18"/>
      <w:szCs w:val="18"/>
      <w:lang w:eastAsia="en-US"/>
    </w:rPr>
  </w:style>
  <w:style w:type="paragraph" w:customStyle="1" w:styleId="Tabletext">
    <w:name w:val="Table text"/>
    <w:basedOn w:val="a1"/>
    <w:link w:val="TabletextChar"/>
    <w:uiPriority w:val="49"/>
    <w:qFormat/>
    <w:rsid w:val="00883848"/>
    <w:pPr>
      <w:ind w:firstLine="0"/>
    </w:pPr>
  </w:style>
  <w:style w:type="character" w:customStyle="1" w:styleId="TabletextChar">
    <w:name w:val="Table text Char"/>
    <w:basedOn w:val="a5"/>
    <w:link w:val="Tabletext"/>
    <w:uiPriority w:val="49"/>
    <w:rsid w:val="00883848"/>
    <w:rPr>
      <w:lang w:eastAsia="en-US"/>
    </w:rPr>
  </w:style>
  <w:style w:type="paragraph" w:styleId="af1">
    <w:name w:val="Normal (Web)"/>
    <w:basedOn w:val="a"/>
    <w:uiPriority w:val="49"/>
    <w:semiHidden/>
    <w:unhideWhenUsed/>
    <w:locked/>
    <w:rsid w:val="002C29DB"/>
    <w:rPr>
      <w:sz w:val="24"/>
      <w:szCs w:val="24"/>
    </w:rPr>
  </w:style>
  <w:style w:type="paragraph" w:customStyle="1" w:styleId="FIG-LONG">
    <w:name w:val="FIG-LONG"/>
    <w:basedOn w:val="a"/>
    <w:next w:val="a"/>
    <w:link w:val="FIG-LONGChar"/>
    <w:autoRedefine/>
    <w:qFormat/>
    <w:rsid w:val="002C29DB"/>
    <w:pPr>
      <w:tabs>
        <w:tab w:val="left" w:pos="709"/>
      </w:tabs>
      <w:overflowPunct/>
      <w:autoSpaceDE/>
      <w:autoSpaceDN/>
      <w:adjustRightInd/>
      <w:spacing w:after="120"/>
      <w:ind w:left="709" w:hanging="709"/>
      <w:textAlignment w:val="auto"/>
    </w:pPr>
    <w:rPr>
      <w:i/>
      <w:iCs/>
      <w:sz w:val="18"/>
      <w:szCs w:val="18"/>
    </w:rPr>
  </w:style>
  <w:style w:type="character" w:customStyle="1" w:styleId="FIG-LONGChar">
    <w:name w:val="FIG-LONG Char"/>
    <w:basedOn w:val="a2"/>
    <w:link w:val="FIG-LONG"/>
    <w:rsid w:val="002C29DB"/>
    <w:rPr>
      <w:rFonts w:eastAsiaTheme="minorEastAsia"/>
      <w:i/>
      <w:iCs/>
      <w:sz w:val="18"/>
      <w:szCs w:val="18"/>
      <w:lang w:eastAsia="en-US"/>
    </w:rPr>
  </w:style>
  <w:style w:type="table" w:customStyle="1" w:styleId="TableGrid1">
    <w:name w:val="Table Grid1"/>
    <w:basedOn w:val="a3"/>
    <w:next w:val="ae"/>
    <w:uiPriority w:val="59"/>
    <w:rsid w:val="002C29DB"/>
    <w:rPr>
      <w:rFonts w:asciiTheme="minorHAnsi"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annotation reference"/>
    <w:basedOn w:val="a2"/>
    <w:uiPriority w:val="49"/>
    <w:semiHidden/>
    <w:unhideWhenUsed/>
    <w:locked/>
    <w:rsid w:val="00A233D1"/>
    <w:rPr>
      <w:sz w:val="16"/>
      <w:szCs w:val="16"/>
    </w:rPr>
  </w:style>
  <w:style w:type="paragraph" w:styleId="af3">
    <w:name w:val="annotation text"/>
    <w:basedOn w:val="a"/>
    <w:link w:val="af4"/>
    <w:uiPriority w:val="49"/>
    <w:semiHidden/>
    <w:unhideWhenUsed/>
    <w:locked/>
    <w:rsid w:val="00A233D1"/>
    <w:rPr>
      <w:sz w:val="20"/>
    </w:rPr>
  </w:style>
  <w:style w:type="character" w:customStyle="1" w:styleId="af4">
    <w:name w:val="批注文字 字符"/>
    <w:basedOn w:val="a2"/>
    <w:link w:val="af3"/>
    <w:uiPriority w:val="49"/>
    <w:semiHidden/>
    <w:rsid w:val="00A233D1"/>
    <w:rPr>
      <w:lang w:eastAsia="en-US"/>
    </w:rPr>
  </w:style>
  <w:style w:type="paragraph" w:styleId="af5">
    <w:name w:val="annotation subject"/>
    <w:basedOn w:val="af3"/>
    <w:next w:val="af3"/>
    <w:link w:val="af6"/>
    <w:uiPriority w:val="49"/>
    <w:semiHidden/>
    <w:unhideWhenUsed/>
    <w:locked/>
    <w:rsid w:val="00A233D1"/>
    <w:rPr>
      <w:b/>
      <w:bCs/>
    </w:rPr>
  </w:style>
  <w:style w:type="character" w:customStyle="1" w:styleId="af6">
    <w:name w:val="批注主题 字符"/>
    <w:basedOn w:val="af4"/>
    <w:link w:val="af5"/>
    <w:uiPriority w:val="49"/>
    <w:semiHidden/>
    <w:rsid w:val="00A233D1"/>
    <w:rPr>
      <w:b/>
      <w:bCs/>
      <w:lang w:eastAsia="en-US"/>
    </w:rPr>
  </w:style>
  <w:style w:type="paragraph" w:styleId="af7">
    <w:name w:val="Normal Indent"/>
    <w:basedOn w:val="a"/>
    <w:semiHidden/>
    <w:unhideWhenUsed/>
    <w:qFormat/>
    <w:locked/>
    <w:rsid w:val="00435A78"/>
    <w:pPr>
      <w:widowControl w:val="0"/>
      <w:overflowPunct/>
      <w:autoSpaceDE/>
      <w:autoSpaceDN/>
      <w:adjustRightInd/>
      <w:ind w:firstLine="567"/>
      <w:jc w:val="both"/>
      <w:textAlignment w:val="auto"/>
    </w:pPr>
    <w:rPr>
      <w:rFonts w:eastAsia="宋体"/>
      <w:kern w:val="2"/>
      <w:sz w:val="24"/>
      <w:lang w:val="en-US" w:eastAsia="zh-CN"/>
    </w:rPr>
  </w:style>
  <w:style w:type="table" w:customStyle="1" w:styleId="10">
    <w:name w:val="网格型1"/>
    <w:basedOn w:val="a3"/>
    <w:uiPriority w:val="39"/>
    <w:qFormat/>
    <w:rsid w:val="00514288"/>
    <w:rPr>
      <w:rFonts w:eastAsia="等线" w:cstheme="minorBidi"/>
      <w:sz w:val="24"/>
      <w:lang w:val="en-US"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564101">
      <w:bodyDiv w:val="1"/>
      <w:marLeft w:val="0"/>
      <w:marRight w:val="0"/>
      <w:marTop w:val="0"/>
      <w:marBottom w:val="0"/>
      <w:divBdr>
        <w:top w:val="none" w:sz="0" w:space="0" w:color="auto"/>
        <w:left w:val="none" w:sz="0" w:space="0" w:color="auto"/>
        <w:bottom w:val="none" w:sz="0" w:space="0" w:color="auto"/>
        <w:right w:val="none" w:sz="0" w:space="0" w:color="auto"/>
      </w:divBdr>
    </w:div>
    <w:div w:id="96020553">
      <w:bodyDiv w:val="1"/>
      <w:marLeft w:val="0"/>
      <w:marRight w:val="0"/>
      <w:marTop w:val="0"/>
      <w:marBottom w:val="0"/>
      <w:divBdr>
        <w:top w:val="none" w:sz="0" w:space="0" w:color="auto"/>
        <w:left w:val="none" w:sz="0" w:space="0" w:color="auto"/>
        <w:bottom w:val="none" w:sz="0" w:space="0" w:color="auto"/>
        <w:right w:val="none" w:sz="0" w:space="0" w:color="auto"/>
      </w:divBdr>
    </w:div>
    <w:div w:id="252319796">
      <w:bodyDiv w:val="1"/>
      <w:marLeft w:val="0"/>
      <w:marRight w:val="0"/>
      <w:marTop w:val="0"/>
      <w:marBottom w:val="0"/>
      <w:divBdr>
        <w:top w:val="none" w:sz="0" w:space="0" w:color="auto"/>
        <w:left w:val="none" w:sz="0" w:space="0" w:color="auto"/>
        <w:bottom w:val="none" w:sz="0" w:space="0" w:color="auto"/>
        <w:right w:val="none" w:sz="0" w:space="0" w:color="auto"/>
      </w:divBdr>
    </w:div>
    <w:div w:id="299116147">
      <w:bodyDiv w:val="1"/>
      <w:marLeft w:val="0"/>
      <w:marRight w:val="0"/>
      <w:marTop w:val="0"/>
      <w:marBottom w:val="0"/>
      <w:divBdr>
        <w:top w:val="none" w:sz="0" w:space="0" w:color="auto"/>
        <w:left w:val="none" w:sz="0" w:space="0" w:color="auto"/>
        <w:bottom w:val="none" w:sz="0" w:space="0" w:color="auto"/>
        <w:right w:val="none" w:sz="0" w:space="0" w:color="auto"/>
      </w:divBdr>
    </w:div>
    <w:div w:id="386147412">
      <w:bodyDiv w:val="1"/>
      <w:marLeft w:val="0"/>
      <w:marRight w:val="0"/>
      <w:marTop w:val="0"/>
      <w:marBottom w:val="0"/>
      <w:divBdr>
        <w:top w:val="none" w:sz="0" w:space="0" w:color="auto"/>
        <w:left w:val="none" w:sz="0" w:space="0" w:color="auto"/>
        <w:bottom w:val="none" w:sz="0" w:space="0" w:color="auto"/>
        <w:right w:val="none" w:sz="0" w:space="0" w:color="auto"/>
      </w:divBdr>
    </w:div>
    <w:div w:id="386153137">
      <w:bodyDiv w:val="1"/>
      <w:marLeft w:val="0"/>
      <w:marRight w:val="0"/>
      <w:marTop w:val="0"/>
      <w:marBottom w:val="0"/>
      <w:divBdr>
        <w:top w:val="none" w:sz="0" w:space="0" w:color="auto"/>
        <w:left w:val="none" w:sz="0" w:space="0" w:color="auto"/>
        <w:bottom w:val="none" w:sz="0" w:space="0" w:color="auto"/>
        <w:right w:val="none" w:sz="0" w:space="0" w:color="auto"/>
      </w:divBdr>
    </w:div>
    <w:div w:id="424306355">
      <w:bodyDiv w:val="1"/>
      <w:marLeft w:val="0"/>
      <w:marRight w:val="0"/>
      <w:marTop w:val="0"/>
      <w:marBottom w:val="0"/>
      <w:divBdr>
        <w:top w:val="none" w:sz="0" w:space="0" w:color="auto"/>
        <w:left w:val="none" w:sz="0" w:space="0" w:color="auto"/>
        <w:bottom w:val="none" w:sz="0" w:space="0" w:color="auto"/>
        <w:right w:val="none" w:sz="0" w:space="0" w:color="auto"/>
      </w:divBdr>
    </w:div>
    <w:div w:id="448932445">
      <w:bodyDiv w:val="1"/>
      <w:marLeft w:val="0"/>
      <w:marRight w:val="0"/>
      <w:marTop w:val="0"/>
      <w:marBottom w:val="0"/>
      <w:divBdr>
        <w:top w:val="none" w:sz="0" w:space="0" w:color="auto"/>
        <w:left w:val="none" w:sz="0" w:space="0" w:color="auto"/>
        <w:bottom w:val="none" w:sz="0" w:space="0" w:color="auto"/>
        <w:right w:val="none" w:sz="0" w:space="0" w:color="auto"/>
      </w:divBdr>
    </w:div>
    <w:div w:id="465658863">
      <w:bodyDiv w:val="1"/>
      <w:marLeft w:val="0"/>
      <w:marRight w:val="0"/>
      <w:marTop w:val="0"/>
      <w:marBottom w:val="0"/>
      <w:divBdr>
        <w:top w:val="none" w:sz="0" w:space="0" w:color="auto"/>
        <w:left w:val="none" w:sz="0" w:space="0" w:color="auto"/>
        <w:bottom w:val="none" w:sz="0" w:space="0" w:color="auto"/>
        <w:right w:val="none" w:sz="0" w:space="0" w:color="auto"/>
      </w:divBdr>
    </w:div>
    <w:div w:id="496458721">
      <w:bodyDiv w:val="1"/>
      <w:marLeft w:val="0"/>
      <w:marRight w:val="0"/>
      <w:marTop w:val="0"/>
      <w:marBottom w:val="0"/>
      <w:divBdr>
        <w:top w:val="none" w:sz="0" w:space="0" w:color="auto"/>
        <w:left w:val="none" w:sz="0" w:space="0" w:color="auto"/>
        <w:bottom w:val="none" w:sz="0" w:space="0" w:color="auto"/>
        <w:right w:val="none" w:sz="0" w:space="0" w:color="auto"/>
      </w:divBdr>
    </w:div>
    <w:div w:id="537857611">
      <w:bodyDiv w:val="1"/>
      <w:marLeft w:val="0"/>
      <w:marRight w:val="0"/>
      <w:marTop w:val="0"/>
      <w:marBottom w:val="0"/>
      <w:divBdr>
        <w:top w:val="none" w:sz="0" w:space="0" w:color="auto"/>
        <w:left w:val="none" w:sz="0" w:space="0" w:color="auto"/>
        <w:bottom w:val="none" w:sz="0" w:space="0" w:color="auto"/>
        <w:right w:val="none" w:sz="0" w:space="0" w:color="auto"/>
      </w:divBdr>
    </w:div>
    <w:div w:id="592784792">
      <w:bodyDiv w:val="1"/>
      <w:marLeft w:val="0"/>
      <w:marRight w:val="0"/>
      <w:marTop w:val="0"/>
      <w:marBottom w:val="0"/>
      <w:divBdr>
        <w:top w:val="none" w:sz="0" w:space="0" w:color="auto"/>
        <w:left w:val="none" w:sz="0" w:space="0" w:color="auto"/>
        <w:bottom w:val="none" w:sz="0" w:space="0" w:color="auto"/>
        <w:right w:val="none" w:sz="0" w:space="0" w:color="auto"/>
      </w:divBdr>
    </w:div>
    <w:div w:id="635843142">
      <w:bodyDiv w:val="1"/>
      <w:marLeft w:val="0"/>
      <w:marRight w:val="0"/>
      <w:marTop w:val="0"/>
      <w:marBottom w:val="0"/>
      <w:divBdr>
        <w:top w:val="none" w:sz="0" w:space="0" w:color="auto"/>
        <w:left w:val="none" w:sz="0" w:space="0" w:color="auto"/>
        <w:bottom w:val="none" w:sz="0" w:space="0" w:color="auto"/>
        <w:right w:val="none" w:sz="0" w:space="0" w:color="auto"/>
      </w:divBdr>
    </w:div>
    <w:div w:id="902909113">
      <w:bodyDiv w:val="1"/>
      <w:marLeft w:val="0"/>
      <w:marRight w:val="0"/>
      <w:marTop w:val="0"/>
      <w:marBottom w:val="0"/>
      <w:divBdr>
        <w:top w:val="none" w:sz="0" w:space="0" w:color="auto"/>
        <w:left w:val="none" w:sz="0" w:space="0" w:color="auto"/>
        <w:bottom w:val="none" w:sz="0" w:space="0" w:color="auto"/>
        <w:right w:val="none" w:sz="0" w:space="0" w:color="auto"/>
      </w:divBdr>
    </w:div>
    <w:div w:id="954874074">
      <w:bodyDiv w:val="1"/>
      <w:marLeft w:val="0"/>
      <w:marRight w:val="0"/>
      <w:marTop w:val="0"/>
      <w:marBottom w:val="0"/>
      <w:divBdr>
        <w:top w:val="none" w:sz="0" w:space="0" w:color="auto"/>
        <w:left w:val="none" w:sz="0" w:space="0" w:color="auto"/>
        <w:bottom w:val="none" w:sz="0" w:space="0" w:color="auto"/>
        <w:right w:val="none" w:sz="0" w:space="0" w:color="auto"/>
      </w:divBdr>
    </w:div>
    <w:div w:id="958338424">
      <w:bodyDiv w:val="1"/>
      <w:marLeft w:val="0"/>
      <w:marRight w:val="0"/>
      <w:marTop w:val="0"/>
      <w:marBottom w:val="0"/>
      <w:divBdr>
        <w:top w:val="none" w:sz="0" w:space="0" w:color="auto"/>
        <w:left w:val="none" w:sz="0" w:space="0" w:color="auto"/>
        <w:bottom w:val="none" w:sz="0" w:space="0" w:color="auto"/>
        <w:right w:val="none" w:sz="0" w:space="0" w:color="auto"/>
      </w:divBdr>
    </w:div>
    <w:div w:id="1067920581">
      <w:bodyDiv w:val="1"/>
      <w:marLeft w:val="0"/>
      <w:marRight w:val="0"/>
      <w:marTop w:val="0"/>
      <w:marBottom w:val="0"/>
      <w:divBdr>
        <w:top w:val="none" w:sz="0" w:space="0" w:color="auto"/>
        <w:left w:val="none" w:sz="0" w:space="0" w:color="auto"/>
        <w:bottom w:val="none" w:sz="0" w:space="0" w:color="auto"/>
        <w:right w:val="none" w:sz="0" w:space="0" w:color="auto"/>
      </w:divBdr>
    </w:div>
    <w:div w:id="1070881461">
      <w:bodyDiv w:val="1"/>
      <w:marLeft w:val="0"/>
      <w:marRight w:val="0"/>
      <w:marTop w:val="0"/>
      <w:marBottom w:val="0"/>
      <w:divBdr>
        <w:top w:val="none" w:sz="0" w:space="0" w:color="auto"/>
        <w:left w:val="none" w:sz="0" w:space="0" w:color="auto"/>
        <w:bottom w:val="none" w:sz="0" w:space="0" w:color="auto"/>
        <w:right w:val="none" w:sz="0" w:space="0" w:color="auto"/>
      </w:divBdr>
    </w:div>
    <w:div w:id="1091006174">
      <w:bodyDiv w:val="1"/>
      <w:marLeft w:val="0"/>
      <w:marRight w:val="0"/>
      <w:marTop w:val="0"/>
      <w:marBottom w:val="0"/>
      <w:divBdr>
        <w:top w:val="none" w:sz="0" w:space="0" w:color="auto"/>
        <w:left w:val="none" w:sz="0" w:space="0" w:color="auto"/>
        <w:bottom w:val="none" w:sz="0" w:space="0" w:color="auto"/>
        <w:right w:val="none" w:sz="0" w:space="0" w:color="auto"/>
      </w:divBdr>
    </w:div>
    <w:div w:id="1151211280">
      <w:bodyDiv w:val="1"/>
      <w:marLeft w:val="0"/>
      <w:marRight w:val="0"/>
      <w:marTop w:val="0"/>
      <w:marBottom w:val="0"/>
      <w:divBdr>
        <w:top w:val="none" w:sz="0" w:space="0" w:color="auto"/>
        <w:left w:val="none" w:sz="0" w:space="0" w:color="auto"/>
        <w:bottom w:val="none" w:sz="0" w:space="0" w:color="auto"/>
        <w:right w:val="none" w:sz="0" w:space="0" w:color="auto"/>
      </w:divBdr>
    </w:div>
    <w:div w:id="1385910692">
      <w:bodyDiv w:val="1"/>
      <w:marLeft w:val="0"/>
      <w:marRight w:val="0"/>
      <w:marTop w:val="0"/>
      <w:marBottom w:val="0"/>
      <w:divBdr>
        <w:top w:val="none" w:sz="0" w:space="0" w:color="auto"/>
        <w:left w:val="none" w:sz="0" w:space="0" w:color="auto"/>
        <w:bottom w:val="none" w:sz="0" w:space="0" w:color="auto"/>
        <w:right w:val="none" w:sz="0" w:space="0" w:color="auto"/>
      </w:divBdr>
    </w:div>
    <w:div w:id="1409376161">
      <w:bodyDiv w:val="1"/>
      <w:marLeft w:val="0"/>
      <w:marRight w:val="0"/>
      <w:marTop w:val="0"/>
      <w:marBottom w:val="0"/>
      <w:divBdr>
        <w:top w:val="none" w:sz="0" w:space="0" w:color="auto"/>
        <w:left w:val="none" w:sz="0" w:space="0" w:color="auto"/>
        <w:bottom w:val="none" w:sz="0" w:space="0" w:color="auto"/>
        <w:right w:val="none" w:sz="0" w:space="0" w:color="auto"/>
      </w:divBdr>
    </w:div>
    <w:div w:id="1557280728">
      <w:bodyDiv w:val="1"/>
      <w:marLeft w:val="0"/>
      <w:marRight w:val="0"/>
      <w:marTop w:val="0"/>
      <w:marBottom w:val="0"/>
      <w:divBdr>
        <w:top w:val="none" w:sz="0" w:space="0" w:color="auto"/>
        <w:left w:val="none" w:sz="0" w:space="0" w:color="auto"/>
        <w:bottom w:val="none" w:sz="0" w:space="0" w:color="auto"/>
        <w:right w:val="none" w:sz="0" w:space="0" w:color="auto"/>
      </w:divBdr>
    </w:div>
    <w:div w:id="1568688590">
      <w:bodyDiv w:val="1"/>
      <w:marLeft w:val="0"/>
      <w:marRight w:val="0"/>
      <w:marTop w:val="0"/>
      <w:marBottom w:val="0"/>
      <w:divBdr>
        <w:top w:val="none" w:sz="0" w:space="0" w:color="auto"/>
        <w:left w:val="none" w:sz="0" w:space="0" w:color="auto"/>
        <w:bottom w:val="none" w:sz="0" w:space="0" w:color="auto"/>
        <w:right w:val="none" w:sz="0" w:space="0" w:color="auto"/>
      </w:divBdr>
    </w:div>
    <w:div w:id="1734549446">
      <w:bodyDiv w:val="1"/>
      <w:marLeft w:val="0"/>
      <w:marRight w:val="0"/>
      <w:marTop w:val="0"/>
      <w:marBottom w:val="0"/>
      <w:divBdr>
        <w:top w:val="none" w:sz="0" w:space="0" w:color="auto"/>
        <w:left w:val="none" w:sz="0" w:space="0" w:color="auto"/>
        <w:bottom w:val="none" w:sz="0" w:space="0" w:color="auto"/>
        <w:right w:val="none" w:sz="0" w:space="0" w:color="auto"/>
      </w:divBdr>
    </w:div>
    <w:div w:id="1837573828">
      <w:bodyDiv w:val="1"/>
      <w:marLeft w:val="0"/>
      <w:marRight w:val="0"/>
      <w:marTop w:val="0"/>
      <w:marBottom w:val="0"/>
      <w:divBdr>
        <w:top w:val="none" w:sz="0" w:space="0" w:color="auto"/>
        <w:left w:val="none" w:sz="0" w:space="0" w:color="auto"/>
        <w:bottom w:val="none" w:sz="0" w:space="0" w:color="auto"/>
        <w:right w:val="none" w:sz="0" w:space="0" w:color="auto"/>
      </w:divBdr>
    </w:div>
    <w:div w:id="1841388030">
      <w:bodyDiv w:val="1"/>
      <w:marLeft w:val="0"/>
      <w:marRight w:val="0"/>
      <w:marTop w:val="0"/>
      <w:marBottom w:val="0"/>
      <w:divBdr>
        <w:top w:val="none" w:sz="0" w:space="0" w:color="auto"/>
        <w:left w:val="none" w:sz="0" w:space="0" w:color="auto"/>
        <w:bottom w:val="none" w:sz="0" w:space="0" w:color="auto"/>
        <w:right w:val="none" w:sz="0" w:space="0" w:color="auto"/>
      </w:divBdr>
    </w:div>
    <w:div w:id="1904171382">
      <w:bodyDiv w:val="1"/>
      <w:marLeft w:val="0"/>
      <w:marRight w:val="0"/>
      <w:marTop w:val="0"/>
      <w:marBottom w:val="0"/>
      <w:divBdr>
        <w:top w:val="none" w:sz="0" w:space="0" w:color="auto"/>
        <w:left w:val="none" w:sz="0" w:space="0" w:color="auto"/>
        <w:bottom w:val="none" w:sz="0" w:space="0" w:color="auto"/>
        <w:right w:val="none" w:sz="0" w:space="0" w:color="auto"/>
      </w:divBdr>
    </w:div>
    <w:div w:id="1984579413">
      <w:bodyDiv w:val="1"/>
      <w:marLeft w:val="0"/>
      <w:marRight w:val="0"/>
      <w:marTop w:val="0"/>
      <w:marBottom w:val="0"/>
      <w:divBdr>
        <w:top w:val="none" w:sz="0" w:space="0" w:color="auto"/>
        <w:left w:val="none" w:sz="0" w:space="0" w:color="auto"/>
        <w:bottom w:val="none" w:sz="0" w:space="0" w:color="auto"/>
        <w:right w:val="none" w:sz="0" w:space="0" w:color="auto"/>
      </w:divBdr>
    </w:div>
    <w:div w:id="1985353983">
      <w:bodyDiv w:val="1"/>
      <w:marLeft w:val="0"/>
      <w:marRight w:val="0"/>
      <w:marTop w:val="0"/>
      <w:marBottom w:val="0"/>
      <w:divBdr>
        <w:top w:val="none" w:sz="0" w:space="0" w:color="auto"/>
        <w:left w:val="none" w:sz="0" w:space="0" w:color="auto"/>
        <w:bottom w:val="none" w:sz="0" w:space="0" w:color="auto"/>
        <w:right w:val="none" w:sz="0" w:space="0" w:color="auto"/>
      </w:divBdr>
    </w:div>
    <w:div w:id="1999725868">
      <w:bodyDiv w:val="1"/>
      <w:marLeft w:val="0"/>
      <w:marRight w:val="0"/>
      <w:marTop w:val="0"/>
      <w:marBottom w:val="0"/>
      <w:divBdr>
        <w:top w:val="none" w:sz="0" w:space="0" w:color="auto"/>
        <w:left w:val="none" w:sz="0" w:space="0" w:color="auto"/>
        <w:bottom w:val="none" w:sz="0" w:space="0" w:color="auto"/>
        <w:right w:val="none" w:sz="0" w:space="0" w:color="auto"/>
      </w:divBdr>
    </w:div>
    <w:div w:id="2083064377">
      <w:bodyDiv w:val="1"/>
      <w:marLeft w:val="0"/>
      <w:marRight w:val="0"/>
      <w:marTop w:val="0"/>
      <w:marBottom w:val="0"/>
      <w:divBdr>
        <w:top w:val="none" w:sz="0" w:space="0" w:color="auto"/>
        <w:left w:val="none" w:sz="0" w:space="0" w:color="auto"/>
        <w:bottom w:val="none" w:sz="0" w:space="0" w:color="auto"/>
        <w:right w:val="none" w:sz="0" w:space="0" w:color="auto"/>
      </w:divBdr>
    </w:div>
    <w:div w:id="2105031505">
      <w:bodyDiv w:val="1"/>
      <w:marLeft w:val="0"/>
      <w:marRight w:val="0"/>
      <w:marTop w:val="0"/>
      <w:marBottom w:val="0"/>
      <w:divBdr>
        <w:top w:val="none" w:sz="0" w:space="0" w:color="auto"/>
        <w:left w:val="none" w:sz="0" w:space="0" w:color="auto"/>
        <w:bottom w:val="none" w:sz="0" w:space="0" w:color="auto"/>
        <w:right w:val="none" w:sz="0" w:space="0" w:color="auto"/>
      </w:divBdr>
    </w:div>
    <w:div w:id="2131582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3.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365FD7-7687-478A-914C-3D7CE6AF3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54</TotalTime>
  <Pages>1</Pages>
  <Words>2671</Words>
  <Characters>15227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17863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胡晓</cp:lastModifiedBy>
  <cp:revision>12</cp:revision>
  <cp:lastPrinted>2015-12-01T10:27:00Z</cp:lastPrinted>
  <dcterms:created xsi:type="dcterms:W3CDTF">2020-12-14T08:57:00Z</dcterms:created>
  <dcterms:modified xsi:type="dcterms:W3CDTF">2022-07-14T01:55:00Z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