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339" w:rsidRDefault="00620D34">
      <w:pPr>
        <w:pStyle w:val="Heading1"/>
      </w:pPr>
      <w:r>
        <w:t>Infl</w:t>
      </w:r>
      <w:r w:rsidR="003D787A">
        <w:rPr>
          <w:rFonts w:ascii="Times New Roman" w:hAnsi="Times New Roman"/>
        </w:rPr>
        <w:t>U</w:t>
      </w:r>
      <w:r>
        <w:t xml:space="preserve">ence of </w:t>
      </w:r>
      <w:smartTag w:uri="urn:schemas-microsoft-com:office:smarttags" w:element="stockticker">
        <w:r>
          <w:t>Low</w:t>
        </w:r>
      </w:smartTag>
      <w:r w:rsidR="00FA5F42">
        <w:t xml:space="preserve"> Dose Irradiation on </w:t>
      </w:r>
      <w:r w:rsidR="00FA5F42">
        <w:rPr>
          <w:rFonts w:ascii="Times New Roman" w:hAnsi="Times New Roman"/>
        </w:rPr>
        <w:t>P</w:t>
      </w:r>
      <w:r>
        <w:t>ermanen</w:t>
      </w:r>
      <w:r w:rsidR="00FA5F42">
        <w:t>t Core Str</w:t>
      </w:r>
      <w:r w:rsidR="003D787A">
        <w:rPr>
          <w:rFonts w:ascii="Times New Roman" w:hAnsi="Times New Roman"/>
        </w:rPr>
        <w:t>U</w:t>
      </w:r>
      <w:r w:rsidR="00FA5F42">
        <w:t>ct</w:t>
      </w:r>
      <w:r w:rsidR="003D787A">
        <w:rPr>
          <w:rFonts w:ascii="Times New Roman" w:hAnsi="Times New Roman"/>
        </w:rPr>
        <w:t>U</w:t>
      </w:r>
      <w:r w:rsidR="00FA5F42">
        <w:t xml:space="preserve">ral Materials of </w:t>
      </w:r>
      <w:r w:rsidR="00FA5F42">
        <w:rPr>
          <w:rFonts w:ascii="Times New Roman" w:hAnsi="Times New Roman"/>
        </w:rPr>
        <w:t>P</w:t>
      </w:r>
      <w:r w:rsidR="00FA5F42">
        <w:t>F</w:t>
      </w:r>
      <w:r w:rsidR="00FA5F42">
        <w:rPr>
          <w:rFonts w:ascii="Times New Roman" w:hAnsi="Times New Roman"/>
        </w:rPr>
        <w:t>B</w:t>
      </w:r>
      <w:r>
        <w:t>R</w:t>
      </w:r>
    </w:p>
    <w:p w:rsidR="00AB5339" w:rsidRDefault="00AB5339">
      <w:pPr>
        <w:pStyle w:val="Heading1"/>
      </w:pPr>
    </w:p>
    <w:p w:rsidR="00AB5339" w:rsidRDefault="00620D34">
      <w:pPr>
        <w:pStyle w:val="Authornameandaffiliation"/>
        <w:rPr>
          <w:vertAlign w:val="superscript"/>
        </w:rPr>
      </w:pPr>
      <w:r>
        <w:t>Ran Vijay Kumar</w:t>
      </w:r>
      <w:r>
        <w:rPr>
          <w:vertAlign w:val="superscript"/>
        </w:rPr>
        <w:t>1, 2</w:t>
      </w:r>
      <w:r>
        <w:t>, Ashish Kolhatkar</w:t>
      </w:r>
      <w:r>
        <w:rPr>
          <w:vertAlign w:val="superscript"/>
        </w:rPr>
        <w:t>1</w:t>
      </w:r>
      <w:r>
        <w:t>, M. Shreevalli</w:t>
      </w:r>
      <w:r>
        <w:rPr>
          <w:vertAlign w:val="superscript"/>
        </w:rPr>
        <w:t>2</w:t>
      </w:r>
      <w:r>
        <w:t>, V. V. Jayaraj</w:t>
      </w:r>
      <w:r>
        <w:rPr>
          <w:vertAlign w:val="superscript"/>
        </w:rPr>
        <w:t>1</w:t>
      </w:r>
      <w:r>
        <w:t>, C. Padmaprabu</w:t>
      </w:r>
      <w:r>
        <w:rPr>
          <w:vertAlign w:val="superscript"/>
        </w:rPr>
        <w:t>1</w:t>
      </w:r>
      <w:r>
        <w:t>, V. Karthik</w:t>
      </w:r>
      <w:r>
        <w:rPr>
          <w:vertAlign w:val="superscript"/>
        </w:rPr>
        <w:t>1,2</w:t>
      </w:r>
      <w:r>
        <w:t>, C.N. Venkiteswaran</w:t>
      </w:r>
      <w:r>
        <w:rPr>
          <w:vertAlign w:val="superscript"/>
        </w:rPr>
        <w:t>1</w:t>
      </w:r>
      <w:r>
        <w:t>, P. Parameswaran</w:t>
      </w:r>
      <w:r>
        <w:rPr>
          <w:vertAlign w:val="superscript"/>
        </w:rPr>
        <w:t>1,2</w:t>
      </w:r>
      <w:r>
        <w:t>, Divakar R</w:t>
      </w:r>
      <w:r>
        <w:rPr>
          <w:vertAlign w:val="superscript"/>
        </w:rPr>
        <w:t>1,2</w:t>
      </w:r>
      <w:r>
        <w:t xml:space="preserve"> and Shaju K. Albert</w:t>
      </w:r>
      <w:r>
        <w:rPr>
          <w:vertAlign w:val="superscript"/>
        </w:rPr>
        <w:t>1,2</w:t>
      </w:r>
    </w:p>
    <w:p w:rsidR="00AB5339" w:rsidRDefault="00AB5339">
      <w:pPr>
        <w:pStyle w:val="Authornameandaffiliation"/>
      </w:pPr>
    </w:p>
    <w:p w:rsidR="00AB5339" w:rsidRDefault="00620D34">
      <w:pPr>
        <w:pStyle w:val="Authornameandaffiliation"/>
        <w:rPr>
          <w:i/>
          <w:lang w:val="en-GB"/>
        </w:rPr>
      </w:pPr>
      <w:r>
        <w:rPr>
          <w:vertAlign w:val="superscript"/>
        </w:rPr>
        <w:t>1</w:t>
      </w:r>
      <w:r>
        <w:rPr>
          <w:lang w:val="en-GB"/>
        </w:rPr>
        <w:t xml:space="preserve">Indira Gandhi Centre for Atomic Research, </w:t>
      </w:r>
      <w:smartTag w:uri="urn:schemas-microsoft-com:office:smarttags" w:element="City">
        <w:r>
          <w:rPr>
            <w:lang w:val="en-GB"/>
          </w:rPr>
          <w:t>Kalpakkam</w:t>
        </w:r>
      </w:smartTag>
      <w:r>
        <w:rPr>
          <w:lang w:val="en-GB"/>
        </w:rPr>
        <w:t xml:space="preserve">, </w:t>
      </w:r>
      <w:smartTag w:uri="urn:schemas-microsoft-com:office:smarttags" w:element="State">
        <w:r>
          <w:rPr>
            <w:lang w:val="en-GB"/>
          </w:rPr>
          <w:t>TN</w:t>
        </w:r>
      </w:smartTag>
      <w:r>
        <w:rPr>
          <w:lang w:val="en-GB"/>
        </w:rPr>
        <w:t xml:space="preserve"> 603102, </w:t>
      </w:r>
      <w:smartTag w:uri="urn:schemas-microsoft-com:office:smarttags" w:element="place">
        <w:smartTag w:uri="urn:schemas-microsoft-com:office:smarttags" w:element="country-region">
          <w:r>
            <w:rPr>
              <w:lang w:val="en-GB"/>
            </w:rPr>
            <w:t>India</w:t>
          </w:r>
        </w:smartTag>
      </w:smartTag>
      <w:r>
        <w:rPr>
          <w:lang w:val="en-GB"/>
        </w:rPr>
        <w:t>.</w:t>
      </w:r>
    </w:p>
    <w:p w:rsidR="00AB5339" w:rsidRDefault="00620D34">
      <w:pPr>
        <w:pStyle w:val="Authornameandaffiliation"/>
      </w:pPr>
      <w:r>
        <w:rPr>
          <w:vertAlign w:val="superscript"/>
        </w:rPr>
        <w:t>2</w:t>
      </w:r>
      <w:r>
        <w:t>Homi Bhabha National Institute,</w:t>
      </w:r>
      <w:r w:rsidR="00420CF3">
        <w:t xml:space="preserve"> </w:t>
      </w:r>
      <w:smartTag w:uri="urn:schemas-microsoft-com:office:smarttags" w:element="City">
        <w:r>
          <w:t>Kalpakkam</w:t>
        </w:r>
      </w:smartTag>
      <w:r>
        <w:t xml:space="preserve">, </w:t>
      </w:r>
      <w:smartTag w:uri="urn:schemas-microsoft-com:office:smarttags" w:element="State">
        <w:r>
          <w:t>TN</w:t>
        </w:r>
      </w:smartTag>
      <w:r>
        <w:t xml:space="preserve"> 603102, </w:t>
      </w:r>
      <w:smartTag w:uri="urn:schemas-microsoft-com:office:smarttags" w:element="place">
        <w:smartTag w:uri="urn:schemas-microsoft-com:office:smarttags" w:element="country-region">
          <w:r>
            <w:t>India</w:t>
          </w:r>
        </w:smartTag>
      </w:smartTag>
      <w:r>
        <w:t xml:space="preserve"> </w:t>
      </w:r>
    </w:p>
    <w:p w:rsidR="00AB5339" w:rsidRDefault="00AB5339">
      <w:pPr>
        <w:pStyle w:val="Authornameandaffiliation"/>
      </w:pPr>
    </w:p>
    <w:p w:rsidR="00AB5339" w:rsidRDefault="00620D34">
      <w:pPr>
        <w:pStyle w:val="Authornameandaffiliation"/>
      </w:pPr>
      <w:r>
        <w:t>Email contact of corresponding author: rvijay@igcar.gov.in</w:t>
      </w:r>
    </w:p>
    <w:p w:rsidR="00AB5339" w:rsidRDefault="00AB5339">
      <w:pPr>
        <w:pStyle w:val="Authornameandaffiliation"/>
      </w:pPr>
    </w:p>
    <w:p w:rsidR="00AB5339" w:rsidRDefault="00AB5339">
      <w:pPr>
        <w:pStyle w:val="Authornameandaffiliation"/>
      </w:pPr>
    </w:p>
    <w:p w:rsidR="00AB5339" w:rsidRDefault="00620D34">
      <w:pPr>
        <w:pStyle w:val="Authornameandaffiliation"/>
        <w:rPr>
          <w:b/>
        </w:rPr>
      </w:pPr>
      <w:r>
        <w:rPr>
          <w:b/>
        </w:rPr>
        <w:t>Abstract</w:t>
      </w:r>
      <w:bookmarkStart w:id="0" w:name="_Hlk69130178"/>
      <w:bookmarkEnd w:id="0"/>
    </w:p>
    <w:p w:rsidR="00AB5339" w:rsidRDefault="00AB5339">
      <w:pPr>
        <w:pStyle w:val="Authornameandaffiliation"/>
      </w:pPr>
    </w:p>
    <w:p w:rsidR="00AB5339" w:rsidRDefault="00620D34">
      <w:pPr>
        <w:pStyle w:val="Abstracttext"/>
        <w:jc w:val="both"/>
        <w:rPr>
          <w:lang w:val="en-GB"/>
        </w:rPr>
      </w:pPr>
      <w:r w:rsidRPr="006248A5">
        <w:rPr>
          <w:lang w:val="en-GB"/>
        </w:rPr>
        <w:t>Permanent components of sodium cooled fast reactors experience a temperature of 350°C-</w:t>
      </w:r>
      <w:smartTag w:uri="urn:schemas-microsoft-com:office:smarttags" w:element="metricconverter">
        <w:smartTagPr>
          <w:attr w:name="ProductID" w:val="550°C"/>
        </w:smartTagPr>
        <w:r w:rsidRPr="006248A5">
          <w:rPr>
            <w:lang w:val="en-GB"/>
          </w:rPr>
          <w:t>550°C</w:t>
        </w:r>
      </w:smartTag>
      <w:r w:rsidRPr="006248A5">
        <w:rPr>
          <w:lang w:val="en-GB"/>
        </w:rPr>
        <w:t xml:space="preserve"> and accumulate life-time neutron doses of 1-2 dpa. Austenitic stainless steel (SS) 316L(N) is the material of choice for Prototype Fast Breeder Reactor (PFBR) internals such as main vessel, grid plate, core support structure, core catcher, control plug, inner vessel, intermediate heat exchanger etc., while the safety vessel is made of SS304L(N). An irradiation experiment was undertaken in Fast Breeder Test Reactor (FBTR) with an aim to compare the irradiation performance of SS316L(N) and SS304L(N) at neutron doses of 2-5 dpa and to explore the feasibility of replacing SS316L(N) with SS304L(N) for T &lt; </w:t>
      </w:r>
      <w:smartTag w:uri="urn:schemas-microsoft-com:office:smarttags" w:element="metricconverter">
        <w:smartTagPr>
          <w:attr w:name="ProductID" w:val="400°C"/>
        </w:smartTagPr>
        <w:r w:rsidRPr="006248A5">
          <w:rPr>
            <w:lang w:val="en-GB"/>
          </w:rPr>
          <w:t>400°C</w:t>
        </w:r>
      </w:smartTag>
      <w:r w:rsidRPr="006248A5">
        <w:rPr>
          <w:lang w:val="en-GB"/>
        </w:rPr>
        <w:t xml:space="preserve"> for future FBRs. In this paper, the mechanical test results and microstructural changes of the irradiated steels are compared and presented. The studies reveal that the uniform elongation for both the steels is well above 10% ductility limit for neutron doses of up</w:t>
      </w:r>
      <w:r w:rsidR="003879B6">
        <w:rPr>
          <w:lang w:val="en-GB"/>
        </w:rPr>
        <w:t xml:space="preserve"> </w:t>
      </w:r>
      <w:r w:rsidRPr="006248A5">
        <w:rPr>
          <w:lang w:val="en-GB"/>
        </w:rPr>
        <w:t>to 2 dpa. However, considering higher life designs of future FBRs (~60 years), SS316L(N) is the preferred choice of structural material due to its better retention of tensile and impact properties.</w:t>
      </w:r>
    </w:p>
    <w:p w:rsidR="00AB5339" w:rsidRDefault="00620D34">
      <w:pPr>
        <w:pStyle w:val="Heading2"/>
        <w:numPr>
          <w:ilvl w:val="1"/>
          <w:numId w:val="6"/>
        </w:numPr>
        <w:spacing w:before="280" w:after="280"/>
      </w:pPr>
      <w:r>
        <w:t>INTRODUCTION</w:t>
      </w:r>
    </w:p>
    <w:p w:rsidR="00AB5339" w:rsidRDefault="00620D34">
      <w:pPr>
        <w:pStyle w:val="BodyText"/>
      </w:pPr>
      <w:r>
        <w:rPr>
          <w:lang w:val="en-IN"/>
        </w:rPr>
        <w:t>Replaceable core components of sodium cooled fast reactors (SFR) such as cladding and ducts are subject to extreme conditions of intense fast-spectrum neutron irradiation leading to displacement damage of ~100–150 dpa (displacements per atom) and high-temperatures (400–700°C) in sodium coolant. On the other hand, large non-replaceable components, such as core support structure, reactor vessels, piping, etc., are usually subject to neutron damage of ~1-3 dpa and operating temperatures of 350°C–550°C.</w:t>
      </w:r>
      <w:r w:rsidR="003879B6">
        <w:rPr>
          <w:lang w:val="en-IN"/>
        </w:rPr>
        <w:t xml:space="preserve"> </w:t>
      </w:r>
      <w:r>
        <w:rPr>
          <w:lang w:val="en-IN"/>
        </w:rPr>
        <w:t xml:space="preserve">These permanent structures need to function satisfactorily throughout the reactor life time. The main concern for permanent structures [1] located below the core such as the grid plate, </w:t>
      </w:r>
      <w:r>
        <w:t>operating at ~400°C</w:t>
      </w:r>
      <w:r w:rsidR="00537BB0">
        <w:t xml:space="preserve"> </w:t>
      </w:r>
      <w:r>
        <w:t>is the loss of ductility and toughness due to displacement</w:t>
      </w:r>
      <w:r w:rsidR="00537BB0">
        <w:t xml:space="preserve"> </w:t>
      </w:r>
      <w:r>
        <w:t>damage, while for above core structures subjected to high temperatures (~550°C), irradiation induced reduction in time dependent properties such as creep and creep-fatigue resistance are the life limiting factors.</w:t>
      </w:r>
    </w:p>
    <w:p w:rsidR="00AB5339" w:rsidRDefault="00620D34">
      <w:pPr>
        <w:pStyle w:val="BodyText"/>
      </w:pPr>
      <w:r>
        <w:t xml:space="preserve">Austenitic stainless steel (SS) </w:t>
      </w:r>
      <w:r w:rsidR="00420CF3">
        <w:t xml:space="preserve">of grades </w:t>
      </w:r>
      <w:r>
        <w:t xml:space="preserve">316L(N) </w:t>
      </w:r>
      <w:r w:rsidR="00537BB0">
        <w:t xml:space="preserve">and SS304 L(N) are </w:t>
      </w:r>
      <w:r>
        <w:t>the material</w:t>
      </w:r>
      <w:r w:rsidR="00420CF3">
        <w:t>s selected</w:t>
      </w:r>
      <w:r>
        <w:t xml:space="preserve"> for Prototype Fast Breeder Reactor (PFBR) permanent components</w:t>
      </w:r>
      <w:r w:rsidR="00537BB0">
        <w:t>. They</w:t>
      </w:r>
      <w:r>
        <w:t xml:space="preserve"> experience a temperature of 350°C-</w:t>
      </w:r>
      <w:smartTag w:uri="urn:schemas-microsoft-com:office:smarttags" w:element="metricconverter">
        <w:smartTagPr>
          <w:attr w:name="ProductID" w:val="550°C"/>
        </w:smartTagPr>
        <w:r>
          <w:t>550°C</w:t>
        </w:r>
      </w:smartTag>
      <w:r>
        <w:t xml:space="preserve"> and accumulate neutron doses of &lt; 1 dpa in their design life time of ~40 years. An irradiation experiment was undertaken in Fast Breeder Test Reactor (FBTR) with the objective of comparing the performance of SS316L(N) and SS304L(N) to explore the possibility of replacing SS316L(N) with SS304L(N) for T </w:t>
      </w:r>
      <w:r>
        <w:rPr>
          <w:rFonts w:ascii="Symbol" w:eastAsia="Symbol" w:hAnsi="Symbol" w:cs="Symbol"/>
        </w:rPr>
        <w:t></w:t>
      </w:r>
      <w:r>
        <w:t xml:space="preserve"> 400 </w:t>
      </w:r>
      <w:r>
        <w:rPr>
          <w:rFonts w:ascii="Symbol" w:eastAsia="Symbol" w:hAnsi="Symbol" w:cs="Symbol"/>
        </w:rPr>
        <w:t></w:t>
      </w:r>
      <w:r>
        <w:t>C for future SFR’s.</w:t>
      </w:r>
    </w:p>
    <w:p w:rsidR="00AB5339" w:rsidRDefault="00620D34">
      <w:pPr>
        <w:pStyle w:val="Heading2"/>
        <w:numPr>
          <w:ilvl w:val="1"/>
          <w:numId w:val="6"/>
        </w:numPr>
        <w:tabs>
          <w:tab w:val="left" w:pos="540"/>
        </w:tabs>
        <w:spacing w:before="280" w:after="280"/>
      </w:pPr>
      <w:r>
        <w:t xml:space="preserve">MATERIALS </w:t>
      </w:r>
      <w:smartTag w:uri="urn:schemas-microsoft-com:office:smarttags" w:element="stockticker">
        <w:r>
          <w:t>AND</w:t>
        </w:r>
      </w:smartTag>
      <w:r>
        <w:t xml:space="preserve"> TEST PROCEDURE</w:t>
      </w:r>
    </w:p>
    <w:p w:rsidR="00AB5339" w:rsidRDefault="00620D34">
      <w:pPr>
        <w:pStyle w:val="BodyText"/>
        <w:ind w:firstLine="0"/>
      </w:pPr>
      <w:r>
        <w:tab/>
        <w:t>The irradiation experiment consisted of subjecting pre-fabricated tensile, disc and Charpy V notch specimens of SS316L(N) and SS304L(N) to neutron irradiation in FBTR to displacement damage in the range 2-5 dpa at an irradiation temperature of ~400°C. The chemical compositions of the base materials prior to irradiation as determined by optical emission spectrometry are given in Table1</w:t>
      </w:r>
      <w:r w:rsidR="00420CF3">
        <w:t xml:space="preserve"> where</w:t>
      </w:r>
      <w:r>
        <w:t xml:space="preserve"> Ferrite number measured using a Fisher FMP-30 Ferrite scope (precision: ±0.05 FN) </w:t>
      </w:r>
      <w:r w:rsidR="00420CF3">
        <w:t xml:space="preserve">has </w:t>
      </w:r>
      <w:r>
        <w:t xml:space="preserve">also </w:t>
      </w:r>
      <w:r w:rsidR="00420CF3">
        <w:t>been included</w:t>
      </w:r>
      <w:r>
        <w:t>.</w:t>
      </w:r>
    </w:p>
    <w:p w:rsidR="00E513D3" w:rsidRDefault="00E513D3">
      <w:pPr>
        <w:pStyle w:val="BodyText"/>
        <w:ind w:firstLine="0"/>
      </w:pPr>
    </w:p>
    <w:p w:rsidR="00E513D3" w:rsidRDefault="00E513D3">
      <w:pPr>
        <w:pStyle w:val="BodyText"/>
        <w:ind w:firstLine="0"/>
      </w:pPr>
    </w:p>
    <w:p w:rsidR="00E513D3" w:rsidRDefault="00E513D3">
      <w:pPr>
        <w:pStyle w:val="BodyText"/>
        <w:ind w:firstLine="0"/>
      </w:pPr>
    </w:p>
    <w:p w:rsidR="00AB5339" w:rsidRDefault="00620D34">
      <w:pPr>
        <w:pStyle w:val="Heading3"/>
        <w:keepNext/>
        <w:numPr>
          <w:ilvl w:val="2"/>
          <w:numId w:val="6"/>
        </w:numPr>
      </w:pPr>
      <w:r>
        <w:lastRenderedPageBreak/>
        <w:t>Irradiation experiment</w:t>
      </w:r>
    </w:p>
    <w:p w:rsidR="00AB5339" w:rsidRDefault="00620D34">
      <w:pPr>
        <w:pStyle w:val="BodyText"/>
        <w:rPr>
          <w:bCs/>
          <w:lang w:val="en-IN"/>
        </w:rPr>
      </w:pPr>
      <w:r>
        <w:t>The dimensions of the sub-size tensile, sub-size Charpy V Notch (CVN) and disc specimens machined from SS316 L(N) and SS304 L(N) base metal plates are shown in Fig. 1.The tensile, impact and disc specimens were machined by wire Electric Discharge Machining (EDM) and loaded in six compartments of two SS316</w:t>
      </w:r>
      <w:r w:rsidR="00EA62E8">
        <w:t xml:space="preserve"> </w:t>
      </w:r>
      <w:r>
        <w:t xml:space="preserve">irradiation capsules. </w:t>
      </w:r>
      <w:r>
        <w:rPr>
          <w:lang w:val="en-IN"/>
        </w:rPr>
        <w:t>Each irradiation capsule was loaded and locked in a special hexagonal steel sub-assembly (referred as experimental sub-assembly) and was irradiated in FBTR for 72 Effective Full Power Days (EFPDs). Displacement damage experienced by the specimens ranged from 1.76 to 5.73 dpa (</w:t>
      </w:r>
      <w:smartTag w:uri="urn:schemas-microsoft-com:office:smarttags" w:element="stockticker">
        <w:r>
          <w:rPr>
            <w:lang w:val="en-IN"/>
          </w:rPr>
          <w:t>NRT</w:t>
        </w:r>
      </w:smartTag>
      <w:r>
        <w:rPr>
          <w:lang w:val="en-IN"/>
        </w:rPr>
        <w:t>).</w:t>
      </w:r>
      <w:r w:rsidR="006248A5">
        <w:rPr>
          <w:lang w:val="en-IN"/>
        </w:rPr>
        <w:t xml:space="preserve"> </w:t>
      </w:r>
      <w:r>
        <w:rPr>
          <w:lang w:val="en-IN"/>
        </w:rPr>
        <w:t>The damage accumulation rate in this irradiation experiment was ~8</w:t>
      </w:r>
      <w:r>
        <w:rPr>
          <w:bCs/>
          <w:lang w:val="en-IN"/>
        </w:rPr>
        <w:t>×10</w:t>
      </w:r>
      <w:r>
        <w:rPr>
          <w:bCs/>
          <w:vertAlign w:val="superscript"/>
          <w:lang w:val="en-IN"/>
        </w:rPr>
        <w:t>-7</w:t>
      </w:r>
      <w:r>
        <w:rPr>
          <w:bCs/>
          <w:lang w:val="en-IN"/>
        </w:rPr>
        <w:t xml:space="preserve"> dpa/s. With the inlet temperature of the sodium being 380-395</w:t>
      </w:r>
      <w:r>
        <w:rPr>
          <w:bCs/>
          <w:vertAlign w:val="superscript"/>
          <w:lang w:val="en-IN"/>
        </w:rPr>
        <w:t>o</w:t>
      </w:r>
      <w:r>
        <w:rPr>
          <w:bCs/>
          <w:lang w:val="en-IN"/>
        </w:rPr>
        <w:t>C during irradiation in FBTR, the irradiation temperature of the specimens in different compartments is estimated to be in the range 400-415</w:t>
      </w:r>
      <w:r>
        <w:rPr>
          <w:bCs/>
          <w:vertAlign w:val="superscript"/>
          <w:lang w:val="en-IN"/>
        </w:rPr>
        <w:t>o</w:t>
      </w:r>
      <w:r>
        <w:rPr>
          <w:bCs/>
          <w:lang w:val="en-IN"/>
        </w:rPr>
        <w:t xml:space="preserve">C. </w:t>
      </w:r>
    </w:p>
    <w:p w:rsidR="00AB5339" w:rsidRDefault="00AB5339">
      <w:pPr>
        <w:pStyle w:val="BodyText"/>
        <w:rPr>
          <w:bCs/>
          <w:lang w:val="en-IN"/>
        </w:rPr>
      </w:pPr>
    </w:p>
    <w:p w:rsidR="00AB5339" w:rsidRDefault="00620D34">
      <w:pPr>
        <w:pStyle w:val="BodyText"/>
      </w:pPr>
      <w:r>
        <w:t>Table.1: Chemical compositions (in wt %) of the materials used in this study prior to irradiation</w:t>
      </w:r>
    </w:p>
    <w:p w:rsidR="00AB5339" w:rsidRDefault="00AB5339">
      <w:pPr>
        <w:pStyle w:val="BodyText"/>
      </w:pPr>
    </w:p>
    <w:tbl>
      <w:tblPr>
        <w:tblW w:w="9265" w:type="dxa"/>
        <w:jc w:val="center"/>
        <w:tblLayout w:type="fixed"/>
        <w:tblCellMar>
          <w:left w:w="0" w:type="dxa"/>
          <w:right w:w="0" w:type="dxa"/>
        </w:tblCellMar>
        <w:tblLook w:val="04A0"/>
      </w:tblPr>
      <w:tblGrid>
        <w:gridCol w:w="985"/>
        <w:gridCol w:w="542"/>
        <w:gridCol w:w="541"/>
        <w:gridCol w:w="450"/>
        <w:gridCol w:w="449"/>
        <w:gridCol w:w="630"/>
        <w:gridCol w:w="630"/>
        <w:gridCol w:w="630"/>
        <w:gridCol w:w="541"/>
        <w:gridCol w:w="540"/>
        <w:gridCol w:w="540"/>
        <w:gridCol w:w="540"/>
        <w:gridCol w:w="539"/>
        <w:gridCol w:w="630"/>
        <w:gridCol w:w="540"/>
        <w:gridCol w:w="538"/>
      </w:tblGrid>
      <w:tr w:rsidR="00AB5339">
        <w:trPr>
          <w:trHeight w:val="573"/>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5339" w:rsidRDefault="00620D34">
            <w:pPr>
              <w:widowControl w:val="0"/>
              <w:jc w:val="center"/>
              <w:rPr>
                <w:bCs/>
                <w:color w:val="000000"/>
                <w:sz w:val="20"/>
                <w:lang w:val="en-US" w:bidi="hi-IN"/>
              </w:rPr>
            </w:pPr>
            <w:r>
              <w:rPr>
                <w:bCs/>
                <w:color w:val="000000"/>
                <w:sz w:val="20"/>
                <w:lang w:val="en-US" w:bidi="hi-IN"/>
              </w:rPr>
              <w:t>Alloy</w:t>
            </w:r>
          </w:p>
        </w:tc>
        <w:tc>
          <w:tcPr>
            <w:tcW w:w="541" w:type="dxa"/>
            <w:tcBorders>
              <w:top w:val="single" w:sz="4" w:space="0" w:color="000000"/>
              <w:bottom w:val="single" w:sz="4" w:space="0" w:color="000000"/>
              <w:right w:val="single" w:sz="4" w:space="0" w:color="000000"/>
            </w:tcBorders>
            <w:shd w:val="clear" w:color="auto" w:fill="auto"/>
            <w:vAlign w:val="center"/>
          </w:tcPr>
          <w:p w:rsidR="00AB5339" w:rsidRDefault="00620D34">
            <w:pPr>
              <w:widowControl w:val="0"/>
              <w:jc w:val="center"/>
              <w:rPr>
                <w:bCs/>
                <w:color w:val="000000"/>
                <w:sz w:val="20"/>
                <w:lang w:val="en-US" w:bidi="hi-IN"/>
              </w:rPr>
            </w:pPr>
            <w:r>
              <w:rPr>
                <w:bCs/>
                <w:color w:val="000000"/>
                <w:sz w:val="20"/>
                <w:lang w:val="en-US" w:bidi="hi-IN"/>
              </w:rPr>
              <w:t>C</w:t>
            </w:r>
          </w:p>
        </w:tc>
        <w:tc>
          <w:tcPr>
            <w:tcW w:w="540" w:type="dxa"/>
            <w:tcBorders>
              <w:top w:val="single" w:sz="4" w:space="0" w:color="000000"/>
              <w:bottom w:val="single" w:sz="4" w:space="0" w:color="000000"/>
              <w:right w:val="single" w:sz="4" w:space="0" w:color="000000"/>
            </w:tcBorders>
            <w:shd w:val="clear" w:color="auto" w:fill="auto"/>
            <w:vAlign w:val="center"/>
          </w:tcPr>
          <w:p w:rsidR="00AB5339" w:rsidRDefault="00620D34">
            <w:pPr>
              <w:widowControl w:val="0"/>
              <w:jc w:val="center"/>
              <w:rPr>
                <w:bCs/>
                <w:color w:val="000000"/>
                <w:sz w:val="20"/>
                <w:lang w:val="en-US" w:bidi="hi-IN"/>
              </w:rPr>
            </w:pPr>
            <w:r>
              <w:rPr>
                <w:bCs/>
                <w:color w:val="000000"/>
                <w:sz w:val="20"/>
                <w:lang w:val="en-US" w:bidi="hi-IN"/>
              </w:rPr>
              <w:t>N</w:t>
            </w:r>
          </w:p>
        </w:tc>
        <w:tc>
          <w:tcPr>
            <w:tcW w:w="450" w:type="dxa"/>
            <w:tcBorders>
              <w:top w:val="single" w:sz="4" w:space="0" w:color="000000"/>
              <w:bottom w:val="single" w:sz="4" w:space="0" w:color="000000"/>
              <w:right w:val="single" w:sz="4" w:space="0" w:color="000000"/>
            </w:tcBorders>
            <w:shd w:val="clear" w:color="auto" w:fill="auto"/>
            <w:vAlign w:val="center"/>
          </w:tcPr>
          <w:p w:rsidR="00AB5339" w:rsidRDefault="00620D34">
            <w:pPr>
              <w:widowControl w:val="0"/>
              <w:jc w:val="center"/>
              <w:rPr>
                <w:bCs/>
                <w:color w:val="000000"/>
                <w:sz w:val="20"/>
                <w:lang w:val="en-US" w:bidi="hi-IN"/>
              </w:rPr>
            </w:pPr>
            <w:r>
              <w:rPr>
                <w:bCs/>
                <w:color w:val="000000"/>
                <w:sz w:val="20"/>
                <w:lang w:val="en-US" w:bidi="hi-IN"/>
              </w:rPr>
              <w:t>Ni</w:t>
            </w:r>
          </w:p>
        </w:tc>
        <w:tc>
          <w:tcPr>
            <w:tcW w:w="449" w:type="dxa"/>
            <w:tcBorders>
              <w:top w:val="single" w:sz="4" w:space="0" w:color="000000"/>
              <w:bottom w:val="single" w:sz="4" w:space="0" w:color="000000"/>
              <w:right w:val="single" w:sz="4" w:space="0" w:color="000000"/>
            </w:tcBorders>
            <w:shd w:val="clear" w:color="auto" w:fill="auto"/>
            <w:vAlign w:val="center"/>
          </w:tcPr>
          <w:p w:rsidR="00AB5339" w:rsidRDefault="00620D34">
            <w:pPr>
              <w:widowControl w:val="0"/>
              <w:jc w:val="center"/>
              <w:rPr>
                <w:bCs/>
                <w:color w:val="000000"/>
                <w:sz w:val="20"/>
                <w:lang w:val="en-US" w:bidi="hi-IN"/>
              </w:rPr>
            </w:pPr>
            <w:r>
              <w:rPr>
                <w:bCs/>
                <w:color w:val="000000"/>
                <w:sz w:val="20"/>
                <w:lang w:val="en-US" w:bidi="hi-IN"/>
              </w:rPr>
              <w:t>Cr</w:t>
            </w:r>
          </w:p>
        </w:tc>
        <w:tc>
          <w:tcPr>
            <w:tcW w:w="630" w:type="dxa"/>
            <w:tcBorders>
              <w:top w:val="single" w:sz="4" w:space="0" w:color="000000"/>
              <w:bottom w:val="single" w:sz="4" w:space="0" w:color="000000"/>
              <w:right w:val="single" w:sz="4" w:space="0" w:color="000000"/>
            </w:tcBorders>
            <w:shd w:val="clear" w:color="auto" w:fill="auto"/>
            <w:vAlign w:val="center"/>
          </w:tcPr>
          <w:p w:rsidR="00AB5339" w:rsidRDefault="00620D34">
            <w:pPr>
              <w:widowControl w:val="0"/>
              <w:jc w:val="center"/>
              <w:rPr>
                <w:bCs/>
                <w:color w:val="000000"/>
                <w:sz w:val="20"/>
                <w:lang w:val="en-US" w:bidi="hi-IN"/>
              </w:rPr>
            </w:pPr>
            <w:r>
              <w:rPr>
                <w:bCs/>
                <w:color w:val="000000"/>
                <w:sz w:val="20"/>
                <w:lang w:val="en-US" w:bidi="hi-IN"/>
              </w:rPr>
              <w:t>Mo</w:t>
            </w:r>
          </w:p>
        </w:tc>
        <w:tc>
          <w:tcPr>
            <w:tcW w:w="630" w:type="dxa"/>
            <w:tcBorders>
              <w:top w:val="single" w:sz="4" w:space="0" w:color="000000"/>
              <w:bottom w:val="single" w:sz="4" w:space="0" w:color="000000"/>
              <w:right w:val="single" w:sz="4" w:space="0" w:color="000000"/>
            </w:tcBorders>
            <w:shd w:val="clear" w:color="auto" w:fill="auto"/>
            <w:vAlign w:val="center"/>
          </w:tcPr>
          <w:p w:rsidR="00AB5339" w:rsidRDefault="00620D34">
            <w:pPr>
              <w:widowControl w:val="0"/>
              <w:jc w:val="center"/>
              <w:rPr>
                <w:bCs/>
                <w:color w:val="000000"/>
                <w:sz w:val="20"/>
                <w:lang w:val="en-US" w:bidi="hi-IN"/>
              </w:rPr>
            </w:pPr>
            <w:r>
              <w:rPr>
                <w:bCs/>
                <w:color w:val="000000"/>
                <w:sz w:val="20"/>
                <w:lang w:val="en-US" w:bidi="hi-IN"/>
              </w:rPr>
              <w:t>Mn</w:t>
            </w:r>
          </w:p>
        </w:tc>
        <w:tc>
          <w:tcPr>
            <w:tcW w:w="630" w:type="dxa"/>
            <w:tcBorders>
              <w:top w:val="single" w:sz="4" w:space="0" w:color="000000"/>
              <w:bottom w:val="single" w:sz="4" w:space="0" w:color="000000"/>
              <w:right w:val="single" w:sz="4" w:space="0" w:color="000000"/>
            </w:tcBorders>
            <w:shd w:val="clear" w:color="auto" w:fill="auto"/>
            <w:vAlign w:val="center"/>
          </w:tcPr>
          <w:p w:rsidR="00AB5339" w:rsidRDefault="00620D34">
            <w:pPr>
              <w:widowControl w:val="0"/>
              <w:jc w:val="center"/>
              <w:rPr>
                <w:bCs/>
                <w:color w:val="000000"/>
                <w:sz w:val="20"/>
                <w:lang w:val="en-US" w:bidi="hi-IN"/>
              </w:rPr>
            </w:pPr>
            <w:r>
              <w:rPr>
                <w:bCs/>
                <w:color w:val="000000"/>
                <w:sz w:val="20"/>
                <w:lang w:val="en-US" w:bidi="hi-IN"/>
              </w:rPr>
              <w:t>Si</w:t>
            </w:r>
          </w:p>
        </w:tc>
        <w:tc>
          <w:tcPr>
            <w:tcW w:w="541" w:type="dxa"/>
            <w:tcBorders>
              <w:top w:val="single" w:sz="4" w:space="0" w:color="000000"/>
              <w:bottom w:val="single" w:sz="4" w:space="0" w:color="000000"/>
              <w:right w:val="single" w:sz="4" w:space="0" w:color="000000"/>
            </w:tcBorders>
            <w:shd w:val="clear" w:color="auto" w:fill="auto"/>
            <w:vAlign w:val="center"/>
          </w:tcPr>
          <w:p w:rsidR="00AB5339" w:rsidRDefault="00620D34">
            <w:pPr>
              <w:widowControl w:val="0"/>
              <w:jc w:val="center"/>
              <w:rPr>
                <w:bCs/>
                <w:color w:val="000000"/>
                <w:sz w:val="20"/>
                <w:lang w:val="en-US" w:bidi="hi-IN"/>
              </w:rPr>
            </w:pPr>
            <w:r>
              <w:rPr>
                <w:bCs/>
                <w:color w:val="000000"/>
                <w:sz w:val="20"/>
                <w:lang w:val="en-US" w:bidi="hi-IN"/>
              </w:rPr>
              <w:t>Cu</w:t>
            </w:r>
          </w:p>
        </w:tc>
        <w:tc>
          <w:tcPr>
            <w:tcW w:w="540" w:type="dxa"/>
            <w:tcBorders>
              <w:top w:val="single" w:sz="4" w:space="0" w:color="000000"/>
              <w:bottom w:val="single" w:sz="4" w:space="0" w:color="000000"/>
              <w:right w:val="single" w:sz="4" w:space="0" w:color="000000"/>
            </w:tcBorders>
            <w:shd w:val="clear" w:color="auto" w:fill="auto"/>
            <w:vAlign w:val="center"/>
          </w:tcPr>
          <w:p w:rsidR="00AB5339" w:rsidRDefault="00620D34">
            <w:pPr>
              <w:widowControl w:val="0"/>
              <w:jc w:val="center"/>
              <w:rPr>
                <w:bCs/>
                <w:color w:val="000000"/>
                <w:sz w:val="20"/>
                <w:lang w:val="en-US" w:bidi="hi-IN"/>
              </w:rPr>
            </w:pPr>
            <w:r>
              <w:rPr>
                <w:bCs/>
                <w:color w:val="000000"/>
                <w:sz w:val="20"/>
                <w:lang w:val="en-US" w:bidi="hi-IN"/>
              </w:rPr>
              <w:t>Co</w:t>
            </w:r>
          </w:p>
        </w:tc>
        <w:tc>
          <w:tcPr>
            <w:tcW w:w="540" w:type="dxa"/>
            <w:tcBorders>
              <w:top w:val="single" w:sz="4" w:space="0" w:color="000000"/>
              <w:bottom w:val="single" w:sz="4" w:space="0" w:color="000000"/>
              <w:right w:val="single" w:sz="4" w:space="0" w:color="000000"/>
            </w:tcBorders>
            <w:shd w:val="clear" w:color="auto" w:fill="auto"/>
            <w:vAlign w:val="center"/>
          </w:tcPr>
          <w:p w:rsidR="00AB5339" w:rsidRDefault="00620D34">
            <w:pPr>
              <w:widowControl w:val="0"/>
              <w:jc w:val="center"/>
              <w:rPr>
                <w:bCs/>
                <w:color w:val="000000"/>
                <w:sz w:val="20"/>
                <w:lang w:val="en-US" w:bidi="hi-IN"/>
              </w:rPr>
            </w:pPr>
            <w:r>
              <w:rPr>
                <w:bCs/>
                <w:color w:val="000000"/>
                <w:sz w:val="20"/>
                <w:lang w:val="en-US" w:bidi="hi-IN"/>
              </w:rPr>
              <w:t>W</w:t>
            </w:r>
          </w:p>
        </w:tc>
        <w:tc>
          <w:tcPr>
            <w:tcW w:w="540" w:type="dxa"/>
            <w:tcBorders>
              <w:top w:val="single" w:sz="4" w:space="0" w:color="000000"/>
              <w:bottom w:val="single" w:sz="4" w:space="0" w:color="000000"/>
              <w:right w:val="single" w:sz="4" w:space="0" w:color="000000"/>
            </w:tcBorders>
            <w:shd w:val="clear" w:color="auto" w:fill="auto"/>
            <w:vAlign w:val="center"/>
          </w:tcPr>
          <w:p w:rsidR="00AB5339" w:rsidRDefault="00620D34">
            <w:pPr>
              <w:widowControl w:val="0"/>
              <w:jc w:val="center"/>
              <w:rPr>
                <w:bCs/>
                <w:color w:val="000000"/>
                <w:sz w:val="20"/>
                <w:lang w:val="en-US" w:bidi="hi-IN"/>
              </w:rPr>
            </w:pPr>
            <w:r>
              <w:rPr>
                <w:bCs/>
                <w:color w:val="000000"/>
                <w:sz w:val="20"/>
                <w:lang w:val="en-US" w:bidi="hi-IN"/>
              </w:rPr>
              <w:t>V</w:t>
            </w:r>
          </w:p>
        </w:tc>
        <w:tc>
          <w:tcPr>
            <w:tcW w:w="539" w:type="dxa"/>
            <w:tcBorders>
              <w:top w:val="single" w:sz="4" w:space="0" w:color="000000"/>
              <w:bottom w:val="single" w:sz="4" w:space="0" w:color="000000"/>
              <w:right w:val="single" w:sz="4" w:space="0" w:color="000000"/>
            </w:tcBorders>
            <w:shd w:val="clear" w:color="auto" w:fill="auto"/>
            <w:vAlign w:val="center"/>
          </w:tcPr>
          <w:p w:rsidR="00AB5339" w:rsidRDefault="00620D34">
            <w:pPr>
              <w:widowControl w:val="0"/>
              <w:jc w:val="center"/>
              <w:rPr>
                <w:bCs/>
                <w:color w:val="000000"/>
                <w:sz w:val="20"/>
                <w:lang w:val="en-US" w:bidi="hi-IN"/>
              </w:rPr>
            </w:pPr>
            <w:r>
              <w:rPr>
                <w:bCs/>
                <w:color w:val="000000"/>
                <w:sz w:val="20"/>
                <w:lang w:val="en-US" w:bidi="hi-IN"/>
              </w:rPr>
              <w:t>Sn</w:t>
            </w:r>
          </w:p>
        </w:tc>
        <w:tc>
          <w:tcPr>
            <w:tcW w:w="630" w:type="dxa"/>
            <w:tcBorders>
              <w:top w:val="single" w:sz="4" w:space="0" w:color="000000"/>
              <w:bottom w:val="single" w:sz="4" w:space="0" w:color="000000"/>
              <w:right w:val="single" w:sz="4" w:space="0" w:color="000000"/>
            </w:tcBorders>
            <w:shd w:val="clear" w:color="auto" w:fill="auto"/>
            <w:vAlign w:val="center"/>
          </w:tcPr>
          <w:p w:rsidR="00AB5339" w:rsidRDefault="00620D34">
            <w:pPr>
              <w:widowControl w:val="0"/>
              <w:jc w:val="center"/>
              <w:rPr>
                <w:bCs/>
                <w:color w:val="000000"/>
                <w:sz w:val="20"/>
                <w:lang w:val="en-US" w:bidi="hi-IN"/>
              </w:rPr>
            </w:pPr>
            <w:r>
              <w:rPr>
                <w:bCs/>
                <w:color w:val="000000"/>
                <w:sz w:val="20"/>
                <w:lang w:val="en-US" w:bidi="hi-IN"/>
              </w:rPr>
              <w:t>Ti</w:t>
            </w:r>
          </w:p>
        </w:tc>
        <w:tc>
          <w:tcPr>
            <w:tcW w:w="540" w:type="dxa"/>
            <w:tcBorders>
              <w:top w:val="single" w:sz="4" w:space="0" w:color="000000"/>
              <w:bottom w:val="single" w:sz="4" w:space="0" w:color="000000"/>
              <w:right w:val="single" w:sz="4" w:space="0" w:color="000000"/>
            </w:tcBorders>
            <w:shd w:val="clear" w:color="auto" w:fill="auto"/>
            <w:vAlign w:val="center"/>
          </w:tcPr>
          <w:p w:rsidR="00AB5339" w:rsidRDefault="00620D34">
            <w:pPr>
              <w:widowControl w:val="0"/>
              <w:jc w:val="center"/>
              <w:rPr>
                <w:bCs/>
                <w:color w:val="000000"/>
                <w:sz w:val="20"/>
                <w:lang w:val="en-US" w:bidi="hi-IN"/>
              </w:rPr>
            </w:pPr>
            <w:r>
              <w:rPr>
                <w:bCs/>
                <w:color w:val="000000"/>
                <w:sz w:val="20"/>
                <w:lang w:val="en-US" w:bidi="hi-IN"/>
              </w:rPr>
              <w:t>Al</w:t>
            </w:r>
          </w:p>
        </w:tc>
        <w:tc>
          <w:tcPr>
            <w:tcW w:w="538" w:type="dxa"/>
            <w:tcBorders>
              <w:top w:val="single" w:sz="4" w:space="0" w:color="000000"/>
              <w:bottom w:val="single" w:sz="4" w:space="0" w:color="000000"/>
              <w:right w:val="single" w:sz="4" w:space="0" w:color="000000"/>
            </w:tcBorders>
            <w:tcMar>
              <w:left w:w="108" w:type="dxa"/>
              <w:right w:w="108" w:type="dxa"/>
            </w:tcMar>
          </w:tcPr>
          <w:p w:rsidR="00AB5339" w:rsidRDefault="00AB5339">
            <w:pPr>
              <w:widowControl w:val="0"/>
              <w:jc w:val="center"/>
              <w:rPr>
                <w:bCs/>
                <w:color w:val="000000"/>
                <w:sz w:val="20"/>
                <w:lang w:val="en-US" w:bidi="hi-IN"/>
              </w:rPr>
            </w:pPr>
          </w:p>
          <w:p w:rsidR="00AB5339" w:rsidRDefault="00620D34">
            <w:pPr>
              <w:widowControl w:val="0"/>
              <w:jc w:val="center"/>
              <w:rPr>
                <w:bCs/>
                <w:color w:val="000000"/>
                <w:sz w:val="18"/>
                <w:szCs w:val="18"/>
                <w:lang w:val="en-US" w:bidi="hi-IN"/>
              </w:rPr>
            </w:pPr>
            <w:r>
              <w:rPr>
                <w:bCs/>
                <w:color w:val="000000"/>
                <w:sz w:val="18"/>
                <w:szCs w:val="18"/>
                <w:lang w:val="en-US" w:bidi="hi-IN"/>
              </w:rPr>
              <w:t>FN*</w:t>
            </w:r>
          </w:p>
        </w:tc>
      </w:tr>
      <w:tr w:rsidR="00AB5339">
        <w:trPr>
          <w:trHeight w:val="573"/>
          <w:jc w:val="center"/>
        </w:trPr>
        <w:tc>
          <w:tcPr>
            <w:tcW w:w="984" w:type="dxa"/>
            <w:tcBorders>
              <w:left w:val="single" w:sz="4" w:space="0" w:color="000000"/>
              <w:bottom w:val="single" w:sz="4" w:space="0" w:color="000000"/>
              <w:right w:val="single" w:sz="4" w:space="0" w:color="000000"/>
            </w:tcBorders>
            <w:shd w:val="clear" w:color="auto" w:fill="auto"/>
            <w:vAlign w:val="center"/>
          </w:tcPr>
          <w:p w:rsidR="00AB5339" w:rsidRDefault="00620D34">
            <w:pPr>
              <w:widowControl w:val="0"/>
              <w:jc w:val="center"/>
              <w:rPr>
                <w:bCs/>
                <w:color w:val="000000"/>
                <w:sz w:val="20"/>
                <w:lang w:val="en-US" w:bidi="hi-IN"/>
              </w:rPr>
            </w:pPr>
            <w:r>
              <w:rPr>
                <w:bCs/>
                <w:color w:val="000000"/>
                <w:sz w:val="20"/>
                <w:lang w:val="en-US" w:bidi="hi-IN"/>
              </w:rPr>
              <w:t>SS316L(N) Base</w:t>
            </w:r>
          </w:p>
        </w:tc>
        <w:tc>
          <w:tcPr>
            <w:tcW w:w="541"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0.03 ±0.01</w:t>
            </w:r>
          </w:p>
        </w:tc>
        <w:tc>
          <w:tcPr>
            <w:tcW w:w="540"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0.07</w:t>
            </w:r>
          </w:p>
          <w:p w:rsidR="00AB5339" w:rsidRDefault="00620D34">
            <w:pPr>
              <w:widowControl w:val="0"/>
              <w:jc w:val="center"/>
              <w:rPr>
                <w:color w:val="000000"/>
                <w:sz w:val="20"/>
                <w:lang w:val="en-US" w:bidi="hi-IN"/>
              </w:rPr>
            </w:pPr>
            <w:r>
              <w:rPr>
                <w:color w:val="000000"/>
                <w:sz w:val="20"/>
                <w:lang w:val="en-US" w:bidi="hi-IN"/>
              </w:rPr>
              <w:t>±0.01</w:t>
            </w:r>
          </w:p>
        </w:tc>
        <w:tc>
          <w:tcPr>
            <w:tcW w:w="450"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12.1 ±0.5</w:t>
            </w:r>
          </w:p>
        </w:tc>
        <w:tc>
          <w:tcPr>
            <w:tcW w:w="449"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 xml:space="preserve">17.1 </w:t>
            </w:r>
          </w:p>
          <w:p w:rsidR="00AB5339" w:rsidRDefault="00620D34">
            <w:pPr>
              <w:widowControl w:val="0"/>
              <w:jc w:val="center"/>
              <w:rPr>
                <w:color w:val="000000"/>
                <w:sz w:val="20"/>
                <w:lang w:val="en-US" w:bidi="hi-IN"/>
              </w:rPr>
            </w:pPr>
            <w:r>
              <w:rPr>
                <w:color w:val="000000"/>
                <w:sz w:val="20"/>
                <w:lang w:val="en-US" w:bidi="hi-IN"/>
              </w:rPr>
              <w:t>± 0.5</w:t>
            </w:r>
          </w:p>
        </w:tc>
        <w:tc>
          <w:tcPr>
            <w:tcW w:w="630"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2.24 ±0.02</w:t>
            </w:r>
          </w:p>
        </w:tc>
        <w:tc>
          <w:tcPr>
            <w:tcW w:w="630"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1.96 ±0.05</w:t>
            </w:r>
          </w:p>
        </w:tc>
        <w:tc>
          <w:tcPr>
            <w:tcW w:w="630"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0.28 ±0.02</w:t>
            </w:r>
          </w:p>
        </w:tc>
        <w:tc>
          <w:tcPr>
            <w:tcW w:w="541"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0.52 ±0.02</w:t>
            </w:r>
          </w:p>
        </w:tc>
        <w:tc>
          <w:tcPr>
            <w:tcW w:w="540"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0.19 ±0.02</w:t>
            </w:r>
          </w:p>
        </w:tc>
        <w:tc>
          <w:tcPr>
            <w:tcW w:w="540"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&lt;0.05</w:t>
            </w:r>
          </w:p>
        </w:tc>
        <w:tc>
          <w:tcPr>
            <w:tcW w:w="540"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w:t>
            </w:r>
          </w:p>
        </w:tc>
        <w:tc>
          <w:tcPr>
            <w:tcW w:w="539"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&lt;0.01</w:t>
            </w:r>
          </w:p>
        </w:tc>
        <w:tc>
          <w:tcPr>
            <w:tcW w:w="630"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&lt;0.08</w:t>
            </w:r>
          </w:p>
        </w:tc>
        <w:tc>
          <w:tcPr>
            <w:tcW w:w="540"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&lt;0.03</w:t>
            </w:r>
          </w:p>
        </w:tc>
        <w:tc>
          <w:tcPr>
            <w:tcW w:w="538" w:type="dxa"/>
            <w:tcBorders>
              <w:bottom w:val="single" w:sz="4" w:space="0" w:color="000000"/>
              <w:right w:val="single" w:sz="4" w:space="0" w:color="000000"/>
            </w:tcBorders>
            <w:tcMar>
              <w:left w:w="108" w:type="dxa"/>
              <w:right w:w="108" w:type="dxa"/>
            </w:tcMar>
          </w:tcPr>
          <w:p w:rsidR="00AB5339" w:rsidRDefault="00AB5339">
            <w:pPr>
              <w:widowControl w:val="0"/>
              <w:jc w:val="center"/>
              <w:rPr>
                <w:color w:val="000000"/>
                <w:sz w:val="20"/>
                <w:lang w:val="en-US" w:bidi="hi-IN"/>
              </w:rPr>
            </w:pPr>
          </w:p>
          <w:p w:rsidR="00AB5339" w:rsidRDefault="00620D34">
            <w:pPr>
              <w:widowControl w:val="0"/>
              <w:jc w:val="center"/>
              <w:rPr>
                <w:color w:val="000000"/>
                <w:sz w:val="20"/>
                <w:lang w:val="en-US" w:bidi="hi-IN"/>
              </w:rPr>
            </w:pPr>
            <w:r>
              <w:rPr>
                <w:color w:val="000000"/>
                <w:sz w:val="20"/>
                <w:lang w:val="en-US" w:bidi="hi-IN"/>
              </w:rPr>
              <w:t>0.2</w:t>
            </w:r>
          </w:p>
        </w:tc>
      </w:tr>
      <w:tr w:rsidR="00AB5339">
        <w:trPr>
          <w:trHeight w:val="573"/>
          <w:jc w:val="center"/>
        </w:trPr>
        <w:tc>
          <w:tcPr>
            <w:tcW w:w="984" w:type="dxa"/>
            <w:tcBorders>
              <w:left w:val="single" w:sz="4" w:space="0" w:color="000000"/>
              <w:bottom w:val="single" w:sz="4" w:space="0" w:color="000000"/>
              <w:right w:val="single" w:sz="4" w:space="0" w:color="000000"/>
            </w:tcBorders>
            <w:shd w:val="clear" w:color="auto" w:fill="auto"/>
            <w:vAlign w:val="center"/>
          </w:tcPr>
          <w:p w:rsidR="00AB5339" w:rsidRDefault="00620D34">
            <w:pPr>
              <w:widowControl w:val="0"/>
              <w:jc w:val="center"/>
              <w:rPr>
                <w:bCs/>
                <w:color w:val="000000"/>
                <w:sz w:val="20"/>
                <w:lang w:val="en-US" w:bidi="hi-IN"/>
              </w:rPr>
            </w:pPr>
            <w:r>
              <w:rPr>
                <w:bCs/>
                <w:color w:val="000000"/>
                <w:sz w:val="20"/>
                <w:lang w:val="en-US" w:bidi="hi-IN"/>
              </w:rPr>
              <w:t>SS304L(N) Base</w:t>
            </w:r>
          </w:p>
        </w:tc>
        <w:tc>
          <w:tcPr>
            <w:tcW w:w="541"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0.04 ±0.01</w:t>
            </w:r>
          </w:p>
        </w:tc>
        <w:tc>
          <w:tcPr>
            <w:tcW w:w="540"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0.10 ±0.01</w:t>
            </w:r>
          </w:p>
        </w:tc>
        <w:tc>
          <w:tcPr>
            <w:tcW w:w="450"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9.5 ±0.5</w:t>
            </w:r>
          </w:p>
        </w:tc>
        <w:tc>
          <w:tcPr>
            <w:tcW w:w="449"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17.7 ±0.5</w:t>
            </w:r>
          </w:p>
        </w:tc>
        <w:tc>
          <w:tcPr>
            <w:tcW w:w="630"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0.24 ±0.02</w:t>
            </w:r>
          </w:p>
        </w:tc>
        <w:tc>
          <w:tcPr>
            <w:tcW w:w="630"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1.8 ±0.05</w:t>
            </w:r>
          </w:p>
        </w:tc>
        <w:tc>
          <w:tcPr>
            <w:tcW w:w="630"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0.46 ±0.02</w:t>
            </w:r>
          </w:p>
        </w:tc>
        <w:tc>
          <w:tcPr>
            <w:tcW w:w="541"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0.25 ±0.02</w:t>
            </w:r>
          </w:p>
        </w:tc>
        <w:tc>
          <w:tcPr>
            <w:tcW w:w="540"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0.12 ±0.02</w:t>
            </w:r>
          </w:p>
        </w:tc>
        <w:tc>
          <w:tcPr>
            <w:tcW w:w="540"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0.06 ±0.01</w:t>
            </w:r>
          </w:p>
        </w:tc>
        <w:tc>
          <w:tcPr>
            <w:tcW w:w="540"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0.12 ±0.02</w:t>
            </w:r>
          </w:p>
        </w:tc>
        <w:tc>
          <w:tcPr>
            <w:tcW w:w="539"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&lt;0.01</w:t>
            </w:r>
          </w:p>
        </w:tc>
        <w:tc>
          <w:tcPr>
            <w:tcW w:w="630"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&lt;0.08</w:t>
            </w:r>
          </w:p>
        </w:tc>
        <w:tc>
          <w:tcPr>
            <w:tcW w:w="540" w:type="dxa"/>
            <w:tcBorders>
              <w:bottom w:val="single" w:sz="4" w:space="0" w:color="000000"/>
              <w:right w:val="single" w:sz="4" w:space="0" w:color="000000"/>
            </w:tcBorders>
            <w:shd w:val="clear" w:color="auto" w:fill="auto"/>
            <w:vAlign w:val="center"/>
          </w:tcPr>
          <w:p w:rsidR="00AB5339" w:rsidRDefault="00620D34">
            <w:pPr>
              <w:widowControl w:val="0"/>
              <w:jc w:val="center"/>
              <w:rPr>
                <w:color w:val="000000"/>
                <w:sz w:val="20"/>
                <w:lang w:val="en-US" w:bidi="hi-IN"/>
              </w:rPr>
            </w:pPr>
            <w:r>
              <w:rPr>
                <w:color w:val="000000"/>
                <w:sz w:val="20"/>
                <w:lang w:val="en-US" w:bidi="hi-IN"/>
              </w:rPr>
              <w:t>&lt;0.03</w:t>
            </w:r>
          </w:p>
        </w:tc>
        <w:tc>
          <w:tcPr>
            <w:tcW w:w="538" w:type="dxa"/>
            <w:tcBorders>
              <w:bottom w:val="single" w:sz="4" w:space="0" w:color="000000"/>
              <w:right w:val="single" w:sz="4" w:space="0" w:color="000000"/>
            </w:tcBorders>
            <w:tcMar>
              <w:left w:w="108" w:type="dxa"/>
              <w:right w:w="108" w:type="dxa"/>
            </w:tcMar>
          </w:tcPr>
          <w:p w:rsidR="00AB5339" w:rsidRDefault="00AB5339">
            <w:pPr>
              <w:widowControl w:val="0"/>
              <w:jc w:val="center"/>
              <w:rPr>
                <w:color w:val="000000"/>
                <w:sz w:val="20"/>
                <w:lang w:val="en-US" w:bidi="hi-IN"/>
              </w:rPr>
            </w:pPr>
          </w:p>
          <w:p w:rsidR="00AB5339" w:rsidRDefault="00620D34">
            <w:pPr>
              <w:widowControl w:val="0"/>
              <w:jc w:val="center"/>
              <w:rPr>
                <w:color w:val="000000"/>
                <w:sz w:val="20"/>
                <w:lang w:val="en-US" w:bidi="hi-IN"/>
              </w:rPr>
            </w:pPr>
            <w:r>
              <w:rPr>
                <w:color w:val="000000"/>
                <w:sz w:val="20"/>
                <w:lang w:val="en-US" w:bidi="hi-IN"/>
              </w:rPr>
              <w:t>0.5</w:t>
            </w:r>
          </w:p>
        </w:tc>
      </w:tr>
    </w:tbl>
    <w:p w:rsidR="00AB5339" w:rsidRDefault="00620D34">
      <w:pPr>
        <w:pStyle w:val="BodyText"/>
        <w:ind w:firstLine="0"/>
      </w:pPr>
      <w:r>
        <w:t>*FN: Ferrite Number</w:t>
      </w:r>
    </w:p>
    <w:p w:rsidR="00AB5339" w:rsidRDefault="00AB5339">
      <w:pPr>
        <w:pStyle w:val="BodyText"/>
        <w:ind w:firstLine="0"/>
      </w:pPr>
    </w:p>
    <w:p w:rsidR="00AB5339" w:rsidRDefault="00620D34">
      <w:pPr>
        <w:pStyle w:val="BodyText"/>
        <w:keepNext/>
      </w:pPr>
      <w:r>
        <w:rPr>
          <w:noProof/>
          <w:lang w:val="en-US"/>
        </w:rPr>
        <w:drawing>
          <wp:inline distT="0" distB="0" distL="0" distR="0">
            <wp:extent cx="5303520" cy="2767965"/>
            <wp:effectExtent l="0" t="0" r="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
                    <pic:cNvPicPr>
                      <a:picLocks noChangeAspect="1" noChangeArrowheads="1"/>
                    </pic:cNvPicPr>
                  </pic:nvPicPr>
                  <pic:blipFill>
                    <a:blip r:embed="rId11"/>
                    <a:stretch>
                      <a:fillRect/>
                    </a:stretch>
                  </pic:blipFill>
                  <pic:spPr bwMode="auto">
                    <a:xfrm>
                      <a:off x="0" y="0"/>
                      <a:ext cx="5303520" cy="2767965"/>
                    </a:xfrm>
                    <a:prstGeom prst="rect">
                      <a:avLst/>
                    </a:prstGeom>
                  </pic:spPr>
                </pic:pic>
              </a:graphicData>
            </a:graphic>
          </wp:inline>
        </w:drawing>
      </w:r>
    </w:p>
    <w:p w:rsidR="00AB5339" w:rsidRDefault="00620D34">
      <w:pPr>
        <w:pStyle w:val="Caption"/>
        <w:rPr>
          <w:i/>
          <w:iCs/>
          <w:lang w:val="en-GB"/>
        </w:rPr>
      </w:pPr>
      <w:r>
        <w:rPr>
          <w:i/>
          <w:iCs/>
        </w:rPr>
        <w:t xml:space="preserve">FIG.1 Schematic of the </w:t>
      </w:r>
      <w:r>
        <w:rPr>
          <w:i/>
          <w:iCs/>
          <w:lang w:val="en-GB"/>
        </w:rPr>
        <w:t xml:space="preserve">specimens (a) sub-size tensile specimen (b) Disc specimen of </w:t>
      </w:r>
      <w:smartTag w:uri="urn:schemas-microsoft-com:office:smarttags" w:element="metricconverter">
        <w:smartTagPr>
          <w:attr w:name="ProductID" w:val="0.5 mm"/>
        </w:smartTagPr>
        <w:r>
          <w:rPr>
            <w:i/>
            <w:iCs/>
            <w:lang w:val="en-GB"/>
          </w:rPr>
          <w:t>0.5 mm</w:t>
        </w:r>
      </w:smartTag>
      <w:r>
        <w:rPr>
          <w:i/>
          <w:iCs/>
          <w:lang w:val="en-GB"/>
        </w:rPr>
        <w:t xml:space="preserve"> thickness and (c) sub-size Charpy V-notch specimen (All dimensions in mm)</w:t>
      </w:r>
    </w:p>
    <w:p w:rsidR="00AB5339" w:rsidRDefault="00620D34">
      <w:pPr>
        <w:pStyle w:val="Heading3"/>
        <w:numPr>
          <w:ilvl w:val="2"/>
          <w:numId w:val="6"/>
        </w:numPr>
      </w:pPr>
      <w:r>
        <w:t>Post-irradiation Examinations</w:t>
      </w:r>
    </w:p>
    <w:p w:rsidR="00AB5339" w:rsidRDefault="00620D34">
      <w:pPr>
        <w:pStyle w:val="BodyText"/>
        <w:rPr>
          <w:lang w:val="en-IN"/>
        </w:rPr>
      </w:pPr>
      <w:r>
        <w:t xml:space="preserve">The experimental sub-assemblies were dismantled in hot cells for retrieval of irradiated specimens. </w:t>
      </w:r>
      <w:r>
        <w:rPr>
          <w:lang w:val="en-IN"/>
        </w:rPr>
        <w:t>Uniaxial tensile tests were carried out using a 20kN capacity screw driven UTM as per the ASTM E-8 and ASTM E-21 standards. In this campaign, tensile tests were performed at 340</w:t>
      </w:r>
      <w:r>
        <w:rPr>
          <w:rFonts w:ascii="Symbol" w:eastAsia="Symbol" w:hAnsi="Symbol" w:cs="Symbol"/>
          <w:lang w:val="en-IN"/>
        </w:rPr>
        <w:t></w:t>
      </w:r>
      <w:r>
        <w:rPr>
          <w:lang w:val="en-IN"/>
        </w:rPr>
        <w:t>C to keep the recovery effects due to imposed temperature minimal and to obtain a conservative estimate of the ductility. The stress-strain curve of each irradiated condition was determined from load-crosshead displacement data and analysed to estimate the 0.2% offset Yield Strength (YS), Ultimate Tensile Strength (UTS) and residual ductility. The ductility values were defined by the parameters [2] Strain to Necking (</w:t>
      </w:r>
      <w:smartTag w:uri="urn:schemas-microsoft-com:office:smarttags" w:element="stockticker">
        <w:r>
          <w:rPr>
            <w:lang w:val="en-IN"/>
          </w:rPr>
          <w:t>STN</w:t>
        </w:r>
      </w:smartTag>
      <w:r>
        <w:rPr>
          <w:lang w:val="en-IN"/>
        </w:rPr>
        <w:t>) and Strain to Failure (STF).</w:t>
      </w:r>
      <w:r w:rsidR="00420CF3">
        <w:rPr>
          <w:lang w:val="en-IN"/>
        </w:rPr>
        <w:t xml:space="preserve"> </w:t>
      </w:r>
      <w:r>
        <w:rPr>
          <w:lang w:val="en-IN"/>
        </w:rPr>
        <w:t xml:space="preserve">Impact tests on irradiated CVN specimens were carried out using a 450J capacity pendulum type instrumented impact testing machine as per ASTM E-23 procedures. Impact tests were conducted at a velocity of 5.23 m/s at ambient </w:t>
      </w:r>
      <w:r>
        <w:rPr>
          <w:lang w:val="en-IN"/>
        </w:rPr>
        <w:lastRenderedPageBreak/>
        <w:t xml:space="preserve">temperature. The absorbed energy was measured by the optical encoder based on fall and rise angles of the pendulum hammer </w:t>
      </w:r>
      <w:r w:rsidR="00420CF3">
        <w:rPr>
          <w:lang w:val="en-IN"/>
        </w:rPr>
        <w:t xml:space="preserve">while </w:t>
      </w:r>
      <w:r>
        <w:rPr>
          <w:lang w:val="en-IN"/>
        </w:rPr>
        <w:t>the dynamic yield load (P</w:t>
      </w:r>
      <w:r>
        <w:rPr>
          <w:vertAlign w:val="subscript"/>
          <w:lang w:val="en-IN"/>
        </w:rPr>
        <w:t>gy</w:t>
      </w:r>
      <w:r>
        <w:rPr>
          <w:lang w:val="en-IN"/>
        </w:rPr>
        <w:t>), and peak load (P</w:t>
      </w:r>
      <w:r>
        <w:rPr>
          <w:vertAlign w:val="subscript"/>
          <w:lang w:val="en-IN"/>
        </w:rPr>
        <w:t>m</w:t>
      </w:r>
      <w:r>
        <w:rPr>
          <w:lang w:val="en-IN"/>
        </w:rPr>
        <w:t>) were determined by analysis</w:t>
      </w:r>
      <w:r w:rsidR="0038190D">
        <w:rPr>
          <w:lang w:val="en-IN"/>
        </w:rPr>
        <w:t xml:space="preserve"> </w:t>
      </w:r>
      <w:r>
        <w:rPr>
          <w:lang w:val="en-IN"/>
        </w:rPr>
        <w:t xml:space="preserve">of the load (P)-deflection data. Two tensile and impact tests were conducted for each of dpa condition. </w:t>
      </w:r>
    </w:p>
    <w:p w:rsidR="00AB5339" w:rsidRDefault="00620D34">
      <w:pPr>
        <w:pStyle w:val="BodyText"/>
        <w:rPr>
          <w:lang w:val="en-US"/>
        </w:rPr>
      </w:pPr>
      <w:r>
        <w:rPr>
          <w:lang w:val="en-IN"/>
        </w:rPr>
        <w:t>Microstructural characterisation of irradiated conditions was carried out using Transmission Electron Microscope (</w:t>
      </w:r>
      <w:smartTag w:uri="urn:schemas-microsoft-com:office:smarttags" w:element="stockticker">
        <w:r>
          <w:rPr>
            <w:lang w:val="en-IN"/>
          </w:rPr>
          <w:t>TEM</w:t>
        </w:r>
      </w:smartTag>
      <w:r>
        <w:rPr>
          <w:lang w:val="en-IN"/>
        </w:rPr>
        <w:t xml:space="preserve">) operated at 120kV. Discs of </w:t>
      </w:r>
      <w:smartTag w:uri="urn:schemas-microsoft-com:office:smarttags" w:element="metricconverter">
        <w:smartTagPr>
          <w:attr w:name="ProductID" w:val="3.0 mm"/>
        </w:smartTagPr>
        <w:r>
          <w:rPr>
            <w:lang w:val="en-IN"/>
          </w:rPr>
          <w:t>3.0 mm</w:t>
        </w:r>
      </w:smartTag>
      <w:r>
        <w:rPr>
          <w:lang w:val="en-IN"/>
        </w:rPr>
        <w:t xml:space="preserve"> diameter and </w:t>
      </w:r>
      <w:smartTag w:uri="urn:schemas-microsoft-com:office:smarttags" w:element="metricconverter">
        <w:smartTagPr>
          <w:attr w:name="ProductID" w:val="0.5 mm"/>
        </w:smartTagPr>
        <w:r>
          <w:rPr>
            <w:lang w:val="en-IN"/>
          </w:rPr>
          <w:t>0.5 mm</w:t>
        </w:r>
      </w:smartTag>
      <w:r>
        <w:rPr>
          <w:lang w:val="en-IN"/>
        </w:rPr>
        <w:t xml:space="preserve"> thick punched from </w:t>
      </w:r>
      <w:smartTag w:uri="urn:schemas-microsoft-com:office:smarttags" w:element="metricconverter">
        <w:smartTagPr>
          <w:attr w:name="ProductID" w:val="8.0 mm"/>
        </w:smartTagPr>
        <w:r>
          <w:rPr>
            <w:lang w:val="en-IN"/>
          </w:rPr>
          <w:t>8.0 mm</w:t>
        </w:r>
      </w:smartTag>
      <w:r>
        <w:rPr>
          <w:lang w:val="en-IN"/>
        </w:rPr>
        <w:t xml:space="preserve"> diameter samples were mechanically ground </w:t>
      </w:r>
      <w:r>
        <w:t xml:space="preserve">to a thickness of 50 microns, followed by electrolytic thinning using a twin jet polisher to obtain electron transparent regions. The presence of magnetic phases were inferred through </w:t>
      </w:r>
      <w:r>
        <w:rPr>
          <w:lang w:val="en-US"/>
        </w:rPr>
        <w:t xml:space="preserve">ferrite measurements </w:t>
      </w:r>
      <w:r>
        <w:t xml:space="preserve">using a Fisher FMP-30 Ferrite scope (precision: ±0.05 FN) </w:t>
      </w:r>
      <w:r>
        <w:rPr>
          <w:lang w:val="en-US"/>
        </w:rPr>
        <w:t xml:space="preserve">on disc specimen prior to deformation. X-ray Diffraction (XRD) patterns of the unirradiated and irradiated samples were collected from 3mm diameter disc specimens using synchrotron radiation of wavelength 0.828Å at Raja Ramanna Centre for Advanced Technology (RRCAT), </w:t>
      </w:r>
      <w:smartTag w:uri="urn:schemas-microsoft-com:office:smarttags" w:element="place">
        <w:smartTag w:uri="urn:schemas-microsoft-com:office:smarttags" w:element="country-region">
          <w:r>
            <w:rPr>
              <w:lang w:val="en-US"/>
            </w:rPr>
            <w:t>India</w:t>
          </w:r>
        </w:smartTag>
      </w:smartTag>
      <w:r>
        <w:rPr>
          <w:lang w:val="en-US"/>
        </w:rPr>
        <w:t>. Diffracted signals were collected in the 2θ range of 20°-50°</w:t>
      </w:r>
      <w:r w:rsidR="0038190D">
        <w:rPr>
          <w:lang w:val="en-US"/>
        </w:rPr>
        <w:t xml:space="preserve"> </w:t>
      </w:r>
      <w:r>
        <w:rPr>
          <w:lang w:val="en-US"/>
        </w:rPr>
        <w:t>with a step size of 0.0029° using MYTHEN detector and analyzed. For subtracting the instrumental broadening, NIST standard silicon sample was used.</w:t>
      </w:r>
    </w:p>
    <w:p w:rsidR="00AB5339" w:rsidRDefault="00AB5339">
      <w:pPr>
        <w:pStyle w:val="BodyText"/>
      </w:pPr>
    </w:p>
    <w:p w:rsidR="00AB5339" w:rsidRDefault="00620D34">
      <w:pPr>
        <w:pStyle w:val="BodyText"/>
        <w:tabs>
          <w:tab w:val="left" w:pos="567"/>
          <w:tab w:val="left" w:pos="709"/>
        </w:tabs>
        <w:ind w:firstLine="0"/>
      </w:pPr>
      <w:r>
        <w:t>3.0 RESULTS</w:t>
      </w:r>
    </w:p>
    <w:p w:rsidR="00AB5339" w:rsidRDefault="00620D34">
      <w:pPr>
        <w:pStyle w:val="Heading3"/>
        <w:numPr>
          <w:ilvl w:val="0"/>
          <w:numId w:val="0"/>
        </w:numPr>
      </w:pPr>
      <w:r>
        <w:t>3.1Tensile Test Results</w:t>
      </w:r>
    </w:p>
    <w:p w:rsidR="00AB5339" w:rsidRDefault="00620D34">
      <w:pPr>
        <w:pStyle w:val="BodyText"/>
        <w:rPr>
          <w:lang w:val="en-IN"/>
        </w:rPr>
      </w:pPr>
      <w:r>
        <w:t xml:space="preserve">Stress-strain curves (Fig. 2a) clearly show an increase in strength (both YS and UTS) and a decrease in the ductility with increase in dpa. The rate of increase in YS with dpa is higher than that of UTS. With increase in irradiation damage, the narrowing of the gap between YS and UTS manifests as a loss of work hardening and uniform elongation. One interesting observation was that of a sigmoidal or two-stage hardening in 5.08 dpa specimen of SS304L(N) not observed in any other irradiation condition of SS316L(N) and SS304L(N). Similar peculiarities in the plastic flow of irradiated stainless steels have been reported [3] </w:t>
      </w:r>
      <w:r>
        <w:rPr>
          <w:lang w:val="en-IN"/>
        </w:rPr>
        <w:t>as due to t</w:t>
      </w:r>
      <w:r>
        <w:rPr>
          <w:lang w:val="en-US"/>
        </w:rPr>
        <w:t xml:space="preserve">he formation and accumulation of deformation </w:t>
      </w:r>
      <w:r>
        <w:rPr>
          <w:lang w:val="en-IN"/>
        </w:rPr>
        <w:t xml:space="preserve">induced </w:t>
      </w:r>
      <w:r>
        <w:rPr>
          <w:lang w:val="en-US"/>
        </w:rPr>
        <w:t xml:space="preserve">martensite </w:t>
      </w:r>
      <w:r>
        <w:rPr>
          <w:lang w:val="en-IN"/>
        </w:rPr>
        <w:t>in irradiated steels leading to an increase in strain hardening rate and ductility. The microstructural investigations on the deformed 5.08 dpa SS304L(N) samples are reported in the later section.</w:t>
      </w:r>
    </w:p>
    <w:p w:rsidR="00AB5339" w:rsidRDefault="00620D34">
      <w:pPr>
        <w:pStyle w:val="BodyText"/>
      </w:pPr>
      <w:r>
        <w:rPr>
          <w:lang w:val="en-IN"/>
        </w:rPr>
        <w:t xml:space="preserve">The trends of strength and uniform elongation of irradiated SS316L(N) and SS304L(N) are compared in Fig.2b. It can be seen that the </w:t>
      </w:r>
      <w:r>
        <w:t xml:space="preserve">SS 304L(N) exhibits a higher rate of hardening with dpa and correspondingly a lower ductility compared to SS316L(N) at all dpa. At 3.54 dpa, </w:t>
      </w:r>
      <w:r w:rsidR="00C51134">
        <w:t>the uniform elongation of SS316</w:t>
      </w:r>
      <w:r>
        <w:t xml:space="preserve">L(N) drops by ~25%, while in SS304L(N), the uniform elongation reduces significantly by 74% to 0.05. </w:t>
      </w:r>
    </w:p>
    <w:p w:rsidR="00AB5339" w:rsidRDefault="00AB5339">
      <w:pPr>
        <w:pStyle w:val="BodyText"/>
      </w:pPr>
    </w:p>
    <w:p w:rsidR="00AB5339" w:rsidRDefault="00620D34">
      <w:pPr>
        <w:pStyle w:val="BodyText"/>
        <w:jc w:val="left"/>
        <w:rPr>
          <w:i/>
          <w:iCs/>
          <w:sz w:val="18"/>
          <w:szCs w:val="18"/>
        </w:rPr>
      </w:pPr>
      <w:r>
        <w:rPr>
          <w:noProof/>
          <w:lang w:val="en-US"/>
        </w:rPr>
        <w:drawing>
          <wp:anchor distT="0" distB="0" distL="114300" distR="114300" simplePos="0" relativeHeight="11" behindDoc="0" locked="0" layoutInCell="0" allowOverlap="1">
            <wp:simplePos x="0" y="0"/>
            <wp:positionH relativeFrom="column">
              <wp:posOffset>11430</wp:posOffset>
            </wp:positionH>
            <wp:positionV relativeFrom="paragraph">
              <wp:posOffset>635</wp:posOffset>
            </wp:positionV>
            <wp:extent cx="5727700" cy="2242820"/>
            <wp:effectExtent l="0" t="0" r="0" b="0"/>
            <wp:wrapTight wrapText="bothSides">
              <wp:wrapPolygon edited="0">
                <wp:start x="-71" y="0"/>
                <wp:lineTo x="-71" y="21463"/>
                <wp:lineTo x="21622" y="21463"/>
                <wp:lineTo x="21622" y="0"/>
                <wp:lineTo x="-71" y="0"/>
              </wp:wrapPolygon>
            </wp:wrapTight>
            <wp:docPr id="2" name="Picture 11" descr="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Picture3.jpg"/>
                    <pic:cNvPicPr>
                      <a:picLocks noChangeAspect="1" noChangeArrowheads="1"/>
                    </pic:cNvPicPr>
                  </pic:nvPicPr>
                  <pic:blipFill>
                    <a:blip r:embed="rId12"/>
                    <a:stretch>
                      <a:fillRect/>
                    </a:stretch>
                  </pic:blipFill>
                  <pic:spPr bwMode="auto">
                    <a:xfrm>
                      <a:off x="0" y="0"/>
                      <a:ext cx="5727700" cy="2242820"/>
                    </a:xfrm>
                    <a:prstGeom prst="rect">
                      <a:avLst/>
                    </a:prstGeom>
                  </pic:spPr>
                </pic:pic>
              </a:graphicData>
            </a:graphic>
          </wp:anchor>
        </w:drawing>
      </w:r>
      <w:r>
        <w:rPr>
          <w:i/>
          <w:iCs/>
          <w:sz w:val="18"/>
          <w:szCs w:val="18"/>
        </w:rPr>
        <w:t xml:space="preserve">FIG. 2: (a) Engineering stress-strain curves and (b) </w:t>
      </w:r>
      <w:r>
        <w:rPr>
          <w:i/>
          <w:iCs/>
          <w:sz w:val="18"/>
          <w:szCs w:val="18"/>
          <w:lang w:val="en-IN"/>
        </w:rPr>
        <w:t>trends in YS and uniform elongation of SS316L(N) and SS304L(N) as a function of dpa</w:t>
      </w:r>
    </w:p>
    <w:p w:rsidR="00AB5339" w:rsidRDefault="00620D34">
      <w:pPr>
        <w:pStyle w:val="Heading3"/>
        <w:numPr>
          <w:ilvl w:val="0"/>
          <w:numId w:val="0"/>
        </w:numPr>
      </w:pPr>
      <w:r>
        <w:t xml:space="preserve">3.2       Impact tests </w:t>
      </w:r>
    </w:p>
    <w:p w:rsidR="00AB5339" w:rsidRDefault="00620D34">
      <w:pPr>
        <w:pStyle w:val="BodyText"/>
        <w:ind w:firstLine="0"/>
        <w:rPr>
          <w:lang w:val="en-IN"/>
        </w:rPr>
      </w:pPr>
      <w:r>
        <w:tab/>
        <w:t>The impact energy (C</w:t>
      </w:r>
      <w:r>
        <w:rPr>
          <w:vertAlign w:val="subscript"/>
        </w:rPr>
        <w:t>v</w:t>
      </w:r>
      <w:r>
        <w:t>) of SS316L(N) showed no significant change as displacement damage increased to 5.6 dpa, while C</w:t>
      </w:r>
      <w:r>
        <w:rPr>
          <w:vertAlign w:val="subscript"/>
        </w:rPr>
        <w:t>v</w:t>
      </w:r>
      <w:r>
        <w:t xml:space="preserve"> of SS </w:t>
      </w:r>
      <w:smartTag w:uri="urn:schemas-microsoft-com:office:smarttags" w:element="metricconverter">
        <w:smartTagPr>
          <w:attr w:name="ProductID" w:val="304 L"/>
        </w:smartTagPr>
        <w:r>
          <w:t>304 L</w:t>
        </w:r>
      </w:smartTag>
      <w:r>
        <w:t xml:space="preserve">(N) decreased marginally by ~10% at 3.8 dpa and by ~25% at 5.2 dpa. None of the irradiated CVN specimens completely separated into two halves indicating ductile behaviour of both </w:t>
      </w:r>
      <w:r>
        <w:lastRenderedPageBreak/>
        <w:t xml:space="preserve">316L(N) and 304L(N) steels at room temperature. </w:t>
      </w:r>
      <w:r>
        <w:rPr>
          <w:lang w:val="en-IN"/>
        </w:rPr>
        <w:t xml:space="preserve">The load (P) - displacement (d) data were analysed as per ASTM 2298 to estimate general yield load, </w:t>
      </w:r>
      <w:r>
        <w:rPr>
          <w:iCs/>
          <w:lang w:val="en-IN"/>
        </w:rPr>
        <w:t>P</w:t>
      </w:r>
      <w:r>
        <w:rPr>
          <w:iCs/>
          <w:vertAlign w:val="subscript"/>
          <w:lang w:val="en-IN"/>
        </w:rPr>
        <w:t>gy</w:t>
      </w:r>
      <w:r>
        <w:rPr>
          <w:lang w:val="en-IN"/>
        </w:rPr>
        <w:t>. This was determined as the load at the intersection of the initial straight-line portion of the load (</w:t>
      </w:r>
      <w:r>
        <w:rPr>
          <w:iCs/>
          <w:lang w:val="en-IN"/>
        </w:rPr>
        <w:t xml:space="preserve">P) - displacement (d) </w:t>
      </w:r>
      <w:r>
        <w:rPr>
          <w:lang w:val="en-IN"/>
        </w:rPr>
        <w:t xml:space="preserve">curve representing elastic deformation and a quadratic curve fitted to </w:t>
      </w:r>
      <w:r>
        <w:rPr>
          <w:iCs/>
          <w:lang w:val="en-IN"/>
        </w:rPr>
        <w:t xml:space="preserve">P-d </w:t>
      </w:r>
      <w:r>
        <w:rPr>
          <w:lang w:val="en-IN"/>
        </w:rPr>
        <w:t>pairs slightly after yielding to maximum load (</w:t>
      </w:r>
      <w:r>
        <w:rPr>
          <w:iCs/>
          <w:lang w:val="en-IN"/>
        </w:rPr>
        <w:t>P</w:t>
      </w:r>
      <w:r>
        <w:rPr>
          <w:iCs/>
          <w:vertAlign w:val="subscript"/>
          <w:lang w:val="en-IN"/>
        </w:rPr>
        <w:t>max</w:t>
      </w:r>
      <w:r>
        <w:rPr>
          <w:lang w:val="en-IN"/>
        </w:rPr>
        <w:t>). Following are the salient observations. (i) A</w:t>
      </w:r>
      <w:r>
        <w:t xml:space="preserve"> higher increase in dynamic yield load (</w:t>
      </w:r>
      <w:r>
        <w:rPr>
          <w:lang w:val="en-IN"/>
        </w:rPr>
        <w:t>P</w:t>
      </w:r>
      <w:r>
        <w:rPr>
          <w:vertAlign w:val="subscript"/>
          <w:lang w:val="en-IN"/>
        </w:rPr>
        <w:t>gy</w:t>
      </w:r>
      <w:r>
        <w:rPr>
          <w:lang w:val="en-IN"/>
        </w:rPr>
        <w:t>)</w:t>
      </w:r>
      <w:r>
        <w:t xml:space="preserve"> for SS304L(N) as compared to SS 316L(N) with increase in dpa and (ii) </w:t>
      </w:r>
      <w:r>
        <w:rPr>
          <w:lang w:val="en-IN"/>
        </w:rPr>
        <w:t>P</w:t>
      </w:r>
      <w:r>
        <w:rPr>
          <w:vertAlign w:val="subscript"/>
          <w:lang w:val="en-IN"/>
        </w:rPr>
        <w:t>max</w:t>
      </w:r>
      <w:r>
        <w:rPr>
          <w:lang w:val="en-IN"/>
        </w:rPr>
        <w:t>/P</w:t>
      </w:r>
      <w:r>
        <w:rPr>
          <w:vertAlign w:val="subscript"/>
          <w:lang w:val="en-IN"/>
        </w:rPr>
        <w:t>gy</w:t>
      </w:r>
      <w:r>
        <w:rPr>
          <w:lang w:val="en-IN"/>
        </w:rPr>
        <w:t xml:space="preserve"> (a measure of ductility, closeness to 1.0 implies brittle) decreases considerably beyond 2.5 dpa for SS304L(N) compared to SS316L(N) as seen in Fig.3. The higher dynamic yield load and the larger decrease in the impact energy as well as P</w:t>
      </w:r>
      <w:r>
        <w:rPr>
          <w:vertAlign w:val="subscript"/>
          <w:lang w:val="en-IN"/>
        </w:rPr>
        <w:t>max</w:t>
      </w:r>
      <w:r>
        <w:rPr>
          <w:lang w:val="en-IN"/>
        </w:rPr>
        <w:t>/P</w:t>
      </w:r>
      <w:r>
        <w:rPr>
          <w:vertAlign w:val="subscript"/>
          <w:lang w:val="en-IN"/>
        </w:rPr>
        <w:t>gy</w:t>
      </w:r>
      <w:r>
        <w:rPr>
          <w:lang w:val="en-IN"/>
        </w:rPr>
        <w:t xml:space="preserve"> exhibited by SS304L(N) with dpa, as compared SS316L(N), are similar to trends of strength and ductility obtained in uniaxial tensile tests.</w:t>
      </w:r>
    </w:p>
    <w:p w:rsidR="00AB5339" w:rsidRDefault="00AB5339">
      <w:pPr>
        <w:pStyle w:val="BodyText"/>
        <w:ind w:firstLine="0"/>
        <w:rPr>
          <w:lang w:val="en-IN"/>
        </w:rPr>
      </w:pPr>
    </w:p>
    <w:p w:rsidR="00AB5339" w:rsidRDefault="007C40FB">
      <w:pPr>
        <w:pStyle w:val="BodyText"/>
        <w:ind w:firstLine="0"/>
      </w:pPr>
      <w:r w:rsidRPr="007C40FB">
        <w:rPr>
          <w:noProof/>
          <w:lang w:val="en-US"/>
        </w:rPr>
        <w:drawing>
          <wp:inline distT="0" distB="0" distL="0" distR="0">
            <wp:extent cx="2862173" cy="2236071"/>
            <wp:effectExtent l="19050" t="0" r="0" b="0"/>
            <wp:docPr id="14" name="Picture 3" descr="12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tif"/>
                    <pic:cNvPicPr/>
                  </pic:nvPicPr>
                  <pic:blipFill>
                    <a:blip r:embed="rId13"/>
                    <a:srcRect l="5102" t="9363" r="12310" b="6367"/>
                    <a:stretch>
                      <a:fillRect/>
                    </a:stretch>
                  </pic:blipFill>
                  <pic:spPr>
                    <a:xfrm>
                      <a:off x="0" y="0"/>
                      <a:ext cx="2873617" cy="2245011"/>
                    </a:xfrm>
                    <a:prstGeom prst="rect">
                      <a:avLst/>
                    </a:prstGeom>
                  </pic:spPr>
                </pic:pic>
              </a:graphicData>
            </a:graphic>
          </wp:inline>
        </w:drawing>
      </w:r>
      <w:r w:rsidR="00620D34">
        <w:rPr>
          <w:noProof/>
          <w:lang w:val="en-US"/>
        </w:rPr>
        <w:drawing>
          <wp:inline distT="0" distB="0" distL="0" distR="0">
            <wp:extent cx="2716835" cy="2186080"/>
            <wp:effectExtent l="19050" t="0" r="7315" b="0"/>
            <wp:docPr id="4" name="Picture 14" descr="1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descr="123.tif"/>
                    <pic:cNvPicPr>
                      <a:picLocks noChangeAspect="1" noChangeArrowheads="1"/>
                    </pic:cNvPicPr>
                  </pic:nvPicPr>
                  <pic:blipFill>
                    <a:blip r:embed="rId14"/>
                    <a:stretch>
                      <a:fillRect/>
                    </a:stretch>
                  </pic:blipFill>
                  <pic:spPr bwMode="auto">
                    <a:xfrm>
                      <a:off x="0" y="0"/>
                      <a:ext cx="2716230" cy="2185593"/>
                    </a:xfrm>
                    <a:prstGeom prst="rect">
                      <a:avLst/>
                    </a:prstGeom>
                  </pic:spPr>
                </pic:pic>
              </a:graphicData>
            </a:graphic>
          </wp:inline>
        </w:drawing>
      </w:r>
    </w:p>
    <w:p w:rsidR="00AB5339" w:rsidRDefault="00620D34">
      <w:pPr>
        <w:pStyle w:val="BodyText"/>
        <w:jc w:val="center"/>
        <w:rPr>
          <w:i/>
          <w:iCs/>
          <w:sz w:val="18"/>
          <w:szCs w:val="18"/>
          <w:lang w:val="en-IN"/>
        </w:rPr>
      </w:pPr>
      <w:r>
        <w:rPr>
          <w:i/>
          <w:iCs/>
          <w:sz w:val="18"/>
          <w:szCs w:val="18"/>
        </w:rPr>
        <w:t xml:space="preserve">FIG. 3: </w:t>
      </w:r>
      <w:r>
        <w:rPr>
          <w:i/>
          <w:iCs/>
          <w:sz w:val="18"/>
          <w:szCs w:val="18"/>
          <w:lang w:val="en-IN"/>
        </w:rPr>
        <w:t>The load-displacement curves and trend of P</w:t>
      </w:r>
      <w:r>
        <w:rPr>
          <w:i/>
          <w:iCs/>
          <w:sz w:val="18"/>
          <w:szCs w:val="18"/>
          <w:vertAlign w:val="subscript"/>
          <w:lang w:val="en-IN"/>
        </w:rPr>
        <w:t>max</w:t>
      </w:r>
      <w:r>
        <w:rPr>
          <w:i/>
          <w:iCs/>
          <w:sz w:val="18"/>
          <w:szCs w:val="18"/>
          <w:lang w:val="en-IN"/>
        </w:rPr>
        <w:t>/P</w:t>
      </w:r>
      <w:r>
        <w:rPr>
          <w:i/>
          <w:iCs/>
          <w:sz w:val="18"/>
          <w:szCs w:val="18"/>
          <w:vertAlign w:val="subscript"/>
          <w:lang w:val="en-IN"/>
        </w:rPr>
        <w:t xml:space="preserve">gy </w:t>
      </w:r>
      <w:r>
        <w:rPr>
          <w:i/>
          <w:iCs/>
          <w:sz w:val="18"/>
          <w:szCs w:val="18"/>
          <w:lang w:val="en-IN"/>
        </w:rPr>
        <w:t>for SS316</w:t>
      </w:r>
      <w:r w:rsidR="006248A5">
        <w:rPr>
          <w:i/>
          <w:iCs/>
          <w:sz w:val="18"/>
          <w:szCs w:val="18"/>
          <w:lang w:val="en-IN"/>
        </w:rPr>
        <w:t xml:space="preserve"> </w:t>
      </w:r>
      <w:r>
        <w:rPr>
          <w:i/>
          <w:iCs/>
          <w:sz w:val="18"/>
          <w:szCs w:val="18"/>
          <w:lang w:val="en-IN"/>
        </w:rPr>
        <w:t>L(N) and SS304</w:t>
      </w:r>
      <w:r w:rsidR="006248A5">
        <w:rPr>
          <w:i/>
          <w:iCs/>
          <w:sz w:val="18"/>
          <w:szCs w:val="18"/>
          <w:lang w:val="en-IN"/>
        </w:rPr>
        <w:t xml:space="preserve"> </w:t>
      </w:r>
      <w:r>
        <w:rPr>
          <w:i/>
          <w:iCs/>
          <w:sz w:val="18"/>
          <w:szCs w:val="18"/>
          <w:lang w:val="en-IN"/>
        </w:rPr>
        <w:t>L(N) as function of dpa</w:t>
      </w:r>
    </w:p>
    <w:p w:rsidR="00AB5339" w:rsidRDefault="00620D34">
      <w:pPr>
        <w:pStyle w:val="Heading3"/>
        <w:numPr>
          <w:ilvl w:val="1"/>
          <w:numId w:val="10"/>
        </w:numPr>
      </w:pPr>
      <w:r>
        <w:t>Microscopy</w:t>
      </w:r>
    </w:p>
    <w:p w:rsidR="00AB5339" w:rsidRDefault="00620D34">
      <w:pPr>
        <w:pStyle w:val="BodyText"/>
        <w:rPr>
          <w:lang w:val="en-US"/>
        </w:rPr>
      </w:pPr>
      <w:smartTag w:uri="urn:schemas-microsoft-com:office:smarttags" w:element="stockticker">
        <w:r>
          <w:rPr>
            <w:lang w:val="en-US"/>
          </w:rPr>
          <w:t>TEM</w:t>
        </w:r>
      </w:smartTag>
      <w:r>
        <w:rPr>
          <w:lang w:val="en-US"/>
        </w:rPr>
        <w:t xml:space="preserve"> examination of SS304L(N) base metal samples of 1.76 dpa and 3.54 dpa showed dislocation pile ups at various locations, while formation of dislocation loops and stacking fault tetrahedra were observed for 3.54 dpa sample (Fig. 4). SS316L(N) base metal exhibited lower number density of irradiation induced loops even at 5.08 dpa, as compared to 3.54 dpa of SS304 L(N).</w:t>
      </w:r>
      <w:r w:rsidR="00EA62E8">
        <w:rPr>
          <w:lang w:val="en-US"/>
        </w:rPr>
        <w:t xml:space="preserve"> </w:t>
      </w:r>
      <w:r>
        <w:rPr>
          <w:lang w:val="en-US"/>
        </w:rPr>
        <w:t>The higher density of dislocation loops in SS304L(N)</w:t>
      </w:r>
      <w:r w:rsidR="00EA62E8">
        <w:rPr>
          <w:lang w:val="en-US"/>
        </w:rPr>
        <w:t xml:space="preserve"> </w:t>
      </w:r>
      <w:r>
        <w:rPr>
          <w:lang w:val="en-US"/>
        </w:rPr>
        <w:t>as compared to SS316L(N)</w:t>
      </w:r>
      <w:r w:rsidR="00EA62E8">
        <w:rPr>
          <w:lang w:val="en-US"/>
        </w:rPr>
        <w:t xml:space="preserve"> </w:t>
      </w:r>
      <w:r>
        <w:rPr>
          <w:lang w:val="en-US"/>
        </w:rPr>
        <w:t xml:space="preserve">leads to larger increase in strength and reduced work hardening capability causing higher decrease in strain to necking. </w:t>
      </w:r>
    </w:p>
    <w:p w:rsidR="00AB5339" w:rsidRDefault="00AB5339">
      <w:pPr>
        <w:pStyle w:val="BodyText"/>
        <w:ind w:firstLine="0"/>
        <w:jc w:val="center"/>
        <w:rPr>
          <w:lang w:val="en-US" w:bidi="hi-IN"/>
        </w:rPr>
      </w:pPr>
    </w:p>
    <w:p w:rsidR="00F01369" w:rsidRDefault="00F01369">
      <w:pPr>
        <w:pStyle w:val="BodyText"/>
        <w:ind w:firstLine="0"/>
        <w:jc w:val="center"/>
        <w:rPr>
          <w:lang w:val="en-US" w:bidi="hi-IN"/>
        </w:rPr>
      </w:pPr>
      <w:r>
        <w:rPr>
          <w:noProof/>
          <w:lang w:val="en-US"/>
        </w:rPr>
        <w:drawing>
          <wp:inline distT="0" distB="0" distL="0" distR="0">
            <wp:extent cx="3900822" cy="1836115"/>
            <wp:effectExtent l="19050" t="0" r="4428" b="0"/>
            <wp:docPr id="13" name="Picture 12" descr="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a:blip r:embed="rId15"/>
                    <a:stretch>
                      <a:fillRect/>
                    </a:stretch>
                  </pic:blipFill>
                  <pic:spPr>
                    <a:xfrm>
                      <a:off x="0" y="0"/>
                      <a:ext cx="3909626" cy="1840259"/>
                    </a:xfrm>
                    <a:prstGeom prst="rect">
                      <a:avLst/>
                    </a:prstGeom>
                  </pic:spPr>
                </pic:pic>
              </a:graphicData>
            </a:graphic>
          </wp:inline>
        </w:drawing>
      </w:r>
    </w:p>
    <w:p w:rsidR="00AB5339" w:rsidRDefault="00620D34">
      <w:pPr>
        <w:jc w:val="center"/>
        <w:rPr>
          <w:i/>
          <w:iCs/>
          <w:sz w:val="18"/>
          <w:szCs w:val="18"/>
        </w:rPr>
      </w:pPr>
      <w:r>
        <w:rPr>
          <w:i/>
          <w:iCs/>
          <w:sz w:val="18"/>
          <w:szCs w:val="18"/>
        </w:rPr>
        <w:t xml:space="preserve">FIG. 4: </w:t>
      </w:r>
      <w:smartTag w:uri="urn:schemas-microsoft-com:office:smarttags" w:element="stockticker">
        <w:r>
          <w:rPr>
            <w:i/>
            <w:iCs/>
            <w:sz w:val="18"/>
            <w:szCs w:val="18"/>
          </w:rPr>
          <w:t>TEM</w:t>
        </w:r>
      </w:smartTag>
      <w:r>
        <w:rPr>
          <w:i/>
          <w:iCs/>
          <w:sz w:val="18"/>
          <w:szCs w:val="18"/>
        </w:rPr>
        <w:t xml:space="preserve"> images (a)</w:t>
      </w:r>
      <w:r w:rsidR="007C40FB">
        <w:rPr>
          <w:i/>
          <w:iCs/>
          <w:sz w:val="18"/>
          <w:szCs w:val="18"/>
        </w:rPr>
        <w:t xml:space="preserve"> </w:t>
      </w:r>
      <w:r>
        <w:rPr>
          <w:i/>
          <w:iCs/>
          <w:sz w:val="18"/>
          <w:szCs w:val="18"/>
        </w:rPr>
        <w:t>dislocation loops in 3.54 dpa SS304 L(N)and (b) dislocation pile ups in 5 dpa SS316 L(N)</w:t>
      </w:r>
    </w:p>
    <w:p w:rsidR="00AB5339" w:rsidRDefault="00AB5339">
      <w:pPr>
        <w:pStyle w:val="BodyText"/>
        <w:tabs>
          <w:tab w:val="left" w:pos="709"/>
        </w:tabs>
        <w:rPr>
          <w:lang w:val="en-US"/>
        </w:rPr>
      </w:pPr>
    </w:p>
    <w:p w:rsidR="00AB5339" w:rsidRDefault="00620D34">
      <w:pPr>
        <w:pStyle w:val="BodyText"/>
        <w:tabs>
          <w:tab w:val="left" w:pos="709"/>
        </w:tabs>
        <w:rPr>
          <w:bCs/>
          <w:lang w:val="en-US"/>
        </w:rPr>
      </w:pPr>
      <w:smartTag w:uri="urn:schemas-microsoft-com:office:smarttags" w:element="stockticker">
        <w:r>
          <w:rPr>
            <w:lang w:val="en-US"/>
          </w:rPr>
          <w:t>SEM</w:t>
        </w:r>
      </w:smartTag>
      <w:r>
        <w:rPr>
          <w:lang w:val="en-US"/>
        </w:rPr>
        <w:t xml:space="preserve"> examination of metallographically prepared specimen from deformed gage section of 5.08 dpa</w:t>
      </w:r>
      <w:r w:rsidR="00490E5B">
        <w:rPr>
          <w:lang w:val="en-US"/>
        </w:rPr>
        <w:t xml:space="preserve"> </w:t>
      </w:r>
      <w:r>
        <w:rPr>
          <w:lang w:val="en-US"/>
        </w:rPr>
        <w:t>SS304L(N) showed formation of chain of secondary phases (Fig. 5). X</w:t>
      </w:r>
      <w:r>
        <w:rPr>
          <w:lang w:val="en-IN"/>
        </w:rPr>
        <w:t xml:space="preserve">EDS mapping carried out on this area indicated enrichment of chromium and a corresponding depletion of nickel in the secondary phase relative to the initial composition. </w:t>
      </w:r>
      <w:r>
        <w:rPr>
          <w:bCs/>
          <w:lang w:val="en-US"/>
        </w:rPr>
        <w:t xml:space="preserve">Quantitative </w:t>
      </w:r>
      <w:r>
        <w:rPr>
          <w:lang w:val="en-IN"/>
        </w:rPr>
        <w:t>elemental spot analysis using WDS indicated that nickel content is lower by ~1.2 wt% while</w:t>
      </w:r>
      <w:r w:rsidR="00490E5B">
        <w:rPr>
          <w:lang w:val="en-IN"/>
        </w:rPr>
        <w:t xml:space="preserve"> </w:t>
      </w:r>
      <w:r>
        <w:rPr>
          <w:lang w:val="en-IN"/>
        </w:rPr>
        <w:t>chromium content is higher by ~1 wt% in the secondary phase as compared to parent material. Using the chemical composition obtained in two different regions, the stacking fault energy (</w:t>
      </w:r>
      <w:smartTag w:uri="urn:schemas-microsoft-com:office:smarttags" w:element="stockticker">
        <w:r>
          <w:rPr>
            <w:lang w:val="en-IN"/>
          </w:rPr>
          <w:t>SFE</w:t>
        </w:r>
      </w:smartTag>
      <w:r>
        <w:rPr>
          <w:lang w:val="en-IN"/>
        </w:rPr>
        <w:t xml:space="preserve">) was </w:t>
      </w:r>
      <w:r>
        <w:rPr>
          <w:lang w:val="en-IN"/>
        </w:rPr>
        <w:lastRenderedPageBreak/>
        <w:t>estimated using the equation</w:t>
      </w:r>
      <w:r w:rsidR="00420CF3">
        <w:rPr>
          <w:lang w:val="en-IN"/>
        </w:rPr>
        <w:t xml:space="preserve"> [4]</w:t>
      </w:r>
      <w:r>
        <w:rPr>
          <w:lang w:val="en-IN"/>
        </w:rPr>
        <w:t xml:space="preserve">: </w:t>
      </w:r>
      <w:smartTag w:uri="urn:schemas-microsoft-com:office:smarttags" w:element="stockticker">
        <w:r>
          <w:rPr>
            <w:lang w:val="en-IN"/>
          </w:rPr>
          <w:t>SFE</w:t>
        </w:r>
      </w:smartTag>
      <w:r>
        <w:rPr>
          <w:lang w:val="en-IN"/>
        </w:rPr>
        <w:t xml:space="preserve"> (mJ.m</w:t>
      </w:r>
      <w:r>
        <w:rPr>
          <w:vertAlign w:val="superscript"/>
          <w:lang w:val="en-IN"/>
        </w:rPr>
        <w:t>-2</w:t>
      </w:r>
      <w:r>
        <w:rPr>
          <w:lang w:val="en-IN"/>
        </w:rPr>
        <w:t>) = -53 + 6.2(%Ni) + 0.7(%Cr) + 3.2(%Mn) + 9.3(%Mo)</w:t>
      </w:r>
      <w:r w:rsidR="009B58AA">
        <w:rPr>
          <w:lang w:val="en-IN"/>
        </w:rPr>
        <w:t xml:space="preserve"> </w:t>
      </w:r>
      <w:r>
        <w:rPr>
          <w:lang w:val="en-IN"/>
        </w:rPr>
        <w:t xml:space="preserve">as </w:t>
      </w:r>
      <w:r>
        <w:t>18.3mJ/m</w:t>
      </w:r>
      <w:r>
        <w:rPr>
          <w:vertAlign w:val="superscript"/>
        </w:rPr>
        <w:t>2</w:t>
      </w:r>
      <w:r>
        <w:t xml:space="preserve"> for secondary phase and 25.4mJ/m</w:t>
      </w:r>
      <w:r>
        <w:rPr>
          <w:vertAlign w:val="superscript"/>
        </w:rPr>
        <w:t>2</w:t>
      </w:r>
      <w:r>
        <w:t xml:space="preserve"> for parent phase. The reduced </w:t>
      </w:r>
      <w:smartTag w:uri="urn:schemas-microsoft-com:office:smarttags" w:element="stockticker">
        <w:r>
          <w:t>SFE</w:t>
        </w:r>
      </w:smartTag>
      <w:r>
        <w:t xml:space="preserve"> due to micro chemical segregation could possibly lead to activation of martensitic transformations as reported by Wharry </w:t>
      </w:r>
      <w:r w:rsidR="00B546E4" w:rsidRPr="00B546E4">
        <w:rPr>
          <w:i/>
          <w:iCs/>
        </w:rPr>
        <w:t>et al</w:t>
      </w:r>
      <w:r>
        <w:t>. [</w:t>
      </w:r>
      <w:r w:rsidR="00410B61">
        <w:t>5</w:t>
      </w:r>
      <w:r>
        <w:t xml:space="preserve">] </w:t>
      </w:r>
      <w:r>
        <w:rPr>
          <w:lang w:val="en-IN"/>
        </w:rPr>
        <w:t>The fractographic analysis of the tensile tested SS304</w:t>
      </w:r>
      <w:r w:rsidR="007C40FB">
        <w:rPr>
          <w:lang w:val="en-IN"/>
        </w:rPr>
        <w:t xml:space="preserve"> </w:t>
      </w:r>
      <w:r>
        <w:rPr>
          <w:lang w:val="en-IN"/>
        </w:rPr>
        <w:t xml:space="preserve">L(N) steel irradiated to 5.08 dpa indicated </w:t>
      </w:r>
      <w:r>
        <w:rPr>
          <w:lang w:val="en-US"/>
        </w:rPr>
        <w:t xml:space="preserve">ductile features along with series </w:t>
      </w:r>
      <w:r w:rsidRPr="007C40FB">
        <w:rPr>
          <w:lang w:val="en-US"/>
        </w:rPr>
        <w:t xml:space="preserve">of </w:t>
      </w:r>
      <w:r w:rsidR="00CE3AC6" w:rsidRPr="00490E5B">
        <w:rPr>
          <w:lang w:val="en-US"/>
        </w:rPr>
        <w:t>cavities</w:t>
      </w:r>
      <w:r w:rsidR="007C40FB" w:rsidRPr="00490E5B">
        <w:rPr>
          <w:lang w:val="en-US"/>
        </w:rPr>
        <w:t xml:space="preserve"> </w:t>
      </w:r>
      <w:r w:rsidRPr="00490E5B">
        <w:rPr>
          <w:bCs/>
          <w:lang w:val="en-US"/>
        </w:rPr>
        <w:t>(</w:t>
      </w:r>
      <w:r>
        <w:rPr>
          <w:bCs/>
          <w:lang w:val="en-US"/>
        </w:rPr>
        <w:t>Fig.6) at locations corresponding to the secondary phase.</w:t>
      </w:r>
    </w:p>
    <w:p w:rsidR="007C40FB" w:rsidRDefault="007C40FB">
      <w:pPr>
        <w:pStyle w:val="BodyText"/>
        <w:tabs>
          <w:tab w:val="left" w:pos="709"/>
        </w:tabs>
        <w:rPr>
          <w:lang w:val="en-US"/>
        </w:rPr>
      </w:pPr>
      <w:r>
        <w:rPr>
          <w:noProof/>
          <w:lang w:val="en-US"/>
        </w:rPr>
        <w:drawing>
          <wp:anchor distT="0" distB="0" distL="114300" distR="114300" simplePos="0" relativeHeight="7" behindDoc="0" locked="0" layoutInCell="0" allowOverlap="1">
            <wp:simplePos x="0" y="0"/>
            <wp:positionH relativeFrom="column">
              <wp:posOffset>549275</wp:posOffset>
            </wp:positionH>
            <wp:positionV relativeFrom="paragraph">
              <wp:posOffset>147320</wp:posOffset>
            </wp:positionV>
            <wp:extent cx="4863465" cy="1923415"/>
            <wp:effectExtent l="19050" t="0" r="0" b="0"/>
            <wp:wrapTight wrapText="bothSides">
              <wp:wrapPolygon edited="0">
                <wp:start x="-85" y="0"/>
                <wp:lineTo x="-85" y="21393"/>
                <wp:lineTo x="21575" y="21393"/>
                <wp:lineTo x="21575" y="0"/>
                <wp:lineTo x="-85"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6"/>
                    <a:stretch>
                      <a:fillRect/>
                    </a:stretch>
                  </pic:blipFill>
                  <pic:spPr bwMode="auto">
                    <a:xfrm>
                      <a:off x="0" y="0"/>
                      <a:ext cx="4863465" cy="1923415"/>
                    </a:xfrm>
                    <a:prstGeom prst="rect">
                      <a:avLst/>
                    </a:prstGeom>
                  </pic:spPr>
                </pic:pic>
              </a:graphicData>
            </a:graphic>
          </wp:anchor>
        </w:drawing>
      </w:r>
    </w:p>
    <w:p w:rsidR="00AB5339" w:rsidRDefault="00AB5339">
      <w:pPr>
        <w:pStyle w:val="BodyText"/>
        <w:tabs>
          <w:tab w:val="left" w:pos="709"/>
        </w:tabs>
        <w:rPr>
          <w:lang w:val="en-US"/>
        </w:rPr>
      </w:pPr>
    </w:p>
    <w:p w:rsidR="007C40FB" w:rsidRDefault="007C40FB">
      <w:pPr>
        <w:pStyle w:val="BodyText"/>
        <w:ind w:firstLine="0"/>
        <w:rPr>
          <w:i/>
          <w:iCs/>
          <w:sz w:val="18"/>
          <w:szCs w:val="18"/>
        </w:rPr>
      </w:pPr>
    </w:p>
    <w:p w:rsidR="007C40FB" w:rsidRDefault="007C40FB">
      <w:pPr>
        <w:pStyle w:val="BodyText"/>
        <w:ind w:firstLine="0"/>
        <w:rPr>
          <w:i/>
          <w:iCs/>
          <w:sz w:val="18"/>
          <w:szCs w:val="18"/>
        </w:rPr>
      </w:pPr>
    </w:p>
    <w:p w:rsidR="007C40FB" w:rsidRDefault="007C40FB">
      <w:pPr>
        <w:pStyle w:val="BodyText"/>
        <w:ind w:firstLine="0"/>
        <w:rPr>
          <w:i/>
          <w:iCs/>
          <w:sz w:val="18"/>
          <w:szCs w:val="18"/>
        </w:rPr>
      </w:pPr>
    </w:p>
    <w:p w:rsidR="007C40FB" w:rsidRDefault="007C40FB">
      <w:pPr>
        <w:pStyle w:val="BodyText"/>
        <w:ind w:firstLine="0"/>
        <w:rPr>
          <w:i/>
          <w:iCs/>
          <w:sz w:val="18"/>
          <w:szCs w:val="18"/>
        </w:rPr>
      </w:pPr>
    </w:p>
    <w:p w:rsidR="007C40FB" w:rsidRDefault="007C40FB">
      <w:pPr>
        <w:pStyle w:val="BodyText"/>
        <w:ind w:firstLine="0"/>
        <w:rPr>
          <w:i/>
          <w:iCs/>
          <w:sz w:val="18"/>
          <w:szCs w:val="18"/>
        </w:rPr>
      </w:pPr>
    </w:p>
    <w:p w:rsidR="007C40FB" w:rsidRDefault="007C40FB">
      <w:pPr>
        <w:pStyle w:val="BodyText"/>
        <w:ind w:firstLine="0"/>
        <w:rPr>
          <w:i/>
          <w:iCs/>
          <w:sz w:val="18"/>
          <w:szCs w:val="18"/>
        </w:rPr>
      </w:pPr>
    </w:p>
    <w:p w:rsidR="007C40FB" w:rsidRDefault="007C40FB">
      <w:pPr>
        <w:pStyle w:val="BodyText"/>
        <w:ind w:firstLine="0"/>
        <w:rPr>
          <w:i/>
          <w:iCs/>
          <w:sz w:val="18"/>
          <w:szCs w:val="18"/>
        </w:rPr>
      </w:pPr>
    </w:p>
    <w:p w:rsidR="007C40FB" w:rsidRDefault="007C40FB">
      <w:pPr>
        <w:pStyle w:val="BodyText"/>
        <w:ind w:firstLine="0"/>
        <w:rPr>
          <w:i/>
          <w:iCs/>
          <w:sz w:val="18"/>
          <w:szCs w:val="18"/>
        </w:rPr>
      </w:pPr>
    </w:p>
    <w:p w:rsidR="007C40FB" w:rsidRDefault="007C40FB">
      <w:pPr>
        <w:pStyle w:val="BodyText"/>
        <w:ind w:firstLine="0"/>
        <w:rPr>
          <w:i/>
          <w:iCs/>
          <w:sz w:val="18"/>
          <w:szCs w:val="18"/>
        </w:rPr>
      </w:pPr>
    </w:p>
    <w:p w:rsidR="007C40FB" w:rsidRDefault="007C40FB">
      <w:pPr>
        <w:pStyle w:val="BodyText"/>
        <w:ind w:firstLine="0"/>
        <w:rPr>
          <w:i/>
          <w:iCs/>
          <w:sz w:val="18"/>
          <w:szCs w:val="18"/>
        </w:rPr>
      </w:pPr>
    </w:p>
    <w:p w:rsidR="004B2371" w:rsidRDefault="004B2371">
      <w:pPr>
        <w:pStyle w:val="BodyText"/>
        <w:ind w:firstLine="0"/>
        <w:rPr>
          <w:i/>
          <w:iCs/>
          <w:sz w:val="18"/>
          <w:szCs w:val="18"/>
        </w:rPr>
      </w:pPr>
    </w:p>
    <w:p w:rsidR="00AB5339" w:rsidRDefault="00620D34">
      <w:pPr>
        <w:pStyle w:val="BodyText"/>
        <w:ind w:firstLine="0"/>
        <w:rPr>
          <w:i/>
          <w:iCs/>
          <w:sz w:val="18"/>
          <w:szCs w:val="18"/>
        </w:rPr>
      </w:pPr>
      <w:r>
        <w:rPr>
          <w:i/>
          <w:iCs/>
          <w:sz w:val="18"/>
          <w:szCs w:val="18"/>
        </w:rPr>
        <w:t xml:space="preserve">FIG. 5: a) Morphology and (b) </w:t>
      </w:r>
      <w:smartTag w:uri="urn:schemas-microsoft-com:office:smarttags" w:element="stockticker">
        <w:r w:rsidR="00410B61">
          <w:rPr>
            <w:i/>
            <w:iCs/>
            <w:sz w:val="18"/>
            <w:szCs w:val="18"/>
          </w:rPr>
          <w:t>SEM</w:t>
        </w:r>
      </w:smartTag>
      <w:r w:rsidR="00410B61">
        <w:rPr>
          <w:i/>
          <w:iCs/>
          <w:sz w:val="18"/>
          <w:szCs w:val="18"/>
        </w:rPr>
        <w:t xml:space="preserve"> XEDS </w:t>
      </w:r>
      <w:r>
        <w:rPr>
          <w:i/>
          <w:iCs/>
          <w:sz w:val="18"/>
          <w:szCs w:val="18"/>
        </w:rPr>
        <w:t>mapping of irradiated (5.08 dpa), tensile testedSS304 L(N) showing secondary phase with higher chromium content and lower nickel content.</w:t>
      </w:r>
    </w:p>
    <w:p w:rsidR="00490E5B" w:rsidRDefault="00490E5B">
      <w:pPr>
        <w:pStyle w:val="BodyText"/>
        <w:ind w:firstLine="0"/>
        <w:rPr>
          <w:i/>
          <w:iCs/>
          <w:sz w:val="18"/>
          <w:szCs w:val="18"/>
        </w:rPr>
      </w:pPr>
    </w:p>
    <w:p w:rsidR="00490E5B" w:rsidRDefault="00490E5B" w:rsidP="00490E5B">
      <w:pPr>
        <w:pStyle w:val="BodyText"/>
        <w:tabs>
          <w:tab w:val="left" w:pos="709"/>
        </w:tabs>
        <w:jc w:val="center"/>
        <w:rPr>
          <w:bCs/>
          <w:i/>
          <w:iCs/>
          <w:sz w:val="18"/>
          <w:szCs w:val="18"/>
          <w:lang w:val="en-US"/>
        </w:rPr>
      </w:pPr>
      <w:r>
        <w:rPr>
          <w:noProof/>
          <w:lang w:val="en-US"/>
        </w:rPr>
        <w:drawing>
          <wp:inline distT="0" distB="0" distL="0" distR="0">
            <wp:extent cx="2676871" cy="1726387"/>
            <wp:effectExtent l="19050" t="0" r="9179" b="0"/>
            <wp:docPr id="15" name="Picture 14" descr="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jpg"/>
                    <pic:cNvPicPr/>
                  </pic:nvPicPr>
                  <pic:blipFill>
                    <a:blip r:embed="rId17"/>
                    <a:stretch>
                      <a:fillRect/>
                    </a:stretch>
                  </pic:blipFill>
                  <pic:spPr>
                    <a:xfrm>
                      <a:off x="0" y="0"/>
                      <a:ext cx="2685631" cy="1732036"/>
                    </a:xfrm>
                    <a:prstGeom prst="rect">
                      <a:avLst/>
                    </a:prstGeom>
                  </pic:spPr>
                </pic:pic>
              </a:graphicData>
            </a:graphic>
          </wp:inline>
        </w:drawing>
      </w:r>
    </w:p>
    <w:p w:rsidR="00AB5339" w:rsidRDefault="00620D34" w:rsidP="00490E5B">
      <w:pPr>
        <w:jc w:val="center"/>
        <w:rPr>
          <w:bCs/>
          <w:i/>
          <w:iCs/>
          <w:sz w:val="18"/>
          <w:szCs w:val="18"/>
          <w:lang w:val="en-US"/>
        </w:rPr>
      </w:pPr>
      <w:r>
        <w:rPr>
          <w:bCs/>
          <w:i/>
          <w:iCs/>
          <w:sz w:val="18"/>
          <w:szCs w:val="18"/>
          <w:lang w:val="en-US"/>
        </w:rPr>
        <w:t>Fig. 6: Fractograph of tensile tested SS304L(N) of 5.08 dpa showing series of cavities</w:t>
      </w:r>
    </w:p>
    <w:p w:rsidR="00AB5339" w:rsidRDefault="00620D34">
      <w:pPr>
        <w:pStyle w:val="Heading3"/>
        <w:numPr>
          <w:ilvl w:val="1"/>
          <w:numId w:val="10"/>
        </w:numPr>
        <w:rPr>
          <w:lang w:val="en-US"/>
        </w:rPr>
      </w:pPr>
      <w:r>
        <w:rPr>
          <w:lang w:val="en-US"/>
        </w:rPr>
        <w:t>Ferrite content measurements</w:t>
      </w:r>
    </w:p>
    <w:p w:rsidR="00AB5339" w:rsidRDefault="00620D34">
      <w:pPr>
        <w:pStyle w:val="BodyText"/>
        <w:rPr>
          <w:lang w:val="en-US"/>
        </w:rPr>
      </w:pPr>
      <w:r>
        <w:rPr>
          <w:lang w:val="en-US"/>
        </w:rPr>
        <w:t>The variation in the ferrite number of irradiated disc specimens (</w:t>
      </w:r>
      <w:r w:rsidR="00A102FC">
        <w:rPr>
          <w:color w:val="0E101A"/>
        </w:rPr>
        <w:t>undeformed</w:t>
      </w:r>
      <w:r>
        <w:rPr>
          <w:lang w:val="en-US"/>
        </w:rPr>
        <w:t xml:space="preserve">) of 316L(N) and 304L(N) at various dpa is shown in Fig. 7. The irradiated SS304L(N) were seen to exhibit higher ferrite number compared to the unirradiated condition as well as that of irradiated SS316L(N). The increased ferrite content suggests possible </w:t>
      </w:r>
      <w:r>
        <w:rPr>
          <w:rFonts w:ascii="Symbol" w:eastAsia="Symbol" w:hAnsi="Symbol" w:cs="Symbol"/>
          <w:lang w:val="en-US"/>
        </w:rPr>
        <w:t></w:t>
      </w:r>
      <w:r>
        <w:rPr>
          <w:lang w:val="en-US"/>
        </w:rPr>
        <w:t xml:space="preserve"> to </w:t>
      </w:r>
      <w:r>
        <w:rPr>
          <w:rFonts w:ascii="Symbol" w:eastAsia="Symbol" w:hAnsi="Symbol" w:cs="Symbol"/>
          <w:lang w:val="en-US"/>
        </w:rPr>
        <w:t></w:t>
      </w:r>
      <w:r>
        <w:rPr>
          <w:lang w:val="en-US"/>
        </w:rPr>
        <w:t xml:space="preserve"> transformation under neutron irradiation. This has been reported by Gusev et al. [</w:t>
      </w:r>
      <w:r w:rsidR="00410B61">
        <w:rPr>
          <w:lang w:val="en-US"/>
        </w:rPr>
        <w:t>6</w:t>
      </w:r>
      <w:r>
        <w:rPr>
          <w:lang w:val="en-US"/>
        </w:rPr>
        <w:t>] for irradiated austenitic stainless steels</w:t>
      </w:r>
      <w:r w:rsidR="0078773A">
        <w:rPr>
          <w:lang w:val="en-US"/>
        </w:rPr>
        <w:t>.</w:t>
      </w:r>
    </w:p>
    <w:p w:rsidR="00AB5339" w:rsidRDefault="005B2C96">
      <w:pPr>
        <w:pStyle w:val="BodyText"/>
        <w:rPr>
          <w:lang w:val="en-US"/>
        </w:rPr>
      </w:pPr>
      <w:r>
        <w:rPr>
          <w:noProof/>
          <w:lang w:val="en-US"/>
        </w:rPr>
        <w:drawing>
          <wp:anchor distT="0" distB="0" distL="114300" distR="114300" simplePos="0" relativeHeight="9" behindDoc="0" locked="0" layoutInCell="0" allowOverlap="1">
            <wp:simplePos x="0" y="0"/>
            <wp:positionH relativeFrom="column">
              <wp:posOffset>1635125</wp:posOffset>
            </wp:positionH>
            <wp:positionV relativeFrom="paragraph">
              <wp:posOffset>3810</wp:posOffset>
            </wp:positionV>
            <wp:extent cx="2460625" cy="2011680"/>
            <wp:effectExtent l="19050" t="0" r="0" b="0"/>
            <wp:wrapTight wrapText="bothSides">
              <wp:wrapPolygon edited="0">
                <wp:start x="-167" y="0"/>
                <wp:lineTo x="-167" y="21477"/>
                <wp:lineTo x="21572" y="21477"/>
                <wp:lineTo x="21572" y="0"/>
                <wp:lineTo x="-167"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8"/>
                    <a:stretch>
                      <a:fillRect/>
                    </a:stretch>
                  </pic:blipFill>
                  <pic:spPr bwMode="auto">
                    <a:xfrm>
                      <a:off x="0" y="0"/>
                      <a:ext cx="2460625" cy="2011680"/>
                    </a:xfrm>
                    <a:prstGeom prst="rect">
                      <a:avLst/>
                    </a:prstGeom>
                  </pic:spPr>
                </pic:pic>
              </a:graphicData>
            </a:graphic>
          </wp:anchor>
        </w:drawing>
      </w:r>
    </w:p>
    <w:p w:rsidR="00AB5339" w:rsidRDefault="00AB5339">
      <w:pPr>
        <w:pStyle w:val="Heading3"/>
        <w:numPr>
          <w:ilvl w:val="0"/>
          <w:numId w:val="0"/>
        </w:numPr>
        <w:tabs>
          <w:tab w:val="left" w:pos="8505"/>
        </w:tabs>
      </w:pPr>
    </w:p>
    <w:p w:rsidR="00AB5339" w:rsidRDefault="00AB5339">
      <w:pPr>
        <w:pStyle w:val="Heading3"/>
        <w:numPr>
          <w:ilvl w:val="0"/>
          <w:numId w:val="0"/>
        </w:numPr>
        <w:tabs>
          <w:tab w:val="left" w:pos="8505"/>
        </w:tabs>
      </w:pPr>
    </w:p>
    <w:p w:rsidR="00AB5339" w:rsidRDefault="00AB5339">
      <w:pPr>
        <w:pStyle w:val="Heading3"/>
        <w:numPr>
          <w:ilvl w:val="0"/>
          <w:numId w:val="0"/>
        </w:numPr>
        <w:tabs>
          <w:tab w:val="left" w:pos="8505"/>
        </w:tabs>
      </w:pPr>
    </w:p>
    <w:p w:rsidR="00AB5339" w:rsidRDefault="00AB5339">
      <w:pPr>
        <w:pStyle w:val="Heading3"/>
        <w:numPr>
          <w:ilvl w:val="0"/>
          <w:numId w:val="0"/>
        </w:numPr>
        <w:tabs>
          <w:tab w:val="left" w:pos="8505"/>
        </w:tabs>
      </w:pPr>
    </w:p>
    <w:p w:rsidR="005B2C96" w:rsidRPr="005B2C96" w:rsidRDefault="005B2C96" w:rsidP="005B2C96">
      <w:pPr>
        <w:pStyle w:val="BodyText"/>
      </w:pPr>
    </w:p>
    <w:p w:rsidR="005B2C96" w:rsidRDefault="005B2C96" w:rsidP="005B2C96">
      <w:pPr>
        <w:pStyle w:val="BodyText"/>
      </w:pPr>
    </w:p>
    <w:p w:rsidR="005B2C96" w:rsidRPr="005B2C96" w:rsidRDefault="005B2C96" w:rsidP="005B2C96">
      <w:pPr>
        <w:pStyle w:val="BodyText"/>
      </w:pPr>
    </w:p>
    <w:p w:rsidR="00AB5339" w:rsidRDefault="00620D34">
      <w:pPr>
        <w:pStyle w:val="BodyText"/>
        <w:ind w:firstLine="0"/>
        <w:jc w:val="left"/>
        <w:rPr>
          <w:i/>
          <w:iCs/>
          <w:sz w:val="18"/>
          <w:szCs w:val="18"/>
        </w:rPr>
      </w:pPr>
      <w:r>
        <w:rPr>
          <w:i/>
          <w:iCs/>
          <w:sz w:val="18"/>
          <w:szCs w:val="18"/>
        </w:rPr>
        <w:t xml:space="preserve">FIG. 7: Ferrite </w:t>
      </w:r>
      <w:r w:rsidR="00162C7F">
        <w:rPr>
          <w:i/>
          <w:iCs/>
          <w:sz w:val="18"/>
          <w:szCs w:val="18"/>
        </w:rPr>
        <w:t>number measurements</w:t>
      </w:r>
      <w:r>
        <w:rPr>
          <w:i/>
          <w:iCs/>
          <w:sz w:val="18"/>
          <w:szCs w:val="18"/>
        </w:rPr>
        <w:t xml:space="preserve"> on irradi</w:t>
      </w:r>
      <w:r w:rsidR="00A35EF7">
        <w:rPr>
          <w:i/>
          <w:iCs/>
          <w:sz w:val="18"/>
          <w:szCs w:val="18"/>
        </w:rPr>
        <w:t>ated specimen surfaces of SS316L(N) and SS304</w:t>
      </w:r>
      <w:r>
        <w:rPr>
          <w:i/>
          <w:iCs/>
          <w:sz w:val="18"/>
          <w:szCs w:val="18"/>
        </w:rPr>
        <w:t>L(N) as</w:t>
      </w:r>
      <w:r w:rsidR="004B2371">
        <w:rPr>
          <w:i/>
          <w:iCs/>
          <w:sz w:val="18"/>
          <w:szCs w:val="18"/>
        </w:rPr>
        <w:t xml:space="preserve"> </w:t>
      </w:r>
      <w:r>
        <w:rPr>
          <w:i/>
          <w:iCs/>
          <w:sz w:val="18"/>
          <w:szCs w:val="18"/>
        </w:rPr>
        <w:t>a function of dpa</w:t>
      </w:r>
    </w:p>
    <w:p w:rsidR="00AB5339" w:rsidRDefault="00620D34">
      <w:pPr>
        <w:pStyle w:val="Heading3"/>
        <w:numPr>
          <w:ilvl w:val="0"/>
          <w:numId w:val="0"/>
        </w:numPr>
        <w:tabs>
          <w:tab w:val="left" w:pos="8505"/>
        </w:tabs>
      </w:pPr>
      <w:r>
        <w:lastRenderedPageBreak/>
        <w:t>3.5XRD results</w:t>
      </w:r>
    </w:p>
    <w:p w:rsidR="00AB5339" w:rsidRDefault="002A6D07">
      <w:pPr>
        <w:pStyle w:val="BodyText"/>
      </w:pPr>
      <w:r>
        <w:rPr>
          <w:color w:val="0E101A"/>
        </w:rPr>
        <w:t xml:space="preserve">Fig. 8 shows the </w:t>
      </w:r>
      <w:r w:rsidRPr="001946D4">
        <w:rPr>
          <w:color w:val="0E101A"/>
        </w:rPr>
        <w:t>X-ray diffraction profile</w:t>
      </w:r>
      <w:r>
        <w:rPr>
          <w:color w:val="0E101A"/>
        </w:rPr>
        <w:t>s</w:t>
      </w:r>
      <w:r w:rsidRPr="001946D4">
        <w:rPr>
          <w:color w:val="0E101A"/>
        </w:rPr>
        <w:t xml:space="preserve"> recorded for the </w:t>
      </w:r>
      <w:r>
        <w:rPr>
          <w:color w:val="0E101A"/>
        </w:rPr>
        <w:t>undeformed</w:t>
      </w:r>
      <w:r w:rsidRPr="001946D4">
        <w:rPr>
          <w:color w:val="0E101A"/>
        </w:rPr>
        <w:t xml:space="preserve"> neutron-irradiated</w:t>
      </w:r>
      <w:r w:rsidR="008D2D95">
        <w:rPr>
          <w:color w:val="0E101A"/>
        </w:rPr>
        <w:t xml:space="preserve"> SS316L(N), SS</w:t>
      </w:r>
      <w:r>
        <w:rPr>
          <w:color w:val="0E101A"/>
        </w:rPr>
        <w:t>304L(N)</w:t>
      </w:r>
      <w:r w:rsidRPr="001946D4">
        <w:rPr>
          <w:color w:val="0E101A"/>
        </w:rPr>
        <w:t xml:space="preserve"> </w:t>
      </w:r>
      <w:r>
        <w:rPr>
          <w:color w:val="0E101A"/>
        </w:rPr>
        <w:t xml:space="preserve">and deformed (SS304L(N) 5dpa TT) steels.  </w:t>
      </w:r>
      <w:r w:rsidR="00620D34">
        <w:rPr>
          <w:color w:val="0E101A"/>
        </w:rPr>
        <w:t>I</w:t>
      </w:r>
      <w:r w:rsidR="00620D34">
        <w:rPr>
          <w:lang w:val="en-US"/>
        </w:rPr>
        <w:t>n addition to peaks {111}, {200}, {220}, {311} and {222} corresponding to reflection from</w:t>
      </w:r>
      <w:r w:rsidR="00A102FC">
        <w:rPr>
          <w:lang w:val="en-US"/>
        </w:rPr>
        <w:t xml:space="preserve"> </w:t>
      </w:r>
      <w:r w:rsidR="00620D34">
        <w:rPr>
          <w:rFonts w:ascii="Symbol" w:eastAsia="Symbol" w:hAnsi="Symbol" w:cs="Symbol"/>
          <w:lang w:val="en-US"/>
        </w:rPr>
        <w:t></w:t>
      </w:r>
      <w:r w:rsidR="00A102FC">
        <w:rPr>
          <w:rFonts w:ascii="Symbol" w:eastAsia="Symbol" w:hAnsi="Symbol" w:cs="Symbol"/>
          <w:lang w:val="en-US"/>
        </w:rPr>
        <w:t></w:t>
      </w:r>
      <w:r w:rsidR="00620D34">
        <w:rPr>
          <w:lang w:val="en-US"/>
        </w:rPr>
        <w:t xml:space="preserve">austenite phase (FCC), the peaks {110} and {211} corresponding to reflections from </w:t>
      </w:r>
      <w:r w:rsidR="00620D34">
        <w:rPr>
          <w:rFonts w:ascii="Symbol" w:eastAsia="Symbol" w:hAnsi="Symbol" w:cs="Symbol"/>
          <w:lang w:val="en-US"/>
        </w:rPr>
        <w:t></w:t>
      </w:r>
      <w:r w:rsidR="00A102FC">
        <w:rPr>
          <w:rFonts w:ascii="Symbol" w:eastAsia="Symbol" w:hAnsi="Symbol" w:cs="Symbol"/>
          <w:lang w:val="en-US"/>
        </w:rPr>
        <w:t></w:t>
      </w:r>
      <w:r w:rsidR="00620D34">
        <w:rPr>
          <w:lang w:val="en-US"/>
        </w:rPr>
        <w:t>phase (BC</w:t>
      </w:r>
      <w:r>
        <w:rPr>
          <w:lang w:val="en-US"/>
        </w:rPr>
        <w:t>T</w:t>
      </w:r>
      <w:r w:rsidR="00620D34">
        <w:rPr>
          <w:lang w:val="en-US"/>
        </w:rPr>
        <w:t xml:space="preserve">) were observed in irradiated conditions, confirming </w:t>
      </w:r>
      <w:r w:rsidR="00620D34">
        <w:rPr>
          <w:rFonts w:ascii="Symbol" w:eastAsia="Symbol" w:hAnsi="Symbol" w:cs="Symbol"/>
          <w:lang w:val="en-US"/>
        </w:rPr>
        <w:t></w:t>
      </w:r>
      <w:r w:rsidR="00620D34">
        <w:rPr>
          <w:lang w:val="en-US"/>
        </w:rPr>
        <w:t xml:space="preserve"> to </w:t>
      </w:r>
      <w:r w:rsidR="00620D34">
        <w:rPr>
          <w:rFonts w:ascii="Symbol" w:eastAsia="Symbol" w:hAnsi="Symbol" w:cs="Symbol"/>
          <w:lang w:val="en-US"/>
        </w:rPr>
        <w:t></w:t>
      </w:r>
      <w:r w:rsidR="00620D34">
        <w:rPr>
          <w:lang w:val="en-US"/>
        </w:rPr>
        <w:t xml:space="preserve"> transformation. </w:t>
      </w:r>
      <w:r w:rsidR="00620D34">
        <w:t xml:space="preserve">This transformation is known to be </w:t>
      </w:r>
      <w:r w:rsidR="00A102FC" w:rsidRPr="004D633A">
        <w:t xml:space="preserve">caused by </w:t>
      </w:r>
      <w:r w:rsidR="00A102FC">
        <w:t>either</w:t>
      </w:r>
      <w:r w:rsidR="00A102FC" w:rsidRPr="004D633A">
        <w:t xml:space="preserve"> strain induced martensite transformation </w:t>
      </w:r>
      <w:r w:rsidR="00A102FC">
        <w:t>or</w:t>
      </w:r>
      <w:r w:rsidR="00A102FC" w:rsidRPr="004D633A">
        <w:t xml:space="preserve"> as radiation induced segregation and precipitation</w:t>
      </w:r>
      <w:r w:rsidR="00620D34">
        <w:t> [</w:t>
      </w:r>
      <w:r w:rsidR="00410B61">
        <w:t>6</w:t>
      </w:r>
      <w:r w:rsidR="00620D34">
        <w:t xml:space="preserve">, </w:t>
      </w:r>
      <w:r w:rsidR="00410B61">
        <w:t>7</w:t>
      </w:r>
      <w:r w:rsidR="00620D34">
        <w:t>]</w:t>
      </w:r>
      <w:r w:rsidR="00A102FC">
        <w:t>.</w:t>
      </w:r>
    </w:p>
    <w:p w:rsidR="00AB5339" w:rsidRDefault="00620D34">
      <w:pPr>
        <w:pStyle w:val="BodyText"/>
        <w:jc w:val="center"/>
        <w:rPr>
          <w:lang w:val="en-US"/>
        </w:rPr>
      </w:pPr>
      <w:r>
        <w:rPr>
          <w:noProof/>
          <w:lang w:val="en-US"/>
        </w:rPr>
        <w:drawing>
          <wp:inline distT="0" distB="0" distL="0" distR="0">
            <wp:extent cx="2919401" cy="4820717"/>
            <wp:effectExtent l="19050" t="0" r="0" b="0"/>
            <wp:docPr id="9" name="Picture 0" descr="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0" descr="Graph1.jpg"/>
                    <pic:cNvPicPr>
                      <a:picLocks noChangeAspect="1" noChangeArrowheads="1"/>
                    </pic:cNvPicPr>
                  </pic:nvPicPr>
                  <pic:blipFill>
                    <a:blip r:embed="rId19" cstate="print"/>
                    <a:srcRect l="17033" t="7652" r="8060" b="5893"/>
                    <a:stretch>
                      <a:fillRect/>
                    </a:stretch>
                  </pic:blipFill>
                  <pic:spPr bwMode="auto">
                    <a:xfrm>
                      <a:off x="0" y="0"/>
                      <a:ext cx="2925676" cy="4831078"/>
                    </a:xfrm>
                    <a:prstGeom prst="rect">
                      <a:avLst/>
                    </a:prstGeom>
                  </pic:spPr>
                </pic:pic>
              </a:graphicData>
            </a:graphic>
          </wp:inline>
        </w:drawing>
      </w:r>
    </w:p>
    <w:p w:rsidR="00AB5339" w:rsidRDefault="00620D34">
      <w:pPr>
        <w:pStyle w:val="BodyText"/>
        <w:jc w:val="center"/>
        <w:rPr>
          <w:i/>
          <w:iCs/>
          <w:sz w:val="18"/>
          <w:szCs w:val="18"/>
        </w:rPr>
      </w:pPr>
      <w:r w:rsidRPr="005B2C96">
        <w:rPr>
          <w:i/>
          <w:iCs/>
          <w:sz w:val="18"/>
          <w:szCs w:val="18"/>
        </w:rPr>
        <w:t>FIG. 8: XRD patterns for SS316L(N) and SS304L(N)at various dpa</w:t>
      </w:r>
    </w:p>
    <w:p w:rsidR="00AB5339" w:rsidRDefault="007A705F">
      <w:pPr>
        <w:pStyle w:val="BodyText"/>
        <w:rPr>
          <w:lang w:val="en-US"/>
        </w:rPr>
      </w:pPr>
      <w:r>
        <w:rPr>
          <w:noProof/>
          <w:lang w:val="en-US"/>
        </w:rPr>
        <w:drawing>
          <wp:anchor distT="0" distB="0" distL="114300" distR="114300" simplePos="0" relativeHeight="10" behindDoc="0" locked="0" layoutInCell="0" allowOverlap="1">
            <wp:simplePos x="0" y="0"/>
            <wp:positionH relativeFrom="column">
              <wp:posOffset>1828800</wp:posOffset>
            </wp:positionH>
            <wp:positionV relativeFrom="paragraph">
              <wp:posOffset>50165</wp:posOffset>
            </wp:positionV>
            <wp:extent cx="2592705" cy="1934210"/>
            <wp:effectExtent l="19050" t="0" r="0" b="0"/>
            <wp:wrapTight wrapText="bothSides">
              <wp:wrapPolygon edited="0">
                <wp:start x="-159" y="0"/>
                <wp:lineTo x="-159" y="21487"/>
                <wp:lineTo x="21584" y="21487"/>
                <wp:lineTo x="21584" y="0"/>
                <wp:lineTo x="-159"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cstate="print"/>
                    <a:stretch>
                      <a:fillRect/>
                    </a:stretch>
                  </pic:blipFill>
                  <pic:spPr bwMode="auto">
                    <a:xfrm>
                      <a:off x="0" y="0"/>
                      <a:ext cx="2592705" cy="1934210"/>
                    </a:xfrm>
                    <a:prstGeom prst="rect">
                      <a:avLst/>
                    </a:prstGeom>
                  </pic:spPr>
                </pic:pic>
              </a:graphicData>
            </a:graphic>
          </wp:anchor>
        </w:drawing>
      </w:r>
    </w:p>
    <w:p w:rsidR="00AB5339" w:rsidRDefault="00AB5339">
      <w:pPr>
        <w:pStyle w:val="BodyText"/>
      </w:pPr>
    </w:p>
    <w:p w:rsidR="00AB5339" w:rsidRDefault="00AB5339">
      <w:pPr>
        <w:pStyle w:val="BodyText"/>
      </w:pPr>
    </w:p>
    <w:p w:rsidR="00AB5339" w:rsidRDefault="00AB5339">
      <w:pPr>
        <w:pStyle w:val="BodyText"/>
      </w:pPr>
    </w:p>
    <w:p w:rsidR="00AB5339" w:rsidRDefault="00AB5339">
      <w:pPr>
        <w:pStyle w:val="BodyText"/>
      </w:pPr>
    </w:p>
    <w:p w:rsidR="00AB5339" w:rsidRDefault="00AB5339">
      <w:pPr>
        <w:pStyle w:val="BodyText"/>
      </w:pPr>
    </w:p>
    <w:p w:rsidR="00AB5339" w:rsidRDefault="00AB5339">
      <w:pPr>
        <w:pStyle w:val="BodyText"/>
      </w:pPr>
    </w:p>
    <w:p w:rsidR="00AB5339" w:rsidRDefault="00AB5339">
      <w:pPr>
        <w:pStyle w:val="BodyText"/>
      </w:pPr>
    </w:p>
    <w:p w:rsidR="00AB5339" w:rsidRDefault="00AB5339">
      <w:pPr>
        <w:pStyle w:val="BodyText"/>
      </w:pPr>
    </w:p>
    <w:p w:rsidR="00AB5339" w:rsidRDefault="00AB5339">
      <w:pPr>
        <w:pStyle w:val="BodyText"/>
      </w:pPr>
    </w:p>
    <w:p w:rsidR="00AB5339" w:rsidRDefault="00AB5339">
      <w:pPr>
        <w:pStyle w:val="BodyText"/>
      </w:pPr>
    </w:p>
    <w:p w:rsidR="00AB5339" w:rsidRDefault="00AB5339">
      <w:pPr>
        <w:pStyle w:val="BodyText"/>
      </w:pPr>
    </w:p>
    <w:p w:rsidR="00AB5339" w:rsidRDefault="00620D34">
      <w:pPr>
        <w:pStyle w:val="BodyText"/>
        <w:jc w:val="center"/>
        <w:rPr>
          <w:i/>
          <w:iCs/>
          <w:sz w:val="18"/>
          <w:szCs w:val="18"/>
        </w:rPr>
      </w:pPr>
      <w:r>
        <w:rPr>
          <w:i/>
          <w:iCs/>
          <w:sz w:val="18"/>
          <w:szCs w:val="18"/>
        </w:rPr>
        <w:t xml:space="preserve">FIG. 9: </w:t>
      </w:r>
      <w:r>
        <w:rPr>
          <w:i/>
          <w:iCs/>
          <w:sz w:val="18"/>
          <w:szCs w:val="18"/>
          <w:lang w:val="en-US"/>
        </w:rPr>
        <w:t xml:space="preserve">The </w:t>
      </w:r>
      <w:r>
        <w:rPr>
          <w:i/>
          <w:iCs/>
          <w:sz w:val="18"/>
          <w:szCs w:val="18"/>
        </w:rPr>
        <w:t>peak profile belonging to the (311) reflection for 5.08 dpa sample of 304L(N) and 316L(N)along with the pre-irradiation peak profiles.</w:t>
      </w:r>
    </w:p>
    <w:p w:rsidR="008E12C6" w:rsidRDefault="008E12C6" w:rsidP="008E12C6">
      <w:pPr>
        <w:pStyle w:val="BodyText"/>
      </w:pPr>
      <w:r>
        <w:rPr>
          <w:lang w:val="en-US"/>
        </w:rPr>
        <w:lastRenderedPageBreak/>
        <w:t xml:space="preserve">Peak broadening, shift in the peak position and asymmetry in peak profiles were observed in the XRD profiles of irradiated conditions. Peak broadening of the individual peaks were determined by fitting with split pseudo-Voigt function [8]. The </w:t>
      </w:r>
      <w:r>
        <w:t>peak profile belonging to the (311) reflection for 5.08 dpa sample of 304L(N) and 316L(N) is compared in Fig. 9. The higher peak broadening in irradiated 304L(N) points to the higher defect density compared to 316L(N) and is consistent with higher hardening observed for 304L(N) in mechanical tests.</w:t>
      </w:r>
    </w:p>
    <w:p w:rsidR="00AB5339" w:rsidRDefault="00620D34">
      <w:pPr>
        <w:pStyle w:val="Heading2"/>
        <w:numPr>
          <w:ilvl w:val="0"/>
          <w:numId w:val="0"/>
        </w:numPr>
        <w:tabs>
          <w:tab w:val="left" w:pos="567"/>
        </w:tabs>
        <w:spacing w:before="280" w:after="280"/>
      </w:pPr>
      <w:r>
        <w:t>4.0      Discussion</w:t>
      </w:r>
    </w:p>
    <w:p w:rsidR="00AB5339" w:rsidRDefault="00620D34">
      <w:pPr>
        <w:pStyle w:val="BodyText"/>
        <w:rPr>
          <w:bCs/>
          <w:lang w:val="en-IN"/>
        </w:rPr>
      </w:pPr>
      <w:r>
        <w:rPr>
          <w:bCs/>
        </w:rPr>
        <w:t xml:space="preserve">The macroscopic changes in mechanical properties are primarily caused by the microstructural and micro chemical changes induced by irradiation. The strength increase after neutron irradiation is known to be due to the impediment to the movement of dislocations by defects and defect clusters including network dislocations, dislocation loops, cavities (bubbles and voids) and precipitates, depending on the irradiation temperature. For irradiation temperature around </w:t>
      </w:r>
      <w:smartTag w:uri="urn:schemas-microsoft-com:office:smarttags" w:element="metricconverter">
        <w:smartTagPr>
          <w:attr w:name="ProductID" w:val="400°C"/>
        </w:smartTagPr>
        <w:r>
          <w:rPr>
            <w:bCs/>
          </w:rPr>
          <w:t>400°C</w:t>
        </w:r>
      </w:smartTag>
      <w:r>
        <w:rPr>
          <w:bCs/>
        </w:rPr>
        <w:t xml:space="preserve"> and low neutron doses of 4-5 dpa, the microstructure of SS316L(N) and SS304L(N) is dominated by dislocation loops and network dislocations. </w:t>
      </w:r>
      <w:r>
        <w:rPr>
          <w:bCs/>
          <w:lang w:val="en-IN"/>
        </w:rPr>
        <w:t>Loss of work hardening and ductility is attributed to the nature of interactions between the dislocations and the irradiated microstructure. The dislocation interactions with the irradiation induced obstacles [</w:t>
      </w:r>
      <w:r w:rsidR="00410B61">
        <w:rPr>
          <w:bCs/>
          <w:lang w:val="en-IN"/>
        </w:rPr>
        <w:t>9</w:t>
      </w:r>
      <w:r>
        <w:rPr>
          <w:bCs/>
          <w:lang w:val="en-IN"/>
        </w:rPr>
        <w:t>] such as Frank loops leads to reduction in the effectiveness of the barriers or the elimination of barriers. The stability of the Frank loops and annihilation mechanisms [</w:t>
      </w:r>
      <w:r w:rsidR="00410B61">
        <w:rPr>
          <w:bCs/>
          <w:lang w:val="en-IN"/>
        </w:rPr>
        <w:t>10</w:t>
      </w:r>
      <w:r>
        <w:rPr>
          <w:bCs/>
          <w:lang w:val="en-IN"/>
        </w:rPr>
        <w:t xml:space="preserve">] are governed by the stacking fault energy which is related to the chemical composition of the steel. The differences in irradiation induced defect concentrations and the hardening behaviour of SS316L(N) and SS304L(N) </w:t>
      </w:r>
      <w:r w:rsidR="00CE3AC6" w:rsidRPr="005B2C96">
        <w:rPr>
          <w:bCs/>
          <w:lang w:val="en-IN"/>
        </w:rPr>
        <w:t>could be</w:t>
      </w:r>
      <w:r>
        <w:rPr>
          <w:bCs/>
          <w:lang w:val="en-IN"/>
        </w:rPr>
        <w:t xml:space="preserve"> attributed</w:t>
      </w:r>
      <w:r w:rsidR="006248A5">
        <w:rPr>
          <w:bCs/>
          <w:lang w:val="en-IN"/>
        </w:rPr>
        <w:t xml:space="preserve"> </w:t>
      </w:r>
      <w:r>
        <w:rPr>
          <w:bCs/>
          <w:lang w:val="en-IN"/>
        </w:rPr>
        <w:t>to the differences in the solute contents, especially molybdenum and its effect on binding and migration energies of the defects.</w:t>
      </w:r>
    </w:p>
    <w:p w:rsidR="00AB5339" w:rsidRDefault="00620D34">
      <w:pPr>
        <w:pStyle w:val="BodyText"/>
        <w:rPr>
          <w:bCs/>
          <w:lang w:val="en-IN"/>
        </w:rPr>
      </w:pPr>
      <w:r>
        <w:rPr>
          <w:bCs/>
          <w:lang w:val="en-IN"/>
        </w:rPr>
        <w:t xml:space="preserve">The effects of </w:t>
      </w:r>
      <w:r>
        <w:rPr>
          <w:lang w:val="en-IN"/>
        </w:rPr>
        <w:t xml:space="preserve">low dose neutron irradiation have been incorporated in the design standards of </w:t>
      </w:r>
      <w:smartTag w:uri="urn:schemas-microsoft-com:office:smarttags" w:element="stockticker">
        <w:r>
          <w:rPr>
            <w:lang w:val="en-IN"/>
          </w:rPr>
          <w:t>FBR</w:t>
        </w:r>
      </w:smartTag>
      <w:r>
        <w:rPr>
          <w:lang w:val="en-IN"/>
        </w:rPr>
        <w:t xml:space="preserve"> structural materials by various fast reactor working groups [1</w:t>
      </w:r>
      <w:r w:rsidR="00410B61">
        <w:rPr>
          <w:lang w:val="en-IN"/>
        </w:rPr>
        <w:t>1</w:t>
      </w:r>
      <w:r>
        <w:rPr>
          <w:lang w:val="en-IN"/>
        </w:rPr>
        <w:t>]. In</w:t>
      </w:r>
      <w:r>
        <w:rPr>
          <w:bCs/>
          <w:lang w:val="en-IN"/>
        </w:rPr>
        <w:t xml:space="preserve"> the early 90’s, the Design and Construction Rule Committee (DCRC), formed within EFR (European Fast Reactor) Associates concluded that no change in material data of 316L(N) needs to be considered if the irradiation damage is &lt; 1 dpa in negligible creep conditions (&lt; </w:t>
      </w:r>
      <w:smartTag w:uri="urn:schemas-microsoft-com:office:smarttags" w:element="metricconverter">
        <w:smartTagPr>
          <w:attr w:name="ProductID" w:val="450°C"/>
        </w:smartTagPr>
        <w:r>
          <w:rPr>
            <w:bCs/>
            <w:lang w:val="en-IN"/>
          </w:rPr>
          <w:t>450°C</w:t>
        </w:r>
      </w:smartTag>
      <w:r>
        <w:rPr>
          <w:bCs/>
          <w:lang w:val="en-IN"/>
        </w:rPr>
        <w:t>) [</w:t>
      </w:r>
      <w:r w:rsidR="00410B61">
        <w:rPr>
          <w:bCs/>
          <w:lang w:val="en-IN"/>
        </w:rPr>
        <w:t>12</w:t>
      </w:r>
      <w:r>
        <w:rPr>
          <w:bCs/>
          <w:lang w:val="en-IN"/>
        </w:rPr>
        <w:t>]. A design limit of 10% fracture elongation was set to limit the accumulated fast neutron fluence of Monju reactor. Similarly, in both the Fast Flux Test Reactor and Chalk River Breeder Reactor design, 10% total elongation was chosen as the threshold end-of-life ductility for in vessel components [1</w:t>
      </w:r>
      <w:r w:rsidR="00410B61">
        <w:rPr>
          <w:bCs/>
          <w:lang w:val="en-IN"/>
        </w:rPr>
        <w:t>3</w:t>
      </w:r>
      <w:r>
        <w:rPr>
          <w:bCs/>
          <w:lang w:val="en-IN"/>
        </w:rPr>
        <w:t>]. This design criterion assured ductile mode of deformation and permitted conventional structural analysis methods.</w:t>
      </w:r>
    </w:p>
    <w:p w:rsidR="00AB5339" w:rsidRDefault="00620D34">
      <w:pPr>
        <w:pStyle w:val="BodyText"/>
        <w:rPr>
          <w:bCs/>
          <w:lang w:val="en-IN"/>
        </w:rPr>
      </w:pPr>
      <w:r>
        <w:rPr>
          <w:bCs/>
          <w:lang w:val="en-IN"/>
        </w:rPr>
        <w:t>In the RCC-MRx code, a neutron fluence of 2 dpa has been set to separate the negligible and non-negligible irradiation domain in the temperature range of 425-</w:t>
      </w:r>
      <w:smartTag w:uri="urn:schemas-microsoft-com:office:smarttags" w:element="metricconverter">
        <w:smartTagPr>
          <w:attr w:name="ProductID" w:val="550°C"/>
        </w:smartTagPr>
        <w:r>
          <w:rPr>
            <w:bCs/>
            <w:lang w:val="en-IN"/>
          </w:rPr>
          <w:t>550°C</w:t>
        </w:r>
      </w:smartTag>
      <w:r>
        <w:rPr>
          <w:bCs/>
          <w:lang w:val="en-IN"/>
        </w:rPr>
        <w:t xml:space="preserve"> for </w:t>
      </w:r>
      <w:r w:rsidR="000D7981">
        <w:rPr>
          <w:bCs/>
          <w:lang w:val="en-IN"/>
        </w:rPr>
        <w:t>SS</w:t>
      </w:r>
      <w:r>
        <w:rPr>
          <w:bCs/>
          <w:lang w:val="en-IN"/>
        </w:rPr>
        <w:t>316L(N) steels.</w:t>
      </w:r>
      <w:r>
        <w:rPr>
          <w:bCs/>
        </w:rPr>
        <w:t xml:space="preserve">The present study reveals that the uniform elongation SS316L(N) base metal is well above 10% ductility limit for neutron doses up to 5 dpa, while uniform elongation of SS304L(N) base metal drops below the 10% ductility limit at neutron doses beyond 2 dpa. Based on this and considering the negligible changes in impact energy of SS304L(N) up to 2 dpa, SS304L(N) could possibly be considered instead of SS316 L(N) for components operating in negligible creep regime (&lt; </w:t>
      </w:r>
      <w:smartTag w:uri="urn:schemas-microsoft-com:office:smarttags" w:element="metricconverter">
        <w:smartTagPr>
          <w:attr w:name="ProductID" w:val="450°C"/>
        </w:smartTagPr>
        <w:r>
          <w:rPr>
            <w:bCs/>
          </w:rPr>
          <w:t>450°C</w:t>
        </w:r>
      </w:smartTag>
      <w:r>
        <w:rPr>
          <w:bCs/>
        </w:rPr>
        <w:t xml:space="preserve">) for life time neutron doses of less than 2 dpa. However, </w:t>
      </w:r>
      <w:r>
        <w:rPr>
          <w:bCs/>
          <w:lang w:val="en-IN"/>
        </w:rPr>
        <w:t xml:space="preserve">considering higher life designs of future FBRs (~60 years) and for lifetime neutron doses greater than 2 dpa, SS316L(N) is the preferred choice of structural material even for components operating in negligible creep regime owing to better retention of mechanical properties as compared to SS304L(N). </w:t>
      </w:r>
    </w:p>
    <w:p w:rsidR="00AB5339" w:rsidRDefault="00620D34">
      <w:pPr>
        <w:pStyle w:val="Heading2"/>
        <w:numPr>
          <w:ilvl w:val="0"/>
          <w:numId w:val="11"/>
        </w:numPr>
        <w:tabs>
          <w:tab w:val="left" w:pos="567"/>
        </w:tabs>
        <w:spacing w:before="280" w:after="280"/>
      </w:pPr>
      <w:r>
        <w:t>Conclusions</w:t>
      </w:r>
    </w:p>
    <w:p w:rsidR="00AB5339" w:rsidRDefault="00620D34">
      <w:pPr>
        <w:pStyle w:val="BodyText"/>
        <w:rPr>
          <w:lang w:val="en-US"/>
        </w:rPr>
      </w:pPr>
      <w:r>
        <w:t xml:space="preserve">A comparative study of the irradiation performance of SS316L(N) and SS304L(N) irradiated side-by-side in FBTR to low neutron doses (2-5 dpa) have been carried out. Irradiated SS316L(N) and SS304L(N) exhibited an increase in YS and UTS and a concurrent decrease in uniform and total elongations with increase in neutron dose up to 5 dpa. </w:t>
      </w:r>
      <w:r>
        <w:rPr>
          <w:lang w:val="en-US"/>
        </w:rPr>
        <w:t xml:space="preserve">Results of tensile and impact test showed that SS304L(N) base exhibited higher hardening and ductility loss compared to SS316L(N) base metal at all dpa.  Signatures of radiation induced ferrite formation was observed through magnetic measurements in SS304L(N) at 2-5 dpa. A two-stage hardening behavior was exhibited by SS304L(N) at 5.08 dpa pointing to deformation induced transformations. The higher hardening in SS 304L(N) is attributed to higher density of radiation induced defects in SS304L(N) compared to SS316L(N) corroborated by microscopy and X ray diffraction results. The performance of </w:t>
      </w:r>
      <w:r>
        <w:rPr>
          <w:lang w:val="en-US"/>
        </w:rPr>
        <w:lastRenderedPageBreak/>
        <w:t>irradiated SS316L(N) with respect to the tensile and impact properties is found to be superior to that of irradiated SS 304L(N).</w:t>
      </w:r>
    </w:p>
    <w:p w:rsidR="00AB5339" w:rsidRDefault="00620D34">
      <w:pPr>
        <w:pStyle w:val="Otherunnumberedheadings"/>
        <w:keepNext/>
        <w:spacing w:before="280" w:after="280"/>
      </w:pPr>
      <w:r>
        <w:t>ACKNOWLEDGEMENTS</w:t>
      </w:r>
    </w:p>
    <w:p w:rsidR="00AB5339" w:rsidRDefault="00980AA0" w:rsidP="00980AA0">
      <w:pPr>
        <w:pStyle w:val="BodyText"/>
        <w:ind w:firstLine="0"/>
        <w:rPr>
          <w:lang w:val="en-US"/>
        </w:rPr>
      </w:pPr>
      <w:r w:rsidRPr="00980AA0">
        <w:rPr>
          <w:lang w:val="en-US"/>
        </w:rPr>
        <w:t>The authors gratefully acknowledge Director, IGCAR and Director,</w:t>
      </w:r>
      <w:r>
        <w:rPr>
          <w:lang w:val="en-US"/>
        </w:rPr>
        <w:t xml:space="preserve"> </w:t>
      </w:r>
      <w:r w:rsidRPr="00980AA0">
        <w:rPr>
          <w:lang w:val="en-US"/>
        </w:rPr>
        <w:t>Metallurgy &amp; Materials Group, IGCAR for their keen interest, encour</w:t>
      </w:r>
      <w:r w:rsidR="00134D1E">
        <w:rPr>
          <w:lang w:val="en-US"/>
        </w:rPr>
        <w:t>a</w:t>
      </w:r>
      <w:r w:rsidRPr="00980AA0">
        <w:rPr>
          <w:lang w:val="en-US"/>
        </w:rPr>
        <w:t>gement and support. Authors are thankful</w:t>
      </w:r>
      <w:r>
        <w:rPr>
          <w:lang w:val="en-US"/>
        </w:rPr>
        <w:t xml:space="preserve"> </w:t>
      </w:r>
      <w:r w:rsidR="00620D34">
        <w:rPr>
          <w:lang w:val="en-US"/>
        </w:rPr>
        <w:t xml:space="preserve">to Dr. Tapas Ganguli, Head, Synchrotron Utilization Section, </w:t>
      </w:r>
      <w:r w:rsidR="00620D34" w:rsidRPr="005B2C96">
        <w:rPr>
          <w:lang w:val="en-US"/>
        </w:rPr>
        <w:t>Dr. Haridas G., Radiological Safety Officer</w:t>
      </w:r>
      <w:r w:rsidR="00620D34">
        <w:rPr>
          <w:lang w:val="en-US"/>
        </w:rPr>
        <w:t xml:space="preserve"> and their team at RRCAT Indore for facilitating Synchrotron based XRD studies. The contributions of a number of colleagues of PIE division and Health Physicist, </w:t>
      </w:r>
      <w:smartTag w:uri="urn:schemas-microsoft-com:office:smarttags" w:element="stockticker">
        <w:r w:rsidR="00620D34">
          <w:rPr>
            <w:lang w:val="en-US"/>
          </w:rPr>
          <w:t>RML</w:t>
        </w:r>
      </w:smartTag>
      <w:r w:rsidR="00620D34">
        <w:rPr>
          <w:lang w:val="en-US"/>
        </w:rPr>
        <w:t xml:space="preserve"> during the course of examinations are gratefully acknowledged.  </w:t>
      </w:r>
    </w:p>
    <w:p w:rsidR="00AB5339" w:rsidRDefault="00620D34">
      <w:pPr>
        <w:pStyle w:val="Otherunnumberedheadings"/>
        <w:spacing w:before="280" w:after="280"/>
      </w:pPr>
      <w:r>
        <w:t>References</w:t>
      </w:r>
    </w:p>
    <w:p w:rsidR="00AB5339" w:rsidRDefault="00620D34">
      <w:pPr>
        <w:pStyle w:val="Referencelist"/>
        <w:numPr>
          <w:ilvl w:val="0"/>
          <w:numId w:val="9"/>
        </w:numPr>
      </w:pPr>
      <w:r>
        <w:t>A.</w:t>
      </w:r>
      <w:r w:rsidR="008A1ADD">
        <w:t xml:space="preserve"> </w:t>
      </w:r>
      <w:r>
        <w:t xml:space="preserve">A. </w:t>
      </w:r>
      <w:r w:rsidR="008A1ADD">
        <w:t>Tavassoli</w:t>
      </w:r>
      <w:r>
        <w:t>, “Materials and Operating Conditions of Fast Breeder Reactor Internal Structures”, Influence of low dose irradiation on the design criteria of fixed internals in fast reactors (Proc. Int. Conf., Gif-sur-Yvette 1993), IAEA, Vienna (1995), IAEA TECDOC-817 (1995) 9-16.</w:t>
      </w:r>
    </w:p>
    <w:p w:rsidR="00AB5339" w:rsidRDefault="00620D34">
      <w:pPr>
        <w:pStyle w:val="Referencelist"/>
        <w:numPr>
          <w:ilvl w:val="0"/>
          <w:numId w:val="9"/>
        </w:numPr>
      </w:pPr>
      <w:r>
        <w:t xml:space="preserve">M.G. Hortsen and De Vries, “Irradiation Hardening and loss of ductility of type </w:t>
      </w:r>
      <w:smartTag w:uri="urn:schemas-microsoft-com:office:smarttags" w:element="metricconverter">
        <w:smartTagPr>
          <w:attr w:name="ProductID" w:val="316 L"/>
        </w:smartTagPr>
        <w:r>
          <w:t>316 L</w:t>
        </w:r>
      </w:smartTag>
      <w:r>
        <w:t>(N) Stainless steel plate material due to neutron irradiation, Effect of Radiation on Materials, ASTM STP 1270 (1996) 919-932.</w:t>
      </w:r>
    </w:p>
    <w:p w:rsidR="00AB5339" w:rsidRDefault="00620D34">
      <w:pPr>
        <w:pStyle w:val="Referencelist"/>
        <w:numPr>
          <w:ilvl w:val="0"/>
          <w:numId w:val="9"/>
        </w:numPr>
      </w:pPr>
      <w:r>
        <w:t xml:space="preserve">M.N. Gusev, O.P. Maksimkin, F.A. Garner, Peculiarities of plastic flow involving deformation waves observed during low-temperature tensile tests of highly irradiated 12Cr18Ni10Ti and 08Cr16Ni11Mo3 steels, </w:t>
      </w:r>
      <w:r w:rsidR="00531E3D">
        <w:t>J</w:t>
      </w:r>
      <w:r w:rsidR="002D0E7B">
        <w:t xml:space="preserve">. </w:t>
      </w:r>
      <w:r w:rsidR="00531E3D">
        <w:t>Nuclear Materials</w:t>
      </w:r>
      <w:r>
        <w:t xml:space="preserve"> 403 (2010)121-125.</w:t>
      </w:r>
    </w:p>
    <w:p w:rsidR="00E83864" w:rsidRPr="00E83864" w:rsidRDefault="00E83864" w:rsidP="00E83864">
      <w:pPr>
        <w:pStyle w:val="BodyText"/>
        <w:numPr>
          <w:ilvl w:val="0"/>
          <w:numId w:val="9"/>
        </w:numPr>
        <w:suppressAutoHyphens w:val="0"/>
        <w:spacing w:line="240" w:lineRule="auto"/>
        <w:contextualSpacing w:val="0"/>
        <w:rPr>
          <w:iCs/>
          <w:sz w:val="18"/>
          <w:szCs w:val="18"/>
        </w:rPr>
      </w:pPr>
      <w:r w:rsidRPr="00E83864">
        <w:rPr>
          <w:iCs/>
          <w:sz w:val="18"/>
          <w:szCs w:val="18"/>
        </w:rPr>
        <w:t xml:space="preserve">Hamilton Ferreira Gomes de Abreu </w:t>
      </w:r>
      <w:r w:rsidR="00B546E4" w:rsidRPr="00B546E4">
        <w:rPr>
          <w:i/>
          <w:sz w:val="18"/>
          <w:szCs w:val="18"/>
        </w:rPr>
        <w:t>et al</w:t>
      </w:r>
      <w:r w:rsidRPr="00E83864">
        <w:rPr>
          <w:iCs/>
          <w:sz w:val="18"/>
          <w:szCs w:val="18"/>
        </w:rPr>
        <w:t xml:space="preserve">., Deformation Induced Martensite in an AISI 301LN Stainless Steel: Characterization and Influence on Pitting Corrosion </w:t>
      </w:r>
      <w:r w:rsidR="00134D1E" w:rsidRPr="00E83864">
        <w:rPr>
          <w:iCs/>
          <w:sz w:val="18"/>
          <w:szCs w:val="18"/>
        </w:rPr>
        <w:t>Resistance</w:t>
      </w:r>
      <w:r w:rsidR="002D0E7B">
        <w:rPr>
          <w:iCs/>
          <w:sz w:val="18"/>
          <w:szCs w:val="18"/>
        </w:rPr>
        <w:t>,</w:t>
      </w:r>
      <w:r w:rsidRPr="00E83864">
        <w:rPr>
          <w:iCs/>
          <w:sz w:val="18"/>
          <w:szCs w:val="18"/>
        </w:rPr>
        <w:t xml:space="preserve"> Mat. Research, 10(2007) 359-366</w:t>
      </w:r>
    </w:p>
    <w:p w:rsidR="00AB5339" w:rsidRDefault="00620D34" w:rsidP="005B2C96">
      <w:pPr>
        <w:pStyle w:val="BodyText"/>
        <w:numPr>
          <w:ilvl w:val="0"/>
          <w:numId w:val="9"/>
        </w:numPr>
        <w:suppressAutoHyphens w:val="0"/>
        <w:spacing w:line="240" w:lineRule="auto"/>
        <w:contextualSpacing w:val="0"/>
      </w:pPr>
      <w:r>
        <w:t>J.P. Wharry and K.S. Mao, The role of irradiation on deformation induced martensitic phase transfo</w:t>
      </w:r>
      <w:r>
        <w:t>r</w:t>
      </w:r>
      <w:r>
        <w:t xml:space="preserve">mations in </w:t>
      </w:r>
      <w:r w:rsidR="00531E3D">
        <w:t>FCC</w:t>
      </w:r>
      <w:r>
        <w:t xml:space="preserve"> alloys, J Materials Research 35 (2020) 1660-1671. </w:t>
      </w:r>
    </w:p>
    <w:p w:rsidR="00AB5339" w:rsidRDefault="00620D34">
      <w:pPr>
        <w:pStyle w:val="Referencelist"/>
        <w:numPr>
          <w:ilvl w:val="0"/>
          <w:numId w:val="9"/>
        </w:numPr>
      </w:pPr>
      <w:r>
        <w:t xml:space="preserve">M.N. Gusev, J.T. Busby, L. Tan and F.A. Garner, Magnetic phase formation in irradiated austenitic alloys, </w:t>
      </w:r>
      <w:r w:rsidR="00531E3D">
        <w:t>J</w:t>
      </w:r>
      <w:r w:rsidR="002D0E7B">
        <w:t xml:space="preserve">. </w:t>
      </w:r>
      <w:r w:rsidR="00531E3D">
        <w:t xml:space="preserve"> Nuclear Materials</w:t>
      </w:r>
      <w:r>
        <w:t xml:space="preserve"> 448 (2014) 294–300.</w:t>
      </w:r>
    </w:p>
    <w:p w:rsidR="00AB5339" w:rsidRDefault="00620D34">
      <w:pPr>
        <w:pStyle w:val="Referencelist"/>
        <w:numPr>
          <w:ilvl w:val="0"/>
          <w:numId w:val="9"/>
        </w:numPr>
      </w:pPr>
      <w:r>
        <w:t>X. Li and A. Almazouzi, Deformation and microstructure of neutron irradiated stainless steel with different stacking fault energy, J</w:t>
      </w:r>
      <w:r w:rsidR="002D0E7B">
        <w:t xml:space="preserve">. </w:t>
      </w:r>
      <w:r>
        <w:t>Nuclear Materials, 385 (2009) 329-333.</w:t>
      </w:r>
    </w:p>
    <w:p w:rsidR="00AB5339" w:rsidRDefault="00620D34">
      <w:pPr>
        <w:pStyle w:val="Referencelist"/>
        <w:numPr>
          <w:ilvl w:val="0"/>
          <w:numId w:val="9"/>
        </w:numPr>
      </w:pPr>
      <w:r>
        <w:t xml:space="preserve">G. Caglioti, A. Paoletti, F.P. Ricci, Choice of collimators for a crystal spectrometer for neutron diffraction, Nucl. Instrum. 3 (1958) 223-228. </w:t>
      </w:r>
    </w:p>
    <w:p w:rsidR="00AB5339" w:rsidRDefault="00620D34">
      <w:pPr>
        <w:pStyle w:val="Referencelist"/>
        <w:numPr>
          <w:ilvl w:val="0"/>
          <w:numId w:val="9"/>
        </w:numPr>
      </w:pPr>
      <w:r>
        <w:t>G.E. Lucas, The evolution of mechanical property changes in irradiated austenitic stainless steels, J</w:t>
      </w:r>
      <w:r w:rsidR="002D0E7B">
        <w:t xml:space="preserve">. </w:t>
      </w:r>
      <w:r>
        <w:t xml:space="preserve"> Nuclear Materials, 206 (1993) 287-305.</w:t>
      </w:r>
    </w:p>
    <w:p w:rsidR="00AB5339" w:rsidRDefault="00620D34">
      <w:pPr>
        <w:pStyle w:val="Referencelist"/>
        <w:numPr>
          <w:ilvl w:val="0"/>
          <w:numId w:val="9"/>
        </w:numPr>
      </w:pPr>
      <w:r>
        <w:t>C. Pokor, X. Averty, Y. Brechet, P. Dubuisson, J.P. Massoud, Effect of irradiation defects on the work hardening behaviour, Scripta Materialia 50 (2004) 597–600.</w:t>
      </w:r>
    </w:p>
    <w:p w:rsidR="00AB5339" w:rsidRDefault="00620D34">
      <w:pPr>
        <w:pStyle w:val="Referencelist"/>
        <w:numPr>
          <w:ilvl w:val="0"/>
          <w:numId w:val="9"/>
        </w:numPr>
      </w:pPr>
      <w:r>
        <w:t xml:space="preserve">K. Aoto, and Y. Wada, Concept of design criteria of low dose irradiation for </w:t>
      </w:r>
      <w:smartTag w:uri="urn:schemas-microsoft-com:office:smarttags" w:element="stockticker">
        <w:r>
          <w:t>FBR</w:t>
        </w:r>
      </w:smartTag>
      <w:r>
        <w:t xml:space="preserve"> structural materials, Influence of low dose irradiation on the design criteria of fixed internals in fast reactors, IAEA TECDOC-817 (1995) 79-87.</w:t>
      </w:r>
    </w:p>
    <w:p w:rsidR="00AB5339" w:rsidRDefault="00620D34">
      <w:pPr>
        <w:pStyle w:val="Referencelist"/>
        <w:numPr>
          <w:ilvl w:val="0"/>
          <w:numId w:val="9"/>
        </w:numPr>
      </w:pPr>
      <w:r>
        <w:t xml:space="preserve">C. Escaravage, R. Ward and W. Dietz, “EFR-DCRC proposal to introduce in design work the low dose irradiation effects”, Influence of low dose irradiation on the design criteria of fixed internals in fast reactors (Proc. Int. Conf., Gif-sur-Yvette 1993), IAEA, </w:t>
      </w:r>
      <w:smartTag w:uri="urn:schemas-microsoft-com:office:smarttags" w:element="place">
        <w:smartTag w:uri="urn:schemas-microsoft-com:office:smarttags" w:element="City">
          <w:r>
            <w:t>Vienna</w:t>
          </w:r>
        </w:smartTag>
      </w:smartTag>
      <w:r>
        <w:t xml:space="preserve"> (1995), IAEA TECDOC-817 (1995) 63-66.</w:t>
      </w:r>
    </w:p>
    <w:p w:rsidR="00AB5339" w:rsidRDefault="00620D34">
      <w:pPr>
        <w:pStyle w:val="Referencelist"/>
        <w:numPr>
          <w:ilvl w:val="0"/>
          <w:numId w:val="9"/>
        </w:numPr>
      </w:pPr>
      <w:r>
        <w:t>Pavek</w:t>
      </w:r>
      <w:r w:rsidR="00357328">
        <w:t xml:space="preserve"> </w:t>
      </w:r>
      <w:r>
        <w:t>Tsvetkov, Alan Walter and Donald Todd, “Reactor Plant systems”, Fast Spectrum Reactors, Springer, US (2012).</w:t>
      </w:r>
    </w:p>
    <w:sectPr w:rsidR="00AB5339" w:rsidSect="00AB5339">
      <w:headerReference w:type="even" r:id="rId21"/>
      <w:headerReference w:type="default" r:id="rId22"/>
      <w:footerReference w:type="even" r:id="rId23"/>
      <w:footerReference w:type="default" r:id="rId24"/>
      <w:pgSz w:w="11906" w:h="16838"/>
      <w:pgMar w:top="1440" w:right="1440" w:bottom="1440" w:left="1440" w:header="539" w:footer="964" w:gutter="0"/>
      <w:cols w:space="720"/>
      <w:formProt w:val="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4E55" w:rsidRDefault="00494E55" w:rsidP="00AB5339">
      <w:r>
        <w:separator/>
      </w:r>
    </w:p>
  </w:endnote>
  <w:endnote w:type="continuationSeparator" w:id="1">
    <w:p w:rsidR="00494E55" w:rsidRDefault="00494E55" w:rsidP="00AB53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1"/>
    <w:family w:val="swiss"/>
    <w:pitch w:val="default"/>
    <w:sig w:usb0="00000000" w:usb1="00000000" w:usb2="00000000" w:usb3="00000000" w:csb0="00000000" w:csb1="00000000"/>
    <w:embedBold r:id="rId1" w:subsetted="1" w:fontKey="{898E0633-F225-485D-A3A3-590FA9AC1C52}"/>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Noto Sans CJK SC">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339" w:rsidRDefault="00D10ADF">
    <w:pPr>
      <w:pStyle w:val="zyxClassification1"/>
    </w:pPr>
    <w:r>
      <w:fldChar w:fldCharType="begin"/>
    </w:r>
    <w:r w:rsidR="00620D34">
      <w:instrText>DOCPROPERTY "IaeaClassification"</w:instrText>
    </w:r>
    <w:r>
      <w:fldChar w:fldCharType="end"/>
    </w:r>
  </w:p>
  <w:p w:rsidR="00AB5339" w:rsidRDefault="00D10ADF">
    <w:pPr>
      <w:pStyle w:val="zyxClassification2"/>
    </w:pPr>
    <w:r>
      <w:fldChar w:fldCharType="begin"/>
    </w:r>
    <w:r w:rsidR="00620D34">
      <w:instrText>DOCPROPERTY "IaeaClassification2"</w:instrTex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339" w:rsidRDefault="00D10ADF">
    <w:pPr>
      <w:pStyle w:val="zyxClassification1"/>
    </w:pPr>
    <w:r>
      <w:fldChar w:fldCharType="begin"/>
    </w:r>
    <w:r w:rsidR="00620D34">
      <w:instrText>DOCPROPERTY "IaeaClassification"</w:instrText>
    </w:r>
    <w:r>
      <w:fldChar w:fldCharType="end"/>
    </w:r>
  </w:p>
  <w:p w:rsidR="00AB5339" w:rsidRDefault="00D10ADF">
    <w:pPr>
      <w:pStyle w:val="zyxClassification2"/>
      <w:rPr>
        <w:rFonts w:ascii="Times New Roman" w:hAnsi="Times New Roman" w:cs="Times New Roman"/>
        <w:sz w:val="20"/>
      </w:rPr>
    </w:pPr>
    <w:r>
      <w:rPr>
        <w:rFonts w:ascii="Times New Roman" w:hAnsi="Times New Roman" w:cs="Times New Roman"/>
        <w:sz w:val="20"/>
      </w:rPr>
      <w:fldChar w:fldCharType="begin"/>
    </w:r>
    <w:r w:rsidR="00620D34">
      <w:rPr>
        <w:rFonts w:ascii="Times New Roman" w:hAnsi="Times New Roman" w:cs="Times New Roman"/>
        <w:sz w:val="20"/>
      </w:rPr>
      <w:instrText>PAGE</w:instrText>
    </w:r>
    <w:r>
      <w:rPr>
        <w:rFonts w:ascii="Times New Roman" w:hAnsi="Times New Roman" w:cs="Times New Roman"/>
        <w:sz w:val="20"/>
      </w:rPr>
      <w:fldChar w:fldCharType="separate"/>
    </w:r>
    <w:r w:rsidR="003D787A">
      <w:rPr>
        <w:rFonts w:ascii="Times New Roman" w:hAnsi="Times New Roman" w:cs="Times New Roman"/>
        <w:noProof/>
        <w:sz w:val="20"/>
      </w:rPr>
      <w:t>1</w:t>
    </w:r>
    <w:r>
      <w:rPr>
        <w:rFonts w:ascii="Times New Roman" w:hAnsi="Times New Roman" w:cs="Times New Roman"/>
        <w:sz w:val="20"/>
      </w:rPr>
      <w:fldChar w:fldCharType="end"/>
    </w:r>
    <w:r>
      <w:rPr>
        <w:rFonts w:ascii="Times New Roman" w:hAnsi="Times New Roman" w:cs="Times New Roman"/>
        <w:sz w:val="20"/>
      </w:rPr>
      <w:fldChar w:fldCharType="begin"/>
    </w:r>
    <w:r w:rsidR="00620D34">
      <w:rPr>
        <w:rFonts w:ascii="Times New Roman" w:hAnsi="Times New Roman" w:cs="Times New Roman"/>
        <w:sz w:val="20"/>
      </w:rPr>
      <w:instrText>DOCPROPERTY "IaeaClassification2"</w:instrText>
    </w:r>
    <w:r>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4E55" w:rsidRDefault="00494E55" w:rsidP="00AB5339">
      <w:r>
        <w:separator/>
      </w:r>
    </w:p>
  </w:footnote>
  <w:footnote w:type="continuationSeparator" w:id="1">
    <w:p w:rsidR="00494E55" w:rsidRDefault="00494E55" w:rsidP="00AB53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EC8" w:rsidRDefault="00620D34">
    <w:pPr>
      <w:pStyle w:val="Runninghead"/>
      <w:rPr>
        <w:color w:val="BFBFBF" w:themeColor="background1" w:themeShade="BF"/>
      </w:rPr>
    </w:pPr>
    <w:r>
      <w:tab/>
      <w:t>FR21: IAEA-CN-291</w:t>
    </w:r>
    <w:r w:rsidR="007C19B7">
      <w:t>/322</w:t>
    </w:r>
  </w:p>
  <w:p w:rsidR="00AB5339" w:rsidRDefault="00620D34">
    <w:pPr>
      <w:pStyle w:val="zyxClassification1"/>
      <w:tabs>
        <w:tab w:val="left" w:pos="3956"/>
        <w:tab w:val="right" w:pos="9071"/>
      </w:tabs>
      <w:jc w:val="left"/>
    </w:pPr>
    <w:r>
      <w:tab/>
    </w:r>
    <w:r w:rsidR="00D10ADF">
      <w:fldChar w:fldCharType="begin"/>
    </w:r>
    <w:r>
      <w:instrText>DOCPROPERTY "IaeaClassification"</w:instrText>
    </w:r>
    <w:r w:rsidR="00D10ADF">
      <w:fldChar w:fldCharType="end"/>
    </w:r>
  </w:p>
  <w:p w:rsidR="00AB5339" w:rsidRDefault="00D10ADF">
    <w:pPr>
      <w:pStyle w:val="zyxClassification2"/>
    </w:pPr>
    <w:r>
      <w:fldChar w:fldCharType="begin"/>
    </w:r>
    <w:r w:rsidR="00620D34">
      <w:instrText>DOCPROPERTY "IaeaClassification2"</w:instrTex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339" w:rsidRDefault="00620D34">
    <w:pPr>
      <w:pStyle w:val="Runninghead"/>
    </w:pPr>
    <w:r>
      <w:t>RanVijay Kumar, Ashish Kolhatkar et 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676A0"/>
    <w:multiLevelType w:val="multilevel"/>
    <w:tmpl w:val="3D36AE0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9FB1505"/>
    <w:multiLevelType w:val="multilevel"/>
    <w:tmpl w:val="1D3CFA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23F81CF4"/>
    <w:multiLevelType w:val="multilevel"/>
    <w:tmpl w:val="FDC07B9C"/>
    <w:lvl w:ilvl="0">
      <w:start w:val="1"/>
      <w:numFmt w:val="none"/>
      <w:suff w:val="nothing"/>
      <w:lvlText w:val=""/>
      <w:lvlJc w:val="left"/>
      <w:pPr>
        <w:tabs>
          <w:tab w:val="num" w:pos="459"/>
        </w:tabs>
        <w:ind w:left="0" w:firstLine="0"/>
      </w:pPr>
    </w:lvl>
    <w:lvl w:ilvl="1">
      <w:start w:val="1"/>
      <w:numFmt w:val="decimal"/>
      <w:suff w:val="space"/>
      <w:lvlText w:val="%1%2."/>
      <w:lvlJc w:val="left"/>
      <w:pPr>
        <w:tabs>
          <w:tab w:val="num" w:pos="0"/>
        </w:tabs>
        <w:ind w:left="0" w:firstLine="0"/>
      </w:pPr>
      <w:rPr>
        <w:b w:val="0"/>
        <w:bCs w:val="0"/>
        <w:i w:val="0"/>
        <w:iCs w:val="0"/>
        <w:caps w:val="0"/>
        <w:smallCaps w:val="0"/>
        <w:strike w:val="0"/>
        <w:dstrike w:val="0"/>
        <w:vanish w:val="0"/>
        <w:color w:val="000000"/>
        <w:spacing w:val="0"/>
        <w:kern w:val="0"/>
        <w:position w:val="0"/>
        <w:sz w:val="20"/>
        <w:u w:val="none"/>
        <w:effect w:val="none"/>
        <w:vertAlign w:val="baseline"/>
        <w:em w:val="none"/>
      </w:rPr>
    </w:lvl>
    <w:lvl w:ilvl="2">
      <w:start w:val="1"/>
      <w:numFmt w:val="decimal"/>
      <w:lvlText w:val="%1%2.%3."/>
      <w:lvlJc w:val="left"/>
      <w:pPr>
        <w:tabs>
          <w:tab w:val="num" w:pos="0"/>
        </w:tabs>
        <w:ind w:left="0" w:firstLine="0"/>
      </w:pPr>
    </w:lvl>
    <w:lvl w:ilvl="3">
      <w:start w:val="1"/>
      <w:numFmt w:val="decimal"/>
      <w:lvlText w:val="%2.%3.%4."/>
      <w:lvlJc w:val="left"/>
      <w:pPr>
        <w:tabs>
          <w:tab w:val="num" w:pos="0"/>
        </w:tabs>
        <w:ind w:left="1701" w:firstLine="0"/>
      </w:pPr>
    </w:lvl>
    <w:lvl w:ilvl="4">
      <w:start w:val="1"/>
      <w:numFmt w:val="lowerLetter"/>
      <w:lvlText w:val="%1(%5)"/>
      <w:lvlJc w:val="left"/>
      <w:pPr>
        <w:tabs>
          <w:tab w:val="num" w:pos="3345"/>
        </w:tabs>
        <w:ind w:left="2268" w:firstLine="0"/>
      </w:pPr>
      <w:rPr>
        <w:sz w:val="20"/>
      </w:rPr>
    </w:lvl>
    <w:lvl w:ilvl="5">
      <w:start w:val="1"/>
      <w:numFmt w:val="decimal"/>
      <w:lvlText w:val="%1.%2.%3.%4.%5.%6"/>
      <w:lvlJc w:val="left"/>
      <w:pPr>
        <w:tabs>
          <w:tab w:val="num" w:pos="3912"/>
        </w:tabs>
        <w:ind w:left="2835" w:firstLine="0"/>
      </w:pPr>
    </w:lvl>
    <w:lvl w:ilvl="6">
      <w:start w:val="1"/>
      <w:numFmt w:val="decimal"/>
      <w:lvlText w:val="%1.%2.%3.%4.%5.%6.%7"/>
      <w:lvlJc w:val="left"/>
      <w:pPr>
        <w:tabs>
          <w:tab w:val="num" w:pos="2432"/>
        </w:tabs>
        <w:ind w:left="2432" w:hanging="1298"/>
      </w:pPr>
    </w:lvl>
    <w:lvl w:ilvl="7">
      <w:start w:val="1"/>
      <w:numFmt w:val="decimal"/>
      <w:lvlText w:val="%1.%2.%3.%4.%5.%6.%7.%8"/>
      <w:lvlJc w:val="left"/>
      <w:pPr>
        <w:tabs>
          <w:tab w:val="num" w:pos="2574"/>
        </w:tabs>
        <w:ind w:left="2574" w:hanging="1440"/>
      </w:pPr>
    </w:lvl>
    <w:lvl w:ilvl="8">
      <w:start w:val="1"/>
      <w:numFmt w:val="decimal"/>
      <w:lvlText w:val="%1.%2.%3.%4.%5.%6.%7.%8.%9"/>
      <w:lvlJc w:val="left"/>
      <w:pPr>
        <w:tabs>
          <w:tab w:val="num" w:pos="2716"/>
        </w:tabs>
        <w:ind w:left="2716" w:hanging="1582"/>
      </w:pPr>
    </w:lvl>
  </w:abstractNum>
  <w:abstractNum w:abstractNumId="3">
    <w:nsid w:val="2CE92B04"/>
    <w:multiLevelType w:val="multilevel"/>
    <w:tmpl w:val="CFE05004"/>
    <w:lvl w:ilvl="0">
      <w:start w:val="1"/>
      <w:numFmt w:val="decimal"/>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
    <w:nsid w:val="2D4736C2"/>
    <w:multiLevelType w:val="multilevel"/>
    <w:tmpl w:val="C8888A24"/>
    <w:lvl w:ilvl="0">
      <w:start w:val="3"/>
      <w:numFmt w:val="decimal"/>
      <w:lvlText w:val="%1"/>
      <w:lvlJc w:val="left"/>
      <w:pPr>
        <w:tabs>
          <w:tab w:val="num" w:pos="0"/>
        </w:tabs>
        <w:ind w:left="360" w:hanging="360"/>
      </w:pPr>
    </w:lvl>
    <w:lvl w:ilvl="1">
      <w:start w:val="3"/>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5">
    <w:nsid w:val="3D145D8E"/>
    <w:multiLevelType w:val="multilevel"/>
    <w:tmpl w:val="C3BC9292"/>
    <w:lvl w:ilvl="0">
      <w:start w:val="1"/>
      <w:numFmt w:val="none"/>
      <w:suff w:val="nothing"/>
      <w:lvlText w:val=""/>
      <w:lvlJc w:val="left"/>
      <w:pPr>
        <w:tabs>
          <w:tab w:val="num" w:pos="0"/>
        </w:tabs>
        <w:ind w:left="0" w:firstLine="0"/>
      </w:pPr>
    </w:lvl>
    <w:lvl w:ilvl="1">
      <w:start w:val="1"/>
      <w:numFmt w:val="decimal"/>
      <w:pStyle w:val="Heading2"/>
      <w:suff w:val="space"/>
      <w:lvlText w:val="%1%2."/>
      <w:lvlJc w:val="left"/>
      <w:pPr>
        <w:tabs>
          <w:tab w:val="num" w:pos="0"/>
        </w:tabs>
        <w:ind w:left="0" w:firstLine="0"/>
      </w:pPr>
      <w:rPr>
        <w:b w:val="0"/>
        <w:bCs w:val="0"/>
        <w:i w:val="0"/>
        <w:iCs w:val="0"/>
        <w:caps w:val="0"/>
        <w:smallCaps w:val="0"/>
        <w:strike w:val="0"/>
        <w:dstrike w:val="0"/>
        <w:vanish w:val="0"/>
        <w:color w:val="000000"/>
        <w:spacing w:val="0"/>
        <w:kern w:val="0"/>
        <w:position w:val="0"/>
        <w:sz w:val="20"/>
        <w:u w:val="none"/>
        <w:effect w:val="none"/>
        <w:vertAlign w:val="baseline"/>
        <w:em w:val="none"/>
      </w:rPr>
    </w:lvl>
    <w:lvl w:ilvl="2">
      <w:start w:val="1"/>
      <w:numFmt w:val="decimal"/>
      <w:pStyle w:val="Heading3"/>
      <w:lvlText w:val="%1%2.%3."/>
      <w:lvlJc w:val="left"/>
      <w:pPr>
        <w:tabs>
          <w:tab w:val="num" w:pos="0"/>
        </w:tabs>
        <w:ind w:left="0" w:firstLine="0"/>
      </w:pPr>
    </w:lvl>
    <w:lvl w:ilvl="3">
      <w:start w:val="1"/>
      <w:numFmt w:val="decimal"/>
      <w:pStyle w:val="Heading4"/>
      <w:lvlText w:val="%2.%3.%4."/>
      <w:lvlJc w:val="left"/>
      <w:pPr>
        <w:tabs>
          <w:tab w:val="num" w:pos="0"/>
        </w:tabs>
        <w:ind w:left="1701"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414408D4"/>
    <w:multiLevelType w:val="multilevel"/>
    <w:tmpl w:val="C7A47B98"/>
    <w:name w:val="HeadingTemplate22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494524E9"/>
    <w:multiLevelType w:val="multilevel"/>
    <w:tmpl w:val="6D4C69B8"/>
    <w:lvl w:ilvl="0">
      <w:start w:val="1"/>
      <w:numFmt w:val="decimal"/>
      <w:lvlText w:val="%1."/>
      <w:lvlJc w:val="left"/>
      <w:pPr>
        <w:tabs>
          <w:tab w:val="num" w:pos="459"/>
        </w:tabs>
        <w:ind w:left="459" w:hanging="459"/>
      </w:pPr>
      <w:rPr>
        <w:rFonts w:ascii="Times New Roman" w:hAnsi="Times New Roman"/>
        <w:b w:val="0"/>
        <w:i w:val="0"/>
        <w:caps w:val="0"/>
        <w:smallCaps w:val="0"/>
        <w:strike w:val="0"/>
        <w:dstrike w:val="0"/>
        <w:vanish w:val="0"/>
        <w:color w:val="000000"/>
        <w:position w:val="0"/>
        <w:sz w:val="22"/>
        <w:vertAlign w:val="baseline"/>
      </w:rPr>
    </w:lvl>
    <w:lvl w:ilvl="1">
      <w:start w:val="1"/>
      <w:numFmt w:val="lowerLetter"/>
      <w:lvlText w:val="(%2)"/>
      <w:lvlJc w:val="left"/>
      <w:pPr>
        <w:tabs>
          <w:tab w:val="num" w:pos="919"/>
        </w:tabs>
        <w:ind w:left="919" w:hanging="459"/>
      </w:pPr>
      <w:rPr>
        <w:rFonts w:ascii="Times New Roman" w:hAnsi="Times New Roman"/>
        <w:b w:val="0"/>
        <w:i w:val="0"/>
        <w:caps w:val="0"/>
        <w:smallCaps w:val="0"/>
        <w:strike w:val="0"/>
        <w:dstrike w:val="0"/>
        <w:vanish w:val="0"/>
        <w:color w:val="000000"/>
        <w:position w:val="0"/>
        <w:sz w:val="22"/>
        <w:vertAlign w:val="baseline"/>
      </w:rPr>
    </w:lvl>
    <w:lvl w:ilvl="2">
      <w:start w:val="1"/>
      <w:numFmt w:val="bullet"/>
      <w:lvlText w:val="-"/>
      <w:lvlJc w:val="left"/>
      <w:pPr>
        <w:tabs>
          <w:tab w:val="num" w:pos="1378"/>
        </w:tabs>
        <w:ind w:left="1378" w:hanging="459"/>
      </w:pPr>
      <w:rPr>
        <w:rFonts w:ascii="Times New Roman" w:hAnsi="Times New Roman" w:cs="Times New Roman" w:hint="default"/>
      </w:rPr>
    </w:lvl>
    <w:lvl w:ilvl="3">
      <w:start w:val="1"/>
      <w:numFmt w:val="decimal"/>
      <w:lvlText w:val="(%4)"/>
      <w:lvlJc w:val="left"/>
      <w:pPr>
        <w:tabs>
          <w:tab w:val="num" w:pos="811"/>
        </w:tabs>
        <w:ind w:left="811" w:hanging="360"/>
      </w:pPr>
    </w:lvl>
    <w:lvl w:ilvl="4">
      <w:start w:val="1"/>
      <w:numFmt w:val="lowerLetter"/>
      <w:lvlText w:val="(%5)"/>
      <w:lvlJc w:val="left"/>
      <w:pPr>
        <w:tabs>
          <w:tab w:val="num" w:pos="1171"/>
        </w:tabs>
        <w:ind w:left="1171" w:hanging="360"/>
      </w:pPr>
    </w:lvl>
    <w:lvl w:ilvl="5">
      <w:start w:val="1"/>
      <w:numFmt w:val="lowerRoman"/>
      <w:lvlText w:val="(%6)"/>
      <w:lvlJc w:val="left"/>
      <w:pPr>
        <w:tabs>
          <w:tab w:val="num" w:pos="1531"/>
        </w:tabs>
        <w:ind w:left="1531" w:hanging="360"/>
      </w:pPr>
    </w:lvl>
    <w:lvl w:ilvl="6">
      <w:start w:val="1"/>
      <w:numFmt w:val="decimal"/>
      <w:lvlText w:val="%7."/>
      <w:lvlJc w:val="left"/>
      <w:pPr>
        <w:tabs>
          <w:tab w:val="num" w:pos="1891"/>
        </w:tabs>
        <w:ind w:left="1891" w:hanging="360"/>
      </w:pPr>
    </w:lvl>
    <w:lvl w:ilvl="7">
      <w:start w:val="1"/>
      <w:numFmt w:val="lowerLetter"/>
      <w:lvlText w:val="%8."/>
      <w:lvlJc w:val="left"/>
      <w:pPr>
        <w:tabs>
          <w:tab w:val="num" w:pos="2251"/>
        </w:tabs>
        <w:ind w:left="2251" w:hanging="360"/>
      </w:pPr>
    </w:lvl>
    <w:lvl w:ilvl="8">
      <w:start w:val="1"/>
      <w:numFmt w:val="lowerRoman"/>
      <w:lvlText w:val="%9."/>
      <w:lvlJc w:val="left"/>
      <w:pPr>
        <w:tabs>
          <w:tab w:val="num" w:pos="2611"/>
        </w:tabs>
        <w:ind w:left="2611" w:hanging="360"/>
      </w:pPr>
    </w:lvl>
  </w:abstractNum>
  <w:abstractNum w:abstractNumId="8">
    <w:nsid w:val="4AD50634"/>
    <w:multiLevelType w:val="multilevel"/>
    <w:tmpl w:val="365CC3F2"/>
    <w:lvl w:ilvl="0">
      <w:start w:val="1"/>
      <w:numFmt w:val="bullet"/>
      <w:lvlText w:val=""/>
      <w:lvlJc w:val="left"/>
      <w:pPr>
        <w:tabs>
          <w:tab w:val="num" w:pos="1179"/>
        </w:tabs>
        <w:ind w:left="1179" w:hanging="360"/>
      </w:pPr>
      <w:rPr>
        <w:rFonts w:ascii="Symbol" w:hAnsi="Symbol" w:cs="Symbol" w:hint="default"/>
      </w:rPr>
    </w:lvl>
    <w:lvl w:ilvl="1">
      <w:start w:val="1"/>
      <w:numFmt w:val="bullet"/>
      <w:lvlText w:val="o"/>
      <w:lvlJc w:val="left"/>
      <w:pPr>
        <w:tabs>
          <w:tab w:val="num" w:pos="1899"/>
        </w:tabs>
        <w:ind w:left="1899" w:hanging="360"/>
      </w:pPr>
      <w:rPr>
        <w:rFonts w:ascii="Courier New" w:hAnsi="Courier New" w:cs="Courier New" w:hint="default"/>
      </w:rPr>
    </w:lvl>
    <w:lvl w:ilvl="2">
      <w:start w:val="1"/>
      <w:numFmt w:val="bullet"/>
      <w:lvlText w:val=""/>
      <w:lvlJc w:val="left"/>
      <w:pPr>
        <w:tabs>
          <w:tab w:val="num" w:pos="2619"/>
        </w:tabs>
        <w:ind w:left="2619" w:hanging="360"/>
      </w:pPr>
      <w:rPr>
        <w:rFonts w:ascii="Wingdings" w:hAnsi="Wingdings" w:cs="Wingdings" w:hint="default"/>
      </w:rPr>
    </w:lvl>
    <w:lvl w:ilvl="3">
      <w:start w:val="1"/>
      <w:numFmt w:val="bullet"/>
      <w:lvlText w:val=""/>
      <w:lvlJc w:val="left"/>
      <w:pPr>
        <w:tabs>
          <w:tab w:val="num" w:pos="3339"/>
        </w:tabs>
        <w:ind w:left="3339" w:hanging="360"/>
      </w:pPr>
      <w:rPr>
        <w:rFonts w:ascii="Symbol" w:hAnsi="Symbol" w:cs="Symbol" w:hint="default"/>
      </w:rPr>
    </w:lvl>
    <w:lvl w:ilvl="4">
      <w:start w:val="1"/>
      <w:numFmt w:val="bullet"/>
      <w:lvlText w:val="o"/>
      <w:lvlJc w:val="left"/>
      <w:pPr>
        <w:tabs>
          <w:tab w:val="num" w:pos="4059"/>
        </w:tabs>
        <w:ind w:left="4059" w:hanging="360"/>
      </w:pPr>
      <w:rPr>
        <w:rFonts w:ascii="Courier New" w:hAnsi="Courier New" w:cs="Courier New" w:hint="default"/>
      </w:rPr>
    </w:lvl>
    <w:lvl w:ilvl="5">
      <w:start w:val="1"/>
      <w:numFmt w:val="bullet"/>
      <w:lvlText w:val=""/>
      <w:lvlJc w:val="left"/>
      <w:pPr>
        <w:tabs>
          <w:tab w:val="num" w:pos="4779"/>
        </w:tabs>
        <w:ind w:left="4779" w:hanging="360"/>
      </w:pPr>
      <w:rPr>
        <w:rFonts w:ascii="Wingdings" w:hAnsi="Wingdings" w:cs="Wingdings" w:hint="default"/>
      </w:rPr>
    </w:lvl>
    <w:lvl w:ilvl="6">
      <w:start w:val="1"/>
      <w:numFmt w:val="bullet"/>
      <w:lvlText w:val=""/>
      <w:lvlJc w:val="left"/>
      <w:pPr>
        <w:tabs>
          <w:tab w:val="num" w:pos="5499"/>
        </w:tabs>
        <w:ind w:left="5499" w:hanging="360"/>
      </w:pPr>
      <w:rPr>
        <w:rFonts w:ascii="Symbol" w:hAnsi="Symbol" w:cs="Symbol" w:hint="default"/>
      </w:rPr>
    </w:lvl>
    <w:lvl w:ilvl="7">
      <w:start w:val="1"/>
      <w:numFmt w:val="bullet"/>
      <w:lvlText w:val="o"/>
      <w:lvlJc w:val="left"/>
      <w:pPr>
        <w:tabs>
          <w:tab w:val="num" w:pos="6219"/>
        </w:tabs>
        <w:ind w:left="6219" w:hanging="360"/>
      </w:pPr>
      <w:rPr>
        <w:rFonts w:ascii="Courier New" w:hAnsi="Courier New" w:cs="Courier New" w:hint="default"/>
      </w:rPr>
    </w:lvl>
    <w:lvl w:ilvl="8">
      <w:start w:val="1"/>
      <w:numFmt w:val="bullet"/>
      <w:lvlText w:val=""/>
      <w:lvlJc w:val="left"/>
      <w:pPr>
        <w:tabs>
          <w:tab w:val="num" w:pos="6939"/>
        </w:tabs>
        <w:ind w:left="6939" w:hanging="360"/>
      </w:pPr>
      <w:rPr>
        <w:rFonts w:ascii="Wingdings" w:hAnsi="Wingdings" w:cs="Wingdings" w:hint="default"/>
      </w:rPr>
    </w:lvl>
  </w:abstractNum>
  <w:abstractNum w:abstractNumId="9">
    <w:nsid w:val="4E8450BB"/>
    <w:multiLevelType w:val="multilevel"/>
    <w:tmpl w:val="A74A4362"/>
    <w:lvl w:ilvl="0">
      <w:start w:val="1"/>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0">
    <w:nsid w:val="504C3780"/>
    <w:multiLevelType w:val="hybridMultilevel"/>
    <w:tmpl w:val="E3EEC400"/>
    <w:lvl w:ilvl="0" w:tplc="B3125CAA">
      <w:start w:val="1"/>
      <w:numFmt w:val="decimal"/>
      <w:lvlText w:val="%1."/>
      <w:lvlJc w:val="left"/>
      <w:pPr>
        <w:ind w:left="720" w:hanging="360"/>
      </w:pPr>
    </w:lvl>
    <w:lvl w:ilvl="1" w:tplc="785495F2" w:tentative="1">
      <w:start w:val="1"/>
      <w:numFmt w:val="lowerLetter"/>
      <w:lvlText w:val="%2."/>
      <w:lvlJc w:val="left"/>
      <w:pPr>
        <w:ind w:left="1440" w:hanging="360"/>
      </w:pPr>
    </w:lvl>
    <w:lvl w:ilvl="2" w:tplc="F1201DE6" w:tentative="1">
      <w:start w:val="1"/>
      <w:numFmt w:val="lowerRoman"/>
      <w:lvlText w:val="%3."/>
      <w:lvlJc w:val="right"/>
      <w:pPr>
        <w:ind w:left="2160" w:hanging="180"/>
      </w:pPr>
    </w:lvl>
    <w:lvl w:ilvl="3" w:tplc="6E064450" w:tentative="1">
      <w:start w:val="1"/>
      <w:numFmt w:val="decimal"/>
      <w:lvlText w:val="%4."/>
      <w:lvlJc w:val="left"/>
      <w:pPr>
        <w:ind w:left="2880" w:hanging="360"/>
      </w:pPr>
    </w:lvl>
    <w:lvl w:ilvl="4" w:tplc="02ACD10C" w:tentative="1">
      <w:start w:val="1"/>
      <w:numFmt w:val="lowerLetter"/>
      <w:lvlText w:val="%5."/>
      <w:lvlJc w:val="left"/>
      <w:pPr>
        <w:ind w:left="3600" w:hanging="360"/>
      </w:pPr>
    </w:lvl>
    <w:lvl w:ilvl="5" w:tplc="657266F6" w:tentative="1">
      <w:start w:val="1"/>
      <w:numFmt w:val="lowerRoman"/>
      <w:lvlText w:val="%6."/>
      <w:lvlJc w:val="right"/>
      <w:pPr>
        <w:ind w:left="4320" w:hanging="180"/>
      </w:pPr>
    </w:lvl>
    <w:lvl w:ilvl="6" w:tplc="5D7240D0" w:tentative="1">
      <w:start w:val="1"/>
      <w:numFmt w:val="decimal"/>
      <w:lvlText w:val="%7."/>
      <w:lvlJc w:val="left"/>
      <w:pPr>
        <w:ind w:left="5040" w:hanging="360"/>
      </w:pPr>
    </w:lvl>
    <w:lvl w:ilvl="7" w:tplc="DD22149E" w:tentative="1">
      <w:start w:val="1"/>
      <w:numFmt w:val="lowerLetter"/>
      <w:lvlText w:val="%8."/>
      <w:lvlJc w:val="left"/>
      <w:pPr>
        <w:ind w:left="5760" w:hanging="360"/>
      </w:pPr>
    </w:lvl>
    <w:lvl w:ilvl="8" w:tplc="6C384190" w:tentative="1">
      <w:start w:val="1"/>
      <w:numFmt w:val="lowerRoman"/>
      <w:lvlText w:val="%9."/>
      <w:lvlJc w:val="right"/>
      <w:pPr>
        <w:ind w:left="6480" w:hanging="180"/>
      </w:pPr>
    </w:lvl>
  </w:abstractNum>
  <w:abstractNum w:abstractNumId="11">
    <w:nsid w:val="7E722FDC"/>
    <w:multiLevelType w:val="multilevel"/>
    <w:tmpl w:val="920A31D2"/>
    <w:lvl w:ilvl="0">
      <w:start w:val="5"/>
      <w:numFmt w:val="decimal"/>
      <w:lvlText w:val="%1.0"/>
      <w:lvlJc w:val="left"/>
      <w:pPr>
        <w:tabs>
          <w:tab w:val="num" w:pos="0"/>
        </w:tabs>
        <w:ind w:left="360" w:hanging="360"/>
      </w:pPr>
    </w:lvl>
    <w:lvl w:ilvl="1">
      <w:start w:val="1"/>
      <w:numFmt w:val="decimal"/>
      <w:lvlText w:val="%1.%2"/>
      <w:lvlJc w:val="left"/>
      <w:pPr>
        <w:tabs>
          <w:tab w:val="num" w:pos="0"/>
        </w:tabs>
        <w:ind w:left="927" w:hanging="36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2988" w:hanging="72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482" w:hanging="108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5976" w:hanging="1440"/>
      </w:pPr>
    </w:lvl>
  </w:abstractNum>
  <w:num w:numId="1">
    <w:abstractNumId w:val="5"/>
  </w:num>
  <w:num w:numId="2">
    <w:abstractNumId w:val="3"/>
  </w:num>
  <w:num w:numId="3">
    <w:abstractNumId w:val="0"/>
  </w:num>
  <w:num w:numId="4">
    <w:abstractNumId w:val="8"/>
  </w:num>
  <w:num w:numId="5">
    <w:abstractNumId w:val="7"/>
  </w:num>
  <w:num w:numId="6">
    <w:abstractNumId w:val="2"/>
  </w:num>
  <w:num w:numId="7">
    <w:abstractNumId w:val="9"/>
  </w:num>
  <w:num w:numId="8">
    <w:abstractNumId w:val="6"/>
  </w:num>
  <w:num w:numId="9">
    <w:abstractNumId w:val="1"/>
  </w:num>
  <w:num w:numId="10">
    <w:abstractNumId w:val="4"/>
  </w:num>
  <w:num w:numId="11">
    <w:abstractNumId w:val="11"/>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saveSubsetFonts/>
  <w:defaultTabStop w:val="567"/>
  <w:autoHyphenation/>
  <w:evenAndOddHeaders/>
  <w:characterSpacingControl w:val="doNotCompress"/>
  <w:footnotePr>
    <w:footnote w:id="0"/>
    <w:footnote w:id="1"/>
  </w:footnotePr>
  <w:endnotePr>
    <w:endnote w:id="0"/>
    <w:endnote w:id="1"/>
  </w:endnotePr>
  <w:compat>
    <w:doNotExpandShiftReturn/>
  </w:compat>
  <w:rsids>
    <w:rsidRoot w:val="00AB5339"/>
    <w:rsid w:val="000D7981"/>
    <w:rsid w:val="000E415E"/>
    <w:rsid w:val="00134D1E"/>
    <w:rsid w:val="00162C7F"/>
    <w:rsid w:val="00175A8A"/>
    <w:rsid w:val="002A6D07"/>
    <w:rsid w:val="002D0E7B"/>
    <w:rsid w:val="002F3B1D"/>
    <w:rsid w:val="00357328"/>
    <w:rsid w:val="0036262E"/>
    <w:rsid w:val="00372A51"/>
    <w:rsid w:val="0038190D"/>
    <w:rsid w:val="003879B6"/>
    <w:rsid w:val="003D787A"/>
    <w:rsid w:val="00410B61"/>
    <w:rsid w:val="00420CF3"/>
    <w:rsid w:val="00490E5B"/>
    <w:rsid w:val="00494E55"/>
    <w:rsid w:val="004B2371"/>
    <w:rsid w:val="0051087F"/>
    <w:rsid w:val="00531E3D"/>
    <w:rsid w:val="00537BB0"/>
    <w:rsid w:val="005B2C96"/>
    <w:rsid w:val="00617352"/>
    <w:rsid w:val="00620D34"/>
    <w:rsid w:val="006248A5"/>
    <w:rsid w:val="006B1E9A"/>
    <w:rsid w:val="0078773A"/>
    <w:rsid w:val="007A705F"/>
    <w:rsid w:val="007C19B7"/>
    <w:rsid w:val="007C40FB"/>
    <w:rsid w:val="008A1ADD"/>
    <w:rsid w:val="008C62A7"/>
    <w:rsid w:val="008D2D95"/>
    <w:rsid w:val="008E12C6"/>
    <w:rsid w:val="00956E22"/>
    <w:rsid w:val="00980AA0"/>
    <w:rsid w:val="00981CB0"/>
    <w:rsid w:val="009B58AA"/>
    <w:rsid w:val="009D29D8"/>
    <w:rsid w:val="009F3494"/>
    <w:rsid w:val="00A102FC"/>
    <w:rsid w:val="00A35EF7"/>
    <w:rsid w:val="00AB5339"/>
    <w:rsid w:val="00AE4091"/>
    <w:rsid w:val="00B546E4"/>
    <w:rsid w:val="00BF41F1"/>
    <w:rsid w:val="00C51134"/>
    <w:rsid w:val="00CE3AC6"/>
    <w:rsid w:val="00D07292"/>
    <w:rsid w:val="00D10ADF"/>
    <w:rsid w:val="00E513D3"/>
    <w:rsid w:val="00E76438"/>
    <w:rsid w:val="00E83864"/>
    <w:rsid w:val="00EA62E8"/>
    <w:rsid w:val="00F01369"/>
    <w:rsid w:val="00F37EC8"/>
    <w:rsid w:val="00F81D55"/>
    <w:rsid w:val="00FA5F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stocktick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semiHidden="0" w:uiPriority="0" w:unhideWhenUsed="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semiHidden="0" w:uiPriority="0" w:unhideWhenUsed="0"/>
    <w:lsdException w:name="Table Subtle 2" w:uiPriority="0"/>
    <w:lsdException w:name="Table Web 1" w:uiPriority="0"/>
    <w:lsdException w:name="Table Web 2" w:semiHidden="0" w:uiPriority="0" w:unhideWhenUsed="0"/>
    <w:lsdException w:name="Table Web 3" w:semiHidden="0" w:uiPriority="0" w:unhideWhenUsed="0"/>
    <w:lsdException w:name="Balloon Text" w:lock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qFormat/>
    <w:rsid w:val="00CF7AF3"/>
    <w:pPr>
      <w:textAlignment w:val="baseline"/>
    </w:pPr>
    <w:rPr>
      <w:sz w:val="22"/>
      <w:lang w:eastAsia="en-US"/>
    </w:rPr>
  </w:style>
  <w:style w:type="paragraph" w:styleId="Heading1">
    <w:name w:val="heading 1"/>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next w:val="BodyText"/>
    <w:uiPriority w:val="4"/>
    <w:qFormat/>
    <w:rsid w:val="00EE0041"/>
    <w:pPr>
      <w:widowControl w:val="0"/>
      <w:numPr>
        <w:ilvl w:val="1"/>
        <w:numId w:val="1"/>
      </w:numPr>
      <w:spacing w:beforeAutospacing="1" w:afterAutospacing="1" w:line="280" w:lineRule="atLeast"/>
      <w:outlineLvl w:val="1"/>
    </w:pPr>
    <w:rPr>
      <w:caps/>
      <w:lang w:eastAsia="en-US"/>
    </w:rPr>
  </w:style>
  <w:style w:type="paragraph" w:styleId="Heading3">
    <w:name w:val="heading 3"/>
    <w:next w:val="BodyText"/>
    <w:uiPriority w:val="4"/>
    <w:qFormat/>
    <w:rsid w:val="00897ED5"/>
    <w:pPr>
      <w:widowControl w:val="0"/>
      <w:numPr>
        <w:ilvl w:val="2"/>
        <w:numId w:val="1"/>
      </w:numPr>
      <w:spacing w:before="240" w:after="240" w:line="240" w:lineRule="exact"/>
      <w:outlineLvl w:val="2"/>
    </w:pPr>
    <w:rPr>
      <w:b/>
      <w:lang w:eastAsia="en-US"/>
    </w:rPr>
  </w:style>
  <w:style w:type="paragraph" w:styleId="Heading4">
    <w:name w:val="heading 4"/>
    <w:basedOn w:val="Normal"/>
    <w:next w:val="BodyText"/>
    <w:uiPriority w:val="4"/>
    <w:qFormat/>
    <w:rsid w:val="00897ED5"/>
    <w:pPr>
      <w:widowControl w:val="0"/>
      <w:numPr>
        <w:ilvl w:val="3"/>
        <w:numId w:val="1"/>
      </w:numPr>
      <w:spacing w:beforeAutospacing="1" w:afterAutospacing="1" w:line="240" w:lineRule="atLeast"/>
      <w:outlineLvl w:val="3"/>
    </w:pPr>
    <w:rPr>
      <w:i/>
      <w:sz w:val="20"/>
      <w:lang w:val="en-US"/>
    </w:rPr>
  </w:style>
  <w:style w:type="paragraph" w:styleId="Heading5">
    <w:name w:val="heading 5"/>
    <w:basedOn w:val="Normal"/>
    <w:next w:val="Normal"/>
    <w:uiPriority w:val="19"/>
    <w:qFormat/>
    <w:locked/>
    <w:rsid w:val="00A11F4A"/>
    <w:pPr>
      <w:overflowPunct w:val="0"/>
      <w:spacing w:before="240" w:after="60"/>
      <w:textAlignment w:val="auto"/>
      <w:outlineLvl w:val="4"/>
    </w:pPr>
    <w:rPr>
      <w:b/>
      <w:bCs/>
      <w:i/>
      <w:iCs/>
      <w:sz w:val="26"/>
      <w:szCs w:val="26"/>
      <w:lang w:val="en-US"/>
    </w:rPr>
  </w:style>
  <w:style w:type="paragraph" w:styleId="Heading6">
    <w:name w:val="heading 6"/>
    <w:basedOn w:val="Normal"/>
    <w:next w:val="Normal"/>
    <w:uiPriority w:val="19"/>
    <w:qFormat/>
    <w:locked/>
    <w:rsid w:val="00A11F4A"/>
    <w:pPr>
      <w:overflowPunct w:val="0"/>
      <w:spacing w:before="240" w:after="60"/>
      <w:textAlignment w:val="auto"/>
      <w:outlineLvl w:val="5"/>
    </w:pPr>
    <w:rPr>
      <w:b/>
      <w:bCs/>
      <w:szCs w:val="22"/>
      <w:lang w:val="en-US"/>
    </w:rPr>
  </w:style>
  <w:style w:type="paragraph" w:styleId="Heading7">
    <w:name w:val="heading 7"/>
    <w:basedOn w:val="Normal"/>
    <w:next w:val="Normal"/>
    <w:uiPriority w:val="19"/>
    <w:qFormat/>
    <w:locked/>
    <w:rsid w:val="00A11F4A"/>
    <w:pPr>
      <w:overflowPunct w:val="0"/>
      <w:spacing w:before="240" w:after="60"/>
      <w:textAlignment w:val="auto"/>
      <w:outlineLvl w:val="6"/>
    </w:pPr>
    <w:rPr>
      <w:szCs w:val="24"/>
      <w:lang w:val="en-US"/>
    </w:rPr>
  </w:style>
  <w:style w:type="paragraph" w:styleId="Heading8">
    <w:name w:val="heading 8"/>
    <w:basedOn w:val="Normal"/>
    <w:next w:val="Normal"/>
    <w:uiPriority w:val="19"/>
    <w:qFormat/>
    <w:locked/>
    <w:rsid w:val="00A11F4A"/>
    <w:pPr>
      <w:overflowPunct w:val="0"/>
      <w:spacing w:before="240" w:after="60"/>
      <w:textAlignment w:val="auto"/>
      <w:outlineLvl w:val="7"/>
    </w:pPr>
    <w:rPr>
      <w:i/>
      <w:iCs/>
      <w:szCs w:val="24"/>
      <w:lang w:val="en-US"/>
    </w:rPr>
  </w:style>
  <w:style w:type="paragraph" w:styleId="Heading9">
    <w:name w:val="heading 9"/>
    <w:basedOn w:val="Normal"/>
    <w:next w:val="Normal"/>
    <w:uiPriority w:val="19"/>
    <w:qFormat/>
    <w:locked/>
    <w:rsid w:val="00A11F4A"/>
    <w:pPr>
      <w:overflowPunct w:val="0"/>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basedOn w:val="DefaultParagraphFont"/>
    <w:semiHidden/>
    <w:qFormat/>
    <w:locked/>
    <w:rsid w:val="00A11F4A"/>
    <w:rPr>
      <w:vertAlign w:val="superscript"/>
    </w:rPr>
  </w:style>
  <w:style w:type="character" w:customStyle="1" w:styleId="FootnoteAnchor">
    <w:name w:val="Footnote Anchor"/>
    <w:rsid w:val="00AB5339"/>
    <w:rPr>
      <w:vertAlign w:val="superscript"/>
    </w:rPr>
  </w:style>
  <w:style w:type="character" w:customStyle="1" w:styleId="FooterChar">
    <w:name w:val="Footer Char"/>
    <w:basedOn w:val="DefaultParagraphFont"/>
    <w:link w:val="Footer"/>
    <w:uiPriority w:val="99"/>
    <w:qFormat/>
    <w:rsid w:val="00037321"/>
    <w:rPr>
      <w:sz w:val="2"/>
      <w:lang w:val="en-US" w:eastAsia="en-US"/>
    </w:rPr>
  </w:style>
  <w:style w:type="character" w:customStyle="1" w:styleId="RunningheadChar">
    <w:name w:val="Running head Char"/>
    <w:basedOn w:val="DefaultParagraphFont"/>
    <w:link w:val="Runninghead"/>
    <w:uiPriority w:val="49"/>
    <w:qFormat/>
    <w:rsid w:val="00B82FA5"/>
    <w:rPr>
      <w:b/>
      <w:sz w:val="16"/>
      <w:szCs w:val="16"/>
      <w:lang w:eastAsia="en-US"/>
    </w:rPr>
  </w:style>
  <w:style w:type="character" w:customStyle="1" w:styleId="BodyTextChar">
    <w:name w:val="Body Text Char"/>
    <w:basedOn w:val="DefaultParagraphFont"/>
    <w:link w:val="BodyText"/>
    <w:qFormat/>
    <w:rsid w:val="00647F33"/>
    <w:rPr>
      <w:lang w:eastAsia="en-US"/>
    </w:rPr>
  </w:style>
  <w:style w:type="character" w:customStyle="1" w:styleId="AuthornameandaffiliationChar">
    <w:name w:val="Author name and affiliation Char"/>
    <w:basedOn w:val="BodyTextChar"/>
    <w:link w:val="Authornameandaffiliation"/>
    <w:uiPriority w:val="49"/>
    <w:qFormat/>
    <w:rsid w:val="00647F33"/>
    <w:rPr>
      <w:lang w:val="en-US" w:eastAsia="en-US"/>
    </w:rPr>
  </w:style>
  <w:style w:type="character" w:customStyle="1" w:styleId="AbstracttextChar">
    <w:name w:val="Abstract text Char"/>
    <w:basedOn w:val="AuthornameandaffiliationChar"/>
    <w:link w:val="Abstracttext"/>
    <w:uiPriority w:val="49"/>
    <w:qFormat/>
    <w:rsid w:val="00BD605C"/>
    <w:rPr>
      <w:sz w:val="18"/>
      <w:lang w:val="en-US" w:eastAsia="en-US"/>
    </w:rPr>
  </w:style>
  <w:style w:type="character" w:customStyle="1" w:styleId="BalloonTextChar">
    <w:name w:val="Balloon Text Char"/>
    <w:basedOn w:val="DefaultParagraphFont"/>
    <w:link w:val="BalloonText"/>
    <w:uiPriority w:val="49"/>
    <w:qFormat/>
    <w:rsid w:val="005F00A0"/>
    <w:rPr>
      <w:rFonts w:ascii="Tahoma" w:hAnsi="Tahoma" w:cs="Tahoma"/>
      <w:sz w:val="16"/>
      <w:szCs w:val="16"/>
      <w:lang w:eastAsia="en-US"/>
    </w:rPr>
  </w:style>
  <w:style w:type="character" w:customStyle="1" w:styleId="FigurecaptionChar">
    <w:name w:val="Figure caption Char"/>
    <w:basedOn w:val="BodyTextChar"/>
    <w:link w:val="Figurecaption"/>
    <w:uiPriority w:val="49"/>
    <w:qFormat/>
    <w:rsid w:val="00717C6F"/>
    <w:rPr>
      <w:i/>
      <w:sz w:val="18"/>
      <w:lang w:eastAsia="en-US"/>
    </w:rPr>
  </w:style>
  <w:style w:type="character" w:customStyle="1" w:styleId="OtherunnumberedheadingsChar">
    <w:name w:val="Other unnumbered headings Char"/>
    <w:basedOn w:val="BodyTextChar"/>
    <w:link w:val="Otherunnumberedheadings"/>
    <w:uiPriority w:val="49"/>
    <w:qFormat/>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qFormat/>
    <w:rsid w:val="009E0D5B"/>
    <w:rPr>
      <w:sz w:val="18"/>
      <w:szCs w:val="18"/>
    </w:rPr>
  </w:style>
  <w:style w:type="character" w:customStyle="1" w:styleId="TabletextChar">
    <w:name w:val="Table text Char"/>
    <w:basedOn w:val="BodyTextChar"/>
    <w:link w:val="Tabletext"/>
    <w:uiPriority w:val="49"/>
    <w:qFormat/>
    <w:rsid w:val="00883848"/>
    <w:rPr>
      <w:lang w:eastAsia="en-US"/>
    </w:rPr>
  </w:style>
  <w:style w:type="character" w:customStyle="1" w:styleId="FIG-LONGChar">
    <w:name w:val="FIG-LONG Char"/>
    <w:basedOn w:val="DefaultParagraphFont"/>
    <w:qFormat/>
    <w:rsid w:val="002C29DB"/>
    <w:rPr>
      <w:rFonts w:eastAsiaTheme="minorEastAsia"/>
      <w:i/>
      <w:iCs/>
      <w:sz w:val="18"/>
      <w:szCs w:val="18"/>
      <w:lang w:eastAsia="en-US"/>
    </w:rPr>
  </w:style>
  <w:style w:type="character" w:styleId="CommentReference">
    <w:name w:val="annotation reference"/>
    <w:basedOn w:val="DefaultParagraphFont"/>
    <w:uiPriority w:val="49"/>
    <w:semiHidden/>
    <w:unhideWhenUsed/>
    <w:qFormat/>
    <w:locked/>
    <w:rsid w:val="00A233D1"/>
    <w:rPr>
      <w:sz w:val="16"/>
      <w:szCs w:val="16"/>
    </w:rPr>
  </w:style>
  <w:style w:type="character" w:customStyle="1" w:styleId="CommentTextChar">
    <w:name w:val="Comment Text Char"/>
    <w:basedOn w:val="DefaultParagraphFont"/>
    <w:link w:val="CommentText"/>
    <w:uiPriority w:val="49"/>
    <w:semiHidden/>
    <w:qFormat/>
    <w:rsid w:val="00A233D1"/>
    <w:rPr>
      <w:lang w:eastAsia="en-US"/>
    </w:rPr>
  </w:style>
  <w:style w:type="character" w:customStyle="1" w:styleId="CommentSubjectChar">
    <w:name w:val="Comment Subject Char"/>
    <w:basedOn w:val="CommentTextChar"/>
    <w:link w:val="CommentSubject"/>
    <w:uiPriority w:val="49"/>
    <w:semiHidden/>
    <w:qFormat/>
    <w:rsid w:val="00A233D1"/>
    <w:rPr>
      <w:b/>
      <w:bCs/>
      <w:lang w:eastAsia="en-US"/>
    </w:rPr>
  </w:style>
  <w:style w:type="paragraph" w:customStyle="1" w:styleId="Heading">
    <w:name w:val="Heading"/>
    <w:basedOn w:val="Normal"/>
    <w:next w:val="BodyText"/>
    <w:qFormat/>
    <w:rsid w:val="00AB5339"/>
    <w:pPr>
      <w:keepNext/>
      <w:spacing w:before="240" w:after="120"/>
    </w:pPr>
    <w:rPr>
      <w:rFonts w:ascii="Arial Rounded MT Bold" w:eastAsia="Noto Sans CJK SC" w:hAnsi="Arial Rounded MT Bold" w:cs="Lohit Devanagari"/>
      <w:sz w:val="24"/>
      <w:szCs w:val="28"/>
    </w:rPr>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List">
    <w:name w:val="List"/>
    <w:basedOn w:val="BodyText"/>
    <w:rsid w:val="00AB5339"/>
    <w:rPr>
      <w:rFonts w:ascii="Corbel" w:hAnsi="Corbel" w:cs="Lohit Devanagari"/>
    </w:rPr>
  </w:style>
  <w:style w:type="paragraph" w:styleId="Caption">
    <w:name w:val="caption"/>
    <w:next w:val="Normal"/>
    <w:uiPriority w:val="49"/>
    <w:qFormat/>
    <w:rsid w:val="00A11F4A"/>
    <w:pPr>
      <w:spacing w:after="85"/>
    </w:pPr>
    <w:rPr>
      <w:bCs/>
      <w:sz w:val="18"/>
      <w:lang w:val="en-US" w:eastAsia="en-US"/>
    </w:rPr>
  </w:style>
  <w:style w:type="paragraph" w:customStyle="1" w:styleId="Index">
    <w:name w:val="Index"/>
    <w:basedOn w:val="Normal"/>
    <w:qFormat/>
    <w:rsid w:val="00AB5339"/>
    <w:pPr>
      <w:suppressLineNumbers/>
    </w:pPr>
    <w:rPr>
      <w:rFonts w:ascii="Corbel" w:hAnsi="Corbel" w:cs="Lohit Devanagari"/>
    </w:rPr>
  </w:style>
  <w:style w:type="paragraph" w:styleId="BodyTextIndent">
    <w:name w:val="Body Text Indent"/>
    <w:basedOn w:val="BodyText"/>
    <w:uiPriority w:val="49"/>
    <w:locked/>
    <w:rsid w:val="00A11F4A"/>
    <w:pPr>
      <w:ind w:left="1134" w:hanging="675"/>
    </w:pPr>
  </w:style>
  <w:style w:type="paragraph" w:customStyle="1" w:styleId="BodyTextMultiline">
    <w:name w:val="Body Text Multiline"/>
    <w:basedOn w:val="BodyText"/>
    <w:qFormat/>
    <w:locked/>
    <w:rsid w:val="00A11F4A"/>
    <w:pPr>
      <w:tabs>
        <w:tab w:val="num" w:pos="459"/>
      </w:tabs>
      <w:ind w:firstLine="0"/>
    </w:pPr>
  </w:style>
  <w:style w:type="paragraph" w:customStyle="1" w:styleId="BodyTextSummary">
    <w:name w:val="Body Text Summary"/>
    <w:uiPriority w:val="49"/>
    <w:qFormat/>
    <w:locked/>
    <w:rsid w:val="00A11F4A"/>
    <w:pPr>
      <w:tabs>
        <w:tab w:val="num" w:pos="720"/>
      </w:tabs>
      <w:spacing w:after="170" w:line="280" w:lineRule="atLeast"/>
      <w:ind w:left="572" w:hanging="459"/>
      <w:jc w:val="both"/>
    </w:pPr>
    <w:rPr>
      <w:sz w:val="22"/>
      <w:szCs w:val="22"/>
      <w:lang w:eastAsia="en-US"/>
    </w:rPr>
  </w:style>
  <w:style w:type="paragraph" w:customStyle="1" w:styleId="HeaderandFooter">
    <w:name w:val="Header and Footer"/>
    <w:basedOn w:val="Normal"/>
    <w:qFormat/>
    <w:rsid w:val="00AB5339"/>
  </w:style>
  <w:style w:type="paragraph" w:styleId="Footer">
    <w:name w:val="footer"/>
    <w:basedOn w:val="Normal"/>
    <w:link w:val="FooterChar"/>
    <w:uiPriority w:val="99"/>
    <w:locked/>
    <w:rsid w:val="00A11F4A"/>
    <w:pPr>
      <w:overflowPunct w:val="0"/>
      <w:textAlignment w:val="auto"/>
    </w:pPr>
    <w:rPr>
      <w:sz w:val="2"/>
      <w:lang w:val="en-US"/>
    </w:rPr>
  </w:style>
  <w:style w:type="paragraph" w:styleId="FootnoteText">
    <w:name w:val="footnote text"/>
    <w:semiHidden/>
    <w:locked/>
    <w:rsid w:val="00A11F4A"/>
    <w:pPr>
      <w:tabs>
        <w:tab w:val="left" w:pos="459"/>
      </w:tabs>
      <w:spacing w:before="142"/>
      <w:ind w:left="459"/>
      <w:jc w:val="both"/>
    </w:pPr>
    <w:rPr>
      <w:sz w:val="18"/>
      <w:lang w:eastAsia="en-US"/>
    </w:rPr>
  </w:style>
  <w:style w:type="paragraph" w:styleId="Header">
    <w:name w:val="header"/>
    <w:next w:val="BodyText"/>
    <w:uiPriority w:val="49"/>
    <w:locked/>
    <w:rsid w:val="00A11F4A"/>
    <w:pPr>
      <w:spacing w:after="85"/>
    </w:pPr>
    <w:rPr>
      <w:sz w:val="18"/>
      <w:lang w:val="en-US" w:eastAsia="en-US"/>
    </w:rPr>
  </w:style>
  <w:style w:type="paragraph" w:customStyle="1" w:styleId="ListBulleted">
    <w:name w:val="List Bulleted"/>
    <w:uiPriority w:val="7"/>
    <w:qFormat/>
    <w:locked/>
    <w:rsid w:val="00A11F4A"/>
    <w:pPr>
      <w:tabs>
        <w:tab w:val="left" w:pos="919"/>
        <w:tab w:val="num" w:pos="1179"/>
      </w:tabs>
      <w:ind w:left="918" w:right="1134" w:hanging="459"/>
      <w:jc w:val="both"/>
    </w:pPr>
    <w:rPr>
      <w:sz w:val="22"/>
      <w:lang w:eastAsia="en-US"/>
    </w:rPr>
  </w:style>
  <w:style w:type="paragraph" w:customStyle="1" w:styleId="ListEmdash">
    <w:name w:val="List Emdash"/>
    <w:basedOn w:val="BodyText"/>
    <w:uiPriority w:val="6"/>
    <w:qFormat/>
    <w:rsid w:val="00717C6F"/>
    <w:pPr>
      <w:tabs>
        <w:tab w:val="num" w:pos="0"/>
      </w:tabs>
      <w:ind w:left="709"/>
    </w:pPr>
  </w:style>
  <w:style w:type="paragraph" w:customStyle="1" w:styleId="ListNumbered">
    <w:name w:val="List Numbered"/>
    <w:basedOn w:val="BodyText"/>
    <w:uiPriority w:val="5"/>
    <w:qFormat/>
    <w:locked/>
    <w:rsid w:val="00717C6F"/>
    <w:pPr>
      <w:tabs>
        <w:tab w:val="num" w:pos="0"/>
      </w:tabs>
      <w:ind w:left="720" w:hanging="360"/>
    </w:pPr>
  </w:style>
  <w:style w:type="paragraph" w:styleId="Title">
    <w:name w:val="Title"/>
    <w:uiPriority w:val="2"/>
    <w:qFormat/>
    <w:locked/>
    <w:rsid w:val="00A11F4A"/>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qFormat/>
    <w:locked/>
    <w:rsid w:val="00A11F4A"/>
    <w:pPr>
      <w:spacing w:after="20" w:line="220" w:lineRule="exact"/>
      <w:jc w:val="right"/>
    </w:pPr>
    <w:rPr>
      <w:rFonts w:ascii="Arial" w:hAnsi="Arial" w:cs="Arial"/>
      <w:color w:val="FF0000"/>
    </w:rPr>
  </w:style>
  <w:style w:type="paragraph" w:customStyle="1" w:styleId="zyxConfidRed">
    <w:name w:val="zyxConfidRed"/>
    <w:uiPriority w:val="49"/>
    <w:qFormat/>
    <w:locked/>
    <w:rsid w:val="00A11F4A"/>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qFormat/>
    <w:locked/>
    <w:rsid w:val="00A11F4A"/>
    <w:pPr>
      <w:widowControl/>
      <w:textAlignment w:val="baseline"/>
    </w:pPr>
    <w:rPr>
      <w:rFonts w:cs="Arial"/>
      <w:bCs/>
      <w:color w:val="000000"/>
    </w:rPr>
  </w:style>
  <w:style w:type="paragraph" w:customStyle="1" w:styleId="zyxDistribution">
    <w:name w:val="zyxDistribution"/>
    <w:basedOn w:val="Normal"/>
    <w:uiPriority w:val="49"/>
    <w:qFormat/>
    <w:locked/>
    <w:rsid w:val="00A11F4A"/>
    <w:pPr>
      <w:widowControl w:val="0"/>
      <w:overflowPunct w:val="0"/>
      <w:spacing w:before="240" w:after="20"/>
      <w:ind w:left="142"/>
      <w:textAlignment w:val="auto"/>
    </w:pPr>
    <w:rPr>
      <w:rFonts w:ascii="Arial" w:hAnsi="Arial"/>
      <w:b/>
    </w:rPr>
  </w:style>
  <w:style w:type="paragraph" w:customStyle="1" w:styleId="zyxPrePrint">
    <w:name w:val="zyxPrePrint"/>
    <w:uiPriority w:val="49"/>
    <w:qFormat/>
    <w:locked/>
    <w:rsid w:val="00A11F4A"/>
    <w:pPr>
      <w:spacing w:after="60" w:line="280" w:lineRule="exact"/>
      <w:ind w:left="113"/>
    </w:pPr>
    <w:rPr>
      <w:sz w:val="22"/>
      <w:lang w:eastAsia="en-US"/>
    </w:rPr>
  </w:style>
  <w:style w:type="paragraph" w:customStyle="1" w:styleId="zyxFillIn">
    <w:name w:val="zyxFill_In"/>
    <w:basedOn w:val="zyxPrePrint"/>
    <w:uiPriority w:val="49"/>
    <w:qFormat/>
    <w:locked/>
    <w:rsid w:val="00A11F4A"/>
    <w:rPr>
      <w:b/>
    </w:rPr>
  </w:style>
  <w:style w:type="paragraph" w:customStyle="1" w:styleId="zyxLogo">
    <w:name w:val="zyxLogo"/>
    <w:basedOn w:val="Normal"/>
    <w:uiPriority w:val="49"/>
    <w:qFormat/>
    <w:locked/>
    <w:rsid w:val="00A11F4A"/>
    <w:pPr>
      <w:keepNext/>
      <w:spacing w:after="10"/>
    </w:pPr>
    <w:rPr>
      <w:rFonts w:ascii="Arial" w:hAnsi="Arial"/>
      <w:b/>
      <w:sz w:val="13"/>
    </w:rPr>
  </w:style>
  <w:style w:type="paragraph" w:customStyle="1" w:styleId="zyxP1Footer">
    <w:name w:val="zyxP1_Footer"/>
    <w:basedOn w:val="Normal"/>
    <w:uiPriority w:val="49"/>
    <w:qFormat/>
    <w:locked/>
    <w:rsid w:val="00A11F4A"/>
    <w:pPr>
      <w:widowControl w:val="0"/>
      <w:spacing w:line="160" w:lineRule="exact"/>
      <w:ind w:left="108"/>
    </w:pPr>
    <w:rPr>
      <w:sz w:val="14"/>
    </w:rPr>
  </w:style>
  <w:style w:type="paragraph" w:customStyle="1" w:styleId="zyxSensitivity">
    <w:name w:val="zyxSensitivity"/>
    <w:basedOn w:val="Normal"/>
    <w:uiPriority w:val="49"/>
    <w:qFormat/>
    <w:locked/>
    <w:rsid w:val="00A11F4A"/>
    <w:pPr>
      <w:widowControl w:val="0"/>
      <w:overflowPunct w:val="0"/>
      <w:spacing w:line="220" w:lineRule="exact"/>
      <w:ind w:left="142"/>
      <w:textAlignment w:val="auto"/>
    </w:pPr>
    <w:rPr>
      <w:rFonts w:ascii="Arial" w:hAnsi="Arial"/>
      <w:b/>
    </w:rPr>
  </w:style>
  <w:style w:type="paragraph" w:customStyle="1" w:styleId="zyxTitle">
    <w:name w:val="zyxTitle"/>
    <w:basedOn w:val="Normal"/>
    <w:uiPriority w:val="49"/>
    <w:qFormat/>
    <w:locked/>
    <w:rsid w:val="00A11F4A"/>
    <w:pPr>
      <w:keepNext/>
      <w:spacing w:line="420" w:lineRule="exact"/>
    </w:pPr>
    <w:rPr>
      <w:rFonts w:ascii="Arial" w:hAnsi="Arial"/>
      <w:sz w:val="40"/>
    </w:rPr>
  </w:style>
  <w:style w:type="paragraph" w:styleId="Subtitle">
    <w:name w:val="Subtitle"/>
    <w:next w:val="BodyText"/>
    <w:uiPriority w:val="3"/>
    <w:qFormat/>
    <w:rsid w:val="00B82FA5"/>
    <w:pPr>
      <w:spacing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qFormat/>
    <w:locked/>
    <w:rsid w:val="00A11F4A"/>
    <w:pPr>
      <w:tabs>
        <w:tab w:val="num"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qFormat/>
    <w:locked/>
    <w:rsid w:val="00A11F4A"/>
    <w:pPr>
      <w:spacing w:line="280" w:lineRule="exact"/>
      <w:jc w:val="right"/>
    </w:pPr>
    <w:rPr>
      <w:rFonts w:ascii="Arial" w:hAnsi="Arial" w:cs="Arial"/>
      <w:b/>
      <w:bCs/>
      <w:caps/>
      <w:sz w:val="24"/>
    </w:rPr>
  </w:style>
  <w:style w:type="paragraph" w:customStyle="1" w:styleId="zyxClassification2">
    <w:name w:val="zyxClassification2"/>
    <w:basedOn w:val="Footer"/>
    <w:uiPriority w:val="49"/>
    <w:qFormat/>
    <w:locked/>
    <w:rsid w:val="00A11F4A"/>
    <w:pPr>
      <w:tabs>
        <w:tab w:val="center" w:pos="4320"/>
        <w:tab w:val="right" w:pos="8640"/>
      </w:tabs>
      <w:overflowPunct/>
      <w:ind w:firstLine="567"/>
      <w:jc w:val="right"/>
      <w:textAlignment w:val="baseline"/>
    </w:pPr>
    <w:rPr>
      <w:rFonts w:ascii="Arial" w:hAnsi="Arial" w:cs="Arial"/>
      <w:sz w:val="16"/>
      <w:lang w:val="en-GB"/>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paragraph" w:styleId="BalloonText">
    <w:name w:val="Balloon Text"/>
    <w:basedOn w:val="Normal"/>
    <w:link w:val="BalloonTextChar"/>
    <w:uiPriority w:val="49"/>
    <w:qFormat/>
    <w:locked/>
    <w:rsid w:val="005F00A0"/>
    <w:rPr>
      <w:rFonts w:ascii="Tahoma" w:hAnsi="Tahoma" w:cs="Tahoma"/>
      <w:sz w:val="16"/>
      <w:szCs w:val="16"/>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Autospacing="1" w:afterAutospacing="1" w:line="260" w:lineRule="atLeast"/>
      <w:jc w:val="center"/>
    </w:pPr>
    <w:rPr>
      <w:rFonts w:ascii="Times New Roman Bold" w:hAnsi="Times New Roman Bold"/>
      <w:b/>
      <w:caps/>
      <w:lang w:eastAsia="en-US"/>
    </w:rPr>
  </w:style>
  <w:style w:type="paragraph" w:customStyle="1" w:styleId="Referencelist">
    <w:name w:val="Reference list"/>
    <w:basedOn w:val="BodyText"/>
    <w:link w:val="ReferencelistChar"/>
    <w:uiPriority w:val="49"/>
    <w:qFormat/>
    <w:rsid w:val="009E0D5B"/>
    <w:pPr>
      <w:tabs>
        <w:tab w:val="num" w:pos="0"/>
      </w:tabs>
      <w:ind w:left="720" w:hanging="360"/>
    </w:pPr>
    <w:rPr>
      <w:sz w:val="18"/>
      <w:szCs w:val="18"/>
    </w:rPr>
  </w:style>
  <w:style w:type="paragraph" w:customStyle="1" w:styleId="Tabletext">
    <w:name w:val="Table text"/>
    <w:basedOn w:val="BodyText"/>
    <w:link w:val="TabletextChar"/>
    <w:uiPriority w:val="49"/>
    <w:qFormat/>
    <w:rsid w:val="00883848"/>
    <w:pPr>
      <w:ind w:firstLine="0"/>
    </w:pPr>
  </w:style>
  <w:style w:type="paragraph" w:styleId="NormalWeb">
    <w:name w:val="Normal (Web)"/>
    <w:basedOn w:val="Normal"/>
    <w:uiPriority w:val="49"/>
    <w:semiHidden/>
    <w:unhideWhenUsed/>
    <w:qFormat/>
    <w:locked/>
    <w:rsid w:val="002C29DB"/>
    <w:rPr>
      <w:sz w:val="24"/>
      <w:szCs w:val="24"/>
    </w:rPr>
  </w:style>
  <w:style w:type="paragraph" w:customStyle="1" w:styleId="FIG-LONG">
    <w:name w:val="FIG-LONG"/>
    <w:basedOn w:val="Normal"/>
    <w:next w:val="Normal"/>
    <w:autoRedefine/>
    <w:qFormat/>
    <w:rsid w:val="002C29DB"/>
    <w:pPr>
      <w:tabs>
        <w:tab w:val="left" w:pos="709"/>
      </w:tabs>
      <w:overflowPunct w:val="0"/>
      <w:spacing w:after="120"/>
      <w:ind w:left="709" w:hanging="709"/>
      <w:textAlignment w:val="auto"/>
    </w:pPr>
    <w:rPr>
      <w:rFonts w:eastAsiaTheme="minorEastAsia"/>
      <w:i/>
      <w:iCs/>
      <w:sz w:val="18"/>
      <w:szCs w:val="18"/>
    </w:rPr>
  </w:style>
  <w:style w:type="paragraph" w:styleId="CommentText">
    <w:name w:val="annotation text"/>
    <w:basedOn w:val="Normal"/>
    <w:link w:val="CommentTextChar"/>
    <w:uiPriority w:val="49"/>
    <w:semiHidden/>
    <w:unhideWhenUsed/>
    <w:qFormat/>
    <w:locked/>
    <w:rsid w:val="00A233D1"/>
    <w:rPr>
      <w:sz w:val="20"/>
    </w:rPr>
  </w:style>
  <w:style w:type="paragraph" w:styleId="CommentSubject">
    <w:name w:val="annotation subject"/>
    <w:basedOn w:val="CommentText"/>
    <w:next w:val="CommentText"/>
    <w:link w:val="CommentSubjectChar"/>
    <w:uiPriority w:val="49"/>
    <w:semiHidden/>
    <w:unhideWhenUsed/>
    <w:qFormat/>
    <w:locked/>
    <w:rsid w:val="00A233D1"/>
    <w:rPr>
      <w:b/>
      <w:bCs/>
    </w:rPr>
  </w:style>
  <w:style w:type="paragraph" w:styleId="ListParagraph">
    <w:name w:val="List Paragraph"/>
    <w:basedOn w:val="Normal"/>
    <w:qFormat/>
    <w:locked/>
    <w:rsid w:val="00710401"/>
    <w:pPr>
      <w:overflowPunct w:val="0"/>
      <w:spacing w:after="200" w:line="276" w:lineRule="auto"/>
      <w:ind w:left="720"/>
      <w:contextualSpacing/>
      <w:textAlignment w:val="auto"/>
    </w:pPr>
    <w:rPr>
      <w:rFonts w:ascii="Calibri" w:eastAsia="Calibri" w:hAnsi="Calibri" w:cs="Mangal"/>
      <w:szCs w:val="22"/>
      <w:lang w:val="en-IN"/>
    </w:rPr>
  </w:style>
  <w:style w:type="paragraph" w:customStyle="1" w:styleId="FrameContents">
    <w:name w:val="Frame Contents"/>
    <w:basedOn w:val="Normal"/>
    <w:qFormat/>
    <w:rsid w:val="00AB5339"/>
  </w:style>
  <w:style w:type="paragraph" w:customStyle="1" w:styleId="HeaderLeft">
    <w:name w:val="Header Left"/>
    <w:basedOn w:val="Header"/>
    <w:qFormat/>
    <w:rsid w:val="00AB5339"/>
  </w:style>
  <w:style w:type="table" w:styleId="TableGrid">
    <w:name w:val="Table Grid"/>
    <w:basedOn w:val="TableNormal"/>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2C29DB"/>
    <w:rPr>
      <w:rFonts w:asciiTheme="minorHAnsi" w:eastAsiaTheme="minorEastAsia" w:hAnsiTheme="minorHAnsi" w:cstheme="minorBidi"/>
      <w:sz w:val="24"/>
      <w:szCs w:val="24"/>
      <w:lang w:val="it-I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53B90E-81CD-4C96-BCF6-B90764CFEFFE}">
  <ds:schemaRefs>
    <ds:schemaRef ds:uri="http://schemas.openxmlformats.org/officeDocument/2006/bibliography"/>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3274</Words>
  <Characters>18667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21898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Admin</cp:lastModifiedBy>
  <cp:revision>2</cp:revision>
  <cp:lastPrinted>2022-02-24T06:39:00Z</cp:lastPrinted>
  <dcterms:created xsi:type="dcterms:W3CDTF">2022-03-03T11:46:00Z</dcterms:created>
  <dcterms:modified xsi:type="dcterms:W3CDTF">2022-03-03T11:46:00Z</dcterms:modified>
  <cp:category>IAEA Document</cp:category>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0x0101008838DD521E3D1649B00AC0EC7F7B3842</vt:lpwstr>
  </property>
  <property fmtid="{D5CDD505-2E9C-101B-9397-08002B2CF9AE}" pid="3" name="IaeaClassification">
    <vt:lpwstr/>
  </property>
  <property fmtid="{D5CDD505-2E9C-101B-9397-08002B2CF9AE}" pid="4" name="IaeaClassification2">
    <vt:lpwstr/>
  </property>
  <property fmtid="{D5CDD505-2E9C-101B-9397-08002B2CF9AE}" pid="5" name="IaeaClassificationDate">
    <vt:lpwstr/>
  </property>
  <property fmtid="{D5CDD505-2E9C-101B-9397-08002B2CF9AE}" pid="6" name="IaeaConfidentialAttachments">
    <vt:lpwstr/>
  </property>
  <property fmtid="{D5CDD505-2E9C-101B-9397-08002B2CF9AE}" pid="7" name="IaeaDistribution">
    <vt:lpwstr/>
  </property>
  <property fmtid="{D5CDD505-2E9C-101B-9397-08002B2CF9AE}" pid="8" name="IaeaSecurityClassifier">
    <vt:lpwstr/>
  </property>
  <property fmtid="{D5CDD505-2E9C-101B-9397-08002B2CF9AE}" pid="9" name="IaeaSensitivity">
    <vt:lpwstr/>
  </property>
  <property fmtid="{D5CDD505-2E9C-101B-9397-08002B2CF9AE}" pid="10" name="IaeaTransmission">
    <vt:lpwstr/>
  </property>
  <property fmtid="{D5CDD505-2E9C-101B-9397-08002B2CF9AE}" pid="11" name="Typist">
    <vt:lpwstr>Initials-Ext</vt:lpwstr>
  </property>
  <property fmtid="{D5CDD505-2E9C-101B-9397-08002B2CF9AE}" pid="12" name="_dlc_DocIdItemGuid">
    <vt:lpwstr>624d8e63-e3f6-4681-83c2-57c583c02431</vt:lpwstr>
  </property>
</Properties>
</file>