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3FE03C" w14:textId="6CCF3296" w:rsidR="00E20E70" w:rsidRPr="00EE29B9" w:rsidRDefault="003F604C" w:rsidP="00537496">
      <w:pPr>
        <w:pStyle w:val="Heading1"/>
      </w:pPr>
      <w:r w:rsidRPr="00E87D95">
        <w:rPr>
          <w:rFonts w:ascii="Times New Roman" w:eastAsia="Times New Roman" w:hAnsi="Times New Roman"/>
          <w:szCs w:val="24"/>
        </w:rPr>
        <w:t>DEVELOPMENT AND DEMONSTRATION OF DIFFUSION-TYPE HYDROGEN METERS FOR SODIUM-COOLED FAST REACTORS</w:t>
      </w:r>
    </w:p>
    <w:p w14:paraId="433FE03F" w14:textId="77777777" w:rsidR="00802381" w:rsidRDefault="00802381" w:rsidP="00537496">
      <w:pPr>
        <w:pStyle w:val="Authornameandaffiliation"/>
      </w:pPr>
    </w:p>
    <w:p w14:paraId="433FE040" w14:textId="191B06CA" w:rsidR="003B5E0E" w:rsidRDefault="003F604C" w:rsidP="00537496">
      <w:pPr>
        <w:pStyle w:val="Authornameandaffiliation"/>
      </w:pPr>
      <w:r w:rsidRPr="002B3596">
        <w:rPr>
          <w:lang w:val="it-IT"/>
        </w:rPr>
        <w:t xml:space="preserve">Hual-Te Chien, Thomas W. Elmer, and </w:t>
      </w:r>
      <w:r w:rsidRPr="002B3596">
        <w:t>Christopher W. Grandy</w:t>
      </w:r>
    </w:p>
    <w:p w14:paraId="433FE041" w14:textId="649439D9" w:rsidR="00FF386F" w:rsidRDefault="003F604C" w:rsidP="00537496">
      <w:pPr>
        <w:pStyle w:val="Authornameandaffiliation"/>
      </w:pPr>
      <w:r>
        <w:t>Argonne National Laboratory</w:t>
      </w:r>
    </w:p>
    <w:p w14:paraId="433FE042" w14:textId="3F1FF476" w:rsidR="00FF386F" w:rsidRDefault="003F604C" w:rsidP="00537496">
      <w:pPr>
        <w:pStyle w:val="Authornameandaffiliation"/>
      </w:pPr>
      <w:r>
        <w:t>Lemont, IL USA</w:t>
      </w:r>
    </w:p>
    <w:p w14:paraId="433FE043" w14:textId="09FD065E" w:rsidR="00FF386F" w:rsidRDefault="00FF386F" w:rsidP="00537496">
      <w:pPr>
        <w:pStyle w:val="Authornameandaffiliation"/>
      </w:pPr>
      <w:r>
        <w:t xml:space="preserve">Email: </w:t>
      </w:r>
      <w:r w:rsidR="003F604C">
        <w:t>htchien@anl.gov</w:t>
      </w:r>
    </w:p>
    <w:p w14:paraId="433FE048" w14:textId="77777777" w:rsidR="00FF386F" w:rsidRDefault="00FF386F" w:rsidP="003F604C">
      <w:pPr>
        <w:pStyle w:val="Authornameandaffiliation"/>
        <w:ind w:left="0"/>
      </w:pPr>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433FE04B" w14:textId="7E1547D0" w:rsidR="00647F33" w:rsidRPr="002A4CC4" w:rsidRDefault="002A4CC4" w:rsidP="002A4CC4">
      <w:pPr>
        <w:pStyle w:val="Abstracttext"/>
        <w:jc w:val="both"/>
        <w:rPr>
          <w:szCs w:val="18"/>
        </w:rPr>
      </w:pPr>
      <w:r w:rsidRPr="002A4CC4">
        <w:rPr>
          <w:szCs w:val="18"/>
        </w:rPr>
        <w:t xml:space="preserve">Among all the steam generator leak detection techniques, diffusion-type hydrogen meters (DTHMs) are highly sensitive and effective in detecting small leaks to prevent further tube failure due to wastage propagation. Argonne has developed two types of DTHM, cover-gas hydrogen meter (CGHM) and in-sodium hydrogen meter (ISHM), to be integrated into the steam generator leak detection system of an SFR. Design specifications and operating conditions of the two DTHMs were identified. </w:t>
      </w:r>
      <w:r w:rsidRPr="002A4CC4">
        <w:rPr>
          <w:iCs/>
          <w:szCs w:val="18"/>
        </w:rPr>
        <w:t xml:space="preserve">CGHM and compact ISHM were designed </w:t>
      </w:r>
      <w:r w:rsidRPr="002A4CC4">
        <w:rPr>
          <w:szCs w:val="18"/>
        </w:rPr>
        <w:t xml:space="preserve">for </w:t>
      </w:r>
      <w:r w:rsidRPr="002A4CC4">
        <w:rPr>
          <w:kern w:val="1"/>
          <w:szCs w:val="18"/>
        </w:rPr>
        <w:t xml:space="preserve">fast response, reduced cost, simplicity, sensitivity, and seismic ruggedness. </w:t>
      </w:r>
      <w:r w:rsidRPr="002A4CC4">
        <w:rPr>
          <w:szCs w:val="18"/>
        </w:rPr>
        <w:t>A test apparatus for performance evaluation of CGHM prototypes was designed and constructed.</w:t>
      </w:r>
      <w:r w:rsidR="00A8426D">
        <w:rPr>
          <w:szCs w:val="18"/>
        </w:rPr>
        <w:t xml:space="preserve"> </w:t>
      </w:r>
      <w:r w:rsidRPr="002A4CC4">
        <w:rPr>
          <w:iCs/>
          <w:szCs w:val="18"/>
        </w:rPr>
        <w:t xml:space="preserve">Three CGHM prototypes were fabricated and two were tested with different hydrogen-argon mixtures in </w:t>
      </w:r>
      <w:r w:rsidRPr="002A4CC4">
        <w:rPr>
          <w:szCs w:val="18"/>
        </w:rPr>
        <w:t>dynamic and equilibrium modes</w:t>
      </w:r>
      <w:r w:rsidRPr="002A4CC4">
        <w:rPr>
          <w:iCs/>
          <w:szCs w:val="18"/>
        </w:rPr>
        <w:t>.</w:t>
      </w:r>
      <w:r w:rsidRPr="002A4CC4">
        <w:rPr>
          <w:szCs w:val="18"/>
        </w:rPr>
        <w:t xml:space="preserve"> Both modes </w:t>
      </w:r>
      <w:r w:rsidRPr="002A4CC4">
        <w:rPr>
          <w:iCs/>
          <w:szCs w:val="18"/>
        </w:rPr>
        <w:t xml:space="preserve">demonstrated that </w:t>
      </w:r>
      <w:r w:rsidRPr="002A4CC4">
        <w:rPr>
          <w:szCs w:val="18"/>
        </w:rPr>
        <w:t xml:space="preserve">hydrogen detection sensitivity of </w:t>
      </w:r>
      <w:r w:rsidRPr="002A4CC4">
        <w:rPr>
          <w:iCs/>
          <w:szCs w:val="18"/>
        </w:rPr>
        <w:t xml:space="preserve">ISHM was </w:t>
      </w:r>
      <w:r w:rsidRPr="002A4CC4">
        <w:rPr>
          <w:szCs w:val="18"/>
        </w:rPr>
        <w:t xml:space="preserve">down to 2 ppm or less </w:t>
      </w:r>
      <w:r w:rsidRPr="002A4CC4">
        <w:rPr>
          <w:iCs/>
          <w:szCs w:val="18"/>
        </w:rPr>
        <w:t>in argon cover gas as required by the specification. Under</w:t>
      </w:r>
      <w:r w:rsidRPr="002A4CC4">
        <w:rPr>
          <w:szCs w:val="18"/>
        </w:rPr>
        <w:t xml:space="preserve"> the dynamic mode, the CGHM prototype has a response time around 1 sec. The equilibrium shows better consistency but with longer response time. Compact ISHM is operating without</w:t>
      </w:r>
      <w:r w:rsidRPr="002A4CC4">
        <w:rPr>
          <w:kern w:val="1"/>
          <w:szCs w:val="18"/>
        </w:rPr>
        <w:t xml:space="preserve"> a sodium pump and is mechanically supported by the sodium line to which it is closely coupled. </w:t>
      </w:r>
      <w:r w:rsidRPr="002A4CC4">
        <w:rPr>
          <w:szCs w:val="18"/>
        </w:rPr>
        <w:t xml:space="preserve">An in-sodium test apparatus was constructed and integrated with the Argonne under-sodium viewing sodium (USV) test facility. </w:t>
      </w:r>
      <w:r w:rsidRPr="002A4CC4">
        <w:rPr>
          <w:kern w:val="1"/>
          <w:szCs w:val="18"/>
        </w:rPr>
        <w:t xml:space="preserve">Three </w:t>
      </w:r>
      <w:r w:rsidRPr="002A4CC4">
        <w:rPr>
          <w:szCs w:val="18"/>
        </w:rPr>
        <w:t xml:space="preserve">compact ISHM prototypes have been fabricated and in-sodium test of an ISHM prototype is in progress. Performance of the compact ISHM prototypes will then </w:t>
      </w:r>
      <w:r w:rsidR="00675C3E">
        <w:rPr>
          <w:szCs w:val="18"/>
        </w:rPr>
        <w:t xml:space="preserve">be </w:t>
      </w:r>
      <w:r w:rsidRPr="002A4CC4">
        <w:rPr>
          <w:szCs w:val="18"/>
        </w:rPr>
        <w:t xml:space="preserve">reported. </w:t>
      </w:r>
      <w:r w:rsidRPr="002A4CC4">
        <w:rPr>
          <w:kern w:val="1"/>
          <w:szCs w:val="18"/>
        </w:rPr>
        <w:t>C</w:t>
      </w:r>
      <w:r w:rsidRPr="002A4CC4">
        <w:rPr>
          <w:szCs w:val="18"/>
        </w:rPr>
        <w:t xml:space="preserve">ompact ISHM is expected to promptly detect hydrogen concentration in sodium down to </w:t>
      </w:r>
      <w:r w:rsidR="00675C3E">
        <w:rPr>
          <w:szCs w:val="18"/>
        </w:rPr>
        <w:t xml:space="preserve">a range </w:t>
      </w:r>
      <w:r w:rsidRPr="002A4CC4">
        <w:rPr>
          <w:szCs w:val="18"/>
        </w:rPr>
        <w:t>less than 100 ppb. Both DTHMs, if calibrated, can provide real-time, direct measurements of hydrogen concentration or pressure</w:t>
      </w:r>
      <w:r w:rsidR="00647F33" w:rsidRPr="002A4CC4">
        <w:rPr>
          <w:szCs w:val="18"/>
        </w:rPr>
        <w:t>.</w:t>
      </w:r>
    </w:p>
    <w:p w14:paraId="433FE04C" w14:textId="77777777" w:rsidR="00647F33" w:rsidRDefault="00F523CA" w:rsidP="00892724">
      <w:pPr>
        <w:pStyle w:val="Heading2"/>
        <w:numPr>
          <w:ilvl w:val="1"/>
          <w:numId w:val="5"/>
        </w:numPr>
      </w:pPr>
      <w:r>
        <w:t>INTRODUCTION</w:t>
      </w:r>
    </w:p>
    <w:p w14:paraId="400001D1" w14:textId="1170E17D" w:rsidR="002A4CC4" w:rsidRPr="002A4CC4" w:rsidRDefault="002A4CC4" w:rsidP="001D3326">
      <w:pPr>
        <w:spacing w:line="260" w:lineRule="atLeast"/>
        <w:ind w:firstLineChars="270" w:firstLine="540"/>
        <w:jc w:val="both"/>
        <w:rPr>
          <w:sz w:val="20"/>
        </w:rPr>
      </w:pPr>
      <w:r w:rsidRPr="002A4CC4">
        <w:rPr>
          <w:sz w:val="20"/>
        </w:rPr>
        <w:t>Prompt detection of water-to-sodium leaks in a steam generator (SG) of a sodium-cooled fast reactor (SFR) is one of the most important safety and economic issues to be addressed in designing and operating an SFR.</w:t>
      </w:r>
      <w:r w:rsidR="00A8426D">
        <w:rPr>
          <w:sz w:val="20"/>
        </w:rPr>
        <w:t xml:space="preserve"> </w:t>
      </w:r>
      <w:r w:rsidRPr="002A4CC4">
        <w:rPr>
          <w:sz w:val="20"/>
          <w:lang w:eastAsia="ja-JP"/>
        </w:rPr>
        <w:t>A water</w:t>
      </w:r>
      <w:r w:rsidRPr="002A4CC4">
        <w:rPr>
          <w:sz w:val="20"/>
        </w:rPr>
        <w:t xml:space="preserve">-to-sodium </w:t>
      </w:r>
      <w:r w:rsidRPr="002A4CC4">
        <w:rPr>
          <w:sz w:val="20"/>
          <w:lang w:eastAsia="ja-JP"/>
        </w:rPr>
        <w:t xml:space="preserve">leak causes </w:t>
      </w:r>
      <w:r w:rsidRPr="002A4CC4">
        <w:rPr>
          <w:sz w:val="20"/>
        </w:rPr>
        <w:t>a violent exothermic sodium-water reaction (SWR) resulting in local temperature rise (&gt;1,200</w:t>
      </w:r>
      <w:r w:rsidRPr="002A4CC4">
        <w:rPr>
          <w:sz w:val="20"/>
        </w:rPr>
        <w:sym w:font="Symbol" w:char="F0B0"/>
      </w:r>
      <w:r w:rsidRPr="002A4CC4">
        <w:rPr>
          <w:sz w:val="20"/>
        </w:rPr>
        <w:t>C) and produces hydrogen gas and highly corrosive chemicals.</w:t>
      </w:r>
      <w:r w:rsidR="00A8426D">
        <w:rPr>
          <w:sz w:val="20"/>
        </w:rPr>
        <w:t xml:space="preserve"> </w:t>
      </w:r>
      <w:r w:rsidRPr="002A4CC4">
        <w:rPr>
          <w:sz w:val="20"/>
        </w:rPr>
        <w:t>The SWR often induces self-enlargement (self-wastage) of the leak and rapid propagation of wastage to adjacent tubes, leading to secondary or multiple tube failures.</w:t>
      </w:r>
      <w:r w:rsidR="00A8426D">
        <w:rPr>
          <w:sz w:val="20"/>
        </w:rPr>
        <w:t xml:space="preserve"> </w:t>
      </w:r>
      <w:r w:rsidRPr="002A4CC4">
        <w:rPr>
          <w:sz w:val="20"/>
        </w:rPr>
        <w:t xml:space="preserve">If it is unmitigated, the hydrogen gas formation could cause a pressure increase in the </w:t>
      </w:r>
      <w:r w:rsidRPr="002A4CC4">
        <w:rPr>
          <w:sz w:val="20"/>
          <w:lang w:eastAsia="zh-TW"/>
        </w:rPr>
        <w:t xml:space="preserve">intermediate heat exchanger (IHX) or the </w:t>
      </w:r>
      <w:r w:rsidRPr="002A4CC4">
        <w:rPr>
          <w:sz w:val="20"/>
        </w:rPr>
        <w:t>intermediate heat transport system (IHTS) and potentially may cause IHX tubing rupture or IHTS piping failure.</w:t>
      </w:r>
      <w:r w:rsidR="00A8426D">
        <w:rPr>
          <w:sz w:val="20"/>
        </w:rPr>
        <w:t xml:space="preserve"> </w:t>
      </w:r>
      <w:r w:rsidRPr="002A4CC4">
        <w:rPr>
          <w:sz w:val="20"/>
        </w:rPr>
        <w:t>A</w:t>
      </w:r>
      <w:r w:rsidRPr="002A4CC4">
        <w:rPr>
          <w:sz w:val="20"/>
          <w:lang w:eastAsia="zh-TW"/>
        </w:rPr>
        <w:t xml:space="preserve"> rapid SG </w:t>
      </w:r>
      <w:r w:rsidRPr="002A4CC4">
        <w:rPr>
          <w:sz w:val="20"/>
        </w:rPr>
        <w:t xml:space="preserve">tubing </w:t>
      </w:r>
      <w:r w:rsidRPr="002A4CC4">
        <w:rPr>
          <w:sz w:val="20"/>
          <w:lang w:eastAsia="zh-TW"/>
        </w:rPr>
        <w:t>failure may cause a SG blowdown and ultimately result in shutdown of the reactor.</w:t>
      </w:r>
      <w:r w:rsidR="00A8426D">
        <w:rPr>
          <w:sz w:val="20"/>
          <w:lang w:eastAsia="zh-TW"/>
        </w:rPr>
        <w:t xml:space="preserve"> </w:t>
      </w:r>
      <w:r w:rsidRPr="002A4CC4">
        <w:rPr>
          <w:sz w:val="20"/>
          <w:lang w:eastAsia="zh-TW"/>
        </w:rPr>
        <w:t>In addition, i</w:t>
      </w:r>
      <w:r w:rsidRPr="002A4CC4">
        <w:rPr>
          <w:sz w:val="20"/>
        </w:rPr>
        <w:t>f their effects are unmitigated, the highly corrosive chemicals formed could lead to and accelerate corrosion problems of SG and IHX/IHTS structures.</w:t>
      </w:r>
      <w:r w:rsidR="00A8426D">
        <w:rPr>
          <w:sz w:val="20"/>
        </w:rPr>
        <w:t xml:space="preserve"> </w:t>
      </w:r>
      <w:r w:rsidRPr="002A4CC4">
        <w:rPr>
          <w:sz w:val="20"/>
          <w:lang w:eastAsia="ja-JP"/>
        </w:rPr>
        <w:t>From the viewpoint of reactor safety, the primary consideration in relation to SG leak is to maintain the integrity of the primary coolant boundary.</w:t>
      </w:r>
      <w:r w:rsidR="00A8426D">
        <w:rPr>
          <w:sz w:val="20"/>
          <w:lang w:eastAsia="ja-JP"/>
        </w:rPr>
        <w:t xml:space="preserve"> </w:t>
      </w:r>
      <w:r w:rsidRPr="002A4CC4">
        <w:rPr>
          <w:sz w:val="20"/>
          <w:lang w:eastAsia="zh-TW"/>
        </w:rPr>
        <w:t>SFRs typically incorporate a Sodium Water Reaction Pressure Relief System (SWRPRS) to prevent damage to the IHX or IHTS from pressurization and vent SWR products that might otherwise ultimately result in a lengthy shutdown of the reactor</w:t>
      </w:r>
      <w:r w:rsidRPr="002A4CC4">
        <w:rPr>
          <w:sz w:val="20"/>
        </w:rPr>
        <w:t>.</w:t>
      </w:r>
      <w:r w:rsidR="00A8426D">
        <w:rPr>
          <w:sz w:val="20"/>
        </w:rPr>
        <w:t xml:space="preserve"> </w:t>
      </w:r>
      <w:r w:rsidRPr="002A4CC4">
        <w:rPr>
          <w:sz w:val="20"/>
          <w:lang w:eastAsia="ja-JP"/>
        </w:rPr>
        <w:t xml:space="preserve">The secondary safety consideration and an economic aspect are to effectively and rapidly detect any leaks to isolate the affected </w:t>
      </w:r>
      <w:r w:rsidRPr="002A4CC4">
        <w:rPr>
          <w:sz w:val="20"/>
          <w:lang w:eastAsia="zh-TW"/>
        </w:rPr>
        <w:t>SG</w:t>
      </w:r>
      <w:r w:rsidRPr="002A4CC4">
        <w:rPr>
          <w:sz w:val="20"/>
          <w:lang w:eastAsia="ja-JP"/>
        </w:rPr>
        <w:t xml:space="preserve"> while maintain power on the grid.</w:t>
      </w:r>
      <w:r w:rsidR="00A8426D">
        <w:rPr>
          <w:sz w:val="20"/>
          <w:lang w:eastAsia="ja-JP"/>
        </w:rPr>
        <w:t xml:space="preserve"> </w:t>
      </w:r>
      <w:r w:rsidRPr="002A4CC4">
        <w:rPr>
          <w:sz w:val="20"/>
          <w:lang w:eastAsia="zh-TW"/>
        </w:rPr>
        <w:t>To limit the effects of SWR that include the potential for propagation of failures to other SG tubes, early</w:t>
      </w:r>
      <w:r w:rsidRPr="002A4CC4">
        <w:rPr>
          <w:sz w:val="20"/>
          <w:lang w:eastAsia="ja-JP"/>
        </w:rPr>
        <w:t xml:space="preserve"> leak detection and rapid SG blowdown capabilities are effective ways to mitigate the consequences of SWR</w:t>
      </w:r>
      <w:r w:rsidRPr="002A4CC4">
        <w:rPr>
          <w:rFonts w:eastAsia="Batang"/>
          <w:bCs/>
          <w:sz w:val="20"/>
          <w:lang w:eastAsia="ko-KR"/>
        </w:rPr>
        <w:t>.</w:t>
      </w:r>
    </w:p>
    <w:p w14:paraId="7BF62F1D" w14:textId="44187CD4" w:rsidR="002A4CC4" w:rsidRPr="002A4CC4" w:rsidRDefault="002A4CC4" w:rsidP="00446D79">
      <w:pPr>
        <w:pStyle w:val="BodyText"/>
        <w:ind w:firstLine="562"/>
        <w:rPr>
          <w:kern w:val="1"/>
        </w:rPr>
      </w:pPr>
      <w:r w:rsidRPr="002A4CC4">
        <w:rPr>
          <w:rFonts w:eastAsia="Batang"/>
          <w:bCs/>
          <w:lang w:eastAsia="ko-KR"/>
        </w:rPr>
        <w:t>The leak-rate range of interest spans several orders of magnitude and so a variety of sensing systems have been developed since no single instrument works well over the entire range [1,2].</w:t>
      </w:r>
      <w:r w:rsidR="00A8426D">
        <w:rPr>
          <w:rFonts w:eastAsia="Batang"/>
          <w:bCs/>
          <w:lang w:eastAsia="ko-KR"/>
        </w:rPr>
        <w:t xml:space="preserve"> </w:t>
      </w:r>
      <w:r w:rsidRPr="002A4CC4">
        <w:rPr>
          <w:rFonts w:eastAsia="Batang"/>
          <w:bCs/>
          <w:lang w:eastAsia="ko-KR"/>
        </w:rPr>
        <w:t xml:space="preserve">There is likewise also a wide range </w:t>
      </w:r>
      <w:r w:rsidR="00047DEC">
        <w:rPr>
          <w:rFonts w:eastAsia="Batang"/>
          <w:bCs/>
          <w:lang w:eastAsia="ko-KR"/>
        </w:rPr>
        <w:t>in</w:t>
      </w:r>
      <w:r w:rsidR="00047DEC" w:rsidRPr="002A4CC4">
        <w:rPr>
          <w:rFonts w:eastAsia="Batang"/>
          <w:bCs/>
          <w:lang w:eastAsia="ko-KR"/>
        </w:rPr>
        <w:t xml:space="preserve"> </w:t>
      </w:r>
      <w:r w:rsidRPr="002A4CC4">
        <w:rPr>
          <w:rFonts w:eastAsia="Batang"/>
          <w:bCs/>
          <w:lang w:eastAsia="ko-KR"/>
        </w:rPr>
        <w:t>sensor response time.</w:t>
      </w:r>
      <w:r w:rsidR="00A8426D">
        <w:rPr>
          <w:rFonts w:eastAsia="Batang"/>
          <w:bCs/>
          <w:lang w:eastAsia="ko-KR"/>
        </w:rPr>
        <w:t xml:space="preserve"> </w:t>
      </w:r>
      <w:r w:rsidRPr="002A4CC4">
        <w:rPr>
          <w:rFonts w:eastAsia="Batang"/>
          <w:bCs/>
          <w:lang w:eastAsia="ko-KR"/>
        </w:rPr>
        <w:t xml:space="preserve">An </w:t>
      </w:r>
      <w:r w:rsidRPr="002A4CC4">
        <w:rPr>
          <w:lang w:eastAsia="zh-TW"/>
        </w:rPr>
        <w:t xml:space="preserve">effective </w:t>
      </w:r>
      <w:r w:rsidR="005F2C17">
        <w:rPr>
          <w:lang w:eastAsia="zh-TW"/>
        </w:rPr>
        <w:t>SG leak detection system (</w:t>
      </w:r>
      <w:r w:rsidRPr="002A4CC4">
        <w:rPr>
          <w:lang w:eastAsia="zh-TW"/>
        </w:rPr>
        <w:t>SGLDS</w:t>
      </w:r>
      <w:r w:rsidR="005F2C17">
        <w:rPr>
          <w:lang w:eastAsia="zh-TW"/>
        </w:rPr>
        <w:t>)</w:t>
      </w:r>
      <w:r w:rsidRPr="002A4CC4">
        <w:rPr>
          <w:lang w:eastAsia="zh-TW"/>
        </w:rPr>
        <w:t xml:space="preserve"> is often incorporated and</w:t>
      </w:r>
      <w:r w:rsidRPr="002A4CC4">
        <w:rPr>
          <w:rFonts w:eastAsia="Batang"/>
          <w:bCs/>
          <w:lang w:eastAsia="ko-KR"/>
        </w:rPr>
        <w:t xml:space="preserve"> </w:t>
      </w:r>
      <w:r w:rsidRPr="002A4CC4">
        <w:rPr>
          <w:lang w:eastAsia="zh-TW"/>
        </w:rPr>
        <w:t xml:space="preserve">may require various types of monitors, sensors, and subsystems placed at various locations in the SG system with </w:t>
      </w:r>
      <w:r w:rsidRPr="002A4CC4">
        <w:rPr>
          <w:rFonts w:eastAsia="Batang"/>
          <w:bCs/>
          <w:lang w:eastAsia="ko-KR"/>
        </w:rPr>
        <w:t xml:space="preserve">proper match of measurement sensitivity, range, and response time for </w:t>
      </w:r>
      <w:r w:rsidRPr="002A4CC4">
        <w:rPr>
          <w:lang w:eastAsia="zh-TW"/>
        </w:rPr>
        <w:t>different water/steam leak classes [3,4]</w:t>
      </w:r>
      <w:r w:rsidRPr="002A4CC4">
        <w:rPr>
          <w:rFonts w:eastAsia="Batang"/>
          <w:bCs/>
          <w:lang w:eastAsia="ko-KR"/>
        </w:rPr>
        <w:t>.</w:t>
      </w:r>
      <w:r w:rsidR="00A8426D">
        <w:rPr>
          <w:rFonts w:eastAsia="Batang"/>
          <w:bCs/>
          <w:lang w:eastAsia="ko-KR"/>
        </w:rPr>
        <w:t xml:space="preserve"> </w:t>
      </w:r>
      <w:r w:rsidRPr="002A4CC4">
        <w:t>One of the applicable leak detection techniques is to detect hydrogen concentration in sodium or hydrogen pressure in cover gas by using diffusion-type hydrogen meters (DTHMs).</w:t>
      </w:r>
      <w:r w:rsidR="00A8426D">
        <w:t xml:space="preserve"> </w:t>
      </w:r>
      <w:r w:rsidRPr="002A4CC4">
        <w:t>DTHMs are highly sensitive sensors and are effective in detecting small leaks to prevent further tube failure due to wastage propagation.</w:t>
      </w:r>
      <w:r w:rsidR="00A8426D">
        <w:t xml:space="preserve"> </w:t>
      </w:r>
      <w:r w:rsidRPr="002A4CC4">
        <w:t xml:space="preserve">Argonne has developed two types of DTHM, </w:t>
      </w:r>
      <w:r w:rsidR="00047DEC">
        <w:t xml:space="preserve">a </w:t>
      </w:r>
      <w:r w:rsidRPr="002A4CC4">
        <w:t xml:space="preserve">cover-gas hydrogen meter (CGHM) and </w:t>
      </w:r>
      <w:r w:rsidR="00047DEC">
        <w:t xml:space="preserve">a </w:t>
      </w:r>
      <w:r w:rsidRPr="002A4CC4">
        <w:rPr>
          <w:iCs/>
        </w:rPr>
        <w:t xml:space="preserve">compact </w:t>
      </w:r>
      <w:r w:rsidRPr="002A4CC4">
        <w:t>in-sodium hydrogen meter (ISHM), to be integrated into the SGLDS of an SFR [5-7].</w:t>
      </w:r>
      <w:r w:rsidR="00A8426D">
        <w:t xml:space="preserve"> </w:t>
      </w:r>
      <w:r w:rsidRPr="002A4CC4">
        <w:t xml:space="preserve">Design specifications and operating conditions of these </w:t>
      </w:r>
      <w:r w:rsidRPr="002A4CC4">
        <w:lastRenderedPageBreak/>
        <w:t>two DTHMs were identified [8].</w:t>
      </w:r>
      <w:r w:rsidR="00A8426D">
        <w:t xml:space="preserve"> </w:t>
      </w:r>
      <w:r w:rsidRPr="002A4CC4">
        <w:rPr>
          <w:iCs/>
        </w:rPr>
        <w:t xml:space="preserve">CGHM and compact ISHM were designed </w:t>
      </w:r>
      <w:r w:rsidRPr="002A4CC4">
        <w:t xml:space="preserve">for </w:t>
      </w:r>
      <w:r w:rsidRPr="002A4CC4">
        <w:rPr>
          <w:kern w:val="1"/>
        </w:rPr>
        <w:t>fast response, reduced cost, simplicity, sensitivity, and seismic ruggedness.</w:t>
      </w:r>
      <w:r w:rsidR="00A8426D">
        <w:rPr>
          <w:kern w:val="1"/>
        </w:rPr>
        <w:t xml:space="preserve"> </w:t>
      </w:r>
      <w:r w:rsidRPr="002A4CC4">
        <w:t xml:space="preserve">Test apparatuses for performance evaluation of both </w:t>
      </w:r>
      <w:r w:rsidRPr="002A4CC4">
        <w:rPr>
          <w:iCs/>
        </w:rPr>
        <w:t>CGHM and compact ISHM</w:t>
      </w:r>
      <w:r w:rsidRPr="002A4CC4">
        <w:t xml:space="preserve"> prototypes were designed and constructed.</w:t>
      </w:r>
      <w:r w:rsidR="00A8426D">
        <w:t xml:space="preserve"> </w:t>
      </w:r>
      <w:r w:rsidRPr="002A4CC4">
        <w:rPr>
          <w:iCs/>
        </w:rPr>
        <w:t xml:space="preserve">Two CGHM prototypes were tested and demonstrated a </w:t>
      </w:r>
      <w:r w:rsidRPr="002A4CC4">
        <w:t>hydrogen detection sensitivity down to 2 ppm or less with a response time around 1 sec</w:t>
      </w:r>
      <w:r w:rsidRPr="002A4CC4">
        <w:rPr>
          <w:iCs/>
        </w:rPr>
        <w:t xml:space="preserve"> in argon cover gas, as required by the specification.</w:t>
      </w:r>
      <w:r w:rsidR="00A8426D">
        <w:rPr>
          <w:iCs/>
        </w:rPr>
        <w:t xml:space="preserve"> </w:t>
      </w:r>
      <w:r w:rsidRPr="002A4CC4">
        <w:rPr>
          <w:iCs/>
        </w:rPr>
        <w:t xml:space="preserve">The </w:t>
      </w:r>
      <w:r w:rsidRPr="002A4CC4">
        <w:t>compact ISHM is operated without</w:t>
      </w:r>
      <w:r w:rsidRPr="002A4CC4">
        <w:rPr>
          <w:kern w:val="1"/>
        </w:rPr>
        <w:t xml:space="preserve"> a sodium pump and is mechanically supported by the sodium line to which it is closely coupled.</w:t>
      </w:r>
      <w:r w:rsidR="00A8426D">
        <w:rPr>
          <w:kern w:val="1"/>
        </w:rPr>
        <w:t xml:space="preserve"> </w:t>
      </w:r>
      <w:r w:rsidRPr="002A4CC4">
        <w:rPr>
          <w:kern w:val="1"/>
        </w:rPr>
        <w:t xml:space="preserve">Three </w:t>
      </w:r>
      <w:r w:rsidRPr="002A4CC4">
        <w:t>compact ISHM</w:t>
      </w:r>
      <w:r w:rsidRPr="002A4CC4">
        <w:rPr>
          <w:kern w:val="1"/>
        </w:rPr>
        <w:t xml:space="preserve"> prototypes with two different nickel membrane designs were fabricated and their performance evaluation is in progress.</w:t>
      </w:r>
    </w:p>
    <w:p w14:paraId="433FE04F" w14:textId="359C2B01" w:rsidR="00E25B68" w:rsidRPr="002B1C5D" w:rsidRDefault="002B1C5D" w:rsidP="00892724">
      <w:pPr>
        <w:pStyle w:val="Heading2"/>
        <w:numPr>
          <w:ilvl w:val="1"/>
          <w:numId w:val="5"/>
        </w:numPr>
      </w:pPr>
      <w:bookmarkStart w:id="0" w:name="_Toc428715818"/>
      <w:r w:rsidRPr="002B1C5D">
        <w:rPr>
          <w:szCs w:val="24"/>
        </w:rPr>
        <w:t>DIFFUSION-TYPE HYDROGEN METERS</w:t>
      </w:r>
      <w:bookmarkEnd w:id="0"/>
      <w:r w:rsidRPr="002B1C5D">
        <w:rPr>
          <w:szCs w:val="24"/>
        </w:rPr>
        <w:t xml:space="preserve"> (DTHM)</w:t>
      </w:r>
    </w:p>
    <w:p w14:paraId="433FE052" w14:textId="44BAF867" w:rsidR="0026525A" w:rsidRDefault="002B1C5D" w:rsidP="00446D79">
      <w:pPr>
        <w:pStyle w:val="BodyText"/>
        <w:rPr>
          <w:szCs w:val="24"/>
        </w:rPr>
      </w:pPr>
      <w:r w:rsidRPr="00FC5471">
        <w:rPr>
          <w:szCs w:val="24"/>
        </w:rPr>
        <w:t xml:space="preserve">Several different types of </w:t>
      </w:r>
      <w:r w:rsidRPr="00FC5471">
        <w:rPr>
          <w:szCs w:val="24"/>
          <w:lang w:eastAsia="zh-TW"/>
        </w:rPr>
        <w:t xml:space="preserve">hydrogen monitoring </w:t>
      </w:r>
      <w:r w:rsidRPr="00FC5471">
        <w:rPr>
          <w:szCs w:val="24"/>
        </w:rPr>
        <w:t xml:space="preserve">techniques have been </w:t>
      </w:r>
      <w:r>
        <w:rPr>
          <w:szCs w:val="24"/>
          <w:lang w:eastAsia="zh-TW"/>
        </w:rPr>
        <w:t>explored</w:t>
      </w:r>
      <w:r w:rsidRPr="00FC5471">
        <w:rPr>
          <w:szCs w:val="24"/>
          <w:lang w:eastAsia="zh-TW"/>
        </w:rPr>
        <w:t xml:space="preserve"> to detect water/steam leaks [1,2]</w:t>
      </w:r>
      <w:r w:rsidRPr="00FC5471">
        <w:rPr>
          <w:szCs w:val="24"/>
        </w:rPr>
        <w:t>.</w:t>
      </w:r>
      <w:r w:rsidR="00A8426D">
        <w:rPr>
          <w:szCs w:val="24"/>
        </w:rPr>
        <w:t xml:space="preserve"> </w:t>
      </w:r>
      <w:r w:rsidRPr="00FC5471">
        <w:t>Important design parameters of a hydrogen meter are its detection sensitivity, response time, and reliability.</w:t>
      </w:r>
      <w:r w:rsidR="00A8426D">
        <w:t xml:space="preserve"> </w:t>
      </w:r>
      <w:r w:rsidRPr="00FC5471">
        <w:rPr>
          <w:szCs w:val="24"/>
        </w:rPr>
        <w:t>The DTHM is the selected design of both cover-gas and in-sodium applications</w:t>
      </w:r>
      <w:r w:rsidRPr="00FC5471">
        <w:rPr>
          <w:szCs w:val="24"/>
          <w:lang w:eastAsia="zh-TW"/>
        </w:rPr>
        <w:t xml:space="preserve"> to detect small water/steam leaks</w:t>
      </w:r>
      <w:r w:rsidRPr="00FC5471">
        <w:rPr>
          <w:szCs w:val="24"/>
        </w:rPr>
        <w:t>.</w:t>
      </w:r>
      <w:r w:rsidR="00A8426D">
        <w:rPr>
          <w:szCs w:val="24"/>
        </w:rPr>
        <w:t xml:space="preserve"> </w:t>
      </w:r>
      <w:r w:rsidRPr="002B4F64">
        <w:rPr>
          <w:szCs w:val="24"/>
        </w:rPr>
        <w:t xml:space="preserve">Typically, a CGHM is installed in the expansion tank and an ISHM at the sodium outlet of </w:t>
      </w:r>
      <w:r>
        <w:rPr>
          <w:szCs w:val="24"/>
        </w:rPr>
        <w:t>a</w:t>
      </w:r>
      <w:r w:rsidRPr="002B4F64">
        <w:rPr>
          <w:szCs w:val="24"/>
        </w:rPr>
        <w:t xml:space="preserve"> SG.</w:t>
      </w:r>
      <w:r w:rsidR="00A8426D">
        <w:rPr>
          <w:szCs w:val="24"/>
        </w:rPr>
        <w:t xml:space="preserve"> </w:t>
      </w:r>
      <w:r w:rsidRPr="002B4F64">
        <w:rPr>
          <w:szCs w:val="24"/>
        </w:rPr>
        <w:t xml:space="preserve">Both meters will be used for </w:t>
      </w:r>
      <w:r w:rsidRPr="002B4F64">
        <w:rPr>
          <w:i/>
          <w:szCs w:val="24"/>
        </w:rPr>
        <w:t>in-situ</w:t>
      </w:r>
      <w:r w:rsidRPr="002B4F64">
        <w:rPr>
          <w:szCs w:val="24"/>
        </w:rPr>
        <w:t xml:space="preserve"> real-time hydrogen monitoring</w:t>
      </w:r>
      <w:r w:rsidR="00F52315">
        <w:rPr>
          <w:szCs w:val="24"/>
        </w:rPr>
        <w:t xml:space="preserve"> for early lea</w:t>
      </w:r>
      <w:r w:rsidR="008D3AF9">
        <w:rPr>
          <w:szCs w:val="24"/>
        </w:rPr>
        <w:t>k</w:t>
      </w:r>
      <w:r w:rsidR="00F52315">
        <w:rPr>
          <w:szCs w:val="24"/>
        </w:rPr>
        <w:t xml:space="preserve"> detection</w:t>
      </w:r>
      <w:r w:rsidR="008D3AF9">
        <w:rPr>
          <w:szCs w:val="24"/>
        </w:rPr>
        <w:t xml:space="preserve"> and repair management</w:t>
      </w:r>
      <w:r w:rsidRPr="002B4F64">
        <w:rPr>
          <w:szCs w:val="24"/>
        </w:rPr>
        <w:t>, but will not be integrated into the reactor safety system</w:t>
      </w:r>
      <w:r w:rsidR="008D3AF9">
        <w:rPr>
          <w:szCs w:val="24"/>
        </w:rPr>
        <w:t xml:space="preserve">, which consists of pressure gauges and </w:t>
      </w:r>
      <w:r w:rsidR="00083214">
        <w:rPr>
          <w:szCs w:val="24"/>
        </w:rPr>
        <w:t>rupture discs for SG protection</w:t>
      </w:r>
      <w:r>
        <w:rPr>
          <w:szCs w:val="24"/>
        </w:rPr>
        <w:t>.</w:t>
      </w:r>
    </w:p>
    <w:p w14:paraId="58FF7253" w14:textId="7E277C07" w:rsidR="002B1C5D" w:rsidRPr="00EE0041" w:rsidRDefault="002B1C5D" w:rsidP="006679E6">
      <w:pPr>
        <w:pStyle w:val="Heading3"/>
      </w:pPr>
      <w:r w:rsidRPr="00197CD9">
        <w:rPr>
          <w:lang w:eastAsia="zh-TW"/>
        </w:rPr>
        <w:t>Design of DTHM</w:t>
      </w:r>
    </w:p>
    <w:p w14:paraId="75B71B20" w14:textId="47549DBC" w:rsidR="002B1C5D" w:rsidRDefault="002B1C5D" w:rsidP="00446D79">
      <w:pPr>
        <w:pStyle w:val="Authornameandaffiliation"/>
        <w:spacing w:line="260" w:lineRule="atLeast"/>
        <w:ind w:left="0" w:firstLineChars="283" w:firstLine="566"/>
        <w:jc w:val="both"/>
        <w:rPr>
          <w:color w:val="000000" w:themeColor="text1"/>
        </w:rPr>
      </w:pPr>
      <w:r w:rsidRPr="00E22B66">
        <w:rPr>
          <w:color w:val="000000" w:themeColor="text1"/>
        </w:rPr>
        <w:t xml:space="preserve">A </w:t>
      </w:r>
      <w:r>
        <w:rPr>
          <w:color w:val="000000" w:themeColor="text1"/>
        </w:rPr>
        <w:t>DTHM</w:t>
      </w:r>
      <w:r w:rsidRPr="00E22B66">
        <w:rPr>
          <w:color w:val="000000" w:themeColor="text1"/>
        </w:rPr>
        <w:t xml:space="preserve"> </w:t>
      </w:r>
      <w:r>
        <w:rPr>
          <w:color w:val="000000" w:themeColor="text1"/>
        </w:rPr>
        <w:t xml:space="preserve">generally </w:t>
      </w:r>
      <w:r w:rsidRPr="00E22B66">
        <w:rPr>
          <w:color w:val="000000" w:themeColor="text1"/>
        </w:rPr>
        <w:t xml:space="preserve">consists of </w:t>
      </w:r>
      <w:r>
        <w:rPr>
          <w:color w:val="000000" w:themeColor="text1"/>
        </w:rPr>
        <w:t>six</w:t>
      </w:r>
      <w:r w:rsidRPr="00E22B66">
        <w:rPr>
          <w:color w:val="000000" w:themeColor="text1"/>
        </w:rPr>
        <w:t xml:space="preserve"> major modules, a nickel membrane assembly</w:t>
      </w:r>
      <w:r w:rsidR="00047DEC">
        <w:rPr>
          <w:color w:val="000000" w:themeColor="text1"/>
        </w:rPr>
        <w:t>; i.e.,</w:t>
      </w:r>
      <w:r w:rsidRPr="00E22B66">
        <w:rPr>
          <w:color w:val="000000" w:themeColor="text1"/>
        </w:rPr>
        <w:t xml:space="preserve"> a vacuum manifold and hydrogen measuring system, a</w:t>
      </w:r>
      <w:r>
        <w:rPr>
          <w:color w:val="000000" w:themeColor="text1"/>
        </w:rPr>
        <w:t xml:space="preserve">n </w:t>
      </w:r>
      <w:r w:rsidRPr="00AF599B">
        <w:rPr>
          <w:i/>
          <w:color w:val="000000" w:themeColor="text1"/>
        </w:rPr>
        <w:t>in-situ</w:t>
      </w:r>
      <w:r>
        <w:rPr>
          <w:color w:val="000000" w:themeColor="text1"/>
        </w:rPr>
        <w:t xml:space="preserve"> calibration unit</w:t>
      </w:r>
      <w:r w:rsidRPr="00E22B66">
        <w:rPr>
          <w:color w:val="000000" w:themeColor="text1"/>
        </w:rPr>
        <w:t xml:space="preserve">, </w:t>
      </w:r>
      <w:r w:rsidRPr="00735E6D">
        <w:t>a leak analyzer, a control and display module</w:t>
      </w:r>
      <w:r>
        <w:t>,</w:t>
      </w:r>
      <w:r w:rsidRPr="00E22B66">
        <w:rPr>
          <w:color w:val="000000" w:themeColor="text1"/>
        </w:rPr>
        <w:t xml:space="preserve"> and a s</w:t>
      </w:r>
      <w:r w:rsidRPr="00E22B66">
        <w:rPr>
          <w:iCs/>
          <w:color w:val="000000" w:themeColor="text1"/>
        </w:rPr>
        <w:t>tandpipe unit.</w:t>
      </w:r>
      <w:r w:rsidR="00A8426D">
        <w:rPr>
          <w:iCs/>
          <w:color w:val="000000" w:themeColor="text1"/>
        </w:rPr>
        <w:t xml:space="preserve"> </w:t>
      </w:r>
      <w:r w:rsidRPr="00E22B66">
        <w:rPr>
          <w:color w:val="000000" w:themeColor="text1"/>
        </w:rPr>
        <w:t xml:space="preserve">The vacuum line </w:t>
      </w:r>
      <w:r>
        <w:rPr>
          <w:color w:val="000000" w:themeColor="text1"/>
        </w:rPr>
        <w:t xml:space="preserve">of the </w:t>
      </w:r>
      <w:r w:rsidRPr="00E22B66">
        <w:rPr>
          <w:color w:val="000000" w:themeColor="text1"/>
        </w:rPr>
        <w:t>membrane assembly leads through an isolation valve to a vacuum manifold and hydrogen measuring system.</w:t>
      </w:r>
      <w:r w:rsidR="00A8426D">
        <w:rPr>
          <w:color w:val="000000" w:themeColor="text1"/>
        </w:rPr>
        <w:t xml:space="preserve"> </w:t>
      </w:r>
      <w:r w:rsidRPr="00E22B66">
        <w:rPr>
          <w:color w:val="000000" w:themeColor="text1"/>
        </w:rPr>
        <w:t xml:space="preserve">To deploy for </w:t>
      </w:r>
      <w:r>
        <w:rPr>
          <w:color w:val="000000" w:themeColor="text1"/>
        </w:rPr>
        <w:t xml:space="preserve">reactor </w:t>
      </w:r>
      <w:r w:rsidRPr="00E22B66">
        <w:rPr>
          <w:color w:val="000000" w:themeColor="text1"/>
        </w:rPr>
        <w:t xml:space="preserve">use, the standpipe will be </w:t>
      </w:r>
      <w:r>
        <w:rPr>
          <w:color w:val="000000" w:themeColor="text1"/>
        </w:rPr>
        <w:t xml:space="preserve">either </w:t>
      </w:r>
      <w:r w:rsidRPr="00E22B66">
        <w:rPr>
          <w:color w:val="000000" w:themeColor="text1"/>
        </w:rPr>
        <w:t>welded to the expansion tank</w:t>
      </w:r>
      <w:r>
        <w:rPr>
          <w:color w:val="000000" w:themeColor="text1"/>
        </w:rPr>
        <w:t xml:space="preserve"> or the sodium outlet of a SG.</w:t>
      </w:r>
    </w:p>
    <w:p w14:paraId="7E6B1352" w14:textId="21B72868" w:rsidR="002B1C5D" w:rsidRPr="0014329A" w:rsidRDefault="002B1C5D" w:rsidP="002B1C5D">
      <w:pPr>
        <w:pStyle w:val="Heading3"/>
      </w:pPr>
      <w:r w:rsidRPr="0014329A">
        <w:rPr>
          <w:szCs w:val="24"/>
          <w:lang w:eastAsia="zh-TW"/>
        </w:rPr>
        <w:t>Designs of nickel membrane probe</w:t>
      </w:r>
    </w:p>
    <w:p w14:paraId="162A93EB" w14:textId="14340420" w:rsidR="002B1C5D" w:rsidRPr="002B1C5D" w:rsidRDefault="002B1C5D" w:rsidP="00446D79">
      <w:pPr>
        <w:spacing w:line="260" w:lineRule="atLeast"/>
        <w:ind w:firstLineChars="270" w:firstLine="540"/>
        <w:jc w:val="both"/>
        <w:rPr>
          <w:sz w:val="20"/>
        </w:rPr>
      </w:pPr>
      <w:r w:rsidRPr="002B1C5D">
        <w:rPr>
          <w:sz w:val="20"/>
        </w:rPr>
        <w:t>Hydrogen can diffuse through materials such as iron, nickel, and palladium at high temperature.</w:t>
      </w:r>
      <w:r w:rsidR="00A8426D">
        <w:rPr>
          <w:sz w:val="20"/>
        </w:rPr>
        <w:t xml:space="preserve"> </w:t>
      </w:r>
      <w:r w:rsidRPr="002B1C5D">
        <w:rPr>
          <w:sz w:val="20"/>
        </w:rPr>
        <w:t>Nickel</w:t>
      </w:r>
      <w:r w:rsidRPr="002B1C5D">
        <w:rPr>
          <w:kern w:val="1"/>
          <w:sz w:val="20"/>
        </w:rPr>
        <w:t>–</w:t>
      </w:r>
      <w:r w:rsidRPr="002B1C5D">
        <w:rPr>
          <w:sz w:val="20"/>
        </w:rPr>
        <w:t xml:space="preserve">201 </w:t>
      </w:r>
      <w:r w:rsidRPr="002B1C5D">
        <w:rPr>
          <w:kern w:val="1"/>
          <w:sz w:val="20"/>
        </w:rPr>
        <w:t>(ASTM</w:t>
      </w:r>
      <w:r w:rsidRPr="002B1C5D">
        <w:rPr>
          <w:spacing w:val="17"/>
          <w:kern w:val="1"/>
          <w:sz w:val="20"/>
        </w:rPr>
        <w:t xml:space="preserve"> </w:t>
      </w:r>
      <w:r w:rsidRPr="002B1C5D">
        <w:rPr>
          <w:kern w:val="1"/>
          <w:sz w:val="20"/>
        </w:rPr>
        <w:t xml:space="preserve">B-161) </w:t>
      </w:r>
      <w:r w:rsidRPr="002B1C5D">
        <w:rPr>
          <w:sz w:val="20"/>
        </w:rPr>
        <w:t>is selected due to its compatibility with sodium, good hydrogen diffusion rate, and high strength</w:t>
      </w:r>
      <w:r w:rsidRPr="002B1C5D">
        <w:rPr>
          <w:kern w:val="1"/>
          <w:sz w:val="20"/>
        </w:rPr>
        <w:t xml:space="preserve">, and </w:t>
      </w:r>
      <w:r w:rsidRPr="002B1C5D">
        <w:rPr>
          <w:sz w:val="20"/>
        </w:rPr>
        <w:t>is preferred for high temperature (&gt; 320</w:t>
      </w:r>
      <w:r w:rsidRPr="002B1C5D">
        <w:rPr>
          <w:sz w:val="20"/>
        </w:rPr>
        <w:sym w:font="Symbol" w:char="F0B0"/>
      </w:r>
      <w:r w:rsidRPr="002B1C5D">
        <w:rPr>
          <w:sz w:val="20"/>
        </w:rPr>
        <w:t>C) applications.</w:t>
      </w:r>
      <w:r w:rsidR="00A8426D">
        <w:rPr>
          <w:sz w:val="20"/>
        </w:rPr>
        <w:t xml:space="preserve"> </w:t>
      </w:r>
      <w:r w:rsidRPr="002B1C5D">
        <w:rPr>
          <w:sz w:val="20"/>
        </w:rPr>
        <w:t xml:space="preserve">According to operating conditions, including pressure, temperature, flowrate, and coolant media, the design specifications of different types of </w:t>
      </w:r>
      <w:r w:rsidRPr="002B1C5D">
        <w:rPr>
          <w:iCs/>
          <w:sz w:val="20"/>
        </w:rPr>
        <w:t xml:space="preserve">DTHM are modified, resulting in </w:t>
      </w:r>
      <w:r w:rsidRPr="002B1C5D">
        <w:rPr>
          <w:sz w:val="20"/>
        </w:rPr>
        <w:t xml:space="preserve">different designs </w:t>
      </w:r>
      <w:r w:rsidR="00047DEC">
        <w:rPr>
          <w:sz w:val="20"/>
        </w:rPr>
        <w:t>for the</w:t>
      </w:r>
      <w:r w:rsidRPr="002B1C5D">
        <w:rPr>
          <w:sz w:val="20"/>
        </w:rPr>
        <w:t xml:space="preserve"> nickel membrane probe for CGHM and ISHM.</w:t>
      </w:r>
      <w:r w:rsidR="00A8426D">
        <w:rPr>
          <w:sz w:val="20"/>
        </w:rPr>
        <w:t xml:space="preserve"> </w:t>
      </w:r>
    </w:p>
    <w:p w14:paraId="6CD13BA1" w14:textId="2651FF9D" w:rsidR="002B1C5D" w:rsidRDefault="002B1C5D" w:rsidP="00446D79">
      <w:pPr>
        <w:pStyle w:val="Authornameandaffiliation"/>
        <w:spacing w:line="260" w:lineRule="atLeast"/>
        <w:ind w:left="0" w:firstLineChars="283" w:firstLine="566"/>
        <w:jc w:val="both"/>
        <w:rPr>
          <w:color w:val="000000" w:themeColor="text1"/>
        </w:rPr>
      </w:pPr>
      <w:r w:rsidRPr="002B1C5D">
        <w:t>A nickel membrane probe generally consists of a capped tubular nickel membrane that is connected to an isolation valve, then to a vacuum manifold operated with an ion pump.</w:t>
      </w:r>
      <w:r w:rsidR="00A8426D">
        <w:t xml:space="preserve"> </w:t>
      </w:r>
      <w:r w:rsidRPr="002B1C5D">
        <w:t>The hydrogen flux diffusing through the membrane is measured by the ion pump current or by an ionization gauge.</w:t>
      </w:r>
      <w:r w:rsidR="00A8426D">
        <w:t xml:space="preserve"> </w:t>
      </w:r>
      <w:r w:rsidRPr="002B1C5D">
        <w:t>The sensitivity of these hydrogen meters is proportional to the ratio of surface area and thickness of the membrane.</w:t>
      </w:r>
      <w:r w:rsidR="00A8426D">
        <w:t xml:space="preserve"> </w:t>
      </w:r>
      <w:r w:rsidRPr="002B1C5D">
        <w:t>The response time is directly proportional to the square of its thickness</w:t>
      </w:r>
      <w:r w:rsidRPr="002B1C5D">
        <w:rPr>
          <w:i/>
          <w:vertAlign w:val="superscript"/>
        </w:rPr>
        <w:t xml:space="preserve"> </w:t>
      </w:r>
      <w:r w:rsidRPr="002B1C5D">
        <w:t>and the sensor location from the leak.</w:t>
      </w:r>
      <w:r w:rsidR="00A8426D">
        <w:t xml:space="preserve"> </w:t>
      </w:r>
      <w:r w:rsidRPr="002B1C5D">
        <w:t>According to the operation conditions, three nickel membrane probe designs</w:t>
      </w:r>
      <w:r w:rsidR="00047DEC">
        <w:t xml:space="preserve"> for DHTMs were developed; see</w:t>
      </w:r>
      <w:r w:rsidRPr="002B1C5D">
        <w:t xml:space="preserve"> Figure 1.</w:t>
      </w:r>
      <w:r w:rsidR="00A8426D">
        <w:t xml:space="preserve"> </w:t>
      </w:r>
      <w:r w:rsidRPr="002B1C5D">
        <w:t>CGHM uses a plain membrane with 10</w:t>
      </w:r>
      <w:r w:rsidR="005F2C17">
        <w:t>-</w:t>
      </w:r>
      <w:r w:rsidRPr="002B1C5D">
        <w:t xml:space="preserve">mil wall thickness and </w:t>
      </w:r>
      <w:r w:rsidR="00047DEC">
        <w:t xml:space="preserve">an OD of </w:t>
      </w:r>
      <w:r w:rsidRPr="002B1C5D">
        <w:t>0.25”.</w:t>
      </w:r>
      <w:r w:rsidR="00A8426D">
        <w:t xml:space="preserve"> </w:t>
      </w:r>
      <w:r w:rsidRPr="002B1C5D">
        <w:t>ISHM uses either a 10-mil ribbed membrane or a 14-mil meshed membrane with 0.5” OD</w:t>
      </w:r>
      <w:r w:rsidRPr="002B1C5D">
        <w:rPr>
          <w:color w:val="000000" w:themeColor="text1"/>
        </w:rPr>
        <w:t>.</w:t>
      </w:r>
    </w:p>
    <w:p w14:paraId="701E6D6B" w14:textId="29F70AC6" w:rsidR="00CF25FE" w:rsidRDefault="00CF25FE" w:rsidP="00203FD9">
      <w:pPr>
        <w:spacing w:before="120"/>
        <w:jc w:val="center"/>
        <w:rPr>
          <w:rFonts w:asciiTheme="minorHAnsi" w:hAnsiTheme="minorHAnsi" w:cstheme="minorHAnsi"/>
        </w:rPr>
      </w:pPr>
      <w:r>
        <w:rPr>
          <w:rFonts w:asciiTheme="minorHAnsi" w:hAnsiTheme="minorHAnsi" w:cstheme="minorHAnsi"/>
          <w:noProof/>
          <w:lang w:val="en-US"/>
        </w:rPr>
        <w:drawing>
          <wp:inline distT="0" distB="0" distL="0" distR="0" wp14:anchorId="5A5899FB" wp14:editId="1418129F">
            <wp:extent cx="3658542" cy="175564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esigns of Membrane.jpg"/>
                    <pic:cNvPicPr/>
                  </pic:nvPicPr>
                  <pic:blipFill>
                    <a:blip r:embed="rId11"/>
                    <a:stretch>
                      <a:fillRect/>
                    </a:stretch>
                  </pic:blipFill>
                  <pic:spPr>
                    <a:xfrm>
                      <a:off x="0" y="0"/>
                      <a:ext cx="3658542" cy="1755648"/>
                    </a:xfrm>
                    <a:prstGeom prst="rect">
                      <a:avLst/>
                    </a:prstGeom>
                  </pic:spPr>
                </pic:pic>
              </a:graphicData>
            </a:graphic>
          </wp:inline>
        </w:drawing>
      </w:r>
    </w:p>
    <w:p w14:paraId="11802EFF" w14:textId="77777777" w:rsidR="00CF25FE" w:rsidRPr="00CF25FE" w:rsidRDefault="00CF25FE" w:rsidP="00CF25FE">
      <w:pPr>
        <w:tabs>
          <w:tab w:val="left" w:pos="3960"/>
          <w:tab w:val="left" w:pos="6030"/>
        </w:tabs>
        <w:ind w:left="1980"/>
        <w:rPr>
          <w:i/>
          <w:sz w:val="18"/>
          <w:szCs w:val="18"/>
        </w:rPr>
      </w:pPr>
      <w:r w:rsidRPr="00CF25FE">
        <w:rPr>
          <w:i/>
          <w:sz w:val="18"/>
          <w:szCs w:val="18"/>
        </w:rPr>
        <w:t>(a)</w:t>
      </w:r>
      <w:r w:rsidRPr="00CF25FE">
        <w:rPr>
          <w:i/>
          <w:sz w:val="18"/>
          <w:szCs w:val="18"/>
        </w:rPr>
        <w:tab/>
        <w:t>(b)</w:t>
      </w:r>
      <w:r w:rsidRPr="00CF25FE">
        <w:rPr>
          <w:i/>
          <w:sz w:val="18"/>
          <w:szCs w:val="18"/>
        </w:rPr>
        <w:tab/>
        <w:t>(c)</w:t>
      </w:r>
    </w:p>
    <w:p w14:paraId="6FEAD333" w14:textId="77777777" w:rsidR="00D515DA" w:rsidRPr="00FA5F27" w:rsidRDefault="00D515DA" w:rsidP="00D515DA">
      <w:pPr>
        <w:overflowPunct/>
        <w:autoSpaceDE/>
        <w:autoSpaceDN/>
        <w:adjustRightInd/>
        <w:ind w:firstLine="567"/>
        <w:jc w:val="center"/>
        <w:textAlignment w:val="auto"/>
        <w:rPr>
          <w:noProof/>
          <w:sz w:val="18"/>
          <w:szCs w:val="18"/>
          <w:lang w:val="en-US"/>
        </w:rPr>
      </w:pPr>
      <w:bookmarkStart w:id="1" w:name="_Toc18071234"/>
      <w:bookmarkStart w:id="2" w:name="_Toc374190393"/>
    </w:p>
    <w:p w14:paraId="4EA7B448" w14:textId="4B550159" w:rsidR="00CF25FE" w:rsidRPr="00CF25FE" w:rsidRDefault="00CF25FE" w:rsidP="00CF25FE">
      <w:pPr>
        <w:pStyle w:val="Figurecaption"/>
        <w:ind w:firstLine="0"/>
        <w:rPr>
          <w:b/>
          <w:szCs w:val="18"/>
          <w:lang w:eastAsia="es-ES"/>
        </w:rPr>
      </w:pPr>
      <w:r w:rsidRPr="00CF25FE">
        <w:rPr>
          <w:caps/>
          <w:szCs w:val="18"/>
          <w:lang w:eastAsia="es-ES"/>
        </w:rPr>
        <w:t>F</w:t>
      </w:r>
      <w:r>
        <w:rPr>
          <w:caps/>
          <w:szCs w:val="18"/>
          <w:lang w:eastAsia="es-ES"/>
        </w:rPr>
        <w:t>ig</w:t>
      </w:r>
      <w:r w:rsidRPr="00CF25FE">
        <w:rPr>
          <w:szCs w:val="18"/>
          <w:lang w:eastAsia="es-ES"/>
        </w:rPr>
        <w:t>. </w:t>
      </w:r>
      <w:r w:rsidRPr="00CF25FE">
        <w:rPr>
          <w:b/>
          <w:szCs w:val="18"/>
          <w:lang w:eastAsia="es-ES"/>
        </w:rPr>
        <w:fldChar w:fldCharType="begin"/>
      </w:r>
      <w:r w:rsidRPr="00CF25FE">
        <w:rPr>
          <w:szCs w:val="18"/>
          <w:lang w:eastAsia="es-ES"/>
        </w:rPr>
        <w:instrText xml:space="preserve"> SEQ Figure \* ARABIC </w:instrText>
      </w:r>
      <w:r w:rsidRPr="00CF25FE">
        <w:rPr>
          <w:b/>
          <w:szCs w:val="18"/>
          <w:lang w:eastAsia="es-ES"/>
        </w:rPr>
        <w:fldChar w:fldCharType="separate"/>
      </w:r>
      <w:r w:rsidR="009D6880">
        <w:rPr>
          <w:noProof/>
          <w:szCs w:val="18"/>
          <w:lang w:eastAsia="es-ES"/>
        </w:rPr>
        <w:t>1</w:t>
      </w:r>
      <w:r w:rsidRPr="00CF25FE">
        <w:rPr>
          <w:b/>
          <w:szCs w:val="18"/>
          <w:lang w:eastAsia="es-ES"/>
        </w:rPr>
        <w:fldChar w:fldCharType="end"/>
      </w:r>
      <w:r w:rsidRPr="00CF25FE">
        <w:rPr>
          <w:szCs w:val="18"/>
          <w:lang w:eastAsia="es-ES"/>
        </w:rPr>
        <w:t xml:space="preserve">. </w:t>
      </w:r>
      <w:r w:rsidRPr="00CF25FE">
        <w:rPr>
          <w:szCs w:val="18"/>
          <w:lang w:val="en-US"/>
        </w:rPr>
        <w:t>Nickel</w:t>
      </w:r>
      <w:r w:rsidRPr="00CF25FE">
        <w:rPr>
          <w:szCs w:val="18"/>
        </w:rPr>
        <w:t xml:space="preserve"> </w:t>
      </w:r>
      <w:r>
        <w:rPr>
          <w:szCs w:val="18"/>
        </w:rPr>
        <w:t>m</w:t>
      </w:r>
      <w:r w:rsidRPr="00CF25FE">
        <w:rPr>
          <w:szCs w:val="18"/>
        </w:rPr>
        <w:t xml:space="preserve">embrane </w:t>
      </w:r>
      <w:r>
        <w:rPr>
          <w:szCs w:val="18"/>
        </w:rPr>
        <w:t>p</w:t>
      </w:r>
      <w:r w:rsidRPr="00CF25FE">
        <w:rPr>
          <w:szCs w:val="18"/>
        </w:rPr>
        <w:t xml:space="preserve">robe </w:t>
      </w:r>
      <w:r>
        <w:rPr>
          <w:szCs w:val="18"/>
        </w:rPr>
        <w:t>d</w:t>
      </w:r>
      <w:r w:rsidRPr="00CF25FE">
        <w:rPr>
          <w:szCs w:val="18"/>
        </w:rPr>
        <w:t>esigns: (a) plain, (b) ribbed, and (c) meshe</w:t>
      </w:r>
      <w:r>
        <w:rPr>
          <w:szCs w:val="18"/>
        </w:rPr>
        <w:t>d</w:t>
      </w:r>
      <w:r w:rsidRPr="00CF25FE">
        <w:rPr>
          <w:szCs w:val="18"/>
          <w:lang w:eastAsia="es-ES"/>
        </w:rPr>
        <w:t>.</w:t>
      </w:r>
    </w:p>
    <w:bookmarkEnd w:id="1"/>
    <w:bookmarkEnd w:id="2"/>
    <w:p w14:paraId="3491C121" w14:textId="290BB68D" w:rsidR="002B1C5D" w:rsidRPr="00EE0041" w:rsidRDefault="002B1C5D" w:rsidP="002B1C5D">
      <w:pPr>
        <w:pStyle w:val="Heading3"/>
      </w:pPr>
      <w:r w:rsidRPr="00197CD9">
        <w:rPr>
          <w:szCs w:val="24"/>
          <w:lang w:eastAsia="zh-TW"/>
        </w:rPr>
        <w:lastRenderedPageBreak/>
        <w:t xml:space="preserve">Design of </w:t>
      </w:r>
      <w:r w:rsidR="00CF25FE">
        <w:rPr>
          <w:szCs w:val="24"/>
          <w:lang w:eastAsia="zh-TW"/>
        </w:rPr>
        <w:t>CG</w:t>
      </w:r>
      <w:r w:rsidRPr="00197CD9">
        <w:rPr>
          <w:szCs w:val="24"/>
          <w:lang w:eastAsia="zh-TW"/>
        </w:rPr>
        <w:t>HM</w:t>
      </w:r>
    </w:p>
    <w:p w14:paraId="56AAEC46" w14:textId="4F632741" w:rsidR="002B1C5D" w:rsidRDefault="00CF25FE" w:rsidP="00446D79">
      <w:pPr>
        <w:pStyle w:val="Authornameandaffiliation"/>
        <w:spacing w:line="260" w:lineRule="atLeast"/>
        <w:ind w:left="0" w:firstLineChars="283" w:firstLine="566"/>
        <w:jc w:val="both"/>
        <w:rPr>
          <w:color w:val="000000" w:themeColor="text1"/>
        </w:rPr>
      </w:pPr>
      <w:r>
        <w:rPr>
          <w:color w:val="000000" w:themeColor="text1"/>
        </w:rPr>
        <w:t>The</w:t>
      </w:r>
      <w:r w:rsidRPr="00E22B66">
        <w:rPr>
          <w:color w:val="000000" w:themeColor="text1"/>
        </w:rPr>
        <w:t xml:space="preserve"> nickel membrane assembly </w:t>
      </w:r>
      <w:r>
        <w:rPr>
          <w:color w:val="000000" w:themeColor="text1"/>
        </w:rPr>
        <w:t xml:space="preserve">of a CGHM </w:t>
      </w:r>
      <w:r w:rsidRPr="00E22B66">
        <w:rPr>
          <w:color w:val="000000" w:themeColor="text1"/>
        </w:rPr>
        <w:t xml:space="preserve">consists of a nickel membrane probe, a heater, a hydrogen </w:t>
      </w:r>
      <w:r w:rsidRPr="00E65AF6">
        <w:t>injection coil</w:t>
      </w:r>
      <w:r>
        <w:t xml:space="preserve"> tube</w:t>
      </w:r>
      <w:r w:rsidRPr="00E65AF6">
        <w:t xml:space="preserve">, a heater support, a baffle, a flange unit, a </w:t>
      </w:r>
      <w:r>
        <w:t>thermocouple, and a hydrogen injection tube</w:t>
      </w:r>
      <w:r w:rsidRPr="00E65AF6">
        <w:t>.</w:t>
      </w:r>
      <w:r w:rsidR="00A8426D">
        <w:t xml:space="preserve"> </w:t>
      </w:r>
      <w:r w:rsidRPr="00E65AF6">
        <w:t xml:space="preserve">Figure 2 </w:t>
      </w:r>
      <w:r w:rsidRPr="00E65AF6">
        <w:rPr>
          <w:iCs/>
        </w:rPr>
        <w:t xml:space="preserve">shows a photo of </w:t>
      </w:r>
      <w:r>
        <w:rPr>
          <w:iCs/>
        </w:rPr>
        <w:t xml:space="preserve">a </w:t>
      </w:r>
      <w:r w:rsidRPr="00E22B66">
        <w:rPr>
          <w:color w:val="000000" w:themeColor="text1"/>
        </w:rPr>
        <w:t xml:space="preserve">nickel membrane assembly </w:t>
      </w:r>
      <w:r>
        <w:rPr>
          <w:color w:val="000000" w:themeColor="text1"/>
        </w:rPr>
        <w:t xml:space="preserve">of </w:t>
      </w:r>
      <w:r w:rsidRPr="00E65AF6">
        <w:rPr>
          <w:iCs/>
        </w:rPr>
        <w:t xml:space="preserve">CGHM </w:t>
      </w:r>
      <w:r w:rsidRPr="00E65AF6">
        <w:t>prototype</w:t>
      </w:r>
      <w:r>
        <w:t>.</w:t>
      </w:r>
      <w:r w:rsidR="00A8426D">
        <w:t xml:space="preserve"> </w:t>
      </w:r>
      <w:r w:rsidR="008628EC">
        <w:t>During operation, t</w:t>
      </w:r>
      <w:r>
        <w:t xml:space="preserve">he heater is coiled around the nickel membrane, which is </w:t>
      </w:r>
      <w:r w:rsidRPr="004578A3">
        <w:t xml:space="preserve">heated up to </w:t>
      </w:r>
      <w:r w:rsidR="00885E24">
        <w:t>56</w:t>
      </w:r>
      <w:r w:rsidRPr="004578A3">
        <w:t>0</w:t>
      </w:r>
      <w:r w:rsidRPr="004578A3">
        <w:sym w:font="Symbol" w:char="00B0"/>
      </w:r>
      <w:r w:rsidRPr="004578A3">
        <w:t>C</w:t>
      </w:r>
      <w:r w:rsidR="008628EC">
        <w:t xml:space="preserve">, which </w:t>
      </w:r>
      <w:r w:rsidR="004025E3">
        <w:t>showed better diffusion performance</w:t>
      </w:r>
      <w:r w:rsidR="008628EC">
        <w:t xml:space="preserve"> </w:t>
      </w:r>
      <w:r w:rsidR="004025E3">
        <w:t>[9]</w:t>
      </w:r>
      <w:r w:rsidR="002B1C5D">
        <w:rPr>
          <w:color w:val="000000" w:themeColor="text1"/>
        </w:rPr>
        <w:t>.</w:t>
      </w:r>
    </w:p>
    <w:p w14:paraId="334E57B6" w14:textId="596A01DB" w:rsidR="00CF25FE" w:rsidRDefault="00CF25FE" w:rsidP="00203FD9">
      <w:pPr>
        <w:spacing w:before="120"/>
        <w:jc w:val="center"/>
        <w:rPr>
          <w:rFonts w:asciiTheme="minorHAnsi" w:hAnsiTheme="minorHAnsi" w:cstheme="minorHAnsi"/>
        </w:rPr>
      </w:pPr>
      <w:r>
        <w:rPr>
          <w:noProof/>
          <w:lang w:val="en-US"/>
        </w:rPr>
        <w:drawing>
          <wp:inline distT="0" distB="0" distL="0" distR="0" wp14:anchorId="52D60DB7" wp14:editId="78D9198B">
            <wp:extent cx="4114800" cy="2332128"/>
            <wp:effectExtent l="0" t="0" r="0" b="508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CGHM Assembly.jpg"/>
                    <pic:cNvPicPr/>
                  </pic:nvPicPr>
                  <pic:blipFill>
                    <a:blip r:embed="rId12"/>
                    <a:stretch>
                      <a:fillRect/>
                    </a:stretch>
                  </pic:blipFill>
                  <pic:spPr>
                    <a:xfrm>
                      <a:off x="0" y="0"/>
                      <a:ext cx="4114800" cy="2332128"/>
                    </a:xfrm>
                    <a:prstGeom prst="rect">
                      <a:avLst/>
                    </a:prstGeom>
                  </pic:spPr>
                </pic:pic>
              </a:graphicData>
            </a:graphic>
          </wp:inline>
        </w:drawing>
      </w:r>
    </w:p>
    <w:p w14:paraId="4DE4ADB4" w14:textId="77777777" w:rsidR="00D515DA" w:rsidRPr="00FA5F27" w:rsidRDefault="00D515DA" w:rsidP="00D515DA">
      <w:pPr>
        <w:overflowPunct/>
        <w:autoSpaceDE/>
        <w:autoSpaceDN/>
        <w:adjustRightInd/>
        <w:ind w:firstLine="567"/>
        <w:jc w:val="center"/>
        <w:textAlignment w:val="auto"/>
        <w:rPr>
          <w:noProof/>
          <w:sz w:val="18"/>
          <w:szCs w:val="18"/>
          <w:lang w:val="en-US"/>
        </w:rPr>
      </w:pPr>
    </w:p>
    <w:p w14:paraId="6AA75BBF" w14:textId="674A6AEB" w:rsidR="00D515DA" w:rsidRDefault="00D515DA" w:rsidP="00D515DA">
      <w:pPr>
        <w:pStyle w:val="Caption"/>
        <w:spacing w:after="240"/>
        <w:jc w:val="center"/>
        <w:rPr>
          <w:i/>
          <w:iCs/>
          <w:color w:val="000000" w:themeColor="text1"/>
          <w:szCs w:val="18"/>
        </w:rPr>
      </w:pPr>
      <w:r w:rsidRPr="00D515DA">
        <w:rPr>
          <w:i/>
          <w:szCs w:val="18"/>
        </w:rPr>
        <w:t xml:space="preserve">FIG. </w:t>
      </w:r>
      <w:r w:rsidRPr="00D515DA">
        <w:rPr>
          <w:b/>
          <w:i/>
          <w:szCs w:val="18"/>
        </w:rPr>
        <w:fldChar w:fldCharType="begin"/>
      </w:r>
      <w:r w:rsidRPr="00D515DA">
        <w:rPr>
          <w:i/>
          <w:szCs w:val="18"/>
        </w:rPr>
        <w:instrText xml:space="preserve"> SEQ Figure \* ARABIC </w:instrText>
      </w:r>
      <w:r w:rsidRPr="00D515DA">
        <w:rPr>
          <w:b/>
          <w:i/>
          <w:szCs w:val="18"/>
        </w:rPr>
        <w:fldChar w:fldCharType="separate"/>
      </w:r>
      <w:r w:rsidR="009D6880">
        <w:rPr>
          <w:i/>
          <w:noProof/>
          <w:szCs w:val="18"/>
        </w:rPr>
        <w:t>2</w:t>
      </w:r>
      <w:r w:rsidRPr="00D515DA">
        <w:rPr>
          <w:b/>
          <w:i/>
          <w:szCs w:val="18"/>
        </w:rPr>
        <w:fldChar w:fldCharType="end"/>
      </w:r>
      <w:r w:rsidRPr="00D515DA">
        <w:rPr>
          <w:i/>
          <w:szCs w:val="18"/>
        </w:rPr>
        <w:t xml:space="preserve">. </w:t>
      </w:r>
      <w:r w:rsidRPr="00D515DA">
        <w:rPr>
          <w:i/>
          <w:iCs/>
          <w:color w:val="000000" w:themeColor="text1"/>
          <w:szCs w:val="18"/>
        </w:rPr>
        <w:t xml:space="preserve">Photo of </w:t>
      </w:r>
      <w:r w:rsidRPr="00D515DA">
        <w:rPr>
          <w:i/>
          <w:color w:val="000000" w:themeColor="text1"/>
          <w:szCs w:val="18"/>
        </w:rPr>
        <w:t>nickel membrane assembly</w:t>
      </w:r>
      <w:r w:rsidRPr="00D515DA">
        <w:rPr>
          <w:i/>
          <w:iCs/>
          <w:color w:val="000000" w:themeColor="text1"/>
          <w:szCs w:val="18"/>
        </w:rPr>
        <w:t xml:space="preserve"> of CGHM </w:t>
      </w:r>
      <w:r>
        <w:rPr>
          <w:i/>
          <w:iCs/>
          <w:color w:val="000000" w:themeColor="text1"/>
          <w:szCs w:val="18"/>
        </w:rPr>
        <w:t>p</w:t>
      </w:r>
      <w:r w:rsidRPr="00D515DA">
        <w:rPr>
          <w:i/>
          <w:iCs/>
          <w:color w:val="000000" w:themeColor="text1"/>
          <w:szCs w:val="18"/>
        </w:rPr>
        <w:t>rototype</w:t>
      </w:r>
      <w:r>
        <w:rPr>
          <w:i/>
          <w:iCs/>
          <w:color w:val="000000" w:themeColor="text1"/>
          <w:szCs w:val="18"/>
        </w:rPr>
        <w:t>.</w:t>
      </w:r>
    </w:p>
    <w:p w14:paraId="43DB7419" w14:textId="3FF44147" w:rsidR="00B4579C" w:rsidRPr="00B4579C" w:rsidRDefault="00192218" w:rsidP="00192218">
      <w:pPr>
        <w:pStyle w:val="Heading4"/>
        <w:numPr>
          <w:ilvl w:val="0"/>
          <w:numId w:val="0"/>
        </w:numPr>
      </w:pPr>
      <w:r>
        <w:t>2.3.1.</w:t>
      </w:r>
      <w:r>
        <w:tab/>
      </w:r>
      <w:r w:rsidR="00B4579C" w:rsidRPr="00B4579C">
        <w:t>In-situ calibration of CGHM</w:t>
      </w:r>
    </w:p>
    <w:p w14:paraId="1F462578" w14:textId="50A482DA" w:rsidR="00B4579C" w:rsidRDefault="00B4579C" w:rsidP="00446D79">
      <w:pPr>
        <w:pStyle w:val="Authornameandaffiliation"/>
        <w:spacing w:line="260" w:lineRule="atLeast"/>
        <w:ind w:left="0" w:firstLineChars="283" w:firstLine="566"/>
        <w:jc w:val="both"/>
      </w:pPr>
      <w:r w:rsidRPr="004578A3">
        <w:t xml:space="preserve">A CGHM uses of a hydrogen injection </w:t>
      </w:r>
      <w:r>
        <w:t>coil tube,</w:t>
      </w:r>
      <w:r w:rsidRPr="004578A3">
        <w:t xml:space="preserve"> a 1/16” thin-wall nickel-201 tub</w:t>
      </w:r>
      <w:r>
        <w:t>ing,</w:t>
      </w:r>
      <w:r w:rsidRPr="004578A3">
        <w:t xml:space="preserve"> placed directly below the membrane </w:t>
      </w:r>
      <w:r>
        <w:t xml:space="preserve">mainly </w:t>
      </w:r>
      <w:r w:rsidRPr="004578A3">
        <w:t xml:space="preserve">for </w:t>
      </w:r>
      <w:r w:rsidRPr="004578A3">
        <w:rPr>
          <w:i/>
        </w:rPr>
        <w:t>in-situ</w:t>
      </w:r>
      <w:r w:rsidRPr="004578A3">
        <w:t xml:space="preserve"> calibration of the meter.</w:t>
      </w:r>
      <w:r w:rsidR="00A8426D">
        <w:t xml:space="preserve"> </w:t>
      </w:r>
      <w:r w:rsidRPr="004578A3">
        <w:t xml:space="preserve">One end of </w:t>
      </w:r>
      <w:r>
        <w:t>the</w:t>
      </w:r>
      <w:r w:rsidRPr="004578A3">
        <w:t xml:space="preserve"> </w:t>
      </w:r>
      <w:r>
        <w:t>tube</w:t>
      </w:r>
      <w:r w:rsidRPr="004578A3">
        <w:t xml:space="preserve"> is connected to a hydrogen injection system</w:t>
      </w:r>
      <w:r>
        <w:t xml:space="preserve">, which </w:t>
      </w:r>
      <w:r w:rsidR="00047DEC">
        <w:t xml:space="preserve">primarily </w:t>
      </w:r>
      <w:r w:rsidRPr="004578A3">
        <w:t xml:space="preserve">consists of a hydrogen source (or hydrogen/argon mixture), a pressure regulator, pressure gauges, </w:t>
      </w:r>
      <w:r>
        <w:t>a mass flow control manifold</w:t>
      </w:r>
      <w:r w:rsidRPr="004578A3">
        <w:t>, and mass flow controller</w:t>
      </w:r>
      <w:r>
        <w:t>s</w:t>
      </w:r>
      <w:r w:rsidRPr="004578A3">
        <w:t>.</w:t>
      </w:r>
      <w:r w:rsidR="00A8426D">
        <w:t xml:space="preserve"> </w:t>
      </w:r>
      <w:r>
        <w:t>The mass</w:t>
      </w:r>
      <w:r w:rsidRPr="005E248C">
        <w:t xml:space="preserve"> flow control</w:t>
      </w:r>
      <w:r>
        <w:t xml:space="preserve"> manifold</w:t>
      </w:r>
      <w:r w:rsidRPr="005E248C">
        <w:t xml:space="preserve"> mixes argon and hydrogen-argon mixture to a </w:t>
      </w:r>
      <w:r w:rsidRPr="004578A3">
        <w:t xml:space="preserve">predetermined </w:t>
      </w:r>
      <w:r>
        <w:t>ratio</w:t>
      </w:r>
      <w:r w:rsidRPr="004578A3">
        <w:t xml:space="preserve"> </w:t>
      </w:r>
      <w:r w:rsidRPr="005E248C">
        <w:t>with different flow rates</w:t>
      </w:r>
      <w:r>
        <w:t xml:space="preserve"> </w:t>
      </w:r>
      <w:r w:rsidRPr="004578A3">
        <w:t>for calibration</w:t>
      </w:r>
      <w:r w:rsidRPr="005E248C">
        <w:t>.</w:t>
      </w:r>
      <w:r w:rsidR="00A8426D">
        <w:t xml:space="preserve"> </w:t>
      </w:r>
      <w:r w:rsidRPr="004578A3">
        <w:t xml:space="preserve">During calibration, the nickel </w:t>
      </w:r>
      <w:r>
        <w:t>tube</w:t>
      </w:r>
      <w:r w:rsidRPr="004578A3">
        <w:t xml:space="preserve"> is pressurized with hydrogen-argon mixture and heated up to </w:t>
      </w:r>
      <w:r w:rsidR="00885E24">
        <w:t>56</w:t>
      </w:r>
      <w:r w:rsidRPr="004578A3">
        <w:t>0</w:t>
      </w:r>
      <w:r w:rsidRPr="004578A3">
        <w:sym w:font="Symbol" w:char="00B0"/>
      </w:r>
      <w:r w:rsidRPr="004578A3">
        <w:t>C by the membrane heater.</w:t>
      </w:r>
      <w:r w:rsidR="00A8426D">
        <w:t xml:space="preserve"> </w:t>
      </w:r>
      <w:r w:rsidRPr="004578A3">
        <w:t xml:space="preserve">Depending on the hydrogen concentration in the nickel </w:t>
      </w:r>
      <w:r>
        <w:t>tube</w:t>
      </w:r>
      <w:r w:rsidRPr="004578A3">
        <w:t xml:space="preserve">, a known hydrogen amount would diffuse out of the nickel </w:t>
      </w:r>
      <w:r>
        <w:t>tube</w:t>
      </w:r>
      <w:r w:rsidRPr="004578A3">
        <w:t xml:space="preserve"> and then diffuse into the nickel membrane</w:t>
      </w:r>
      <w:r>
        <w:t>.</w:t>
      </w:r>
    </w:p>
    <w:p w14:paraId="3ABCE64C" w14:textId="07A576B7" w:rsidR="002B1C5D" w:rsidRPr="0014329A" w:rsidRDefault="00B4579C" w:rsidP="002B1C5D">
      <w:pPr>
        <w:pStyle w:val="Heading3"/>
      </w:pPr>
      <w:r>
        <w:rPr>
          <w:iCs/>
        </w:rPr>
        <w:t>Design</w:t>
      </w:r>
      <w:r w:rsidR="0014329A" w:rsidRPr="0014329A">
        <w:rPr>
          <w:iCs/>
        </w:rPr>
        <w:t xml:space="preserve"> of </w:t>
      </w:r>
      <w:r>
        <w:rPr>
          <w:iCs/>
        </w:rPr>
        <w:t>IS</w:t>
      </w:r>
      <w:r w:rsidR="0014329A" w:rsidRPr="0014329A">
        <w:rPr>
          <w:iCs/>
        </w:rPr>
        <w:t>HM</w:t>
      </w:r>
    </w:p>
    <w:p w14:paraId="2DAE4FEA" w14:textId="7F421814" w:rsidR="00B4579C" w:rsidRPr="00895107" w:rsidRDefault="00B4579C" w:rsidP="00446D79">
      <w:pPr>
        <w:spacing w:line="260" w:lineRule="atLeast"/>
        <w:ind w:firstLineChars="245" w:firstLine="490"/>
        <w:jc w:val="both"/>
        <w:rPr>
          <w:kern w:val="1"/>
          <w:sz w:val="20"/>
        </w:rPr>
      </w:pPr>
      <w:r w:rsidRPr="00895107">
        <w:rPr>
          <w:sz w:val="20"/>
          <w:lang w:val="en-US"/>
        </w:rPr>
        <w:t>An</w:t>
      </w:r>
      <w:r w:rsidRPr="00895107">
        <w:rPr>
          <w:sz w:val="20"/>
        </w:rPr>
        <w:t xml:space="preserve"> ISHM aims at detecting small leaks in time to prevent wastage propagation to adjacent tubes and will be placed in the sodium inlet and outlet pipelines of each SG.</w:t>
      </w:r>
      <w:r w:rsidR="00A8426D">
        <w:rPr>
          <w:sz w:val="20"/>
        </w:rPr>
        <w:t xml:space="preserve"> </w:t>
      </w:r>
      <w:r w:rsidRPr="00895107">
        <w:rPr>
          <w:sz w:val="20"/>
        </w:rPr>
        <w:t xml:space="preserve">The proposed compact ISHM is designed for </w:t>
      </w:r>
      <w:r w:rsidRPr="00895107">
        <w:rPr>
          <w:kern w:val="1"/>
          <w:sz w:val="20"/>
        </w:rPr>
        <w:t>fast response time, reduced cost, simplicity, sensitivity, and seismic ruggedness.</w:t>
      </w:r>
      <w:r w:rsidR="00A8426D">
        <w:rPr>
          <w:kern w:val="1"/>
          <w:sz w:val="20"/>
        </w:rPr>
        <w:t xml:space="preserve"> </w:t>
      </w:r>
      <w:r w:rsidRPr="00895107">
        <w:rPr>
          <w:color w:val="000000" w:themeColor="text1"/>
          <w:sz w:val="20"/>
        </w:rPr>
        <w:t>The nickel membrane assembly of a compact ISHM consists of a nickel membrane probe, a meter body, a heater, a thermocouple, and a flange unit.</w:t>
      </w:r>
      <w:r w:rsidR="00A8426D">
        <w:rPr>
          <w:color w:val="000000" w:themeColor="text1"/>
          <w:sz w:val="20"/>
        </w:rPr>
        <w:t xml:space="preserve"> </w:t>
      </w:r>
      <w:r w:rsidRPr="00895107">
        <w:rPr>
          <w:color w:val="000000" w:themeColor="text1"/>
          <w:sz w:val="20"/>
        </w:rPr>
        <w:t xml:space="preserve">It </w:t>
      </w:r>
      <w:r w:rsidRPr="00895107">
        <w:rPr>
          <w:color w:val="000000" w:themeColor="text1"/>
          <w:kern w:val="1"/>
          <w:sz w:val="20"/>
        </w:rPr>
        <w:t>has no sodium pump, valves, and flowmeter and is mechanically supported by the sodium line to which it is closely coupled.</w:t>
      </w:r>
      <w:r w:rsidR="00A8426D">
        <w:rPr>
          <w:color w:val="000000" w:themeColor="text1"/>
          <w:kern w:val="1"/>
          <w:sz w:val="20"/>
        </w:rPr>
        <w:t xml:space="preserve"> </w:t>
      </w:r>
      <w:r w:rsidRPr="00895107">
        <w:rPr>
          <w:color w:val="000000" w:themeColor="text1"/>
          <w:kern w:val="1"/>
          <w:sz w:val="20"/>
        </w:rPr>
        <w:t>Two co</w:t>
      </w:r>
      <w:r w:rsidRPr="00895107">
        <w:rPr>
          <w:color w:val="000000" w:themeColor="text1"/>
          <w:sz w:val="20"/>
        </w:rPr>
        <w:t xml:space="preserve">mpact ISHMs with ribbed nickel membrane probe have been fabricated and the fabrication of a </w:t>
      </w:r>
      <w:r w:rsidRPr="00895107">
        <w:rPr>
          <w:color w:val="000000" w:themeColor="text1"/>
          <w:kern w:val="1"/>
          <w:sz w:val="20"/>
        </w:rPr>
        <w:t>co</w:t>
      </w:r>
      <w:r w:rsidRPr="00895107">
        <w:rPr>
          <w:color w:val="000000" w:themeColor="text1"/>
          <w:sz w:val="20"/>
        </w:rPr>
        <w:t>mpact ISHM with a meshed nickel membrane probe is in progress.</w:t>
      </w:r>
      <w:r w:rsidR="00A8426D">
        <w:rPr>
          <w:color w:val="000000" w:themeColor="text1"/>
          <w:sz w:val="20"/>
        </w:rPr>
        <w:t xml:space="preserve"> </w:t>
      </w:r>
      <w:r w:rsidRPr="00895107">
        <w:rPr>
          <w:color w:val="000000" w:themeColor="text1"/>
          <w:sz w:val="20"/>
        </w:rPr>
        <w:t xml:space="preserve">Figure 3 </w:t>
      </w:r>
      <w:r w:rsidRPr="00895107">
        <w:rPr>
          <w:iCs/>
          <w:color w:val="000000" w:themeColor="text1"/>
          <w:sz w:val="20"/>
        </w:rPr>
        <w:t xml:space="preserve">shows a photo of a compact ISHM </w:t>
      </w:r>
      <w:r w:rsidRPr="00895107">
        <w:rPr>
          <w:color w:val="000000" w:themeColor="text1"/>
          <w:sz w:val="20"/>
        </w:rPr>
        <w:t>prototype.</w:t>
      </w:r>
      <w:r w:rsidR="00A8426D">
        <w:rPr>
          <w:color w:val="000000" w:themeColor="text1"/>
          <w:sz w:val="20"/>
        </w:rPr>
        <w:t xml:space="preserve"> </w:t>
      </w:r>
    </w:p>
    <w:p w14:paraId="133C9648" w14:textId="77777777" w:rsidR="00B4579C" w:rsidRPr="002D2F40" w:rsidRDefault="00B4579C" w:rsidP="00895107">
      <w:pPr>
        <w:spacing w:before="120"/>
        <w:jc w:val="center"/>
        <w:rPr>
          <w:rFonts w:ascii="Arial" w:hAnsi="Arial" w:cs="Arial"/>
          <w:iCs/>
          <w:color w:val="FF0000"/>
        </w:rPr>
      </w:pPr>
      <w:r w:rsidRPr="002B130B">
        <w:rPr>
          <w:rFonts w:ascii="Arial" w:hAnsi="Arial" w:cs="Arial"/>
          <w:iCs/>
          <w:noProof/>
          <w:color w:val="FF0000"/>
          <w:lang w:val="en-US"/>
        </w:rPr>
        <w:drawing>
          <wp:inline distT="0" distB="0" distL="0" distR="0" wp14:anchorId="3114EA4C" wp14:editId="0A6D345D">
            <wp:extent cx="4182535" cy="1247324"/>
            <wp:effectExtent l="0" t="0" r="0" b="0"/>
            <wp:docPr id="8" name="Picture 7">
              <a:extLst xmlns:a="http://schemas.openxmlformats.org/drawingml/2006/main">
                <a:ext uri="{FF2B5EF4-FFF2-40B4-BE49-F238E27FC236}">
                  <a16:creationId xmlns:a16="http://schemas.microsoft.com/office/drawing/2014/main" id="{90B475E4-EC81-8C4B-9A45-A5B91B7D98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0B475E4-EC81-8C4B-9A45-A5B91B7D98A5}"/>
                        </a:ext>
                      </a:extLst>
                    </pic:cNvPr>
                    <pic:cNvPicPr>
                      <a:picLocks noChangeAspect="1"/>
                    </pic:cNvPicPr>
                  </pic:nvPicPr>
                  <pic:blipFill rotWithShape="1">
                    <a:blip r:embed="rId13"/>
                    <a:srcRect l="4518" t="13923" r="4000" b="5493"/>
                    <a:stretch/>
                  </pic:blipFill>
                  <pic:spPr>
                    <a:xfrm>
                      <a:off x="0" y="0"/>
                      <a:ext cx="4182535" cy="1247324"/>
                    </a:xfrm>
                    <a:prstGeom prst="rect">
                      <a:avLst/>
                    </a:prstGeom>
                    <a:ln w="19050">
                      <a:noFill/>
                    </a:ln>
                  </pic:spPr>
                </pic:pic>
              </a:graphicData>
            </a:graphic>
          </wp:inline>
        </w:drawing>
      </w:r>
    </w:p>
    <w:p w14:paraId="37568ED0" w14:textId="77777777" w:rsidR="00895107" w:rsidRPr="00FA5F27" w:rsidRDefault="00895107" w:rsidP="00895107">
      <w:pPr>
        <w:overflowPunct/>
        <w:autoSpaceDE/>
        <w:autoSpaceDN/>
        <w:adjustRightInd/>
        <w:ind w:firstLine="567"/>
        <w:jc w:val="center"/>
        <w:textAlignment w:val="auto"/>
        <w:rPr>
          <w:noProof/>
          <w:sz w:val="18"/>
          <w:szCs w:val="18"/>
          <w:lang w:val="en-US"/>
        </w:rPr>
      </w:pPr>
    </w:p>
    <w:p w14:paraId="7BDBD124" w14:textId="0CEA915F" w:rsidR="002B1C5D" w:rsidRPr="00895107" w:rsidRDefault="00B4579C" w:rsidP="00895107">
      <w:pPr>
        <w:pStyle w:val="Authornameandaffiliation"/>
        <w:ind w:left="0"/>
        <w:jc w:val="center"/>
        <w:rPr>
          <w:color w:val="000000" w:themeColor="text1"/>
          <w:sz w:val="18"/>
          <w:szCs w:val="18"/>
        </w:rPr>
      </w:pPr>
      <w:r w:rsidRPr="00895107">
        <w:rPr>
          <w:i/>
          <w:sz w:val="18"/>
          <w:szCs w:val="18"/>
        </w:rPr>
        <w:t xml:space="preserve">FIG. </w:t>
      </w:r>
      <w:r w:rsidRPr="00895107">
        <w:rPr>
          <w:b/>
          <w:i/>
          <w:sz w:val="18"/>
          <w:szCs w:val="18"/>
        </w:rPr>
        <w:fldChar w:fldCharType="begin"/>
      </w:r>
      <w:r w:rsidRPr="00895107">
        <w:rPr>
          <w:i/>
          <w:sz w:val="18"/>
          <w:szCs w:val="18"/>
        </w:rPr>
        <w:instrText xml:space="preserve"> SEQ Figure \* ARABIC </w:instrText>
      </w:r>
      <w:r w:rsidRPr="00895107">
        <w:rPr>
          <w:b/>
          <w:i/>
          <w:sz w:val="18"/>
          <w:szCs w:val="18"/>
        </w:rPr>
        <w:fldChar w:fldCharType="separate"/>
      </w:r>
      <w:r w:rsidR="009D6880">
        <w:rPr>
          <w:i/>
          <w:noProof/>
          <w:sz w:val="18"/>
          <w:szCs w:val="18"/>
        </w:rPr>
        <w:t>3</w:t>
      </w:r>
      <w:r w:rsidRPr="00895107">
        <w:rPr>
          <w:b/>
          <w:i/>
          <w:sz w:val="18"/>
          <w:szCs w:val="18"/>
        </w:rPr>
        <w:fldChar w:fldCharType="end"/>
      </w:r>
      <w:r w:rsidRPr="00895107">
        <w:rPr>
          <w:i/>
          <w:sz w:val="18"/>
          <w:szCs w:val="18"/>
        </w:rPr>
        <w:t xml:space="preserve">. </w:t>
      </w:r>
      <w:r w:rsidRPr="00895107">
        <w:rPr>
          <w:i/>
          <w:iCs/>
          <w:sz w:val="18"/>
          <w:szCs w:val="18"/>
        </w:rPr>
        <w:t xml:space="preserve">Photo of </w:t>
      </w:r>
      <w:r w:rsidR="00895107" w:rsidRPr="00895107">
        <w:rPr>
          <w:i/>
          <w:color w:val="000000" w:themeColor="text1"/>
          <w:sz w:val="18"/>
          <w:szCs w:val="18"/>
        </w:rPr>
        <w:t>nickel membrane assembly</w:t>
      </w:r>
      <w:r w:rsidR="00895107" w:rsidRPr="00895107">
        <w:rPr>
          <w:i/>
          <w:iCs/>
          <w:sz w:val="18"/>
          <w:szCs w:val="18"/>
        </w:rPr>
        <w:t xml:space="preserve"> of compact</w:t>
      </w:r>
      <w:r w:rsidRPr="00895107">
        <w:rPr>
          <w:i/>
          <w:iCs/>
          <w:sz w:val="18"/>
          <w:szCs w:val="18"/>
        </w:rPr>
        <w:t xml:space="preserve"> ISHM </w:t>
      </w:r>
      <w:r w:rsidR="00895107" w:rsidRPr="00895107">
        <w:rPr>
          <w:i/>
          <w:iCs/>
          <w:sz w:val="18"/>
          <w:szCs w:val="18"/>
        </w:rPr>
        <w:t>prototype.</w:t>
      </w:r>
    </w:p>
    <w:p w14:paraId="60538060" w14:textId="069DA6A5" w:rsidR="00192218" w:rsidRPr="00192218" w:rsidRDefault="00192218" w:rsidP="00192218">
      <w:pPr>
        <w:pStyle w:val="Heading4"/>
        <w:numPr>
          <w:ilvl w:val="0"/>
          <w:numId w:val="0"/>
        </w:numPr>
      </w:pPr>
      <w:r>
        <w:lastRenderedPageBreak/>
        <w:t>2.4.1.</w:t>
      </w:r>
      <w:r>
        <w:tab/>
      </w:r>
      <w:r w:rsidR="00CD5937" w:rsidRPr="00B4579C">
        <w:t xml:space="preserve">In-situ calibration of </w:t>
      </w:r>
      <w:r w:rsidR="00CD5937">
        <w:t>IS</w:t>
      </w:r>
      <w:bookmarkStart w:id="3" w:name="_GoBack"/>
      <w:bookmarkEnd w:id="3"/>
      <w:r w:rsidR="00CD5937" w:rsidRPr="00B4579C">
        <w:t>HM</w:t>
      </w:r>
    </w:p>
    <w:p w14:paraId="70E8C500" w14:textId="11F72F5D" w:rsidR="00B4579C" w:rsidRDefault="008B7FAF" w:rsidP="00446D79">
      <w:pPr>
        <w:pStyle w:val="Authornameandaffiliation"/>
        <w:spacing w:line="260" w:lineRule="atLeast"/>
        <w:ind w:left="0" w:firstLineChars="283" w:firstLine="566"/>
        <w:jc w:val="both"/>
        <w:rPr>
          <w:color w:val="000000" w:themeColor="text1"/>
        </w:rPr>
      </w:pPr>
      <w:r w:rsidRPr="00753191">
        <w:rPr>
          <w:color w:val="000000" w:themeColor="text1"/>
        </w:rPr>
        <w:t xml:space="preserve">For </w:t>
      </w:r>
      <w:r w:rsidRPr="00753191">
        <w:rPr>
          <w:i/>
          <w:color w:val="000000" w:themeColor="text1"/>
        </w:rPr>
        <w:t>in-situ</w:t>
      </w:r>
      <w:r w:rsidRPr="00753191">
        <w:rPr>
          <w:color w:val="000000" w:themeColor="text1"/>
        </w:rPr>
        <w:t xml:space="preserve"> calibration of an ISHM, a </w:t>
      </w:r>
      <w:r>
        <w:rPr>
          <w:color w:val="000000" w:themeColor="text1"/>
        </w:rPr>
        <w:t>sodium</w:t>
      </w:r>
      <w:r w:rsidRPr="00753191">
        <w:rPr>
          <w:color w:val="000000" w:themeColor="text1"/>
        </w:rPr>
        <w:t xml:space="preserve"> hydroxide </w:t>
      </w:r>
      <w:r w:rsidRPr="00753191">
        <w:rPr>
          <w:rFonts w:hint="eastAsia"/>
          <w:color w:val="000000" w:themeColor="text1"/>
        </w:rPr>
        <w:t>(</w:t>
      </w:r>
      <w:r w:rsidRPr="00753191">
        <w:rPr>
          <w:color w:val="000000" w:themeColor="text1"/>
        </w:rPr>
        <w:t>NaOH) injection assembly</w:t>
      </w:r>
      <w:r>
        <w:rPr>
          <w:color w:val="000000" w:themeColor="text1"/>
        </w:rPr>
        <w:t xml:space="preserve"> is fabricated and integrated into the ISHM sodium test apparatus.</w:t>
      </w:r>
      <w:r w:rsidR="00A8426D">
        <w:rPr>
          <w:color w:val="000000" w:themeColor="text1"/>
        </w:rPr>
        <w:t xml:space="preserve"> </w:t>
      </w:r>
      <w:r>
        <w:rPr>
          <w:color w:val="000000" w:themeColor="text1"/>
        </w:rPr>
        <w:t xml:space="preserve">The </w:t>
      </w:r>
      <w:r w:rsidRPr="00753191">
        <w:rPr>
          <w:color w:val="000000" w:themeColor="text1"/>
        </w:rPr>
        <w:t>NaOH</w:t>
      </w:r>
      <w:r>
        <w:rPr>
          <w:color w:val="000000" w:themeColor="text1"/>
        </w:rPr>
        <w:t xml:space="preserve"> </w:t>
      </w:r>
      <w:r w:rsidRPr="00753191">
        <w:rPr>
          <w:color w:val="000000" w:themeColor="text1"/>
        </w:rPr>
        <w:t>injection assembly</w:t>
      </w:r>
      <w:r>
        <w:rPr>
          <w:color w:val="000000" w:themeColor="text1"/>
        </w:rPr>
        <w:t xml:space="preserve"> consists of a NaOH injector, sodium expansion tank, and vacuum/gas manifold.</w:t>
      </w:r>
      <w:r w:rsidR="00A8426D">
        <w:rPr>
          <w:color w:val="000000" w:themeColor="text1"/>
        </w:rPr>
        <w:t xml:space="preserve"> </w:t>
      </w:r>
      <w:r w:rsidRPr="001920E7">
        <w:rPr>
          <w:color w:val="000000" w:themeColor="text1"/>
        </w:rPr>
        <w:t xml:space="preserve">Figure </w:t>
      </w:r>
      <w:r>
        <w:rPr>
          <w:color w:val="000000" w:themeColor="text1"/>
        </w:rPr>
        <w:t>4</w:t>
      </w:r>
      <w:r w:rsidRPr="001920E7">
        <w:rPr>
          <w:color w:val="000000" w:themeColor="text1"/>
        </w:rPr>
        <w:t xml:space="preserve"> </w:t>
      </w:r>
      <w:r w:rsidRPr="001920E7">
        <w:rPr>
          <w:iCs/>
          <w:color w:val="000000" w:themeColor="text1"/>
        </w:rPr>
        <w:t>shows a photo of a</w:t>
      </w:r>
      <w:r>
        <w:rPr>
          <w:iCs/>
          <w:color w:val="000000" w:themeColor="text1"/>
        </w:rPr>
        <w:t xml:space="preserve"> </w:t>
      </w:r>
      <w:r>
        <w:rPr>
          <w:color w:val="000000" w:themeColor="text1"/>
        </w:rPr>
        <w:t>NaOH injector</w:t>
      </w:r>
      <w:r w:rsidRPr="001920E7">
        <w:rPr>
          <w:color w:val="000000" w:themeColor="text1"/>
        </w:rPr>
        <w:t>.</w:t>
      </w:r>
      <w:r w:rsidR="00A8426D">
        <w:rPr>
          <w:color w:val="000000" w:themeColor="text1"/>
        </w:rPr>
        <w:t xml:space="preserve"> </w:t>
      </w:r>
      <w:r>
        <w:rPr>
          <w:color w:val="000000" w:themeColor="text1"/>
          <w:kern w:val="1"/>
        </w:rPr>
        <w:t xml:space="preserve">A designated amount of </w:t>
      </w:r>
      <w:r w:rsidRPr="00753191">
        <w:rPr>
          <w:color w:val="000000" w:themeColor="text1"/>
        </w:rPr>
        <w:t>NaOH</w:t>
      </w:r>
      <w:r>
        <w:rPr>
          <w:color w:val="000000" w:themeColor="text1"/>
        </w:rPr>
        <w:t xml:space="preserve"> will be loaded and sealed in the </w:t>
      </w:r>
      <w:r w:rsidRPr="00753191">
        <w:rPr>
          <w:color w:val="000000" w:themeColor="text1"/>
        </w:rPr>
        <w:t>inject</w:t>
      </w:r>
      <w:r>
        <w:rPr>
          <w:color w:val="000000" w:themeColor="text1"/>
        </w:rPr>
        <w:t>or inside a glove box.</w:t>
      </w:r>
      <w:r w:rsidR="00A8426D">
        <w:rPr>
          <w:color w:val="000000" w:themeColor="text1"/>
        </w:rPr>
        <w:t xml:space="preserve"> </w:t>
      </w:r>
      <w:r>
        <w:rPr>
          <w:color w:val="000000" w:themeColor="text1"/>
        </w:rPr>
        <w:t xml:space="preserve">It will be transferred and mounted onto the </w:t>
      </w:r>
      <w:r w:rsidRPr="00753191">
        <w:rPr>
          <w:color w:val="000000" w:themeColor="text1"/>
        </w:rPr>
        <w:t>injection assembly</w:t>
      </w:r>
      <w:r>
        <w:rPr>
          <w:color w:val="000000" w:themeColor="text1"/>
        </w:rPr>
        <w:t>, and then inject</w:t>
      </w:r>
      <w:r w:rsidR="00020664">
        <w:rPr>
          <w:color w:val="000000" w:themeColor="text1"/>
        </w:rPr>
        <w:t>ed</w:t>
      </w:r>
      <w:r>
        <w:rPr>
          <w:color w:val="000000" w:themeColor="text1"/>
        </w:rPr>
        <w:t xml:space="preserve"> into molten sodium at a predetermined temperature.</w:t>
      </w:r>
      <w:r w:rsidR="00A8426D">
        <w:rPr>
          <w:color w:val="000000" w:themeColor="text1"/>
        </w:rPr>
        <w:t xml:space="preserve"> </w:t>
      </w:r>
      <w:r>
        <w:rPr>
          <w:color w:val="000000" w:themeColor="text1"/>
        </w:rPr>
        <w:t>The reaction between NaOH and sodium will produce a known amount of hydrogen that is entrained in molten sodium and flows into the meter.</w:t>
      </w:r>
    </w:p>
    <w:p w14:paraId="2E2DC668" w14:textId="5701BAC9" w:rsidR="008B7FAF" w:rsidRPr="002D2F40" w:rsidRDefault="00396350" w:rsidP="008B7FAF">
      <w:pPr>
        <w:jc w:val="center"/>
        <w:rPr>
          <w:rFonts w:ascii="Arial" w:hAnsi="Arial" w:cs="Arial"/>
          <w:iCs/>
          <w:color w:val="FF0000"/>
        </w:rPr>
      </w:pPr>
      <w:r>
        <w:rPr>
          <w:rFonts w:ascii="Arial" w:hAnsi="Arial" w:cs="Arial"/>
          <w:iCs/>
          <w:noProof/>
          <w:color w:val="FF0000"/>
          <w:lang w:val="en-US"/>
        </w:rPr>
        <w:drawing>
          <wp:inline distT="0" distB="0" distL="0" distR="0" wp14:anchorId="00313695" wp14:editId="50B492AE">
            <wp:extent cx="4781718" cy="18963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OH Injector.jpg"/>
                    <pic:cNvPicPr/>
                  </pic:nvPicPr>
                  <pic:blipFill>
                    <a:blip r:embed="rId14">
                      <a:extLst>
                        <a:ext uri="{28A0092B-C50C-407E-A947-70E740481C1C}">
                          <a14:useLocalDpi xmlns:a14="http://schemas.microsoft.com/office/drawing/2010/main" val="0"/>
                        </a:ext>
                      </a:extLst>
                    </a:blip>
                    <a:stretch>
                      <a:fillRect/>
                    </a:stretch>
                  </pic:blipFill>
                  <pic:spPr>
                    <a:xfrm>
                      <a:off x="0" y="0"/>
                      <a:ext cx="4823003" cy="1912745"/>
                    </a:xfrm>
                    <a:prstGeom prst="rect">
                      <a:avLst/>
                    </a:prstGeom>
                  </pic:spPr>
                </pic:pic>
              </a:graphicData>
            </a:graphic>
          </wp:inline>
        </w:drawing>
      </w:r>
    </w:p>
    <w:p w14:paraId="1BE95B8A" w14:textId="77777777" w:rsidR="008B7FAF" w:rsidRPr="00FA5F27" w:rsidRDefault="008B7FAF" w:rsidP="008B7FAF">
      <w:pPr>
        <w:overflowPunct/>
        <w:autoSpaceDE/>
        <w:autoSpaceDN/>
        <w:adjustRightInd/>
        <w:ind w:firstLine="567"/>
        <w:jc w:val="center"/>
        <w:textAlignment w:val="auto"/>
        <w:rPr>
          <w:noProof/>
          <w:sz w:val="18"/>
          <w:szCs w:val="18"/>
          <w:lang w:val="en-US"/>
        </w:rPr>
      </w:pPr>
    </w:p>
    <w:p w14:paraId="2D2146D8" w14:textId="4DD18E9B" w:rsidR="008B7FAF" w:rsidRDefault="008B7FAF" w:rsidP="008B7FAF">
      <w:pPr>
        <w:pStyle w:val="Caption"/>
        <w:spacing w:after="0"/>
        <w:jc w:val="center"/>
        <w:rPr>
          <w:i/>
          <w:iCs/>
          <w:szCs w:val="18"/>
        </w:rPr>
      </w:pPr>
      <w:r w:rsidRPr="008B7FAF">
        <w:rPr>
          <w:i/>
          <w:szCs w:val="18"/>
        </w:rPr>
        <w:t xml:space="preserve">FIG. </w:t>
      </w:r>
      <w:r w:rsidRPr="008B7FAF">
        <w:rPr>
          <w:b/>
          <w:i/>
          <w:szCs w:val="18"/>
        </w:rPr>
        <w:fldChar w:fldCharType="begin"/>
      </w:r>
      <w:r w:rsidRPr="008B7FAF">
        <w:rPr>
          <w:i/>
          <w:szCs w:val="18"/>
        </w:rPr>
        <w:instrText xml:space="preserve"> SEQ Figure \* ARABIC </w:instrText>
      </w:r>
      <w:r w:rsidRPr="008B7FAF">
        <w:rPr>
          <w:b/>
          <w:i/>
          <w:szCs w:val="18"/>
        </w:rPr>
        <w:fldChar w:fldCharType="separate"/>
      </w:r>
      <w:r w:rsidR="009D6880">
        <w:rPr>
          <w:i/>
          <w:noProof/>
          <w:szCs w:val="18"/>
        </w:rPr>
        <w:t>4</w:t>
      </w:r>
      <w:r w:rsidRPr="008B7FAF">
        <w:rPr>
          <w:b/>
          <w:i/>
          <w:szCs w:val="18"/>
        </w:rPr>
        <w:fldChar w:fldCharType="end"/>
      </w:r>
      <w:r w:rsidRPr="008B7FAF">
        <w:rPr>
          <w:i/>
          <w:szCs w:val="18"/>
        </w:rPr>
        <w:t xml:space="preserve">. </w:t>
      </w:r>
      <w:r w:rsidRPr="008B7FAF">
        <w:rPr>
          <w:i/>
          <w:color w:val="000000" w:themeColor="text1"/>
          <w:szCs w:val="18"/>
        </w:rPr>
        <w:t xml:space="preserve">NaOH </w:t>
      </w:r>
      <w:r>
        <w:rPr>
          <w:i/>
          <w:color w:val="000000" w:themeColor="text1"/>
          <w:szCs w:val="18"/>
        </w:rPr>
        <w:t>i</w:t>
      </w:r>
      <w:r w:rsidRPr="008B7FAF">
        <w:rPr>
          <w:i/>
          <w:color w:val="000000" w:themeColor="text1"/>
          <w:szCs w:val="18"/>
        </w:rPr>
        <w:t>njector</w:t>
      </w:r>
      <w:r w:rsidRPr="008B7FAF">
        <w:rPr>
          <w:i/>
          <w:iCs/>
          <w:szCs w:val="18"/>
        </w:rPr>
        <w:t xml:space="preserve"> for </w:t>
      </w:r>
      <w:r>
        <w:rPr>
          <w:i/>
          <w:iCs/>
          <w:szCs w:val="18"/>
        </w:rPr>
        <w:t>i</w:t>
      </w:r>
      <w:r w:rsidRPr="008B7FAF">
        <w:rPr>
          <w:i/>
          <w:iCs/>
          <w:szCs w:val="18"/>
        </w:rPr>
        <w:t xml:space="preserve">n-situ </w:t>
      </w:r>
      <w:r>
        <w:rPr>
          <w:i/>
          <w:iCs/>
          <w:szCs w:val="18"/>
        </w:rPr>
        <w:t>c</w:t>
      </w:r>
      <w:r w:rsidRPr="008B7FAF">
        <w:rPr>
          <w:i/>
          <w:iCs/>
          <w:szCs w:val="18"/>
        </w:rPr>
        <w:t>alibration of ISHM</w:t>
      </w:r>
      <w:r w:rsidR="00634267">
        <w:rPr>
          <w:i/>
          <w:iCs/>
          <w:szCs w:val="18"/>
        </w:rPr>
        <w:t>.</w:t>
      </w:r>
    </w:p>
    <w:p w14:paraId="3A33BFFB" w14:textId="005985BB" w:rsidR="00180B85" w:rsidRPr="0014329A" w:rsidRDefault="00180B85" w:rsidP="00180B85">
      <w:pPr>
        <w:pStyle w:val="Heading3"/>
      </w:pPr>
      <w:r>
        <w:rPr>
          <w:szCs w:val="24"/>
          <w:lang w:val="en-US"/>
        </w:rPr>
        <w:t>V</w:t>
      </w:r>
      <w:r w:rsidRPr="00DE0DA8">
        <w:rPr>
          <w:szCs w:val="24"/>
          <w:lang w:val="en-US"/>
        </w:rPr>
        <w:t xml:space="preserve">acuum manifold </w:t>
      </w:r>
      <w:r w:rsidRPr="00E22B66">
        <w:rPr>
          <w:color w:val="000000" w:themeColor="text1"/>
        </w:rPr>
        <w:t xml:space="preserve">and </w:t>
      </w:r>
      <w:r>
        <w:rPr>
          <w:color w:val="000000" w:themeColor="text1"/>
        </w:rPr>
        <w:t>h</w:t>
      </w:r>
      <w:r w:rsidRPr="00E22B66">
        <w:rPr>
          <w:color w:val="000000" w:themeColor="text1"/>
        </w:rPr>
        <w:t xml:space="preserve">ydrogen </w:t>
      </w:r>
      <w:r>
        <w:rPr>
          <w:color w:val="000000" w:themeColor="text1"/>
        </w:rPr>
        <w:t>m</w:t>
      </w:r>
      <w:r w:rsidRPr="00E22B66">
        <w:rPr>
          <w:color w:val="000000" w:themeColor="text1"/>
        </w:rPr>
        <w:t xml:space="preserve">easuring </w:t>
      </w:r>
      <w:r>
        <w:rPr>
          <w:color w:val="000000" w:themeColor="text1"/>
        </w:rPr>
        <w:t>s</w:t>
      </w:r>
      <w:r w:rsidRPr="00E22B66">
        <w:rPr>
          <w:color w:val="000000" w:themeColor="text1"/>
        </w:rPr>
        <w:t>ystem</w:t>
      </w:r>
    </w:p>
    <w:p w14:paraId="6E58DC91" w14:textId="7F66F435" w:rsidR="00180B85" w:rsidRPr="00180B85" w:rsidRDefault="00180B85" w:rsidP="00446D79">
      <w:pPr>
        <w:spacing w:line="260" w:lineRule="atLeast"/>
        <w:ind w:firstLineChars="245" w:firstLine="490"/>
        <w:jc w:val="both"/>
        <w:rPr>
          <w:kern w:val="1"/>
          <w:sz w:val="20"/>
        </w:rPr>
      </w:pPr>
      <w:r w:rsidRPr="00180B85">
        <w:rPr>
          <w:color w:val="000000" w:themeColor="text1"/>
          <w:sz w:val="20"/>
          <w:lang w:val="en-US"/>
        </w:rPr>
        <w:t xml:space="preserve">Both CGHM and ISHM use a similar vacuum manifold </w:t>
      </w:r>
      <w:r w:rsidRPr="00180B85">
        <w:rPr>
          <w:color w:val="000000" w:themeColor="text1"/>
          <w:sz w:val="20"/>
        </w:rPr>
        <w:t>and hydrogen measuring system</w:t>
      </w:r>
      <w:r w:rsidRPr="00180B85">
        <w:rPr>
          <w:color w:val="000000" w:themeColor="text1"/>
          <w:sz w:val="20"/>
          <w:lang w:val="en-US"/>
        </w:rPr>
        <w:t>, which consists of a vacuum manifold assembly, a nude ionization gauge (</w:t>
      </w:r>
      <w:r w:rsidRPr="00180B85">
        <w:rPr>
          <w:sz w:val="20"/>
        </w:rPr>
        <w:t>Agilent</w:t>
      </w:r>
      <w:r w:rsidRPr="00180B85">
        <w:rPr>
          <w:sz w:val="20"/>
          <w:vertAlign w:val="superscript"/>
        </w:rPr>
        <w:t>TM</w:t>
      </w:r>
      <w:r w:rsidRPr="00180B85">
        <w:rPr>
          <w:sz w:val="20"/>
        </w:rPr>
        <w:t xml:space="preserve"> UHV-24)</w:t>
      </w:r>
      <w:r w:rsidRPr="00180B85">
        <w:rPr>
          <w:color w:val="000000" w:themeColor="text1"/>
          <w:sz w:val="20"/>
          <w:lang w:val="en-US"/>
        </w:rPr>
        <w:t>, an ion pump (</w:t>
      </w:r>
      <w:r w:rsidRPr="00180B85">
        <w:rPr>
          <w:sz w:val="20"/>
        </w:rPr>
        <w:t>Agilent</w:t>
      </w:r>
      <w:r w:rsidRPr="00180B85">
        <w:rPr>
          <w:sz w:val="20"/>
          <w:vertAlign w:val="superscript"/>
        </w:rPr>
        <w:t>TM</w:t>
      </w:r>
      <w:r w:rsidRPr="00180B85">
        <w:rPr>
          <w:sz w:val="20"/>
        </w:rPr>
        <w:t xml:space="preserve"> VacIon)</w:t>
      </w:r>
      <w:r w:rsidRPr="00180B85">
        <w:rPr>
          <w:color w:val="000000" w:themeColor="text1"/>
          <w:sz w:val="20"/>
          <w:lang w:val="en-US"/>
        </w:rPr>
        <w:t>, an ion gauge controller (</w:t>
      </w:r>
      <w:r w:rsidRPr="00180B85">
        <w:rPr>
          <w:sz w:val="20"/>
        </w:rPr>
        <w:t>Agilent</w:t>
      </w:r>
      <w:r w:rsidRPr="00180B85">
        <w:rPr>
          <w:sz w:val="20"/>
          <w:vertAlign w:val="superscript"/>
        </w:rPr>
        <w:t>TM</w:t>
      </w:r>
      <w:r w:rsidRPr="00180B85">
        <w:rPr>
          <w:sz w:val="20"/>
        </w:rPr>
        <w:t xml:space="preserve"> XGS-600)</w:t>
      </w:r>
      <w:r w:rsidRPr="00180B85">
        <w:rPr>
          <w:color w:val="000000" w:themeColor="text1"/>
          <w:sz w:val="20"/>
          <w:lang w:val="en-US"/>
        </w:rPr>
        <w:t xml:space="preserve">, an ion-pump isolation valve, a </w:t>
      </w:r>
      <w:r w:rsidRPr="00180B85">
        <w:rPr>
          <w:color w:val="000000" w:themeColor="text1"/>
          <w:sz w:val="20"/>
        </w:rPr>
        <w:t xml:space="preserve">roughing pump, and </w:t>
      </w:r>
      <w:r w:rsidRPr="00180B85">
        <w:rPr>
          <w:color w:val="000000" w:themeColor="text1"/>
          <w:sz w:val="20"/>
          <w:lang w:val="en-US"/>
        </w:rPr>
        <w:t xml:space="preserve">a </w:t>
      </w:r>
      <w:r w:rsidRPr="00180B85">
        <w:rPr>
          <w:color w:val="000000" w:themeColor="text1"/>
          <w:sz w:val="20"/>
        </w:rPr>
        <w:t>roughing pump isolation valve. Figure 5 shows a photo of a vacuum</w:t>
      </w:r>
      <w:r w:rsidRPr="00180B85">
        <w:rPr>
          <w:color w:val="000000" w:themeColor="text1"/>
          <w:sz w:val="20"/>
          <w:lang w:val="en-US"/>
        </w:rPr>
        <w:t xml:space="preserve"> manifold </w:t>
      </w:r>
      <w:r w:rsidRPr="00180B85">
        <w:rPr>
          <w:color w:val="000000" w:themeColor="text1"/>
          <w:sz w:val="20"/>
        </w:rPr>
        <w:t>and hydrogen measuring system connected to a compact ISHM assembly.</w:t>
      </w:r>
      <w:r w:rsidR="00A8426D">
        <w:rPr>
          <w:color w:val="000000" w:themeColor="text1"/>
          <w:sz w:val="20"/>
        </w:rPr>
        <w:t xml:space="preserve"> </w:t>
      </w:r>
    </w:p>
    <w:p w14:paraId="6212A574" w14:textId="2F5BFE51" w:rsidR="00180B85" w:rsidRPr="002D2F40" w:rsidRDefault="00180B85" w:rsidP="00180B85">
      <w:pPr>
        <w:spacing w:before="120"/>
        <w:jc w:val="center"/>
        <w:rPr>
          <w:rFonts w:ascii="Arial" w:hAnsi="Arial" w:cs="Arial"/>
          <w:iCs/>
          <w:color w:val="FF0000"/>
        </w:rPr>
      </w:pPr>
      <w:r>
        <w:rPr>
          <w:rFonts w:ascii="Arial" w:hAnsi="Arial" w:cs="Arial"/>
          <w:iCs/>
          <w:noProof/>
          <w:color w:val="FF0000"/>
          <w:lang w:val="en-US"/>
        </w:rPr>
        <w:drawing>
          <wp:inline distT="0" distB="0" distL="0" distR="0" wp14:anchorId="77384463" wp14:editId="44A4776F">
            <wp:extent cx="3652005" cy="2779776"/>
            <wp:effectExtent l="0" t="0" r="571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acuum Manifold.jpg"/>
                    <pic:cNvPicPr/>
                  </pic:nvPicPr>
                  <pic:blipFill>
                    <a:blip r:embed="rId15"/>
                    <a:stretch>
                      <a:fillRect/>
                    </a:stretch>
                  </pic:blipFill>
                  <pic:spPr>
                    <a:xfrm>
                      <a:off x="0" y="0"/>
                      <a:ext cx="3652005" cy="2779776"/>
                    </a:xfrm>
                    <a:prstGeom prst="rect">
                      <a:avLst/>
                    </a:prstGeom>
                  </pic:spPr>
                </pic:pic>
              </a:graphicData>
            </a:graphic>
          </wp:inline>
        </w:drawing>
      </w:r>
    </w:p>
    <w:p w14:paraId="006239DF" w14:textId="77777777" w:rsidR="00180B85" w:rsidRPr="00FA5F27" w:rsidRDefault="00180B85" w:rsidP="00180B85">
      <w:pPr>
        <w:overflowPunct/>
        <w:autoSpaceDE/>
        <w:autoSpaceDN/>
        <w:adjustRightInd/>
        <w:ind w:firstLine="567"/>
        <w:jc w:val="center"/>
        <w:textAlignment w:val="auto"/>
        <w:rPr>
          <w:noProof/>
          <w:sz w:val="18"/>
          <w:szCs w:val="18"/>
          <w:lang w:val="en-US"/>
        </w:rPr>
      </w:pPr>
    </w:p>
    <w:p w14:paraId="086352A1" w14:textId="3BB90868" w:rsidR="00180B85" w:rsidRDefault="00180B85" w:rsidP="00313EC5">
      <w:pPr>
        <w:pStyle w:val="Caption"/>
        <w:spacing w:after="0"/>
        <w:jc w:val="center"/>
        <w:rPr>
          <w:i/>
          <w:iCs/>
          <w:szCs w:val="18"/>
        </w:rPr>
      </w:pPr>
      <w:r w:rsidRPr="00180B85">
        <w:rPr>
          <w:i/>
          <w:szCs w:val="18"/>
        </w:rPr>
        <w:t xml:space="preserve">FIG. </w:t>
      </w:r>
      <w:r w:rsidRPr="00180B85">
        <w:rPr>
          <w:b/>
          <w:i/>
          <w:szCs w:val="18"/>
        </w:rPr>
        <w:fldChar w:fldCharType="begin"/>
      </w:r>
      <w:r w:rsidRPr="00180B85">
        <w:rPr>
          <w:i/>
          <w:szCs w:val="18"/>
        </w:rPr>
        <w:instrText xml:space="preserve"> SEQ Figure \* ARABIC </w:instrText>
      </w:r>
      <w:r w:rsidRPr="00180B85">
        <w:rPr>
          <w:b/>
          <w:i/>
          <w:szCs w:val="18"/>
        </w:rPr>
        <w:fldChar w:fldCharType="separate"/>
      </w:r>
      <w:r w:rsidR="009D6880">
        <w:rPr>
          <w:i/>
          <w:noProof/>
          <w:szCs w:val="18"/>
        </w:rPr>
        <w:t>5</w:t>
      </w:r>
      <w:r w:rsidRPr="00180B85">
        <w:rPr>
          <w:b/>
          <w:i/>
          <w:szCs w:val="18"/>
        </w:rPr>
        <w:fldChar w:fldCharType="end"/>
      </w:r>
      <w:r w:rsidRPr="00180B85">
        <w:rPr>
          <w:i/>
          <w:szCs w:val="18"/>
        </w:rPr>
        <w:t xml:space="preserve">. </w:t>
      </w:r>
      <w:r w:rsidRPr="00180B85">
        <w:rPr>
          <w:i/>
          <w:iCs/>
          <w:szCs w:val="18"/>
        </w:rPr>
        <w:t>In-situ calibration of compact ISHM prototype</w:t>
      </w:r>
      <w:r>
        <w:rPr>
          <w:i/>
          <w:iCs/>
          <w:szCs w:val="18"/>
        </w:rPr>
        <w:t>.</w:t>
      </w:r>
    </w:p>
    <w:p w14:paraId="39920887" w14:textId="752D5F9B" w:rsidR="008578FF" w:rsidRPr="0014329A" w:rsidRDefault="00634267" w:rsidP="008578FF">
      <w:pPr>
        <w:pStyle w:val="Heading3"/>
      </w:pPr>
      <w:r>
        <w:rPr>
          <w:szCs w:val="24"/>
          <w:lang w:val="en-US"/>
        </w:rPr>
        <w:t>Control and display module</w:t>
      </w:r>
    </w:p>
    <w:p w14:paraId="325DFFE1" w14:textId="13E8B4A0" w:rsidR="008578FF" w:rsidRPr="008578FF" w:rsidRDefault="008578FF" w:rsidP="00446D79">
      <w:pPr>
        <w:spacing w:line="260" w:lineRule="atLeast"/>
        <w:ind w:firstLineChars="245" w:firstLine="490"/>
        <w:jc w:val="both"/>
        <w:rPr>
          <w:kern w:val="1"/>
          <w:sz w:val="20"/>
        </w:rPr>
      </w:pPr>
      <w:r w:rsidRPr="008578FF">
        <w:rPr>
          <w:color w:val="000000" w:themeColor="text1"/>
          <w:sz w:val="20"/>
        </w:rPr>
        <w:t xml:space="preserve">A control and display (C&amp;D) module, running on </w:t>
      </w:r>
      <w:r w:rsidR="00020664">
        <w:rPr>
          <w:color w:val="000000" w:themeColor="text1"/>
          <w:sz w:val="20"/>
        </w:rPr>
        <w:t xml:space="preserve">a </w:t>
      </w:r>
      <w:r w:rsidRPr="008578FF">
        <w:rPr>
          <w:color w:val="000000" w:themeColor="text1"/>
          <w:sz w:val="20"/>
        </w:rPr>
        <w:t>LabView</w:t>
      </w:r>
      <w:r w:rsidRPr="008578FF">
        <w:rPr>
          <w:color w:val="000000" w:themeColor="text1"/>
          <w:sz w:val="20"/>
          <w:vertAlign w:val="superscript"/>
        </w:rPr>
        <w:t>®</w:t>
      </w:r>
      <w:r w:rsidRPr="008578FF">
        <w:rPr>
          <w:color w:val="000000" w:themeColor="text1"/>
          <w:sz w:val="20"/>
        </w:rPr>
        <w:t xml:space="preserve"> platform, was developed to automate the performance evaluation of both CGHM and ISHM.</w:t>
      </w:r>
      <w:r w:rsidR="00A8426D">
        <w:rPr>
          <w:color w:val="000000" w:themeColor="text1"/>
          <w:sz w:val="20"/>
        </w:rPr>
        <w:t xml:space="preserve"> </w:t>
      </w:r>
      <w:r w:rsidRPr="008578FF">
        <w:rPr>
          <w:color w:val="000000" w:themeColor="text1"/>
          <w:sz w:val="20"/>
        </w:rPr>
        <w:t xml:space="preserve">The C&amp;D module is used to operate the pilot test facility and </w:t>
      </w:r>
      <w:r w:rsidRPr="008578FF">
        <w:rPr>
          <w:color w:val="000000" w:themeColor="text1"/>
          <w:sz w:val="20"/>
        </w:rPr>
        <w:lastRenderedPageBreak/>
        <w:t>to display pressures of ion gauge/pump and some critical operational information.</w:t>
      </w:r>
      <w:r w:rsidR="00A8426D">
        <w:rPr>
          <w:color w:val="000000" w:themeColor="text1"/>
          <w:sz w:val="20"/>
        </w:rPr>
        <w:t xml:space="preserve"> </w:t>
      </w:r>
      <w:r w:rsidRPr="008578FF">
        <w:rPr>
          <w:color w:val="000000" w:themeColor="text1"/>
          <w:sz w:val="20"/>
        </w:rPr>
        <w:t>Pressure change and pressure changing rate are measured and are converted to hydrogen concentration and concentration changing rate, which then can be correlated to water-leak rate and water-leak changing rate, respectively.</w:t>
      </w:r>
      <w:r w:rsidR="00A8426D">
        <w:rPr>
          <w:color w:val="000000" w:themeColor="text1"/>
          <w:sz w:val="20"/>
        </w:rPr>
        <w:t xml:space="preserve"> </w:t>
      </w:r>
      <w:r w:rsidRPr="008578FF">
        <w:rPr>
          <w:color w:val="000000" w:themeColor="text1"/>
          <w:sz w:val="20"/>
        </w:rPr>
        <w:t xml:space="preserve">Figure 6 shows an example of photo of the </w:t>
      </w:r>
      <w:r w:rsidR="005F2C17">
        <w:rPr>
          <w:color w:val="000000" w:themeColor="text1"/>
          <w:sz w:val="20"/>
        </w:rPr>
        <w:t>Graphical User Interface (</w:t>
      </w:r>
      <w:r w:rsidRPr="008578FF">
        <w:rPr>
          <w:color w:val="000000" w:themeColor="text1"/>
          <w:sz w:val="20"/>
        </w:rPr>
        <w:t>GUI</w:t>
      </w:r>
      <w:r w:rsidR="005F2C17">
        <w:rPr>
          <w:color w:val="000000" w:themeColor="text1"/>
          <w:sz w:val="20"/>
        </w:rPr>
        <w:t>)</w:t>
      </w:r>
      <w:r w:rsidRPr="008578FF">
        <w:rPr>
          <w:color w:val="000000" w:themeColor="text1"/>
          <w:sz w:val="20"/>
        </w:rPr>
        <w:t xml:space="preserve"> panel of the C&amp;D module for CGHM and ISHM tests.</w:t>
      </w:r>
      <w:r w:rsidR="00A8426D">
        <w:rPr>
          <w:color w:val="000000" w:themeColor="text1"/>
          <w:sz w:val="20"/>
        </w:rPr>
        <w:t xml:space="preserve"> </w:t>
      </w:r>
    </w:p>
    <w:p w14:paraId="16F17FF3" w14:textId="6175A34E" w:rsidR="008578FF" w:rsidRPr="00FA5F27" w:rsidRDefault="008578FF" w:rsidP="005B38AB">
      <w:pPr>
        <w:overflowPunct/>
        <w:autoSpaceDE/>
        <w:autoSpaceDN/>
        <w:adjustRightInd/>
        <w:spacing w:before="120"/>
        <w:ind w:firstLine="562"/>
        <w:jc w:val="center"/>
        <w:textAlignment w:val="auto"/>
        <w:rPr>
          <w:noProof/>
          <w:sz w:val="18"/>
          <w:szCs w:val="18"/>
          <w:lang w:val="en-US"/>
        </w:rPr>
      </w:pPr>
      <w:r w:rsidRPr="00484E27">
        <w:rPr>
          <w:rFonts w:ascii="Arial" w:hAnsi="Arial" w:cs="Arial"/>
          <w:iCs/>
          <w:noProof/>
          <w:color w:val="FF0000"/>
          <w:lang w:val="en-US"/>
        </w:rPr>
        <w:drawing>
          <wp:inline distT="0" distB="0" distL="0" distR="0" wp14:anchorId="7906DB66" wp14:editId="0A30AF79">
            <wp:extent cx="3657600" cy="2480378"/>
            <wp:effectExtent l="0" t="0" r="0" b="0"/>
            <wp:docPr id="4" name="Picture 3">
              <a:extLst xmlns:a="http://schemas.openxmlformats.org/drawingml/2006/main">
                <a:ext uri="{FF2B5EF4-FFF2-40B4-BE49-F238E27FC236}">
                  <a16:creationId xmlns:a16="http://schemas.microsoft.com/office/drawing/2014/main" id="{ADD26109-D5D3-5D41-BA7E-B57F4255FF9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DD26109-D5D3-5D41-BA7E-B57F4255FF96}"/>
                        </a:ext>
                      </a:extLst>
                    </pic:cNvPr>
                    <pic:cNvPicPr>
                      <a:picLocks noChangeAspect="1"/>
                    </pic:cNvPicPr>
                  </pic:nvPicPr>
                  <pic:blipFill rotWithShape="1">
                    <a:blip r:embed="rId16"/>
                    <a:srcRect r="5419"/>
                    <a:stretch/>
                  </pic:blipFill>
                  <pic:spPr>
                    <a:xfrm>
                      <a:off x="0" y="0"/>
                      <a:ext cx="3660055" cy="2482043"/>
                    </a:xfrm>
                    <a:prstGeom prst="rect">
                      <a:avLst/>
                    </a:prstGeom>
                  </pic:spPr>
                </pic:pic>
              </a:graphicData>
            </a:graphic>
          </wp:inline>
        </w:drawing>
      </w:r>
    </w:p>
    <w:p w14:paraId="160A325A" w14:textId="77777777" w:rsidR="008578FF" w:rsidRPr="00FA5F27" w:rsidRDefault="008578FF" w:rsidP="008578FF">
      <w:pPr>
        <w:overflowPunct/>
        <w:autoSpaceDE/>
        <w:autoSpaceDN/>
        <w:adjustRightInd/>
        <w:ind w:firstLine="567"/>
        <w:jc w:val="center"/>
        <w:textAlignment w:val="auto"/>
        <w:rPr>
          <w:noProof/>
          <w:sz w:val="18"/>
          <w:szCs w:val="18"/>
          <w:lang w:val="en-US"/>
        </w:rPr>
      </w:pPr>
    </w:p>
    <w:p w14:paraId="4809542F" w14:textId="6CB0FC5C" w:rsidR="008578FF" w:rsidRPr="008578FF" w:rsidRDefault="008578FF" w:rsidP="00313EC5">
      <w:pPr>
        <w:pStyle w:val="Caption"/>
        <w:spacing w:after="0"/>
        <w:jc w:val="center"/>
        <w:rPr>
          <w:b/>
          <w:i/>
          <w:iCs/>
          <w:szCs w:val="18"/>
        </w:rPr>
      </w:pPr>
      <w:r w:rsidRPr="008578FF">
        <w:rPr>
          <w:i/>
          <w:szCs w:val="18"/>
        </w:rPr>
        <w:t xml:space="preserve">FIG. </w:t>
      </w:r>
      <w:r w:rsidRPr="008578FF">
        <w:rPr>
          <w:b/>
          <w:i/>
          <w:szCs w:val="18"/>
        </w:rPr>
        <w:fldChar w:fldCharType="begin"/>
      </w:r>
      <w:r w:rsidRPr="008578FF">
        <w:rPr>
          <w:i/>
          <w:szCs w:val="18"/>
        </w:rPr>
        <w:instrText xml:space="preserve"> SEQ Figure \* ARABIC </w:instrText>
      </w:r>
      <w:r w:rsidRPr="008578FF">
        <w:rPr>
          <w:b/>
          <w:i/>
          <w:szCs w:val="18"/>
        </w:rPr>
        <w:fldChar w:fldCharType="separate"/>
      </w:r>
      <w:r w:rsidR="009D6880">
        <w:rPr>
          <w:i/>
          <w:noProof/>
          <w:szCs w:val="18"/>
        </w:rPr>
        <w:t>6</w:t>
      </w:r>
      <w:r w:rsidRPr="008578FF">
        <w:rPr>
          <w:b/>
          <w:i/>
          <w:szCs w:val="18"/>
        </w:rPr>
        <w:fldChar w:fldCharType="end"/>
      </w:r>
      <w:r w:rsidRPr="008578FF">
        <w:rPr>
          <w:i/>
          <w:szCs w:val="18"/>
        </w:rPr>
        <w:t xml:space="preserve">. GUI panel of </w:t>
      </w:r>
      <w:r w:rsidRPr="008578FF">
        <w:rPr>
          <w:i/>
          <w:color w:val="000000" w:themeColor="text1"/>
          <w:szCs w:val="18"/>
        </w:rPr>
        <w:t>control and display module</w:t>
      </w:r>
      <w:r>
        <w:rPr>
          <w:i/>
          <w:iCs/>
          <w:szCs w:val="18"/>
        </w:rPr>
        <w:t>.</w:t>
      </w:r>
    </w:p>
    <w:p w14:paraId="433FE053" w14:textId="70F873D7" w:rsidR="00EE0041" w:rsidRDefault="00444B06" w:rsidP="00892724">
      <w:pPr>
        <w:pStyle w:val="Heading2"/>
        <w:numPr>
          <w:ilvl w:val="1"/>
          <w:numId w:val="5"/>
        </w:numPr>
      </w:pPr>
      <w:r w:rsidRPr="00305813">
        <w:rPr>
          <w:szCs w:val="24"/>
          <w:lang w:val="en-US"/>
        </w:rPr>
        <w:t xml:space="preserve">Performance Evaluation of </w:t>
      </w:r>
      <w:r w:rsidRPr="00305813">
        <w:rPr>
          <w:iCs/>
          <w:szCs w:val="24"/>
        </w:rPr>
        <w:t>CGHM</w:t>
      </w:r>
      <w:r w:rsidR="00012B25">
        <w:rPr>
          <w:iCs/>
          <w:szCs w:val="24"/>
        </w:rPr>
        <w:t xml:space="preserve"> prototypes</w:t>
      </w:r>
    </w:p>
    <w:p w14:paraId="433FE054" w14:textId="0A514EEF" w:rsidR="00EE0041" w:rsidRDefault="00444B06" w:rsidP="00446D79">
      <w:pPr>
        <w:pStyle w:val="BodyText"/>
      </w:pPr>
      <w:r w:rsidRPr="009261BC">
        <w:rPr>
          <w:iCs/>
        </w:rPr>
        <w:t xml:space="preserve">A </w:t>
      </w:r>
      <w:r>
        <w:rPr>
          <w:iCs/>
        </w:rPr>
        <w:t xml:space="preserve">laboratory </w:t>
      </w:r>
      <w:r w:rsidRPr="009261BC">
        <w:rPr>
          <w:iCs/>
        </w:rPr>
        <w:t xml:space="preserve">test apparatus was constructed for </w:t>
      </w:r>
      <w:r>
        <w:rPr>
          <w:iCs/>
        </w:rPr>
        <w:t xml:space="preserve">CGHM </w:t>
      </w:r>
      <w:r w:rsidRPr="009261BC">
        <w:rPr>
          <w:iCs/>
        </w:rPr>
        <w:t>performance evaluation</w:t>
      </w:r>
      <w:r>
        <w:rPr>
          <w:iCs/>
        </w:rPr>
        <w:t>.</w:t>
      </w:r>
      <w:r w:rsidR="00A8426D">
        <w:rPr>
          <w:iCs/>
        </w:rPr>
        <w:t xml:space="preserve"> </w:t>
      </w:r>
      <w:r>
        <w:rPr>
          <w:iCs/>
        </w:rPr>
        <w:t xml:space="preserve">Two CGHM prototypes were tested </w:t>
      </w:r>
      <w:r w:rsidRPr="009261BC">
        <w:t>to determine</w:t>
      </w:r>
      <w:r w:rsidRPr="009261BC">
        <w:rPr>
          <w:iCs/>
        </w:rPr>
        <w:t xml:space="preserve"> </w:t>
      </w:r>
      <w:r>
        <w:rPr>
          <w:iCs/>
        </w:rPr>
        <w:t xml:space="preserve">their </w:t>
      </w:r>
      <w:r w:rsidRPr="009261BC">
        <w:rPr>
          <w:iCs/>
        </w:rPr>
        <w:t xml:space="preserve">sensitivity, response time, </w:t>
      </w:r>
      <w:r>
        <w:rPr>
          <w:iCs/>
        </w:rPr>
        <w:t xml:space="preserve">detection limits, </w:t>
      </w:r>
      <w:r w:rsidRPr="009261BC">
        <w:rPr>
          <w:iCs/>
        </w:rPr>
        <w:t>and reproducibility</w:t>
      </w:r>
      <w:r>
        <w:rPr>
          <w:iCs/>
        </w:rPr>
        <w:t xml:space="preserve"> [7]</w:t>
      </w:r>
      <w:r w:rsidR="008B6BB9">
        <w:t>.</w:t>
      </w:r>
    </w:p>
    <w:p w14:paraId="433FE055" w14:textId="14547D77" w:rsidR="008B6BB9" w:rsidRPr="00EE0041" w:rsidRDefault="006679E6" w:rsidP="006679E6">
      <w:pPr>
        <w:pStyle w:val="Heading3"/>
        <w:numPr>
          <w:ilvl w:val="0"/>
          <w:numId w:val="0"/>
        </w:numPr>
      </w:pPr>
      <w:r>
        <w:rPr>
          <w:lang w:val="en-US"/>
        </w:rPr>
        <w:t>3.1.</w:t>
      </w:r>
      <w:r>
        <w:rPr>
          <w:lang w:val="en-US"/>
        </w:rPr>
        <w:tab/>
      </w:r>
      <w:r w:rsidR="00444B06" w:rsidRPr="00192218">
        <w:rPr>
          <w:lang w:val="en-US"/>
        </w:rPr>
        <w:t xml:space="preserve">Test apparatus of </w:t>
      </w:r>
      <w:r w:rsidR="00634267">
        <w:rPr>
          <w:lang w:val="en-US"/>
        </w:rPr>
        <w:t>CG</w:t>
      </w:r>
      <w:r w:rsidR="00444B06" w:rsidRPr="00192218">
        <w:rPr>
          <w:iCs/>
        </w:rPr>
        <w:t>HM</w:t>
      </w:r>
      <w:r w:rsidR="00012B25" w:rsidRPr="00192218">
        <w:rPr>
          <w:iCs/>
        </w:rPr>
        <w:t xml:space="preserve"> </w:t>
      </w:r>
    </w:p>
    <w:p w14:paraId="6D0BE8FE" w14:textId="31F5D63E" w:rsidR="00444B06" w:rsidRDefault="00444B06" w:rsidP="00446D79">
      <w:pPr>
        <w:pStyle w:val="Authornameandaffiliation"/>
        <w:spacing w:line="260" w:lineRule="atLeast"/>
        <w:ind w:left="0" w:firstLineChars="283" w:firstLine="566"/>
        <w:jc w:val="both"/>
      </w:pPr>
      <w:r w:rsidRPr="009261BC">
        <w:t>The apparatus consists of a CGHM probe assembly, a test vessel, a vacuum and hydrogen measuring system, hydrogen injection system, and C&amp;D module</w:t>
      </w:r>
      <w:r w:rsidRPr="009261BC">
        <w:rPr>
          <w:iCs/>
        </w:rPr>
        <w:t>.</w:t>
      </w:r>
      <w:r w:rsidR="00A8426D">
        <w:rPr>
          <w:iCs/>
        </w:rPr>
        <w:t xml:space="preserve"> </w:t>
      </w:r>
      <w:r w:rsidRPr="009261BC">
        <w:t>Figure 7 shows a photo of the fully assembled CGHM test apparatus.</w:t>
      </w:r>
      <w:r w:rsidR="00A8426D">
        <w:t xml:space="preserve"> </w:t>
      </w:r>
      <w:r w:rsidRPr="009261BC">
        <w:rPr>
          <w:iCs/>
        </w:rPr>
        <w:t>A</w:t>
      </w:r>
      <w:r w:rsidRPr="009261BC">
        <w:t xml:space="preserve"> CGHM probe assembly is mounted inside the test vessel and connected with the vacuum and hydrogen measuring system.</w:t>
      </w:r>
      <w:r w:rsidR="00A8426D">
        <w:t xml:space="preserve"> </w:t>
      </w:r>
      <w:r w:rsidRPr="009261BC">
        <w:t xml:space="preserve">For performance evaluation, hydrogen/argon mixtures with designated hydrogen concentrations were fed into the test vessel, which was </w:t>
      </w:r>
      <w:r>
        <w:t>flushed</w:t>
      </w:r>
      <w:r w:rsidRPr="009261BC">
        <w:t xml:space="preserve"> after each test.</w:t>
      </w:r>
      <w:r w:rsidR="00A8426D">
        <w:t xml:space="preserve"> </w:t>
      </w:r>
      <w:r w:rsidRPr="009261BC">
        <w:t xml:space="preserve">The evaluation of </w:t>
      </w:r>
      <w:r w:rsidRPr="009261BC">
        <w:rPr>
          <w:i/>
        </w:rPr>
        <w:t xml:space="preserve">in-situ </w:t>
      </w:r>
      <w:r w:rsidRPr="009261BC">
        <w:t>calibration of the meter was also conducted</w:t>
      </w:r>
      <w:r>
        <w:t>.</w:t>
      </w:r>
    </w:p>
    <w:p w14:paraId="540D24C9" w14:textId="77777777" w:rsidR="00444B06" w:rsidRPr="00D92FBE" w:rsidRDefault="00444B06" w:rsidP="00444B06">
      <w:pPr>
        <w:spacing w:before="120"/>
        <w:jc w:val="center"/>
        <w:rPr>
          <w:iCs/>
          <w:color w:val="FF0000"/>
        </w:rPr>
      </w:pPr>
      <w:r>
        <w:rPr>
          <w:iCs/>
          <w:noProof/>
          <w:color w:val="FF0000"/>
          <w:lang w:val="en-US"/>
        </w:rPr>
        <w:drawing>
          <wp:inline distT="0" distB="0" distL="0" distR="0" wp14:anchorId="67E10CB4" wp14:editId="3FB1519F">
            <wp:extent cx="4572000" cy="258365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GHM Test Apparatus.jpg"/>
                    <pic:cNvPicPr/>
                  </pic:nvPicPr>
                  <pic:blipFill>
                    <a:blip r:embed="rId17"/>
                    <a:stretch>
                      <a:fillRect/>
                    </a:stretch>
                  </pic:blipFill>
                  <pic:spPr>
                    <a:xfrm>
                      <a:off x="0" y="0"/>
                      <a:ext cx="4572000" cy="2583657"/>
                    </a:xfrm>
                    <a:prstGeom prst="rect">
                      <a:avLst/>
                    </a:prstGeom>
                  </pic:spPr>
                </pic:pic>
              </a:graphicData>
            </a:graphic>
          </wp:inline>
        </w:drawing>
      </w:r>
    </w:p>
    <w:p w14:paraId="66A74DF3" w14:textId="77777777" w:rsidR="00444B06" w:rsidRPr="00FA5F27" w:rsidRDefault="00444B06" w:rsidP="00444B06">
      <w:pPr>
        <w:overflowPunct/>
        <w:autoSpaceDE/>
        <w:autoSpaceDN/>
        <w:adjustRightInd/>
        <w:ind w:firstLine="567"/>
        <w:jc w:val="center"/>
        <w:textAlignment w:val="auto"/>
        <w:rPr>
          <w:noProof/>
          <w:sz w:val="18"/>
          <w:szCs w:val="18"/>
          <w:lang w:val="en-US"/>
        </w:rPr>
      </w:pPr>
    </w:p>
    <w:p w14:paraId="174908BE" w14:textId="7E3DFD69" w:rsidR="00444B06" w:rsidRDefault="00444B06" w:rsidP="00313EC5">
      <w:pPr>
        <w:pStyle w:val="Caption"/>
        <w:spacing w:after="0"/>
        <w:jc w:val="center"/>
        <w:rPr>
          <w:i/>
          <w:szCs w:val="18"/>
        </w:rPr>
      </w:pPr>
      <w:r w:rsidRPr="00444B06">
        <w:rPr>
          <w:i/>
          <w:szCs w:val="18"/>
        </w:rPr>
        <w:t xml:space="preserve">FIG. </w:t>
      </w:r>
      <w:r w:rsidRPr="00444B06">
        <w:rPr>
          <w:b/>
          <w:i/>
          <w:szCs w:val="18"/>
        </w:rPr>
        <w:fldChar w:fldCharType="begin"/>
      </w:r>
      <w:r w:rsidRPr="00444B06">
        <w:rPr>
          <w:i/>
          <w:szCs w:val="18"/>
        </w:rPr>
        <w:instrText xml:space="preserve"> SEQ Figure \* ARABIC </w:instrText>
      </w:r>
      <w:r w:rsidRPr="00444B06">
        <w:rPr>
          <w:b/>
          <w:i/>
          <w:szCs w:val="18"/>
        </w:rPr>
        <w:fldChar w:fldCharType="separate"/>
      </w:r>
      <w:r w:rsidR="009D6880">
        <w:rPr>
          <w:i/>
          <w:noProof/>
          <w:szCs w:val="18"/>
        </w:rPr>
        <w:t>7</w:t>
      </w:r>
      <w:r w:rsidRPr="00444B06">
        <w:rPr>
          <w:b/>
          <w:i/>
          <w:szCs w:val="18"/>
        </w:rPr>
        <w:fldChar w:fldCharType="end"/>
      </w:r>
      <w:r w:rsidRPr="00444B06">
        <w:rPr>
          <w:i/>
          <w:szCs w:val="18"/>
        </w:rPr>
        <w:t xml:space="preserve">. Photo of CGHM </w:t>
      </w:r>
      <w:r>
        <w:rPr>
          <w:i/>
          <w:szCs w:val="18"/>
        </w:rPr>
        <w:t>t</w:t>
      </w:r>
      <w:r w:rsidRPr="00444B06">
        <w:rPr>
          <w:i/>
          <w:szCs w:val="18"/>
        </w:rPr>
        <w:t xml:space="preserve">est </w:t>
      </w:r>
      <w:r>
        <w:rPr>
          <w:i/>
          <w:szCs w:val="18"/>
        </w:rPr>
        <w:t>a</w:t>
      </w:r>
      <w:r w:rsidRPr="00444B06">
        <w:rPr>
          <w:i/>
          <w:szCs w:val="18"/>
        </w:rPr>
        <w:t>pparatu</w:t>
      </w:r>
      <w:r>
        <w:rPr>
          <w:i/>
          <w:szCs w:val="18"/>
        </w:rPr>
        <w:t>s.</w:t>
      </w:r>
    </w:p>
    <w:p w14:paraId="2E2DC267" w14:textId="45D0067D" w:rsidR="003F665F" w:rsidRPr="00EE0041" w:rsidRDefault="006679E6" w:rsidP="006679E6">
      <w:pPr>
        <w:pStyle w:val="Heading3"/>
        <w:numPr>
          <w:ilvl w:val="0"/>
          <w:numId w:val="0"/>
        </w:numPr>
      </w:pPr>
      <w:r>
        <w:rPr>
          <w:iCs/>
          <w:szCs w:val="24"/>
        </w:rPr>
        <w:lastRenderedPageBreak/>
        <w:t>3.2.</w:t>
      </w:r>
      <w:r>
        <w:rPr>
          <w:iCs/>
          <w:szCs w:val="24"/>
        </w:rPr>
        <w:tab/>
      </w:r>
      <w:r w:rsidR="003F665F" w:rsidRPr="001A4F69">
        <w:rPr>
          <w:iCs/>
          <w:szCs w:val="24"/>
        </w:rPr>
        <w:t xml:space="preserve">Test </w:t>
      </w:r>
      <w:r w:rsidR="003F665F">
        <w:rPr>
          <w:iCs/>
          <w:szCs w:val="24"/>
        </w:rPr>
        <w:t>r</w:t>
      </w:r>
      <w:r w:rsidR="003F665F" w:rsidRPr="001A4F69">
        <w:rPr>
          <w:iCs/>
          <w:szCs w:val="24"/>
        </w:rPr>
        <w:t xml:space="preserve">esults of CGHM </w:t>
      </w:r>
      <w:r w:rsidR="003F665F">
        <w:rPr>
          <w:iCs/>
          <w:szCs w:val="24"/>
        </w:rPr>
        <w:t>p</w:t>
      </w:r>
      <w:r w:rsidR="003F665F" w:rsidRPr="001A4F69">
        <w:rPr>
          <w:iCs/>
          <w:szCs w:val="24"/>
        </w:rPr>
        <w:t>rototypes</w:t>
      </w:r>
    </w:p>
    <w:p w14:paraId="2C87B446" w14:textId="11266028" w:rsidR="003F665F" w:rsidRDefault="003F665F" w:rsidP="00446D79">
      <w:pPr>
        <w:pStyle w:val="Authornameandaffiliation"/>
        <w:spacing w:line="260" w:lineRule="atLeast"/>
        <w:ind w:left="0" w:firstLineChars="283" w:firstLine="566"/>
        <w:jc w:val="both"/>
      </w:pPr>
      <w:r w:rsidRPr="00CB57A5">
        <w:t>Two CGHM prototypes were fabricated and tested. Two hydrogen measurement modes, dynamic and equilibrium, are conducted to determine hydrogen concentration.</w:t>
      </w:r>
      <w:r w:rsidR="00A8426D">
        <w:t xml:space="preserve"> </w:t>
      </w:r>
      <w:r w:rsidRPr="00CB57A5">
        <w:t xml:space="preserve">In general, the ion pump current reflects the hydrogen flux diffusing through the nickel membrane and thus it </w:t>
      </w:r>
      <w:r w:rsidR="00020664">
        <w:t xml:space="preserve">provides </w:t>
      </w:r>
      <w:r w:rsidRPr="00CB57A5">
        <w:t>a dynamic hydrogen measurement</w:t>
      </w:r>
      <w:r w:rsidR="00020664">
        <w:t xml:space="preserve"> mode capability</w:t>
      </w:r>
      <w:r w:rsidRPr="00CB57A5">
        <w:t>.</w:t>
      </w:r>
      <w:r w:rsidR="00A8426D">
        <w:t xml:space="preserve"> </w:t>
      </w:r>
      <w:r w:rsidRPr="00CB57A5">
        <w:t xml:space="preserve">The ionization gauge also gives </w:t>
      </w:r>
      <w:r w:rsidR="00020664">
        <w:t xml:space="preserve">a </w:t>
      </w:r>
      <w:r w:rsidRPr="00CB57A5">
        <w:t>measure of hydrogen pressure.</w:t>
      </w:r>
      <w:r w:rsidR="00A8426D">
        <w:t xml:space="preserve"> </w:t>
      </w:r>
      <w:r w:rsidRPr="00CB57A5">
        <w:t>If the ion pump is isolated, the ionization gauge gives an equilibrium mode measurement of hydrogen pressure, which represents the hydrogen partial pressure in cover gas or the hydrogen concentration in sodium.</w:t>
      </w:r>
      <w:r w:rsidR="00A8426D">
        <w:t xml:space="preserve"> </w:t>
      </w:r>
      <w:r w:rsidRPr="00CB57A5">
        <w:t>Detection sensitivity is therefore determined by the gauge sensitivity in detecting the pressure variation on the vacuum side of the membrane probe.</w:t>
      </w:r>
      <w:r w:rsidR="00A8426D">
        <w:t xml:space="preserve"> </w:t>
      </w:r>
      <w:r w:rsidRPr="00CB57A5">
        <w:t>The pressure variation depends on the amount of hydrogen gas flowing in the vacuum system per unit time, the pumping speed, and the outgassing from the gauges</w:t>
      </w:r>
      <w:r>
        <w:t>.</w:t>
      </w:r>
    </w:p>
    <w:p w14:paraId="433FE057" w14:textId="3ACD4B22" w:rsidR="00BD605C" w:rsidRPr="003F665F" w:rsidRDefault="006679E6" w:rsidP="006679E6">
      <w:pPr>
        <w:pStyle w:val="Heading4"/>
        <w:numPr>
          <w:ilvl w:val="0"/>
          <w:numId w:val="0"/>
        </w:numPr>
      </w:pPr>
      <w:bookmarkStart w:id="4" w:name="_Toc428715841"/>
      <w:r>
        <w:t>3.2.1.</w:t>
      </w:r>
      <w:r>
        <w:tab/>
      </w:r>
      <w:r w:rsidR="003F665F" w:rsidRPr="003F665F">
        <w:t xml:space="preserve">Dynamic </w:t>
      </w:r>
      <w:r w:rsidR="003F665F">
        <w:t>m</w:t>
      </w:r>
      <w:r w:rsidR="003F665F" w:rsidRPr="003F665F">
        <w:t>ode</w:t>
      </w:r>
      <w:bookmarkEnd w:id="4"/>
    </w:p>
    <w:p w14:paraId="433FE058" w14:textId="3C569D99" w:rsidR="00CF7AF3" w:rsidRPr="003F665F" w:rsidRDefault="003F665F" w:rsidP="00446D79">
      <w:pPr>
        <w:pStyle w:val="Authornameandaffiliation"/>
        <w:spacing w:line="260" w:lineRule="atLeast"/>
        <w:ind w:left="0" w:firstLineChars="283" w:firstLine="566"/>
        <w:jc w:val="both"/>
        <w:rPr>
          <w:lang w:val="en-GB"/>
        </w:rPr>
      </w:pPr>
      <w:r w:rsidRPr="003F665F">
        <w:t xml:space="preserve">The temperature of the nickel membrane is at </w:t>
      </w:r>
      <w:r w:rsidR="00885E24">
        <w:t>56</w:t>
      </w:r>
      <w:r w:rsidRPr="003F665F">
        <w:t>0</w:t>
      </w:r>
      <w:r w:rsidRPr="003F665F">
        <w:sym w:font="Symbol" w:char="F0B0"/>
      </w:r>
      <w:r w:rsidRPr="003F665F">
        <w:t>C and the test vessel is at 450</w:t>
      </w:r>
      <w:r w:rsidRPr="003F665F">
        <w:sym w:font="Symbol" w:char="F0B0"/>
      </w:r>
      <w:r w:rsidRPr="003F665F">
        <w:t>C.</w:t>
      </w:r>
      <w:r w:rsidR="00A8426D">
        <w:t xml:space="preserve"> </w:t>
      </w:r>
      <w:r w:rsidRPr="003F665F">
        <w:t xml:space="preserve">Figure 8 shows the </w:t>
      </w:r>
      <w:r w:rsidRPr="003F665F">
        <w:rPr>
          <w:bCs/>
        </w:rPr>
        <w:t>pressure changes of prototype #1 to different concentrations of hydrogen flowing into the test vessel in vacuum at flow rate</w:t>
      </w:r>
      <w:r w:rsidRPr="003F665F">
        <w:rPr>
          <w:b/>
          <w:bCs/>
        </w:rPr>
        <w:t>s</w:t>
      </w:r>
      <w:r w:rsidRPr="003F665F">
        <w:rPr>
          <w:bCs/>
        </w:rPr>
        <w:t xml:space="preserve"> of 500 and 1,000 sccm.</w:t>
      </w:r>
      <w:r w:rsidR="00A8426D">
        <w:rPr>
          <w:bCs/>
        </w:rPr>
        <w:t xml:space="preserve"> </w:t>
      </w:r>
      <w:r w:rsidRPr="003F665F">
        <w:rPr>
          <w:bCs/>
        </w:rPr>
        <w:t>The results indicate that the prototype is able to detect hydrogen as soon as a small hydrogen differential pressure between the internal and external of the nickel membrane is produced.</w:t>
      </w:r>
      <w:r w:rsidR="00A8426D">
        <w:rPr>
          <w:bCs/>
        </w:rPr>
        <w:t xml:space="preserve"> </w:t>
      </w:r>
      <w:r w:rsidRPr="003F665F">
        <w:rPr>
          <w:bCs/>
        </w:rPr>
        <w:t xml:space="preserve">The pressure change is used to determine the hydrogen concentration, i.e. how large is the steam/water leak of a SG; the rate of pressure change is an indication of </w:t>
      </w:r>
      <w:r w:rsidR="00020664">
        <w:rPr>
          <w:bCs/>
        </w:rPr>
        <w:t xml:space="preserve">the </w:t>
      </w:r>
      <w:r w:rsidRPr="003F665F">
        <w:rPr>
          <w:bCs/>
        </w:rPr>
        <w:t>steam/water leak changing rate.</w:t>
      </w:r>
      <w:r w:rsidR="00A8426D">
        <w:rPr>
          <w:bCs/>
        </w:rPr>
        <w:t xml:space="preserve"> </w:t>
      </w:r>
      <w:r w:rsidRPr="003F665F">
        <w:t xml:space="preserve">Figure 9 shows </w:t>
      </w:r>
      <w:r w:rsidR="00020664">
        <w:t xml:space="preserve">the </w:t>
      </w:r>
      <w:r w:rsidRPr="003F665F">
        <w:rPr>
          <w:bCs/>
        </w:rPr>
        <w:t>response of prototype #1 to different concentrations of hydrogen flow into the test vessel covered with argon at flow rate of 500 and 1,000 sccm</w:t>
      </w:r>
      <w:r w:rsidR="00D555A1" w:rsidRPr="003F665F">
        <w:rPr>
          <w:lang w:val="en-GB"/>
        </w:rPr>
        <w:t>.</w:t>
      </w:r>
    </w:p>
    <w:p w14:paraId="1BB9BD3E" w14:textId="540300E2" w:rsidR="00745EC0" w:rsidRPr="0064779F" w:rsidRDefault="00745EC0" w:rsidP="00745EC0">
      <w:pPr>
        <w:spacing w:before="120"/>
        <w:jc w:val="center"/>
        <w:rPr>
          <w:szCs w:val="24"/>
        </w:rPr>
      </w:pPr>
      <w:r w:rsidRPr="0064779F">
        <w:rPr>
          <w:bCs/>
          <w:noProof/>
          <w:szCs w:val="24"/>
          <w:lang w:val="en-US"/>
        </w:rPr>
        <w:drawing>
          <wp:inline distT="0" distB="0" distL="0" distR="0" wp14:anchorId="20C5BE06" wp14:editId="5D17B3F6">
            <wp:extent cx="2743200" cy="1828800"/>
            <wp:effectExtent l="0" t="0" r="0" b="0"/>
            <wp:docPr id="531" name="Picture 531" descr="Macintosh HD:Users:hchien:Desktop:Sensitivity Evaluation-500sccm vacuu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Macintosh HD:Users:hchien:Desktop:Sensitivity Evaluation-500sccm vacuum.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743200" cy="1828800"/>
                    </a:xfrm>
                    <a:prstGeom prst="rect">
                      <a:avLst/>
                    </a:prstGeom>
                    <a:noFill/>
                    <a:ln>
                      <a:noFill/>
                    </a:ln>
                    <a:extLst>
                      <a:ext uri="{53640926-AAD7-44d8-BBD7-CCE9431645EC}">
                        <a14:shadowObscured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A8426D">
        <w:rPr>
          <w:rFonts w:hint="eastAsia"/>
          <w:szCs w:val="24"/>
        </w:rPr>
        <w:t xml:space="preserve"> </w:t>
      </w:r>
      <w:r w:rsidRPr="0064779F">
        <w:rPr>
          <w:noProof/>
          <w:szCs w:val="24"/>
          <w:lang w:val="en-US"/>
        </w:rPr>
        <w:drawing>
          <wp:inline distT="0" distB="0" distL="0" distR="0" wp14:anchorId="715FBEA7" wp14:editId="01220827">
            <wp:extent cx="2743200" cy="1828800"/>
            <wp:effectExtent l="0" t="0" r="0" b="0"/>
            <wp:docPr id="532" name="Picture 532" descr="Macintosh HD:Users:hchien:Desktop:Sensitivity Evaluation-1000sccm vacuu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Macintosh HD:Users:hchien:Desktop:Sensitivity Evaluation-1000sccm vacuum.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743200" cy="1828800"/>
                    </a:xfrm>
                    <a:prstGeom prst="rect">
                      <a:avLst/>
                    </a:prstGeom>
                    <a:noFill/>
                    <a:ln>
                      <a:noFill/>
                    </a:ln>
                    <a:extLst>
                      <a:ext uri="{53640926-AAD7-44d8-BBD7-CCE9431645EC}">
                        <a14:shadowObscured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3A66CBD" w14:textId="77777777" w:rsidR="00745EC0" w:rsidRPr="00FA5F27" w:rsidRDefault="00745EC0" w:rsidP="00745EC0">
      <w:pPr>
        <w:overflowPunct/>
        <w:autoSpaceDE/>
        <w:autoSpaceDN/>
        <w:adjustRightInd/>
        <w:ind w:firstLine="567"/>
        <w:jc w:val="center"/>
        <w:textAlignment w:val="auto"/>
        <w:rPr>
          <w:noProof/>
          <w:sz w:val="18"/>
          <w:szCs w:val="18"/>
          <w:lang w:val="en-US"/>
        </w:rPr>
      </w:pPr>
      <w:bookmarkStart w:id="5" w:name="_Toc18071257"/>
    </w:p>
    <w:p w14:paraId="3F9DB8C2" w14:textId="7EB3D631" w:rsidR="00745EC0" w:rsidRPr="00745EC0" w:rsidRDefault="00745EC0" w:rsidP="001953C8">
      <w:pPr>
        <w:jc w:val="center"/>
        <w:rPr>
          <w:i/>
          <w:sz w:val="18"/>
          <w:szCs w:val="18"/>
        </w:rPr>
      </w:pPr>
      <w:r w:rsidRPr="00745EC0">
        <w:rPr>
          <w:i/>
          <w:sz w:val="18"/>
          <w:szCs w:val="18"/>
        </w:rPr>
        <w:t xml:space="preserve">FIG. </w:t>
      </w:r>
      <w:r w:rsidRPr="00745EC0">
        <w:rPr>
          <w:i/>
          <w:sz w:val="18"/>
          <w:szCs w:val="18"/>
        </w:rPr>
        <w:fldChar w:fldCharType="begin"/>
      </w:r>
      <w:r w:rsidRPr="00745EC0">
        <w:rPr>
          <w:i/>
          <w:sz w:val="18"/>
          <w:szCs w:val="18"/>
        </w:rPr>
        <w:instrText xml:space="preserve"> SEQ Figure \* ARABIC </w:instrText>
      </w:r>
      <w:r w:rsidRPr="00745EC0">
        <w:rPr>
          <w:i/>
          <w:sz w:val="18"/>
          <w:szCs w:val="18"/>
        </w:rPr>
        <w:fldChar w:fldCharType="separate"/>
      </w:r>
      <w:r w:rsidR="009D6880">
        <w:rPr>
          <w:i/>
          <w:noProof/>
          <w:sz w:val="18"/>
          <w:szCs w:val="18"/>
        </w:rPr>
        <w:t>8</w:t>
      </w:r>
      <w:r w:rsidRPr="00745EC0">
        <w:rPr>
          <w:i/>
          <w:sz w:val="18"/>
          <w:szCs w:val="18"/>
        </w:rPr>
        <w:fldChar w:fldCharType="end"/>
      </w:r>
      <w:r w:rsidRPr="00745EC0">
        <w:rPr>
          <w:i/>
          <w:sz w:val="18"/>
          <w:szCs w:val="18"/>
        </w:rPr>
        <w:t xml:space="preserve">. </w:t>
      </w:r>
      <w:r w:rsidRPr="00745EC0">
        <w:rPr>
          <w:bCs/>
          <w:i/>
          <w:sz w:val="18"/>
          <w:szCs w:val="18"/>
        </w:rPr>
        <w:t>Pressure changes to H</w:t>
      </w:r>
      <w:r w:rsidRPr="00745EC0">
        <w:rPr>
          <w:bCs/>
          <w:i/>
          <w:sz w:val="18"/>
          <w:szCs w:val="18"/>
          <w:vertAlign w:val="subscript"/>
        </w:rPr>
        <w:t>2</w:t>
      </w:r>
      <w:r w:rsidRPr="00745EC0">
        <w:rPr>
          <w:bCs/>
          <w:i/>
          <w:sz w:val="18"/>
          <w:szCs w:val="18"/>
        </w:rPr>
        <w:t xml:space="preserve"> </w:t>
      </w:r>
      <w:r>
        <w:rPr>
          <w:bCs/>
          <w:i/>
          <w:sz w:val="18"/>
          <w:szCs w:val="18"/>
        </w:rPr>
        <w:t>c</w:t>
      </w:r>
      <w:r w:rsidRPr="00745EC0">
        <w:rPr>
          <w:bCs/>
          <w:i/>
          <w:sz w:val="18"/>
          <w:szCs w:val="18"/>
        </w:rPr>
        <w:t xml:space="preserve">oncentrations in </w:t>
      </w:r>
      <w:r>
        <w:rPr>
          <w:bCs/>
          <w:i/>
          <w:sz w:val="18"/>
          <w:szCs w:val="18"/>
        </w:rPr>
        <w:t>v</w:t>
      </w:r>
      <w:r w:rsidRPr="00745EC0">
        <w:rPr>
          <w:bCs/>
          <w:i/>
          <w:sz w:val="18"/>
          <w:szCs w:val="18"/>
        </w:rPr>
        <w:t xml:space="preserve">acuum at </w:t>
      </w:r>
      <w:r>
        <w:rPr>
          <w:bCs/>
          <w:i/>
          <w:sz w:val="18"/>
          <w:szCs w:val="18"/>
        </w:rPr>
        <w:t>f</w:t>
      </w:r>
      <w:r w:rsidRPr="00745EC0">
        <w:rPr>
          <w:bCs/>
          <w:i/>
          <w:sz w:val="18"/>
          <w:szCs w:val="18"/>
        </w:rPr>
        <w:t xml:space="preserve">low </w:t>
      </w:r>
      <w:r>
        <w:rPr>
          <w:bCs/>
          <w:i/>
          <w:sz w:val="18"/>
          <w:szCs w:val="18"/>
        </w:rPr>
        <w:t>r</w:t>
      </w:r>
      <w:r w:rsidRPr="00745EC0">
        <w:rPr>
          <w:bCs/>
          <w:i/>
          <w:sz w:val="18"/>
          <w:szCs w:val="18"/>
        </w:rPr>
        <w:t>ates of 500 and 1,000 sccm.</w:t>
      </w:r>
      <w:bookmarkEnd w:id="5"/>
    </w:p>
    <w:p w14:paraId="359BCD1B" w14:textId="77777777" w:rsidR="001953C8" w:rsidRPr="00FA5F27" w:rsidRDefault="001953C8" w:rsidP="001953C8">
      <w:pPr>
        <w:overflowPunct/>
        <w:autoSpaceDE/>
        <w:autoSpaceDN/>
        <w:adjustRightInd/>
        <w:ind w:firstLine="567"/>
        <w:jc w:val="center"/>
        <w:textAlignment w:val="auto"/>
        <w:rPr>
          <w:noProof/>
          <w:sz w:val="18"/>
          <w:szCs w:val="18"/>
          <w:lang w:val="en-US"/>
        </w:rPr>
      </w:pPr>
    </w:p>
    <w:p w14:paraId="15B73A6D" w14:textId="1746EEE2" w:rsidR="001953C8" w:rsidRPr="0064779F" w:rsidRDefault="001953C8" w:rsidP="001953C8">
      <w:pPr>
        <w:spacing w:before="120"/>
        <w:jc w:val="center"/>
        <w:rPr>
          <w:szCs w:val="24"/>
        </w:rPr>
      </w:pPr>
      <w:r w:rsidRPr="0064779F">
        <w:rPr>
          <w:noProof/>
          <w:szCs w:val="24"/>
          <w:lang w:val="en-US"/>
        </w:rPr>
        <w:drawing>
          <wp:inline distT="0" distB="0" distL="0" distR="0" wp14:anchorId="5ECE207C" wp14:editId="24C11495">
            <wp:extent cx="2743200" cy="1828800"/>
            <wp:effectExtent l="0" t="0" r="0" b="0"/>
            <wp:docPr id="533" name="Picture 533" descr="Macintosh HD:Users:hchien:Desktop:Sensitivity Evaluation-500sccm ambien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Macintosh HD:Users:hchien:Desktop:Sensitivity Evaluation-500sccm ambient.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743200" cy="1828800"/>
                    </a:xfrm>
                    <a:prstGeom prst="rect">
                      <a:avLst/>
                    </a:prstGeom>
                    <a:noFill/>
                    <a:ln>
                      <a:noFill/>
                    </a:ln>
                    <a:extLst>
                      <a:ext uri="{53640926-AAD7-44d8-BBD7-CCE9431645EC}">
                        <a14:shadowObscured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A8426D">
        <w:rPr>
          <w:rFonts w:hint="eastAsia"/>
          <w:szCs w:val="24"/>
        </w:rPr>
        <w:t xml:space="preserve"> </w:t>
      </w:r>
      <w:r w:rsidRPr="0064779F">
        <w:rPr>
          <w:noProof/>
          <w:szCs w:val="24"/>
          <w:lang w:val="en-US"/>
        </w:rPr>
        <w:drawing>
          <wp:inline distT="0" distB="0" distL="0" distR="0" wp14:anchorId="1E3F624F" wp14:editId="00AB43CD">
            <wp:extent cx="2743200" cy="1828800"/>
            <wp:effectExtent l="0" t="0" r="0" b="0"/>
            <wp:docPr id="534" name="Picture 534" descr="Macintosh HD:Users:hchien:Desktop:Sensitivity Evaluation-1000sccm ambien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Macintosh HD:Users:hchien:Desktop:Sensitivity Evaluation-1000sccm ambient.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743200" cy="1828800"/>
                    </a:xfrm>
                    <a:prstGeom prst="rect">
                      <a:avLst/>
                    </a:prstGeom>
                    <a:noFill/>
                    <a:ln>
                      <a:noFill/>
                    </a:ln>
                    <a:extLst>
                      <a:ext uri="{53640926-AAD7-44d8-BBD7-CCE9431645EC}">
                        <a14:shadowObscured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504D1D8" w14:textId="77777777" w:rsidR="001953C8" w:rsidRPr="00FA5F27" w:rsidRDefault="001953C8" w:rsidP="001953C8">
      <w:pPr>
        <w:overflowPunct/>
        <w:autoSpaceDE/>
        <w:autoSpaceDN/>
        <w:adjustRightInd/>
        <w:ind w:firstLine="567"/>
        <w:jc w:val="center"/>
        <w:textAlignment w:val="auto"/>
        <w:rPr>
          <w:noProof/>
          <w:sz w:val="18"/>
          <w:szCs w:val="18"/>
          <w:lang w:val="en-US"/>
        </w:rPr>
      </w:pPr>
      <w:bookmarkStart w:id="6" w:name="_Toc18071259"/>
    </w:p>
    <w:p w14:paraId="3149299C" w14:textId="7245A8A2" w:rsidR="001953C8" w:rsidRPr="001953C8" w:rsidRDefault="001953C8" w:rsidP="003E1DCA">
      <w:pPr>
        <w:jc w:val="center"/>
        <w:rPr>
          <w:i/>
          <w:sz w:val="18"/>
          <w:szCs w:val="18"/>
        </w:rPr>
      </w:pPr>
      <w:r w:rsidRPr="001953C8">
        <w:rPr>
          <w:i/>
          <w:sz w:val="18"/>
          <w:szCs w:val="18"/>
        </w:rPr>
        <w:t xml:space="preserve">FIG. </w:t>
      </w:r>
      <w:r w:rsidRPr="001953C8">
        <w:rPr>
          <w:i/>
          <w:sz w:val="18"/>
          <w:szCs w:val="18"/>
        </w:rPr>
        <w:fldChar w:fldCharType="begin"/>
      </w:r>
      <w:r w:rsidRPr="001953C8">
        <w:rPr>
          <w:i/>
          <w:sz w:val="18"/>
          <w:szCs w:val="18"/>
        </w:rPr>
        <w:instrText xml:space="preserve"> SEQ Figure \* ARABIC </w:instrText>
      </w:r>
      <w:r w:rsidRPr="001953C8">
        <w:rPr>
          <w:i/>
          <w:sz w:val="18"/>
          <w:szCs w:val="18"/>
        </w:rPr>
        <w:fldChar w:fldCharType="separate"/>
      </w:r>
      <w:r w:rsidR="009D6880">
        <w:rPr>
          <w:i/>
          <w:noProof/>
          <w:sz w:val="18"/>
          <w:szCs w:val="18"/>
        </w:rPr>
        <w:t>9</w:t>
      </w:r>
      <w:r w:rsidRPr="001953C8">
        <w:rPr>
          <w:i/>
          <w:sz w:val="18"/>
          <w:szCs w:val="18"/>
        </w:rPr>
        <w:fldChar w:fldCharType="end"/>
      </w:r>
      <w:r w:rsidRPr="001953C8">
        <w:rPr>
          <w:i/>
          <w:sz w:val="18"/>
          <w:szCs w:val="18"/>
        </w:rPr>
        <w:t xml:space="preserve">. </w:t>
      </w:r>
      <w:r w:rsidRPr="001953C8">
        <w:rPr>
          <w:bCs/>
          <w:i/>
          <w:sz w:val="18"/>
          <w:szCs w:val="18"/>
        </w:rPr>
        <w:t xml:space="preserve">Pressure </w:t>
      </w:r>
      <w:r>
        <w:rPr>
          <w:bCs/>
          <w:i/>
          <w:sz w:val="18"/>
          <w:szCs w:val="18"/>
        </w:rPr>
        <w:t>c</w:t>
      </w:r>
      <w:r w:rsidRPr="001953C8">
        <w:rPr>
          <w:bCs/>
          <w:i/>
          <w:sz w:val="18"/>
          <w:szCs w:val="18"/>
        </w:rPr>
        <w:t>hanges to H</w:t>
      </w:r>
      <w:r w:rsidRPr="001953C8">
        <w:rPr>
          <w:bCs/>
          <w:i/>
          <w:sz w:val="18"/>
          <w:szCs w:val="18"/>
          <w:vertAlign w:val="subscript"/>
        </w:rPr>
        <w:t>2</w:t>
      </w:r>
      <w:r w:rsidRPr="001953C8">
        <w:rPr>
          <w:bCs/>
          <w:i/>
          <w:sz w:val="18"/>
          <w:szCs w:val="18"/>
        </w:rPr>
        <w:t xml:space="preserve"> </w:t>
      </w:r>
      <w:r>
        <w:rPr>
          <w:bCs/>
          <w:i/>
          <w:sz w:val="18"/>
          <w:szCs w:val="18"/>
        </w:rPr>
        <w:t>c</w:t>
      </w:r>
      <w:r w:rsidRPr="001953C8">
        <w:rPr>
          <w:bCs/>
          <w:i/>
          <w:sz w:val="18"/>
          <w:szCs w:val="18"/>
        </w:rPr>
        <w:t xml:space="preserve">oncentrations in </w:t>
      </w:r>
      <w:r>
        <w:rPr>
          <w:bCs/>
          <w:i/>
          <w:sz w:val="18"/>
          <w:szCs w:val="18"/>
        </w:rPr>
        <w:t>a</w:t>
      </w:r>
      <w:r w:rsidRPr="001953C8">
        <w:rPr>
          <w:bCs/>
          <w:i/>
          <w:sz w:val="18"/>
          <w:szCs w:val="18"/>
        </w:rPr>
        <w:t xml:space="preserve">rgon at </w:t>
      </w:r>
      <w:r>
        <w:rPr>
          <w:bCs/>
          <w:i/>
          <w:sz w:val="18"/>
          <w:szCs w:val="18"/>
        </w:rPr>
        <w:t>f</w:t>
      </w:r>
      <w:r w:rsidRPr="001953C8">
        <w:rPr>
          <w:bCs/>
          <w:i/>
          <w:sz w:val="18"/>
          <w:szCs w:val="18"/>
        </w:rPr>
        <w:t xml:space="preserve">low </w:t>
      </w:r>
      <w:r>
        <w:rPr>
          <w:bCs/>
          <w:i/>
          <w:sz w:val="18"/>
          <w:szCs w:val="18"/>
        </w:rPr>
        <w:t>r</w:t>
      </w:r>
      <w:r w:rsidRPr="001953C8">
        <w:rPr>
          <w:bCs/>
          <w:i/>
          <w:sz w:val="18"/>
          <w:szCs w:val="18"/>
        </w:rPr>
        <w:t>ates of 500 and 1,000 sccm.</w:t>
      </w:r>
      <w:bookmarkEnd w:id="6"/>
    </w:p>
    <w:p w14:paraId="65819A10" w14:textId="77777777" w:rsidR="003F665F" w:rsidRPr="001953C8" w:rsidRDefault="003F665F" w:rsidP="003F665F">
      <w:pPr>
        <w:overflowPunct/>
        <w:autoSpaceDE/>
        <w:autoSpaceDN/>
        <w:adjustRightInd/>
        <w:ind w:firstLine="567"/>
        <w:jc w:val="center"/>
        <w:textAlignment w:val="auto"/>
        <w:rPr>
          <w:noProof/>
          <w:sz w:val="18"/>
          <w:szCs w:val="18"/>
        </w:rPr>
      </w:pPr>
    </w:p>
    <w:p w14:paraId="20B5FE44" w14:textId="6BE26F69" w:rsidR="003F665F" w:rsidRDefault="003E1DCA" w:rsidP="00446D79">
      <w:pPr>
        <w:pStyle w:val="Authornameandaffiliation"/>
        <w:spacing w:line="260" w:lineRule="atLeast"/>
        <w:ind w:left="0" w:firstLineChars="270" w:firstLine="540"/>
        <w:jc w:val="both"/>
        <w:rPr>
          <w:bCs/>
          <w:szCs w:val="24"/>
        </w:rPr>
      </w:pPr>
      <w:r w:rsidRPr="00DE7D81">
        <w:rPr>
          <w:szCs w:val="24"/>
        </w:rPr>
        <w:t>Figure 1</w:t>
      </w:r>
      <w:r>
        <w:rPr>
          <w:szCs w:val="24"/>
        </w:rPr>
        <w:t>0</w:t>
      </w:r>
      <w:r w:rsidRPr="00DE7D81">
        <w:rPr>
          <w:szCs w:val="24"/>
        </w:rPr>
        <w:t xml:space="preserve"> shows the r</w:t>
      </w:r>
      <w:r w:rsidRPr="00DE7D81">
        <w:rPr>
          <w:bCs/>
          <w:szCs w:val="24"/>
        </w:rPr>
        <w:t>esponse time and slope, i.e. pressure chang</w:t>
      </w:r>
      <w:r w:rsidR="001B1ED8">
        <w:rPr>
          <w:bCs/>
          <w:szCs w:val="24"/>
        </w:rPr>
        <w:t>e</w:t>
      </w:r>
      <w:r w:rsidRPr="00DE7D81">
        <w:rPr>
          <w:bCs/>
          <w:szCs w:val="24"/>
        </w:rPr>
        <w:t xml:space="preserve"> rate, of prototype #1 to different </w:t>
      </w:r>
      <w:r w:rsidRPr="00DE7D81">
        <w:rPr>
          <w:szCs w:val="24"/>
        </w:rPr>
        <w:t>H</w:t>
      </w:r>
      <w:r w:rsidRPr="00DE7D81">
        <w:rPr>
          <w:szCs w:val="24"/>
          <w:vertAlign w:val="subscript"/>
        </w:rPr>
        <w:t>2</w:t>
      </w:r>
      <w:r w:rsidRPr="00DE7D81">
        <w:rPr>
          <w:szCs w:val="24"/>
        </w:rPr>
        <w:t xml:space="preserve">/Ar mixture flowing into the test vessel covered with vacuum and argon </w:t>
      </w:r>
      <w:r w:rsidRPr="00DE7D81">
        <w:rPr>
          <w:bCs/>
          <w:szCs w:val="24"/>
        </w:rPr>
        <w:t>at different flow rates.</w:t>
      </w:r>
      <w:r w:rsidR="00A8426D">
        <w:rPr>
          <w:bCs/>
          <w:szCs w:val="24"/>
        </w:rPr>
        <w:t xml:space="preserve"> </w:t>
      </w:r>
      <w:r w:rsidR="001B1ED8">
        <w:rPr>
          <w:bCs/>
          <w:szCs w:val="24"/>
        </w:rPr>
        <w:t xml:space="preserve"> Increasing flowrate or </w:t>
      </w:r>
      <w:r w:rsidRPr="00DE7D81">
        <w:rPr>
          <w:bCs/>
          <w:szCs w:val="24"/>
        </w:rPr>
        <w:t xml:space="preserve">hydrogen concentration </w:t>
      </w:r>
      <w:r w:rsidR="001B1ED8">
        <w:rPr>
          <w:bCs/>
          <w:szCs w:val="24"/>
        </w:rPr>
        <w:t xml:space="preserve">both induce </w:t>
      </w:r>
      <w:r w:rsidRPr="00DE7D81">
        <w:rPr>
          <w:bCs/>
          <w:szCs w:val="24"/>
        </w:rPr>
        <w:t xml:space="preserve">a higher </w:t>
      </w:r>
      <w:r w:rsidR="001B1ED8">
        <w:rPr>
          <w:bCs/>
          <w:szCs w:val="24"/>
        </w:rPr>
        <w:t xml:space="preserve">overall </w:t>
      </w:r>
      <w:r w:rsidRPr="00DE7D81">
        <w:rPr>
          <w:bCs/>
          <w:szCs w:val="24"/>
        </w:rPr>
        <w:t>pressure change as well as a higher pressure changing rate.</w:t>
      </w:r>
      <w:r w:rsidR="00A8426D">
        <w:rPr>
          <w:bCs/>
          <w:szCs w:val="24"/>
        </w:rPr>
        <w:t xml:space="preserve"> </w:t>
      </w:r>
      <w:r w:rsidRPr="00DE7D81">
        <w:rPr>
          <w:bCs/>
          <w:szCs w:val="24"/>
        </w:rPr>
        <w:lastRenderedPageBreak/>
        <w:t>The response time is faster for gas mixtures flowing into vacuum than into argon cover gas.</w:t>
      </w:r>
      <w:r w:rsidR="00A8426D">
        <w:rPr>
          <w:bCs/>
          <w:szCs w:val="24"/>
        </w:rPr>
        <w:t xml:space="preserve"> </w:t>
      </w:r>
      <w:r w:rsidRPr="00DE7D81">
        <w:rPr>
          <w:bCs/>
          <w:szCs w:val="24"/>
        </w:rPr>
        <w:t>The slope is larger for higher flow rates, as well as for flowing into argon cover gas</w:t>
      </w:r>
      <w:r>
        <w:rPr>
          <w:bCs/>
          <w:szCs w:val="24"/>
        </w:rPr>
        <w:t>.</w:t>
      </w:r>
    </w:p>
    <w:p w14:paraId="79B274C4" w14:textId="79927C3C" w:rsidR="003E1DCA" w:rsidRPr="00DE7D81" w:rsidRDefault="003E1DCA" w:rsidP="003E1DCA">
      <w:pPr>
        <w:spacing w:before="120"/>
        <w:jc w:val="center"/>
        <w:rPr>
          <w:szCs w:val="24"/>
        </w:rPr>
      </w:pPr>
      <w:r w:rsidRPr="00DE7D81">
        <w:rPr>
          <w:noProof/>
          <w:szCs w:val="24"/>
          <w:lang w:val="en-US"/>
        </w:rPr>
        <w:drawing>
          <wp:inline distT="0" distB="0" distL="0" distR="0" wp14:anchorId="38F4F0EC" wp14:editId="27CB5897">
            <wp:extent cx="2743200" cy="1828800"/>
            <wp:effectExtent l="0" t="0" r="0" b="0"/>
            <wp:docPr id="535" name="Picture 535" descr="Macintosh HD:Users:hchien:Desktop:Response Time to H2 Concentra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Macintosh HD:Users:hchien:Desktop:Response Time to H2 Concentration.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743200" cy="1828800"/>
                    </a:xfrm>
                    <a:prstGeom prst="rect">
                      <a:avLst/>
                    </a:prstGeom>
                    <a:noFill/>
                    <a:ln>
                      <a:noFill/>
                    </a:ln>
                    <a:extLst>
                      <a:ext uri="{53640926-AAD7-44d8-BBD7-CCE9431645EC}">
                        <a14:shadowObscured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A8426D">
        <w:rPr>
          <w:rFonts w:hint="eastAsia"/>
          <w:szCs w:val="24"/>
        </w:rPr>
        <w:t xml:space="preserve"> </w:t>
      </w:r>
      <w:r w:rsidRPr="00DE7D81">
        <w:rPr>
          <w:noProof/>
          <w:szCs w:val="24"/>
          <w:lang w:val="en-US"/>
        </w:rPr>
        <w:drawing>
          <wp:inline distT="0" distB="0" distL="0" distR="0" wp14:anchorId="3F125DF1" wp14:editId="3EAAAC29">
            <wp:extent cx="2743200" cy="1828800"/>
            <wp:effectExtent l="0" t="0" r="0" b="0"/>
            <wp:docPr id="536" name="Picture 536" descr="Macintosh HD:Users:hchien:Desktop:Pressure-Time Slope to H2 Concentra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Macintosh HD:Users:hchien:Desktop:Pressure-Time Slope to H2 Concentration.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743200" cy="1828800"/>
                    </a:xfrm>
                    <a:prstGeom prst="rect">
                      <a:avLst/>
                    </a:prstGeom>
                    <a:noFill/>
                    <a:ln>
                      <a:noFill/>
                    </a:ln>
                    <a:extLst>
                      <a:ext uri="{53640926-AAD7-44d8-BBD7-CCE9431645EC}">
                        <a14:shadowObscured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A428A24" w14:textId="77777777" w:rsidR="003E1DCA" w:rsidRPr="00FA5F27" w:rsidRDefault="003E1DCA" w:rsidP="003E1DCA">
      <w:pPr>
        <w:overflowPunct/>
        <w:autoSpaceDE/>
        <w:autoSpaceDN/>
        <w:adjustRightInd/>
        <w:ind w:firstLine="567"/>
        <w:jc w:val="center"/>
        <w:textAlignment w:val="auto"/>
        <w:rPr>
          <w:noProof/>
          <w:sz w:val="18"/>
          <w:szCs w:val="18"/>
          <w:lang w:val="en-US"/>
        </w:rPr>
      </w:pPr>
      <w:bookmarkStart w:id="7" w:name="_Toc18071261"/>
    </w:p>
    <w:p w14:paraId="4E367D08" w14:textId="2CC867A2" w:rsidR="003E1DCA" w:rsidRPr="003E1DCA" w:rsidRDefault="003E1DCA" w:rsidP="00313EC5">
      <w:pPr>
        <w:jc w:val="center"/>
        <w:rPr>
          <w:bCs/>
          <w:i/>
          <w:sz w:val="18"/>
          <w:szCs w:val="18"/>
        </w:rPr>
      </w:pPr>
      <w:r w:rsidRPr="003E1DCA">
        <w:rPr>
          <w:i/>
          <w:sz w:val="18"/>
          <w:szCs w:val="18"/>
        </w:rPr>
        <w:t xml:space="preserve">Figure </w:t>
      </w:r>
      <w:r w:rsidRPr="003E1DCA">
        <w:rPr>
          <w:i/>
          <w:sz w:val="18"/>
          <w:szCs w:val="18"/>
        </w:rPr>
        <w:fldChar w:fldCharType="begin"/>
      </w:r>
      <w:r w:rsidRPr="003E1DCA">
        <w:rPr>
          <w:i/>
          <w:sz w:val="18"/>
          <w:szCs w:val="18"/>
        </w:rPr>
        <w:instrText xml:space="preserve"> SEQ Figure \* ARABIC </w:instrText>
      </w:r>
      <w:r w:rsidRPr="003E1DCA">
        <w:rPr>
          <w:i/>
          <w:sz w:val="18"/>
          <w:szCs w:val="18"/>
        </w:rPr>
        <w:fldChar w:fldCharType="separate"/>
      </w:r>
      <w:r w:rsidR="009D6880">
        <w:rPr>
          <w:i/>
          <w:noProof/>
          <w:sz w:val="18"/>
          <w:szCs w:val="18"/>
        </w:rPr>
        <w:t>10</w:t>
      </w:r>
      <w:r w:rsidRPr="003E1DCA">
        <w:rPr>
          <w:i/>
          <w:sz w:val="18"/>
          <w:szCs w:val="18"/>
        </w:rPr>
        <w:fldChar w:fldCharType="end"/>
      </w:r>
      <w:r w:rsidRPr="003E1DCA">
        <w:rPr>
          <w:i/>
          <w:sz w:val="18"/>
          <w:szCs w:val="18"/>
        </w:rPr>
        <w:t xml:space="preserve">. </w:t>
      </w:r>
      <w:r w:rsidR="00634267">
        <w:rPr>
          <w:bCs/>
          <w:i/>
          <w:sz w:val="18"/>
          <w:szCs w:val="18"/>
        </w:rPr>
        <w:t>R</w:t>
      </w:r>
      <w:r w:rsidRPr="003E1DCA">
        <w:rPr>
          <w:bCs/>
          <w:i/>
          <w:sz w:val="18"/>
          <w:szCs w:val="18"/>
        </w:rPr>
        <w:t xml:space="preserve">esponse </w:t>
      </w:r>
      <w:r>
        <w:rPr>
          <w:bCs/>
          <w:i/>
          <w:sz w:val="18"/>
          <w:szCs w:val="18"/>
        </w:rPr>
        <w:t>t</w:t>
      </w:r>
      <w:r w:rsidRPr="003E1DCA">
        <w:rPr>
          <w:bCs/>
          <w:i/>
          <w:sz w:val="18"/>
          <w:szCs w:val="18"/>
        </w:rPr>
        <w:t xml:space="preserve">ime and </w:t>
      </w:r>
      <w:r>
        <w:rPr>
          <w:bCs/>
          <w:i/>
          <w:sz w:val="18"/>
          <w:szCs w:val="18"/>
        </w:rPr>
        <w:t>s</w:t>
      </w:r>
      <w:r w:rsidRPr="003E1DCA">
        <w:rPr>
          <w:bCs/>
          <w:i/>
          <w:sz w:val="18"/>
          <w:szCs w:val="18"/>
        </w:rPr>
        <w:t>lope to H</w:t>
      </w:r>
      <w:r w:rsidRPr="003E1DCA">
        <w:rPr>
          <w:bCs/>
          <w:i/>
          <w:sz w:val="18"/>
          <w:szCs w:val="18"/>
          <w:vertAlign w:val="subscript"/>
        </w:rPr>
        <w:t>2</w:t>
      </w:r>
      <w:r w:rsidRPr="003E1DCA">
        <w:rPr>
          <w:bCs/>
          <w:i/>
          <w:sz w:val="18"/>
          <w:szCs w:val="18"/>
        </w:rPr>
        <w:t xml:space="preserve"> </w:t>
      </w:r>
      <w:r>
        <w:rPr>
          <w:bCs/>
          <w:i/>
          <w:sz w:val="18"/>
          <w:szCs w:val="18"/>
        </w:rPr>
        <w:t>c</w:t>
      </w:r>
      <w:r w:rsidRPr="003E1DCA">
        <w:rPr>
          <w:bCs/>
          <w:i/>
          <w:sz w:val="18"/>
          <w:szCs w:val="18"/>
        </w:rPr>
        <w:t xml:space="preserve">oncentrations at </w:t>
      </w:r>
      <w:r>
        <w:rPr>
          <w:bCs/>
          <w:i/>
          <w:sz w:val="18"/>
          <w:szCs w:val="18"/>
        </w:rPr>
        <w:t>f</w:t>
      </w:r>
      <w:r w:rsidRPr="003E1DCA">
        <w:rPr>
          <w:bCs/>
          <w:i/>
          <w:sz w:val="18"/>
          <w:szCs w:val="18"/>
        </w:rPr>
        <w:t xml:space="preserve">low </w:t>
      </w:r>
      <w:r>
        <w:rPr>
          <w:bCs/>
          <w:i/>
          <w:sz w:val="18"/>
          <w:szCs w:val="18"/>
        </w:rPr>
        <w:t>r</w:t>
      </w:r>
      <w:r w:rsidRPr="003E1DCA">
        <w:rPr>
          <w:bCs/>
          <w:i/>
          <w:sz w:val="18"/>
          <w:szCs w:val="18"/>
        </w:rPr>
        <w:t>ates of 500 and 1,000 sccm.</w:t>
      </w:r>
      <w:bookmarkEnd w:id="7"/>
    </w:p>
    <w:p w14:paraId="7D614B93" w14:textId="77777777" w:rsidR="00313EC5" w:rsidRPr="001953C8" w:rsidRDefault="00313EC5" w:rsidP="00313EC5">
      <w:pPr>
        <w:overflowPunct/>
        <w:autoSpaceDE/>
        <w:autoSpaceDN/>
        <w:adjustRightInd/>
        <w:ind w:firstLine="567"/>
        <w:jc w:val="center"/>
        <w:textAlignment w:val="auto"/>
        <w:rPr>
          <w:noProof/>
          <w:sz w:val="18"/>
          <w:szCs w:val="18"/>
        </w:rPr>
      </w:pPr>
    </w:p>
    <w:p w14:paraId="1B67700E" w14:textId="453CE056" w:rsidR="003E1DCA" w:rsidRPr="003E1DCA" w:rsidRDefault="003E1DCA" w:rsidP="00446D79">
      <w:pPr>
        <w:spacing w:line="260" w:lineRule="atLeast"/>
        <w:ind w:firstLineChars="270" w:firstLine="540"/>
        <w:jc w:val="both"/>
        <w:rPr>
          <w:sz w:val="20"/>
        </w:rPr>
      </w:pPr>
      <w:r w:rsidRPr="003E1DCA">
        <w:rPr>
          <w:sz w:val="20"/>
        </w:rPr>
        <w:t>Hydrogen concentrations were systematically stepped up and down to investigate the pressure changes associated with different hydrogen concentrations.</w:t>
      </w:r>
      <w:r w:rsidR="00A8426D">
        <w:rPr>
          <w:sz w:val="20"/>
        </w:rPr>
        <w:t xml:space="preserve"> </w:t>
      </w:r>
      <w:r w:rsidRPr="003E1DCA">
        <w:rPr>
          <w:sz w:val="20"/>
        </w:rPr>
        <w:t>Figure 11 shows the results of tests of hydrogen concentrations stepping up and down from 2 ppm to 100 ppm for prototype #1.</w:t>
      </w:r>
      <w:r w:rsidR="00A8426D">
        <w:rPr>
          <w:sz w:val="20"/>
        </w:rPr>
        <w:t xml:space="preserve"> </w:t>
      </w:r>
      <w:r w:rsidRPr="003E1DCA">
        <w:rPr>
          <w:sz w:val="20"/>
        </w:rPr>
        <w:t>Both show fast response time and larger slope for higher hydrogen concentration.</w:t>
      </w:r>
      <w:r w:rsidR="00A8426D">
        <w:rPr>
          <w:sz w:val="20"/>
        </w:rPr>
        <w:t xml:space="preserve"> </w:t>
      </w:r>
    </w:p>
    <w:p w14:paraId="6A427BE3" w14:textId="35330E53" w:rsidR="003E1DCA" w:rsidRPr="007D3C12" w:rsidRDefault="003E1DCA" w:rsidP="003E1DCA">
      <w:pPr>
        <w:spacing w:before="120"/>
        <w:jc w:val="center"/>
        <w:rPr>
          <w:bCs/>
          <w:color w:val="FF0000"/>
          <w:szCs w:val="24"/>
        </w:rPr>
      </w:pPr>
      <w:r>
        <w:rPr>
          <w:rFonts w:hint="eastAsia"/>
          <w:bCs/>
          <w:noProof/>
          <w:color w:val="FF0000"/>
          <w:szCs w:val="24"/>
          <w:lang w:val="en-US"/>
        </w:rPr>
        <w:drawing>
          <wp:inline distT="0" distB="0" distL="0" distR="0" wp14:anchorId="349B70EB" wp14:editId="4A47C0E9">
            <wp:extent cx="2743200" cy="1828800"/>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ressure Step Up.jpg"/>
                    <pic:cNvPicPr/>
                  </pic:nvPicPr>
                  <pic:blipFill>
                    <a:blip r:embed="rId24"/>
                    <a:stretch>
                      <a:fillRect/>
                    </a:stretch>
                  </pic:blipFill>
                  <pic:spPr>
                    <a:xfrm>
                      <a:off x="0" y="0"/>
                      <a:ext cx="2743200" cy="1828800"/>
                    </a:xfrm>
                    <a:prstGeom prst="rect">
                      <a:avLst/>
                    </a:prstGeom>
                  </pic:spPr>
                </pic:pic>
              </a:graphicData>
            </a:graphic>
          </wp:inline>
        </w:drawing>
      </w:r>
      <w:r w:rsidR="00A8426D">
        <w:rPr>
          <w:rFonts w:hint="eastAsia"/>
          <w:bCs/>
          <w:color w:val="FF0000"/>
          <w:szCs w:val="24"/>
        </w:rPr>
        <w:t xml:space="preserve"> </w:t>
      </w:r>
      <w:r>
        <w:rPr>
          <w:bCs/>
          <w:noProof/>
          <w:color w:val="FF0000"/>
          <w:szCs w:val="24"/>
          <w:lang w:val="en-US"/>
        </w:rPr>
        <w:drawing>
          <wp:inline distT="0" distB="0" distL="0" distR="0" wp14:anchorId="3DC086CF" wp14:editId="1E0076B6">
            <wp:extent cx="2743200" cy="1828800"/>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ressure Step Down.jpg"/>
                    <pic:cNvPicPr/>
                  </pic:nvPicPr>
                  <pic:blipFill>
                    <a:blip r:embed="rId25"/>
                    <a:stretch>
                      <a:fillRect/>
                    </a:stretch>
                  </pic:blipFill>
                  <pic:spPr>
                    <a:xfrm>
                      <a:off x="0" y="0"/>
                      <a:ext cx="2743200" cy="1828800"/>
                    </a:xfrm>
                    <a:prstGeom prst="rect">
                      <a:avLst/>
                    </a:prstGeom>
                  </pic:spPr>
                </pic:pic>
              </a:graphicData>
            </a:graphic>
          </wp:inline>
        </w:drawing>
      </w:r>
    </w:p>
    <w:p w14:paraId="2F23C72C" w14:textId="77777777" w:rsidR="003E1DCA" w:rsidRPr="00FA5F27" w:rsidRDefault="003E1DCA" w:rsidP="003E1DCA">
      <w:pPr>
        <w:overflowPunct/>
        <w:autoSpaceDE/>
        <w:autoSpaceDN/>
        <w:adjustRightInd/>
        <w:ind w:firstLine="567"/>
        <w:jc w:val="center"/>
        <w:textAlignment w:val="auto"/>
        <w:rPr>
          <w:noProof/>
          <w:sz w:val="18"/>
          <w:szCs w:val="18"/>
          <w:lang w:val="en-US"/>
        </w:rPr>
      </w:pPr>
      <w:bookmarkStart w:id="8" w:name="_Toc18071263"/>
    </w:p>
    <w:p w14:paraId="13979327" w14:textId="6D6B3969" w:rsidR="003E1DCA" w:rsidRDefault="003E1DCA" w:rsidP="003E1DCA">
      <w:pPr>
        <w:jc w:val="center"/>
        <w:rPr>
          <w:i/>
          <w:noProof/>
          <w:sz w:val="18"/>
          <w:szCs w:val="18"/>
        </w:rPr>
      </w:pPr>
      <w:r w:rsidRPr="003E1DCA">
        <w:rPr>
          <w:i/>
          <w:sz w:val="18"/>
          <w:szCs w:val="18"/>
        </w:rPr>
        <w:t xml:space="preserve">FIG. </w:t>
      </w:r>
      <w:r w:rsidRPr="003E1DCA">
        <w:rPr>
          <w:i/>
          <w:sz w:val="18"/>
          <w:szCs w:val="18"/>
        </w:rPr>
        <w:fldChar w:fldCharType="begin"/>
      </w:r>
      <w:r w:rsidRPr="003E1DCA">
        <w:rPr>
          <w:i/>
          <w:sz w:val="18"/>
          <w:szCs w:val="18"/>
        </w:rPr>
        <w:instrText xml:space="preserve"> SEQ Figure \* ARABIC </w:instrText>
      </w:r>
      <w:r w:rsidRPr="003E1DCA">
        <w:rPr>
          <w:i/>
          <w:sz w:val="18"/>
          <w:szCs w:val="18"/>
        </w:rPr>
        <w:fldChar w:fldCharType="separate"/>
      </w:r>
      <w:r w:rsidR="009D6880">
        <w:rPr>
          <w:i/>
          <w:noProof/>
          <w:sz w:val="18"/>
          <w:szCs w:val="18"/>
        </w:rPr>
        <w:t>11</w:t>
      </w:r>
      <w:r w:rsidRPr="003E1DCA">
        <w:rPr>
          <w:i/>
          <w:sz w:val="18"/>
          <w:szCs w:val="18"/>
        </w:rPr>
        <w:fldChar w:fldCharType="end"/>
      </w:r>
      <w:r w:rsidRPr="003E1DCA">
        <w:rPr>
          <w:i/>
          <w:sz w:val="18"/>
          <w:szCs w:val="18"/>
        </w:rPr>
        <w:t xml:space="preserve">. </w:t>
      </w:r>
      <w:r w:rsidRPr="003E1DCA">
        <w:rPr>
          <w:bCs/>
          <w:i/>
          <w:sz w:val="18"/>
          <w:szCs w:val="18"/>
        </w:rPr>
        <w:t xml:space="preserve">Pressure </w:t>
      </w:r>
      <w:r>
        <w:rPr>
          <w:bCs/>
          <w:i/>
          <w:sz w:val="18"/>
          <w:szCs w:val="18"/>
        </w:rPr>
        <w:t>c</w:t>
      </w:r>
      <w:r w:rsidRPr="003E1DCA">
        <w:rPr>
          <w:bCs/>
          <w:i/>
          <w:sz w:val="18"/>
          <w:szCs w:val="18"/>
        </w:rPr>
        <w:t>hanges of prototype to H</w:t>
      </w:r>
      <w:r w:rsidRPr="003E1DCA">
        <w:rPr>
          <w:bCs/>
          <w:i/>
          <w:sz w:val="18"/>
          <w:szCs w:val="18"/>
          <w:vertAlign w:val="subscript"/>
        </w:rPr>
        <w:t>2</w:t>
      </w:r>
      <w:r w:rsidRPr="003E1DCA">
        <w:rPr>
          <w:bCs/>
          <w:i/>
          <w:sz w:val="18"/>
          <w:szCs w:val="18"/>
        </w:rPr>
        <w:t xml:space="preserve"> concentrations stepping up and down</w:t>
      </w:r>
      <w:r w:rsidRPr="003E1DCA">
        <w:rPr>
          <w:i/>
          <w:noProof/>
          <w:sz w:val="18"/>
          <w:szCs w:val="18"/>
        </w:rPr>
        <w:t>.</w:t>
      </w:r>
      <w:bookmarkEnd w:id="8"/>
    </w:p>
    <w:p w14:paraId="570BF3B9" w14:textId="744030EF" w:rsidR="00155488" w:rsidRPr="003F665F" w:rsidRDefault="006679E6" w:rsidP="006679E6">
      <w:pPr>
        <w:pStyle w:val="Heading4"/>
        <w:numPr>
          <w:ilvl w:val="0"/>
          <w:numId w:val="0"/>
        </w:numPr>
      </w:pPr>
      <w:r>
        <w:t>3.2.2.</w:t>
      </w:r>
      <w:r>
        <w:tab/>
      </w:r>
      <w:r w:rsidR="00155488" w:rsidRPr="003F665F">
        <w:t xml:space="preserve">Dynamic </w:t>
      </w:r>
      <w:r w:rsidR="00155488">
        <w:t>m</w:t>
      </w:r>
      <w:r w:rsidR="00155488" w:rsidRPr="003F665F">
        <w:t>ode</w:t>
      </w:r>
    </w:p>
    <w:p w14:paraId="0091E0B8" w14:textId="29D8396B" w:rsidR="00155488" w:rsidRPr="000B2763" w:rsidRDefault="00155488" w:rsidP="00446D79">
      <w:pPr>
        <w:pStyle w:val="Authornameandaffiliation"/>
        <w:spacing w:line="260" w:lineRule="atLeast"/>
        <w:ind w:left="0" w:firstLineChars="283" w:firstLine="566"/>
        <w:jc w:val="both"/>
        <w:rPr>
          <w:lang w:val="en-GB"/>
        </w:rPr>
      </w:pPr>
      <w:r w:rsidRPr="000B2763">
        <w:t xml:space="preserve">An alternative equilibrium </w:t>
      </w:r>
      <w:r w:rsidR="001B1ED8">
        <w:t xml:space="preserve">operating </w:t>
      </w:r>
      <w:r w:rsidRPr="000B2763">
        <w:t>mode is conducted by isolating the ion pump.</w:t>
      </w:r>
      <w:r w:rsidR="00A8426D">
        <w:t xml:space="preserve"> </w:t>
      </w:r>
      <w:r w:rsidRPr="000B2763">
        <w:t xml:space="preserve">The ionization gauge gives a measurement of hydrogen pressure, which represents the hydrogen partial pressure in </w:t>
      </w:r>
      <w:r w:rsidRPr="00A8426D">
        <w:t>the</w:t>
      </w:r>
      <w:r w:rsidRPr="000B2763">
        <w:rPr>
          <w:b/>
        </w:rPr>
        <w:t xml:space="preserve"> </w:t>
      </w:r>
      <w:r w:rsidRPr="000B2763">
        <w:t>cover gas or the hydrogen concentration in sodium.</w:t>
      </w:r>
      <w:r w:rsidR="00A8426D">
        <w:t xml:space="preserve"> </w:t>
      </w:r>
      <w:r w:rsidRPr="000B2763">
        <w:t xml:space="preserve">Figure 12 shows the pressure changes of the prototype #2 for different hydrogen concentrations </w:t>
      </w:r>
      <w:r w:rsidR="001B1ED8">
        <w:t>in this</w:t>
      </w:r>
      <w:r w:rsidRPr="000B2763">
        <w:t xml:space="preserve"> equilibrium mode.</w:t>
      </w:r>
      <w:r w:rsidR="00A8426D">
        <w:t xml:space="preserve"> </w:t>
      </w:r>
      <w:r w:rsidRPr="000B2763">
        <w:t xml:space="preserve">This mode offers better sensitivity and consistency, but takes a much longer time to reach equilibrium, i.e. </w:t>
      </w:r>
      <w:r w:rsidR="001B1ED8">
        <w:t>a longer</w:t>
      </w:r>
      <w:r w:rsidRPr="000B2763">
        <w:t xml:space="preserve"> time to determine </w:t>
      </w:r>
      <w:r w:rsidR="001B1ED8">
        <w:t xml:space="preserve">the </w:t>
      </w:r>
      <w:r w:rsidRPr="000B2763">
        <w:t>hydrogen concentration</w:t>
      </w:r>
      <w:r w:rsidRPr="000B2763">
        <w:rPr>
          <w:lang w:val="en-GB"/>
        </w:rPr>
        <w:t>.</w:t>
      </w:r>
    </w:p>
    <w:p w14:paraId="7766A485" w14:textId="6F780746" w:rsidR="00155488" w:rsidRPr="0064779F" w:rsidRDefault="000B2763" w:rsidP="00155488">
      <w:pPr>
        <w:spacing w:before="120"/>
        <w:jc w:val="center"/>
        <w:rPr>
          <w:szCs w:val="24"/>
        </w:rPr>
      </w:pPr>
      <w:r>
        <w:rPr>
          <w:noProof/>
          <w:color w:val="FF0000"/>
          <w:szCs w:val="24"/>
          <w:lang w:val="en-US"/>
        </w:rPr>
        <w:drawing>
          <wp:inline distT="0" distB="0" distL="0" distR="0" wp14:anchorId="6ABC0E8D" wp14:editId="5648BFF3">
            <wp:extent cx="3657600" cy="17170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quilibrium Mode.jpg"/>
                    <pic:cNvPicPr/>
                  </pic:nvPicPr>
                  <pic:blipFill>
                    <a:blip r:embed="rId26"/>
                    <a:stretch>
                      <a:fillRect/>
                    </a:stretch>
                  </pic:blipFill>
                  <pic:spPr>
                    <a:xfrm>
                      <a:off x="0" y="0"/>
                      <a:ext cx="3657600" cy="1717040"/>
                    </a:xfrm>
                    <a:prstGeom prst="rect">
                      <a:avLst/>
                    </a:prstGeom>
                  </pic:spPr>
                </pic:pic>
              </a:graphicData>
            </a:graphic>
          </wp:inline>
        </w:drawing>
      </w:r>
    </w:p>
    <w:p w14:paraId="28B33F54" w14:textId="673AA734" w:rsidR="000B2763" w:rsidRPr="000B2763" w:rsidRDefault="000B2763" w:rsidP="006679E6">
      <w:pPr>
        <w:spacing w:before="120"/>
        <w:jc w:val="center"/>
        <w:rPr>
          <w:bCs/>
          <w:i/>
          <w:sz w:val="18"/>
          <w:szCs w:val="18"/>
        </w:rPr>
      </w:pPr>
      <w:bookmarkStart w:id="9" w:name="_Toc18071266"/>
      <w:r w:rsidRPr="000B2763">
        <w:rPr>
          <w:i/>
          <w:sz w:val="18"/>
          <w:szCs w:val="18"/>
        </w:rPr>
        <w:t xml:space="preserve">FIG. </w:t>
      </w:r>
      <w:r w:rsidRPr="000B2763">
        <w:rPr>
          <w:i/>
          <w:sz w:val="18"/>
          <w:szCs w:val="18"/>
        </w:rPr>
        <w:fldChar w:fldCharType="begin"/>
      </w:r>
      <w:r w:rsidRPr="000B2763">
        <w:rPr>
          <w:i/>
          <w:sz w:val="18"/>
          <w:szCs w:val="18"/>
        </w:rPr>
        <w:instrText xml:space="preserve"> SEQ Figure \* ARABIC </w:instrText>
      </w:r>
      <w:r w:rsidRPr="000B2763">
        <w:rPr>
          <w:i/>
          <w:sz w:val="18"/>
          <w:szCs w:val="18"/>
        </w:rPr>
        <w:fldChar w:fldCharType="separate"/>
      </w:r>
      <w:r w:rsidR="009D6880">
        <w:rPr>
          <w:i/>
          <w:noProof/>
          <w:sz w:val="18"/>
          <w:szCs w:val="18"/>
        </w:rPr>
        <w:t>12</w:t>
      </w:r>
      <w:r w:rsidRPr="000B2763">
        <w:rPr>
          <w:i/>
          <w:sz w:val="18"/>
          <w:szCs w:val="18"/>
        </w:rPr>
        <w:fldChar w:fldCharType="end"/>
      </w:r>
      <w:r w:rsidRPr="000B2763">
        <w:rPr>
          <w:i/>
          <w:sz w:val="18"/>
          <w:szCs w:val="18"/>
        </w:rPr>
        <w:t>. Pressure Changes for Different Hydrogen Concentrations Under Equilibrium Mode</w:t>
      </w:r>
      <w:r w:rsidRPr="000B2763">
        <w:rPr>
          <w:bCs/>
          <w:i/>
          <w:sz w:val="18"/>
          <w:szCs w:val="18"/>
        </w:rPr>
        <w:t>.</w:t>
      </w:r>
      <w:bookmarkEnd w:id="9"/>
    </w:p>
    <w:p w14:paraId="5C8E381F" w14:textId="421A5225" w:rsidR="00155488" w:rsidRDefault="000B2763" w:rsidP="006679E6">
      <w:pPr>
        <w:spacing w:before="180" w:line="260" w:lineRule="atLeast"/>
        <w:ind w:firstLineChars="245" w:firstLine="490"/>
        <w:jc w:val="both"/>
        <w:rPr>
          <w:sz w:val="20"/>
        </w:rPr>
      </w:pPr>
      <w:r w:rsidRPr="000B2763">
        <w:rPr>
          <w:sz w:val="20"/>
        </w:rPr>
        <w:lastRenderedPageBreak/>
        <w:t>The test results clearly show that the dynamic mode reaches an equilibrium state much faster than the equilibrium mode but with much smaller magnitude.</w:t>
      </w:r>
      <w:r w:rsidR="00A8426D">
        <w:rPr>
          <w:sz w:val="20"/>
        </w:rPr>
        <w:t xml:space="preserve"> </w:t>
      </w:r>
      <w:r w:rsidRPr="000B2763">
        <w:rPr>
          <w:sz w:val="20"/>
        </w:rPr>
        <w:t>The difference in magnitude depends on the effective pumping speed.</w:t>
      </w:r>
      <w:r w:rsidR="00A8426D">
        <w:rPr>
          <w:sz w:val="20"/>
        </w:rPr>
        <w:t xml:space="preserve"> </w:t>
      </w:r>
      <w:r w:rsidRPr="000B2763">
        <w:rPr>
          <w:sz w:val="20"/>
        </w:rPr>
        <w:t>In addition, the slope of the equilibrium curve gives a direct measure of the amount of hydrogen diffusing into the vacuum chamber, which in turn gives a direct measurement of hydrogen pressure in the sodium flowing across the nickel membrane.</w:t>
      </w:r>
      <w:r w:rsidR="00A8426D">
        <w:rPr>
          <w:sz w:val="20"/>
        </w:rPr>
        <w:t xml:space="preserve"> </w:t>
      </w:r>
      <w:r w:rsidRPr="000B2763">
        <w:rPr>
          <w:sz w:val="20"/>
        </w:rPr>
        <w:t>Both prototypes have demonstrated a detection sensitivity of hydrogen concentration down to 2 ppm.</w:t>
      </w:r>
      <w:r w:rsidR="00A8426D">
        <w:rPr>
          <w:sz w:val="20"/>
        </w:rPr>
        <w:t xml:space="preserve"> </w:t>
      </w:r>
      <w:r w:rsidRPr="000B2763">
        <w:rPr>
          <w:sz w:val="20"/>
        </w:rPr>
        <w:t>If mixing gas is flowing into a vacuum vessel, the response time is ~1 sec for any hydrogen concentration.</w:t>
      </w:r>
      <w:r w:rsidR="00A8426D">
        <w:rPr>
          <w:sz w:val="20"/>
        </w:rPr>
        <w:t xml:space="preserve"> </w:t>
      </w:r>
      <w:r w:rsidRPr="000B2763">
        <w:rPr>
          <w:sz w:val="20"/>
        </w:rPr>
        <w:t xml:space="preserve">If mixing gas is flowing into a vessel with argon cover gas, the response time is ~1 sec or longer, depending on flow rate, hydrogen concentration, and </w:t>
      </w:r>
      <w:r w:rsidR="001B1ED8">
        <w:rPr>
          <w:sz w:val="20"/>
        </w:rPr>
        <w:t xml:space="preserve">the </w:t>
      </w:r>
      <w:r w:rsidRPr="000B2763">
        <w:rPr>
          <w:sz w:val="20"/>
        </w:rPr>
        <w:t xml:space="preserve">vessel </w:t>
      </w:r>
      <w:r w:rsidR="001B1ED8">
        <w:rPr>
          <w:sz w:val="20"/>
        </w:rPr>
        <w:t>volume</w:t>
      </w:r>
      <w:r w:rsidR="00012B25">
        <w:rPr>
          <w:sz w:val="20"/>
        </w:rPr>
        <w:t>.</w:t>
      </w:r>
    </w:p>
    <w:p w14:paraId="27968DA7" w14:textId="4D28A3F6" w:rsidR="00012B25" w:rsidRDefault="00012B25" w:rsidP="00892724">
      <w:pPr>
        <w:pStyle w:val="Heading2"/>
        <w:numPr>
          <w:ilvl w:val="1"/>
          <w:numId w:val="5"/>
        </w:numPr>
      </w:pPr>
      <w:r w:rsidRPr="00305813">
        <w:rPr>
          <w:szCs w:val="24"/>
          <w:lang w:val="en-US"/>
        </w:rPr>
        <w:t xml:space="preserve">Performance Evaluation of </w:t>
      </w:r>
      <w:r w:rsidR="00702E76">
        <w:rPr>
          <w:szCs w:val="24"/>
          <w:lang w:val="en-US"/>
        </w:rPr>
        <w:t xml:space="preserve">compact </w:t>
      </w:r>
      <w:r>
        <w:rPr>
          <w:iCs/>
          <w:szCs w:val="24"/>
        </w:rPr>
        <w:t>IS</w:t>
      </w:r>
      <w:r w:rsidRPr="00305813">
        <w:rPr>
          <w:iCs/>
          <w:szCs w:val="24"/>
        </w:rPr>
        <w:t>HM</w:t>
      </w:r>
      <w:r>
        <w:rPr>
          <w:iCs/>
          <w:szCs w:val="24"/>
        </w:rPr>
        <w:t xml:space="preserve"> Prototypes</w:t>
      </w:r>
    </w:p>
    <w:p w14:paraId="55C517A2" w14:textId="2BD0F32C" w:rsidR="00012B25" w:rsidRDefault="00702E76" w:rsidP="00446D79">
      <w:pPr>
        <w:pStyle w:val="BodyText"/>
      </w:pPr>
      <w:r w:rsidRPr="00982B1B">
        <w:t>An in-sodium test apparatus for performance evaluation of ISHM prototypes was constructed and integrated with the Argonne under-sodium viewing (USV) sodium test facility.</w:t>
      </w:r>
      <w:r w:rsidR="00A8426D">
        <w:t xml:space="preserve"> </w:t>
      </w:r>
      <w:r>
        <w:t>Three prototypes have been fabricated.</w:t>
      </w:r>
      <w:r w:rsidR="00A8426D">
        <w:t xml:space="preserve"> </w:t>
      </w:r>
      <w:r>
        <w:t xml:space="preserve">An ISHM prototype was tested with hydrogen/argon mixtures to verify </w:t>
      </w:r>
      <w:r w:rsidR="001B1ED8">
        <w:t xml:space="preserve">proper </w:t>
      </w:r>
      <w:r>
        <w:t>function before installation into the test apparatus for in-sodium test</w:t>
      </w:r>
      <w:r w:rsidR="001B1ED8">
        <w:t>ing</w:t>
      </w:r>
      <w:r w:rsidR="00012B25">
        <w:t>.</w:t>
      </w:r>
    </w:p>
    <w:p w14:paraId="05288523" w14:textId="513C76EB" w:rsidR="00012B25" w:rsidRPr="00EE0041" w:rsidRDefault="006679E6" w:rsidP="006679E6">
      <w:pPr>
        <w:pStyle w:val="Heading3"/>
        <w:numPr>
          <w:ilvl w:val="0"/>
          <w:numId w:val="0"/>
        </w:numPr>
      </w:pPr>
      <w:r>
        <w:rPr>
          <w:lang w:val="en-US"/>
        </w:rPr>
        <w:t>4.1.</w:t>
      </w:r>
      <w:r>
        <w:rPr>
          <w:lang w:val="en-US"/>
        </w:rPr>
        <w:tab/>
      </w:r>
      <w:r w:rsidR="001B1ED8">
        <w:rPr>
          <w:lang w:val="en-US"/>
        </w:rPr>
        <w:t>T</w:t>
      </w:r>
      <w:r w:rsidR="00012B25" w:rsidRPr="00702E76">
        <w:rPr>
          <w:lang w:val="en-US"/>
        </w:rPr>
        <w:t>est apparatus</w:t>
      </w:r>
      <w:r w:rsidR="001B1ED8">
        <w:rPr>
          <w:iCs/>
        </w:rPr>
        <w:t xml:space="preserve"> for compact ISHM</w:t>
      </w:r>
    </w:p>
    <w:p w14:paraId="7E8836AD" w14:textId="16B2B93F" w:rsidR="00012B25" w:rsidRDefault="00702E76" w:rsidP="00446D79">
      <w:pPr>
        <w:pStyle w:val="Authornameandaffiliation"/>
        <w:spacing w:line="260" w:lineRule="atLeast"/>
        <w:ind w:left="0" w:firstLineChars="283" w:firstLine="566"/>
        <w:jc w:val="both"/>
      </w:pPr>
      <w:r w:rsidRPr="00982B1B">
        <w:t>The test apparatus consists of a compact ISHM assembly, a sodium loop, a NaOH injection assembly, a vacuum manifold and hydrogen-measuring module, a heating control and temperature-monitoring module, and a C&amp;D module.</w:t>
      </w:r>
      <w:r w:rsidR="00A8426D">
        <w:t xml:space="preserve"> </w:t>
      </w:r>
      <w:r w:rsidRPr="00982B1B">
        <w:t xml:space="preserve">Figure </w:t>
      </w:r>
      <w:r>
        <w:t>13</w:t>
      </w:r>
      <w:r w:rsidRPr="00982B1B">
        <w:t xml:space="preserve"> shows the </w:t>
      </w:r>
      <w:r>
        <w:t>ISHM</w:t>
      </w:r>
      <w:r w:rsidRPr="00982B1B">
        <w:t xml:space="preserve"> test apparatus before </w:t>
      </w:r>
      <w:r>
        <w:t xml:space="preserve">the </w:t>
      </w:r>
      <w:r w:rsidRPr="00982B1B">
        <w:t>installation of heaters and insulation</w:t>
      </w:r>
      <w:r w:rsidR="00012B25">
        <w:t>.</w:t>
      </w:r>
    </w:p>
    <w:p w14:paraId="4AA67612" w14:textId="46F6F30E" w:rsidR="00012B25" w:rsidRPr="00D92FBE" w:rsidRDefault="00702E76" w:rsidP="00012B25">
      <w:pPr>
        <w:spacing w:before="120"/>
        <w:jc w:val="center"/>
        <w:rPr>
          <w:iCs/>
          <w:color w:val="FF0000"/>
        </w:rPr>
      </w:pPr>
      <w:r>
        <w:rPr>
          <w:iCs/>
          <w:noProof/>
          <w:color w:val="FF0000"/>
          <w:lang w:val="en-US"/>
        </w:rPr>
        <w:drawing>
          <wp:inline distT="0" distB="0" distL="0" distR="0" wp14:anchorId="0AD74BC3" wp14:editId="22AAB923">
            <wp:extent cx="3657600" cy="2640071"/>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SHM Test Apparatus.jpg"/>
                    <pic:cNvPicPr/>
                  </pic:nvPicPr>
                  <pic:blipFill>
                    <a:blip r:embed="rId27"/>
                    <a:stretch>
                      <a:fillRect/>
                    </a:stretch>
                  </pic:blipFill>
                  <pic:spPr>
                    <a:xfrm>
                      <a:off x="0" y="0"/>
                      <a:ext cx="3657600" cy="2640071"/>
                    </a:xfrm>
                    <a:prstGeom prst="rect">
                      <a:avLst/>
                    </a:prstGeom>
                  </pic:spPr>
                </pic:pic>
              </a:graphicData>
            </a:graphic>
          </wp:inline>
        </w:drawing>
      </w:r>
    </w:p>
    <w:p w14:paraId="6F0C67AE" w14:textId="77777777" w:rsidR="00012B25" w:rsidRPr="00FA5F27" w:rsidRDefault="00012B25" w:rsidP="00012B25">
      <w:pPr>
        <w:overflowPunct/>
        <w:autoSpaceDE/>
        <w:autoSpaceDN/>
        <w:adjustRightInd/>
        <w:ind w:firstLine="567"/>
        <w:jc w:val="center"/>
        <w:textAlignment w:val="auto"/>
        <w:rPr>
          <w:noProof/>
          <w:sz w:val="18"/>
          <w:szCs w:val="18"/>
          <w:lang w:val="en-US"/>
        </w:rPr>
      </w:pPr>
    </w:p>
    <w:p w14:paraId="6E55C1A1" w14:textId="208DFCBF" w:rsidR="00702E76" w:rsidRPr="00702E76" w:rsidRDefault="00702E76" w:rsidP="00CC0C0D">
      <w:pPr>
        <w:pStyle w:val="Caption"/>
        <w:widowControl w:val="0"/>
        <w:spacing w:after="0"/>
        <w:jc w:val="center"/>
        <w:rPr>
          <w:b/>
          <w:i/>
          <w:szCs w:val="18"/>
        </w:rPr>
      </w:pPr>
      <w:r w:rsidRPr="00702E76">
        <w:rPr>
          <w:i/>
          <w:szCs w:val="18"/>
        </w:rPr>
        <w:t xml:space="preserve">FIG. </w:t>
      </w:r>
      <w:r w:rsidRPr="00702E76">
        <w:rPr>
          <w:b/>
          <w:i/>
          <w:szCs w:val="18"/>
        </w:rPr>
        <w:fldChar w:fldCharType="begin"/>
      </w:r>
      <w:r w:rsidRPr="00702E76">
        <w:rPr>
          <w:i/>
          <w:szCs w:val="18"/>
        </w:rPr>
        <w:instrText xml:space="preserve"> SEQ Figure \* ARABIC </w:instrText>
      </w:r>
      <w:r w:rsidRPr="00702E76">
        <w:rPr>
          <w:b/>
          <w:i/>
          <w:szCs w:val="18"/>
        </w:rPr>
        <w:fldChar w:fldCharType="separate"/>
      </w:r>
      <w:r w:rsidR="009D6880">
        <w:rPr>
          <w:i/>
          <w:noProof/>
          <w:szCs w:val="18"/>
        </w:rPr>
        <w:t>13</w:t>
      </w:r>
      <w:r w:rsidRPr="00702E76">
        <w:rPr>
          <w:b/>
          <w:i/>
          <w:szCs w:val="18"/>
        </w:rPr>
        <w:fldChar w:fldCharType="end"/>
      </w:r>
      <w:r w:rsidRPr="00702E76">
        <w:rPr>
          <w:i/>
          <w:szCs w:val="18"/>
        </w:rPr>
        <w:t xml:space="preserve">. Photo of ISHM </w:t>
      </w:r>
      <w:r>
        <w:rPr>
          <w:i/>
          <w:szCs w:val="18"/>
        </w:rPr>
        <w:t>t</w:t>
      </w:r>
      <w:r w:rsidRPr="00702E76">
        <w:rPr>
          <w:i/>
          <w:szCs w:val="18"/>
        </w:rPr>
        <w:t xml:space="preserve">est </w:t>
      </w:r>
      <w:r>
        <w:rPr>
          <w:i/>
          <w:szCs w:val="18"/>
        </w:rPr>
        <w:t>a</w:t>
      </w:r>
      <w:r w:rsidRPr="00702E76">
        <w:rPr>
          <w:i/>
          <w:szCs w:val="18"/>
        </w:rPr>
        <w:t>pparatus</w:t>
      </w:r>
      <w:r w:rsidR="00634267">
        <w:rPr>
          <w:i/>
          <w:szCs w:val="18"/>
        </w:rPr>
        <w:t>.</w:t>
      </w:r>
    </w:p>
    <w:p w14:paraId="0612FFD1" w14:textId="617954A4" w:rsidR="00CC0C0D" w:rsidRPr="00EE0041" w:rsidRDefault="006679E6" w:rsidP="006679E6">
      <w:pPr>
        <w:pStyle w:val="Heading3"/>
        <w:numPr>
          <w:ilvl w:val="0"/>
          <w:numId w:val="0"/>
        </w:numPr>
      </w:pPr>
      <w:r>
        <w:rPr>
          <w:lang w:val="en-US"/>
        </w:rPr>
        <w:t>4.2.</w:t>
      </w:r>
      <w:r>
        <w:rPr>
          <w:lang w:val="en-US"/>
        </w:rPr>
        <w:tab/>
      </w:r>
      <w:r w:rsidR="00CC0C0D" w:rsidRPr="00702E76">
        <w:rPr>
          <w:lang w:val="en-US"/>
        </w:rPr>
        <w:t xml:space="preserve">Test apparatus </w:t>
      </w:r>
      <w:r w:rsidR="001B1ED8">
        <w:rPr>
          <w:lang w:val="en-US"/>
        </w:rPr>
        <w:t>for</w:t>
      </w:r>
      <w:r w:rsidR="00CC0C0D" w:rsidRPr="00702E76">
        <w:rPr>
          <w:lang w:val="en-US"/>
        </w:rPr>
        <w:t xml:space="preserve"> </w:t>
      </w:r>
      <w:r w:rsidR="00CC0C0D">
        <w:rPr>
          <w:lang w:val="en-US"/>
        </w:rPr>
        <w:t xml:space="preserve">compact </w:t>
      </w:r>
      <w:r w:rsidR="00CC0C0D">
        <w:rPr>
          <w:iCs/>
        </w:rPr>
        <w:t>IS</w:t>
      </w:r>
      <w:r w:rsidR="00CC0C0D" w:rsidRPr="00702E76">
        <w:rPr>
          <w:iCs/>
        </w:rPr>
        <w:t>HM</w:t>
      </w:r>
      <w:r w:rsidR="00CC0C0D">
        <w:rPr>
          <w:iCs/>
        </w:rPr>
        <w:t xml:space="preserve"> prototypes</w:t>
      </w:r>
    </w:p>
    <w:p w14:paraId="21ECABDA" w14:textId="77E5AE60" w:rsidR="00CC0C0D" w:rsidRDefault="00CC0C0D" w:rsidP="00446D79">
      <w:pPr>
        <w:pStyle w:val="Authornameandaffiliation"/>
        <w:spacing w:line="260" w:lineRule="atLeast"/>
        <w:ind w:left="0" w:firstLineChars="283" w:firstLine="566"/>
        <w:jc w:val="both"/>
      </w:pPr>
      <w:r>
        <w:t>The ISHM prototype with ribbed membrane probe was tested with hydrogen/argon gas mixture (</w:t>
      </w:r>
      <w:r w:rsidRPr="004B03AB">
        <w:t>100 ppm</w:t>
      </w:r>
      <w:r>
        <w:t xml:space="preserve">) to verify </w:t>
      </w:r>
      <w:r w:rsidR="001B1ED8">
        <w:t xml:space="preserve">proper </w:t>
      </w:r>
      <w:r>
        <w:t>function before installation into the test apparatus for in-sodium test</w:t>
      </w:r>
      <w:r w:rsidR="001B1ED8">
        <w:t>ing</w:t>
      </w:r>
      <w:r>
        <w:t>.</w:t>
      </w:r>
      <w:r w:rsidR="00A8426D">
        <w:t xml:space="preserve"> </w:t>
      </w:r>
      <w:r>
        <w:t>The gas mixture fl</w:t>
      </w:r>
      <w:r w:rsidR="001B1ED8">
        <w:t>owed</w:t>
      </w:r>
      <w:r>
        <w:t xml:space="preserve"> </w:t>
      </w:r>
      <w:r w:rsidRPr="004B03AB">
        <w:t xml:space="preserve">into </w:t>
      </w:r>
      <w:r>
        <w:t xml:space="preserve">a </w:t>
      </w:r>
      <w:r w:rsidRPr="004B03AB">
        <w:t>hot chamber (</w:t>
      </w:r>
      <w:r>
        <w:t>501</w:t>
      </w:r>
      <w:r w:rsidRPr="004B03AB">
        <w:sym w:font="Symbol" w:char="F0B0"/>
      </w:r>
      <w:r>
        <w:t>C</w:t>
      </w:r>
      <w:r w:rsidRPr="004B03AB">
        <w:t>, vacuum)</w:t>
      </w:r>
      <w:r>
        <w:t xml:space="preserve"> and</w:t>
      </w:r>
      <w:r w:rsidRPr="004B03AB">
        <w:t xml:space="preserve"> then into </w:t>
      </w:r>
      <w:r>
        <w:t>the prototype</w:t>
      </w:r>
      <w:r w:rsidRPr="004B03AB">
        <w:t xml:space="preserve"> (</w:t>
      </w:r>
      <w:r>
        <w:t>500</w:t>
      </w:r>
      <w:r w:rsidRPr="004B03AB">
        <w:sym w:font="Symbol" w:char="F0B0"/>
      </w:r>
      <w:r>
        <w:t>C</w:t>
      </w:r>
      <w:r w:rsidRPr="004B03AB">
        <w:t>, vacuum)</w:t>
      </w:r>
      <w:r>
        <w:t xml:space="preserve"> [7].</w:t>
      </w:r>
      <w:r w:rsidR="00A8426D">
        <w:t xml:space="preserve"> </w:t>
      </w:r>
      <w:r>
        <w:t>Figure 1</w:t>
      </w:r>
      <w:r w:rsidR="009F05AD">
        <w:t>4</w:t>
      </w:r>
      <w:r>
        <w:t xml:space="preserve"> shows the pressure changes of the ion gauge and ion pump.</w:t>
      </w:r>
      <w:r w:rsidR="00A8426D">
        <w:t xml:space="preserve"> </w:t>
      </w:r>
      <w:r>
        <w:t>T</w:t>
      </w:r>
      <w:r w:rsidRPr="007C7CDD">
        <w:t xml:space="preserve">he in-sodium test of a prototype with meshed membrane </w:t>
      </w:r>
      <w:r>
        <w:t>probe</w:t>
      </w:r>
      <w:r w:rsidRPr="007C7CDD">
        <w:t xml:space="preserve"> </w:t>
      </w:r>
      <w:r>
        <w:t>will be conducted once fabrication is completed.</w:t>
      </w:r>
    </w:p>
    <w:p w14:paraId="3CB60150" w14:textId="77777777" w:rsidR="00CC0C0D" w:rsidRPr="004B03AB" w:rsidRDefault="00CC0C0D" w:rsidP="009F05AD">
      <w:pPr>
        <w:spacing w:before="120"/>
        <w:jc w:val="center"/>
      </w:pPr>
      <w:r>
        <w:rPr>
          <w:rFonts w:hint="eastAsia"/>
          <w:noProof/>
          <w:lang w:val="en-US"/>
        </w:rPr>
        <w:lastRenderedPageBreak/>
        <w:drawing>
          <wp:inline distT="0" distB="0" distL="0" distR="0" wp14:anchorId="6D51E2EE" wp14:editId="797BB79F">
            <wp:extent cx="2834563" cy="1828800"/>
            <wp:effectExtent l="0" t="0" r="0" b="0"/>
            <wp:docPr id="550" name="Pictur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 name="ISHM Ion Gauge.jpg"/>
                    <pic:cNvPicPr/>
                  </pic:nvPicPr>
                  <pic:blipFill rotWithShape="1">
                    <a:blip r:embed="rId28"/>
                    <a:srcRect t="2290" b="3817"/>
                    <a:stretch/>
                  </pic:blipFill>
                  <pic:spPr bwMode="auto">
                    <a:xfrm>
                      <a:off x="0" y="0"/>
                      <a:ext cx="2834563" cy="18288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1A405603" wp14:editId="31305F52">
            <wp:extent cx="2834586" cy="1828800"/>
            <wp:effectExtent l="0" t="0" r="0" b="0"/>
            <wp:docPr id="549" name="Pictur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ISHM Ion Pump.jpg"/>
                    <pic:cNvPicPr/>
                  </pic:nvPicPr>
                  <pic:blipFill rotWithShape="1">
                    <a:blip r:embed="rId29"/>
                    <a:srcRect t="2672" b="4577"/>
                    <a:stretch/>
                  </pic:blipFill>
                  <pic:spPr bwMode="auto">
                    <a:xfrm>
                      <a:off x="0" y="0"/>
                      <a:ext cx="2834586" cy="1828800"/>
                    </a:xfrm>
                    <a:prstGeom prst="rect">
                      <a:avLst/>
                    </a:prstGeom>
                    <a:ln>
                      <a:noFill/>
                    </a:ln>
                    <a:extLst>
                      <a:ext uri="{53640926-AAD7-44D8-BBD7-CCE9431645EC}">
                        <a14:shadowObscured xmlns:a14="http://schemas.microsoft.com/office/drawing/2010/main"/>
                      </a:ext>
                    </a:extLst>
                  </pic:spPr>
                </pic:pic>
              </a:graphicData>
            </a:graphic>
          </wp:inline>
        </w:drawing>
      </w:r>
    </w:p>
    <w:p w14:paraId="322F7BA2" w14:textId="77777777" w:rsidR="00CC0C0D" w:rsidRPr="00FA5F27" w:rsidRDefault="00CC0C0D" w:rsidP="00CC0C0D">
      <w:pPr>
        <w:overflowPunct/>
        <w:autoSpaceDE/>
        <w:autoSpaceDN/>
        <w:adjustRightInd/>
        <w:ind w:firstLine="567"/>
        <w:jc w:val="center"/>
        <w:textAlignment w:val="auto"/>
        <w:rPr>
          <w:noProof/>
          <w:sz w:val="18"/>
          <w:szCs w:val="18"/>
          <w:lang w:val="en-US"/>
        </w:rPr>
      </w:pPr>
    </w:p>
    <w:p w14:paraId="2D5D3F4B" w14:textId="09C6F553" w:rsidR="00CC0C0D" w:rsidRPr="00CC0C0D" w:rsidRDefault="00CC0C0D" w:rsidP="00CC0C0D">
      <w:pPr>
        <w:pStyle w:val="Caption"/>
        <w:widowControl w:val="0"/>
        <w:spacing w:after="0"/>
        <w:jc w:val="center"/>
        <w:rPr>
          <w:b/>
          <w:i/>
          <w:szCs w:val="18"/>
        </w:rPr>
      </w:pPr>
      <w:r w:rsidRPr="00CC0C0D">
        <w:rPr>
          <w:i/>
          <w:szCs w:val="18"/>
        </w:rPr>
        <w:t xml:space="preserve">FIG. </w:t>
      </w:r>
      <w:r w:rsidRPr="00CC0C0D">
        <w:rPr>
          <w:b/>
          <w:i/>
          <w:szCs w:val="18"/>
        </w:rPr>
        <w:fldChar w:fldCharType="begin"/>
      </w:r>
      <w:r w:rsidRPr="00CC0C0D">
        <w:rPr>
          <w:i/>
          <w:szCs w:val="18"/>
        </w:rPr>
        <w:instrText xml:space="preserve"> SEQ Figure \* ARABIC </w:instrText>
      </w:r>
      <w:r w:rsidRPr="00CC0C0D">
        <w:rPr>
          <w:b/>
          <w:i/>
          <w:szCs w:val="18"/>
        </w:rPr>
        <w:fldChar w:fldCharType="separate"/>
      </w:r>
      <w:r w:rsidR="009D6880">
        <w:rPr>
          <w:i/>
          <w:noProof/>
          <w:szCs w:val="18"/>
        </w:rPr>
        <w:t>14</w:t>
      </w:r>
      <w:r w:rsidRPr="00CC0C0D">
        <w:rPr>
          <w:b/>
          <w:i/>
          <w:szCs w:val="18"/>
        </w:rPr>
        <w:fldChar w:fldCharType="end"/>
      </w:r>
      <w:r w:rsidRPr="00CC0C0D">
        <w:rPr>
          <w:i/>
          <w:szCs w:val="18"/>
        </w:rPr>
        <w:t xml:space="preserve">. Pressure changes of ion gauge and ion pump </w:t>
      </w:r>
      <w:r w:rsidR="007E17BF">
        <w:rPr>
          <w:i/>
          <w:szCs w:val="18"/>
        </w:rPr>
        <w:t>at a</w:t>
      </w:r>
      <w:r w:rsidRPr="00CC0C0D">
        <w:rPr>
          <w:i/>
          <w:szCs w:val="18"/>
        </w:rPr>
        <w:t xml:space="preserve"> hydrogen concentration of 100 ppm</w:t>
      </w:r>
      <w:r w:rsidR="00634267">
        <w:rPr>
          <w:i/>
          <w:szCs w:val="18"/>
        </w:rPr>
        <w:t>.</w:t>
      </w:r>
    </w:p>
    <w:p w14:paraId="433FE059" w14:textId="57B4BBB6" w:rsidR="00F004EE" w:rsidRDefault="00AA08B3" w:rsidP="00892724">
      <w:pPr>
        <w:pStyle w:val="Heading2"/>
        <w:numPr>
          <w:ilvl w:val="1"/>
          <w:numId w:val="10"/>
        </w:numPr>
      </w:pPr>
      <w:r>
        <w:t>conclusions</w:t>
      </w:r>
    </w:p>
    <w:p w14:paraId="433FE05A" w14:textId="62814C8A" w:rsidR="001308F2" w:rsidRPr="00AA08B3" w:rsidRDefault="00AA08B3" w:rsidP="00446D79">
      <w:pPr>
        <w:pStyle w:val="BodyText"/>
      </w:pPr>
      <w:r w:rsidRPr="00AA08B3">
        <w:t xml:space="preserve">Argonne has developed both CGHM and ISHM for monitoring the hydrogen concentration in cover gas of the expansion tank and in sodium at the outlet of a SG, respectively. Test apparatuses for performance evaluation of both meters were also designed and constructed. </w:t>
      </w:r>
      <w:r w:rsidRPr="00AA08B3">
        <w:rPr>
          <w:iCs/>
        </w:rPr>
        <w:t xml:space="preserve">Two CGHM prototypes were tested under </w:t>
      </w:r>
      <w:r w:rsidRPr="00AA08B3">
        <w:t xml:space="preserve">dynamic and equilibrium modes and both modes have demonstrated hydrogen detection sensitivity down to 2 ppm or less </w:t>
      </w:r>
      <w:r w:rsidRPr="00AA08B3">
        <w:rPr>
          <w:iCs/>
        </w:rPr>
        <w:t>in argon cover gas, as required by the performance specification</w:t>
      </w:r>
      <w:r w:rsidRPr="00AA08B3">
        <w:t>.</w:t>
      </w:r>
      <w:r w:rsidR="00A8426D">
        <w:t xml:space="preserve"> </w:t>
      </w:r>
      <w:r w:rsidRPr="00AA08B3">
        <w:t xml:space="preserve">The dynamic mode showed a response time </w:t>
      </w:r>
      <w:r w:rsidR="007E17BF">
        <w:t xml:space="preserve">of </w:t>
      </w:r>
      <w:r w:rsidRPr="00AA08B3">
        <w:t>around 1 sec and reached an equilibrium state much faster than the equilibrium mode, which showed better consistency.</w:t>
      </w:r>
      <w:r w:rsidR="00A8426D">
        <w:t xml:space="preserve"> </w:t>
      </w:r>
      <w:r w:rsidRPr="00AA08B3">
        <w:t>In addition, the slope of the equilibrium curve gives a direct measure of the amount of hydrogen diffusing into the vacuum chamber per unit time, which in turn gives a direct measurement of hydrogen pressure in the cover gas.</w:t>
      </w:r>
      <w:r w:rsidR="00A8426D">
        <w:t xml:space="preserve"> </w:t>
      </w:r>
      <w:r w:rsidRPr="00AA08B3">
        <w:rPr>
          <w:iCs/>
        </w:rPr>
        <w:t xml:space="preserve">Two </w:t>
      </w:r>
      <w:r w:rsidRPr="00AA08B3">
        <w:t xml:space="preserve">compact </w:t>
      </w:r>
      <w:r w:rsidRPr="00AA08B3">
        <w:rPr>
          <w:iCs/>
        </w:rPr>
        <w:t>ISHM prototypes were fabricated</w:t>
      </w:r>
      <w:r w:rsidR="007E17BF">
        <w:rPr>
          <w:iCs/>
        </w:rPr>
        <w:t>,</w:t>
      </w:r>
      <w:r w:rsidRPr="00AA08B3">
        <w:rPr>
          <w:iCs/>
        </w:rPr>
        <w:t xml:space="preserve"> and the in-sodium test is in progress</w:t>
      </w:r>
      <w:r w:rsidR="007E17BF">
        <w:rPr>
          <w:iCs/>
        </w:rPr>
        <w:t xml:space="preserve">.  Results </w:t>
      </w:r>
      <w:r w:rsidRPr="00AA08B3">
        <w:rPr>
          <w:iCs/>
        </w:rPr>
        <w:t>will be reported in the conference if no further delay</w:t>
      </w:r>
      <w:r w:rsidR="007E17BF">
        <w:rPr>
          <w:iCs/>
        </w:rPr>
        <w:t>s are experienced</w:t>
      </w:r>
      <w:r w:rsidRPr="00AA08B3">
        <w:rPr>
          <w:iCs/>
        </w:rPr>
        <w:t xml:space="preserve"> due to the Pandemic</w:t>
      </w:r>
      <w:r w:rsidR="00F004EE" w:rsidRPr="00AA08B3">
        <w:t>.</w:t>
      </w:r>
      <w:r w:rsidR="00F74A9D" w:rsidRPr="00AA08B3">
        <w:t xml:space="preserve"> </w:t>
      </w:r>
    </w:p>
    <w:p w14:paraId="433FE097" w14:textId="77777777" w:rsidR="00D26ADA" w:rsidRPr="00285755" w:rsidRDefault="00D26ADA" w:rsidP="00537496">
      <w:pPr>
        <w:pStyle w:val="Otherunnumberedheadings"/>
      </w:pPr>
      <w:r>
        <w:t>References</w:t>
      </w:r>
    </w:p>
    <w:p w14:paraId="40840D47" w14:textId="5734D753" w:rsidR="00DD4E75" w:rsidRPr="002039EC" w:rsidRDefault="00DD4E75" w:rsidP="009D6880">
      <w:pPr>
        <w:pStyle w:val="Referencelist"/>
        <w:jc w:val="left"/>
      </w:pPr>
      <w:r w:rsidRPr="002039EC">
        <w:t>Chien,</w:t>
      </w:r>
      <w:r w:rsidRPr="00DD4E75">
        <w:t xml:space="preserve"> </w:t>
      </w:r>
      <w:r w:rsidRPr="002039EC">
        <w:t>H. T.</w:t>
      </w:r>
      <w:r>
        <w:t>,</w:t>
      </w:r>
      <w:r w:rsidRPr="002039EC">
        <w:t xml:space="preserve"> Bakhtiari, S.</w:t>
      </w:r>
      <w:r>
        <w:t>,</w:t>
      </w:r>
      <w:r w:rsidRPr="002039EC">
        <w:t xml:space="preserve"> Sheen, S. H.</w:t>
      </w:r>
      <w:r>
        <w:t>, Argonne National Laboratory, u</w:t>
      </w:r>
      <w:r w:rsidRPr="002039EC">
        <w:t>npublished report</w:t>
      </w:r>
      <w:r w:rsidR="004F35DA">
        <w:t xml:space="preserve"> (</w:t>
      </w:r>
      <w:r w:rsidRPr="002039EC">
        <w:t>2014</w:t>
      </w:r>
      <w:r w:rsidR="004F35DA">
        <w:t>)</w:t>
      </w:r>
      <w:r w:rsidRPr="002039EC">
        <w:t>.</w:t>
      </w:r>
    </w:p>
    <w:p w14:paraId="0077A065" w14:textId="6BCA56C3" w:rsidR="00DD4E75" w:rsidRPr="002039EC" w:rsidRDefault="00DD4E75" w:rsidP="009D6880">
      <w:pPr>
        <w:pStyle w:val="Referencelist"/>
        <w:jc w:val="left"/>
      </w:pPr>
      <w:r w:rsidRPr="002039EC">
        <w:t>Chien,</w:t>
      </w:r>
      <w:r w:rsidRPr="00DD4E75">
        <w:t xml:space="preserve"> </w:t>
      </w:r>
      <w:r w:rsidRPr="002039EC">
        <w:t>H. T.</w:t>
      </w:r>
      <w:r>
        <w:t>,</w:t>
      </w:r>
      <w:r w:rsidRPr="002039EC">
        <w:t xml:space="preserve"> Bakhtiari, S.</w:t>
      </w:r>
      <w:r>
        <w:t>,</w:t>
      </w:r>
      <w:r w:rsidRPr="002039EC">
        <w:t xml:space="preserve"> Sheen, S. H.</w:t>
      </w:r>
      <w:r>
        <w:t>, Argonne National Laboratory, u</w:t>
      </w:r>
      <w:r w:rsidRPr="002039EC">
        <w:t xml:space="preserve">npublished report </w:t>
      </w:r>
      <w:r w:rsidR="004F35DA">
        <w:t>(</w:t>
      </w:r>
      <w:r w:rsidRPr="002039EC">
        <w:t>201</w:t>
      </w:r>
      <w:r>
        <w:t>5</w:t>
      </w:r>
      <w:r w:rsidR="004F35DA">
        <w:t>)</w:t>
      </w:r>
      <w:r w:rsidRPr="002039EC">
        <w:t>.</w:t>
      </w:r>
    </w:p>
    <w:p w14:paraId="49CFFC03" w14:textId="4F1B3F7C" w:rsidR="00DD4E75" w:rsidRPr="002039EC" w:rsidRDefault="00DD4E75" w:rsidP="009D6880">
      <w:pPr>
        <w:pStyle w:val="Referencelist"/>
        <w:jc w:val="left"/>
        <w:rPr>
          <w:iCs/>
        </w:rPr>
      </w:pPr>
      <w:r w:rsidRPr="002039EC">
        <w:t>Latge,</w:t>
      </w:r>
      <w:r w:rsidR="00E054AA">
        <w:t xml:space="preserve"> </w:t>
      </w:r>
      <w:r w:rsidR="00E054AA" w:rsidRPr="002039EC">
        <w:t>C.</w:t>
      </w:r>
      <w:r w:rsidR="00E054AA">
        <w:t>,</w:t>
      </w:r>
      <w:r w:rsidR="00E054AA" w:rsidRPr="002039EC">
        <w:t xml:space="preserve"> </w:t>
      </w:r>
      <w:r w:rsidRPr="002039EC">
        <w:t xml:space="preserve">“Interaction of Na and </w:t>
      </w:r>
      <w:r w:rsidR="004F35DA">
        <w:t>M</w:t>
      </w:r>
      <w:r w:rsidRPr="002039EC">
        <w:t xml:space="preserve">aterials,” </w:t>
      </w:r>
      <w:r w:rsidRPr="00E054AA">
        <w:rPr>
          <w:i/>
        </w:rPr>
        <w:t>IAEA Education &amp;Training Seminar on Fast Reactor Sci. and Tech.</w:t>
      </w:r>
      <w:r w:rsidRPr="002039EC">
        <w:t xml:space="preserve">, CNEA Bariloche, Argentina </w:t>
      </w:r>
      <w:r w:rsidR="00E054AA">
        <w:t>(</w:t>
      </w:r>
      <w:r w:rsidRPr="002039EC">
        <w:t>2012</w:t>
      </w:r>
      <w:r w:rsidR="00E054AA">
        <w:t>)</w:t>
      </w:r>
      <w:r w:rsidRPr="002039EC">
        <w:t>.</w:t>
      </w:r>
    </w:p>
    <w:p w14:paraId="4B03D7A8" w14:textId="0883D44A" w:rsidR="00DD4E75" w:rsidRDefault="00DD4E75" w:rsidP="009D6880">
      <w:pPr>
        <w:pStyle w:val="Referencelist"/>
        <w:jc w:val="left"/>
      </w:pPr>
      <w:r w:rsidRPr="00E054AA">
        <w:rPr>
          <w:i/>
        </w:rPr>
        <w:t xml:space="preserve">Status </w:t>
      </w:r>
      <w:r w:rsidR="00E054AA">
        <w:rPr>
          <w:i/>
        </w:rPr>
        <w:t>o</w:t>
      </w:r>
      <w:r w:rsidR="00E054AA" w:rsidRPr="00E054AA">
        <w:rPr>
          <w:i/>
        </w:rPr>
        <w:t>f Liquid Metal Cooled Fast Reactor Technology</w:t>
      </w:r>
      <w:r w:rsidRPr="002039EC">
        <w:t xml:space="preserve">, IAEA-TECDOC-1083, </w:t>
      </w:r>
      <w:r w:rsidR="004F35DA">
        <w:t>IAEA, Vienna (</w:t>
      </w:r>
      <w:r w:rsidRPr="002039EC">
        <w:t>1999</w:t>
      </w:r>
      <w:r w:rsidR="004F35DA">
        <w:t>)</w:t>
      </w:r>
      <w:r w:rsidRPr="002039EC">
        <w:t>.</w:t>
      </w:r>
    </w:p>
    <w:p w14:paraId="6D751654" w14:textId="732E2159" w:rsidR="00DD4E75" w:rsidRPr="0078497E" w:rsidRDefault="00DD4E75" w:rsidP="009D6880">
      <w:pPr>
        <w:pStyle w:val="Referencelist"/>
        <w:jc w:val="left"/>
      </w:pPr>
      <w:r w:rsidRPr="0078497E">
        <w:t xml:space="preserve">Wrightson, </w:t>
      </w:r>
      <w:r w:rsidR="004F35DA" w:rsidRPr="0078497E">
        <w:t>M. M.</w:t>
      </w:r>
      <w:r w:rsidR="004F35DA">
        <w:t>, et al.</w:t>
      </w:r>
      <w:r w:rsidRPr="0078497E">
        <w:t>, “EBR-II Water-to-Sodium Leak Detection System”</w:t>
      </w:r>
      <w:r w:rsidR="004F35DA">
        <w:t>,</w:t>
      </w:r>
      <w:r w:rsidRPr="0078497E">
        <w:t xml:space="preserve"> </w:t>
      </w:r>
      <w:r w:rsidRPr="0078497E">
        <w:rPr>
          <w:i/>
        </w:rPr>
        <w:t>Int’l Conf. on Liquid Metal Technology in Energy Production</w:t>
      </w:r>
      <w:r w:rsidRPr="0078497E">
        <w:t xml:space="preserve">, Champion, Pennsylvania, USA </w:t>
      </w:r>
      <w:r w:rsidR="004F35DA">
        <w:t>(</w:t>
      </w:r>
      <w:r w:rsidRPr="0078497E">
        <w:t>1976</w:t>
      </w:r>
      <w:r w:rsidR="004F35DA">
        <w:t>)</w:t>
      </w:r>
      <w:r w:rsidRPr="0078497E">
        <w:t>.</w:t>
      </w:r>
    </w:p>
    <w:p w14:paraId="160854E5" w14:textId="4873B45D" w:rsidR="00DD4E75" w:rsidRPr="002039EC" w:rsidRDefault="00DD4E75" w:rsidP="009D6880">
      <w:pPr>
        <w:pStyle w:val="Referencelist"/>
        <w:jc w:val="left"/>
      </w:pPr>
      <w:r w:rsidRPr="002039EC">
        <w:t>Chien,</w:t>
      </w:r>
      <w:r w:rsidRPr="00DD4E75">
        <w:t xml:space="preserve"> </w:t>
      </w:r>
      <w:r w:rsidRPr="002039EC">
        <w:t>H. T.</w:t>
      </w:r>
      <w:r>
        <w:t>,</w:t>
      </w:r>
      <w:r w:rsidRPr="002039EC">
        <w:t xml:space="preserve"> </w:t>
      </w:r>
      <w:r>
        <w:t>et al., Argonne National Laboratory, u</w:t>
      </w:r>
      <w:r w:rsidRPr="002039EC">
        <w:t>npublished report</w:t>
      </w:r>
      <w:r w:rsidR="004F35DA">
        <w:t xml:space="preserve"> (</w:t>
      </w:r>
      <w:r w:rsidRPr="002039EC">
        <w:t>201</w:t>
      </w:r>
      <w:r>
        <w:t>7</w:t>
      </w:r>
      <w:r w:rsidR="004F35DA">
        <w:t>)</w:t>
      </w:r>
      <w:r w:rsidRPr="002039EC">
        <w:t>.</w:t>
      </w:r>
    </w:p>
    <w:p w14:paraId="1F77A1CF" w14:textId="46B92956" w:rsidR="00DD4E75" w:rsidRPr="002039EC" w:rsidRDefault="00DD4E75" w:rsidP="009D6880">
      <w:pPr>
        <w:pStyle w:val="Referencelist"/>
        <w:jc w:val="left"/>
      </w:pPr>
      <w:r w:rsidRPr="002039EC">
        <w:t>Chien,</w:t>
      </w:r>
      <w:r w:rsidRPr="00DD4E75">
        <w:t xml:space="preserve"> </w:t>
      </w:r>
      <w:r w:rsidRPr="002039EC">
        <w:t>H. T.</w:t>
      </w:r>
      <w:r>
        <w:t>,</w:t>
      </w:r>
      <w:r w:rsidRPr="002039EC">
        <w:t xml:space="preserve"> </w:t>
      </w:r>
      <w:r>
        <w:t>et al., Argonne National Laboratory, u</w:t>
      </w:r>
      <w:r w:rsidRPr="002039EC">
        <w:t>npublished report</w:t>
      </w:r>
      <w:r w:rsidR="004F35DA">
        <w:t xml:space="preserve"> (</w:t>
      </w:r>
      <w:r w:rsidRPr="002039EC">
        <w:t>201</w:t>
      </w:r>
      <w:r>
        <w:t>9</w:t>
      </w:r>
      <w:r w:rsidR="004F35DA">
        <w:t>)</w:t>
      </w:r>
      <w:r w:rsidRPr="002039EC">
        <w:t>.</w:t>
      </w:r>
    </w:p>
    <w:p w14:paraId="4E0CC724" w14:textId="03B5004E" w:rsidR="0026721E" w:rsidRDefault="00DD4E75" w:rsidP="009D6880">
      <w:pPr>
        <w:pStyle w:val="Referencelist"/>
        <w:jc w:val="left"/>
      </w:pPr>
      <w:r w:rsidRPr="0078497E">
        <w:t>McKee, J. M.</w:t>
      </w:r>
      <w:r>
        <w:t>,</w:t>
      </w:r>
      <w:r w:rsidRPr="0078497E">
        <w:t xml:space="preserve"> Osterhout, M. M.</w:t>
      </w:r>
      <w:r>
        <w:t>,</w:t>
      </w:r>
      <w:r w:rsidRPr="0078497E">
        <w:t xml:space="preserve"> Batten, R. L.</w:t>
      </w:r>
      <w:r>
        <w:t>,</w:t>
      </w:r>
      <w:r w:rsidRPr="0078497E">
        <w:t xml:space="preserve"> “Use of a Steam Leak Simulator in EBR-II,” </w:t>
      </w:r>
      <w:r w:rsidRPr="0078497E">
        <w:rPr>
          <w:i/>
        </w:rPr>
        <w:t>Liquid Metal Engineering and Technology</w:t>
      </w:r>
      <w:r w:rsidRPr="0078497E">
        <w:t>, 25, ICE Publishing</w:t>
      </w:r>
      <w:r w:rsidR="00E054AA">
        <w:t xml:space="preserve"> (</w:t>
      </w:r>
      <w:r w:rsidRPr="0078497E">
        <w:t>1984</w:t>
      </w:r>
      <w:r w:rsidR="00E054AA">
        <w:t>)</w:t>
      </w:r>
      <w:r w:rsidRPr="0078497E">
        <w:t>.</w:t>
      </w:r>
    </w:p>
    <w:p w14:paraId="51D9614D" w14:textId="25903922" w:rsidR="007F2BB2" w:rsidRPr="007F2BB2" w:rsidRDefault="007F2BB2" w:rsidP="009D6880">
      <w:pPr>
        <w:pStyle w:val="Referencelist"/>
        <w:jc w:val="left"/>
      </w:pPr>
      <w:r w:rsidRPr="007F2BB2">
        <w:t>Maroni</w:t>
      </w:r>
      <w:r>
        <w:t>, V. A., et al.,</w:t>
      </w:r>
      <w:r w:rsidRPr="007F2BB2">
        <w:t xml:space="preserve"> </w:t>
      </w:r>
      <w:r>
        <w:t>“</w:t>
      </w:r>
      <w:r w:rsidRPr="007F2BB2">
        <w:t>Liquid Metals Chemistry and Tritium Control Technology Annual Report</w:t>
      </w:r>
      <w:r>
        <w:t xml:space="preserve">,” </w:t>
      </w:r>
      <w:r w:rsidRPr="007F2BB2">
        <w:rPr>
          <w:i/>
        </w:rPr>
        <w:t>Technical Report ANL-75-50</w:t>
      </w:r>
      <w:r>
        <w:t>, Argonne National Laboratory (</w:t>
      </w:r>
      <w:r w:rsidRPr="007F2BB2">
        <w:t>1975</w:t>
      </w:r>
      <w:r>
        <w:t>).</w:t>
      </w:r>
    </w:p>
    <w:sectPr w:rsidR="007F2BB2" w:rsidRPr="007F2BB2" w:rsidSect="0026525A">
      <w:headerReference w:type="even" r:id="rId30"/>
      <w:headerReference w:type="default" r:id="rId31"/>
      <w:footerReference w:type="even" r:id="rId32"/>
      <w:footerReference w:type="default" r:id="rId33"/>
      <w:headerReference w:type="first" r:id="rId34"/>
      <w:footerReference w:type="first" r:id="rId35"/>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49AF38" w14:textId="77777777" w:rsidR="00C453A1" w:rsidRDefault="00C453A1">
      <w:r>
        <w:separator/>
      </w:r>
    </w:p>
  </w:endnote>
  <w:endnote w:type="continuationSeparator" w:id="0">
    <w:p w14:paraId="0AFEC16B" w14:textId="77777777" w:rsidR="00C453A1" w:rsidRDefault="00C45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altName w:val="Symbol"/>
    <w:panose1 w:val="05050102010706020507"/>
    <w:charset w:val="02"/>
    <w:family w:val="decorative"/>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Times New Roman Bold">
    <w:altName w:val="Times New Roman"/>
    <w:panose1 w:val="020208030705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6" w14:textId="1F2B7990" w:rsidR="00E20E70" w:rsidRDefault="00E20E70">
    <w:pPr>
      <w:pStyle w:val="zyxClassification1"/>
    </w:pPr>
    <w:r>
      <w:fldChar w:fldCharType="begin"/>
    </w:r>
    <w:r>
      <w:instrText xml:space="preserve"> DOCPROPERTY "IaeaClassification"  \* MERGEFORMAT </w:instrText>
    </w:r>
    <w:r>
      <w:fldChar w:fldCharType="end"/>
    </w:r>
  </w:p>
  <w:p w14:paraId="433FE0C7" w14:textId="69D5D28E"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8" w14:textId="2E62B796" w:rsidR="00E20E70" w:rsidRDefault="00E20E70">
    <w:pPr>
      <w:pStyle w:val="zyxClassification1"/>
    </w:pPr>
    <w:r>
      <w:fldChar w:fldCharType="begin"/>
    </w:r>
    <w:r>
      <w:instrText xml:space="preserve"> DOCPROPERTY "IaeaClassification"  \* MERGEFORMAT </w:instrText>
    </w:r>
    <w:r>
      <w:fldChar w:fldCharType="end"/>
    </w:r>
  </w:p>
  <w:p w14:paraId="433FE0C9" w14:textId="067795EE"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7E17BF">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24F97738"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1614F91F"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1" w:name="DOC_bkmClassification2"/>
      <w:tc>
        <w:tcPr>
          <w:tcW w:w="5670" w:type="dxa"/>
          <w:tcMar>
            <w:right w:w="249" w:type="dxa"/>
          </w:tcMar>
        </w:tcPr>
        <w:p w14:paraId="433FE0D6" w14:textId="1D7675F6"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1"/>
        <w:p w14:paraId="433FE0D7" w14:textId="5D9334A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12" w:name="DOC_bkmFileName"/>
  <w:p w14:paraId="433FE0D9" w14:textId="0C399CF3" w:rsidR="00E20E70" w:rsidRDefault="00E20E70">
    <w:r>
      <w:rPr>
        <w:sz w:val="16"/>
      </w:rPr>
      <w:fldChar w:fldCharType="begin"/>
    </w:r>
    <w:r>
      <w:rPr>
        <w:sz w:val="16"/>
      </w:rPr>
      <w:instrText xml:space="preserve"> FILENAME \* MERGEFORMAT </w:instrText>
    </w:r>
    <w:r>
      <w:rPr>
        <w:sz w:val="16"/>
      </w:rPr>
      <w:fldChar w:fldCharType="separate"/>
    </w:r>
    <w:r w:rsidR="009D6880">
      <w:rPr>
        <w:noProof/>
        <w:sz w:val="16"/>
      </w:rPr>
      <w:t>367 - FR21-IAEA-CN-291-367-HTChien ANL.docx</w:t>
    </w:r>
    <w:r>
      <w:rPr>
        <w:sz w:val="16"/>
      </w:rPr>
      <w:fldChar w:fldCharType="end"/>
    </w:r>
    <w:bookmarkEnd w:id="1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AA974" w14:textId="77777777" w:rsidR="00C453A1" w:rsidRDefault="00C453A1">
      <w:r>
        <w:t>___________________________________________________________________________</w:t>
      </w:r>
    </w:p>
  </w:footnote>
  <w:footnote w:type="continuationSeparator" w:id="0">
    <w:p w14:paraId="75BDAFE7" w14:textId="77777777" w:rsidR="00C453A1" w:rsidRDefault="00C453A1">
      <w:r>
        <w:t>___________________________________________________________________________</w:t>
      </w:r>
    </w:p>
  </w:footnote>
  <w:footnote w:type="continuationNotice" w:id="1">
    <w:p w14:paraId="1A12E2AA" w14:textId="77777777" w:rsidR="00C453A1" w:rsidRDefault="00C453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2" w14:textId="582296FD" w:rsidR="00E20E70" w:rsidRDefault="002C29DB" w:rsidP="003F604C">
    <w:pPr>
      <w:pStyle w:val="Runninghead"/>
    </w:pPr>
    <w:r>
      <w:t xml:space="preserve">FR21: </w:t>
    </w:r>
    <w:r w:rsidR="00CF7AF3">
      <w:t>IAEA-CN-</w:t>
    </w:r>
    <w:r>
      <w:t>291</w:t>
    </w:r>
    <w:r w:rsidR="00CF7AF3">
      <w:t>/</w:t>
    </w:r>
    <w:r w:rsidR="003F604C">
      <w:t>367</w:t>
    </w:r>
  </w:p>
  <w:p w14:paraId="433FE0C3" w14:textId="5D281180"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5" w14:textId="6861F908" w:rsidR="00037321" w:rsidRPr="009E1558" w:rsidRDefault="003F604C" w:rsidP="003F604C">
    <w:pPr>
      <w:pStyle w:val="Runninghead"/>
    </w:pPr>
    <w:r>
      <w:t>Hual-Te Chien,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10" w:name="DOC_bkmClassification1"/>
      <w:tc>
        <w:tcPr>
          <w:tcW w:w="5702" w:type="dxa"/>
          <w:vMerge w:val="restart"/>
          <w:tcMar>
            <w:right w:w="193" w:type="dxa"/>
          </w:tcMar>
        </w:tcPr>
        <w:p w14:paraId="433FE0CC" w14:textId="344CCE24"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0"/>
        <w:p w14:paraId="433FE0CD" w14:textId="7B880ADA"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Heading9"/>
            <w:spacing w:before="0" w:after="10"/>
          </w:pPr>
        </w:p>
      </w:tc>
      <w:tc>
        <w:tcPr>
          <w:tcW w:w="5702" w:type="dxa"/>
          <w:vMerge/>
          <w:vAlign w:val="bottom"/>
        </w:tcPr>
        <w:p w14:paraId="433FE0D1" w14:textId="77777777" w:rsidR="00E20E70" w:rsidRDefault="00E20E70">
          <w:pPr>
            <w:pStyle w:val="Heading9"/>
            <w:spacing w:before="0" w:after="10"/>
          </w:pPr>
        </w:p>
      </w:tc>
    </w:tr>
  </w:tbl>
  <w:p w14:paraId="433FE0D3"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13A1E"/>
    <w:multiLevelType w:val="multilevel"/>
    <w:tmpl w:val="70060F64"/>
    <w:name w:val="HeadingTemplate322"/>
    <w:lvl w:ilvl="0">
      <w:start w:val="1"/>
      <w:numFmt w:val="none"/>
      <w:lvlRestart w:val="0"/>
      <w:lvlText w:val=""/>
      <w:lvlJc w:val="left"/>
      <w:pPr>
        <w:tabs>
          <w:tab w:val="num" w:pos="459"/>
        </w:tabs>
        <w:ind w:left="0" w:firstLine="0"/>
      </w:pPr>
      <w:rPr>
        <w:rFonts w:hint="default"/>
      </w:rPr>
    </w:lvl>
    <w:lvl w:ilvl="1">
      <w:start w:val="1"/>
      <w:numFmt w:val="none"/>
      <w:lvlRestart w:val="0"/>
      <w:pStyle w:val="Heading2"/>
      <w:suff w:val="space"/>
      <w:lvlText w:val="5."/>
      <w:lvlJc w:val="left"/>
      <w:pPr>
        <w:ind w:left="0" w:firstLine="0"/>
      </w:pPr>
      <w:rPr>
        <w:rFonts w:hint="default"/>
        <w:color w:val="auto"/>
      </w:rPr>
    </w:lvl>
    <w:lvl w:ilvl="2">
      <w:start w:val="1"/>
      <w:numFmt w:val="decimal"/>
      <w:lvlRestart w:val="0"/>
      <w:pStyle w:val="Heading3"/>
      <w:lvlText w:val="2.%3."/>
      <w:lvlJc w:val="left"/>
      <w:pPr>
        <w:ind w:left="0" w:firstLine="0"/>
      </w:pPr>
      <w:rPr>
        <w:rFonts w:hint="default"/>
      </w:rPr>
    </w:lvl>
    <w:lvl w:ilvl="3">
      <w:start w:val="1"/>
      <w:numFmt w:val="decimal"/>
      <w:lvlRestart w:val="0"/>
      <w:pStyle w:val="Heading4"/>
      <w:lvlText w:val="2.4.%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A632A8B"/>
    <w:multiLevelType w:val="hybridMultilevel"/>
    <w:tmpl w:val="A40CF0FC"/>
    <w:lvl w:ilvl="0" w:tplc="F2FC648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2F4939"/>
    <w:multiLevelType w:val="hybridMultilevel"/>
    <w:tmpl w:val="C8EA3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B026EA"/>
    <w:multiLevelType w:val="multilevel"/>
    <w:tmpl w:val="84BA779C"/>
    <w:name w:val="HeadingTemplate3"/>
    <w:lvl w:ilvl="0">
      <w:start w:val="1"/>
      <w:numFmt w:val="none"/>
      <w:lvlRestart w:val="0"/>
      <w:lvlText w:val=""/>
      <w:lvlJc w:val="left"/>
      <w:pPr>
        <w:tabs>
          <w:tab w:val="num" w:pos="459"/>
        </w:tabs>
        <w:ind w:left="0" w:firstLine="0"/>
      </w:pPr>
      <w:rPr>
        <w:rFonts w:hint="default"/>
      </w:rPr>
    </w:lvl>
    <w:lvl w:ilvl="1">
      <w:start w:val="1"/>
      <w:numFmt w:val="decimal"/>
      <w:lvlRestart w:val="0"/>
      <w:suff w:val="space"/>
      <w:lvlText w:val="%1%2."/>
      <w:lvlJc w:val="left"/>
      <w:pPr>
        <w:ind w:left="0" w:firstLine="0"/>
      </w:pPr>
      <w:rPr>
        <w:rFonts w:hint="default"/>
        <w:color w:val="auto"/>
      </w:rPr>
    </w:lvl>
    <w:lvl w:ilvl="2">
      <w:start w:val="1"/>
      <w:numFmt w:val="decimal"/>
      <w:lvlRestart w:val="0"/>
      <w:lvlText w:val="%13.%3."/>
      <w:lvlJc w:val="left"/>
      <w:pPr>
        <w:ind w:left="0" w:firstLine="0"/>
      </w:pPr>
      <w:rPr>
        <w:rFonts w:hint="default"/>
      </w:rPr>
    </w:lvl>
    <w:lvl w:ilvl="3">
      <w:start w:val="1"/>
      <w:numFmt w:val="decimal"/>
      <w:lvlRestart w:val="0"/>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0" w15:restartNumberingAfterBreak="0">
    <w:nsid w:val="4C772CD0"/>
    <w:multiLevelType w:val="multilevel"/>
    <w:tmpl w:val="81AC0AA8"/>
    <w:name w:val="HeadingTemplate32"/>
    <w:lvl w:ilvl="0">
      <w:start w:val="1"/>
      <w:numFmt w:val="none"/>
      <w:lvlRestart w:val="0"/>
      <w:lvlText w:val=""/>
      <w:lvlJc w:val="left"/>
      <w:pPr>
        <w:tabs>
          <w:tab w:val="num" w:pos="459"/>
        </w:tabs>
        <w:ind w:left="0" w:firstLine="0"/>
      </w:pPr>
      <w:rPr>
        <w:rFonts w:hint="default"/>
      </w:rPr>
    </w:lvl>
    <w:lvl w:ilvl="1">
      <w:start w:val="1"/>
      <w:numFmt w:val="decimal"/>
      <w:lvlRestart w:val="0"/>
      <w:suff w:val="space"/>
      <w:lvlText w:val="%1%2."/>
      <w:lvlJc w:val="left"/>
      <w:pPr>
        <w:ind w:left="0" w:firstLine="0"/>
      </w:pPr>
      <w:rPr>
        <w:rFonts w:hint="default"/>
        <w:color w:val="auto"/>
      </w:rPr>
    </w:lvl>
    <w:lvl w:ilvl="2">
      <w:start w:val="1"/>
      <w:numFmt w:val="decimal"/>
      <w:lvlRestart w:val="0"/>
      <w:lvlText w:val="%13.%3."/>
      <w:lvlJc w:val="left"/>
      <w:pPr>
        <w:ind w:left="0" w:firstLine="0"/>
      </w:pPr>
      <w:rPr>
        <w:rFonts w:hint="default"/>
      </w:rPr>
    </w:lvl>
    <w:lvl w:ilvl="3">
      <w:start w:val="1"/>
      <w:numFmt w:val="decimal"/>
      <w:lvlRestart w:val="0"/>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2" w15:restartNumberingAfterBreak="0">
    <w:nsid w:val="6D80275A"/>
    <w:multiLevelType w:val="hybridMultilevel"/>
    <w:tmpl w:val="26F4B83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D51093"/>
    <w:multiLevelType w:val="multilevel"/>
    <w:tmpl w:val="70A4DFA8"/>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suff w:val="space"/>
      <w:lvlText w:val="%1%2."/>
      <w:lvlJc w:val="left"/>
      <w:pPr>
        <w:ind w:left="0" w:firstLine="0"/>
      </w:pPr>
      <w:rPr>
        <w:rFonts w:hint="default"/>
        <w:color w:val="auto"/>
      </w:rPr>
    </w:lvl>
    <w:lvl w:ilvl="2">
      <w:start w:val="1"/>
      <w:numFmt w:val="decimal"/>
      <w:lvlRestart w:val="0"/>
      <w:lvlText w:val="%1%2.%3."/>
      <w:lvlJc w:val="left"/>
      <w:pPr>
        <w:ind w:left="0" w:firstLine="0"/>
      </w:pPr>
      <w:rPr>
        <w:rFonts w:hint="default"/>
      </w:rPr>
    </w:lvl>
    <w:lvl w:ilvl="3">
      <w:start w:val="1"/>
      <w:numFmt w:val="decimal"/>
      <w:lvlRestart w:val="0"/>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4" w15:restartNumberingAfterBreak="0">
    <w:nsid w:val="7E217D0D"/>
    <w:multiLevelType w:val="hybridMultilevel"/>
    <w:tmpl w:val="7AAEE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5"/>
  </w:num>
  <w:num w:numId="4">
    <w:abstractNumId w:val="1"/>
  </w:num>
  <w:num w:numId="5">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lvlText w:val="%1%2."/>
        <w:lvlJc w:val="left"/>
        <w:pPr>
          <w:ind w:left="0" w:firstLine="0"/>
        </w:pPr>
        <w:rPr>
          <w:rFonts w:hint="default"/>
          <w:color w:val="auto"/>
        </w:rPr>
      </w:lvl>
    </w:lvlOverride>
    <w:lvlOverride w:ilvl="2">
      <w:lvl w:ilvl="2">
        <w:start w:val="1"/>
        <w:numFmt w:val="decimal"/>
        <w:lvlRestart w:val="0"/>
        <w:lvlText w:val="%1%2.%3."/>
        <w:lvlJc w:val="left"/>
        <w:pPr>
          <w:ind w:left="0" w:firstLine="0"/>
        </w:pPr>
        <w:rPr>
          <w:rFonts w:hint="default"/>
        </w:rPr>
      </w:lvl>
    </w:lvlOverride>
    <w:lvlOverride w:ilvl="3">
      <w:lvl w:ilvl="3">
        <w:start w:val="1"/>
        <w:numFmt w:val="none"/>
        <w:lvlRestart w:val="0"/>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6">
    <w:abstractNumId w:val="2"/>
  </w:num>
  <w:num w:numId="7">
    <w:abstractNumId w:val="3"/>
  </w:num>
  <w:num w:numId="8">
    <w:abstractNumId w:val="7"/>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6"/>
  </w:num>
  <w:num w:numId="13">
    <w:abstractNumId w:val="14"/>
  </w:num>
  <w:num w:numId="14">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12B25"/>
    <w:rsid w:val="00020664"/>
    <w:rsid w:val="000229AB"/>
    <w:rsid w:val="0002569A"/>
    <w:rsid w:val="00037321"/>
    <w:rsid w:val="00047DEC"/>
    <w:rsid w:val="00083214"/>
    <w:rsid w:val="00093A64"/>
    <w:rsid w:val="000A0299"/>
    <w:rsid w:val="000A2990"/>
    <w:rsid w:val="000B2763"/>
    <w:rsid w:val="000C4332"/>
    <w:rsid w:val="000F7E94"/>
    <w:rsid w:val="001119D6"/>
    <w:rsid w:val="001308F2"/>
    <w:rsid w:val="001313E8"/>
    <w:rsid w:val="0014329A"/>
    <w:rsid w:val="00155488"/>
    <w:rsid w:val="00180B85"/>
    <w:rsid w:val="00183BC4"/>
    <w:rsid w:val="00192218"/>
    <w:rsid w:val="001953C8"/>
    <w:rsid w:val="001B1ED8"/>
    <w:rsid w:val="001C58F5"/>
    <w:rsid w:val="001D3326"/>
    <w:rsid w:val="001D5CEE"/>
    <w:rsid w:val="001F343D"/>
    <w:rsid w:val="00203FD9"/>
    <w:rsid w:val="002071D9"/>
    <w:rsid w:val="00256822"/>
    <w:rsid w:val="0026525A"/>
    <w:rsid w:val="0026721E"/>
    <w:rsid w:val="00274790"/>
    <w:rsid w:val="00285755"/>
    <w:rsid w:val="002A1F9C"/>
    <w:rsid w:val="002A4CC4"/>
    <w:rsid w:val="002B1C5D"/>
    <w:rsid w:val="002B29C2"/>
    <w:rsid w:val="002C29DB"/>
    <w:rsid w:val="002C4208"/>
    <w:rsid w:val="00313EC5"/>
    <w:rsid w:val="00350DA1"/>
    <w:rsid w:val="00352DE1"/>
    <w:rsid w:val="003728E6"/>
    <w:rsid w:val="00396350"/>
    <w:rsid w:val="003B5E0E"/>
    <w:rsid w:val="003D255A"/>
    <w:rsid w:val="003E1DCA"/>
    <w:rsid w:val="003F604C"/>
    <w:rsid w:val="003F665F"/>
    <w:rsid w:val="004025E3"/>
    <w:rsid w:val="00416949"/>
    <w:rsid w:val="004370D8"/>
    <w:rsid w:val="00444B06"/>
    <w:rsid w:val="00446D79"/>
    <w:rsid w:val="00472C43"/>
    <w:rsid w:val="00496DCA"/>
    <w:rsid w:val="004F35DA"/>
    <w:rsid w:val="00537496"/>
    <w:rsid w:val="00544ED3"/>
    <w:rsid w:val="005638C3"/>
    <w:rsid w:val="0058477B"/>
    <w:rsid w:val="0058654F"/>
    <w:rsid w:val="00596ACA"/>
    <w:rsid w:val="005B38AB"/>
    <w:rsid w:val="005E39BC"/>
    <w:rsid w:val="005F00A0"/>
    <w:rsid w:val="005F2C17"/>
    <w:rsid w:val="00634267"/>
    <w:rsid w:val="00647676"/>
    <w:rsid w:val="00647F33"/>
    <w:rsid w:val="00662532"/>
    <w:rsid w:val="006679E6"/>
    <w:rsid w:val="00675C3E"/>
    <w:rsid w:val="006B2274"/>
    <w:rsid w:val="00702E76"/>
    <w:rsid w:val="00717C6F"/>
    <w:rsid w:val="007445DA"/>
    <w:rsid w:val="00745EC0"/>
    <w:rsid w:val="007B4FD1"/>
    <w:rsid w:val="007E17BF"/>
    <w:rsid w:val="007F2BB2"/>
    <w:rsid w:val="00802381"/>
    <w:rsid w:val="0083096A"/>
    <w:rsid w:val="008578FF"/>
    <w:rsid w:val="008628EC"/>
    <w:rsid w:val="0086759F"/>
    <w:rsid w:val="00871F40"/>
    <w:rsid w:val="00883848"/>
    <w:rsid w:val="00885E24"/>
    <w:rsid w:val="00892724"/>
    <w:rsid w:val="00895107"/>
    <w:rsid w:val="00897ED5"/>
    <w:rsid w:val="008A5B71"/>
    <w:rsid w:val="008B6BB9"/>
    <w:rsid w:val="008B7FAF"/>
    <w:rsid w:val="008D3AF9"/>
    <w:rsid w:val="008D7E95"/>
    <w:rsid w:val="00911543"/>
    <w:rsid w:val="00947ADF"/>
    <w:rsid w:val="009519C9"/>
    <w:rsid w:val="009D0B86"/>
    <w:rsid w:val="009D6880"/>
    <w:rsid w:val="009E0D5B"/>
    <w:rsid w:val="009E1558"/>
    <w:rsid w:val="009F05AD"/>
    <w:rsid w:val="00A233D1"/>
    <w:rsid w:val="00A42898"/>
    <w:rsid w:val="00A57919"/>
    <w:rsid w:val="00A8426D"/>
    <w:rsid w:val="00AA08B3"/>
    <w:rsid w:val="00AB6ACE"/>
    <w:rsid w:val="00AC218A"/>
    <w:rsid w:val="00AC5A3A"/>
    <w:rsid w:val="00AF1598"/>
    <w:rsid w:val="00B23680"/>
    <w:rsid w:val="00B4579C"/>
    <w:rsid w:val="00B604BE"/>
    <w:rsid w:val="00B82FA5"/>
    <w:rsid w:val="00BB4FAD"/>
    <w:rsid w:val="00BC0A43"/>
    <w:rsid w:val="00BD1400"/>
    <w:rsid w:val="00BD605C"/>
    <w:rsid w:val="00BE2A76"/>
    <w:rsid w:val="00C453A1"/>
    <w:rsid w:val="00C65E60"/>
    <w:rsid w:val="00CA0102"/>
    <w:rsid w:val="00CC0C0D"/>
    <w:rsid w:val="00CD5937"/>
    <w:rsid w:val="00CE5A52"/>
    <w:rsid w:val="00CF25FE"/>
    <w:rsid w:val="00CF7AF3"/>
    <w:rsid w:val="00D26ADA"/>
    <w:rsid w:val="00D35A78"/>
    <w:rsid w:val="00D515DA"/>
    <w:rsid w:val="00D555A1"/>
    <w:rsid w:val="00D64DC2"/>
    <w:rsid w:val="00DA46CA"/>
    <w:rsid w:val="00DD4E75"/>
    <w:rsid w:val="00DF21EB"/>
    <w:rsid w:val="00E054AA"/>
    <w:rsid w:val="00E20E70"/>
    <w:rsid w:val="00E25B68"/>
    <w:rsid w:val="00E64507"/>
    <w:rsid w:val="00E84003"/>
    <w:rsid w:val="00EC10FC"/>
    <w:rsid w:val="00ED0A99"/>
    <w:rsid w:val="00EE0041"/>
    <w:rsid w:val="00EE29B9"/>
    <w:rsid w:val="00F004EE"/>
    <w:rsid w:val="00F42E23"/>
    <w:rsid w:val="00F43DEF"/>
    <w:rsid w:val="00F45EEE"/>
    <w:rsid w:val="00F51E9C"/>
    <w:rsid w:val="00F52315"/>
    <w:rsid w:val="00F523CA"/>
    <w:rsid w:val="00F74A9D"/>
    <w:rsid w:val="00FD0583"/>
    <w:rsid w:val="00FF386F"/>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1" w:defUIPriority="49" w:defSemiHidden="0" w:defUnhideWhenUsed="0" w:defQFormat="0" w:count="375">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9"/>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9"/>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9"/>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qFormat/>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6"/>
      </w:numPr>
      <w:ind w:left="709"/>
    </w:pPr>
  </w:style>
  <w:style w:type="paragraph" w:customStyle="1" w:styleId="ListNumbered">
    <w:name w:val="List Numbered"/>
    <w:basedOn w:val="BodyText"/>
    <w:uiPriority w:val="5"/>
    <w:qFormat/>
    <w:locked/>
    <w:rsid w:val="00717C6F"/>
    <w:pPr>
      <w:numPr>
        <w:numId w:val="7"/>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8"/>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i/>
      <w:iCs/>
      <w:sz w:val="18"/>
      <w:szCs w:val="18"/>
    </w:rPr>
  </w:style>
  <w:style w:type="character" w:customStyle="1" w:styleId="FIG-LONGChar">
    <w:name w:val="FIG-LONG Char"/>
    <w:basedOn w:val="DefaultParagraphFont"/>
    <w:link w:val="FIG-LONG"/>
    <w:rsid w:val="002C29DB"/>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paragraph" w:styleId="EnvelopeAddress">
    <w:name w:val="envelope address"/>
    <w:basedOn w:val="Normal"/>
    <w:locked/>
    <w:rsid w:val="002B1C5D"/>
    <w:pPr>
      <w:framePr w:w="7920" w:h="1980" w:hRule="exact" w:hSpace="180" w:wrap="auto" w:hAnchor="page" w:xAlign="center" w:yAlign="bottom"/>
      <w:suppressAutoHyphens/>
      <w:spacing w:after="120"/>
      <w:ind w:left="2880"/>
      <w:jc w:val="both"/>
    </w:pPr>
    <w:rPr>
      <w:rFonts w:ascii="Arial" w:eastAsia="MS Mincho" w:hAnsi="Arial" w:cs="Arial"/>
      <w:sz w:val="24"/>
      <w:szCs w:val="24"/>
    </w:rPr>
  </w:style>
  <w:style w:type="paragraph" w:styleId="ListParagraph">
    <w:name w:val="List Paragraph"/>
    <w:basedOn w:val="Normal"/>
    <w:uiPriority w:val="34"/>
    <w:qFormat/>
    <w:locked/>
    <w:rsid w:val="00DD4E75"/>
    <w:pPr>
      <w:suppressAutoHyphens/>
      <w:spacing w:after="120"/>
      <w:ind w:left="720"/>
      <w:contextualSpacing/>
      <w:jc w:val="both"/>
    </w:pPr>
    <w:rPr>
      <w:rFonts w:ascii="Times" w:eastAsia="MS Mincho" w:hAnsi="Times"/>
      <w:sz w:val="24"/>
    </w:rPr>
  </w:style>
  <w:style w:type="paragraph" w:styleId="Revision">
    <w:name w:val="Revision"/>
    <w:hidden/>
    <w:uiPriority w:val="99"/>
    <w:semiHidden/>
    <w:rsid w:val="00047DEC"/>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1733154">
      <w:bodyDiv w:val="1"/>
      <w:marLeft w:val="0"/>
      <w:marRight w:val="0"/>
      <w:marTop w:val="0"/>
      <w:marBottom w:val="0"/>
      <w:divBdr>
        <w:top w:val="none" w:sz="0" w:space="0" w:color="auto"/>
        <w:left w:val="none" w:sz="0" w:space="0" w:color="auto"/>
        <w:bottom w:val="none" w:sz="0" w:space="0" w:color="auto"/>
        <w:right w:val="none" w:sz="0" w:space="0" w:color="auto"/>
      </w:divBdr>
    </w:div>
    <w:div w:id="184917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jpg"/><Relationship Id="rId21" Type="http://schemas.openxmlformats.org/officeDocument/2006/relationships/image" Target="media/image11.jpe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9862A41-25C8-654B-A51E-D4A08F738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C:\WINDOWS\IAEA\Templates\O365\IAEA Blank (r01).dotx</Template>
  <TotalTime>44</TotalTime>
  <Pages>9</Pages>
  <Words>3262</Words>
  <Characters>18595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Chien, Hual-Te</cp:lastModifiedBy>
  <cp:revision>12</cp:revision>
  <cp:lastPrinted>2022-02-21T23:02:00Z</cp:lastPrinted>
  <dcterms:created xsi:type="dcterms:W3CDTF">2021-06-24T13:28:00Z</dcterms:created>
  <dcterms:modified xsi:type="dcterms:W3CDTF">2022-02-21T23:14:00Z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