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2AC" w:rsidRDefault="00BD62AC" w:rsidP="00BD62AC">
      <w:pPr>
        <w:pStyle w:val="Heading1"/>
      </w:pPr>
      <w:r>
        <w:t>numerical investigation of cellular</w:t>
      </w:r>
    </w:p>
    <w:p w:rsidR="00BD62AC" w:rsidRDefault="00BD62AC" w:rsidP="00BD62AC">
      <w:pPr>
        <w:pStyle w:val="Heading1"/>
      </w:pPr>
      <w:r>
        <w:t>convection in the cover gas space of</w:t>
      </w:r>
    </w:p>
    <w:p w:rsidR="00BD62AC" w:rsidRPr="00EE29B9" w:rsidRDefault="00BD62AC" w:rsidP="00BD62AC">
      <w:pPr>
        <w:pStyle w:val="Heading1"/>
      </w:pPr>
      <w:r>
        <w:t>fast breeder test reactor</w:t>
      </w:r>
    </w:p>
    <w:p w:rsidR="00BD62AC" w:rsidRDefault="00BD62AC" w:rsidP="00BD62AC">
      <w:pPr>
        <w:pStyle w:val="Authornameandaffiliation"/>
      </w:pPr>
    </w:p>
    <w:p w:rsidR="00BD62AC" w:rsidRDefault="00BD62AC" w:rsidP="00BD62AC">
      <w:pPr>
        <w:pStyle w:val="Authornameandaffiliation"/>
      </w:pPr>
      <w:r>
        <w:t>K. CHATURVEDI, A.K. CHAUHAN, K. NATESAN, K.V. SURESH KUMAR</w:t>
      </w:r>
    </w:p>
    <w:p w:rsidR="00BD62AC" w:rsidRDefault="00BD62AC" w:rsidP="00BD62AC">
      <w:pPr>
        <w:pStyle w:val="Authornameandaffiliation"/>
      </w:pPr>
      <w:r>
        <w:t>Indira Gandhi Centre for Atomic Research, Department of Atomic Energy</w:t>
      </w:r>
    </w:p>
    <w:p w:rsidR="00BD62AC" w:rsidRDefault="00BD62AC" w:rsidP="00BD62AC">
      <w:pPr>
        <w:pStyle w:val="Authornameandaffiliation"/>
      </w:pPr>
      <w:r>
        <w:t>Kalpakkam, Tamil Nadu, India</w:t>
      </w:r>
    </w:p>
    <w:p w:rsidR="00BD62AC" w:rsidRDefault="00BD62AC" w:rsidP="00BD62AC">
      <w:pPr>
        <w:pStyle w:val="Authornameandaffiliation"/>
      </w:pPr>
      <w:r>
        <w:t xml:space="preserve">Email: </w:t>
      </w:r>
      <w:hyperlink r:id="rId8" w:history="1">
        <w:r w:rsidR="00A94AA6" w:rsidRPr="00287EAC">
          <w:rPr>
            <w:rStyle w:val="Hyperlink"/>
          </w:rPr>
          <w:t>kchaturvedi@igcar.gov.in</w:t>
        </w:r>
      </w:hyperlink>
    </w:p>
    <w:p w:rsidR="00BD62AC" w:rsidRDefault="00BD62AC" w:rsidP="00BD62AC">
      <w:pPr>
        <w:pStyle w:val="Authornameandaffiliation"/>
      </w:pPr>
    </w:p>
    <w:p w:rsidR="00BD62AC" w:rsidRPr="00647F33" w:rsidRDefault="00BD62AC" w:rsidP="00BD62AC">
      <w:pPr>
        <w:pStyle w:val="Authornameandaffiliation"/>
        <w:rPr>
          <w:b/>
        </w:rPr>
      </w:pPr>
      <w:r w:rsidRPr="00647F33">
        <w:rPr>
          <w:b/>
        </w:rPr>
        <w:t>Abstract</w:t>
      </w:r>
    </w:p>
    <w:p w:rsidR="00BD62AC" w:rsidRDefault="00BD62AC" w:rsidP="00BD62AC">
      <w:pPr>
        <w:pStyle w:val="Authornameandaffiliation"/>
      </w:pPr>
    </w:p>
    <w:p w:rsidR="00716AA7" w:rsidRDefault="00716AA7" w:rsidP="00BD62AC">
      <w:pPr>
        <w:pStyle w:val="Abstracttext"/>
        <w:jc w:val="both"/>
      </w:pPr>
      <w:r w:rsidRPr="00B4061F">
        <w:rPr>
          <w:color w:val="000000"/>
          <w:lang w:val="en-GB"/>
        </w:rPr>
        <w:t xml:space="preserve">Tilting of reactor vessel and other components due to circumferential temperature gradient is a critical safety and operational issue in </w:t>
      </w:r>
      <w:r w:rsidR="00B529A5">
        <w:rPr>
          <w:color w:val="000000"/>
          <w:lang w:val="en-GB"/>
        </w:rPr>
        <w:t xml:space="preserve">loop type </w:t>
      </w:r>
      <w:r w:rsidRPr="00B4061F">
        <w:rPr>
          <w:color w:val="000000"/>
          <w:lang w:val="en-GB"/>
        </w:rPr>
        <w:t>Fast Reactors. Natural convection of reactor cover gas developed in the narrow component penetrations is the main cause for such a phenomenon. Numerical analyses have been carried out using a CFD based computational tool to systematically investigate the possibility for development of circumferential temperature gradient in the reactor vessel of Fast Breeder Test Reactor (FBTR). The computational model which accounts for all the three modes of heat transfer has been validated against experimental results from a mock-up experimental study as well as measured data from the plant. Parametric studies have been carried out to bring out the influences of (</w:t>
      </w:r>
      <w:r w:rsidR="00237B0D">
        <w:rPr>
          <w:color w:val="000000"/>
          <w:lang w:val="en-GB"/>
        </w:rPr>
        <w:t>i</w:t>
      </w:r>
      <w:r w:rsidRPr="00B4061F">
        <w:rPr>
          <w:color w:val="000000"/>
          <w:lang w:val="en-GB"/>
        </w:rPr>
        <w:t>) physical barriers provided in the reactor, (ii) specific operational conditions of top shield cooling and biological shield cooling, and (iii) cover gas medium on the nature of circumferential temperature gradient developed in the reactor vessel.</w:t>
      </w:r>
    </w:p>
    <w:p w:rsidR="00647F33" w:rsidRPr="002E513B" w:rsidRDefault="00F523CA" w:rsidP="00537496">
      <w:pPr>
        <w:pStyle w:val="Heading2"/>
        <w:numPr>
          <w:ilvl w:val="1"/>
          <w:numId w:val="10"/>
        </w:numPr>
        <w:rPr>
          <w:b/>
        </w:rPr>
      </w:pPr>
      <w:r w:rsidRPr="002E513B">
        <w:rPr>
          <w:b/>
        </w:rPr>
        <w:t>INTRODUCTION</w:t>
      </w:r>
    </w:p>
    <w:p w:rsidR="006025D8" w:rsidRDefault="00BD62AC" w:rsidP="00537496">
      <w:pPr>
        <w:pStyle w:val="BodyText"/>
      </w:pPr>
      <w:r>
        <w:t xml:space="preserve">Fast reactor systems operate at low pressures due to which the components of these systems are very thin </w:t>
      </w:r>
      <w:r w:rsidR="00A00A9E">
        <w:t>(~</w:t>
      </w:r>
      <w:r>
        <w:t xml:space="preserve"> 10</w:t>
      </w:r>
      <w:r w:rsidR="00C955CD">
        <w:t xml:space="preserve"> </w:t>
      </w:r>
      <w:r w:rsidR="00237B0D">
        <w:t>– 1</w:t>
      </w:r>
      <w:r>
        <w:t>5 mm). In pool type reactors</w:t>
      </w:r>
      <w:r w:rsidR="00255415">
        <w:t>,</w:t>
      </w:r>
      <w:r w:rsidR="003D6FC2">
        <w:t xml:space="preserve"> </w:t>
      </w:r>
      <w:r w:rsidR="00255415">
        <w:t>the primary circuit</w:t>
      </w:r>
      <w:r>
        <w:t xml:space="preserve"> components are </w:t>
      </w:r>
      <w:r w:rsidR="00255415">
        <w:t xml:space="preserve">located </w:t>
      </w:r>
      <w:r>
        <w:t xml:space="preserve">within the reactor </w:t>
      </w:r>
      <w:r w:rsidR="00255415">
        <w:t xml:space="preserve">vessel </w:t>
      </w:r>
      <w:r>
        <w:t xml:space="preserve">itself </w:t>
      </w:r>
      <w:r w:rsidR="00255415">
        <w:t xml:space="preserve">supported over the top cover (top shield) </w:t>
      </w:r>
      <w:r w:rsidR="004F3B5C">
        <w:t>of the vessel</w:t>
      </w:r>
      <w:r>
        <w:t xml:space="preserve"> forming narrow annular penetration gaps filled </w:t>
      </w:r>
      <w:r w:rsidR="00255415">
        <w:t xml:space="preserve">with </w:t>
      </w:r>
      <w:r>
        <w:t>the cover gas of the reactor vessel. In loop type reactors</w:t>
      </w:r>
      <w:r w:rsidR="00710573">
        <w:t>,</w:t>
      </w:r>
      <w:r>
        <w:t xml:space="preserve"> these components are </w:t>
      </w:r>
      <w:r w:rsidR="00255415">
        <w:t xml:space="preserve">located </w:t>
      </w:r>
      <w:r>
        <w:t xml:space="preserve">outside the reactor vessel </w:t>
      </w:r>
      <w:r w:rsidR="00710573">
        <w:t>and</w:t>
      </w:r>
      <w:r>
        <w:t xml:space="preserve"> with similar support arrangements. </w:t>
      </w:r>
      <w:r w:rsidR="0072118B">
        <w:t>T</w:t>
      </w:r>
      <w:r w:rsidR="006025D8">
        <w:t>ilt</w:t>
      </w:r>
      <w:r w:rsidR="0072118B">
        <w:t xml:space="preserve">ing of reactor vessel during operation </w:t>
      </w:r>
      <w:r w:rsidR="006025D8">
        <w:t xml:space="preserve">is observed </w:t>
      </w:r>
      <w:r w:rsidR="0072118B">
        <w:t xml:space="preserve">under some conditions leading to operational and safety issues. </w:t>
      </w:r>
      <w:r w:rsidR="006025D8">
        <w:t>This tilt i</w:t>
      </w:r>
      <w:r w:rsidR="004F3B5C">
        <w:t>s due to turbulent</w:t>
      </w:r>
      <w:r w:rsidR="0072118B">
        <w:t xml:space="preserve"> natural</w:t>
      </w:r>
      <w:r w:rsidR="006025D8">
        <w:t xml:space="preserve"> convection </w:t>
      </w:r>
      <w:r w:rsidR="0072118B">
        <w:t xml:space="preserve">of </w:t>
      </w:r>
      <w:r w:rsidR="006025D8">
        <w:t xml:space="preserve">cover gas </w:t>
      </w:r>
      <w:r w:rsidR="0072118B">
        <w:t xml:space="preserve">in narrow penetrations which </w:t>
      </w:r>
      <w:r w:rsidR="004F3B5C">
        <w:t>establishes</w:t>
      </w:r>
      <w:r w:rsidR="0072118B">
        <w:t xml:space="preserve"> as cellular in nature </w:t>
      </w:r>
      <w:r w:rsidR="006025D8">
        <w:t>result</w:t>
      </w:r>
      <w:r w:rsidR="0072118B">
        <w:t>ing</w:t>
      </w:r>
      <w:r w:rsidR="006025D8">
        <w:t xml:space="preserve"> in development of </w:t>
      </w:r>
      <w:r w:rsidR="00012408">
        <w:t>azimuthal</w:t>
      </w:r>
      <w:r w:rsidR="006025D8">
        <w:t xml:space="preserve"> temperature gradient in the </w:t>
      </w:r>
      <w:r w:rsidR="0072118B">
        <w:t>structure.</w:t>
      </w:r>
    </w:p>
    <w:p w:rsidR="00D629DA" w:rsidRDefault="00C73C00" w:rsidP="00CC0DE5">
      <w:pPr>
        <w:pStyle w:val="BodyText"/>
      </w:pPr>
      <w:r>
        <w:t xml:space="preserve">Fast Breeder Test Reactor (FBTR) </w:t>
      </w:r>
      <w:r w:rsidR="002366CE">
        <w:t xml:space="preserve">(Fig. 1) </w:t>
      </w:r>
      <w:r>
        <w:t>is a loop-type sodium cooled fast reactor</w:t>
      </w:r>
      <w:r w:rsidR="00C03AF6">
        <w:t xml:space="preserve"> system</w:t>
      </w:r>
      <w:r>
        <w:t xml:space="preserve">, rated at 40 MWt and 13 MWe power. </w:t>
      </w:r>
      <w:r w:rsidR="00CC0DE5">
        <w:rPr>
          <w:lang w:val="en-IN"/>
        </w:rPr>
        <w:t xml:space="preserve">Liquid sodium in the primary system extracts heat from the core and </w:t>
      </w:r>
      <w:r w:rsidR="00D21CF1">
        <w:rPr>
          <w:lang w:val="en-IN"/>
        </w:rPr>
        <w:t>transfer</w:t>
      </w:r>
      <w:r w:rsidR="00A00A9E">
        <w:rPr>
          <w:lang w:val="en-IN"/>
        </w:rPr>
        <w:t>s</w:t>
      </w:r>
      <w:r w:rsidR="00CC0DE5">
        <w:rPr>
          <w:lang w:val="en-IN"/>
        </w:rPr>
        <w:t xml:space="preserve"> to steam water system through an intermediate sodium loop, called secondary sodium circuit. Steam produced runs </w:t>
      </w:r>
      <w:r w:rsidR="00A00A9E">
        <w:rPr>
          <w:lang w:val="en-IN"/>
        </w:rPr>
        <w:t xml:space="preserve">a </w:t>
      </w:r>
      <w:r w:rsidR="00D21CF1">
        <w:rPr>
          <w:lang w:val="en-IN"/>
        </w:rPr>
        <w:t>turb</w:t>
      </w:r>
      <w:r w:rsidR="00A00A9E">
        <w:rPr>
          <w:lang w:val="en-IN"/>
        </w:rPr>
        <w:t xml:space="preserve">o-generator </w:t>
      </w:r>
      <w:r w:rsidR="00D21CF1">
        <w:rPr>
          <w:lang w:val="en-IN"/>
        </w:rPr>
        <w:t>and produce</w:t>
      </w:r>
      <w:r w:rsidR="00A00A9E">
        <w:rPr>
          <w:lang w:val="en-IN"/>
        </w:rPr>
        <w:t>s</w:t>
      </w:r>
      <w:r w:rsidR="00CC0DE5">
        <w:rPr>
          <w:lang w:val="en-IN"/>
        </w:rPr>
        <w:t xml:space="preserve"> electric power. </w:t>
      </w:r>
      <w:r>
        <w:t xml:space="preserve">Reactor vessel of FBTR </w:t>
      </w:r>
      <w:r w:rsidR="002366CE">
        <w:t xml:space="preserve">(Fig. 2) </w:t>
      </w:r>
      <w:r>
        <w:t xml:space="preserve">is supported at the top on structural concrete and </w:t>
      </w:r>
      <w:r w:rsidR="00DE7252">
        <w:t>can</w:t>
      </w:r>
      <w:r>
        <w:t xml:space="preserve"> expand vertically downwards in response to </w:t>
      </w:r>
      <w:r w:rsidR="00737637">
        <w:t xml:space="preserve">temperature </w:t>
      </w:r>
      <w:r>
        <w:t>variations in the system. The reactor vessel is locate</w:t>
      </w:r>
      <w:r w:rsidR="00CC0DE5">
        <w:t>d</w:t>
      </w:r>
      <w:r w:rsidR="00737637">
        <w:t xml:space="preserve"> </w:t>
      </w:r>
      <w:r w:rsidR="00D21CF1">
        <w:t>below the ground level</w:t>
      </w:r>
      <w:r>
        <w:t xml:space="preserve"> and is filled with liquid sodium from bottom till – 4450 mm</w:t>
      </w:r>
      <w:r w:rsidR="00D21CF1">
        <w:t xml:space="preserve"> elevation. There is </w:t>
      </w:r>
      <w:r>
        <w:t xml:space="preserve">an argon cover gas environment </w:t>
      </w:r>
      <w:r w:rsidR="00D21CF1">
        <w:t xml:space="preserve">above this elevation, </w:t>
      </w:r>
      <w:r>
        <w:t>that extends well within the penetration gaps formed by the rotating plugs</w:t>
      </w:r>
      <w:r w:rsidR="00D21CF1">
        <w:t xml:space="preserve">. The rotating plugs act as biological shield </w:t>
      </w:r>
      <w:r w:rsidR="00985839">
        <w:t xml:space="preserve">for </w:t>
      </w:r>
      <w:r w:rsidR="00D21CF1">
        <w:t xml:space="preserve">the reactor vessel </w:t>
      </w:r>
      <w:r w:rsidR="00985839">
        <w:t>towards to the top</w:t>
      </w:r>
      <w:r w:rsidR="00D21CF1">
        <w:t>.</w:t>
      </w:r>
      <w:r w:rsidR="00737637">
        <w:t xml:space="preserve"> </w:t>
      </w:r>
      <w:r w:rsidR="00CC0DE5">
        <w:t xml:space="preserve">Reactor vessel is </w:t>
      </w:r>
      <w:r w:rsidR="00D21CF1">
        <w:t xml:space="preserve">enveloped </w:t>
      </w:r>
      <w:r w:rsidR="00CC0DE5">
        <w:t>within a safety vessel</w:t>
      </w:r>
      <w:r w:rsidR="00042B73">
        <w:t xml:space="preserve"> to ensure the safety with respect to sodium leakage. The safety vessel is </w:t>
      </w:r>
      <w:r w:rsidR="00CC0DE5">
        <w:t>enclosed</w:t>
      </w:r>
      <w:r w:rsidR="00737637">
        <w:t xml:space="preserve"> </w:t>
      </w:r>
      <w:r w:rsidR="00042B73">
        <w:t>by</w:t>
      </w:r>
      <w:r w:rsidR="00737637">
        <w:t xml:space="preserve"> </w:t>
      </w:r>
      <w:r w:rsidR="00CC0DE5">
        <w:t>borated-concrete containment</w:t>
      </w:r>
      <w:r w:rsidR="00985839">
        <w:t xml:space="preserve"> on the sides and at the bottom</w:t>
      </w:r>
      <w:r w:rsidR="00CC0DE5">
        <w:t xml:space="preserve">. The reactor vessel is a 15 mm </w:t>
      </w:r>
      <w:r w:rsidR="00DE7252">
        <w:t>thick</w:t>
      </w:r>
      <w:r w:rsidR="00737637">
        <w:t xml:space="preserve"> </w:t>
      </w:r>
      <w:r w:rsidR="00DE7252">
        <w:t>slender</w:t>
      </w:r>
      <w:r w:rsidR="00CC0DE5">
        <w:t xml:space="preserve"> component. </w:t>
      </w:r>
      <w:r w:rsidR="0091035D">
        <w:t>Because of the axial temperature gradient prevailing in the cover gas space, there would be strong turbulent natural convection developed in this region. Moreover, in the penetration gaps formed between the reactor vessel and rotating plug, natural convection of argon takes place. Because of the narrow gap of this penetration, the type of convection developed in the annular space is expected to be cellular in nature.</w:t>
      </w:r>
      <w:r w:rsidR="00737637">
        <w:t xml:space="preserve"> </w:t>
      </w:r>
      <w:r w:rsidR="00D629DA" w:rsidRPr="00D629DA">
        <w:t xml:space="preserve">When the width of the enclosure (e) reduces or the height of the enclosure (H) increases (i.e., as the aspect ratio, e/H reduces) the hot wall and cold wall boundary layers approach each other. At one value of aspect ratio, both the boundary layers would interact. This interaction is the condition for onset break down of symmetry in the flow structure leading to asymmetric </w:t>
      </w:r>
      <w:r w:rsidR="00D629DA">
        <w:t>or cellular convection [1]</w:t>
      </w:r>
      <w:r w:rsidR="00D629DA" w:rsidRPr="00D629DA">
        <w:t>.</w:t>
      </w:r>
    </w:p>
    <w:p w:rsidR="00FE2C76" w:rsidRDefault="00D629DA" w:rsidP="00FE2C76">
      <w:pPr>
        <w:pStyle w:val="BodyText"/>
        <w:rPr>
          <w:lang w:val="en-IN"/>
        </w:rPr>
      </w:pPr>
      <w:r>
        <w:t xml:space="preserve">Because of the complex nature of cellular convection, </w:t>
      </w:r>
      <w:r w:rsidRPr="00D629DA">
        <w:t>experimental studies have to be carried out on full scale models [</w:t>
      </w:r>
      <w:r w:rsidR="000A1742">
        <w:t>2</w:t>
      </w:r>
      <w:r w:rsidRPr="00D629DA">
        <w:t xml:space="preserve"> – </w:t>
      </w:r>
      <w:r w:rsidR="000A1742">
        <w:t>4</w:t>
      </w:r>
      <w:r w:rsidRPr="00D629DA">
        <w:t>]</w:t>
      </w:r>
      <w:r>
        <w:t xml:space="preserve"> to assess its effect on the plant components</w:t>
      </w:r>
      <w:r w:rsidRPr="00D629DA">
        <w:t>. The approach generally adopted in design is a combination of experimental and theoretical analyses. Experimental studies are used for the validation of theoretical models and design prediction are made using the validated theoretical models [</w:t>
      </w:r>
      <w:r w:rsidR="000A1742">
        <w:t>5</w:t>
      </w:r>
      <w:r w:rsidR="00237B0D">
        <w:t xml:space="preserve"> – 7</w:t>
      </w:r>
      <w:r w:rsidRPr="00D629DA">
        <w:t>].</w:t>
      </w:r>
      <w:r w:rsidR="00DD7F8A">
        <w:t xml:space="preserve"> </w:t>
      </w:r>
      <w:r w:rsidR="00DD44AB">
        <w:rPr>
          <w:lang w:val="en-IN"/>
        </w:rPr>
        <w:t>In order t</w:t>
      </w:r>
      <w:r w:rsidR="00985839">
        <w:rPr>
          <w:lang w:val="en-IN"/>
        </w:rPr>
        <w:t xml:space="preserve">o study how cellular convection affects the </w:t>
      </w:r>
      <w:r w:rsidR="00C17322">
        <w:rPr>
          <w:lang w:val="en-IN"/>
        </w:rPr>
        <w:t>FBTR</w:t>
      </w:r>
      <w:r w:rsidR="00985839">
        <w:rPr>
          <w:lang w:val="en-IN"/>
        </w:rPr>
        <w:t xml:space="preserve"> operation, </w:t>
      </w:r>
      <w:r w:rsidR="00DD44AB">
        <w:rPr>
          <w:lang w:val="en-IN"/>
        </w:rPr>
        <w:t xml:space="preserve">three dimensional computational fluid dynamics </w:t>
      </w:r>
      <w:r w:rsidR="00042B73">
        <w:rPr>
          <w:lang w:val="en-IN"/>
        </w:rPr>
        <w:lastRenderedPageBreak/>
        <w:t>investigation</w:t>
      </w:r>
      <w:r w:rsidR="00DD44AB">
        <w:rPr>
          <w:lang w:val="en-IN"/>
        </w:rPr>
        <w:t>s have been</w:t>
      </w:r>
      <w:r w:rsidR="00042B73">
        <w:rPr>
          <w:lang w:val="en-IN"/>
        </w:rPr>
        <w:t xml:space="preserve"> carried out</w:t>
      </w:r>
      <w:r w:rsidR="00985839">
        <w:rPr>
          <w:lang w:val="en-IN"/>
        </w:rPr>
        <w:t xml:space="preserve">. </w:t>
      </w:r>
      <w:r w:rsidR="00DD44AB">
        <w:rPr>
          <w:lang w:val="en-IN"/>
        </w:rPr>
        <w:t>The</w:t>
      </w:r>
      <w:r w:rsidR="00985839">
        <w:rPr>
          <w:lang w:val="en-IN"/>
        </w:rPr>
        <w:t xml:space="preserve"> numerical model developed is capable of predicting the thermal </w:t>
      </w:r>
      <w:r w:rsidR="00DD44AB">
        <w:rPr>
          <w:lang w:val="en-IN"/>
        </w:rPr>
        <w:t xml:space="preserve">hydraulic </w:t>
      </w:r>
      <w:r w:rsidR="00985839">
        <w:rPr>
          <w:lang w:val="en-IN"/>
        </w:rPr>
        <w:t xml:space="preserve">behaviour of cover gas </w:t>
      </w:r>
      <w:r w:rsidR="00DD44AB">
        <w:rPr>
          <w:lang w:val="en-IN"/>
        </w:rPr>
        <w:t xml:space="preserve">in the penetration </w:t>
      </w:r>
      <w:r w:rsidR="00985839">
        <w:rPr>
          <w:lang w:val="en-IN"/>
        </w:rPr>
        <w:t xml:space="preserve">space of FBTR reactor vessel </w:t>
      </w:r>
      <w:r w:rsidR="00DD44AB">
        <w:rPr>
          <w:lang w:val="en-IN"/>
        </w:rPr>
        <w:t xml:space="preserve">under </w:t>
      </w:r>
      <w:r w:rsidR="00985839">
        <w:rPr>
          <w:lang w:val="en-IN"/>
        </w:rPr>
        <w:t xml:space="preserve">different </w:t>
      </w:r>
      <w:r w:rsidR="00DD44AB">
        <w:rPr>
          <w:lang w:val="en-IN"/>
        </w:rPr>
        <w:t>conditions.</w:t>
      </w:r>
    </w:p>
    <w:p w:rsidR="00FE2C76" w:rsidRDefault="00FE2C76" w:rsidP="00FE2C76">
      <w:pPr>
        <w:pStyle w:val="BodyText"/>
        <w:rPr>
          <w:lang w:val="en-IN"/>
        </w:rPr>
      </w:pPr>
    </w:p>
    <w:p w:rsidR="000B1CAD" w:rsidRDefault="000B1CAD" w:rsidP="00FE2C76">
      <w:pPr>
        <w:pStyle w:val="BodyText"/>
        <w:rPr>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27"/>
      </w:tblGrid>
      <w:tr w:rsidR="00FE2C76" w:rsidTr="000B1CAD">
        <w:trPr>
          <w:trHeight w:val="3458"/>
        </w:trPr>
        <w:tc>
          <w:tcPr>
            <w:tcW w:w="9027" w:type="dxa"/>
            <w:vAlign w:val="center"/>
          </w:tcPr>
          <w:p w:rsidR="00FE2C76" w:rsidRDefault="00FE2C76" w:rsidP="000B1CAD">
            <w:pPr>
              <w:pStyle w:val="BodyText"/>
              <w:ind w:firstLine="0"/>
              <w:jc w:val="center"/>
              <w:rPr>
                <w:lang w:val="en-IN"/>
              </w:rPr>
            </w:pPr>
            <w:r>
              <w:rPr>
                <w:rFonts w:eastAsia="Calibri"/>
                <w:noProof/>
                <w:szCs w:val="24"/>
                <w:lang w:val="en-IN" w:eastAsia="en-IN"/>
              </w:rPr>
              <w:drawing>
                <wp:inline distT="0" distB="0" distL="0" distR="0">
                  <wp:extent cx="2484123" cy="28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0" r="2068"/>
                          <a:stretch>
                            <a:fillRect/>
                          </a:stretch>
                        </pic:blipFill>
                        <pic:spPr bwMode="auto">
                          <a:xfrm>
                            <a:off x="0" y="0"/>
                            <a:ext cx="2484123" cy="2880000"/>
                          </a:xfrm>
                          <a:prstGeom prst="rect">
                            <a:avLst/>
                          </a:prstGeom>
                          <a:noFill/>
                          <a:ln>
                            <a:noFill/>
                          </a:ln>
                        </pic:spPr>
                      </pic:pic>
                    </a:graphicData>
                  </a:graphic>
                </wp:inline>
              </w:drawing>
            </w:r>
          </w:p>
        </w:tc>
      </w:tr>
      <w:tr w:rsidR="00FE2C76" w:rsidTr="000B1CAD">
        <w:trPr>
          <w:trHeight w:val="567"/>
        </w:trPr>
        <w:tc>
          <w:tcPr>
            <w:tcW w:w="9027" w:type="dxa"/>
          </w:tcPr>
          <w:p w:rsidR="00FE2C76" w:rsidRPr="00B06E82" w:rsidRDefault="00FE2C76" w:rsidP="000B1CAD">
            <w:pPr>
              <w:pStyle w:val="BodyText"/>
              <w:ind w:firstLine="0"/>
              <w:jc w:val="center"/>
              <w:rPr>
                <w:i/>
                <w:sz w:val="18"/>
                <w:szCs w:val="18"/>
              </w:rPr>
            </w:pPr>
            <w:r w:rsidRPr="0052136B">
              <w:rPr>
                <w:i/>
                <w:sz w:val="18"/>
                <w:szCs w:val="18"/>
              </w:rPr>
              <w:t xml:space="preserve">FIG. </w:t>
            </w:r>
            <w:r>
              <w:rPr>
                <w:i/>
                <w:sz w:val="18"/>
                <w:szCs w:val="18"/>
              </w:rPr>
              <w:t>1</w:t>
            </w:r>
            <w:r w:rsidRPr="0052136B">
              <w:rPr>
                <w:i/>
                <w:sz w:val="18"/>
                <w:szCs w:val="18"/>
              </w:rPr>
              <w:t xml:space="preserve">. </w:t>
            </w:r>
            <w:r>
              <w:rPr>
                <w:i/>
                <w:sz w:val="18"/>
                <w:szCs w:val="18"/>
              </w:rPr>
              <w:t>Heat transport circuit of FBTR</w:t>
            </w:r>
          </w:p>
        </w:tc>
      </w:tr>
      <w:tr w:rsidR="00FE2C76" w:rsidTr="000B1CAD">
        <w:trPr>
          <w:trHeight w:val="3458"/>
        </w:trPr>
        <w:tc>
          <w:tcPr>
            <w:tcW w:w="9027" w:type="dxa"/>
          </w:tcPr>
          <w:p w:rsidR="00FE2C76" w:rsidRDefault="00FE2C76" w:rsidP="000B1CAD">
            <w:pPr>
              <w:pStyle w:val="BodyText"/>
              <w:ind w:firstLine="0"/>
              <w:jc w:val="center"/>
              <w:rPr>
                <w:lang w:val="en-IN"/>
              </w:rPr>
            </w:pPr>
            <w:r w:rsidRPr="0091035D">
              <w:rPr>
                <w:noProof/>
                <w:lang w:val="en-IN" w:eastAsia="en-IN"/>
              </w:rPr>
              <w:drawing>
                <wp:inline distT="0" distB="0" distL="0" distR="0">
                  <wp:extent cx="4306819" cy="4500000"/>
                  <wp:effectExtent l="0" t="0" r="0" b="0"/>
                  <wp:docPr id="17" name="Picture 31" descr="page2image39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913328"/>
                          <pic:cNvPicPr>
                            <a:picLocks noChangeAspect="1" noChangeArrowheads="1"/>
                          </pic:cNvPicPr>
                        </pic:nvPicPr>
                        <pic:blipFill rotWithShape="1">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6" b="23198"/>
                          <a:stretch/>
                        </pic:blipFill>
                        <pic:spPr bwMode="auto">
                          <a:xfrm>
                            <a:off x="0" y="0"/>
                            <a:ext cx="4306819" cy="450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2C76" w:rsidTr="000B1CAD">
        <w:trPr>
          <w:trHeight w:val="567"/>
        </w:trPr>
        <w:tc>
          <w:tcPr>
            <w:tcW w:w="9027" w:type="dxa"/>
            <w:vAlign w:val="center"/>
          </w:tcPr>
          <w:p w:rsidR="00FE2C76" w:rsidRPr="00B06E82" w:rsidRDefault="00FE2C76" w:rsidP="000B1CAD">
            <w:pPr>
              <w:pStyle w:val="BodyText"/>
              <w:ind w:firstLine="0"/>
              <w:jc w:val="center"/>
              <w:rPr>
                <w:i/>
                <w:sz w:val="18"/>
                <w:szCs w:val="18"/>
              </w:rPr>
            </w:pPr>
            <w:r w:rsidRPr="0052136B">
              <w:rPr>
                <w:i/>
                <w:sz w:val="18"/>
                <w:szCs w:val="18"/>
              </w:rPr>
              <w:t xml:space="preserve">FIG. </w:t>
            </w:r>
            <w:r>
              <w:rPr>
                <w:i/>
                <w:sz w:val="18"/>
                <w:szCs w:val="18"/>
              </w:rPr>
              <w:t>2</w:t>
            </w:r>
            <w:r w:rsidRPr="0052136B">
              <w:rPr>
                <w:i/>
                <w:sz w:val="18"/>
                <w:szCs w:val="18"/>
              </w:rPr>
              <w:t>.</w:t>
            </w:r>
            <w:r>
              <w:rPr>
                <w:i/>
                <w:sz w:val="18"/>
                <w:szCs w:val="18"/>
              </w:rPr>
              <w:t xml:space="preserve"> Reactor Assembly of FBTR</w:t>
            </w:r>
          </w:p>
        </w:tc>
      </w:tr>
    </w:tbl>
    <w:p w:rsidR="00C17322" w:rsidRPr="002E513B" w:rsidRDefault="00C17322" w:rsidP="00C17322">
      <w:pPr>
        <w:pStyle w:val="Heading2"/>
        <w:numPr>
          <w:ilvl w:val="1"/>
          <w:numId w:val="10"/>
        </w:numPr>
        <w:spacing w:before="120" w:beforeAutospacing="0"/>
        <w:rPr>
          <w:b/>
        </w:rPr>
      </w:pPr>
      <w:r w:rsidRPr="002E513B">
        <w:rPr>
          <w:b/>
        </w:rPr>
        <w:lastRenderedPageBreak/>
        <w:t>Numerical methodology</w:t>
      </w:r>
    </w:p>
    <w:p w:rsidR="00C17322" w:rsidRPr="00EE0041" w:rsidRDefault="00C17322" w:rsidP="00C17322">
      <w:pPr>
        <w:pStyle w:val="Heading3"/>
        <w:spacing w:before="120"/>
      </w:pPr>
      <w:r>
        <w:t>Development of numerical model</w:t>
      </w:r>
    </w:p>
    <w:p w:rsidR="00C17322" w:rsidRDefault="00C17322" w:rsidP="00C17322">
      <w:pPr>
        <w:pStyle w:val="Authornameandaffiliation"/>
        <w:ind w:left="0" w:firstLine="567"/>
        <w:jc w:val="both"/>
        <w:rPr>
          <w:lang w:val="en-GB"/>
        </w:rPr>
      </w:pPr>
      <w:r>
        <w:rPr>
          <w:lang w:val="en-GB"/>
        </w:rPr>
        <w:t>Mathematical modelling of cellular convection requires simultaneous solution of the equations of conservation of mass, momentum and energy [</w:t>
      </w:r>
      <w:r w:rsidR="00237B0D">
        <w:rPr>
          <w:lang w:val="en-GB"/>
        </w:rPr>
        <w:t>8</w:t>
      </w:r>
      <w:r>
        <w:rPr>
          <w:lang w:val="en-GB"/>
        </w:rPr>
        <w:t>]. In cartesian coordinates, these equations are as follows:</w:t>
      </w:r>
    </w:p>
    <w:p w:rsidR="00C17322" w:rsidRDefault="00C17322" w:rsidP="00C17322">
      <w:pPr>
        <w:pStyle w:val="BodyText"/>
        <w:ind w:firstLine="0"/>
        <w:rPr>
          <w:lang w:val="en-IN"/>
        </w:rPr>
      </w:pPr>
    </w:p>
    <w:tbl>
      <w:tblPr>
        <w:tblW w:w="8500" w:type="dxa"/>
        <w:tblInd w:w="567" w:type="dxa"/>
        <w:tblLook w:val="04A0"/>
      </w:tblPr>
      <w:tblGrid>
        <w:gridCol w:w="7797"/>
        <w:gridCol w:w="703"/>
      </w:tblGrid>
      <w:tr w:rsidR="00C31769" w:rsidRPr="00365035" w:rsidTr="00C31769">
        <w:trPr>
          <w:trHeight w:val="680"/>
        </w:trPr>
        <w:tc>
          <w:tcPr>
            <w:tcW w:w="7797" w:type="dxa"/>
            <w:shd w:val="clear" w:color="auto" w:fill="auto"/>
            <w:vAlign w:val="center"/>
          </w:tcPr>
          <w:p w:rsidR="00843A94" w:rsidRPr="00365035" w:rsidRDefault="00843A94" w:rsidP="006050C0">
            <w:pPr>
              <w:pStyle w:val="Authornameandaffiliation"/>
              <w:ind w:left="0"/>
              <w:jc w:val="center"/>
              <w:rPr>
                <w:color w:val="000000" w:themeColor="text1"/>
                <w:lang w:val="en-GB"/>
              </w:rPr>
            </w:pPr>
            <w:r w:rsidRPr="00365035">
              <w:rPr>
                <w:noProof/>
                <w:color w:val="000000" w:themeColor="text1"/>
                <w:lang w:val="en-IN" w:eastAsia="en-IN"/>
              </w:rPr>
              <w:drawing>
                <wp:inline distT="0" distB="0" distL="0" distR="0">
                  <wp:extent cx="1358900" cy="24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358900" cy="241300"/>
                          </a:xfrm>
                          <a:prstGeom prst="rect">
                            <a:avLst/>
                          </a:prstGeom>
                        </pic:spPr>
                      </pic:pic>
                    </a:graphicData>
                  </a:graphic>
                </wp:inline>
              </w:drawing>
            </w:r>
          </w:p>
        </w:tc>
        <w:tc>
          <w:tcPr>
            <w:tcW w:w="703" w:type="dxa"/>
            <w:vAlign w:val="center"/>
          </w:tcPr>
          <w:p w:rsidR="00843A94" w:rsidRPr="00365035" w:rsidRDefault="00843A94" w:rsidP="00843A94">
            <w:pPr>
              <w:pStyle w:val="Authornameandaffiliation"/>
              <w:ind w:left="0"/>
              <w:jc w:val="right"/>
              <w:rPr>
                <w:color w:val="000000" w:themeColor="text1"/>
                <w:sz w:val="16"/>
                <w:szCs w:val="16"/>
                <w:lang w:val="en-GB"/>
              </w:rPr>
            </w:pPr>
            <w:r w:rsidRPr="00365035">
              <w:rPr>
                <w:color w:val="000000" w:themeColor="text1"/>
                <w:sz w:val="16"/>
                <w:szCs w:val="16"/>
                <w:lang w:val="en-GB"/>
              </w:rPr>
              <w:t>… (1)</w:t>
            </w:r>
          </w:p>
        </w:tc>
      </w:tr>
      <w:tr w:rsidR="00C31769" w:rsidRPr="00365035" w:rsidTr="00C31769">
        <w:trPr>
          <w:trHeight w:val="680"/>
        </w:trPr>
        <w:tc>
          <w:tcPr>
            <w:tcW w:w="7797" w:type="dxa"/>
            <w:shd w:val="clear" w:color="auto" w:fill="auto"/>
            <w:vAlign w:val="center"/>
          </w:tcPr>
          <w:p w:rsidR="00843A94" w:rsidRPr="00365035" w:rsidRDefault="00843A94" w:rsidP="006050C0">
            <w:pPr>
              <w:pStyle w:val="Authornameandaffiliation"/>
              <w:ind w:left="0"/>
              <w:jc w:val="center"/>
              <w:rPr>
                <w:color w:val="000000" w:themeColor="text1"/>
                <w:lang w:val="en-GB"/>
              </w:rPr>
            </w:pPr>
            <w:r w:rsidRPr="00365035">
              <w:rPr>
                <w:noProof/>
                <w:color w:val="000000" w:themeColor="text1"/>
                <w:lang w:val="en-IN" w:eastAsia="en-IN"/>
              </w:rPr>
              <w:drawing>
                <wp:inline distT="0" distB="0" distL="0" distR="0">
                  <wp:extent cx="3086100" cy="25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86100" cy="254000"/>
                          </a:xfrm>
                          <a:prstGeom prst="rect">
                            <a:avLst/>
                          </a:prstGeom>
                        </pic:spPr>
                      </pic:pic>
                    </a:graphicData>
                  </a:graphic>
                </wp:inline>
              </w:drawing>
            </w:r>
          </w:p>
        </w:tc>
        <w:tc>
          <w:tcPr>
            <w:tcW w:w="703" w:type="dxa"/>
            <w:vAlign w:val="center"/>
          </w:tcPr>
          <w:p w:rsidR="00843A94" w:rsidRPr="00365035" w:rsidRDefault="00843A94" w:rsidP="00843A94">
            <w:pPr>
              <w:pStyle w:val="Authornameandaffiliation"/>
              <w:ind w:left="0"/>
              <w:jc w:val="right"/>
              <w:rPr>
                <w:color w:val="000000" w:themeColor="text1"/>
                <w:sz w:val="16"/>
                <w:szCs w:val="16"/>
                <w:lang w:val="en-GB"/>
              </w:rPr>
            </w:pPr>
            <w:r w:rsidRPr="00365035">
              <w:rPr>
                <w:color w:val="000000" w:themeColor="text1"/>
                <w:sz w:val="16"/>
                <w:szCs w:val="16"/>
                <w:lang w:val="en-GB"/>
              </w:rPr>
              <w:t>… (2)</w:t>
            </w:r>
          </w:p>
        </w:tc>
      </w:tr>
      <w:tr w:rsidR="00C31769" w:rsidRPr="00365035" w:rsidTr="00C31769">
        <w:trPr>
          <w:trHeight w:val="680"/>
        </w:trPr>
        <w:tc>
          <w:tcPr>
            <w:tcW w:w="7797" w:type="dxa"/>
            <w:shd w:val="clear" w:color="auto" w:fill="auto"/>
            <w:vAlign w:val="center"/>
          </w:tcPr>
          <w:p w:rsidR="00843A94" w:rsidRPr="00365035" w:rsidRDefault="00843A94" w:rsidP="006050C0">
            <w:pPr>
              <w:pStyle w:val="Authornameandaffiliation"/>
              <w:ind w:left="0"/>
              <w:jc w:val="center"/>
              <w:rPr>
                <w:color w:val="000000" w:themeColor="text1"/>
                <w:lang w:val="en-GB"/>
              </w:rPr>
            </w:pPr>
            <w:r w:rsidRPr="00365035">
              <w:rPr>
                <w:noProof/>
                <w:color w:val="000000" w:themeColor="text1"/>
                <w:lang w:val="en-IN" w:eastAsia="en-IN"/>
              </w:rPr>
              <w:drawing>
                <wp:inline distT="0" distB="0" distL="0" distR="0">
                  <wp:extent cx="3073400" cy="25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73400" cy="254000"/>
                          </a:xfrm>
                          <a:prstGeom prst="rect">
                            <a:avLst/>
                          </a:prstGeom>
                        </pic:spPr>
                      </pic:pic>
                    </a:graphicData>
                  </a:graphic>
                </wp:inline>
              </w:drawing>
            </w:r>
          </w:p>
        </w:tc>
        <w:tc>
          <w:tcPr>
            <w:tcW w:w="703" w:type="dxa"/>
            <w:vAlign w:val="center"/>
          </w:tcPr>
          <w:p w:rsidR="00843A94" w:rsidRPr="00365035" w:rsidRDefault="00843A94" w:rsidP="00843A94">
            <w:pPr>
              <w:pStyle w:val="Authornameandaffiliation"/>
              <w:ind w:left="0"/>
              <w:jc w:val="right"/>
              <w:rPr>
                <w:color w:val="000000" w:themeColor="text1"/>
                <w:sz w:val="16"/>
                <w:szCs w:val="16"/>
                <w:lang w:val="en-GB"/>
              </w:rPr>
            </w:pPr>
            <w:r w:rsidRPr="00365035">
              <w:rPr>
                <w:color w:val="000000" w:themeColor="text1"/>
                <w:sz w:val="16"/>
                <w:szCs w:val="16"/>
                <w:lang w:val="en-GB"/>
              </w:rPr>
              <w:t>… (3)</w:t>
            </w:r>
          </w:p>
        </w:tc>
      </w:tr>
      <w:tr w:rsidR="00C31769" w:rsidRPr="00365035" w:rsidTr="00C31769">
        <w:trPr>
          <w:trHeight w:val="680"/>
        </w:trPr>
        <w:tc>
          <w:tcPr>
            <w:tcW w:w="7797" w:type="dxa"/>
            <w:shd w:val="clear" w:color="auto" w:fill="auto"/>
            <w:vAlign w:val="center"/>
          </w:tcPr>
          <w:p w:rsidR="00843A94" w:rsidRPr="00365035" w:rsidRDefault="00843A94" w:rsidP="006050C0">
            <w:pPr>
              <w:pStyle w:val="Authornameandaffiliation"/>
              <w:ind w:left="0"/>
              <w:jc w:val="center"/>
              <w:rPr>
                <w:color w:val="000000" w:themeColor="text1"/>
                <w:lang w:val="en-GB"/>
              </w:rPr>
            </w:pPr>
            <w:r w:rsidRPr="00365035">
              <w:rPr>
                <w:noProof/>
                <w:color w:val="000000" w:themeColor="text1"/>
                <w:lang w:val="en-IN" w:eastAsia="en-IN"/>
              </w:rPr>
              <w:drawing>
                <wp:inline distT="0" distB="0" distL="0" distR="0">
                  <wp:extent cx="3048000" cy="25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048000" cy="254000"/>
                          </a:xfrm>
                          <a:prstGeom prst="rect">
                            <a:avLst/>
                          </a:prstGeom>
                        </pic:spPr>
                      </pic:pic>
                    </a:graphicData>
                  </a:graphic>
                </wp:inline>
              </w:drawing>
            </w:r>
          </w:p>
        </w:tc>
        <w:tc>
          <w:tcPr>
            <w:tcW w:w="703" w:type="dxa"/>
            <w:vAlign w:val="center"/>
          </w:tcPr>
          <w:p w:rsidR="00843A94" w:rsidRPr="00365035" w:rsidRDefault="00843A94" w:rsidP="00843A94">
            <w:pPr>
              <w:pStyle w:val="Authornameandaffiliation"/>
              <w:ind w:left="0"/>
              <w:jc w:val="right"/>
              <w:rPr>
                <w:color w:val="000000" w:themeColor="text1"/>
                <w:sz w:val="16"/>
                <w:szCs w:val="16"/>
                <w:lang w:val="en-GB"/>
              </w:rPr>
            </w:pPr>
            <w:r w:rsidRPr="00365035">
              <w:rPr>
                <w:color w:val="000000" w:themeColor="text1"/>
                <w:sz w:val="16"/>
                <w:szCs w:val="16"/>
                <w:lang w:val="en-GB"/>
              </w:rPr>
              <w:t>… (4)</w:t>
            </w:r>
          </w:p>
        </w:tc>
      </w:tr>
      <w:tr w:rsidR="00C31769" w:rsidRPr="00365035" w:rsidTr="00C31769">
        <w:trPr>
          <w:trHeight w:val="680"/>
        </w:trPr>
        <w:tc>
          <w:tcPr>
            <w:tcW w:w="7797" w:type="dxa"/>
            <w:shd w:val="clear" w:color="auto" w:fill="auto"/>
            <w:vAlign w:val="center"/>
          </w:tcPr>
          <w:p w:rsidR="00843A94" w:rsidRPr="00365035" w:rsidRDefault="00843A94" w:rsidP="006050C0">
            <w:pPr>
              <w:pStyle w:val="Authornameandaffiliation"/>
              <w:ind w:left="0"/>
              <w:jc w:val="center"/>
              <w:rPr>
                <w:color w:val="000000" w:themeColor="text1"/>
                <w:lang w:val="en-GB"/>
              </w:rPr>
            </w:pPr>
            <w:r w:rsidRPr="00365035">
              <w:rPr>
                <w:noProof/>
                <w:color w:val="000000" w:themeColor="text1"/>
                <w:lang w:val="en-IN" w:eastAsia="en-IN"/>
              </w:rPr>
              <w:drawing>
                <wp:inline distT="0" distB="0" distL="0" distR="0">
                  <wp:extent cx="4178300" cy="27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178300" cy="279400"/>
                          </a:xfrm>
                          <a:prstGeom prst="rect">
                            <a:avLst/>
                          </a:prstGeom>
                        </pic:spPr>
                      </pic:pic>
                    </a:graphicData>
                  </a:graphic>
                </wp:inline>
              </w:drawing>
            </w:r>
          </w:p>
        </w:tc>
        <w:tc>
          <w:tcPr>
            <w:tcW w:w="703" w:type="dxa"/>
            <w:vAlign w:val="center"/>
          </w:tcPr>
          <w:p w:rsidR="00843A94" w:rsidRPr="00365035" w:rsidRDefault="00843A94" w:rsidP="00843A94">
            <w:pPr>
              <w:pStyle w:val="Authornameandaffiliation"/>
              <w:ind w:left="0"/>
              <w:jc w:val="right"/>
              <w:rPr>
                <w:color w:val="000000" w:themeColor="text1"/>
                <w:sz w:val="16"/>
                <w:szCs w:val="16"/>
                <w:lang w:val="en-GB"/>
              </w:rPr>
            </w:pPr>
            <w:r w:rsidRPr="00365035">
              <w:rPr>
                <w:color w:val="000000" w:themeColor="text1"/>
                <w:sz w:val="16"/>
                <w:szCs w:val="16"/>
                <w:lang w:val="en-GB"/>
              </w:rPr>
              <w:t>… (5)</w:t>
            </w:r>
          </w:p>
        </w:tc>
      </w:tr>
    </w:tbl>
    <w:p w:rsidR="00365035" w:rsidRDefault="00843A94" w:rsidP="00E506DF">
      <w:pPr>
        <w:pStyle w:val="Authornameandaffiliation"/>
        <w:ind w:left="0" w:firstLine="567"/>
        <w:jc w:val="both"/>
        <w:rPr>
          <w:lang w:val="en-GB"/>
        </w:rPr>
      </w:pPr>
      <w:r>
        <w:rPr>
          <w:lang w:val="en-GB"/>
        </w:rPr>
        <w:t xml:space="preserve">Here </w:t>
      </w:r>
      <w:r w:rsidRPr="00843A94">
        <w:rPr>
          <w:lang w:val="en-GB"/>
        </w:rPr>
        <w:sym w:font="Symbol" w:char="F072"/>
      </w:r>
      <w:r w:rsidRPr="00843A94">
        <w:rPr>
          <w:lang w:val="en-GB"/>
        </w:rPr>
        <w:t xml:space="preserve"> is fluid density; </w:t>
      </w:r>
      <w:r w:rsidRPr="00365035">
        <w:rPr>
          <w:lang w:val="en-GB"/>
        </w:rPr>
        <w:t>v</w:t>
      </w:r>
      <w:r w:rsidRPr="00365035">
        <w:rPr>
          <w:vertAlign w:val="subscript"/>
          <w:lang w:val="en-GB"/>
        </w:rPr>
        <w:t>x</w:t>
      </w:r>
      <w:r w:rsidRPr="00843A94">
        <w:rPr>
          <w:lang w:val="en-GB"/>
        </w:rPr>
        <w:t xml:space="preserve">, </w:t>
      </w:r>
      <w:r w:rsidRPr="00365035">
        <w:rPr>
          <w:i/>
          <w:iCs/>
          <w:lang w:val="en-GB"/>
        </w:rPr>
        <w:t>v</w:t>
      </w:r>
      <w:r w:rsidRPr="00365035">
        <w:rPr>
          <w:i/>
          <w:iCs/>
          <w:vertAlign w:val="subscript"/>
          <w:lang w:val="en-GB"/>
        </w:rPr>
        <w:t>y</w:t>
      </w:r>
      <w:r w:rsidRPr="00843A94">
        <w:rPr>
          <w:lang w:val="en-GB"/>
        </w:rPr>
        <w:t xml:space="preserve"> and </w:t>
      </w:r>
      <w:r w:rsidRPr="00365035">
        <w:rPr>
          <w:i/>
          <w:iCs/>
          <w:lang w:val="en-GB"/>
        </w:rPr>
        <w:t>v</w:t>
      </w:r>
      <w:r w:rsidRPr="00365035">
        <w:rPr>
          <w:i/>
          <w:iCs/>
          <w:vertAlign w:val="subscript"/>
          <w:lang w:val="en-GB"/>
        </w:rPr>
        <w:t>z</w:t>
      </w:r>
      <w:r w:rsidRPr="00843A94">
        <w:rPr>
          <w:lang w:val="en-GB"/>
        </w:rPr>
        <w:t xml:space="preserve"> are </w:t>
      </w:r>
      <w:r w:rsidR="00E77921">
        <w:rPr>
          <w:lang w:val="en-GB"/>
        </w:rPr>
        <w:t xml:space="preserve">velocities in </w:t>
      </w:r>
      <w:r w:rsidRPr="00843A94">
        <w:rPr>
          <w:lang w:val="en-GB"/>
        </w:rPr>
        <w:t xml:space="preserve">x, y and z direction; p is absolute pressure; </w:t>
      </w:r>
      <w:r w:rsidRPr="00365035">
        <w:rPr>
          <w:i/>
          <w:iCs/>
          <w:lang w:val="en-GB"/>
        </w:rPr>
        <w:sym w:font="Symbol" w:char="F074"/>
      </w:r>
      <w:r w:rsidRPr="00365035">
        <w:rPr>
          <w:i/>
          <w:iCs/>
          <w:vertAlign w:val="subscript"/>
          <w:lang w:val="en-GB"/>
        </w:rPr>
        <w:t>xx</w:t>
      </w:r>
      <w:r w:rsidRPr="00843A94">
        <w:rPr>
          <w:lang w:val="en-GB"/>
        </w:rPr>
        <w:t xml:space="preserve">, </w:t>
      </w:r>
      <w:r w:rsidRPr="00365035">
        <w:rPr>
          <w:i/>
          <w:iCs/>
          <w:lang w:val="en-GB"/>
        </w:rPr>
        <w:sym w:font="Symbol" w:char="F074"/>
      </w:r>
      <w:r w:rsidRPr="00365035">
        <w:rPr>
          <w:i/>
          <w:iCs/>
          <w:vertAlign w:val="subscript"/>
          <w:lang w:val="en-GB"/>
        </w:rPr>
        <w:t>yx</w:t>
      </w:r>
      <w:r w:rsidRPr="00843A94">
        <w:rPr>
          <w:lang w:val="en-GB"/>
        </w:rPr>
        <w:t xml:space="preserve">, </w:t>
      </w:r>
      <w:r w:rsidRPr="00365035">
        <w:rPr>
          <w:i/>
          <w:iCs/>
          <w:lang w:val="en-GB"/>
        </w:rPr>
        <w:sym w:font="Symbol" w:char="F074"/>
      </w:r>
      <w:r w:rsidRPr="00365035">
        <w:rPr>
          <w:i/>
          <w:iCs/>
          <w:vertAlign w:val="subscript"/>
          <w:lang w:val="en-GB"/>
        </w:rPr>
        <w:t>zx</w:t>
      </w:r>
      <w:r w:rsidRPr="00843A94">
        <w:rPr>
          <w:lang w:val="en-GB"/>
        </w:rPr>
        <w:t xml:space="preserve">, </w:t>
      </w:r>
      <w:r w:rsidRPr="00365035">
        <w:rPr>
          <w:i/>
          <w:iCs/>
          <w:lang w:val="en-GB"/>
        </w:rPr>
        <w:sym w:font="Symbol" w:char="F074"/>
      </w:r>
      <w:r w:rsidRPr="00365035">
        <w:rPr>
          <w:i/>
          <w:iCs/>
          <w:vertAlign w:val="subscript"/>
          <w:lang w:val="en-GB"/>
        </w:rPr>
        <w:t>xy</w:t>
      </w:r>
      <w:r w:rsidRPr="00843A94">
        <w:rPr>
          <w:lang w:val="en-GB"/>
        </w:rPr>
        <w:t xml:space="preserve">, </w:t>
      </w:r>
      <w:r w:rsidRPr="00365035">
        <w:rPr>
          <w:i/>
          <w:iCs/>
          <w:lang w:val="en-GB"/>
        </w:rPr>
        <w:sym w:font="Symbol" w:char="F074"/>
      </w:r>
      <w:r w:rsidRPr="00365035">
        <w:rPr>
          <w:i/>
          <w:iCs/>
          <w:vertAlign w:val="subscript"/>
          <w:lang w:val="en-GB"/>
        </w:rPr>
        <w:t>yy</w:t>
      </w:r>
      <w:r w:rsidRPr="00843A94">
        <w:rPr>
          <w:lang w:val="en-GB"/>
        </w:rPr>
        <w:t xml:space="preserve">, </w:t>
      </w:r>
      <w:r w:rsidRPr="00365035">
        <w:rPr>
          <w:i/>
          <w:iCs/>
          <w:lang w:val="en-GB"/>
        </w:rPr>
        <w:sym w:font="Symbol" w:char="F074"/>
      </w:r>
      <w:r w:rsidRPr="00365035">
        <w:rPr>
          <w:i/>
          <w:iCs/>
          <w:vertAlign w:val="subscript"/>
          <w:lang w:val="en-GB"/>
        </w:rPr>
        <w:t>zy</w:t>
      </w:r>
      <w:r w:rsidRPr="00843A94">
        <w:rPr>
          <w:lang w:val="en-GB"/>
        </w:rPr>
        <w:t xml:space="preserve">, </w:t>
      </w:r>
      <w:r w:rsidRPr="00365035">
        <w:rPr>
          <w:i/>
          <w:iCs/>
          <w:lang w:val="en-GB"/>
        </w:rPr>
        <w:sym w:font="Symbol" w:char="F074"/>
      </w:r>
      <w:r w:rsidRPr="00365035">
        <w:rPr>
          <w:i/>
          <w:iCs/>
          <w:vertAlign w:val="subscript"/>
          <w:lang w:val="en-GB"/>
        </w:rPr>
        <w:t>xz</w:t>
      </w:r>
      <w:r w:rsidRPr="00843A94">
        <w:rPr>
          <w:lang w:val="en-GB"/>
        </w:rPr>
        <w:t xml:space="preserve">, </w:t>
      </w:r>
      <w:r w:rsidRPr="00365035">
        <w:rPr>
          <w:i/>
          <w:iCs/>
          <w:lang w:val="en-GB"/>
        </w:rPr>
        <w:sym w:font="Symbol" w:char="F074"/>
      </w:r>
      <w:r w:rsidRPr="00365035">
        <w:rPr>
          <w:i/>
          <w:iCs/>
          <w:vertAlign w:val="subscript"/>
          <w:lang w:val="en-GB"/>
        </w:rPr>
        <w:t>yz</w:t>
      </w:r>
      <w:r w:rsidRPr="00843A94">
        <w:rPr>
          <w:lang w:val="en-GB"/>
        </w:rPr>
        <w:t xml:space="preserve"> and </w:t>
      </w:r>
      <w:r w:rsidRPr="00365035">
        <w:rPr>
          <w:i/>
          <w:iCs/>
          <w:lang w:val="en-GB"/>
        </w:rPr>
        <w:sym w:font="Symbol" w:char="F074"/>
      </w:r>
      <w:r w:rsidRPr="00365035">
        <w:rPr>
          <w:i/>
          <w:iCs/>
          <w:vertAlign w:val="subscript"/>
          <w:lang w:val="en-GB"/>
        </w:rPr>
        <w:t>zz</w:t>
      </w:r>
      <w:r w:rsidRPr="00843A94">
        <w:rPr>
          <w:lang w:val="en-GB"/>
        </w:rPr>
        <w:t xml:space="preserve"> are shear stress </w:t>
      </w:r>
      <w:r w:rsidR="00EF23D6">
        <w:rPr>
          <w:lang w:val="en-GB"/>
        </w:rPr>
        <w:t>tensors</w:t>
      </w:r>
      <w:r w:rsidRPr="00843A94">
        <w:rPr>
          <w:lang w:val="en-GB"/>
        </w:rPr>
        <w:t xml:space="preserve">; </w:t>
      </w:r>
      <w:r w:rsidRPr="00365035">
        <w:rPr>
          <w:i/>
          <w:iCs/>
          <w:lang w:val="en-GB"/>
        </w:rPr>
        <w:t>g</w:t>
      </w:r>
      <w:r w:rsidRPr="00365035">
        <w:rPr>
          <w:i/>
          <w:iCs/>
          <w:vertAlign w:val="subscript"/>
          <w:lang w:val="en-GB"/>
        </w:rPr>
        <w:t>x</w:t>
      </w:r>
      <w:r w:rsidRPr="00843A94">
        <w:rPr>
          <w:lang w:val="en-GB"/>
        </w:rPr>
        <w:t xml:space="preserve">, </w:t>
      </w:r>
      <w:r w:rsidRPr="00365035">
        <w:rPr>
          <w:i/>
          <w:iCs/>
          <w:lang w:val="en-GB"/>
        </w:rPr>
        <w:t>g</w:t>
      </w:r>
      <w:r w:rsidRPr="00365035">
        <w:rPr>
          <w:i/>
          <w:iCs/>
          <w:vertAlign w:val="subscript"/>
          <w:lang w:val="en-GB"/>
        </w:rPr>
        <w:t>y</w:t>
      </w:r>
      <w:r w:rsidRPr="00843A94">
        <w:rPr>
          <w:lang w:val="en-GB"/>
        </w:rPr>
        <w:t xml:space="preserve"> and </w:t>
      </w:r>
      <w:r w:rsidRPr="00365035">
        <w:rPr>
          <w:i/>
          <w:iCs/>
          <w:lang w:val="en-GB"/>
        </w:rPr>
        <w:t>g</w:t>
      </w:r>
      <w:r w:rsidRPr="00365035">
        <w:rPr>
          <w:i/>
          <w:iCs/>
          <w:vertAlign w:val="subscript"/>
          <w:lang w:val="en-GB"/>
        </w:rPr>
        <w:t>z</w:t>
      </w:r>
      <w:r w:rsidRPr="00843A94">
        <w:rPr>
          <w:lang w:val="en-GB"/>
        </w:rPr>
        <w:t xml:space="preserve"> are body forces in x, y and z directions; </w:t>
      </w:r>
      <w:r w:rsidRPr="00365035">
        <w:rPr>
          <w:i/>
          <w:iCs/>
          <w:lang w:val="en-GB"/>
        </w:rPr>
        <w:t>C</w:t>
      </w:r>
      <w:r w:rsidRPr="00365035">
        <w:rPr>
          <w:i/>
          <w:iCs/>
          <w:vertAlign w:val="subscript"/>
          <w:lang w:val="en-GB"/>
        </w:rPr>
        <w:t>p</w:t>
      </w:r>
      <w:r w:rsidRPr="00843A94">
        <w:rPr>
          <w:lang w:val="en-GB"/>
        </w:rPr>
        <w:t xml:space="preserve"> is fluid specific heat capacity; T is absolute temperature; </w:t>
      </w:r>
      <w:r w:rsidRPr="00365035">
        <w:rPr>
          <w:i/>
          <w:iCs/>
          <w:lang w:val="en-GB"/>
        </w:rPr>
        <w:t>q</w:t>
      </w:r>
      <w:r w:rsidRPr="00365035">
        <w:rPr>
          <w:i/>
          <w:iCs/>
          <w:vertAlign w:val="subscript"/>
          <w:lang w:val="en-GB"/>
        </w:rPr>
        <w:t>x</w:t>
      </w:r>
      <w:r w:rsidRPr="00843A94">
        <w:rPr>
          <w:lang w:val="en-GB"/>
        </w:rPr>
        <w:t xml:space="preserve">, </w:t>
      </w:r>
      <w:r w:rsidRPr="00365035">
        <w:rPr>
          <w:i/>
          <w:iCs/>
          <w:lang w:val="en-GB"/>
        </w:rPr>
        <w:t>q</w:t>
      </w:r>
      <w:r w:rsidRPr="00365035">
        <w:rPr>
          <w:i/>
          <w:iCs/>
          <w:vertAlign w:val="subscript"/>
          <w:lang w:val="en-GB"/>
        </w:rPr>
        <w:t>y</w:t>
      </w:r>
      <w:r w:rsidRPr="00843A94">
        <w:rPr>
          <w:lang w:val="en-GB"/>
        </w:rPr>
        <w:t xml:space="preserve"> and </w:t>
      </w:r>
      <w:r w:rsidRPr="00365035">
        <w:rPr>
          <w:i/>
          <w:iCs/>
          <w:lang w:val="en-GB"/>
        </w:rPr>
        <w:t>q</w:t>
      </w:r>
      <w:r w:rsidRPr="00365035">
        <w:rPr>
          <w:i/>
          <w:iCs/>
          <w:vertAlign w:val="subscript"/>
          <w:lang w:val="en-GB"/>
        </w:rPr>
        <w:t>z</w:t>
      </w:r>
      <w:r w:rsidRPr="00843A94">
        <w:rPr>
          <w:lang w:val="en-GB"/>
        </w:rPr>
        <w:t xml:space="preserve"> are heat fluxes in x, y and z directions.</w:t>
      </w:r>
      <w:r w:rsidR="00E506DF">
        <w:rPr>
          <w:lang w:val="en-GB"/>
        </w:rPr>
        <w:t xml:space="preserve"> She</w:t>
      </w:r>
      <w:r w:rsidR="00EF23D6">
        <w:rPr>
          <w:lang w:val="en-GB"/>
        </w:rPr>
        <w:t xml:space="preserve">ar stress tensors are approximated using different turbulence models. Radiative mode </w:t>
      </w:r>
      <w:r w:rsidR="00044E38">
        <w:rPr>
          <w:lang w:val="en-GB"/>
        </w:rPr>
        <w:t xml:space="preserve">of heat transfer </w:t>
      </w:r>
      <w:r w:rsidR="008C6560">
        <w:rPr>
          <w:lang w:val="en-GB"/>
        </w:rPr>
        <w:t>between two surfaces, is calculated by</w:t>
      </w:r>
      <w:r w:rsidR="00365035">
        <w:rPr>
          <w:lang w:val="en-GB"/>
        </w:rPr>
        <w:t>:</w:t>
      </w:r>
    </w:p>
    <w:tbl>
      <w:tblPr>
        <w:tblW w:w="8459" w:type="dxa"/>
        <w:tblInd w:w="572" w:type="dxa"/>
        <w:tblLook w:val="04A0"/>
      </w:tblPr>
      <w:tblGrid>
        <w:gridCol w:w="6995"/>
        <w:gridCol w:w="1464"/>
      </w:tblGrid>
      <w:tr w:rsidR="00C31769" w:rsidRPr="00365035" w:rsidTr="00C31769">
        <w:trPr>
          <w:trHeight w:val="680"/>
        </w:trPr>
        <w:tc>
          <w:tcPr>
            <w:tcW w:w="6995" w:type="dxa"/>
            <w:shd w:val="clear" w:color="auto" w:fill="auto"/>
            <w:vAlign w:val="center"/>
          </w:tcPr>
          <w:p w:rsidR="00C31769" w:rsidRPr="00C31769" w:rsidRDefault="00C31769" w:rsidP="008219F4">
            <w:pPr>
              <w:pStyle w:val="Authornameandaffiliation"/>
              <w:ind w:left="0"/>
              <w:jc w:val="center"/>
              <w:rPr>
                <w:lang w:val="en-GB"/>
              </w:rPr>
            </w:pPr>
            <w:r w:rsidRPr="006050C0">
              <w:rPr>
                <w:noProof/>
                <w:lang w:val="en-IN" w:eastAsia="en-IN"/>
              </w:rPr>
              <w:drawing>
                <wp:inline distT="0" distB="0" distL="0" distR="0">
                  <wp:extent cx="863600" cy="241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63600" cy="241300"/>
                          </a:xfrm>
                          <a:prstGeom prst="rect">
                            <a:avLst/>
                          </a:prstGeom>
                        </pic:spPr>
                      </pic:pic>
                    </a:graphicData>
                  </a:graphic>
                </wp:inline>
              </w:drawing>
            </w:r>
          </w:p>
        </w:tc>
        <w:tc>
          <w:tcPr>
            <w:tcW w:w="1464" w:type="dxa"/>
            <w:vAlign w:val="center"/>
          </w:tcPr>
          <w:p w:rsidR="00C31769" w:rsidRPr="00C31769" w:rsidRDefault="00C31769" w:rsidP="008219F4">
            <w:pPr>
              <w:pStyle w:val="Authornameandaffiliation"/>
              <w:ind w:left="0"/>
              <w:jc w:val="right"/>
              <w:rPr>
                <w:sz w:val="16"/>
                <w:szCs w:val="16"/>
                <w:lang w:val="en-GB"/>
              </w:rPr>
            </w:pPr>
            <w:r w:rsidRPr="00C31769">
              <w:rPr>
                <w:sz w:val="16"/>
                <w:szCs w:val="16"/>
                <w:lang w:val="en-GB"/>
              </w:rPr>
              <w:t>… (</w:t>
            </w:r>
            <w:r>
              <w:rPr>
                <w:sz w:val="16"/>
                <w:szCs w:val="16"/>
                <w:lang w:val="en-GB"/>
              </w:rPr>
              <w:t>6</w:t>
            </w:r>
            <w:r w:rsidRPr="00C31769">
              <w:rPr>
                <w:sz w:val="16"/>
                <w:szCs w:val="16"/>
                <w:lang w:val="en-GB"/>
              </w:rPr>
              <w:t>)</w:t>
            </w:r>
          </w:p>
        </w:tc>
      </w:tr>
    </w:tbl>
    <w:p w:rsidR="00CE2B55" w:rsidRPr="00CE2B55" w:rsidRDefault="006050C0" w:rsidP="00E506DF">
      <w:pPr>
        <w:pStyle w:val="Authornameandaffiliation"/>
        <w:ind w:left="0" w:firstLine="567"/>
        <w:jc w:val="both"/>
        <w:rPr>
          <w:lang w:val="en-GB"/>
        </w:rPr>
      </w:pPr>
      <w:r>
        <w:rPr>
          <w:lang w:val="en-GB"/>
        </w:rPr>
        <w:t xml:space="preserve">Here </w:t>
      </w:r>
      <w:r w:rsidRPr="006050C0">
        <w:rPr>
          <w:i/>
          <w:iCs/>
          <w:lang w:val="en-GB"/>
        </w:rPr>
        <w:sym w:font="Symbol" w:char="F057"/>
      </w:r>
      <w:r w:rsidR="00DD7F8A">
        <w:rPr>
          <w:i/>
          <w:iCs/>
          <w:lang w:val="en-GB"/>
        </w:rPr>
        <w:t xml:space="preserve"> </w:t>
      </w:r>
      <w:r>
        <w:rPr>
          <w:lang w:val="en-GB"/>
        </w:rPr>
        <w:t>is the solid angle in steradian, and</w:t>
      </w:r>
      <w:r w:rsidR="00DD7F8A">
        <w:rPr>
          <w:lang w:val="en-GB"/>
        </w:rPr>
        <w:t xml:space="preserve"> </w:t>
      </w:r>
      <w:r w:rsidR="00DE7252" w:rsidRPr="00044E38">
        <w:rPr>
          <w:i/>
          <w:iCs/>
          <w:lang w:val="en-GB"/>
        </w:rPr>
        <w:t>I (</w:t>
      </w:r>
      <m:oMath>
        <m:acc>
          <m:accPr>
            <m:ctrlPr>
              <w:rPr>
                <w:rFonts w:ascii="Cambria Math" w:hAnsi="Cambria Math"/>
                <w:i/>
                <w:iCs/>
                <w:lang w:val="en-GB"/>
              </w:rPr>
            </m:ctrlPr>
          </m:accPr>
          <m:e>
            <m:r>
              <w:rPr>
                <w:rFonts w:ascii="Cambria Math" w:hAnsi="Cambria Math"/>
                <w:lang w:val="en-GB"/>
              </w:rPr>
              <m:t>s</m:t>
            </m:r>
          </m:e>
        </m:acc>
      </m:oMath>
      <w:r w:rsidR="00044E38" w:rsidRPr="00044E38">
        <w:rPr>
          <w:i/>
          <w:iCs/>
          <w:lang w:val="en-GB"/>
        </w:rPr>
        <w:t>)</w:t>
      </w:r>
      <w:r w:rsidR="00DD7F8A">
        <w:rPr>
          <w:i/>
          <w:iCs/>
          <w:lang w:val="en-GB"/>
        </w:rPr>
        <w:t xml:space="preserve"> </w:t>
      </w:r>
      <w:r w:rsidR="00044E38">
        <w:rPr>
          <w:lang w:val="en-GB"/>
        </w:rPr>
        <w:t xml:space="preserve">is the net radiative intensity or summation of the radiative energy in the direction </w:t>
      </w:r>
      <m:oMath>
        <m:acc>
          <m:accPr>
            <m:ctrlPr>
              <w:rPr>
                <w:rFonts w:ascii="Cambria Math" w:hAnsi="Cambria Math"/>
                <w:i/>
                <w:lang w:val="en-GB"/>
              </w:rPr>
            </m:ctrlPr>
          </m:accPr>
          <m:e>
            <m:r>
              <w:rPr>
                <w:rFonts w:ascii="Cambria Math" w:hAnsi="Cambria Math"/>
                <w:lang w:val="en-GB"/>
              </w:rPr>
              <m:t>s</m:t>
            </m:r>
          </m:e>
        </m:acc>
      </m:oMath>
      <w:r w:rsidR="00044E38">
        <w:rPr>
          <w:lang w:val="en-GB"/>
        </w:rPr>
        <w:t>. Radiative intensity can be approximated</w:t>
      </w:r>
      <w:r w:rsidR="00CE2B55">
        <w:rPr>
          <w:lang w:val="en-GB"/>
        </w:rPr>
        <w:t xml:space="preserve"> using different radiation models. Physical properties of the fluid</w:t>
      </w:r>
      <w:r w:rsidR="00DD7F8A">
        <w:rPr>
          <w:lang w:val="en-GB"/>
        </w:rPr>
        <w:t>,</w:t>
      </w:r>
      <w:r w:rsidR="00CE2B55">
        <w:rPr>
          <w:lang w:val="en-GB"/>
        </w:rPr>
        <w:t xml:space="preserve"> </w:t>
      </w:r>
      <w:r w:rsidR="00E77921">
        <w:rPr>
          <w:lang w:val="en-GB"/>
        </w:rPr>
        <w:t>i.e.</w:t>
      </w:r>
      <w:r w:rsidR="00E506DF">
        <w:rPr>
          <w:lang w:val="en-GB"/>
        </w:rPr>
        <w:t xml:space="preserve">, </w:t>
      </w:r>
      <w:r w:rsidR="00CE2B55">
        <w:rPr>
          <w:lang w:val="en-GB"/>
        </w:rPr>
        <w:t>viscosity and thermal conductivity are solve</w:t>
      </w:r>
      <w:r w:rsidR="00E77921">
        <w:rPr>
          <w:lang w:val="en-GB"/>
        </w:rPr>
        <w:t>d</w:t>
      </w:r>
      <w:r w:rsidR="00CE2B55">
        <w:rPr>
          <w:lang w:val="en-GB"/>
        </w:rPr>
        <w:t xml:space="preserve"> as polynomial functions of temperature, while thermal conductivity of the solid is solved as a linear function with temperature.</w:t>
      </w:r>
      <w:r w:rsidR="00DD7F8A">
        <w:rPr>
          <w:lang w:val="en-GB"/>
        </w:rPr>
        <w:t xml:space="preserve"> </w:t>
      </w:r>
      <w:r w:rsidR="00CE2B55">
        <w:rPr>
          <w:lang w:val="en-GB"/>
        </w:rPr>
        <w:t xml:space="preserve">The </w:t>
      </w:r>
      <w:r w:rsidR="00E506DF">
        <w:rPr>
          <w:lang w:val="en-GB"/>
        </w:rPr>
        <w:t xml:space="preserve">conservation </w:t>
      </w:r>
      <w:r w:rsidR="00CE2B55">
        <w:rPr>
          <w:lang w:val="en-GB"/>
        </w:rPr>
        <w:t xml:space="preserve">equations are discretized to </w:t>
      </w:r>
      <w:r w:rsidR="00DE7252">
        <w:rPr>
          <w:lang w:val="en-GB"/>
        </w:rPr>
        <w:t>second order</w:t>
      </w:r>
      <w:r w:rsidR="00CE2B55">
        <w:rPr>
          <w:lang w:val="en-GB"/>
        </w:rPr>
        <w:t xml:space="preserve"> and solved using SIMPLE algorithm</w:t>
      </w:r>
      <w:r w:rsidR="001B61C4">
        <w:rPr>
          <w:lang w:val="en-GB"/>
        </w:rPr>
        <w:t xml:space="preserve"> [</w:t>
      </w:r>
      <w:r w:rsidR="00237B0D">
        <w:rPr>
          <w:lang w:val="en-GB"/>
        </w:rPr>
        <w:t>9</w:t>
      </w:r>
      <w:r w:rsidR="001B61C4">
        <w:rPr>
          <w:lang w:val="en-GB"/>
        </w:rPr>
        <w:t>]</w:t>
      </w:r>
      <w:r w:rsidR="00CE2B55">
        <w:rPr>
          <w:lang w:val="en-GB"/>
        </w:rPr>
        <w:t xml:space="preserve">. </w:t>
      </w:r>
      <w:r w:rsidR="00F42CF3">
        <w:t>Mesh generation for the</w:t>
      </w:r>
      <w:r w:rsidR="00E77921">
        <w:t xml:space="preserve"> computational domain</w:t>
      </w:r>
      <w:r w:rsidR="00F42CF3">
        <w:t xml:space="preserve"> ensures a fine resolution</w:t>
      </w:r>
      <w:r w:rsidR="00E77921">
        <w:t xml:space="preserve"> on </w:t>
      </w:r>
      <w:r w:rsidR="00F42CF3">
        <w:t>the wall of fluid domain, so that</w:t>
      </w:r>
      <w:r w:rsidR="00E77921">
        <w:t xml:space="preserve"> the </w:t>
      </w:r>
      <w:r w:rsidR="00F42CF3">
        <w:t>wall y</w:t>
      </w:r>
      <w:r w:rsidR="00F42CF3" w:rsidRPr="00F42CF3">
        <w:rPr>
          <w:vertAlign w:val="superscript"/>
        </w:rPr>
        <w:t>+</w:t>
      </w:r>
      <w:r w:rsidR="00E77921">
        <w:t xml:space="preserve">= </w:t>
      </w:r>
      <w:r w:rsidR="00F42CF3">
        <w:t>1</w:t>
      </w:r>
      <w:r w:rsidR="00E77921">
        <w:t>. The wall y</w:t>
      </w:r>
      <w:r w:rsidR="00E77921" w:rsidRPr="00E506DF">
        <w:rPr>
          <w:vertAlign w:val="superscript"/>
        </w:rPr>
        <w:t>+</w:t>
      </w:r>
      <w:r w:rsidR="00E77921">
        <w:t xml:space="preserve"> value near the wall is to be ensured in the range of 1 in order to </w:t>
      </w:r>
      <w:r w:rsidR="00FD5B7E">
        <w:t>accurately resolve the near wall effects.</w:t>
      </w:r>
    </w:p>
    <w:p w:rsidR="00554AB9" w:rsidRPr="00EE0041" w:rsidRDefault="00D8727C" w:rsidP="00554AB9">
      <w:pPr>
        <w:pStyle w:val="Heading3"/>
      </w:pPr>
      <w:r>
        <w:t>Validation</w:t>
      </w:r>
    </w:p>
    <w:p w:rsidR="00554AB9" w:rsidRDefault="00322371" w:rsidP="00E506DF">
      <w:pPr>
        <w:pStyle w:val="Authornameandaffiliation"/>
        <w:ind w:left="0" w:firstLine="567"/>
        <w:jc w:val="both"/>
      </w:pPr>
      <w:r>
        <w:rPr>
          <w:lang w:val="en-GB"/>
        </w:rPr>
        <w:t xml:space="preserve">Experimental data from COBA facility </w:t>
      </w:r>
      <w:r w:rsidR="00D8727C">
        <w:rPr>
          <w:lang w:val="en-GB"/>
        </w:rPr>
        <w:t>i</w:t>
      </w:r>
      <w:r>
        <w:rPr>
          <w:lang w:val="en-GB"/>
        </w:rPr>
        <w:t>s used to validate the numerical methodology</w:t>
      </w:r>
      <w:r w:rsidR="001B61C4">
        <w:rPr>
          <w:lang w:val="en-GB"/>
        </w:rPr>
        <w:t xml:space="preserve"> [</w:t>
      </w:r>
      <w:r w:rsidR="00237B0D">
        <w:rPr>
          <w:lang w:val="en-GB"/>
        </w:rPr>
        <w:t>10</w:t>
      </w:r>
      <w:r w:rsidR="001B61C4">
        <w:rPr>
          <w:lang w:val="en-GB"/>
        </w:rPr>
        <w:t>]</w:t>
      </w:r>
      <w:r>
        <w:rPr>
          <w:lang w:val="en-GB"/>
        </w:rPr>
        <w:t xml:space="preserve">. COBA facility (Fig. 3) is a mock-up facility for the cover gas space of FBTR which is set up at Indira Gandhi Centre for Atomic Research, Kalpakkam. </w:t>
      </w:r>
      <w:r w:rsidR="00126407" w:rsidRPr="002E513B">
        <w:rPr>
          <w:lang w:val="en-GB"/>
        </w:rPr>
        <w:t>The bottom surface of the cover gas space in the COBA facility is maintained at 5</w:t>
      </w:r>
      <w:r w:rsidR="00026F18" w:rsidRPr="002E513B">
        <w:rPr>
          <w:lang w:val="en-GB"/>
        </w:rPr>
        <w:t>3</w:t>
      </w:r>
      <w:r w:rsidR="00126407" w:rsidRPr="002E513B">
        <w:rPr>
          <w:lang w:val="en-GB"/>
        </w:rPr>
        <w:t>0</w:t>
      </w:r>
      <w:r w:rsidR="00126407" w:rsidRPr="002E513B">
        <w:sym w:font="Symbol" w:char="F0B0"/>
      </w:r>
      <w:r w:rsidR="00126407" w:rsidRPr="002E513B">
        <w:t>C</w:t>
      </w:r>
      <w:r w:rsidR="00126407" w:rsidRPr="002E513B">
        <w:rPr>
          <w:lang w:val="en-GB"/>
        </w:rPr>
        <w:t>, while the top is maintained at 495</w:t>
      </w:r>
      <w:r w:rsidR="00126407" w:rsidRPr="002E513B">
        <w:sym w:font="Symbol" w:char="F0B0"/>
      </w:r>
      <w:r w:rsidR="00126407" w:rsidRPr="002E513B">
        <w:t>C</w:t>
      </w:r>
      <w:r w:rsidR="00126407" w:rsidRPr="002E513B">
        <w:rPr>
          <w:lang w:val="en-GB"/>
        </w:rPr>
        <w:t xml:space="preserve"> to mimic the axial temperature gradient that develops in FBTR.</w:t>
      </w:r>
      <w:r w:rsidR="00DB24A4">
        <w:rPr>
          <w:lang w:val="en-GB"/>
        </w:rPr>
        <w:t xml:space="preserve"> A 3-D computational model of the facility was </w:t>
      </w:r>
      <w:r w:rsidR="00DE7252">
        <w:rPr>
          <w:lang w:val="en-GB"/>
        </w:rPr>
        <w:t>created,</w:t>
      </w:r>
      <w:r w:rsidR="00DB24A4">
        <w:rPr>
          <w:lang w:val="en-GB"/>
        </w:rPr>
        <w:t xml:space="preserve"> and grid was generated with </w:t>
      </w:r>
      <w:r w:rsidR="00DE7252">
        <w:rPr>
          <w:lang w:val="en-GB"/>
        </w:rPr>
        <w:t>an exceptionally fine</w:t>
      </w:r>
      <w:r w:rsidR="00DB24A4">
        <w:rPr>
          <w:lang w:val="en-GB"/>
        </w:rPr>
        <w:t xml:space="preserve"> mesh near the wall such that </w:t>
      </w:r>
      <w:r w:rsidR="00DB24A4" w:rsidRPr="00BB1D29">
        <w:t>y</w:t>
      </w:r>
      <w:r w:rsidR="00DB24A4" w:rsidRPr="00BB1D29">
        <w:rPr>
          <w:vertAlign w:val="superscript"/>
        </w:rPr>
        <w:t>+</w:t>
      </w:r>
      <w:r w:rsidR="00AB2B2B">
        <w:t xml:space="preserve"> </w:t>
      </w:r>
      <w:r w:rsidR="00DB24A4">
        <w:rPr>
          <w:rFonts w:ascii="Symbol" w:hAnsi="Symbol"/>
        </w:rPr>
        <w:t></w:t>
      </w:r>
      <w:r w:rsidR="00DB24A4" w:rsidRPr="00BB1D29">
        <w:t xml:space="preserve"> 1</w:t>
      </w:r>
      <w:r w:rsidR="00DB24A4">
        <w:t xml:space="preserve">. </w:t>
      </w:r>
      <w:r w:rsidR="00E75B22">
        <w:t>Surface emissivity of 0.6 and ambient temperature of 40</w:t>
      </w:r>
      <w:r w:rsidR="00970C8E">
        <w:sym w:font="Symbol" w:char="F0B0"/>
      </w:r>
      <w:r w:rsidR="00970C8E">
        <w:t>C</w:t>
      </w:r>
      <w:r w:rsidR="00E75B22">
        <w:t xml:space="preserve"> is considered in the validation exercise. </w:t>
      </w:r>
      <w:r w:rsidR="00DB24A4">
        <w:t>Temperature profile along the enclosing vessel at plug bottom elevation (Fig. 4)</w:t>
      </w:r>
      <w:r w:rsidR="00E75B22">
        <w:t xml:space="preserve"> is compared</w:t>
      </w:r>
      <w:r w:rsidR="00DB24A4">
        <w:t xml:space="preserve"> against the experimental</w:t>
      </w:r>
      <w:r w:rsidR="00DD7F8A">
        <w:t xml:space="preserve"> </w:t>
      </w:r>
      <w:r w:rsidR="00B104B1">
        <w:t>data</w:t>
      </w:r>
      <w:r w:rsidR="00E75B22">
        <w:t xml:space="preserve">. </w:t>
      </w:r>
      <w:r w:rsidR="00755499">
        <w:t xml:space="preserve">Formation of single convective loop is predicted by the model similar to that observed in the experiment. </w:t>
      </w:r>
      <w:r w:rsidR="00E75B22">
        <w:t>A</w:t>
      </w:r>
      <w:r w:rsidR="00DB24A4">
        <w:t xml:space="preserve">n average temperature of </w:t>
      </w:r>
      <w:r w:rsidR="00E75B22">
        <w:t>230</w:t>
      </w:r>
      <w:r w:rsidR="00970C8E">
        <w:rPr>
          <w:lang w:val="en-GB"/>
        </w:rPr>
        <w:sym w:font="Symbol" w:char="F0B0"/>
      </w:r>
      <w:r w:rsidR="00970C8E">
        <w:rPr>
          <w:lang w:val="en-GB"/>
        </w:rPr>
        <w:t>C</w:t>
      </w:r>
      <w:r w:rsidR="00E75B22">
        <w:t xml:space="preserve"> against experimental value of </w:t>
      </w:r>
      <w:r w:rsidR="00DB24A4">
        <w:rPr>
          <w:lang w:val="en-GB"/>
        </w:rPr>
        <w:t>2</w:t>
      </w:r>
      <w:r w:rsidR="00AB2B2B">
        <w:rPr>
          <w:lang w:val="en-GB"/>
        </w:rPr>
        <w:t>6</w:t>
      </w:r>
      <w:r w:rsidR="00C41F86">
        <w:rPr>
          <w:lang w:val="en-GB"/>
        </w:rPr>
        <w:t>2</w:t>
      </w:r>
      <w:r w:rsidR="00DB24A4">
        <w:rPr>
          <w:lang w:val="en-GB"/>
        </w:rPr>
        <w:sym w:font="Symbol" w:char="F0B0"/>
      </w:r>
      <w:r w:rsidR="00DB24A4">
        <w:rPr>
          <w:lang w:val="en-GB"/>
        </w:rPr>
        <w:t xml:space="preserve">C and maximum temperature asymmetry of </w:t>
      </w:r>
      <w:r w:rsidR="00E75B22">
        <w:rPr>
          <w:lang w:val="en-GB"/>
        </w:rPr>
        <w:t>4</w:t>
      </w:r>
      <w:r w:rsidR="00C41F86">
        <w:rPr>
          <w:lang w:val="en-GB"/>
        </w:rPr>
        <w:t>5</w:t>
      </w:r>
      <w:r w:rsidR="00970C8E">
        <w:sym w:font="Symbol" w:char="F0B0"/>
      </w:r>
      <w:r w:rsidR="00970C8E">
        <w:t>C</w:t>
      </w:r>
      <w:r w:rsidR="00E75B22">
        <w:rPr>
          <w:lang w:val="en-GB"/>
        </w:rPr>
        <w:t xml:space="preserve"> against </w:t>
      </w:r>
      <w:r w:rsidR="00DB24A4">
        <w:rPr>
          <w:lang w:val="en-GB"/>
        </w:rPr>
        <w:t>4</w:t>
      </w:r>
      <w:r w:rsidR="00492682">
        <w:rPr>
          <w:lang w:val="en-GB"/>
        </w:rPr>
        <w:t>4</w:t>
      </w:r>
      <w:r w:rsidR="00970C8E">
        <w:sym w:font="Symbol" w:char="F0B0"/>
      </w:r>
      <w:r w:rsidR="00970C8E">
        <w:t>C</w:t>
      </w:r>
      <w:r w:rsidR="00E75B22">
        <w:rPr>
          <w:lang w:val="en-GB"/>
        </w:rPr>
        <w:t xml:space="preserve"> at plug bottom is evaluated. </w:t>
      </w:r>
      <w:r w:rsidR="008A6847">
        <w:rPr>
          <w:lang w:val="en-GB"/>
        </w:rPr>
        <w:t xml:space="preserve">The formation of single cellular convection loop is predicted correctly by the model as observed in the experiment. </w:t>
      </w:r>
      <w:r w:rsidR="00DB24A4">
        <w:rPr>
          <w:lang w:val="en-GB"/>
        </w:rPr>
        <w:t xml:space="preserve">The simulation results show a maximum of </w:t>
      </w:r>
      <w:r w:rsidR="00DB24A4" w:rsidRPr="00241F43">
        <w:sym w:font="Symbol" w:char="F0B1"/>
      </w:r>
      <w:r w:rsidR="00AB2B2B">
        <w:t xml:space="preserve"> </w:t>
      </w:r>
      <w:r w:rsidR="007733FD">
        <w:t>20</w:t>
      </w:r>
      <w:r w:rsidR="00DB24A4" w:rsidRPr="00241F43">
        <w:t>%</w:t>
      </w:r>
      <w:r w:rsidR="00DB24A4">
        <w:t xml:space="preserve"> deviation from experimental data, which can be attributed to assumptions that were made for physical properties, </w:t>
      </w:r>
      <w:r w:rsidR="00E75B22">
        <w:t>ma</w:t>
      </w:r>
      <w:r w:rsidR="00DB24A4">
        <w:t>thematical modelling and numerical inaccuracy. The validation exercise, however, provides confidence to adopt the numerical approach for further stud</w:t>
      </w:r>
      <w:r w:rsidR="00B104B1">
        <w:t>ies</w:t>
      </w:r>
      <w:r w:rsidR="00755499">
        <w:t xml:space="preserve"> in view of the its prediction capability with respect to number of convective loops and the magnitude of circumferential temperature gradient</w:t>
      </w:r>
      <w:r w:rsidR="00DB24A4">
        <w:t>.</w:t>
      </w:r>
    </w:p>
    <w:p w:rsidR="00C64B41" w:rsidRDefault="00C64B41" w:rsidP="00C64B41">
      <w:pPr>
        <w:pStyle w:val="Authornameandaffiliation"/>
        <w:ind w:left="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508"/>
        <w:gridCol w:w="4509"/>
      </w:tblGrid>
      <w:tr w:rsidR="00C64B41" w:rsidTr="000B1CAD">
        <w:trPr>
          <w:trHeight w:val="3458"/>
        </w:trPr>
        <w:tc>
          <w:tcPr>
            <w:tcW w:w="4508" w:type="dxa"/>
            <w:vAlign w:val="center"/>
          </w:tcPr>
          <w:p w:rsidR="00C64B41" w:rsidRDefault="00C64B41" w:rsidP="000B1CAD">
            <w:pPr>
              <w:pStyle w:val="BodyText"/>
              <w:ind w:firstLine="0"/>
              <w:jc w:val="center"/>
              <w:rPr>
                <w:lang w:val="en-IN"/>
              </w:rPr>
            </w:pPr>
            <w:r w:rsidRPr="00A02A70">
              <w:rPr>
                <w:noProof/>
                <w:lang w:val="en-IN" w:eastAsia="en-IN"/>
              </w:rPr>
              <w:lastRenderedPageBreak/>
              <w:drawing>
                <wp:inline distT="0" distB="0" distL="0" distR="0">
                  <wp:extent cx="2127433" cy="2664000"/>
                  <wp:effectExtent l="0" t="0" r="6350" b="3175"/>
                  <wp:docPr id="2"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2A17E9D-FB90-4131-A3F8-BAC73B46F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2A17E9D-FB90-4131-A3F8-BAC73B46FC68}"/>
                              </a:ext>
                            </a:extLst>
                          </pic:cNvPr>
                          <pic:cNvPicPr>
                            <a:picLocks noChangeAspect="1"/>
                          </pic:cNvPicPr>
                        </pic:nvPicPr>
                        <pic:blipFill rotWithShape="1">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Lst>
                          </a:blip>
                          <a:srcRect t="1356" b="2030"/>
                          <a:stretch/>
                        </pic:blipFill>
                        <pic:spPr bwMode="auto">
                          <a:xfrm>
                            <a:off x="0" y="0"/>
                            <a:ext cx="2127433" cy="2664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09" w:type="dxa"/>
            <w:vAlign w:val="center"/>
          </w:tcPr>
          <w:p w:rsidR="00C64B41" w:rsidRDefault="002F359A" w:rsidP="000B1CAD">
            <w:pPr>
              <w:pStyle w:val="BodyText"/>
              <w:ind w:firstLine="0"/>
              <w:jc w:val="center"/>
              <w:rPr>
                <w:lang w:val="en-IN"/>
              </w:rPr>
            </w:pPr>
            <w:r>
              <w:rPr>
                <w:noProof/>
                <w:lang w:val="en-IN" w:eastAsia="en-IN"/>
              </w:rPr>
              <w:drawing>
                <wp:inline distT="0" distB="0" distL="0" distR="0">
                  <wp:extent cx="2660222" cy="198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0222" cy="1983600"/>
                          </a:xfrm>
                          <a:prstGeom prst="rect">
                            <a:avLst/>
                          </a:prstGeom>
                        </pic:spPr>
                      </pic:pic>
                    </a:graphicData>
                  </a:graphic>
                </wp:inline>
              </w:drawing>
            </w:r>
          </w:p>
        </w:tc>
      </w:tr>
      <w:tr w:rsidR="00C64B41" w:rsidTr="000B1CAD">
        <w:trPr>
          <w:trHeight w:val="737"/>
        </w:trPr>
        <w:tc>
          <w:tcPr>
            <w:tcW w:w="4508" w:type="dxa"/>
            <w:vAlign w:val="center"/>
          </w:tcPr>
          <w:p w:rsidR="00C64B41" w:rsidRDefault="00C64B41" w:rsidP="000B1CAD">
            <w:pPr>
              <w:pStyle w:val="BodyText"/>
              <w:ind w:firstLine="0"/>
              <w:jc w:val="center"/>
              <w:rPr>
                <w:lang w:val="en-IN"/>
              </w:rPr>
            </w:pPr>
            <w:r w:rsidRPr="0052136B">
              <w:rPr>
                <w:i/>
                <w:sz w:val="18"/>
                <w:szCs w:val="18"/>
              </w:rPr>
              <w:t xml:space="preserve">FIG. </w:t>
            </w:r>
            <w:r>
              <w:rPr>
                <w:i/>
                <w:sz w:val="18"/>
                <w:szCs w:val="18"/>
              </w:rPr>
              <w:t>3</w:t>
            </w:r>
            <w:r w:rsidRPr="0052136B">
              <w:rPr>
                <w:i/>
                <w:sz w:val="18"/>
                <w:szCs w:val="18"/>
              </w:rPr>
              <w:t xml:space="preserve">. </w:t>
            </w:r>
            <w:r>
              <w:rPr>
                <w:i/>
                <w:sz w:val="18"/>
                <w:szCs w:val="18"/>
              </w:rPr>
              <w:t>Schematic of COBA facility</w:t>
            </w:r>
          </w:p>
        </w:tc>
        <w:tc>
          <w:tcPr>
            <w:tcW w:w="4509" w:type="dxa"/>
            <w:vAlign w:val="center"/>
          </w:tcPr>
          <w:p w:rsidR="00C64B41" w:rsidRPr="00B06E82" w:rsidRDefault="00C64B41" w:rsidP="009033D4">
            <w:pPr>
              <w:pStyle w:val="BodyText"/>
              <w:ind w:firstLine="0"/>
              <w:rPr>
                <w:i/>
                <w:sz w:val="18"/>
                <w:szCs w:val="18"/>
              </w:rPr>
            </w:pPr>
            <w:r w:rsidRPr="0052136B">
              <w:rPr>
                <w:i/>
                <w:sz w:val="18"/>
                <w:szCs w:val="18"/>
              </w:rPr>
              <w:t xml:space="preserve">FIG. </w:t>
            </w:r>
            <w:r>
              <w:rPr>
                <w:i/>
                <w:sz w:val="18"/>
                <w:szCs w:val="18"/>
              </w:rPr>
              <w:t>4</w:t>
            </w:r>
            <w:r w:rsidRPr="0052136B">
              <w:rPr>
                <w:i/>
                <w:sz w:val="18"/>
                <w:szCs w:val="18"/>
              </w:rPr>
              <w:t xml:space="preserve">. </w:t>
            </w:r>
            <w:r w:rsidR="009033D4">
              <w:rPr>
                <w:i/>
                <w:sz w:val="18"/>
                <w:szCs w:val="18"/>
              </w:rPr>
              <w:t>Circumferential t</w:t>
            </w:r>
            <w:r>
              <w:rPr>
                <w:i/>
                <w:sz w:val="18"/>
                <w:szCs w:val="18"/>
              </w:rPr>
              <w:t xml:space="preserve">emperature </w:t>
            </w:r>
            <w:r w:rsidR="009033D4">
              <w:rPr>
                <w:i/>
                <w:sz w:val="18"/>
                <w:szCs w:val="18"/>
              </w:rPr>
              <w:t xml:space="preserve">distribution in the </w:t>
            </w:r>
            <w:r>
              <w:rPr>
                <w:i/>
                <w:sz w:val="18"/>
                <w:szCs w:val="18"/>
              </w:rPr>
              <w:t>enclosing vessel at plug bottom</w:t>
            </w:r>
          </w:p>
        </w:tc>
      </w:tr>
    </w:tbl>
    <w:p w:rsidR="004836C2" w:rsidRPr="00EE0041" w:rsidRDefault="00C04B23" w:rsidP="00617530">
      <w:pPr>
        <w:pStyle w:val="Heading3"/>
      </w:pPr>
      <w:r>
        <w:t>Selection of turbulence model</w:t>
      </w:r>
    </w:p>
    <w:p w:rsidR="004836C2" w:rsidRDefault="00E75B22" w:rsidP="00E506DF">
      <w:pPr>
        <w:pStyle w:val="Authornameandaffiliation"/>
        <w:ind w:left="0" w:firstLine="567"/>
        <w:jc w:val="both"/>
        <w:rPr>
          <w:szCs w:val="24"/>
        </w:rPr>
      </w:pPr>
      <w:r>
        <w:rPr>
          <w:szCs w:val="24"/>
        </w:rPr>
        <w:t xml:space="preserve">Turbulence characteristics of the flow domain is generally solved using </w:t>
      </w:r>
      <w:r w:rsidR="00C31769" w:rsidRPr="00241F43">
        <w:rPr>
          <w:szCs w:val="24"/>
        </w:rPr>
        <w:t>Reynolds Averaged Navier Stokes (RANS) approach</w:t>
      </w:r>
      <w:r w:rsidR="00C31769">
        <w:rPr>
          <w:szCs w:val="24"/>
        </w:rPr>
        <w:t xml:space="preserve">. </w:t>
      </w:r>
      <w:r w:rsidR="005947E7">
        <w:rPr>
          <w:szCs w:val="24"/>
        </w:rPr>
        <w:t>Some of the popular</w:t>
      </w:r>
      <w:r>
        <w:rPr>
          <w:szCs w:val="24"/>
        </w:rPr>
        <w:t xml:space="preserve"> RANS </w:t>
      </w:r>
      <w:r w:rsidR="005947E7">
        <w:rPr>
          <w:szCs w:val="24"/>
        </w:rPr>
        <w:t xml:space="preserve">based </w:t>
      </w:r>
      <w:r>
        <w:rPr>
          <w:szCs w:val="24"/>
        </w:rPr>
        <w:t>turb</w:t>
      </w:r>
      <w:r w:rsidR="000645E8">
        <w:rPr>
          <w:szCs w:val="24"/>
        </w:rPr>
        <w:t>ulence models are</w:t>
      </w:r>
      <w:r w:rsidR="00C31769" w:rsidRPr="00241F43">
        <w:rPr>
          <w:szCs w:val="24"/>
        </w:rPr>
        <w:t xml:space="preserve"> – Standard </w:t>
      </w:r>
      <w:r w:rsidR="00C31769" w:rsidRPr="00241F43">
        <w:rPr>
          <w:i/>
          <w:iCs/>
          <w:szCs w:val="24"/>
        </w:rPr>
        <w:t>k-ε</w:t>
      </w:r>
      <w:r w:rsidR="00C31769" w:rsidRPr="00241F43">
        <w:rPr>
          <w:szCs w:val="24"/>
        </w:rPr>
        <w:t xml:space="preserve">, RNG </w:t>
      </w:r>
      <w:r w:rsidR="00C31769" w:rsidRPr="00241F43">
        <w:rPr>
          <w:i/>
          <w:iCs/>
          <w:szCs w:val="24"/>
        </w:rPr>
        <w:t>k-ε</w:t>
      </w:r>
      <w:r w:rsidR="00C31769" w:rsidRPr="00241F43">
        <w:rPr>
          <w:szCs w:val="24"/>
        </w:rPr>
        <w:t xml:space="preserve">, Realizable </w:t>
      </w:r>
      <w:r w:rsidR="00C31769" w:rsidRPr="00241F43">
        <w:rPr>
          <w:i/>
          <w:iCs/>
          <w:szCs w:val="24"/>
        </w:rPr>
        <w:t>k-ε</w:t>
      </w:r>
      <w:r w:rsidR="00C31769" w:rsidRPr="00241F43">
        <w:rPr>
          <w:szCs w:val="24"/>
        </w:rPr>
        <w:t xml:space="preserve">, Low-Re </w:t>
      </w:r>
      <w:r w:rsidR="00C31769" w:rsidRPr="00241F43">
        <w:rPr>
          <w:i/>
          <w:iCs/>
          <w:szCs w:val="24"/>
        </w:rPr>
        <w:t>k-ε</w:t>
      </w:r>
      <w:r w:rsidR="00C31769" w:rsidRPr="00241F43">
        <w:rPr>
          <w:szCs w:val="24"/>
        </w:rPr>
        <w:t xml:space="preserve">, Standard </w:t>
      </w:r>
      <w:r w:rsidR="00C31769" w:rsidRPr="00241F43">
        <w:rPr>
          <w:i/>
          <w:iCs/>
          <w:szCs w:val="24"/>
        </w:rPr>
        <w:t>k-ω</w:t>
      </w:r>
      <w:r w:rsidR="00C31769" w:rsidRPr="00241F43">
        <w:rPr>
          <w:szCs w:val="24"/>
        </w:rPr>
        <w:t xml:space="preserve">, and SST </w:t>
      </w:r>
      <w:r w:rsidR="00C31769" w:rsidRPr="00241F43">
        <w:rPr>
          <w:i/>
          <w:iCs/>
          <w:szCs w:val="24"/>
        </w:rPr>
        <w:t>k-ω</w:t>
      </w:r>
      <w:r w:rsidR="00C31769" w:rsidRPr="00241F43">
        <w:rPr>
          <w:szCs w:val="24"/>
        </w:rPr>
        <w:t xml:space="preserve">. </w:t>
      </w:r>
      <w:r w:rsidR="005947E7">
        <w:rPr>
          <w:szCs w:val="24"/>
        </w:rPr>
        <w:t>In order t</w:t>
      </w:r>
      <w:r w:rsidR="00DE7252" w:rsidRPr="00BB1D29">
        <w:rPr>
          <w:szCs w:val="24"/>
        </w:rPr>
        <w:t>o</w:t>
      </w:r>
      <w:r w:rsidR="00041C62">
        <w:rPr>
          <w:szCs w:val="24"/>
        </w:rPr>
        <w:t xml:space="preserve"> </w:t>
      </w:r>
      <w:r w:rsidR="005947E7">
        <w:rPr>
          <w:szCs w:val="24"/>
        </w:rPr>
        <w:t xml:space="preserve">study </w:t>
      </w:r>
      <w:r w:rsidR="00C31769" w:rsidRPr="00BB1D29">
        <w:rPr>
          <w:szCs w:val="24"/>
        </w:rPr>
        <w:t>the sensiti</w:t>
      </w:r>
      <w:r w:rsidR="005947E7">
        <w:rPr>
          <w:szCs w:val="24"/>
        </w:rPr>
        <w:t xml:space="preserve">vity </w:t>
      </w:r>
      <w:r w:rsidR="00C31769" w:rsidRPr="00BB1D29">
        <w:rPr>
          <w:szCs w:val="24"/>
        </w:rPr>
        <w:t xml:space="preserve">of turbulence model and their suitability for </w:t>
      </w:r>
      <w:r w:rsidR="005947E7">
        <w:rPr>
          <w:szCs w:val="24"/>
        </w:rPr>
        <w:t>simulation of cellular convection</w:t>
      </w:r>
      <w:r w:rsidR="00041C62">
        <w:rPr>
          <w:szCs w:val="24"/>
        </w:rPr>
        <w:t>,</w:t>
      </w:r>
      <w:r w:rsidR="005947E7">
        <w:rPr>
          <w:szCs w:val="24"/>
        </w:rPr>
        <w:t xml:space="preserve"> studies have been carried out with respect to </w:t>
      </w:r>
      <w:r w:rsidR="00C31769" w:rsidRPr="00BB1D29">
        <w:rPr>
          <w:szCs w:val="24"/>
        </w:rPr>
        <w:t xml:space="preserve">COBA experiment </w:t>
      </w:r>
      <w:r w:rsidR="005947E7">
        <w:rPr>
          <w:szCs w:val="24"/>
        </w:rPr>
        <w:t>using</w:t>
      </w:r>
      <w:r w:rsidR="00C31769" w:rsidRPr="00BB1D29">
        <w:rPr>
          <w:szCs w:val="24"/>
        </w:rPr>
        <w:t xml:space="preserve"> different turbulence models. </w:t>
      </w:r>
      <w:r w:rsidR="00C31769">
        <w:rPr>
          <w:lang w:val="en-GB"/>
        </w:rPr>
        <w:t xml:space="preserve">A comparison of </w:t>
      </w:r>
      <w:r w:rsidR="00C31769">
        <w:t xml:space="preserve">temperature profiles along the enclosing vessel at plug bottom (Fig. </w:t>
      </w:r>
      <w:r w:rsidR="00FD08C9">
        <w:t>5</w:t>
      </w:r>
      <w:r w:rsidR="00C31769">
        <w:t xml:space="preserve">) </w:t>
      </w:r>
      <w:r w:rsidR="005947E7">
        <w:t xml:space="preserve">predicted by various turbulence models shows that the predictions are very close. However, </w:t>
      </w:r>
      <w:r w:rsidR="00C31769">
        <w:t xml:space="preserve">the </w:t>
      </w:r>
      <w:r w:rsidR="005947E7">
        <w:t xml:space="preserve">prediction by </w:t>
      </w:r>
      <w:r w:rsidR="00C31769" w:rsidRPr="00241F43">
        <w:rPr>
          <w:szCs w:val="24"/>
        </w:rPr>
        <w:t xml:space="preserve">Realizable </w:t>
      </w:r>
      <w:r w:rsidR="00C31769" w:rsidRPr="00241F43">
        <w:rPr>
          <w:i/>
          <w:iCs/>
          <w:szCs w:val="24"/>
        </w:rPr>
        <w:t>k-ε</w:t>
      </w:r>
      <w:r w:rsidR="00041C62">
        <w:rPr>
          <w:i/>
          <w:iCs/>
          <w:szCs w:val="24"/>
        </w:rPr>
        <w:t xml:space="preserve"> </w:t>
      </w:r>
      <w:r w:rsidR="00C31769" w:rsidRPr="00BB1D29">
        <w:rPr>
          <w:szCs w:val="24"/>
        </w:rPr>
        <w:t xml:space="preserve">turbulence model </w:t>
      </w:r>
      <w:r w:rsidR="005947E7">
        <w:rPr>
          <w:szCs w:val="24"/>
        </w:rPr>
        <w:t xml:space="preserve">with respect to the circumferential </w:t>
      </w:r>
      <w:r w:rsidR="00C31769" w:rsidRPr="00BB1D29">
        <w:rPr>
          <w:szCs w:val="24"/>
        </w:rPr>
        <w:t xml:space="preserve">temperature </w:t>
      </w:r>
      <w:r w:rsidR="005947E7">
        <w:rPr>
          <w:szCs w:val="24"/>
        </w:rPr>
        <w:t xml:space="preserve">gradient is </w:t>
      </w:r>
      <w:r w:rsidR="00C31769" w:rsidRPr="00BB1D29">
        <w:rPr>
          <w:szCs w:val="24"/>
        </w:rPr>
        <w:t>close</w:t>
      </w:r>
      <w:r w:rsidR="005947E7">
        <w:rPr>
          <w:szCs w:val="24"/>
        </w:rPr>
        <w:t>st</w:t>
      </w:r>
      <w:r w:rsidR="00C31769" w:rsidRPr="00BB1D29">
        <w:rPr>
          <w:szCs w:val="24"/>
        </w:rPr>
        <w:t xml:space="preserve"> with </w:t>
      </w:r>
      <w:r w:rsidR="005947E7">
        <w:rPr>
          <w:szCs w:val="24"/>
        </w:rPr>
        <w:t xml:space="preserve">the </w:t>
      </w:r>
      <w:r w:rsidR="00C31769" w:rsidRPr="00BB1D29">
        <w:rPr>
          <w:szCs w:val="24"/>
        </w:rPr>
        <w:t xml:space="preserve">experimental </w:t>
      </w:r>
      <w:r w:rsidR="005947E7">
        <w:rPr>
          <w:szCs w:val="24"/>
        </w:rPr>
        <w:t>data and hence</w:t>
      </w:r>
      <w:r w:rsidR="00C31769" w:rsidRPr="00BB1D29">
        <w:rPr>
          <w:szCs w:val="24"/>
        </w:rPr>
        <w:t xml:space="preserve"> adopted for further stud</w:t>
      </w:r>
      <w:r w:rsidR="005947E7">
        <w:rPr>
          <w:szCs w:val="24"/>
        </w:rPr>
        <w:t>ies</w:t>
      </w:r>
      <w:r w:rsidR="00C31769" w:rsidRPr="00BB1D29">
        <w:rPr>
          <w:szCs w:val="24"/>
        </w:rPr>
        <w:t>.</w:t>
      </w:r>
    </w:p>
    <w:p w:rsidR="00C64B41" w:rsidRDefault="00C64B41" w:rsidP="00C64B41">
      <w:pPr>
        <w:pStyle w:val="Authornameandaffiliation"/>
        <w:ind w:left="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017"/>
      </w:tblGrid>
      <w:tr w:rsidR="00FE2C76" w:rsidTr="000B1CAD">
        <w:trPr>
          <w:trHeight w:val="3458"/>
        </w:trPr>
        <w:tc>
          <w:tcPr>
            <w:tcW w:w="9017" w:type="dxa"/>
            <w:vAlign w:val="center"/>
          </w:tcPr>
          <w:p w:rsidR="00FE2C76" w:rsidRDefault="002F359A" w:rsidP="000B1CAD">
            <w:pPr>
              <w:pStyle w:val="BodyText"/>
              <w:ind w:firstLine="0"/>
              <w:jc w:val="center"/>
              <w:rPr>
                <w:lang w:val="en-IN"/>
              </w:rPr>
            </w:pPr>
            <w:r>
              <w:rPr>
                <w:noProof/>
                <w:lang w:val="en-IN" w:eastAsia="en-IN"/>
              </w:rPr>
              <w:drawing>
                <wp:inline distT="0" distB="0" distL="0" distR="0">
                  <wp:extent cx="2660222" cy="198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0222" cy="1983600"/>
                          </a:xfrm>
                          <a:prstGeom prst="rect">
                            <a:avLst/>
                          </a:prstGeom>
                        </pic:spPr>
                      </pic:pic>
                    </a:graphicData>
                  </a:graphic>
                </wp:inline>
              </w:drawing>
            </w:r>
          </w:p>
        </w:tc>
      </w:tr>
      <w:tr w:rsidR="00FE2C76" w:rsidTr="000B1CAD">
        <w:trPr>
          <w:trHeight w:val="737"/>
        </w:trPr>
        <w:tc>
          <w:tcPr>
            <w:tcW w:w="9017" w:type="dxa"/>
            <w:vAlign w:val="center"/>
          </w:tcPr>
          <w:p w:rsidR="00E83889" w:rsidRDefault="00FE2C76" w:rsidP="00E83889">
            <w:pPr>
              <w:pStyle w:val="BodyText"/>
              <w:ind w:firstLine="0"/>
              <w:jc w:val="left"/>
              <w:rPr>
                <w:i/>
                <w:sz w:val="18"/>
                <w:szCs w:val="18"/>
              </w:rPr>
            </w:pPr>
            <w:r w:rsidRPr="0052136B">
              <w:rPr>
                <w:i/>
                <w:sz w:val="18"/>
                <w:szCs w:val="18"/>
              </w:rPr>
              <w:t xml:space="preserve">FIG. </w:t>
            </w:r>
            <w:r w:rsidR="00FD08C9">
              <w:rPr>
                <w:i/>
                <w:sz w:val="18"/>
                <w:szCs w:val="18"/>
              </w:rPr>
              <w:t>5</w:t>
            </w:r>
            <w:r w:rsidRPr="0052136B">
              <w:rPr>
                <w:i/>
                <w:sz w:val="18"/>
                <w:szCs w:val="18"/>
              </w:rPr>
              <w:t>.</w:t>
            </w:r>
            <w:r>
              <w:rPr>
                <w:i/>
                <w:sz w:val="18"/>
                <w:szCs w:val="18"/>
              </w:rPr>
              <w:t xml:space="preserve"> Comparison of </w:t>
            </w:r>
            <w:r w:rsidR="009033D4">
              <w:rPr>
                <w:i/>
                <w:sz w:val="18"/>
                <w:szCs w:val="18"/>
              </w:rPr>
              <w:t xml:space="preserve">circumferential </w:t>
            </w:r>
            <w:r>
              <w:rPr>
                <w:i/>
                <w:sz w:val="18"/>
                <w:szCs w:val="18"/>
              </w:rPr>
              <w:t xml:space="preserve">temperature </w:t>
            </w:r>
            <w:r w:rsidR="009033D4">
              <w:rPr>
                <w:i/>
                <w:sz w:val="18"/>
                <w:szCs w:val="18"/>
              </w:rPr>
              <w:t xml:space="preserve">distribution in the </w:t>
            </w:r>
            <w:r>
              <w:rPr>
                <w:i/>
                <w:sz w:val="18"/>
                <w:szCs w:val="18"/>
              </w:rPr>
              <w:t>enclosing vessel at plug bottom for different turbulence models</w:t>
            </w:r>
          </w:p>
        </w:tc>
      </w:tr>
    </w:tbl>
    <w:p w:rsidR="00C04B23" w:rsidRPr="00EE0041" w:rsidRDefault="00C04B23" w:rsidP="00C04B23">
      <w:pPr>
        <w:pStyle w:val="Heading3"/>
      </w:pPr>
      <w:r>
        <w:t>Selection of radiation model</w:t>
      </w:r>
    </w:p>
    <w:p w:rsidR="00C04B23" w:rsidRDefault="000645E8" w:rsidP="00C64B41">
      <w:pPr>
        <w:pStyle w:val="Authornameandaffiliation"/>
        <w:ind w:left="0" w:firstLine="567"/>
        <w:jc w:val="both"/>
        <w:rPr>
          <w:lang w:val="en-GB"/>
        </w:rPr>
      </w:pPr>
      <w:r>
        <w:rPr>
          <w:szCs w:val="24"/>
        </w:rPr>
        <w:t>The fluid medium in the reactor vessel is considered as non – participating</w:t>
      </w:r>
      <w:r w:rsidR="00FC5E2F">
        <w:rPr>
          <w:szCs w:val="24"/>
        </w:rPr>
        <w:t>. Also, due to thin annular spaces in the system, radia</w:t>
      </w:r>
      <w:r>
        <w:rPr>
          <w:szCs w:val="24"/>
        </w:rPr>
        <w:t>tion</w:t>
      </w:r>
      <w:r w:rsidR="00FC5E2F">
        <w:rPr>
          <w:szCs w:val="24"/>
        </w:rPr>
        <w:t xml:space="preserve"> modelling methods like</w:t>
      </w:r>
      <w:r w:rsidR="00041C62">
        <w:rPr>
          <w:szCs w:val="24"/>
        </w:rPr>
        <w:t xml:space="preserve"> </w:t>
      </w:r>
      <w:r w:rsidR="00D548CB">
        <w:rPr>
          <w:szCs w:val="24"/>
        </w:rPr>
        <w:t>Rosse</w:t>
      </w:r>
      <w:r w:rsidR="009033D4">
        <w:rPr>
          <w:szCs w:val="24"/>
        </w:rPr>
        <w:t xml:space="preserve"> </w:t>
      </w:r>
      <w:r w:rsidR="00D548CB">
        <w:rPr>
          <w:szCs w:val="24"/>
        </w:rPr>
        <w:t>land</w:t>
      </w:r>
      <w:r w:rsidR="00041C62">
        <w:rPr>
          <w:szCs w:val="24"/>
        </w:rPr>
        <w:t xml:space="preserve"> </w:t>
      </w:r>
      <w:r w:rsidR="00D548CB">
        <w:rPr>
          <w:szCs w:val="24"/>
        </w:rPr>
        <w:t>and P-1 cannot be used</w:t>
      </w:r>
      <w:r w:rsidR="00237B0D">
        <w:rPr>
          <w:szCs w:val="24"/>
        </w:rPr>
        <w:t xml:space="preserve"> [11]</w:t>
      </w:r>
      <w:r w:rsidR="00D548CB">
        <w:rPr>
          <w:szCs w:val="24"/>
        </w:rPr>
        <w:t xml:space="preserve">. </w:t>
      </w:r>
      <w:r>
        <w:rPr>
          <w:szCs w:val="24"/>
        </w:rPr>
        <w:t xml:space="preserve">The radiation heat transfer can be </w:t>
      </w:r>
      <w:r w:rsidR="002F445B">
        <w:rPr>
          <w:szCs w:val="24"/>
        </w:rPr>
        <w:t xml:space="preserve">modeled </w:t>
      </w:r>
      <w:r>
        <w:rPr>
          <w:szCs w:val="24"/>
        </w:rPr>
        <w:t xml:space="preserve">by </w:t>
      </w:r>
      <w:r w:rsidR="00D548CB">
        <w:rPr>
          <w:szCs w:val="24"/>
        </w:rPr>
        <w:t xml:space="preserve">Discrete </w:t>
      </w:r>
      <w:r w:rsidR="00B06ECF">
        <w:rPr>
          <w:szCs w:val="24"/>
        </w:rPr>
        <w:t>T</w:t>
      </w:r>
      <w:r w:rsidR="00D548CB">
        <w:rPr>
          <w:szCs w:val="24"/>
        </w:rPr>
        <w:t xml:space="preserve">ransfer </w:t>
      </w:r>
      <w:r w:rsidR="00B06ECF">
        <w:rPr>
          <w:szCs w:val="24"/>
        </w:rPr>
        <w:t>R</w:t>
      </w:r>
      <w:r w:rsidR="00D548CB">
        <w:rPr>
          <w:szCs w:val="24"/>
        </w:rPr>
        <w:t xml:space="preserve">adiation </w:t>
      </w:r>
      <w:r w:rsidR="00B06ECF">
        <w:rPr>
          <w:szCs w:val="24"/>
        </w:rPr>
        <w:t>M</w:t>
      </w:r>
      <w:r w:rsidR="00D548CB">
        <w:rPr>
          <w:szCs w:val="24"/>
        </w:rPr>
        <w:t xml:space="preserve">odel (DTRM), Surface to Surface (S2S) and Discrete </w:t>
      </w:r>
      <w:r w:rsidR="00B06ECF">
        <w:rPr>
          <w:szCs w:val="24"/>
        </w:rPr>
        <w:t>O</w:t>
      </w:r>
      <w:r w:rsidR="00D548CB">
        <w:rPr>
          <w:szCs w:val="24"/>
        </w:rPr>
        <w:t>rder (DO) model.</w:t>
      </w:r>
      <w:r w:rsidR="002F445B">
        <w:rPr>
          <w:szCs w:val="24"/>
        </w:rPr>
        <w:t xml:space="preserve"> In order t</w:t>
      </w:r>
      <w:r w:rsidR="00DE7252" w:rsidRPr="00BB1D29">
        <w:rPr>
          <w:szCs w:val="24"/>
        </w:rPr>
        <w:t>o</w:t>
      </w:r>
      <w:r w:rsidR="00B22F99">
        <w:rPr>
          <w:szCs w:val="24"/>
        </w:rPr>
        <w:t xml:space="preserve"> </w:t>
      </w:r>
      <w:r w:rsidR="002F445B">
        <w:rPr>
          <w:szCs w:val="24"/>
        </w:rPr>
        <w:t xml:space="preserve">study the </w:t>
      </w:r>
      <w:r w:rsidR="00A56827" w:rsidRPr="00BB1D29">
        <w:rPr>
          <w:szCs w:val="24"/>
        </w:rPr>
        <w:t>sensiti</w:t>
      </w:r>
      <w:r w:rsidR="002F445B">
        <w:rPr>
          <w:szCs w:val="24"/>
        </w:rPr>
        <w:t>vity</w:t>
      </w:r>
      <w:r w:rsidR="00A56827" w:rsidRPr="00BB1D29">
        <w:rPr>
          <w:szCs w:val="24"/>
        </w:rPr>
        <w:t xml:space="preserve"> of </w:t>
      </w:r>
      <w:r w:rsidR="00D548CB">
        <w:rPr>
          <w:szCs w:val="24"/>
        </w:rPr>
        <w:t>radiation</w:t>
      </w:r>
      <w:r w:rsidR="00A56827" w:rsidRPr="00BB1D29">
        <w:rPr>
          <w:szCs w:val="24"/>
        </w:rPr>
        <w:t xml:space="preserve"> model</w:t>
      </w:r>
      <w:r w:rsidR="00B22F99">
        <w:rPr>
          <w:szCs w:val="24"/>
        </w:rPr>
        <w:t>,</w:t>
      </w:r>
      <w:r w:rsidR="002F445B">
        <w:rPr>
          <w:szCs w:val="24"/>
        </w:rPr>
        <w:t xml:space="preserve"> analysis is carried out using various models and compared against </w:t>
      </w:r>
      <w:r w:rsidR="00A56827" w:rsidRPr="00BB1D29">
        <w:rPr>
          <w:szCs w:val="24"/>
        </w:rPr>
        <w:t xml:space="preserve">COBA experimental data. </w:t>
      </w:r>
      <w:r w:rsidR="00A56827">
        <w:rPr>
          <w:lang w:val="en-GB"/>
        </w:rPr>
        <w:t xml:space="preserve">A comparison of </w:t>
      </w:r>
      <w:r w:rsidR="00A56827">
        <w:t xml:space="preserve">temperature profiles along the </w:t>
      </w:r>
      <w:r w:rsidR="00A56827">
        <w:lastRenderedPageBreak/>
        <w:t xml:space="preserve">enclosing vessel at plug bottom (Fig. </w:t>
      </w:r>
      <w:r w:rsidR="00FD08C9">
        <w:t>6</w:t>
      </w:r>
      <w:r w:rsidR="00A56827">
        <w:t xml:space="preserve">) </w:t>
      </w:r>
      <w:r w:rsidR="002F445B">
        <w:t xml:space="preserve">predicted by these models </w:t>
      </w:r>
      <w:r w:rsidR="00D548CB">
        <w:t xml:space="preserve">shows that the simulation results are </w:t>
      </w:r>
      <w:r w:rsidR="00DE7252">
        <w:t>remarkably similar</w:t>
      </w:r>
      <w:r w:rsidR="00D548CB">
        <w:t xml:space="preserve">. </w:t>
      </w:r>
      <w:r w:rsidR="00D548CB">
        <w:rPr>
          <w:lang w:val="en-GB"/>
        </w:rPr>
        <w:t>However,</w:t>
      </w:r>
      <w:r w:rsidR="00B22F99">
        <w:rPr>
          <w:lang w:val="en-GB"/>
        </w:rPr>
        <w:t xml:space="preserve"> </w:t>
      </w:r>
      <w:r w:rsidR="00D548CB">
        <w:rPr>
          <w:lang w:val="en-GB"/>
        </w:rPr>
        <w:t xml:space="preserve">DTRM and S2S are very </w:t>
      </w:r>
      <w:r w:rsidR="00DE7252">
        <w:rPr>
          <w:lang w:val="en-GB"/>
        </w:rPr>
        <w:t>time-consuming</w:t>
      </w:r>
      <w:r w:rsidR="00D548CB">
        <w:rPr>
          <w:lang w:val="en-GB"/>
        </w:rPr>
        <w:t xml:space="preserve"> methods for systems with fine grid size. Hence, the DO model is </w:t>
      </w:r>
      <w:r>
        <w:rPr>
          <w:lang w:val="en-GB"/>
        </w:rPr>
        <w:t>considered for further studies</w:t>
      </w:r>
      <w:r w:rsidR="00D548CB">
        <w:rPr>
          <w:lang w:val="en-GB"/>
        </w:rPr>
        <w:t>.</w:t>
      </w:r>
    </w:p>
    <w:p w:rsidR="00C04B23" w:rsidRPr="00EE0041" w:rsidRDefault="00C04B23" w:rsidP="00C04B23">
      <w:pPr>
        <w:pStyle w:val="Heading3"/>
      </w:pPr>
      <w:r>
        <w:t>Effect of surface emissivity</w:t>
      </w:r>
    </w:p>
    <w:p w:rsidR="00C04B23" w:rsidRDefault="00285BBF" w:rsidP="009D31CD">
      <w:pPr>
        <w:pStyle w:val="Authornameandaffiliation"/>
        <w:ind w:left="0" w:firstLine="567"/>
        <w:jc w:val="both"/>
        <w:rPr>
          <w:szCs w:val="24"/>
        </w:rPr>
      </w:pPr>
      <w:r w:rsidRPr="0068741A">
        <w:t>With time, solid surface</w:t>
      </w:r>
      <w:r>
        <w:t>s</w:t>
      </w:r>
      <w:r w:rsidRPr="0068741A">
        <w:t xml:space="preserve"> get affected by deposition and corrosion, which influences the surface emissivity.</w:t>
      </w:r>
      <w:r w:rsidR="00B22F99">
        <w:t xml:space="preserve"> </w:t>
      </w:r>
      <w:r>
        <w:t>E</w:t>
      </w:r>
      <w:r w:rsidRPr="0068741A">
        <w:t>missivity of stainless steel with polished surface is 0.2. However due to oxide layer on the surface that forms with time, emissivity rises to 0.6.</w:t>
      </w:r>
      <w:r w:rsidR="002F445B">
        <w:t xml:space="preserve"> In order to study the effect of surface emissivity on the predictions, analysis is </w:t>
      </w:r>
      <w:r w:rsidRPr="0068741A">
        <w:t xml:space="preserve">carried out with different emissivity </w:t>
      </w:r>
      <w:r w:rsidR="002F445B">
        <w:t xml:space="preserve">considered for the </w:t>
      </w:r>
      <w:r>
        <w:t xml:space="preserve">solid walls in the domain. </w:t>
      </w:r>
      <w:r>
        <w:rPr>
          <w:lang w:val="en-GB"/>
        </w:rPr>
        <w:t xml:space="preserve">A comparison of </w:t>
      </w:r>
      <w:r w:rsidR="00B22F99">
        <w:rPr>
          <w:lang w:val="en-GB"/>
        </w:rPr>
        <w:t xml:space="preserve">predicted </w:t>
      </w:r>
      <w:r>
        <w:t xml:space="preserve">temperature profiles along the enclosing vessel at plug bottom (Fig. </w:t>
      </w:r>
      <w:r w:rsidR="00FD08C9">
        <w:t>7</w:t>
      </w:r>
      <w:r>
        <w:t xml:space="preserve">) </w:t>
      </w:r>
      <w:r w:rsidR="00C04922">
        <w:t xml:space="preserve">shows that with an increase in surface emissivity, the average temperature and the temperature asymmetry also increase. </w:t>
      </w:r>
      <w:r w:rsidR="00DB0C91">
        <w:t xml:space="preserve">Considering </w:t>
      </w:r>
      <w:r w:rsidR="00DB0C91">
        <w:rPr>
          <w:szCs w:val="24"/>
        </w:rPr>
        <w:t>t</w:t>
      </w:r>
      <w:r>
        <w:rPr>
          <w:szCs w:val="24"/>
        </w:rPr>
        <w:t>he ag</w:t>
      </w:r>
      <w:r w:rsidR="00DB0C91">
        <w:rPr>
          <w:szCs w:val="24"/>
        </w:rPr>
        <w:t>e</w:t>
      </w:r>
      <w:r>
        <w:rPr>
          <w:szCs w:val="24"/>
        </w:rPr>
        <w:t>ing factor of the solid walls</w:t>
      </w:r>
      <w:r w:rsidR="00DB0C91">
        <w:rPr>
          <w:szCs w:val="24"/>
        </w:rPr>
        <w:t xml:space="preserve">, </w:t>
      </w:r>
      <w:r>
        <w:rPr>
          <w:szCs w:val="24"/>
        </w:rPr>
        <w:t xml:space="preserve">the optimum value of emissivity </w:t>
      </w:r>
      <w:r w:rsidR="003F64B6">
        <w:rPr>
          <w:szCs w:val="24"/>
        </w:rPr>
        <w:t>is chosen as 0.6</w:t>
      </w:r>
      <w:r>
        <w:rPr>
          <w:szCs w:val="24"/>
        </w:rPr>
        <w:t>.</w:t>
      </w:r>
      <w:r w:rsidR="002F445B">
        <w:rPr>
          <w:szCs w:val="24"/>
        </w:rPr>
        <w:t xml:space="preserve"> The results also show that the uncertainty in the emissivity parameter </w:t>
      </w:r>
      <w:r w:rsidR="00B22F99">
        <w:rPr>
          <w:szCs w:val="24"/>
        </w:rPr>
        <w:t>is one of the main contributor for the</w:t>
      </w:r>
      <w:r w:rsidR="002F445B">
        <w:rPr>
          <w:szCs w:val="24"/>
        </w:rPr>
        <w:t xml:space="preserve"> theoretical prediction of average temperature of vessel </w:t>
      </w:r>
      <w:r w:rsidR="00B22F99">
        <w:rPr>
          <w:szCs w:val="24"/>
        </w:rPr>
        <w:t xml:space="preserve">to </w:t>
      </w:r>
      <w:r w:rsidR="002F445B">
        <w:rPr>
          <w:szCs w:val="24"/>
        </w:rPr>
        <w:t>deviate from the experimental data.</w:t>
      </w:r>
    </w:p>
    <w:p w:rsidR="00C64B41" w:rsidRDefault="00C64B41" w:rsidP="00C64B41">
      <w:pPr>
        <w:pStyle w:val="Authornameandaffiliation"/>
        <w:ind w:left="0"/>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508"/>
        <w:gridCol w:w="4509"/>
      </w:tblGrid>
      <w:tr w:rsidR="00C64B41" w:rsidTr="000B1CAD">
        <w:trPr>
          <w:trHeight w:val="3458"/>
        </w:trPr>
        <w:tc>
          <w:tcPr>
            <w:tcW w:w="4508" w:type="dxa"/>
            <w:vAlign w:val="center"/>
          </w:tcPr>
          <w:p w:rsidR="00C64B41" w:rsidRDefault="002F359A" w:rsidP="000B1CAD">
            <w:pPr>
              <w:pStyle w:val="BodyText"/>
              <w:ind w:firstLine="0"/>
              <w:jc w:val="center"/>
              <w:rPr>
                <w:lang w:val="en-IN"/>
              </w:rPr>
            </w:pPr>
            <w:r>
              <w:rPr>
                <w:noProof/>
                <w:lang w:val="en-IN" w:eastAsia="en-IN"/>
              </w:rPr>
              <w:drawing>
                <wp:inline distT="0" distB="0" distL="0" distR="0">
                  <wp:extent cx="2660222" cy="198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0222" cy="1983600"/>
                          </a:xfrm>
                          <a:prstGeom prst="rect">
                            <a:avLst/>
                          </a:prstGeom>
                        </pic:spPr>
                      </pic:pic>
                    </a:graphicData>
                  </a:graphic>
                </wp:inline>
              </w:drawing>
            </w:r>
          </w:p>
        </w:tc>
        <w:tc>
          <w:tcPr>
            <w:tcW w:w="4509" w:type="dxa"/>
            <w:vAlign w:val="center"/>
          </w:tcPr>
          <w:p w:rsidR="00C64B41" w:rsidRDefault="002F359A" w:rsidP="000B1CAD">
            <w:pPr>
              <w:pStyle w:val="BodyText"/>
              <w:ind w:firstLine="0"/>
              <w:jc w:val="center"/>
              <w:rPr>
                <w:lang w:val="en-IN"/>
              </w:rPr>
            </w:pPr>
            <w:r>
              <w:rPr>
                <w:noProof/>
                <w:lang w:val="en-IN" w:eastAsia="en-IN"/>
              </w:rPr>
              <w:drawing>
                <wp:inline distT="0" distB="0" distL="0" distR="0">
                  <wp:extent cx="2655094" cy="198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5094" cy="1983600"/>
                          </a:xfrm>
                          <a:prstGeom prst="rect">
                            <a:avLst/>
                          </a:prstGeom>
                        </pic:spPr>
                      </pic:pic>
                    </a:graphicData>
                  </a:graphic>
                </wp:inline>
              </w:drawing>
            </w:r>
          </w:p>
        </w:tc>
      </w:tr>
      <w:tr w:rsidR="00C64B41" w:rsidTr="000B1CAD">
        <w:trPr>
          <w:trHeight w:val="737"/>
        </w:trPr>
        <w:tc>
          <w:tcPr>
            <w:tcW w:w="4508" w:type="dxa"/>
          </w:tcPr>
          <w:p w:rsidR="00C64B41" w:rsidRDefault="00C64B41" w:rsidP="009033D4">
            <w:pPr>
              <w:pStyle w:val="BodyText"/>
              <w:ind w:firstLine="0"/>
              <w:rPr>
                <w:lang w:val="en-IN"/>
              </w:rPr>
            </w:pPr>
            <w:r w:rsidRPr="0052136B">
              <w:rPr>
                <w:i/>
                <w:sz w:val="18"/>
                <w:szCs w:val="18"/>
              </w:rPr>
              <w:t xml:space="preserve">FIG. </w:t>
            </w:r>
            <w:r w:rsidR="00FD08C9">
              <w:rPr>
                <w:i/>
                <w:sz w:val="18"/>
                <w:szCs w:val="18"/>
              </w:rPr>
              <w:t>6</w:t>
            </w:r>
            <w:r w:rsidRPr="0052136B">
              <w:rPr>
                <w:i/>
                <w:sz w:val="18"/>
                <w:szCs w:val="18"/>
              </w:rPr>
              <w:t>.</w:t>
            </w:r>
            <w:r>
              <w:rPr>
                <w:i/>
                <w:sz w:val="18"/>
                <w:szCs w:val="18"/>
              </w:rPr>
              <w:t xml:space="preserve"> Comparison of </w:t>
            </w:r>
            <w:r w:rsidR="009033D4">
              <w:rPr>
                <w:i/>
                <w:sz w:val="18"/>
                <w:szCs w:val="18"/>
              </w:rPr>
              <w:t xml:space="preserve">circumferential </w:t>
            </w:r>
            <w:r>
              <w:rPr>
                <w:i/>
                <w:sz w:val="18"/>
                <w:szCs w:val="18"/>
              </w:rPr>
              <w:t xml:space="preserve">temperature </w:t>
            </w:r>
            <w:r w:rsidR="009033D4">
              <w:rPr>
                <w:i/>
                <w:sz w:val="18"/>
                <w:szCs w:val="18"/>
              </w:rPr>
              <w:t xml:space="preserve">distribution in the </w:t>
            </w:r>
            <w:r>
              <w:rPr>
                <w:i/>
                <w:sz w:val="18"/>
                <w:szCs w:val="18"/>
              </w:rPr>
              <w:t>enclosing vessel at plug bottom for different radiation models</w:t>
            </w:r>
          </w:p>
        </w:tc>
        <w:tc>
          <w:tcPr>
            <w:tcW w:w="4509" w:type="dxa"/>
          </w:tcPr>
          <w:p w:rsidR="00C64B41" w:rsidRPr="00B06E82" w:rsidRDefault="00C64B41" w:rsidP="009033D4">
            <w:pPr>
              <w:pStyle w:val="BodyText"/>
              <w:ind w:firstLine="0"/>
              <w:rPr>
                <w:i/>
                <w:sz w:val="18"/>
                <w:szCs w:val="18"/>
              </w:rPr>
            </w:pPr>
            <w:r w:rsidRPr="0052136B">
              <w:rPr>
                <w:i/>
                <w:sz w:val="18"/>
                <w:szCs w:val="18"/>
              </w:rPr>
              <w:t>FIG.</w:t>
            </w:r>
            <w:r w:rsidR="00FD08C9">
              <w:rPr>
                <w:i/>
                <w:sz w:val="18"/>
                <w:szCs w:val="18"/>
              </w:rPr>
              <w:t xml:space="preserve"> 7</w:t>
            </w:r>
            <w:r w:rsidRPr="0052136B">
              <w:rPr>
                <w:i/>
                <w:sz w:val="18"/>
                <w:szCs w:val="18"/>
              </w:rPr>
              <w:t>.</w:t>
            </w:r>
            <w:r>
              <w:rPr>
                <w:i/>
                <w:sz w:val="18"/>
                <w:szCs w:val="18"/>
              </w:rPr>
              <w:t xml:space="preserve"> Comparison of </w:t>
            </w:r>
            <w:r w:rsidR="009033D4">
              <w:rPr>
                <w:i/>
                <w:sz w:val="18"/>
                <w:szCs w:val="18"/>
              </w:rPr>
              <w:t xml:space="preserve">circumferential </w:t>
            </w:r>
            <w:r>
              <w:rPr>
                <w:i/>
                <w:sz w:val="18"/>
                <w:szCs w:val="18"/>
              </w:rPr>
              <w:t xml:space="preserve">temperature </w:t>
            </w:r>
            <w:r w:rsidR="009033D4">
              <w:rPr>
                <w:i/>
                <w:sz w:val="18"/>
                <w:szCs w:val="18"/>
              </w:rPr>
              <w:t xml:space="preserve">distribution in the </w:t>
            </w:r>
            <w:r>
              <w:rPr>
                <w:i/>
                <w:sz w:val="18"/>
                <w:szCs w:val="18"/>
              </w:rPr>
              <w:t>enclosing vessel at plug bottom for different surface emissivity</w:t>
            </w:r>
          </w:p>
        </w:tc>
      </w:tr>
    </w:tbl>
    <w:p w:rsidR="004836C2" w:rsidRPr="002E513B" w:rsidRDefault="00C535F3" w:rsidP="004836C2">
      <w:pPr>
        <w:pStyle w:val="Heading2"/>
        <w:numPr>
          <w:ilvl w:val="1"/>
          <w:numId w:val="10"/>
        </w:numPr>
        <w:rPr>
          <w:b/>
        </w:rPr>
      </w:pPr>
      <w:r w:rsidRPr="002E513B">
        <w:rPr>
          <w:b/>
        </w:rPr>
        <w:t xml:space="preserve">ANALYSIS OF </w:t>
      </w:r>
      <w:r w:rsidR="004836C2" w:rsidRPr="002E513B">
        <w:rPr>
          <w:b/>
        </w:rPr>
        <w:t>cellular convection in FBtr</w:t>
      </w:r>
    </w:p>
    <w:p w:rsidR="001E42AB" w:rsidRPr="00C535F3" w:rsidRDefault="00E533AA" w:rsidP="00C535F3">
      <w:pPr>
        <w:pStyle w:val="BodyText"/>
      </w:pPr>
      <w:r>
        <w:t xml:space="preserve">In FBTR </w:t>
      </w:r>
      <w:r w:rsidR="00BE79D5">
        <w:t xml:space="preserve">reactor vessel (Fig. </w:t>
      </w:r>
      <w:r w:rsidR="00FD08C9">
        <w:t>8</w:t>
      </w:r>
      <w:r w:rsidR="00BE79D5">
        <w:t>),</w:t>
      </w:r>
      <w:r w:rsidR="00B22F99">
        <w:t xml:space="preserve"> </w:t>
      </w:r>
      <w:r w:rsidR="00BE79D5">
        <w:t>l</w:t>
      </w:r>
      <w:r w:rsidR="00B06ECF">
        <w:t xml:space="preserve">iquid sodium </w:t>
      </w:r>
      <w:r w:rsidR="00BE79D5">
        <w:t xml:space="preserve">surface </w:t>
      </w:r>
      <w:r w:rsidR="00B06ECF">
        <w:t>acts as the heat source</w:t>
      </w:r>
      <w:r w:rsidR="00BE79D5">
        <w:t xml:space="preserve"> to the cover gas space</w:t>
      </w:r>
      <w:r w:rsidR="00B22F99">
        <w:t xml:space="preserve"> </w:t>
      </w:r>
      <w:r w:rsidR="00B06ECF">
        <w:t xml:space="preserve">whose temperature depends on the operating state of the reactor. Heat sinks for the system include the </w:t>
      </w:r>
      <w:r w:rsidR="009E079F">
        <w:t xml:space="preserve">water </w:t>
      </w:r>
      <w:r w:rsidR="00B06ECF">
        <w:t xml:space="preserve">cooling circuit </w:t>
      </w:r>
      <w:r w:rsidR="007578AE">
        <w:t xml:space="preserve">on </w:t>
      </w:r>
      <w:r w:rsidR="00B06ECF">
        <w:t xml:space="preserve">the radial biological shield (called as the Biological Shield Cooling or BSC circuit), the </w:t>
      </w:r>
      <w:r w:rsidR="009E079F">
        <w:t xml:space="preserve">nitrogen </w:t>
      </w:r>
      <w:r w:rsidR="00B06ECF">
        <w:t>cooling circuit of rotating plugs (called as the Rotating Plugs Cooling or RPC circuit) and</w:t>
      </w:r>
      <w:r w:rsidR="007C4F16">
        <w:t xml:space="preserve"> the ambient atmosphere of the Reactor Containment Building (RCB) at the top. An isothermal condition was imposed on the </w:t>
      </w:r>
      <w:r w:rsidR="00BE79D5">
        <w:t xml:space="preserve">sodium free surface at </w:t>
      </w:r>
      <w:r w:rsidR="002726DE">
        <w:t>200</w:t>
      </w:r>
      <w:bookmarkStart w:id="0" w:name="OLE_LINK1"/>
      <w:r w:rsidR="00970C8E">
        <w:sym w:font="Symbol" w:char="F0B0"/>
      </w:r>
      <w:r w:rsidR="00970C8E">
        <w:t>C</w:t>
      </w:r>
      <w:bookmarkEnd w:id="0"/>
      <w:r w:rsidR="00B22F99">
        <w:t xml:space="preserve"> </w:t>
      </w:r>
      <w:r w:rsidR="009E079F">
        <w:t xml:space="preserve">that corresponds to cold shutdown state of the reactor. </w:t>
      </w:r>
      <w:r w:rsidR="00EC0DF7">
        <w:t xml:space="preserve">It is also assumed that the </w:t>
      </w:r>
      <w:r w:rsidR="009E079F">
        <w:t>BSC circuit is in operation with cooling water at 25</w:t>
      </w:r>
      <w:r w:rsidR="00970C8E">
        <w:sym w:font="Symbol" w:char="F0B0"/>
      </w:r>
      <w:r w:rsidR="00970C8E">
        <w:t>C</w:t>
      </w:r>
      <w:r w:rsidR="00EC0DF7">
        <w:t>, the RPC circuit is in poised state with stagnant nitrogen, and the ambient temperature of RCB atmosphere is assumed to be 40</w:t>
      </w:r>
      <w:r w:rsidR="00970C8E">
        <w:sym w:font="Symbol" w:char="F0B0"/>
      </w:r>
      <w:r w:rsidR="00970C8E">
        <w:t>C</w:t>
      </w:r>
      <w:r w:rsidR="00EC0DF7">
        <w:t xml:space="preserve">. </w:t>
      </w:r>
      <w:r w:rsidR="00E35BB1">
        <w:t xml:space="preserve">The boundary conditions for the model are shown in Fig. </w:t>
      </w:r>
      <w:r w:rsidR="00FD08C9">
        <w:t>9</w:t>
      </w:r>
      <w:r w:rsidR="00E35BB1">
        <w:t>. Mesh generation was done keeping wall y</w:t>
      </w:r>
      <w:r w:rsidR="00E35BB1" w:rsidRPr="00C747FC">
        <w:rPr>
          <w:vertAlign w:val="superscript"/>
        </w:rPr>
        <w:t>+</w:t>
      </w:r>
      <w:r w:rsidR="00E35BB1">
        <w:t xml:space="preserve"> = 1 (Fig. 1</w:t>
      </w:r>
      <w:r w:rsidR="00FD08C9">
        <w:t>0</w:t>
      </w:r>
      <w:r w:rsidR="00E35BB1">
        <w:t xml:space="preserve">). </w:t>
      </w:r>
      <w:r w:rsidR="009E079F">
        <w:t xml:space="preserve">Temperature profile </w:t>
      </w:r>
      <w:r w:rsidR="00BE79D5">
        <w:t xml:space="preserve">predicted </w:t>
      </w:r>
      <w:r w:rsidR="009E079F">
        <w:t xml:space="preserve">along the reactor vessel at plug bottom (at – 3600 mm) </w:t>
      </w:r>
      <w:r w:rsidR="007578AE">
        <w:t xml:space="preserve">is shown in Fig. </w:t>
      </w:r>
      <w:r w:rsidR="001E42AB">
        <w:t>1</w:t>
      </w:r>
      <w:r w:rsidR="00FD08C9">
        <w:t>1</w:t>
      </w:r>
      <w:r w:rsidR="007578AE">
        <w:t>. The average and maximum temperature value predicted from numerical simulations are 91</w:t>
      </w:r>
      <w:r w:rsidR="00970C8E">
        <w:sym w:font="Symbol" w:char="F0B0"/>
      </w:r>
      <w:r w:rsidR="00970C8E">
        <w:t>C</w:t>
      </w:r>
      <w:r w:rsidR="007578AE">
        <w:t xml:space="preserve"> and 42</w:t>
      </w:r>
      <w:r w:rsidR="00970C8E">
        <w:sym w:font="Symbol" w:char="F0B0"/>
      </w:r>
      <w:r w:rsidR="00970C8E">
        <w:t>C</w:t>
      </w:r>
      <w:r w:rsidR="007578AE">
        <w:t xml:space="preserve">, while </w:t>
      </w:r>
      <w:r w:rsidR="00BE79D5">
        <w:t xml:space="preserve">the measured values of the same at </w:t>
      </w:r>
      <w:r w:rsidR="007578AE">
        <w:t xml:space="preserve">FBTR are </w:t>
      </w:r>
      <w:r w:rsidR="0011129D">
        <w:t>93</w:t>
      </w:r>
      <w:r w:rsidR="00970C8E">
        <w:sym w:font="Symbol" w:char="F0B0"/>
      </w:r>
      <w:r w:rsidR="00970C8E">
        <w:t>C</w:t>
      </w:r>
      <w:r w:rsidR="009E079F">
        <w:t xml:space="preserve"> and 5</w:t>
      </w:r>
      <w:r w:rsidR="0011129D">
        <w:t>0</w:t>
      </w:r>
      <w:r w:rsidR="00970C8E">
        <w:sym w:font="Symbol" w:char="F0B0"/>
      </w:r>
      <w:r w:rsidR="00970C8E">
        <w:t>C</w:t>
      </w:r>
      <w:r w:rsidR="009E079F">
        <w:t xml:space="preserve">, respectively. </w:t>
      </w:r>
      <w:r w:rsidR="00BE79D5">
        <w:t>Thus, t</w:t>
      </w:r>
      <w:r w:rsidR="009E079F">
        <w:t xml:space="preserve">he simulation results show </w:t>
      </w:r>
      <w:r w:rsidR="007578AE">
        <w:t xml:space="preserve">good match with </w:t>
      </w:r>
      <w:r w:rsidR="00BE79D5">
        <w:t>the plant data.</w:t>
      </w:r>
      <w:r w:rsidR="00C535F3">
        <w:t xml:space="preserve"> </w:t>
      </w:r>
      <w:r w:rsidR="007D5063">
        <w:t>C</w:t>
      </w:r>
      <w:r w:rsidR="001E42AB">
        <w:t xml:space="preserve">ellular convection </w:t>
      </w:r>
      <w:r w:rsidR="00C535F3">
        <w:t xml:space="preserve">velocity pattern of argon </w:t>
      </w:r>
      <w:r w:rsidR="001E42AB">
        <w:t xml:space="preserve">developed in the </w:t>
      </w:r>
      <w:r w:rsidR="00C535F3">
        <w:t xml:space="preserve">annulus between reactor vessel and rotating plug is </w:t>
      </w:r>
      <w:r w:rsidR="00E35BB1">
        <w:t>shown</w:t>
      </w:r>
      <w:r w:rsidR="00C535F3">
        <w:t xml:space="preserve"> in </w:t>
      </w:r>
      <w:r w:rsidR="001E42AB">
        <w:t>Fig. 1</w:t>
      </w:r>
      <w:r w:rsidR="00FD08C9">
        <w:t>2</w:t>
      </w:r>
      <w:r w:rsidR="00C535F3">
        <w:t>. Formation of single convective cell can be clearly seen in the figure. The corresponding temperature contour on the reactor vessel is shown in Fig. 1</w:t>
      </w:r>
      <w:r w:rsidR="00FD08C9">
        <w:t>3</w:t>
      </w:r>
      <w:r w:rsidR="001E42AB">
        <w:t xml:space="preserve">. </w:t>
      </w:r>
      <w:r w:rsidR="00C535F3">
        <w:t xml:space="preserve">Circumferential temperature distributions on the reactor vessel at various elevations with respect to </w:t>
      </w:r>
      <w:r w:rsidR="00E35BB1">
        <w:t>ground level (el. + 0.0 mm)</w:t>
      </w:r>
      <w:r w:rsidR="00C535F3">
        <w:t xml:space="preserve"> are shown in </w:t>
      </w:r>
      <w:r w:rsidR="001E42AB">
        <w:rPr>
          <w:szCs w:val="24"/>
        </w:rPr>
        <w:t>Fig. 1</w:t>
      </w:r>
      <w:r w:rsidR="00FD08C9">
        <w:rPr>
          <w:szCs w:val="24"/>
        </w:rPr>
        <w:t>4</w:t>
      </w:r>
      <w:r w:rsidR="00C535F3">
        <w:rPr>
          <w:szCs w:val="24"/>
        </w:rPr>
        <w:t>. It can be observed that the temperature asymmetry is maximum at the plug bottom.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67"/>
        <w:gridCol w:w="4447"/>
      </w:tblGrid>
      <w:tr w:rsidR="001E42AB" w:rsidTr="00E35BB1">
        <w:trPr>
          <w:trHeight w:val="3458"/>
        </w:trPr>
        <w:tc>
          <w:tcPr>
            <w:tcW w:w="9017" w:type="dxa"/>
            <w:gridSpan w:val="3"/>
            <w:vAlign w:val="center"/>
          </w:tcPr>
          <w:p w:rsidR="001E42AB" w:rsidRDefault="001E42AB" w:rsidP="000B1CAD">
            <w:pPr>
              <w:pStyle w:val="BodyText"/>
              <w:ind w:firstLine="0"/>
              <w:jc w:val="center"/>
              <w:rPr>
                <w:lang w:val="en-IN"/>
              </w:rPr>
            </w:pPr>
            <w:r>
              <w:rPr>
                <w:b/>
                <w:bCs/>
                <w:noProof/>
                <w:lang w:val="en-IN" w:eastAsia="en-IN"/>
              </w:rPr>
              <w:lastRenderedPageBreak/>
              <w:drawing>
                <wp:inline distT="0" distB="0" distL="0" distR="0">
                  <wp:extent cx="3906756" cy="2700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134"/>
                          <a:stretch/>
                        </pic:blipFill>
                        <pic:spPr bwMode="auto">
                          <a:xfrm>
                            <a:off x="0" y="0"/>
                            <a:ext cx="3906756" cy="270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E42AB" w:rsidTr="00E35BB1">
        <w:trPr>
          <w:trHeight w:val="397"/>
        </w:trPr>
        <w:tc>
          <w:tcPr>
            <w:tcW w:w="9017" w:type="dxa"/>
            <w:gridSpan w:val="3"/>
            <w:vAlign w:val="center"/>
          </w:tcPr>
          <w:p w:rsidR="001E42AB" w:rsidRPr="00EC0DF7" w:rsidRDefault="001E42AB" w:rsidP="000B1CAD">
            <w:pPr>
              <w:jc w:val="center"/>
              <w:rPr>
                <w:i/>
                <w:sz w:val="18"/>
                <w:szCs w:val="18"/>
              </w:rPr>
            </w:pPr>
            <w:r w:rsidRPr="0052136B">
              <w:rPr>
                <w:i/>
                <w:sz w:val="18"/>
                <w:szCs w:val="18"/>
              </w:rPr>
              <w:t xml:space="preserve">FIG. </w:t>
            </w:r>
            <w:r w:rsidR="00FD08C9">
              <w:rPr>
                <w:i/>
                <w:sz w:val="18"/>
                <w:szCs w:val="18"/>
              </w:rPr>
              <w:t>8</w:t>
            </w:r>
            <w:r w:rsidRPr="0052136B">
              <w:rPr>
                <w:i/>
                <w:sz w:val="18"/>
                <w:szCs w:val="18"/>
              </w:rPr>
              <w:t xml:space="preserve">. </w:t>
            </w:r>
            <w:r>
              <w:rPr>
                <w:i/>
                <w:sz w:val="18"/>
                <w:szCs w:val="18"/>
              </w:rPr>
              <w:t>The cover gas region of FBTR reactor vessel</w:t>
            </w:r>
          </w:p>
        </w:tc>
      </w:tr>
      <w:tr w:rsidR="00E35BB1" w:rsidTr="00E35BB1">
        <w:trPr>
          <w:trHeight w:val="3458"/>
        </w:trPr>
        <w:tc>
          <w:tcPr>
            <w:tcW w:w="9017" w:type="dxa"/>
            <w:gridSpan w:val="3"/>
            <w:vAlign w:val="center"/>
          </w:tcPr>
          <w:p w:rsidR="00E35BB1" w:rsidRDefault="00A94197" w:rsidP="000B1CAD">
            <w:pPr>
              <w:pStyle w:val="BodyText"/>
              <w:ind w:firstLine="0"/>
              <w:jc w:val="center"/>
              <w:rPr>
                <w:lang w:val="en-IN"/>
              </w:rPr>
            </w:pPr>
            <w:r>
              <w:rPr>
                <w:noProof/>
                <w:lang w:val="en-IN" w:eastAsia="en-IN"/>
              </w:rPr>
              <w:drawing>
                <wp:inline distT="0" distB="0" distL="0" distR="0">
                  <wp:extent cx="2771567" cy="252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003.png"/>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764"/>
                          <a:stretch/>
                        </pic:blipFill>
                        <pic:spPr bwMode="auto">
                          <a:xfrm>
                            <a:off x="0" y="0"/>
                            <a:ext cx="2771567" cy="2520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35BB1" w:rsidTr="00E35BB1">
        <w:trPr>
          <w:trHeight w:val="397"/>
        </w:trPr>
        <w:tc>
          <w:tcPr>
            <w:tcW w:w="9017" w:type="dxa"/>
            <w:gridSpan w:val="3"/>
            <w:vAlign w:val="center"/>
          </w:tcPr>
          <w:p w:rsidR="00E35BB1" w:rsidRPr="00EC0DF7" w:rsidRDefault="00E35BB1" w:rsidP="00B22F99">
            <w:pPr>
              <w:jc w:val="center"/>
              <w:rPr>
                <w:i/>
                <w:sz w:val="18"/>
                <w:szCs w:val="18"/>
              </w:rPr>
            </w:pPr>
            <w:r w:rsidRPr="0052136B">
              <w:rPr>
                <w:i/>
                <w:sz w:val="18"/>
                <w:szCs w:val="18"/>
              </w:rPr>
              <w:t xml:space="preserve">FIG. </w:t>
            </w:r>
            <w:r>
              <w:rPr>
                <w:i/>
                <w:sz w:val="18"/>
                <w:szCs w:val="18"/>
              </w:rPr>
              <w:t>9</w:t>
            </w:r>
            <w:r w:rsidRPr="0052136B">
              <w:rPr>
                <w:i/>
                <w:sz w:val="18"/>
                <w:szCs w:val="18"/>
              </w:rPr>
              <w:t xml:space="preserve">. </w:t>
            </w:r>
            <w:r w:rsidR="00B22F99">
              <w:rPr>
                <w:i/>
                <w:sz w:val="18"/>
                <w:szCs w:val="18"/>
              </w:rPr>
              <w:t>Schematic of the computational domain with boundary conditions</w:t>
            </w:r>
          </w:p>
        </w:tc>
      </w:tr>
      <w:tr w:rsidR="00E35BB1" w:rsidTr="00E35BB1">
        <w:trPr>
          <w:trHeight w:val="3402"/>
        </w:trPr>
        <w:tc>
          <w:tcPr>
            <w:tcW w:w="4570" w:type="dxa"/>
            <w:gridSpan w:val="2"/>
            <w:vAlign w:val="center"/>
          </w:tcPr>
          <w:p w:rsidR="00E35BB1" w:rsidRDefault="00A94197" w:rsidP="00E35BB1">
            <w:pPr>
              <w:pStyle w:val="BodyText"/>
              <w:ind w:firstLine="0"/>
              <w:jc w:val="center"/>
              <w:rPr>
                <w:lang w:val="en-IN"/>
              </w:rPr>
            </w:pPr>
            <w:r>
              <w:rPr>
                <w:b/>
                <w:bCs/>
                <w:noProof/>
                <w:lang w:val="en-IN" w:eastAsia="en-IN"/>
              </w:rPr>
              <w:drawing>
                <wp:inline distT="0" distB="0" distL="0" distR="0">
                  <wp:extent cx="2517183" cy="252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133"/>
                          <a:stretch/>
                        </pic:blipFill>
                        <pic:spPr bwMode="auto">
                          <a:xfrm>
                            <a:off x="0" y="0"/>
                            <a:ext cx="2517183" cy="252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47" w:type="dxa"/>
            <w:vAlign w:val="center"/>
          </w:tcPr>
          <w:p w:rsidR="00E35BB1" w:rsidRDefault="00A94197" w:rsidP="00E35BB1">
            <w:pPr>
              <w:pStyle w:val="BodyText"/>
              <w:ind w:firstLine="0"/>
              <w:jc w:val="center"/>
              <w:rPr>
                <w:lang w:val="en-IN"/>
              </w:rPr>
            </w:pPr>
            <w:r>
              <w:rPr>
                <w:b/>
                <w:bCs/>
                <w:noProof/>
                <w:lang w:val="en-IN" w:eastAsia="en-IN"/>
              </w:rPr>
              <w:drawing>
                <wp:inline distT="0" distB="0" distL="0" distR="0">
                  <wp:extent cx="2210108"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046" t="14270" b="20579"/>
                          <a:stretch/>
                        </pic:blipFill>
                        <pic:spPr bwMode="auto">
                          <a:xfrm>
                            <a:off x="0" y="0"/>
                            <a:ext cx="2210108" cy="216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35BB1" w:rsidRPr="001D4038" w:rsidTr="00E35BB1">
        <w:trPr>
          <w:trHeight w:val="397"/>
        </w:trPr>
        <w:tc>
          <w:tcPr>
            <w:tcW w:w="4570" w:type="dxa"/>
            <w:gridSpan w:val="2"/>
            <w:vAlign w:val="center"/>
          </w:tcPr>
          <w:p w:rsidR="00E35BB1" w:rsidRPr="001D4038" w:rsidRDefault="00E35BB1" w:rsidP="000B1CAD">
            <w:pPr>
              <w:pStyle w:val="BodyText"/>
              <w:ind w:firstLine="0"/>
              <w:jc w:val="center"/>
              <w:rPr>
                <w:lang w:val="en-IN"/>
              </w:rPr>
            </w:pPr>
            <w:r w:rsidRPr="001D4038">
              <w:rPr>
                <w:i/>
                <w:sz w:val="18"/>
                <w:szCs w:val="18"/>
              </w:rPr>
              <w:t>(a)</w:t>
            </w:r>
          </w:p>
        </w:tc>
        <w:tc>
          <w:tcPr>
            <w:tcW w:w="4447" w:type="dxa"/>
            <w:vAlign w:val="center"/>
          </w:tcPr>
          <w:p w:rsidR="00E35BB1" w:rsidRPr="001D4038" w:rsidRDefault="00E35BB1" w:rsidP="000B1CAD">
            <w:pPr>
              <w:pStyle w:val="BodyText"/>
              <w:ind w:firstLine="0"/>
              <w:jc w:val="center"/>
              <w:rPr>
                <w:i/>
                <w:sz w:val="18"/>
                <w:szCs w:val="18"/>
              </w:rPr>
            </w:pPr>
            <w:r w:rsidRPr="001D4038">
              <w:rPr>
                <w:i/>
                <w:sz w:val="18"/>
                <w:szCs w:val="18"/>
              </w:rPr>
              <w:t>(b)</w:t>
            </w:r>
          </w:p>
        </w:tc>
      </w:tr>
      <w:tr w:rsidR="00E35BB1" w:rsidTr="00E35BB1">
        <w:trPr>
          <w:trHeight w:val="397"/>
        </w:trPr>
        <w:tc>
          <w:tcPr>
            <w:tcW w:w="9017" w:type="dxa"/>
            <w:gridSpan w:val="3"/>
          </w:tcPr>
          <w:p w:rsidR="00E35BB1" w:rsidRPr="00C747FC" w:rsidRDefault="00E35BB1" w:rsidP="000B1CAD">
            <w:pPr>
              <w:pStyle w:val="BodyText"/>
              <w:ind w:firstLine="0"/>
              <w:jc w:val="center"/>
              <w:rPr>
                <w:lang w:val="en-IN"/>
              </w:rPr>
            </w:pPr>
            <w:r w:rsidRPr="0052136B">
              <w:rPr>
                <w:i/>
                <w:sz w:val="18"/>
                <w:szCs w:val="18"/>
              </w:rPr>
              <w:t xml:space="preserve">FIG. </w:t>
            </w:r>
            <w:r>
              <w:rPr>
                <w:i/>
                <w:sz w:val="18"/>
                <w:szCs w:val="18"/>
              </w:rPr>
              <w:t>1</w:t>
            </w:r>
            <w:r w:rsidR="00FD08C9">
              <w:rPr>
                <w:i/>
                <w:sz w:val="18"/>
                <w:szCs w:val="18"/>
              </w:rPr>
              <w:t>0</w:t>
            </w:r>
            <w:r w:rsidRPr="0052136B">
              <w:rPr>
                <w:i/>
                <w:sz w:val="18"/>
                <w:szCs w:val="18"/>
              </w:rPr>
              <w:t>.</w:t>
            </w:r>
            <w:r>
              <w:rPr>
                <w:i/>
                <w:sz w:val="18"/>
                <w:szCs w:val="18"/>
              </w:rPr>
              <w:t xml:space="preserve"> Mesh generated for FBTR model – (a) Side View, and (b) Top View</w:t>
            </w:r>
          </w:p>
        </w:tc>
      </w:tr>
      <w:tr w:rsidR="001E42AB" w:rsidTr="00E35BB1">
        <w:trPr>
          <w:trHeight w:val="3458"/>
        </w:trPr>
        <w:tc>
          <w:tcPr>
            <w:tcW w:w="4503" w:type="dxa"/>
            <w:vAlign w:val="center"/>
          </w:tcPr>
          <w:p w:rsidR="001E42AB" w:rsidRDefault="001E42AB" w:rsidP="000B1CAD">
            <w:pPr>
              <w:pStyle w:val="BodyText"/>
              <w:ind w:firstLine="0"/>
              <w:jc w:val="center"/>
              <w:rPr>
                <w:lang w:val="en-IN"/>
              </w:rPr>
            </w:pPr>
            <w:r>
              <w:rPr>
                <w:noProof/>
                <w:lang w:val="en-IN" w:eastAsia="en-IN"/>
              </w:rPr>
              <w:lastRenderedPageBreak/>
              <w:drawing>
                <wp:inline distT="0" distB="0" distL="0" distR="0">
                  <wp:extent cx="2647765" cy="1980000"/>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765" cy="1980000"/>
                          </a:xfrm>
                          <a:prstGeom prst="rect">
                            <a:avLst/>
                          </a:prstGeom>
                        </pic:spPr>
                      </pic:pic>
                    </a:graphicData>
                  </a:graphic>
                </wp:inline>
              </w:drawing>
            </w:r>
          </w:p>
        </w:tc>
        <w:tc>
          <w:tcPr>
            <w:tcW w:w="4514" w:type="dxa"/>
            <w:gridSpan w:val="2"/>
            <w:vAlign w:val="center"/>
          </w:tcPr>
          <w:p w:rsidR="001E42AB" w:rsidRDefault="001E42AB" w:rsidP="000B1CAD">
            <w:pPr>
              <w:pStyle w:val="BodyText"/>
              <w:ind w:firstLine="0"/>
              <w:jc w:val="center"/>
              <w:rPr>
                <w:lang w:val="en-IN"/>
              </w:rPr>
            </w:pPr>
            <w:r>
              <w:rPr>
                <w:noProof/>
                <w:lang w:val="en-IN" w:eastAsia="en-IN"/>
              </w:rPr>
              <w:drawing>
                <wp:inline distT="0" distB="0" distL="0" distR="0">
                  <wp:extent cx="2544873"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4873" cy="3240000"/>
                          </a:xfrm>
                          <a:prstGeom prst="rect">
                            <a:avLst/>
                          </a:prstGeom>
                        </pic:spPr>
                      </pic:pic>
                    </a:graphicData>
                  </a:graphic>
                </wp:inline>
              </w:drawing>
            </w:r>
          </w:p>
        </w:tc>
      </w:tr>
      <w:tr w:rsidR="001E42AB" w:rsidTr="00E35BB1">
        <w:trPr>
          <w:trHeight w:val="737"/>
        </w:trPr>
        <w:tc>
          <w:tcPr>
            <w:tcW w:w="4503" w:type="dxa"/>
          </w:tcPr>
          <w:p w:rsidR="001E42AB" w:rsidRDefault="001E42AB" w:rsidP="009033D4">
            <w:pPr>
              <w:pStyle w:val="BodyText"/>
              <w:ind w:firstLine="0"/>
              <w:rPr>
                <w:lang w:val="en-IN"/>
              </w:rPr>
            </w:pPr>
            <w:r w:rsidRPr="0052136B">
              <w:rPr>
                <w:i/>
                <w:sz w:val="18"/>
                <w:szCs w:val="18"/>
              </w:rPr>
              <w:t xml:space="preserve">FIG. </w:t>
            </w:r>
            <w:r>
              <w:rPr>
                <w:i/>
                <w:sz w:val="18"/>
                <w:szCs w:val="18"/>
              </w:rPr>
              <w:t>1</w:t>
            </w:r>
            <w:r w:rsidR="00FD08C9">
              <w:rPr>
                <w:i/>
                <w:sz w:val="18"/>
                <w:szCs w:val="18"/>
              </w:rPr>
              <w:t>1</w:t>
            </w:r>
            <w:r w:rsidRPr="0052136B">
              <w:rPr>
                <w:i/>
                <w:sz w:val="18"/>
                <w:szCs w:val="18"/>
              </w:rPr>
              <w:t>.</w:t>
            </w:r>
            <w:r>
              <w:rPr>
                <w:i/>
                <w:sz w:val="18"/>
                <w:szCs w:val="18"/>
              </w:rPr>
              <w:t xml:space="preserve"> </w:t>
            </w:r>
            <w:r w:rsidR="009033D4">
              <w:rPr>
                <w:i/>
                <w:sz w:val="18"/>
                <w:szCs w:val="18"/>
              </w:rPr>
              <w:t>Circumferential t</w:t>
            </w:r>
            <w:r>
              <w:rPr>
                <w:i/>
                <w:sz w:val="18"/>
                <w:szCs w:val="18"/>
              </w:rPr>
              <w:t xml:space="preserve">emperature </w:t>
            </w:r>
            <w:r w:rsidR="009033D4">
              <w:rPr>
                <w:i/>
                <w:sz w:val="18"/>
                <w:szCs w:val="18"/>
              </w:rPr>
              <w:t xml:space="preserve">distribution in the </w:t>
            </w:r>
            <w:r>
              <w:rPr>
                <w:i/>
                <w:sz w:val="18"/>
                <w:szCs w:val="18"/>
              </w:rPr>
              <w:t>reactor vessel at plug bottom</w:t>
            </w:r>
          </w:p>
        </w:tc>
        <w:tc>
          <w:tcPr>
            <w:tcW w:w="4514" w:type="dxa"/>
            <w:gridSpan w:val="2"/>
          </w:tcPr>
          <w:p w:rsidR="001E42AB" w:rsidRPr="00B06E82" w:rsidRDefault="001E42AB" w:rsidP="000B1CAD">
            <w:pPr>
              <w:pStyle w:val="BodyText"/>
              <w:ind w:firstLine="0"/>
              <w:rPr>
                <w:i/>
                <w:sz w:val="18"/>
                <w:szCs w:val="18"/>
              </w:rPr>
            </w:pPr>
            <w:r w:rsidRPr="0052136B">
              <w:rPr>
                <w:i/>
                <w:sz w:val="18"/>
                <w:szCs w:val="18"/>
              </w:rPr>
              <w:t xml:space="preserve">FIG. </w:t>
            </w:r>
            <w:r>
              <w:rPr>
                <w:i/>
                <w:sz w:val="18"/>
                <w:szCs w:val="18"/>
              </w:rPr>
              <w:t>1</w:t>
            </w:r>
            <w:r w:rsidR="00FD08C9">
              <w:rPr>
                <w:i/>
                <w:sz w:val="18"/>
                <w:szCs w:val="18"/>
              </w:rPr>
              <w:t>2</w:t>
            </w:r>
            <w:r w:rsidRPr="0052136B">
              <w:rPr>
                <w:i/>
                <w:sz w:val="18"/>
                <w:szCs w:val="18"/>
              </w:rPr>
              <w:t>.</w:t>
            </w:r>
            <w:r>
              <w:rPr>
                <w:i/>
                <w:sz w:val="18"/>
                <w:szCs w:val="18"/>
              </w:rPr>
              <w:t xml:space="preserve"> Convection currents in annular penetration gaps of rotating plugs</w:t>
            </w:r>
          </w:p>
        </w:tc>
      </w:tr>
      <w:tr w:rsidR="001E42AB" w:rsidTr="00E35BB1">
        <w:trPr>
          <w:trHeight w:val="57"/>
        </w:trPr>
        <w:tc>
          <w:tcPr>
            <w:tcW w:w="4503" w:type="dxa"/>
          </w:tcPr>
          <w:p w:rsidR="001E42AB" w:rsidRPr="0052136B" w:rsidRDefault="001E42AB" w:rsidP="000B1CAD">
            <w:pPr>
              <w:pStyle w:val="BodyText"/>
              <w:ind w:firstLine="0"/>
              <w:rPr>
                <w:i/>
                <w:sz w:val="18"/>
                <w:szCs w:val="18"/>
              </w:rPr>
            </w:pPr>
          </w:p>
        </w:tc>
        <w:tc>
          <w:tcPr>
            <w:tcW w:w="4514" w:type="dxa"/>
            <w:gridSpan w:val="2"/>
          </w:tcPr>
          <w:p w:rsidR="001E42AB" w:rsidRPr="0052136B" w:rsidRDefault="001E42AB" w:rsidP="000B1CAD">
            <w:pPr>
              <w:pStyle w:val="BodyText"/>
              <w:ind w:firstLine="0"/>
              <w:rPr>
                <w:i/>
                <w:sz w:val="18"/>
                <w:szCs w:val="18"/>
              </w:rPr>
            </w:pPr>
          </w:p>
        </w:tc>
      </w:tr>
      <w:tr w:rsidR="001E42AB" w:rsidTr="004A26C4">
        <w:trPr>
          <w:trHeight w:val="3458"/>
        </w:trPr>
        <w:tc>
          <w:tcPr>
            <w:tcW w:w="4503" w:type="dxa"/>
          </w:tcPr>
          <w:p w:rsidR="001E42AB" w:rsidRDefault="001E42AB" w:rsidP="000B1CAD">
            <w:pPr>
              <w:pStyle w:val="BodyText"/>
              <w:ind w:firstLine="0"/>
              <w:jc w:val="center"/>
              <w:rPr>
                <w:lang w:val="en-IN"/>
              </w:rPr>
            </w:pPr>
            <w:r>
              <w:rPr>
                <w:noProof/>
                <w:lang w:val="en-IN" w:eastAsia="en-IN"/>
              </w:rPr>
              <w:drawing>
                <wp:inline distT="0" distB="0" distL="0" distR="0">
                  <wp:extent cx="2462400"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2400" cy="3240000"/>
                          </a:xfrm>
                          <a:prstGeom prst="rect">
                            <a:avLst/>
                          </a:prstGeom>
                        </pic:spPr>
                      </pic:pic>
                    </a:graphicData>
                  </a:graphic>
                </wp:inline>
              </w:drawing>
            </w:r>
          </w:p>
        </w:tc>
        <w:tc>
          <w:tcPr>
            <w:tcW w:w="4514" w:type="dxa"/>
            <w:gridSpan w:val="2"/>
            <w:vAlign w:val="center"/>
          </w:tcPr>
          <w:p w:rsidR="001E42AB" w:rsidRDefault="001E42AB" w:rsidP="004A26C4">
            <w:pPr>
              <w:pStyle w:val="BodyText"/>
              <w:ind w:firstLine="0"/>
              <w:jc w:val="center"/>
              <w:rPr>
                <w:lang w:val="en-IN"/>
              </w:rPr>
            </w:pPr>
            <w:r>
              <w:rPr>
                <w:noProof/>
                <w:lang w:val="en-IN" w:eastAsia="en-IN"/>
              </w:rPr>
              <w:drawing>
                <wp:inline distT="0" distB="0" distL="0" distR="0">
                  <wp:extent cx="2647765" cy="1980000"/>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765" cy="1980000"/>
                          </a:xfrm>
                          <a:prstGeom prst="rect">
                            <a:avLst/>
                          </a:prstGeom>
                        </pic:spPr>
                      </pic:pic>
                    </a:graphicData>
                  </a:graphic>
                </wp:inline>
              </w:drawing>
            </w:r>
          </w:p>
        </w:tc>
      </w:tr>
      <w:tr w:rsidR="001E42AB" w:rsidTr="00E35BB1">
        <w:trPr>
          <w:trHeight w:val="737"/>
        </w:trPr>
        <w:tc>
          <w:tcPr>
            <w:tcW w:w="4503" w:type="dxa"/>
          </w:tcPr>
          <w:p w:rsidR="001E42AB" w:rsidRDefault="001E42AB" w:rsidP="009033D4">
            <w:pPr>
              <w:pStyle w:val="BodyText"/>
              <w:ind w:firstLine="0"/>
              <w:rPr>
                <w:lang w:val="en-IN"/>
              </w:rPr>
            </w:pPr>
            <w:r w:rsidRPr="0052136B">
              <w:rPr>
                <w:i/>
                <w:sz w:val="18"/>
                <w:szCs w:val="18"/>
              </w:rPr>
              <w:t xml:space="preserve">FIG. </w:t>
            </w:r>
            <w:r>
              <w:rPr>
                <w:i/>
                <w:sz w:val="18"/>
                <w:szCs w:val="18"/>
              </w:rPr>
              <w:t>1</w:t>
            </w:r>
            <w:r w:rsidR="00FD08C9">
              <w:rPr>
                <w:i/>
                <w:sz w:val="18"/>
                <w:szCs w:val="18"/>
              </w:rPr>
              <w:t>3</w:t>
            </w:r>
            <w:r w:rsidRPr="0052136B">
              <w:rPr>
                <w:i/>
                <w:sz w:val="18"/>
                <w:szCs w:val="18"/>
              </w:rPr>
              <w:t>.</w:t>
            </w:r>
            <w:r>
              <w:rPr>
                <w:i/>
                <w:sz w:val="18"/>
                <w:szCs w:val="18"/>
              </w:rPr>
              <w:t xml:space="preserve"> Temperature </w:t>
            </w:r>
            <w:r w:rsidR="009033D4">
              <w:rPr>
                <w:i/>
                <w:sz w:val="18"/>
                <w:szCs w:val="18"/>
              </w:rPr>
              <w:t xml:space="preserve">profile in the </w:t>
            </w:r>
            <w:r>
              <w:rPr>
                <w:i/>
                <w:sz w:val="18"/>
                <w:szCs w:val="18"/>
              </w:rPr>
              <w:t>reactor vessel near rotating plugs</w:t>
            </w:r>
          </w:p>
        </w:tc>
        <w:tc>
          <w:tcPr>
            <w:tcW w:w="4514" w:type="dxa"/>
            <w:gridSpan w:val="2"/>
          </w:tcPr>
          <w:p w:rsidR="001E42AB" w:rsidRPr="00B06E82" w:rsidRDefault="001E42AB" w:rsidP="009033D4">
            <w:pPr>
              <w:pStyle w:val="BodyText"/>
              <w:ind w:firstLine="0"/>
              <w:rPr>
                <w:i/>
                <w:sz w:val="18"/>
                <w:szCs w:val="18"/>
              </w:rPr>
            </w:pPr>
            <w:r w:rsidRPr="0052136B">
              <w:rPr>
                <w:i/>
                <w:sz w:val="18"/>
                <w:szCs w:val="18"/>
              </w:rPr>
              <w:t xml:space="preserve">FIG. </w:t>
            </w:r>
            <w:r>
              <w:rPr>
                <w:i/>
                <w:sz w:val="18"/>
                <w:szCs w:val="18"/>
              </w:rPr>
              <w:t>1</w:t>
            </w:r>
            <w:r w:rsidR="00FD08C9">
              <w:rPr>
                <w:i/>
                <w:sz w:val="18"/>
                <w:szCs w:val="18"/>
              </w:rPr>
              <w:t>4</w:t>
            </w:r>
            <w:r w:rsidRPr="0052136B">
              <w:rPr>
                <w:i/>
                <w:sz w:val="18"/>
                <w:szCs w:val="18"/>
              </w:rPr>
              <w:t>.</w:t>
            </w:r>
            <w:r>
              <w:rPr>
                <w:i/>
                <w:sz w:val="18"/>
                <w:szCs w:val="18"/>
              </w:rPr>
              <w:t xml:space="preserve"> </w:t>
            </w:r>
            <w:r w:rsidR="009033D4">
              <w:rPr>
                <w:i/>
                <w:sz w:val="18"/>
                <w:szCs w:val="18"/>
              </w:rPr>
              <w:t>Circumferential t</w:t>
            </w:r>
            <w:r>
              <w:rPr>
                <w:i/>
                <w:sz w:val="18"/>
                <w:szCs w:val="18"/>
              </w:rPr>
              <w:t xml:space="preserve">emperature </w:t>
            </w:r>
            <w:r w:rsidR="009033D4">
              <w:rPr>
                <w:i/>
                <w:sz w:val="18"/>
                <w:szCs w:val="18"/>
              </w:rPr>
              <w:t xml:space="preserve">distribution in the </w:t>
            </w:r>
            <w:r>
              <w:rPr>
                <w:i/>
                <w:sz w:val="18"/>
                <w:szCs w:val="18"/>
              </w:rPr>
              <w:t>reactor vessel at different elevations</w:t>
            </w:r>
            <w:r w:rsidR="00E35BB1">
              <w:rPr>
                <w:i/>
                <w:sz w:val="18"/>
                <w:szCs w:val="18"/>
              </w:rPr>
              <w:t xml:space="preserve"> </w:t>
            </w:r>
          </w:p>
        </w:tc>
      </w:tr>
    </w:tbl>
    <w:p w:rsidR="00237B0D" w:rsidRPr="002E513B" w:rsidRDefault="00237B0D" w:rsidP="00237B0D">
      <w:pPr>
        <w:pStyle w:val="Heading2"/>
        <w:numPr>
          <w:ilvl w:val="1"/>
          <w:numId w:val="10"/>
        </w:numPr>
        <w:tabs>
          <w:tab w:val="num" w:pos="360"/>
        </w:tabs>
        <w:rPr>
          <w:b/>
        </w:rPr>
      </w:pPr>
      <w:r w:rsidRPr="002E513B">
        <w:rPr>
          <w:b/>
        </w:rPr>
        <w:t>Parametric Studies on controlling cellular convection in FBTR</w:t>
      </w:r>
    </w:p>
    <w:p w:rsidR="00237B0D" w:rsidRPr="00237B0D" w:rsidRDefault="00B4559A" w:rsidP="00237B0D">
      <w:pPr>
        <w:pStyle w:val="Heading3"/>
        <w:spacing w:before="120"/>
      </w:pPr>
      <w:r w:rsidRPr="00B4559A">
        <w:t>Provision of physical barriers in the penetration</w:t>
      </w:r>
    </w:p>
    <w:p w:rsidR="00AB4FFD" w:rsidRDefault="00942836" w:rsidP="0018588A">
      <w:pPr>
        <w:pStyle w:val="Authornameandaffiliation"/>
        <w:ind w:left="0" w:firstLine="567"/>
        <w:jc w:val="both"/>
      </w:pPr>
      <w:r>
        <w:t xml:space="preserve">FBTR reactor vessel </w:t>
      </w:r>
      <w:r w:rsidR="007D7270">
        <w:t>i</w:t>
      </w:r>
      <w:r>
        <w:t>s provided with two physical barri</w:t>
      </w:r>
      <w:r w:rsidR="002752AF">
        <w:t>ers in the annular penetration between reactor vessel and</w:t>
      </w:r>
      <w:r>
        <w:t xml:space="preserve"> rotating plugs</w:t>
      </w:r>
      <w:r w:rsidR="002752AF">
        <w:t>,</w:t>
      </w:r>
      <w:r w:rsidR="007D5063">
        <w:t xml:space="preserve"> </w:t>
      </w:r>
      <w:r w:rsidR="007D7270">
        <w:t xml:space="preserve">viz., </w:t>
      </w:r>
      <w:r>
        <w:t xml:space="preserve">a labyrinth arrangement near penetration opening at </w:t>
      </w:r>
      <w:r w:rsidR="002752AF">
        <w:t>plug bottom</w:t>
      </w:r>
      <w:r>
        <w:t xml:space="preserve"> and an anti-</w:t>
      </w:r>
      <w:r>
        <w:lastRenderedPageBreak/>
        <w:t>convection plate</w:t>
      </w:r>
      <w:r w:rsidR="002752AF">
        <w:t xml:space="preserve"> inside the annular penetration above the plug bottom</w:t>
      </w:r>
      <w:r>
        <w:t xml:space="preserve">. To study the effectiveness of </w:t>
      </w:r>
      <w:r w:rsidR="007D7270">
        <w:t xml:space="preserve">these barriers, </w:t>
      </w:r>
      <w:r>
        <w:t xml:space="preserve">a parametric study </w:t>
      </w:r>
      <w:r w:rsidR="002752AF">
        <w:t>has been carried by considering the following</w:t>
      </w:r>
      <w:r w:rsidR="007D7270">
        <w:t xml:space="preserve"> cases</w:t>
      </w:r>
      <w:r w:rsidR="003B2794">
        <w:t>:</w:t>
      </w:r>
    </w:p>
    <w:p w:rsidR="00FD08C9" w:rsidRDefault="00FD08C9" w:rsidP="0018588A">
      <w:pPr>
        <w:pStyle w:val="Authornameandaffiliation"/>
        <w:ind w:left="0" w:firstLine="567"/>
        <w:jc w:val="both"/>
      </w:pPr>
    </w:p>
    <w:p w:rsidR="003B2794" w:rsidRDefault="00367FC9" w:rsidP="003B2794">
      <w:pPr>
        <w:pStyle w:val="Authornameandaffiliation"/>
        <w:numPr>
          <w:ilvl w:val="0"/>
          <w:numId w:val="42"/>
        </w:numPr>
        <w:jc w:val="both"/>
      </w:pPr>
      <w:r>
        <w:t>W</w:t>
      </w:r>
      <w:r w:rsidR="003B2794">
        <w:t>ithout any physical barrier</w:t>
      </w:r>
    </w:p>
    <w:p w:rsidR="003B2794" w:rsidRDefault="00367FC9" w:rsidP="003B2794">
      <w:pPr>
        <w:pStyle w:val="Authornameandaffiliation"/>
        <w:numPr>
          <w:ilvl w:val="0"/>
          <w:numId w:val="42"/>
        </w:numPr>
        <w:jc w:val="both"/>
      </w:pPr>
      <w:r>
        <w:t>W</w:t>
      </w:r>
      <w:r w:rsidR="003B2794">
        <w:t xml:space="preserve">ith </w:t>
      </w:r>
      <w:r w:rsidR="001F5715">
        <w:t>l</w:t>
      </w:r>
      <w:r w:rsidR="003B2794">
        <w:t>abyrinth and no anti – convection plate</w:t>
      </w:r>
    </w:p>
    <w:p w:rsidR="003B2794" w:rsidRDefault="00367FC9" w:rsidP="003B2794">
      <w:pPr>
        <w:pStyle w:val="Authornameandaffiliation"/>
        <w:numPr>
          <w:ilvl w:val="0"/>
          <w:numId w:val="42"/>
        </w:numPr>
        <w:jc w:val="both"/>
      </w:pPr>
      <w:r>
        <w:t>W</w:t>
      </w:r>
      <w:r w:rsidR="003B2794">
        <w:t>ith anti – convection plate and no labyrinth</w:t>
      </w:r>
    </w:p>
    <w:p w:rsidR="009C2792" w:rsidRDefault="00367FC9">
      <w:pPr>
        <w:pStyle w:val="Authornameandaffiliation"/>
        <w:numPr>
          <w:ilvl w:val="0"/>
          <w:numId w:val="42"/>
        </w:numPr>
        <w:jc w:val="both"/>
      </w:pPr>
      <w:r>
        <w:t>W</w:t>
      </w:r>
      <w:r w:rsidR="003B2794">
        <w:t xml:space="preserve">ith </w:t>
      </w:r>
      <w:r w:rsidR="001F5715">
        <w:t xml:space="preserve">both </w:t>
      </w:r>
      <w:r w:rsidR="003B2794">
        <w:t>labyrinth and anti – convection plate</w:t>
      </w:r>
    </w:p>
    <w:p w:rsidR="0055009A" w:rsidRDefault="0055009A" w:rsidP="009D31CD">
      <w:pPr>
        <w:pStyle w:val="Authornameandaffiliation"/>
        <w:ind w:left="0" w:firstLine="567"/>
        <w:jc w:val="both"/>
      </w:pPr>
    </w:p>
    <w:p w:rsidR="00FD08C9" w:rsidRDefault="00863DE9" w:rsidP="00FD08C9">
      <w:pPr>
        <w:pStyle w:val="Authornameandaffiliation"/>
        <w:ind w:left="0" w:firstLine="567"/>
        <w:jc w:val="both"/>
      </w:pPr>
      <w:r>
        <w:t>Predicted circumferential t</w:t>
      </w:r>
      <w:r w:rsidR="005D577E">
        <w:t xml:space="preserve">emperature </w:t>
      </w:r>
      <w:r>
        <w:t>distributions in</w:t>
      </w:r>
      <w:r w:rsidR="005D577E">
        <w:t xml:space="preserve"> the reactor vessel at </w:t>
      </w:r>
      <w:r>
        <w:t xml:space="preserve">the </w:t>
      </w:r>
      <w:r w:rsidR="005D577E">
        <w:t xml:space="preserve">plug bottom </w:t>
      </w:r>
      <w:r w:rsidR="003B2794">
        <w:t xml:space="preserve">for all </w:t>
      </w:r>
      <w:r>
        <w:t xml:space="preserve">the </w:t>
      </w:r>
      <w:r w:rsidR="003B2794">
        <w:t xml:space="preserve">four cases are shown in </w:t>
      </w:r>
      <w:r w:rsidR="005D577E">
        <w:t>Fig. 1</w:t>
      </w:r>
      <w:r w:rsidR="00BE7C4A">
        <w:t>5</w:t>
      </w:r>
      <w:r w:rsidR="003B2794">
        <w:t>. It is evident that</w:t>
      </w:r>
      <w:r w:rsidR="007D5063">
        <w:t xml:space="preserve"> </w:t>
      </w:r>
      <w:r w:rsidR="00431745">
        <w:t xml:space="preserve">the average </w:t>
      </w:r>
      <w:r>
        <w:t xml:space="preserve">temperature </w:t>
      </w:r>
      <w:r w:rsidR="003B2794">
        <w:t xml:space="preserve">and maximum </w:t>
      </w:r>
      <w:r>
        <w:t xml:space="preserve">circumferential </w:t>
      </w:r>
      <w:r w:rsidR="00431745">
        <w:t>temperature</w:t>
      </w:r>
      <w:r w:rsidR="007D5063">
        <w:t xml:space="preserve"> </w:t>
      </w:r>
      <w:r>
        <w:t>gradient in the reactor vessel are</w:t>
      </w:r>
      <w:r w:rsidR="00431745">
        <w:t>113</w:t>
      </w:r>
      <w:r w:rsidR="00970C8E">
        <w:sym w:font="Symbol" w:char="F0B0"/>
      </w:r>
      <w:r w:rsidR="00970C8E">
        <w:t>C</w:t>
      </w:r>
      <w:r w:rsidR="007D5063">
        <w:t xml:space="preserve"> </w:t>
      </w:r>
      <w:r w:rsidR="00F96DBB">
        <w:t>and 4</w:t>
      </w:r>
      <w:r w:rsidR="00330F2C">
        <w:t>6</w:t>
      </w:r>
      <w:r w:rsidR="00970C8E">
        <w:sym w:font="Symbol" w:char="F0B0"/>
      </w:r>
      <w:r w:rsidR="00970C8E">
        <w:t>C</w:t>
      </w:r>
      <w:r w:rsidR="00F96DBB">
        <w:t xml:space="preserve"> respectively</w:t>
      </w:r>
      <w:r>
        <w:t xml:space="preserve"> when on barriers are present in the annulus. The above parameters</w:t>
      </w:r>
      <w:r w:rsidR="0055009A">
        <w:t xml:space="preserve"> reduce to ~95</w:t>
      </w:r>
      <w:r w:rsidR="00970C8E">
        <w:sym w:font="Symbol" w:char="F0B0"/>
      </w:r>
      <w:r w:rsidR="00970C8E">
        <w:t>C</w:t>
      </w:r>
      <w:r w:rsidR="00F96DBB">
        <w:t xml:space="preserve"> and ~42</w:t>
      </w:r>
      <w:r w:rsidR="00970C8E">
        <w:sym w:font="Symbol" w:char="F0B0"/>
      </w:r>
      <w:r w:rsidR="00970C8E">
        <w:t>C</w:t>
      </w:r>
      <w:r w:rsidR="00F96DBB">
        <w:t xml:space="preserve">, respectively </w:t>
      </w:r>
      <w:r>
        <w:t>when</w:t>
      </w:r>
      <w:r w:rsidR="003B2794">
        <w:t xml:space="preserve"> labyrinth </w:t>
      </w:r>
      <w:r>
        <w:t xml:space="preserve">alone is added </w:t>
      </w:r>
      <w:r w:rsidR="003B2794">
        <w:t>as physical barrier.</w:t>
      </w:r>
      <w:r w:rsidR="007D5063">
        <w:t xml:space="preserve"> </w:t>
      </w:r>
      <w:r w:rsidR="00DE7252">
        <w:t>However,</w:t>
      </w:r>
      <w:r w:rsidR="003B2794">
        <w:t xml:space="preserve"> the average </w:t>
      </w:r>
      <w:r w:rsidR="00F96DBB">
        <w:t xml:space="preserve">temperature </w:t>
      </w:r>
      <w:r w:rsidR="003B2794">
        <w:t>increases to ~</w:t>
      </w:r>
      <w:r w:rsidR="00D03BF5">
        <w:t>120</w:t>
      </w:r>
      <w:r w:rsidR="00970C8E">
        <w:sym w:font="Symbol" w:char="F0B0"/>
      </w:r>
      <w:r w:rsidR="00970C8E">
        <w:t>C</w:t>
      </w:r>
      <w:r w:rsidR="007D5063">
        <w:t xml:space="preserve"> </w:t>
      </w:r>
      <w:r>
        <w:t>and the circumferential temperature gradient reduces to 30</w:t>
      </w:r>
      <w:r w:rsidR="00970C8E">
        <w:sym w:font="Symbol" w:char="F0B0"/>
      </w:r>
      <w:r w:rsidR="00970C8E">
        <w:t>C</w:t>
      </w:r>
      <w:r w:rsidR="007D5063">
        <w:t xml:space="preserve"> </w:t>
      </w:r>
      <w:r w:rsidR="003B2794">
        <w:t>when</w:t>
      </w:r>
      <w:r w:rsidR="00D03BF5">
        <w:t xml:space="preserve"> anti-convection plate</w:t>
      </w:r>
      <w:r w:rsidR="007D5063">
        <w:t xml:space="preserve"> </w:t>
      </w:r>
      <w:r>
        <w:t xml:space="preserve">alone </w:t>
      </w:r>
      <w:r w:rsidR="003B2794">
        <w:t>is present</w:t>
      </w:r>
      <w:r>
        <w:t>.</w:t>
      </w:r>
      <w:r w:rsidR="007D5063">
        <w:t xml:space="preserve"> </w:t>
      </w:r>
      <w:r>
        <w:t>I</w:t>
      </w:r>
      <w:r w:rsidR="003B2794">
        <w:t xml:space="preserve">t is observed that </w:t>
      </w:r>
      <w:r w:rsidR="00F96DBB">
        <w:t xml:space="preserve">average </w:t>
      </w:r>
      <w:r w:rsidR="003B2794">
        <w:t xml:space="preserve">temperature </w:t>
      </w:r>
      <w:r w:rsidR="00F96DBB">
        <w:t>and maximum temperature asymmetry</w:t>
      </w:r>
      <w:r w:rsidR="0055009A">
        <w:t xml:space="preserve"> r</w:t>
      </w:r>
      <w:r w:rsidR="00D03BF5">
        <w:t>educes to 89</w:t>
      </w:r>
      <w:r w:rsidR="00970C8E">
        <w:sym w:font="Symbol" w:char="F0B0"/>
      </w:r>
      <w:r w:rsidR="00970C8E">
        <w:t>C</w:t>
      </w:r>
      <w:r w:rsidR="007D5063">
        <w:t xml:space="preserve"> </w:t>
      </w:r>
      <w:r w:rsidR="0055009A">
        <w:t>and ~ 42</w:t>
      </w:r>
      <w:r w:rsidR="00970C8E">
        <w:sym w:font="Symbol" w:char="F0B0"/>
      </w:r>
      <w:r w:rsidR="00970C8E">
        <w:t>C</w:t>
      </w:r>
      <w:r w:rsidR="00F96DBB">
        <w:t xml:space="preserve">, respectively </w:t>
      </w:r>
      <w:r w:rsidR="003B2794">
        <w:t xml:space="preserve">when both physical </w:t>
      </w:r>
      <w:r w:rsidR="00D03BF5">
        <w:t xml:space="preserve">barriers </w:t>
      </w:r>
      <w:r>
        <w:t>are present</w:t>
      </w:r>
      <w:r w:rsidR="003B2794">
        <w:t>.</w:t>
      </w:r>
      <w:r w:rsidR="007D5063">
        <w:t xml:space="preserve"> </w:t>
      </w:r>
      <w:r w:rsidR="00264F08">
        <w:t>Thus, it</w:t>
      </w:r>
      <w:r w:rsidR="007D5063">
        <w:t xml:space="preserve"> </w:t>
      </w:r>
      <w:r>
        <w:t>c</w:t>
      </w:r>
      <w:r w:rsidR="00D03BF5">
        <w:t>an be inferred that</w:t>
      </w:r>
      <w:r w:rsidR="00F96DBB">
        <w:t xml:space="preserve"> labyrinth </w:t>
      </w:r>
      <w:r w:rsidR="00264F08">
        <w:t>provided at the bottom of the annulus is effective in reducing the average temperature of the vessel at the plug bottom due to the resistance offered by it to the natural convective flow. However, when anti convection barrier alone is present, the circumferential temperature gradient reduces due to the effective reduction in the height of the annulus. It should be noted that the anti</w:t>
      </w:r>
      <w:r w:rsidR="00237B0D">
        <w:t>-</w:t>
      </w:r>
      <w:r w:rsidR="00264F08">
        <w:t xml:space="preserve">convection barrier is located well above the plug bottom. </w:t>
      </w:r>
      <w:r w:rsidR="00040EEE">
        <w:t>When both the devices are present, the net effect is dominated by that due to labyrinth as the anti</w:t>
      </w:r>
      <w:r w:rsidR="00237B0D">
        <w:t>-</w:t>
      </w:r>
      <w:r w:rsidR="00040EEE">
        <w:t>convection barrier is located well above the labyrinth.</w:t>
      </w:r>
    </w:p>
    <w:p w:rsidR="00126407" w:rsidRDefault="00126407">
      <w:pPr>
        <w:pStyle w:val="Authornameandaffiliation"/>
        <w:ind w:left="0" w:firstLine="567"/>
        <w:jc w:val="both"/>
      </w:pPr>
    </w:p>
    <w:tbl>
      <w:tblPr>
        <w:tblStyle w:val="TableGrid"/>
        <w:tblW w:w="91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9"/>
      </w:tblGrid>
      <w:tr w:rsidR="00FD08C9" w:rsidTr="00FD08C9">
        <w:trPr>
          <w:trHeight w:val="3458"/>
        </w:trPr>
        <w:tc>
          <w:tcPr>
            <w:tcW w:w="9189" w:type="dxa"/>
            <w:vAlign w:val="center"/>
          </w:tcPr>
          <w:p w:rsidR="00FD08C9" w:rsidRDefault="00A94197" w:rsidP="000B1CAD">
            <w:pPr>
              <w:pStyle w:val="BodyText"/>
              <w:ind w:firstLine="0"/>
              <w:jc w:val="center"/>
              <w:rPr>
                <w:lang w:val="en-IN"/>
              </w:rPr>
            </w:pPr>
            <w:r>
              <w:rPr>
                <w:noProof/>
                <w:lang w:val="en-IN" w:eastAsia="en-IN"/>
              </w:rPr>
              <w:drawing>
                <wp:inline distT="0" distB="0" distL="0" distR="0">
                  <wp:extent cx="2647765" cy="1980000"/>
                  <wp:effectExtent l="0" t="0" r="0" b="1270"/>
                  <wp:docPr id="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765" cy="1980000"/>
                          </a:xfrm>
                          <a:prstGeom prst="rect">
                            <a:avLst/>
                          </a:prstGeom>
                        </pic:spPr>
                      </pic:pic>
                    </a:graphicData>
                  </a:graphic>
                </wp:inline>
              </w:drawing>
            </w:r>
          </w:p>
        </w:tc>
      </w:tr>
      <w:tr w:rsidR="00FD08C9" w:rsidTr="00FD08C9">
        <w:trPr>
          <w:trHeight w:val="737"/>
        </w:trPr>
        <w:tc>
          <w:tcPr>
            <w:tcW w:w="9189" w:type="dxa"/>
          </w:tcPr>
          <w:p w:rsidR="00126407" w:rsidRDefault="00FD08C9" w:rsidP="009033D4">
            <w:pPr>
              <w:pStyle w:val="BodyText"/>
              <w:ind w:firstLine="0"/>
              <w:jc w:val="left"/>
              <w:rPr>
                <w:i/>
                <w:sz w:val="18"/>
                <w:szCs w:val="18"/>
              </w:rPr>
            </w:pPr>
            <w:r w:rsidRPr="00420BF1">
              <w:rPr>
                <w:i/>
                <w:sz w:val="18"/>
                <w:szCs w:val="18"/>
              </w:rPr>
              <w:t xml:space="preserve">FIG. </w:t>
            </w:r>
            <w:r w:rsidR="00BE7C4A">
              <w:rPr>
                <w:i/>
                <w:sz w:val="18"/>
                <w:szCs w:val="18"/>
              </w:rPr>
              <w:t>15</w:t>
            </w:r>
            <w:r w:rsidRPr="00420BF1">
              <w:rPr>
                <w:i/>
                <w:sz w:val="18"/>
                <w:szCs w:val="18"/>
              </w:rPr>
              <w:t xml:space="preserve">. Comparison of </w:t>
            </w:r>
            <w:r w:rsidR="009033D4">
              <w:rPr>
                <w:i/>
                <w:sz w:val="18"/>
                <w:szCs w:val="18"/>
              </w:rPr>
              <w:t xml:space="preserve">circumferential </w:t>
            </w:r>
            <w:r w:rsidRPr="00420BF1">
              <w:rPr>
                <w:i/>
                <w:sz w:val="18"/>
                <w:szCs w:val="18"/>
              </w:rPr>
              <w:t xml:space="preserve">temperature </w:t>
            </w:r>
            <w:r w:rsidR="009033D4">
              <w:rPr>
                <w:i/>
                <w:sz w:val="18"/>
                <w:szCs w:val="18"/>
              </w:rPr>
              <w:t xml:space="preserve">distribution in the </w:t>
            </w:r>
            <w:r w:rsidRPr="00420BF1">
              <w:rPr>
                <w:i/>
                <w:sz w:val="18"/>
                <w:szCs w:val="18"/>
              </w:rPr>
              <w:t xml:space="preserve">reactor vessel at plug bottom for different configurations of physical barriers in </w:t>
            </w:r>
            <w:r>
              <w:rPr>
                <w:i/>
                <w:sz w:val="18"/>
                <w:szCs w:val="18"/>
              </w:rPr>
              <w:t>the annulus between reactor vessel and plug</w:t>
            </w:r>
          </w:p>
        </w:tc>
      </w:tr>
    </w:tbl>
    <w:p w:rsidR="00237B0D" w:rsidRPr="00237B0D" w:rsidRDefault="00237B0D" w:rsidP="00237B0D">
      <w:pPr>
        <w:pStyle w:val="Heading3"/>
        <w:spacing w:before="120"/>
      </w:pPr>
      <w:r>
        <w:t>Cooling of radial biological shielding by BSC circuit</w:t>
      </w:r>
    </w:p>
    <w:p w:rsidR="00982FB6" w:rsidRDefault="0007551F" w:rsidP="0018588A">
      <w:pPr>
        <w:pStyle w:val="Authornameandaffiliation"/>
        <w:ind w:left="0" w:firstLine="567"/>
        <w:jc w:val="both"/>
      </w:pPr>
      <w:r>
        <w:t>The BSC circuit of FBTR cools the borated concrete surrounding the reactor vesse</w:t>
      </w:r>
      <w:r w:rsidR="00040EEE">
        <w:t xml:space="preserve">l </w:t>
      </w:r>
      <w:r w:rsidR="00F33866">
        <w:t xml:space="preserve">using </w:t>
      </w:r>
      <w:r w:rsidR="00040EEE">
        <w:t xml:space="preserve">a network of 180 tubes </w:t>
      </w:r>
      <w:r>
        <w:t xml:space="preserve">along the circumference </w:t>
      </w:r>
      <w:r w:rsidR="00F33866">
        <w:t xml:space="preserve">and located </w:t>
      </w:r>
      <w:r>
        <w:t>70 mm inside the concrete from the inner wall</w:t>
      </w:r>
      <w:r w:rsidR="00914C79">
        <w:t xml:space="preserve">. The </w:t>
      </w:r>
      <w:r w:rsidR="00F33866">
        <w:t xml:space="preserve">cooling </w:t>
      </w:r>
      <w:r w:rsidR="00914C79">
        <w:t xml:space="preserve">water </w:t>
      </w:r>
      <w:r>
        <w:t>maintains</w:t>
      </w:r>
      <w:r w:rsidR="00F420AD">
        <w:t xml:space="preserve"> </w:t>
      </w:r>
      <w:r w:rsidR="00F33866">
        <w:t xml:space="preserve">the </w:t>
      </w:r>
      <w:r w:rsidR="0030440D">
        <w:t>concrete temperature below 80</w:t>
      </w:r>
      <w:r w:rsidR="00F420AD">
        <w:t xml:space="preserve"> </w:t>
      </w:r>
      <w:r w:rsidR="00970C8E">
        <w:sym w:font="Symbol" w:char="F0B0"/>
      </w:r>
      <w:r w:rsidR="00970C8E">
        <w:t>C</w:t>
      </w:r>
      <w:r w:rsidR="00F420AD">
        <w:t xml:space="preserve"> </w:t>
      </w:r>
      <w:r w:rsidR="00914C79">
        <w:t xml:space="preserve">by </w:t>
      </w:r>
      <w:r w:rsidR="00F33866">
        <w:t xml:space="preserve">manipulating </w:t>
      </w:r>
      <w:r w:rsidR="0030440D">
        <w:t xml:space="preserve">water inlet temperature (using heat exchanger that uses service water or chilled water as per requirement). As the reactor vessel develops an azimuthal temperature distribution, the radially placed borated concrete also develops a similar temperature profile. It is then needed to reduce temperature asymmetry in concrete and </w:t>
      </w:r>
      <w:r w:rsidR="00F33866">
        <w:t xml:space="preserve">also to </w:t>
      </w:r>
      <w:r w:rsidR="0030440D">
        <w:t>keep the average temperature within the limit.</w:t>
      </w:r>
      <w:r w:rsidR="00F420AD">
        <w:t xml:space="preserve"> </w:t>
      </w:r>
      <w:r w:rsidR="00914C79">
        <w:t>The m</w:t>
      </w:r>
      <w:r w:rsidR="0030440D">
        <w:t xml:space="preserve">inimum </w:t>
      </w:r>
      <w:r w:rsidR="00914C79">
        <w:t xml:space="preserve">possible value of </w:t>
      </w:r>
      <w:r w:rsidR="0030440D">
        <w:t>water inlet temperature is 18</w:t>
      </w:r>
      <w:r w:rsidR="00F420AD">
        <w:t xml:space="preserve"> </w:t>
      </w:r>
      <w:r w:rsidR="00970C8E">
        <w:sym w:font="Symbol" w:char="F0B0"/>
      </w:r>
      <w:r w:rsidR="00970C8E">
        <w:t>C</w:t>
      </w:r>
      <w:r w:rsidR="0030440D">
        <w:t xml:space="preserve">. Hence, temperature control </w:t>
      </w:r>
      <w:r w:rsidR="00F33866">
        <w:t xml:space="preserve">of concrete </w:t>
      </w:r>
      <w:r w:rsidR="0030440D">
        <w:t>is achieved by throttling the flow in regions of lower temperature.</w:t>
      </w:r>
    </w:p>
    <w:p w:rsidR="004A26C4" w:rsidRDefault="00F33866" w:rsidP="00FD08C9">
      <w:pPr>
        <w:pStyle w:val="Authornameandaffiliation"/>
        <w:ind w:left="0" w:firstLine="567"/>
        <w:jc w:val="both"/>
      </w:pPr>
      <w:r>
        <w:t xml:space="preserve">The effect of selective throttling of </w:t>
      </w:r>
      <w:r w:rsidR="00982FB6">
        <w:t xml:space="preserve">BSC </w:t>
      </w:r>
      <w:r>
        <w:t xml:space="preserve">system is studied </w:t>
      </w:r>
      <w:r w:rsidR="00982FB6">
        <w:t xml:space="preserve">by dividing the </w:t>
      </w:r>
      <w:r>
        <w:t xml:space="preserve">CFD </w:t>
      </w:r>
      <w:r w:rsidR="00982FB6">
        <w:t>model into four equal sectors</w:t>
      </w:r>
      <w:r>
        <w:t xml:space="preserve"> in the circumferential direction</w:t>
      </w:r>
      <w:r w:rsidR="00982FB6">
        <w:t>.</w:t>
      </w:r>
      <w:r w:rsidR="00F420AD">
        <w:t xml:space="preserve"> </w:t>
      </w:r>
      <w:r>
        <w:t>Four cases have been analy</w:t>
      </w:r>
      <w:r w:rsidR="00970C8E">
        <w:t>z</w:t>
      </w:r>
      <w:r>
        <w:t>ed.</w:t>
      </w:r>
      <w:r w:rsidR="000D1F45">
        <w:t xml:space="preserve"> In the first, </w:t>
      </w:r>
      <w:r w:rsidR="00982FB6">
        <w:t xml:space="preserve">BSC circuit </w:t>
      </w:r>
      <w:r>
        <w:t xml:space="preserve">is considered to be supplied with </w:t>
      </w:r>
      <w:r w:rsidR="00982FB6">
        <w:t xml:space="preserve">nominal flow </w:t>
      </w:r>
      <w:r>
        <w:t xml:space="preserve">rate. </w:t>
      </w:r>
      <w:r w:rsidR="000D1F45">
        <w:t xml:space="preserve">Temperature </w:t>
      </w:r>
      <w:r>
        <w:t xml:space="preserve">distribution of </w:t>
      </w:r>
      <w:r w:rsidR="000D1F45">
        <w:t xml:space="preserve">reactor vessel at </w:t>
      </w:r>
      <w:r>
        <w:t xml:space="preserve">the </w:t>
      </w:r>
      <w:r w:rsidR="000D1F45">
        <w:t xml:space="preserve">plug bottom was </w:t>
      </w:r>
      <w:r>
        <w:t xml:space="preserve">obtained. Based on the predicted profile, the BSC flow rate through the sector in which lowest temperature for the reactor vessel is predicted is reduced to 75 %, 50 % and 25 % of nominal flow rate. </w:t>
      </w:r>
      <w:r w:rsidR="00CF57A9">
        <w:t xml:space="preserve">Flow through other sectors is maintained at nominal condition. In order to study these cases, the heat transfer coefficient of the convective boundary condition representing the BSC cooling is specified with values corresponding to the required flow rate. </w:t>
      </w:r>
      <w:r w:rsidR="000D1F45">
        <w:rPr>
          <w:lang w:val="en-GB"/>
        </w:rPr>
        <w:t xml:space="preserve">A comparison of </w:t>
      </w:r>
      <w:r w:rsidR="000D1F45">
        <w:t xml:space="preserve">temperature profiles along the reactor vessel </w:t>
      </w:r>
      <w:r w:rsidR="00CF57A9">
        <w:t xml:space="preserve">predicted </w:t>
      </w:r>
      <w:r w:rsidR="000D1F45">
        <w:t xml:space="preserve">at </w:t>
      </w:r>
      <w:r w:rsidR="00CF57A9">
        <w:t xml:space="preserve">the </w:t>
      </w:r>
      <w:r w:rsidR="000D1F45">
        <w:t xml:space="preserve">plug bottom for the four </w:t>
      </w:r>
      <w:r w:rsidR="00CF57A9">
        <w:t xml:space="preserve">cases </w:t>
      </w:r>
      <w:r w:rsidR="000D1F45">
        <w:t>(Fig. 1</w:t>
      </w:r>
      <w:r w:rsidR="00BE7C4A">
        <w:t>6</w:t>
      </w:r>
      <w:r w:rsidR="000D1F45">
        <w:t xml:space="preserve">) shows </w:t>
      </w:r>
      <w:r w:rsidR="00C829F3">
        <w:t xml:space="preserve">that </w:t>
      </w:r>
      <w:r w:rsidR="000D1F45">
        <w:t xml:space="preserve">the average temperature </w:t>
      </w:r>
      <w:r w:rsidR="00C829F3">
        <w:t>marginally increases</w:t>
      </w:r>
      <w:r w:rsidR="00A42C06">
        <w:t xml:space="preserve"> (from </w:t>
      </w:r>
      <w:r w:rsidR="00C829F3">
        <w:t>91</w:t>
      </w:r>
      <w:r w:rsidR="00970C8E">
        <w:sym w:font="Symbol" w:char="F0B0"/>
      </w:r>
      <w:r w:rsidR="00970C8E">
        <w:t>C</w:t>
      </w:r>
      <w:r w:rsidR="008F5FA4">
        <w:t xml:space="preserve"> </w:t>
      </w:r>
      <w:r w:rsidR="00C829F3">
        <w:t xml:space="preserve">to </w:t>
      </w:r>
      <w:r w:rsidR="00A42C06">
        <w:t>92</w:t>
      </w:r>
      <w:r w:rsidR="00970C8E">
        <w:sym w:font="Symbol" w:char="F0B0"/>
      </w:r>
      <w:r w:rsidR="00970C8E">
        <w:t>C</w:t>
      </w:r>
      <w:r w:rsidR="00A42C06">
        <w:t xml:space="preserve">), while the </w:t>
      </w:r>
      <w:r w:rsidR="00A42C06">
        <w:lastRenderedPageBreak/>
        <w:t xml:space="preserve">maximum temperature asymmetry reduces </w:t>
      </w:r>
      <w:r w:rsidR="00C829F3">
        <w:t>(from 42</w:t>
      </w:r>
      <w:r w:rsidR="00BE7C4A">
        <w:sym w:font="Symbol" w:char="F0B0"/>
      </w:r>
      <w:r w:rsidR="00BE7C4A">
        <w:t>C</w:t>
      </w:r>
      <w:r w:rsidR="00C829F3">
        <w:t xml:space="preserve"> to 36</w:t>
      </w:r>
      <w:r w:rsidR="00BE7C4A">
        <w:sym w:font="Symbol" w:char="F0B0"/>
      </w:r>
      <w:r w:rsidR="00BE7C4A">
        <w:t>C</w:t>
      </w:r>
      <w:r w:rsidR="00C829F3">
        <w:t xml:space="preserve">) </w:t>
      </w:r>
      <w:r w:rsidR="00A42C06">
        <w:t xml:space="preserve">as the flow is throttled from 100% to 25% of the nominal </w:t>
      </w:r>
      <w:r w:rsidR="00CF57A9">
        <w:t>value</w:t>
      </w:r>
      <w:r w:rsidR="00A42C06">
        <w:t xml:space="preserve">. </w:t>
      </w:r>
      <w:r w:rsidR="00CF57A9">
        <w:t>Thus, by selective adjustment of the cooling of BSC system the circumferential temperature gradient on the reactor vessel could be managed to some extent.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4A26C4" w:rsidRPr="00420BF1" w:rsidTr="000B1CAD">
        <w:trPr>
          <w:trHeight w:val="3458"/>
        </w:trPr>
        <w:tc>
          <w:tcPr>
            <w:tcW w:w="9017" w:type="dxa"/>
            <w:vAlign w:val="center"/>
          </w:tcPr>
          <w:p w:rsidR="004A26C4" w:rsidRPr="00420BF1" w:rsidRDefault="004A26C4" w:rsidP="000B1CAD">
            <w:pPr>
              <w:overflowPunct/>
              <w:autoSpaceDE/>
              <w:autoSpaceDN/>
              <w:adjustRightInd/>
              <w:spacing w:line="260" w:lineRule="atLeast"/>
              <w:contextualSpacing/>
              <w:jc w:val="center"/>
              <w:textAlignment w:val="auto"/>
              <w:rPr>
                <w:sz w:val="20"/>
                <w:lang w:val="en-IN"/>
              </w:rPr>
            </w:pPr>
          </w:p>
          <w:p w:rsidR="004A26C4" w:rsidRPr="00420BF1" w:rsidRDefault="00A94197" w:rsidP="000B1CAD">
            <w:pPr>
              <w:overflowPunct/>
              <w:autoSpaceDE/>
              <w:autoSpaceDN/>
              <w:adjustRightInd/>
              <w:spacing w:line="260" w:lineRule="atLeast"/>
              <w:contextualSpacing/>
              <w:jc w:val="center"/>
              <w:textAlignment w:val="auto"/>
              <w:rPr>
                <w:sz w:val="20"/>
                <w:lang w:val="en-IN"/>
              </w:rPr>
            </w:pPr>
            <w:r>
              <w:rPr>
                <w:noProof/>
                <w:sz w:val="20"/>
                <w:lang w:val="en-IN" w:eastAsia="en-IN"/>
              </w:rPr>
              <w:drawing>
                <wp:inline distT="0" distB="0" distL="0" distR="0">
                  <wp:extent cx="2647765" cy="1980000"/>
                  <wp:effectExtent l="0" t="0" r="0" b="1270"/>
                  <wp:docPr id="2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765" cy="1980000"/>
                          </a:xfrm>
                          <a:prstGeom prst="rect">
                            <a:avLst/>
                          </a:prstGeom>
                        </pic:spPr>
                      </pic:pic>
                    </a:graphicData>
                  </a:graphic>
                </wp:inline>
              </w:drawing>
            </w:r>
          </w:p>
        </w:tc>
      </w:tr>
      <w:tr w:rsidR="004A26C4" w:rsidRPr="00420BF1" w:rsidTr="000B1CAD">
        <w:trPr>
          <w:trHeight w:val="567"/>
        </w:trPr>
        <w:tc>
          <w:tcPr>
            <w:tcW w:w="9017" w:type="dxa"/>
          </w:tcPr>
          <w:p w:rsidR="004A26C4" w:rsidRPr="00420BF1" w:rsidRDefault="004A26C4" w:rsidP="009033D4">
            <w:pPr>
              <w:overflowPunct/>
              <w:autoSpaceDE/>
              <w:autoSpaceDN/>
              <w:adjustRightInd/>
              <w:spacing w:line="260" w:lineRule="atLeast"/>
              <w:contextualSpacing/>
              <w:textAlignment w:val="auto"/>
              <w:rPr>
                <w:i/>
                <w:sz w:val="18"/>
                <w:szCs w:val="18"/>
              </w:rPr>
            </w:pPr>
            <w:r w:rsidRPr="00420BF1">
              <w:rPr>
                <w:i/>
                <w:sz w:val="18"/>
                <w:szCs w:val="18"/>
              </w:rPr>
              <w:t>FIG. 1</w:t>
            </w:r>
            <w:r w:rsidR="00BE7C4A">
              <w:rPr>
                <w:i/>
                <w:sz w:val="18"/>
                <w:szCs w:val="18"/>
              </w:rPr>
              <w:t>6</w:t>
            </w:r>
            <w:r w:rsidRPr="00420BF1">
              <w:rPr>
                <w:i/>
                <w:sz w:val="18"/>
                <w:szCs w:val="18"/>
              </w:rPr>
              <w:t xml:space="preserve">. Comparison of </w:t>
            </w:r>
            <w:r w:rsidR="009033D4">
              <w:rPr>
                <w:i/>
                <w:sz w:val="18"/>
                <w:szCs w:val="18"/>
              </w:rPr>
              <w:t xml:space="preserve">circumferential </w:t>
            </w:r>
            <w:r w:rsidRPr="00420BF1">
              <w:rPr>
                <w:i/>
                <w:sz w:val="18"/>
                <w:szCs w:val="18"/>
              </w:rPr>
              <w:t xml:space="preserve">temperature </w:t>
            </w:r>
            <w:r w:rsidR="009033D4">
              <w:rPr>
                <w:i/>
                <w:sz w:val="18"/>
                <w:szCs w:val="18"/>
              </w:rPr>
              <w:t xml:space="preserve">distribution in the </w:t>
            </w:r>
            <w:r w:rsidRPr="00420BF1">
              <w:rPr>
                <w:i/>
                <w:sz w:val="18"/>
                <w:szCs w:val="18"/>
              </w:rPr>
              <w:t xml:space="preserve">along reactor vessel at plug bottom for different </w:t>
            </w:r>
            <w:r>
              <w:rPr>
                <w:i/>
                <w:sz w:val="18"/>
                <w:szCs w:val="18"/>
              </w:rPr>
              <w:t>cases</w:t>
            </w:r>
            <w:r w:rsidRPr="00420BF1">
              <w:rPr>
                <w:i/>
                <w:sz w:val="18"/>
                <w:szCs w:val="18"/>
              </w:rPr>
              <w:t xml:space="preserve"> of BSC flow-throttling</w:t>
            </w:r>
          </w:p>
        </w:tc>
      </w:tr>
    </w:tbl>
    <w:p w:rsidR="004A26C4" w:rsidRPr="00237B0D" w:rsidRDefault="004A26C4" w:rsidP="004A26C4">
      <w:pPr>
        <w:pStyle w:val="Heading3"/>
        <w:spacing w:before="120"/>
      </w:pPr>
      <w:r>
        <w:t>Using helium as cover gas medium</w:t>
      </w:r>
    </w:p>
    <w:p w:rsidR="004A26C4" w:rsidRDefault="004A26C4" w:rsidP="004A26C4">
      <w:pPr>
        <w:pStyle w:val="Authornameandaffiliation"/>
        <w:ind w:left="0" w:firstLine="567"/>
        <w:jc w:val="both"/>
      </w:pPr>
      <w:r>
        <w:t xml:space="preserve">Helium is an inert gas and alternate option to argon, which can be considered for cover gas. A simulation is carried out by considering helium as cover gas. Helium has thermal diffusivity about 10 times larger than that of argon. Hence, the system Rayleigh number shall be about one-tenth, and convective turbulence weaker with helium than that with argon as the cover gas medium. </w:t>
      </w:r>
      <w:r>
        <w:rPr>
          <w:lang w:val="en-GB"/>
        </w:rPr>
        <w:t xml:space="preserve">A comparison of </w:t>
      </w:r>
      <w:r>
        <w:t>temperature profiles along the reactor vessel at plug bottom elevation for the two cases of cover gas medium (Fig. 1</w:t>
      </w:r>
      <w:r w:rsidR="00BE7C4A">
        <w:t>7</w:t>
      </w:r>
      <w:r>
        <w:t>) shows that the average temperature increases (from 91</w:t>
      </w:r>
      <w:r>
        <w:sym w:font="Symbol" w:char="F0B0"/>
      </w:r>
      <w:r>
        <w:t>C to 103</w:t>
      </w:r>
      <w:r>
        <w:sym w:font="Symbol" w:char="F0B0"/>
      </w:r>
      <w:r>
        <w:t>C), while the maximum temperature asymmetry reduces (from 42</w:t>
      </w:r>
      <w:r w:rsidR="00BE7C4A">
        <w:sym w:font="Symbol" w:char="F0B0"/>
      </w:r>
      <w:r w:rsidR="00BE7C4A">
        <w:t>C</w:t>
      </w:r>
      <w:r>
        <w:t xml:space="preserve"> to 16</w:t>
      </w:r>
      <w:r w:rsidR="00BE7C4A">
        <w:sym w:font="Symbol" w:char="F0B0"/>
      </w:r>
      <w:r w:rsidR="00BE7C4A">
        <w:t>C</w:t>
      </w:r>
      <w:r>
        <w:t>), as the cover gas medium of the system is changed from argon to helium. Temperature distribution along reactor vessel is shown in Fig. 1</w:t>
      </w:r>
      <w:r w:rsidR="00BE7C4A">
        <w:t>8</w:t>
      </w:r>
      <w:r>
        <w:t>, where thermal homogenization in the system due to helium is clearly visible.</w:t>
      </w:r>
    </w:p>
    <w:p w:rsidR="00970C8E" w:rsidRDefault="00970C8E" w:rsidP="004A26C4">
      <w:pPr>
        <w:pStyle w:val="Authornameandaffiliation"/>
        <w:ind w:left="0" w:firstLine="567"/>
        <w:jc w:val="both"/>
      </w:pPr>
    </w:p>
    <w:p w:rsidR="00970C8E" w:rsidRDefault="00970C8E" w:rsidP="004A26C4">
      <w:pPr>
        <w:pStyle w:val="Authornameandaffiliation"/>
        <w:ind w:left="0" w:firstLine="56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9"/>
      </w:tblGrid>
      <w:tr w:rsidR="00420BF1" w:rsidRPr="00AB4FFD" w:rsidTr="004A26C4">
        <w:trPr>
          <w:trHeight w:val="3458"/>
        </w:trPr>
        <w:tc>
          <w:tcPr>
            <w:tcW w:w="4508" w:type="dxa"/>
            <w:vAlign w:val="center"/>
          </w:tcPr>
          <w:p w:rsidR="00420BF1" w:rsidRPr="00AB4FFD" w:rsidRDefault="00420BF1" w:rsidP="00A94AA6">
            <w:pPr>
              <w:overflowPunct/>
              <w:autoSpaceDE/>
              <w:autoSpaceDN/>
              <w:adjustRightInd/>
              <w:spacing w:line="260" w:lineRule="atLeast"/>
              <w:contextualSpacing/>
              <w:jc w:val="center"/>
              <w:textAlignment w:val="auto"/>
              <w:rPr>
                <w:sz w:val="20"/>
                <w:lang w:val="en-IN"/>
              </w:rPr>
            </w:pPr>
            <w:r w:rsidRPr="00AB4FFD">
              <w:rPr>
                <w:noProof/>
                <w:sz w:val="20"/>
                <w:lang w:val="en-IN" w:eastAsia="en-IN"/>
              </w:rPr>
              <w:drawing>
                <wp:inline distT="0" distB="0" distL="0" distR="0">
                  <wp:extent cx="2647765" cy="1980000"/>
                  <wp:effectExtent l="0" t="0" r="0" b="127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765" cy="1980000"/>
                          </a:xfrm>
                          <a:prstGeom prst="rect">
                            <a:avLst/>
                          </a:prstGeom>
                        </pic:spPr>
                      </pic:pic>
                    </a:graphicData>
                  </a:graphic>
                </wp:inline>
              </w:drawing>
            </w:r>
          </w:p>
        </w:tc>
        <w:tc>
          <w:tcPr>
            <w:tcW w:w="4509" w:type="dxa"/>
            <w:vAlign w:val="center"/>
          </w:tcPr>
          <w:p w:rsidR="00420BF1" w:rsidRPr="00AB4FFD" w:rsidRDefault="00420BF1" w:rsidP="00A94AA6">
            <w:pPr>
              <w:overflowPunct/>
              <w:autoSpaceDE/>
              <w:autoSpaceDN/>
              <w:adjustRightInd/>
              <w:spacing w:line="260" w:lineRule="atLeast"/>
              <w:contextualSpacing/>
              <w:jc w:val="center"/>
              <w:textAlignment w:val="auto"/>
              <w:rPr>
                <w:sz w:val="20"/>
                <w:lang w:val="en-IN"/>
              </w:rPr>
            </w:pPr>
            <w:r w:rsidRPr="00AB4FFD">
              <w:rPr>
                <w:noProof/>
                <w:sz w:val="20"/>
                <w:lang w:val="en-IN" w:eastAsia="en-IN"/>
              </w:rPr>
              <w:drawing>
                <wp:inline distT="0" distB="0" distL="0" distR="0">
                  <wp:extent cx="2190920" cy="2880000"/>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920" cy="2880000"/>
                          </a:xfrm>
                          <a:prstGeom prst="rect">
                            <a:avLst/>
                          </a:prstGeom>
                        </pic:spPr>
                      </pic:pic>
                    </a:graphicData>
                  </a:graphic>
                </wp:inline>
              </w:drawing>
            </w:r>
          </w:p>
        </w:tc>
      </w:tr>
      <w:tr w:rsidR="00420BF1" w:rsidRPr="00AB4FFD" w:rsidTr="004A26C4">
        <w:trPr>
          <w:trHeight w:val="737"/>
        </w:trPr>
        <w:tc>
          <w:tcPr>
            <w:tcW w:w="4508" w:type="dxa"/>
          </w:tcPr>
          <w:p w:rsidR="00420BF1" w:rsidRPr="00AB4FFD" w:rsidRDefault="00420BF1" w:rsidP="009033D4">
            <w:pPr>
              <w:overflowPunct/>
              <w:autoSpaceDE/>
              <w:autoSpaceDN/>
              <w:adjustRightInd/>
              <w:spacing w:line="260" w:lineRule="atLeast"/>
              <w:contextualSpacing/>
              <w:jc w:val="both"/>
              <w:textAlignment w:val="auto"/>
              <w:rPr>
                <w:sz w:val="20"/>
                <w:lang w:val="en-IN"/>
              </w:rPr>
            </w:pPr>
            <w:r w:rsidRPr="00AB4FFD">
              <w:rPr>
                <w:i/>
                <w:sz w:val="18"/>
                <w:szCs w:val="18"/>
              </w:rPr>
              <w:t>FIG. 1</w:t>
            </w:r>
            <w:r w:rsidR="00BE7C4A">
              <w:rPr>
                <w:i/>
                <w:sz w:val="18"/>
                <w:szCs w:val="18"/>
              </w:rPr>
              <w:t>7</w:t>
            </w:r>
            <w:r w:rsidRPr="00AB4FFD">
              <w:rPr>
                <w:i/>
                <w:sz w:val="18"/>
                <w:szCs w:val="18"/>
              </w:rPr>
              <w:t xml:space="preserve">. </w:t>
            </w:r>
            <w:r w:rsidR="009033D4">
              <w:rPr>
                <w:i/>
                <w:sz w:val="18"/>
                <w:szCs w:val="18"/>
              </w:rPr>
              <w:t>Circumferential t</w:t>
            </w:r>
            <w:r w:rsidRPr="00AB4FFD">
              <w:rPr>
                <w:i/>
                <w:sz w:val="18"/>
                <w:szCs w:val="18"/>
              </w:rPr>
              <w:t xml:space="preserve">emperature </w:t>
            </w:r>
            <w:r w:rsidR="009033D4">
              <w:rPr>
                <w:i/>
                <w:sz w:val="18"/>
                <w:szCs w:val="18"/>
              </w:rPr>
              <w:t xml:space="preserve">distribution in the </w:t>
            </w:r>
            <w:r w:rsidRPr="00AB4FFD">
              <w:rPr>
                <w:i/>
                <w:sz w:val="18"/>
                <w:szCs w:val="18"/>
              </w:rPr>
              <w:t>reactor vessel at plug bottom</w:t>
            </w:r>
            <w:r w:rsidR="004A26C4">
              <w:rPr>
                <w:i/>
                <w:sz w:val="18"/>
                <w:szCs w:val="18"/>
              </w:rPr>
              <w:t xml:space="preserve"> when helium is used as cover gas medium</w:t>
            </w:r>
          </w:p>
        </w:tc>
        <w:tc>
          <w:tcPr>
            <w:tcW w:w="4509" w:type="dxa"/>
          </w:tcPr>
          <w:p w:rsidR="00420BF1" w:rsidRPr="00AB4FFD" w:rsidRDefault="00420BF1" w:rsidP="009033D4">
            <w:pPr>
              <w:overflowPunct/>
              <w:autoSpaceDE/>
              <w:autoSpaceDN/>
              <w:adjustRightInd/>
              <w:spacing w:line="260" w:lineRule="atLeast"/>
              <w:contextualSpacing/>
              <w:jc w:val="both"/>
              <w:textAlignment w:val="auto"/>
              <w:rPr>
                <w:i/>
                <w:sz w:val="18"/>
                <w:szCs w:val="18"/>
              </w:rPr>
            </w:pPr>
            <w:r w:rsidRPr="00AB4FFD">
              <w:rPr>
                <w:i/>
                <w:sz w:val="18"/>
                <w:szCs w:val="18"/>
              </w:rPr>
              <w:t>FIG. 1</w:t>
            </w:r>
            <w:r w:rsidR="00BE7C4A">
              <w:rPr>
                <w:i/>
                <w:sz w:val="18"/>
                <w:szCs w:val="18"/>
              </w:rPr>
              <w:t>8</w:t>
            </w:r>
            <w:r w:rsidRPr="00AB4FFD">
              <w:rPr>
                <w:i/>
                <w:sz w:val="18"/>
                <w:szCs w:val="18"/>
              </w:rPr>
              <w:t xml:space="preserve">. Temperature </w:t>
            </w:r>
            <w:r w:rsidR="009033D4">
              <w:rPr>
                <w:i/>
                <w:sz w:val="18"/>
                <w:szCs w:val="18"/>
              </w:rPr>
              <w:t xml:space="preserve">profile in the </w:t>
            </w:r>
            <w:r w:rsidRPr="00AB4FFD">
              <w:rPr>
                <w:i/>
                <w:sz w:val="18"/>
                <w:szCs w:val="18"/>
              </w:rPr>
              <w:t>reactor vessel near rotating plugs when helium is used as cover gas medium</w:t>
            </w:r>
          </w:p>
        </w:tc>
      </w:tr>
    </w:tbl>
    <w:p w:rsidR="00970C8E" w:rsidRDefault="00970C8E" w:rsidP="00970C8E">
      <w:pPr>
        <w:pStyle w:val="Heading2"/>
        <w:numPr>
          <w:ilvl w:val="0"/>
          <w:numId w:val="0"/>
        </w:numPr>
      </w:pPr>
    </w:p>
    <w:p w:rsidR="005811C5" w:rsidRPr="002E513B" w:rsidRDefault="005811C5" w:rsidP="005811C5">
      <w:pPr>
        <w:pStyle w:val="Heading2"/>
        <w:rPr>
          <w:b/>
        </w:rPr>
      </w:pPr>
      <w:r w:rsidRPr="002E513B">
        <w:rPr>
          <w:b/>
        </w:rPr>
        <w:lastRenderedPageBreak/>
        <w:t>Conclusions</w:t>
      </w:r>
    </w:p>
    <w:p w:rsidR="00B205C6" w:rsidRDefault="00CB218A" w:rsidP="00E506DF">
      <w:pPr>
        <w:pStyle w:val="BodyText"/>
      </w:pPr>
      <w:r>
        <w:t>The development of cellular convection in the annular penetration gap</w:t>
      </w:r>
      <w:r w:rsidR="00E87865">
        <w:t xml:space="preserve"> between reactor vessel and rotating plug of </w:t>
      </w:r>
      <w:r>
        <w:t xml:space="preserve">FBTR, which causes tilting of the vessel, </w:t>
      </w:r>
      <w:r w:rsidR="00E87865">
        <w:t xml:space="preserve">has been analysed </w:t>
      </w:r>
      <w:r>
        <w:t>using</w:t>
      </w:r>
      <w:r w:rsidR="005811C5">
        <w:t xml:space="preserve"> a </w:t>
      </w:r>
      <w:r w:rsidR="00E87865">
        <w:t xml:space="preserve">three dimensional </w:t>
      </w:r>
      <w:r w:rsidR="003A58E6">
        <w:t>CFD model</w:t>
      </w:r>
      <w:r w:rsidR="005811C5">
        <w:t xml:space="preserve">. The </w:t>
      </w:r>
      <w:r w:rsidR="003A58E6">
        <w:t xml:space="preserve">numerical </w:t>
      </w:r>
      <w:r w:rsidR="005811C5">
        <w:t>m</w:t>
      </w:r>
      <w:r w:rsidR="00E87865">
        <w:t xml:space="preserve">odel has been </w:t>
      </w:r>
      <w:r w:rsidR="005811C5">
        <w:t>validated</w:t>
      </w:r>
      <w:r w:rsidR="005E1BC5">
        <w:t xml:space="preserve"> against </w:t>
      </w:r>
      <w:r w:rsidR="00E87865">
        <w:t>experimental data from the</w:t>
      </w:r>
      <w:r w:rsidR="00540739">
        <w:t xml:space="preserve"> </w:t>
      </w:r>
      <w:r w:rsidR="00E87865">
        <w:t xml:space="preserve">COBA </w:t>
      </w:r>
      <w:r w:rsidR="005E1BC5">
        <w:t>mock-up</w:t>
      </w:r>
      <w:r w:rsidR="00540739">
        <w:t xml:space="preserve"> </w:t>
      </w:r>
      <w:r w:rsidR="005E1BC5">
        <w:t>facility</w:t>
      </w:r>
      <w:r w:rsidR="00DE7252">
        <w:t xml:space="preserve">. </w:t>
      </w:r>
      <w:r w:rsidR="0024403A">
        <w:t xml:space="preserve">Moreover, </w:t>
      </w:r>
      <w:r w:rsidR="005811C5">
        <w:t>validat</w:t>
      </w:r>
      <w:r w:rsidR="0024403A">
        <w:t xml:space="preserve">ion has also been carried out with respect to plant data during </w:t>
      </w:r>
      <w:r w:rsidR="003A58E6">
        <w:t xml:space="preserve">FBTR operation </w:t>
      </w:r>
      <w:r w:rsidR="00330F2C">
        <w:t>corresponding to cold shutdown state of the reactor</w:t>
      </w:r>
      <w:r>
        <w:t xml:space="preserve">. </w:t>
      </w:r>
      <w:r w:rsidR="003A58E6">
        <w:t xml:space="preserve">It </w:t>
      </w:r>
      <w:r w:rsidR="0024403A">
        <w:t xml:space="preserve">is </w:t>
      </w:r>
      <w:r w:rsidR="003A58E6">
        <w:t>found that</w:t>
      </w:r>
      <w:r w:rsidR="00205D27">
        <w:t xml:space="preserve"> </w:t>
      </w:r>
      <w:r w:rsidR="005E1BC5">
        <w:t xml:space="preserve">the </w:t>
      </w:r>
      <w:r>
        <w:t xml:space="preserve">cover gas of FBTR develops </w:t>
      </w:r>
      <w:r w:rsidR="0024403A">
        <w:t>cellular convection in the penetration annulus with single loop formed</w:t>
      </w:r>
      <w:r w:rsidR="005E1BC5">
        <w:t xml:space="preserve">, due to which the reactor vessel </w:t>
      </w:r>
      <w:r w:rsidR="0024403A">
        <w:t>develops a circumferential temperature gradient.</w:t>
      </w:r>
      <w:r w:rsidR="005E1BC5">
        <w:t xml:space="preserve"> The asymmetry in circumferential temperature is found </w:t>
      </w:r>
      <w:r w:rsidR="0024403A">
        <w:t xml:space="preserve">be </w:t>
      </w:r>
      <w:r w:rsidR="005E1BC5">
        <w:t xml:space="preserve">maximum </w:t>
      </w:r>
      <w:r w:rsidR="00330F2C">
        <w:t>(42</w:t>
      </w:r>
      <w:r w:rsidR="00330F2C">
        <w:sym w:font="Symbol" w:char="F0B0"/>
      </w:r>
      <w:r w:rsidR="00330F2C">
        <w:t xml:space="preserve">C) </w:t>
      </w:r>
      <w:r w:rsidR="005E1BC5">
        <w:t xml:space="preserve">at the </w:t>
      </w:r>
      <w:r w:rsidR="0024403A">
        <w:t>bottom of the annulus</w:t>
      </w:r>
      <w:r w:rsidR="005E1BC5">
        <w:t>. Parametric studies</w:t>
      </w:r>
      <w:r w:rsidR="0024403A">
        <w:t xml:space="preserve"> have been </w:t>
      </w:r>
      <w:r w:rsidR="00AB4FFD">
        <w:t xml:space="preserve">carried out to investigate </w:t>
      </w:r>
      <w:r w:rsidR="0024403A">
        <w:t xml:space="preserve">the effectiveness of various </w:t>
      </w:r>
      <w:r w:rsidR="00AB4FFD">
        <w:t xml:space="preserve">methods for </w:t>
      </w:r>
      <w:r w:rsidR="0024403A">
        <w:t xml:space="preserve">reducing the </w:t>
      </w:r>
      <w:r w:rsidR="00AB4FFD">
        <w:t xml:space="preserve">cellular convection in FBTR. It is seen </w:t>
      </w:r>
      <w:r w:rsidR="005E1BC5">
        <w:t>that presence of physical barriers</w:t>
      </w:r>
      <w:r w:rsidR="00FC6FFD">
        <w:t xml:space="preserve"> inside the annular penetration gaps are effective in bringing down </w:t>
      </w:r>
      <w:r w:rsidR="00205D27">
        <w:t xml:space="preserve">the </w:t>
      </w:r>
      <w:r w:rsidR="00FC6FFD">
        <w:t>temperature asym</w:t>
      </w:r>
      <w:r w:rsidR="00AB4FFD">
        <w:t>metry</w:t>
      </w:r>
      <w:r w:rsidR="0024403A">
        <w:t xml:space="preserve"> and the ideal location for them is the bottom of the annulus. By selective throttling of </w:t>
      </w:r>
      <w:r w:rsidR="00AB4FFD">
        <w:t>biological shield</w:t>
      </w:r>
      <w:r w:rsidR="0024403A">
        <w:t xml:space="preserve"> cooling in the sector where lowest temperature is observed in the reactor vessel, the effect of cellular convection could be significantly lowered.</w:t>
      </w:r>
      <w:r w:rsidR="00205D27">
        <w:t xml:space="preserve"> </w:t>
      </w:r>
      <w:r w:rsidR="0024403A">
        <w:t xml:space="preserve">Another study has been carried out by considering helium as the cover gas medium instead of argon. It is seen that with helium as the cover gas medium, the circumferential temperature gradient in the reactor vessel could be reduced from </w:t>
      </w:r>
      <w:r w:rsidR="001F5715">
        <w:t>42</w:t>
      </w:r>
      <w:r w:rsidR="001F5715">
        <w:sym w:font="Symbol" w:char="F0B0"/>
      </w:r>
      <w:r w:rsidR="001F5715">
        <w:t>C to 16</w:t>
      </w:r>
      <w:r w:rsidR="001F5715">
        <w:sym w:font="Symbol" w:char="F0B0"/>
      </w:r>
      <w:r w:rsidR="001F5715">
        <w:t>C</w:t>
      </w:r>
      <w:r w:rsidR="00AB4FFD">
        <w:t>.</w:t>
      </w:r>
    </w:p>
    <w:p w:rsidR="00D26ADA" w:rsidRPr="00285755" w:rsidRDefault="00D26ADA" w:rsidP="00537496">
      <w:pPr>
        <w:pStyle w:val="Otherunnumberedheadings"/>
      </w:pPr>
      <w:r>
        <w:t>References</w:t>
      </w:r>
    </w:p>
    <w:p w:rsidR="00237B0D" w:rsidRPr="00266BCF" w:rsidRDefault="00237B0D" w:rsidP="00237B0D">
      <w:pPr>
        <w:pStyle w:val="Referencelist"/>
      </w:pPr>
      <w:r w:rsidRPr="008604A5">
        <w:rPr>
          <w:color w:val="000000"/>
        </w:rPr>
        <w:t xml:space="preserve">GOLDSTEIN, </w:t>
      </w:r>
      <w:r>
        <w:rPr>
          <w:color w:val="000000"/>
        </w:rPr>
        <w:t xml:space="preserve">S., </w:t>
      </w:r>
      <w:r w:rsidRPr="008604A5">
        <w:rPr>
          <w:color w:val="000000"/>
        </w:rPr>
        <w:t>JOLY</w:t>
      </w:r>
      <w:r>
        <w:rPr>
          <w:color w:val="000000"/>
        </w:rPr>
        <w:t xml:space="preserve">, J., </w:t>
      </w:r>
      <w:r w:rsidRPr="008604A5">
        <w:rPr>
          <w:color w:val="000000"/>
        </w:rPr>
        <w:t xml:space="preserve">VIDARD, </w:t>
      </w:r>
      <w:r>
        <w:rPr>
          <w:color w:val="000000"/>
        </w:rPr>
        <w:t>M., “</w:t>
      </w:r>
      <w:r w:rsidRPr="008604A5">
        <w:rPr>
          <w:color w:val="000000"/>
        </w:rPr>
        <w:t>Thermal analysis of the penetrations of a LMFBR</w:t>
      </w:r>
      <w:r>
        <w:rPr>
          <w:color w:val="000000"/>
        </w:rPr>
        <w:t>”</w:t>
      </w:r>
      <w:r w:rsidRPr="008604A5">
        <w:rPr>
          <w:color w:val="000000"/>
        </w:rPr>
        <w:t xml:space="preserve">, </w:t>
      </w:r>
      <w:r>
        <w:rPr>
          <w:color w:val="000000"/>
        </w:rPr>
        <w:t xml:space="preserve">presented at </w:t>
      </w:r>
      <w:r w:rsidRPr="00F35DE4">
        <w:rPr>
          <w:color w:val="000000"/>
        </w:rPr>
        <w:t>5</w:t>
      </w:r>
      <w:r w:rsidRPr="00F35DE4">
        <w:rPr>
          <w:color w:val="000000"/>
          <w:vertAlign w:val="superscript"/>
        </w:rPr>
        <w:t>th</w:t>
      </w:r>
      <w:r w:rsidRPr="00377530">
        <w:t>International Conference on St</w:t>
      </w:r>
      <w:r w:rsidRPr="008604A5">
        <w:t>ructural Mechanics in Reactor Technology</w:t>
      </w:r>
      <w:r w:rsidRPr="008604A5">
        <w:rPr>
          <w:color w:val="000000"/>
        </w:rPr>
        <w:t xml:space="preserve">, </w:t>
      </w:r>
      <w:r>
        <w:rPr>
          <w:color w:val="000000"/>
        </w:rPr>
        <w:t xml:space="preserve">Berlin, </w:t>
      </w:r>
      <w:r w:rsidRPr="00F35DE4">
        <w:rPr>
          <w:color w:val="000000"/>
        </w:rPr>
        <w:t>1979.</w:t>
      </w:r>
    </w:p>
    <w:p w:rsidR="00237B0D" w:rsidRPr="00377530" w:rsidRDefault="00237B0D" w:rsidP="00237B0D">
      <w:pPr>
        <w:pStyle w:val="Referencelist"/>
      </w:pPr>
      <w:r w:rsidRPr="00847EB3">
        <w:t xml:space="preserve">BALDASSARI, </w:t>
      </w:r>
      <w:r>
        <w:t xml:space="preserve">J.P., </w:t>
      </w:r>
      <w:r w:rsidRPr="00847EB3">
        <w:t xml:space="preserve">DURIN, </w:t>
      </w:r>
      <w:r>
        <w:t xml:space="preserve">M., </w:t>
      </w:r>
      <w:r w:rsidRPr="00847EB3">
        <w:t xml:space="preserve">SEVERI, </w:t>
      </w:r>
      <w:r>
        <w:t xml:space="preserve">Y., </w:t>
      </w:r>
      <w:r w:rsidRPr="00847EB3">
        <w:t>PRADEL</w:t>
      </w:r>
      <w:r>
        <w:t xml:space="preserve">, P., </w:t>
      </w:r>
      <w:r w:rsidRPr="008604A5">
        <w:t>Open azimuthal thermosyphon in annular space</w:t>
      </w:r>
      <w:r>
        <w:t xml:space="preserve"> – </w:t>
      </w:r>
      <w:r w:rsidRPr="008604A5">
        <w:t>comparisons</w:t>
      </w:r>
      <w:r w:rsidR="000B1CAD">
        <w:t xml:space="preserve"> </w:t>
      </w:r>
      <w:r w:rsidRPr="008604A5">
        <w:t xml:space="preserve">of experimental and numerical results, </w:t>
      </w:r>
      <w:r>
        <w:t xml:space="preserve">Abb. </w:t>
      </w:r>
      <w:r w:rsidRPr="00F35DE4">
        <w:t>Liquid metal eng</w:t>
      </w:r>
      <w:r w:rsidRPr="00377530">
        <w:t>in</w:t>
      </w:r>
      <w:r>
        <w:t>eering</w:t>
      </w:r>
      <w:r w:rsidRPr="008604A5">
        <w:t xml:space="preserve"> and tech</w:t>
      </w:r>
      <w:r>
        <w:t>. (</w:t>
      </w:r>
      <w:r w:rsidRPr="008604A5">
        <w:t>1984</w:t>
      </w:r>
      <w:r>
        <w:t xml:space="preserve">) </w:t>
      </w:r>
      <w:r w:rsidRPr="008604A5">
        <w:t>463</w:t>
      </w:r>
      <w:r>
        <w:t xml:space="preserve"> – </w:t>
      </w:r>
      <w:r w:rsidRPr="00F35DE4">
        <w:t>467</w:t>
      </w:r>
      <w:r w:rsidRPr="00377530">
        <w:t>.</w:t>
      </w:r>
    </w:p>
    <w:p w:rsidR="00237B0D" w:rsidRPr="008604A5" w:rsidRDefault="00237B0D" w:rsidP="00237B0D">
      <w:pPr>
        <w:pStyle w:val="Referencelist"/>
      </w:pPr>
      <w:r w:rsidRPr="008604A5">
        <w:t>ROUX</w:t>
      </w:r>
      <w:r>
        <w:t xml:space="preserve">, S., </w:t>
      </w:r>
      <w:r w:rsidRPr="008604A5">
        <w:t>ELIE,</w:t>
      </w:r>
      <w:r>
        <w:t xml:space="preserve"> D., </w:t>
      </w:r>
      <w:r w:rsidRPr="008604A5">
        <w:t>Comparison between measurement and computational analysis on open azimut</w:t>
      </w:r>
      <w:r>
        <w:t>h</w:t>
      </w:r>
      <w:r w:rsidRPr="00F35DE4">
        <w:t>al thermosyphons in annular space of the Lilliput mod</w:t>
      </w:r>
      <w:r w:rsidRPr="00377530">
        <w:t xml:space="preserve">el, </w:t>
      </w:r>
      <w:r>
        <w:t xml:space="preserve">Abb. </w:t>
      </w:r>
      <w:r w:rsidRPr="00F35DE4">
        <w:t>Liquid</w:t>
      </w:r>
      <w:r>
        <w:t xml:space="preserve"> m</w:t>
      </w:r>
      <w:r w:rsidRPr="008604A5">
        <w:t xml:space="preserve">etal </w:t>
      </w:r>
      <w:r>
        <w:t>e</w:t>
      </w:r>
      <w:r w:rsidRPr="008604A5">
        <w:t xml:space="preserve">ngineering and </w:t>
      </w:r>
      <w:r>
        <w:t>t</w:t>
      </w:r>
      <w:r w:rsidRPr="008604A5">
        <w:t>ech</w:t>
      </w:r>
      <w:r>
        <w:t>.(</w:t>
      </w:r>
      <w:r w:rsidRPr="00F35DE4">
        <w:t>1988</w:t>
      </w:r>
      <w:r>
        <w:t>)</w:t>
      </w:r>
      <w:r w:rsidRPr="008604A5">
        <w:t xml:space="preserve"> 41</w:t>
      </w:r>
      <w:r>
        <w:t>1 – 412</w:t>
      </w:r>
      <w:r w:rsidRPr="008604A5">
        <w:t>.</w:t>
      </w:r>
    </w:p>
    <w:p w:rsidR="00237B0D" w:rsidRDefault="00237B0D" w:rsidP="00237B0D">
      <w:pPr>
        <w:pStyle w:val="Referencelist"/>
      </w:pPr>
      <w:r w:rsidRPr="00937455">
        <w:t xml:space="preserve">LENOIR, </w:t>
      </w:r>
      <w:r>
        <w:t xml:space="preserve">G., </w:t>
      </w:r>
      <w:r w:rsidRPr="00937455">
        <w:t xml:space="preserve">DALLONGEVILLES, </w:t>
      </w:r>
      <w:r>
        <w:t xml:space="preserve">M., </w:t>
      </w:r>
      <w:r w:rsidRPr="00937455">
        <w:t xml:space="preserve">GOLDSTEIN, </w:t>
      </w:r>
      <w:r>
        <w:t xml:space="preserve">S., </w:t>
      </w:r>
      <w:r w:rsidRPr="00937455">
        <w:t>VIDARD</w:t>
      </w:r>
      <w:r>
        <w:t xml:space="preserve">,M., </w:t>
      </w:r>
      <w:r w:rsidRPr="00F35DE4">
        <w:t xml:space="preserve">“Thermal </w:t>
      </w:r>
      <w:r>
        <w:t>h</w:t>
      </w:r>
      <w:r w:rsidRPr="008604A5">
        <w:t xml:space="preserve">ydraulics of the </w:t>
      </w:r>
      <w:r>
        <w:t>a</w:t>
      </w:r>
      <w:r w:rsidRPr="008604A5">
        <w:t xml:space="preserve">nnular </w:t>
      </w:r>
      <w:r>
        <w:t>s</w:t>
      </w:r>
      <w:r w:rsidRPr="008604A5">
        <w:t xml:space="preserve">paces in </w:t>
      </w:r>
      <w:r>
        <w:t>r</w:t>
      </w:r>
      <w:r w:rsidRPr="008604A5">
        <w:t xml:space="preserve">oof </w:t>
      </w:r>
      <w:r>
        <w:t>s</w:t>
      </w:r>
      <w:r w:rsidRPr="008604A5">
        <w:t xml:space="preserve">lab penetrations at </w:t>
      </w:r>
      <w:r>
        <w:t>l</w:t>
      </w:r>
      <w:r w:rsidRPr="008604A5">
        <w:t xml:space="preserve">iquid </w:t>
      </w:r>
      <w:r>
        <w:t>s</w:t>
      </w:r>
      <w:r w:rsidRPr="008604A5">
        <w:t xml:space="preserve">odium </w:t>
      </w:r>
      <w:r>
        <w:t>c</w:t>
      </w:r>
      <w:r w:rsidRPr="008604A5">
        <w:t xml:space="preserve">ooled </w:t>
      </w:r>
      <w:r>
        <w:t>f</w:t>
      </w:r>
      <w:r w:rsidRPr="008604A5">
        <w:t xml:space="preserve">ast </w:t>
      </w:r>
      <w:r>
        <w:t>b</w:t>
      </w:r>
      <w:r w:rsidRPr="008604A5">
        <w:t xml:space="preserve">reeder </w:t>
      </w:r>
      <w:r>
        <w:t>r</w:t>
      </w:r>
      <w:r w:rsidRPr="008604A5">
        <w:t xml:space="preserve">eactor”, </w:t>
      </w:r>
      <w:r>
        <w:rPr>
          <w:color w:val="000000"/>
        </w:rPr>
        <w:t>presented at 6</w:t>
      </w:r>
      <w:r w:rsidRPr="00C747FC">
        <w:rPr>
          <w:color w:val="000000"/>
          <w:vertAlign w:val="superscript"/>
        </w:rPr>
        <w:t>th</w:t>
      </w:r>
      <w:r w:rsidRPr="00C747FC">
        <w:t>International Conference on Structural Mechanics in Reactor Technology</w:t>
      </w:r>
      <w:r w:rsidRPr="00C747FC">
        <w:rPr>
          <w:color w:val="000000"/>
        </w:rPr>
        <w:t xml:space="preserve">, </w:t>
      </w:r>
      <w:r>
        <w:rPr>
          <w:color w:val="000000"/>
        </w:rPr>
        <w:t xml:space="preserve">Paris, </w:t>
      </w:r>
      <w:r w:rsidRPr="00C747FC">
        <w:rPr>
          <w:color w:val="000000"/>
        </w:rPr>
        <w:t>19</w:t>
      </w:r>
      <w:r>
        <w:rPr>
          <w:color w:val="000000"/>
        </w:rPr>
        <w:t>81</w:t>
      </w:r>
      <w:r w:rsidRPr="00C747FC">
        <w:rPr>
          <w:color w:val="000000"/>
        </w:rPr>
        <w:t>.</w:t>
      </w:r>
    </w:p>
    <w:p w:rsidR="00237B0D" w:rsidRPr="008604A5" w:rsidRDefault="00237B0D" w:rsidP="00237B0D">
      <w:pPr>
        <w:pStyle w:val="Referencelist"/>
      </w:pPr>
      <w:r>
        <w:t xml:space="preserve">YAMAKAWA, M., SAKAI, T., KAWASHIMA, H, SAKURAI, A., HATTORI S., </w:t>
      </w:r>
      <w:r w:rsidRPr="008604A5">
        <w:t xml:space="preserve">Analysis of natural convection in narrow annular gaps of LMFBR, </w:t>
      </w:r>
      <w:r>
        <w:t xml:space="preserve">Abb. </w:t>
      </w:r>
      <w:r w:rsidRPr="00F35DE4">
        <w:t xml:space="preserve">Journal of Nuclear Science and Technology, </w:t>
      </w:r>
      <w:r>
        <w:t xml:space="preserve">Vol. </w:t>
      </w:r>
      <w:r w:rsidRPr="00F35DE4">
        <w:t>23</w:t>
      </w:r>
      <w:r>
        <w:t>. Part. 5. (</w:t>
      </w:r>
      <w:r w:rsidRPr="008604A5">
        <w:t>1986</w:t>
      </w:r>
      <w:r>
        <w:t>)</w:t>
      </w:r>
      <w:r w:rsidRPr="008604A5">
        <w:t xml:space="preserve"> 451</w:t>
      </w:r>
      <w:r>
        <w:t xml:space="preserve"> – </w:t>
      </w:r>
      <w:r w:rsidRPr="00F35DE4">
        <w:t>460</w:t>
      </w:r>
      <w:r w:rsidRPr="00377530">
        <w:t>.</w:t>
      </w:r>
    </w:p>
    <w:p w:rsidR="00237B0D" w:rsidRPr="008604A5" w:rsidRDefault="00237B0D" w:rsidP="00237B0D">
      <w:pPr>
        <w:pStyle w:val="Referencelist"/>
      </w:pPr>
      <w:r>
        <w:t>TODA, S., KUROKAWA, M., HORI, Y., SATOH, H., “</w:t>
      </w:r>
      <w:r w:rsidRPr="008604A5">
        <w:t>Natural convection in a vertical narrow annular gap</w:t>
      </w:r>
      <w:r>
        <w:t>”</w:t>
      </w:r>
      <w:r w:rsidRPr="008604A5">
        <w:t xml:space="preserve">, </w:t>
      </w:r>
      <w:r>
        <w:t>presented at 9</w:t>
      </w:r>
      <w:r w:rsidRPr="00266BCF">
        <w:rPr>
          <w:vertAlign w:val="superscript"/>
        </w:rPr>
        <w:t>th</w:t>
      </w:r>
      <w:r w:rsidRPr="008604A5">
        <w:t xml:space="preserve">International </w:t>
      </w:r>
      <w:r>
        <w:t>H</w:t>
      </w:r>
      <w:r w:rsidRPr="008604A5">
        <w:t xml:space="preserve">eat </w:t>
      </w:r>
      <w:r>
        <w:t>T</w:t>
      </w:r>
      <w:r w:rsidRPr="008604A5">
        <w:t xml:space="preserve">ransfer </w:t>
      </w:r>
      <w:r>
        <w:t>C</w:t>
      </w:r>
      <w:r w:rsidRPr="008604A5">
        <w:t>onference, Jerusalem, 1990</w:t>
      </w:r>
      <w:r>
        <w:t>.</w:t>
      </w:r>
    </w:p>
    <w:p w:rsidR="00237B0D" w:rsidRPr="00377530" w:rsidRDefault="00237B0D" w:rsidP="00237B0D">
      <w:pPr>
        <w:pStyle w:val="Referencelist"/>
      </w:pPr>
      <w:r w:rsidRPr="008604A5">
        <w:t>FRANCOIS</w:t>
      </w:r>
      <w:r>
        <w:t xml:space="preserve">, G., </w:t>
      </w:r>
      <w:r w:rsidRPr="008604A5">
        <w:t xml:space="preserve">AZARIAN, </w:t>
      </w:r>
      <w:r>
        <w:t xml:space="preserve">G., </w:t>
      </w:r>
      <w:r w:rsidRPr="00F35DE4">
        <w:t xml:space="preserve">“SUPER PHENIX reactor block </w:t>
      </w:r>
      <w:r w:rsidR="000B1CAD" w:rsidRPr="00F35DE4">
        <w:t>thermal hydraulic</w:t>
      </w:r>
      <w:r w:rsidRPr="00F35DE4">
        <w:t xml:space="preserve"> behaviour comparison between calculat</w:t>
      </w:r>
      <w:r w:rsidRPr="00377530">
        <w:t>ions and ex</w:t>
      </w:r>
      <w:r w:rsidRPr="008604A5">
        <w:t xml:space="preserve">perimental results”, </w:t>
      </w:r>
      <w:r>
        <w:t xml:space="preserve">presented </w:t>
      </w:r>
      <w:r w:rsidRPr="00F35DE4">
        <w:t>10</w:t>
      </w:r>
      <w:r w:rsidRPr="00377530">
        <w:rPr>
          <w:vertAlign w:val="superscript"/>
        </w:rPr>
        <w:t>th</w:t>
      </w:r>
      <w:r w:rsidRPr="008604A5">
        <w:t xml:space="preserve"> International Conference on Structural Mechanics in Reactor Technology, Lyon, </w:t>
      </w:r>
      <w:r>
        <w:t>(</w:t>
      </w:r>
      <w:r w:rsidRPr="00F35DE4">
        <w:t>1989</w:t>
      </w:r>
      <w:r>
        <w:t>)</w:t>
      </w:r>
      <w:r w:rsidRPr="00F35DE4">
        <w:t>.</w:t>
      </w:r>
    </w:p>
    <w:p w:rsidR="00237B0D" w:rsidRPr="00FD08C9" w:rsidRDefault="00237B0D" w:rsidP="00237B0D">
      <w:pPr>
        <w:pStyle w:val="Referencelist"/>
      </w:pPr>
      <w:r w:rsidRPr="008604A5">
        <w:rPr>
          <w:color w:val="000000"/>
          <w:lang w:eastAsia="en-GB"/>
        </w:rPr>
        <w:t>BIRD, R.B., STEWART, W.E., LIGHTFOOT E.N., TRANSPORT PHENOMENA, Second Edition, John Wiley and Sons, Inc., New York, U.S.A. (2006).</w:t>
      </w:r>
    </w:p>
    <w:p w:rsidR="00FD08C9" w:rsidRPr="008604A5" w:rsidRDefault="00FD08C9" w:rsidP="00FD08C9">
      <w:pPr>
        <w:pStyle w:val="Referencelist"/>
      </w:pPr>
      <w:r w:rsidRPr="008604A5">
        <w:t>PATANKAR, S.V., NUMERICAL HEAT TRANSFER AND FLUID FLOW, First Edition, CRC Press, Boca Raton, U.S.A. (1980).</w:t>
      </w:r>
    </w:p>
    <w:p w:rsidR="00237B0D" w:rsidRDefault="00237B0D" w:rsidP="00237B0D">
      <w:pPr>
        <w:pStyle w:val="Referencelist"/>
      </w:pPr>
      <w:r w:rsidRPr="00C747FC">
        <w:t xml:space="preserve">HEMANATH, M.G., MEIKANDAMURTHY, C., </w:t>
      </w:r>
      <w:r w:rsidR="00DD6BA2">
        <w:t xml:space="preserve">NATURAL CONVECTION IN THE ANNULUS MODEL (WITHOUT SODIUM AEROSOL), Internal Report, Indira Gandhi Centre for Atomic Research, Kalpakkam, </w:t>
      </w:r>
      <w:r w:rsidRPr="00C747FC">
        <w:t>200</w:t>
      </w:r>
      <w:r w:rsidR="00DD6BA2">
        <w:t>5</w:t>
      </w:r>
      <w:r w:rsidRPr="00C747FC">
        <w:t>.</w:t>
      </w:r>
    </w:p>
    <w:p w:rsidR="00237B0D" w:rsidRPr="008604A5" w:rsidRDefault="00237B0D" w:rsidP="00237B0D">
      <w:pPr>
        <w:pStyle w:val="Referencelist"/>
      </w:pPr>
      <w:r w:rsidRPr="008604A5">
        <w:t>MODEST, M.F., RADIATIVE HEAT TRANSFER, Second Edition, Academic Press, San Diego, U.S.A. (2003)</w:t>
      </w:r>
    </w:p>
    <w:p w:rsidR="00A94197" w:rsidRDefault="00A94197">
      <w:pPr>
        <w:pStyle w:val="Referencelist"/>
        <w:numPr>
          <w:ilvl w:val="0"/>
          <w:numId w:val="0"/>
        </w:numPr>
        <w:ind w:left="360"/>
      </w:pPr>
    </w:p>
    <w:sectPr w:rsidR="00A94197" w:rsidSect="0026525A">
      <w:headerReference w:type="even" r:id="rId49"/>
      <w:headerReference w:type="default" r:id="rId50"/>
      <w:footerReference w:type="even" r:id="rId51"/>
      <w:footerReference w:type="default" r:id="rId52"/>
      <w:headerReference w:type="first" r:id="rId53"/>
      <w:footerReference w:type="first" r:id="rId54"/>
      <w:type w:val="oddPage"/>
      <w:pgSz w:w="11907" w:h="16840" w:code="9"/>
      <w:pgMar w:top="1440" w:right="1440" w:bottom="1440" w:left="1440" w:header="539" w:footer="964"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46A582" w15:done="0"/>
  <w15:commentEx w15:paraId="2188832A" w15:paraIdParent="0446A5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5E07" w16cex:dateUtc="2021-01-26T0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46A582" w16cid:durableId="23BA4DEF"/>
  <w16cid:commentId w16cid:paraId="2188832A" w16cid:durableId="23BA5E0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598" w:rsidRDefault="001E6598">
      <w:r>
        <w:separator/>
      </w:r>
    </w:p>
  </w:endnote>
  <w:endnote w:type="continuationSeparator" w:id="0">
    <w:p w:rsidR="001E6598" w:rsidRDefault="001E65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18" w:rsidRDefault="00E83889">
    <w:pPr>
      <w:pStyle w:val="zyxClassification1"/>
    </w:pPr>
    <w:r>
      <w:fldChar w:fldCharType="begin"/>
    </w:r>
    <w:r w:rsidR="00026F18">
      <w:instrText xml:space="preserve"> DOCPROPERTY "IaeaClassification"  \* MERGEFORMAT </w:instrText>
    </w:r>
    <w:r>
      <w:fldChar w:fldCharType="end"/>
    </w:r>
  </w:p>
  <w:p w:rsidR="00026F18" w:rsidRDefault="00E83889">
    <w:pPr>
      <w:pStyle w:val="zyxClassification2"/>
    </w:pPr>
    <w:r>
      <w:fldChar w:fldCharType="begin"/>
    </w:r>
    <w:r w:rsidR="00026F18">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18" w:rsidRDefault="00E83889">
    <w:pPr>
      <w:pStyle w:val="zyxClassification1"/>
    </w:pPr>
    <w:r>
      <w:fldChar w:fldCharType="begin"/>
    </w:r>
    <w:r w:rsidR="00026F18">
      <w:instrText xml:space="preserve"> DOCPROPERTY "IaeaClassification"  \* MERGEFORMAT </w:instrText>
    </w:r>
    <w:r>
      <w:fldChar w:fldCharType="end"/>
    </w:r>
  </w:p>
  <w:p w:rsidR="00026F18" w:rsidRPr="00037321" w:rsidRDefault="00E8388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26F18"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F359A">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026F18"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026F18">
      <w:trPr>
        <w:cantSplit/>
      </w:trPr>
      <w:tc>
        <w:tcPr>
          <w:tcW w:w="4644" w:type="dxa"/>
        </w:tcPr>
        <w:p w:rsidR="00026F18" w:rsidRDefault="00E83889">
          <w:pPr>
            <w:pStyle w:val="zyxDistribution"/>
            <w:framePr w:wrap="auto" w:vAnchor="margin" w:hAnchor="text" w:xAlign="left" w:yAlign="inline"/>
            <w:suppressOverlap w:val="0"/>
          </w:pPr>
          <w:r>
            <w:fldChar w:fldCharType="begin"/>
          </w:r>
          <w:r w:rsidR="00026F18">
            <w:instrText xml:space="preserve"> DOCPROPERTY "IaeaDistribution"  \* MERGEFORMAT </w:instrText>
          </w:r>
          <w:r>
            <w:fldChar w:fldCharType="end"/>
          </w:r>
        </w:p>
        <w:p w:rsidR="00026F18" w:rsidRDefault="00E83889">
          <w:pPr>
            <w:pStyle w:val="zyxSensitivity"/>
            <w:framePr w:wrap="auto" w:vAnchor="margin" w:hAnchor="text" w:xAlign="left" w:yAlign="inline"/>
            <w:suppressOverlap w:val="0"/>
          </w:pPr>
          <w:r>
            <w:fldChar w:fldCharType="begin"/>
          </w:r>
          <w:r w:rsidR="00026F18">
            <w:instrText xml:space="preserve"> DOCPROPERTY "IaeaSensitivity"  \* MERGEFORMAT </w:instrText>
          </w:r>
          <w:r>
            <w:fldChar w:fldCharType="end"/>
          </w:r>
        </w:p>
      </w:tc>
      <w:bookmarkStart w:id="2" w:name="DOC_bkmClassification2"/>
      <w:tc>
        <w:tcPr>
          <w:tcW w:w="5670" w:type="dxa"/>
          <w:tcMar>
            <w:right w:w="249" w:type="dxa"/>
          </w:tcMar>
        </w:tcPr>
        <w:p w:rsidR="00026F18" w:rsidRDefault="00E83889">
          <w:pPr>
            <w:pStyle w:val="zyxConfidBlack"/>
            <w:framePr w:wrap="auto" w:vAnchor="margin" w:hAnchor="text" w:xAlign="left" w:yAlign="inline"/>
            <w:suppressOverlap w:val="0"/>
          </w:pPr>
          <w:r>
            <w:fldChar w:fldCharType="begin"/>
          </w:r>
          <w:r w:rsidR="00026F18">
            <w:instrText xml:space="preserve"> DOCPROPERTY "IaeaClassification"  \* MERGEFORMAT </w:instrText>
          </w:r>
          <w:r>
            <w:fldChar w:fldCharType="end"/>
          </w:r>
          <w:bookmarkEnd w:id="2"/>
        </w:p>
        <w:p w:rsidR="00026F18" w:rsidRDefault="00E83889">
          <w:pPr>
            <w:spacing w:after="20" w:line="220" w:lineRule="exact"/>
            <w:jc w:val="right"/>
            <w:rPr>
              <w:rFonts w:ascii="Arial" w:hAnsi="Arial" w:cs="Arial"/>
              <w:color w:val="FF0000"/>
            </w:rPr>
          </w:pPr>
          <w:r>
            <w:rPr>
              <w:rFonts w:ascii="Arial" w:hAnsi="Arial"/>
              <w:b/>
            </w:rPr>
            <w:fldChar w:fldCharType="begin"/>
          </w:r>
          <w:r w:rsidR="00026F18">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026F18">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026F18" w:rsidRDefault="00E83889">
    <w:r>
      <w:rPr>
        <w:sz w:val="16"/>
      </w:rPr>
      <w:fldChar w:fldCharType="begin"/>
    </w:r>
    <w:r w:rsidR="00026F18">
      <w:rPr>
        <w:sz w:val="16"/>
      </w:rPr>
      <w:instrText xml:space="preserve"> FILENAME \* MERGEFORMAT </w:instrText>
    </w:r>
    <w:r>
      <w:rPr>
        <w:sz w:val="16"/>
      </w:rPr>
      <w:fldChar w:fldCharType="separate"/>
    </w:r>
    <w:r w:rsidR="00026F18">
      <w:rPr>
        <w:noProof/>
        <w:sz w:val="16"/>
      </w:rPr>
      <w:t>TEMPLATE_CN291-IDNUMBER.docx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598" w:rsidRDefault="001E6598">
      <w:r>
        <w:t>___________________________________________________________________________</w:t>
      </w:r>
    </w:p>
  </w:footnote>
  <w:footnote w:type="continuationSeparator" w:id="0">
    <w:p w:rsidR="001E6598" w:rsidRDefault="001E6598">
      <w:r>
        <w:t>___________________________________________________________________________</w:t>
      </w:r>
    </w:p>
  </w:footnote>
  <w:footnote w:type="continuationNotice" w:id="1">
    <w:p w:rsidR="001E6598" w:rsidRDefault="001E659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18" w:rsidRPr="00F1572E" w:rsidRDefault="00026F18" w:rsidP="00F1572E">
    <w:pPr>
      <w:pStyle w:val="Runninghead"/>
    </w:pPr>
    <w:r>
      <w:tab/>
      <w:t>IAEA-CN-291/375</w:t>
    </w:r>
  </w:p>
  <w:p w:rsidR="00026F18" w:rsidRDefault="00026F18" w:rsidP="00CF7AF3">
    <w:pPr>
      <w:pStyle w:val="zyxClassification1"/>
      <w:tabs>
        <w:tab w:val="left" w:pos="3956"/>
        <w:tab w:val="right" w:pos="9071"/>
      </w:tabs>
      <w:jc w:val="left"/>
    </w:pPr>
    <w:r>
      <w:tab/>
    </w:r>
    <w:r w:rsidR="00E83889">
      <w:fldChar w:fldCharType="begin"/>
    </w:r>
    <w:r>
      <w:instrText xml:space="preserve"> DOCPROPERTY "IaeaClassification"  \* MERGEFORMAT </w:instrText>
    </w:r>
    <w:r w:rsidR="00E83889">
      <w:fldChar w:fldCharType="end"/>
    </w:r>
  </w:p>
  <w:p w:rsidR="00026F18" w:rsidRDefault="00E83889">
    <w:pPr>
      <w:pStyle w:val="zyxClassification2"/>
    </w:pPr>
    <w:r>
      <w:fldChar w:fldCharType="begin"/>
    </w:r>
    <w:r w:rsidR="00026F18">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18" w:rsidRPr="00F1572E" w:rsidRDefault="00026F18" w:rsidP="00F1572E">
    <w:pPr>
      <w:pStyle w:val="Runninghead"/>
      <w:rPr>
        <w:color w:val="BFBFBF"/>
      </w:rPr>
    </w:pPr>
    <w:r>
      <w:t>K. CHATURVEDI et al.</w:t>
    </w:r>
  </w:p>
  <w:p w:rsidR="00026F18" w:rsidRPr="00F1572E" w:rsidRDefault="00026F18" w:rsidP="00037321">
    <w:pPr>
      <w:jc w:val="center"/>
      <w:rPr>
        <w:color w:val="BFBFBF"/>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026F18">
      <w:trPr>
        <w:cantSplit/>
        <w:trHeight w:val="716"/>
      </w:trPr>
      <w:tc>
        <w:tcPr>
          <w:tcW w:w="979" w:type="dxa"/>
          <w:vMerge w:val="restart"/>
        </w:tcPr>
        <w:p w:rsidR="00026F18" w:rsidRDefault="00026F18">
          <w:pPr>
            <w:spacing w:before="180"/>
            <w:ind w:left="17"/>
          </w:pPr>
        </w:p>
      </w:tc>
      <w:tc>
        <w:tcPr>
          <w:tcW w:w="3638" w:type="dxa"/>
          <w:vAlign w:val="bottom"/>
        </w:tcPr>
        <w:p w:rsidR="00026F18" w:rsidRDefault="00026F18">
          <w:pPr>
            <w:spacing w:after="20"/>
          </w:pPr>
        </w:p>
      </w:tc>
      <w:bookmarkStart w:id="1" w:name="DOC_bkmClassification1"/>
      <w:tc>
        <w:tcPr>
          <w:tcW w:w="5702" w:type="dxa"/>
          <w:vMerge w:val="restart"/>
          <w:tcMar>
            <w:right w:w="193" w:type="dxa"/>
          </w:tcMar>
        </w:tcPr>
        <w:p w:rsidR="00026F18" w:rsidRDefault="00E83889">
          <w:pPr>
            <w:pStyle w:val="zyxConfidBlack"/>
            <w:framePr w:wrap="auto" w:vAnchor="margin" w:hAnchor="text" w:xAlign="left" w:yAlign="inline"/>
            <w:suppressOverlap w:val="0"/>
          </w:pPr>
          <w:r>
            <w:fldChar w:fldCharType="begin"/>
          </w:r>
          <w:r w:rsidR="00026F18">
            <w:instrText xml:space="preserve"> DOCPROPERTY "IaeaClassification"  \* MERGEFORMAT </w:instrText>
          </w:r>
          <w:r>
            <w:fldChar w:fldCharType="end"/>
          </w:r>
          <w:bookmarkEnd w:id="1"/>
        </w:p>
        <w:p w:rsidR="00026F18" w:rsidRDefault="00E83889">
          <w:pPr>
            <w:pStyle w:val="zyxConfid2Red"/>
          </w:pPr>
          <w:r>
            <w:fldChar w:fldCharType="begin"/>
          </w:r>
          <w:r w:rsidR="00026F18">
            <w:instrText>DOCPROPERTY "IaeaClassification2"  \* MERGEFORMAT</w:instrText>
          </w:r>
          <w:r>
            <w:fldChar w:fldCharType="end"/>
          </w:r>
        </w:p>
      </w:tc>
    </w:tr>
    <w:tr w:rsidR="00026F18">
      <w:trPr>
        <w:cantSplit/>
        <w:trHeight w:val="167"/>
      </w:trPr>
      <w:tc>
        <w:tcPr>
          <w:tcW w:w="979" w:type="dxa"/>
          <w:vMerge/>
        </w:tcPr>
        <w:p w:rsidR="00026F18" w:rsidRDefault="00026F18">
          <w:pPr>
            <w:spacing w:before="57"/>
          </w:pPr>
        </w:p>
      </w:tc>
      <w:tc>
        <w:tcPr>
          <w:tcW w:w="3638" w:type="dxa"/>
          <w:vAlign w:val="bottom"/>
        </w:tcPr>
        <w:p w:rsidR="00026F18" w:rsidRDefault="00026F18">
          <w:pPr>
            <w:pStyle w:val="Heading9"/>
            <w:spacing w:before="0" w:after="10"/>
          </w:pPr>
        </w:p>
      </w:tc>
      <w:tc>
        <w:tcPr>
          <w:tcW w:w="5702" w:type="dxa"/>
          <w:vMerge/>
          <w:vAlign w:val="bottom"/>
        </w:tcPr>
        <w:p w:rsidR="00026F18" w:rsidRDefault="00026F18">
          <w:pPr>
            <w:pStyle w:val="Heading9"/>
            <w:spacing w:before="0" w:after="10"/>
          </w:pPr>
        </w:p>
      </w:tc>
    </w:tr>
  </w:tbl>
  <w:p w:rsidR="00026F18" w:rsidRDefault="00026F1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6ED"/>
    <w:multiLevelType w:val="hybridMultilevel"/>
    <w:tmpl w:val="646025CC"/>
    <w:lvl w:ilvl="0" w:tplc="40090017">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nsid w:val="100F4A48"/>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4">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92B447B"/>
    <w:multiLevelType w:val="multilevel"/>
    <w:tmpl w:val="0809001F"/>
    <w:name w:val="HeadingTemplat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6046B1"/>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9">
    <w:nsid w:val="213113A9"/>
    <w:multiLevelType w:val="hybridMultilevel"/>
    <w:tmpl w:val="2CD67B58"/>
    <w:lvl w:ilvl="0" w:tplc="68AE6424">
      <w:start w:val="1"/>
      <w:numFmt w:val="decimal"/>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0">
    <w:nsid w:val="259571D4"/>
    <w:multiLevelType w:val="multilevel"/>
    <w:tmpl w:val="529219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EF53B9D"/>
    <w:multiLevelType w:val="hybridMultilevel"/>
    <w:tmpl w:val="5E740602"/>
    <w:name w:val="HeadingTemplate2222"/>
    <w:lvl w:ilvl="0" w:tplc="9D904CD8">
      <w:start w:val="1"/>
      <w:numFmt w:val="decimal"/>
      <w:lvlText w:val="4.2.%1."/>
      <w:lvlJc w:val="left"/>
      <w:pPr>
        <w:ind w:left="567" w:hanging="567"/>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EF288C"/>
    <w:multiLevelType w:val="hybridMultilevel"/>
    <w:tmpl w:val="5EF6886E"/>
    <w:lvl w:ilvl="0" w:tplc="0DD290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4">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9E3D8E"/>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nsid w:val="47B07C5E"/>
    <w:multiLevelType w:val="hybridMultilevel"/>
    <w:tmpl w:val="646025CC"/>
    <w:lvl w:ilvl="0" w:tplc="40090017">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1727BA"/>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nsid w:val="64611B00"/>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nsid w:val="6D1750BD"/>
    <w:multiLevelType w:val="multilevel"/>
    <w:tmpl w:val="4A92307C"/>
    <w:lvl w:ilvl="0">
      <w:start w:val="4"/>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FD51093"/>
    <w:multiLevelType w:val="multilevel"/>
    <w:tmpl w:val="1DC0D01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lvlText w:val="%1%2."/>
      <w:lvlJc w:val="left"/>
      <w:pPr>
        <w:ind w:left="0" w:firstLine="0"/>
      </w:pPr>
      <w:rPr>
        <w:rFonts w:hint="default"/>
        <w:color w:val="auto"/>
      </w:rPr>
    </w:lvl>
    <w:lvl w:ilvl="2">
      <w:start w:val="1"/>
      <w:numFmt w:val="decimal"/>
      <w:pStyle w:val="Heading3"/>
      <w:lvlText w:val="%1%2.%3."/>
      <w:lvlJc w:val="left"/>
      <w:pPr>
        <w:ind w:left="0" w:firstLine="0"/>
      </w:pPr>
      <w:rPr>
        <w:rFonts w:hint="default"/>
      </w:rPr>
    </w:lvl>
    <w:lvl w:ilvl="3">
      <w:start w:val="1"/>
      <w:numFmt w:val="none"/>
      <w:lvlRestart w:val="0"/>
      <w:pStyle w:val="Heading4"/>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7"/>
  </w:num>
  <w:num w:numId="2">
    <w:abstractNumId w:val="7"/>
  </w:num>
  <w:num w:numId="3">
    <w:abstractNumId w:val="23"/>
  </w:num>
  <w:num w:numId="4">
    <w:abstractNumId w:val="23"/>
  </w:num>
  <w:num w:numId="5">
    <w:abstractNumId w:val="23"/>
  </w:num>
  <w:num w:numId="6">
    <w:abstractNumId w:val="13"/>
  </w:num>
  <w:num w:numId="7">
    <w:abstractNumId w:val="18"/>
  </w:num>
  <w:num w:numId="8">
    <w:abstractNumId w:val="24"/>
  </w:num>
  <w:num w:numId="9">
    <w:abstractNumId w:val="2"/>
  </w:num>
  <w:num w:numId="10">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3"/>
  </w:num>
  <w:num w:numId="12">
    <w:abstractNumId w:val="23"/>
  </w:num>
  <w:num w:numId="13">
    <w:abstractNumId w:val="23"/>
  </w:num>
  <w:num w:numId="14">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3"/>
  </w:num>
  <w:num w:numId="16">
    <w:abstractNumId w:val="23"/>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4"/>
  </w:num>
  <w:num w:numId="21">
    <w:abstractNumId w:val="23"/>
  </w:num>
  <w:num w:numId="22">
    <w:abstractNumId w:val="6"/>
  </w:num>
  <w:num w:numId="23">
    <w:abstractNumId w:val="1"/>
  </w:num>
  <w:num w:numId="24">
    <w:abstractNumId w:val="22"/>
  </w:num>
  <w:num w:numId="25">
    <w:abstractNumId w:val="23"/>
  </w:num>
  <w:num w:numId="26">
    <w:abstractNumId w:val="23"/>
  </w:num>
  <w:num w:numId="27">
    <w:abstractNumId w:val="23"/>
  </w:num>
  <w:num w:numId="28">
    <w:abstractNumId w:val="23"/>
  </w:num>
  <w:num w:numId="29">
    <w:abstractNumId w:val="23"/>
  </w:num>
  <w:num w:numId="30">
    <w:abstractNumId w:val="14"/>
  </w:num>
  <w:num w:numId="31">
    <w:abstractNumId w:val="14"/>
  </w:num>
  <w:num w:numId="32">
    <w:abstractNumId w:val="23"/>
  </w:num>
  <w:num w:numId="33">
    <w:abstractNumId w:val="15"/>
  </w:num>
  <w:num w:numId="34">
    <w:abstractNumId w:val="19"/>
  </w:num>
  <w:num w:numId="35">
    <w:abstractNumId w:val="20"/>
  </w:num>
  <w:num w:numId="36">
    <w:abstractNumId w:val="5"/>
  </w:num>
  <w:num w:numId="37">
    <w:abstractNumId w:val="8"/>
  </w:num>
  <w:num w:numId="38">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9">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40">
    <w:abstractNumId w:val="3"/>
  </w:num>
  <w:num w:numId="41">
    <w:abstractNumId w:val="11"/>
  </w:num>
  <w:num w:numId="42">
    <w:abstractNumId w:val="16"/>
  </w:num>
  <w:num w:numId="43">
    <w:abstractNumId w:val="9"/>
  </w:num>
  <w:num w:numId="44">
    <w:abstractNumId w:val="0"/>
  </w:num>
  <w:num w:numId="45">
    <w:abstractNumId w:val="12"/>
  </w:num>
  <w:num w:numId="46">
    <w:abstractNumId w:val="21"/>
  </w:num>
  <w:num w:numId="4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nha Chaturvedi">
    <w15:presenceInfo w15:providerId="Windows Live" w15:userId="3b27a66e3aa678c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0" w:nlCheck="1" w:checkStyle="0"/>
  <w:activeWritingStyle w:appName="MSWord" w:lang="en-IN" w:vendorID="64" w:dllVersion="6" w:nlCheck="1" w:checkStyle="1"/>
  <w:activeWritingStyle w:appName="MSWord" w:lang="en-US" w:vendorID="64" w:dllVersion="131078" w:nlCheck="1" w:checkStyle="1"/>
  <w:activeWritingStyle w:appName="MSWord" w:lang="en-GB" w:vendorID="64" w:dllVersion="131078" w:nlCheck="1" w:checkStyle="1"/>
  <w:proofState w:spelling="clean"/>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7169"/>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2408"/>
    <w:rsid w:val="000229AB"/>
    <w:rsid w:val="0002569A"/>
    <w:rsid w:val="00026F18"/>
    <w:rsid w:val="00037321"/>
    <w:rsid w:val="00040EEE"/>
    <w:rsid w:val="00041C62"/>
    <w:rsid w:val="00042B73"/>
    <w:rsid w:val="00044E38"/>
    <w:rsid w:val="000645E8"/>
    <w:rsid w:val="0007551F"/>
    <w:rsid w:val="000A0299"/>
    <w:rsid w:val="000A1742"/>
    <w:rsid w:val="000B1CAD"/>
    <w:rsid w:val="000B418A"/>
    <w:rsid w:val="000D1F45"/>
    <w:rsid w:val="000E7A47"/>
    <w:rsid w:val="000F7E94"/>
    <w:rsid w:val="0011129D"/>
    <w:rsid w:val="001119D6"/>
    <w:rsid w:val="00115128"/>
    <w:rsid w:val="0012328D"/>
    <w:rsid w:val="00126407"/>
    <w:rsid w:val="001308F2"/>
    <w:rsid w:val="001313E8"/>
    <w:rsid w:val="00146030"/>
    <w:rsid w:val="001725B9"/>
    <w:rsid w:val="00184878"/>
    <w:rsid w:val="0018588A"/>
    <w:rsid w:val="001B61C4"/>
    <w:rsid w:val="001C58F5"/>
    <w:rsid w:val="001D277E"/>
    <w:rsid w:val="001D5CEE"/>
    <w:rsid w:val="001E42AB"/>
    <w:rsid w:val="001E6598"/>
    <w:rsid w:val="001F5715"/>
    <w:rsid w:val="00205D27"/>
    <w:rsid w:val="00206356"/>
    <w:rsid w:val="002071D9"/>
    <w:rsid w:val="00214F9A"/>
    <w:rsid w:val="00224C63"/>
    <w:rsid w:val="002366CE"/>
    <w:rsid w:val="00237B0D"/>
    <w:rsid w:val="0024403A"/>
    <w:rsid w:val="00245870"/>
    <w:rsid w:val="00255415"/>
    <w:rsid w:val="00256822"/>
    <w:rsid w:val="00261A2A"/>
    <w:rsid w:val="00264F08"/>
    <w:rsid w:val="0026525A"/>
    <w:rsid w:val="00266BC7"/>
    <w:rsid w:val="002726DE"/>
    <w:rsid w:val="00274790"/>
    <w:rsid w:val="002752AF"/>
    <w:rsid w:val="00281537"/>
    <w:rsid w:val="0028446D"/>
    <w:rsid w:val="00285755"/>
    <w:rsid w:val="00285BBF"/>
    <w:rsid w:val="002A1F9C"/>
    <w:rsid w:val="002B29C2"/>
    <w:rsid w:val="002C4208"/>
    <w:rsid w:val="002E513B"/>
    <w:rsid w:val="002F359A"/>
    <w:rsid w:val="002F445B"/>
    <w:rsid w:val="002F655A"/>
    <w:rsid w:val="00302E5B"/>
    <w:rsid w:val="00303019"/>
    <w:rsid w:val="0030440D"/>
    <w:rsid w:val="00322371"/>
    <w:rsid w:val="00330F2C"/>
    <w:rsid w:val="00342015"/>
    <w:rsid w:val="00344A94"/>
    <w:rsid w:val="00345626"/>
    <w:rsid w:val="00352DE1"/>
    <w:rsid w:val="003615FA"/>
    <w:rsid w:val="00365035"/>
    <w:rsid w:val="00367FC9"/>
    <w:rsid w:val="003728E6"/>
    <w:rsid w:val="003870CC"/>
    <w:rsid w:val="00393D76"/>
    <w:rsid w:val="003A268F"/>
    <w:rsid w:val="003A58E6"/>
    <w:rsid w:val="003B2794"/>
    <w:rsid w:val="003B5E0E"/>
    <w:rsid w:val="003C38E5"/>
    <w:rsid w:val="003D255A"/>
    <w:rsid w:val="003D6FC2"/>
    <w:rsid w:val="003F408B"/>
    <w:rsid w:val="003F556B"/>
    <w:rsid w:val="003F64B6"/>
    <w:rsid w:val="00411E74"/>
    <w:rsid w:val="00416949"/>
    <w:rsid w:val="00420BF1"/>
    <w:rsid w:val="00431745"/>
    <w:rsid w:val="004323FE"/>
    <w:rsid w:val="004370D8"/>
    <w:rsid w:val="00440270"/>
    <w:rsid w:val="004460C2"/>
    <w:rsid w:val="00463A96"/>
    <w:rsid w:val="00472C43"/>
    <w:rsid w:val="004836C2"/>
    <w:rsid w:val="00492682"/>
    <w:rsid w:val="004A26C4"/>
    <w:rsid w:val="004F07B8"/>
    <w:rsid w:val="004F3B5C"/>
    <w:rsid w:val="004F705C"/>
    <w:rsid w:val="00525DBB"/>
    <w:rsid w:val="00537496"/>
    <w:rsid w:val="00540739"/>
    <w:rsid w:val="005443C8"/>
    <w:rsid w:val="00544ED3"/>
    <w:rsid w:val="0055009A"/>
    <w:rsid w:val="00553A6D"/>
    <w:rsid w:val="00554AB9"/>
    <w:rsid w:val="00554D45"/>
    <w:rsid w:val="0057126F"/>
    <w:rsid w:val="0057686A"/>
    <w:rsid w:val="005811C5"/>
    <w:rsid w:val="0058477B"/>
    <w:rsid w:val="0058654F"/>
    <w:rsid w:val="005947E7"/>
    <w:rsid w:val="00596ACA"/>
    <w:rsid w:val="005A29C7"/>
    <w:rsid w:val="005A4F1D"/>
    <w:rsid w:val="005D577E"/>
    <w:rsid w:val="005E1BC5"/>
    <w:rsid w:val="005E39BC"/>
    <w:rsid w:val="005F00A0"/>
    <w:rsid w:val="005F790D"/>
    <w:rsid w:val="006025D8"/>
    <w:rsid w:val="006050C0"/>
    <w:rsid w:val="0060588D"/>
    <w:rsid w:val="00617530"/>
    <w:rsid w:val="00621900"/>
    <w:rsid w:val="00621FBA"/>
    <w:rsid w:val="006266D9"/>
    <w:rsid w:val="00637EF5"/>
    <w:rsid w:val="00640F70"/>
    <w:rsid w:val="00647F33"/>
    <w:rsid w:val="00652219"/>
    <w:rsid w:val="00662532"/>
    <w:rsid w:val="00680012"/>
    <w:rsid w:val="006A0520"/>
    <w:rsid w:val="006B2274"/>
    <w:rsid w:val="006D21B3"/>
    <w:rsid w:val="006D2915"/>
    <w:rsid w:val="007049EE"/>
    <w:rsid w:val="00710573"/>
    <w:rsid w:val="00715ACE"/>
    <w:rsid w:val="00716AA7"/>
    <w:rsid w:val="00717C6F"/>
    <w:rsid w:val="0072118B"/>
    <w:rsid w:val="00737637"/>
    <w:rsid w:val="007445DA"/>
    <w:rsid w:val="0075337A"/>
    <w:rsid w:val="00755499"/>
    <w:rsid w:val="007578AE"/>
    <w:rsid w:val="00765548"/>
    <w:rsid w:val="007733FD"/>
    <w:rsid w:val="00784572"/>
    <w:rsid w:val="007A7ED3"/>
    <w:rsid w:val="007B4FD1"/>
    <w:rsid w:val="007C4F16"/>
    <w:rsid w:val="007D3869"/>
    <w:rsid w:val="007D5063"/>
    <w:rsid w:val="007D7270"/>
    <w:rsid w:val="00802381"/>
    <w:rsid w:val="008044C4"/>
    <w:rsid w:val="008219F4"/>
    <w:rsid w:val="00843A94"/>
    <w:rsid w:val="00844451"/>
    <w:rsid w:val="00863DE9"/>
    <w:rsid w:val="00883848"/>
    <w:rsid w:val="00892A4A"/>
    <w:rsid w:val="00893B37"/>
    <w:rsid w:val="00897ED5"/>
    <w:rsid w:val="008A6847"/>
    <w:rsid w:val="008B6BB9"/>
    <w:rsid w:val="008C5844"/>
    <w:rsid w:val="008C6560"/>
    <w:rsid w:val="008F5FA4"/>
    <w:rsid w:val="009027BF"/>
    <w:rsid w:val="009033D4"/>
    <w:rsid w:val="0091035D"/>
    <w:rsid w:val="00911543"/>
    <w:rsid w:val="00914C79"/>
    <w:rsid w:val="00942836"/>
    <w:rsid w:val="009519C9"/>
    <w:rsid w:val="00970C8E"/>
    <w:rsid w:val="0098298F"/>
    <w:rsid w:val="00982FB6"/>
    <w:rsid w:val="00985839"/>
    <w:rsid w:val="009A57D6"/>
    <w:rsid w:val="009C2792"/>
    <w:rsid w:val="009D09EA"/>
    <w:rsid w:val="009D0B86"/>
    <w:rsid w:val="009D29B0"/>
    <w:rsid w:val="009D31CD"/>
    <w:rsid w:val="009E079F"/>
    <w:rsid w:val="009E0D5B"/>
    <w:rsid w:val="009E1558"/>
    <w:rsid w:val="009E7718"/>
    <w:rsid w:val="009E7DE8"/>
    <w:rsid w:val="00A00A9E"/>
    <w:rsid w:val="00A42898"/>
    <w:rsid w:val="00A42C06"/>
    <w:rsid w:val="00A56827"/>
    <w:rsid w:val="00A626B9"/>
    <w:rsid w:val="00A62788"/>
    <w:rsid w:val="00A94197"/>
    <w:rsid w:val="00A94AA6"/>
    <w:rsid w:val="00AB23FF"/>
    <w:rsid w:val="00AB2B2B"/>
    <w:rsid w:val="00AB4FFD"/>
    <w:rsid w:val="00AB6ACE"/>
    <w:rsid w:val="00AC5A3A"/>
    <w:rsid w:val="00AE4436"/>
    <w:rsid w:val="00AF7760"/>
    <w:rsid w:val="00B06ECF"/>
    <w:rsid w:val="00B104B1"/>
    <w:rsid w:val="00B205C6"/>
    <w:rsid w:val="00B21A33"/>
    <w:rsid w:val="00B22F99"/>
    <w:rsid w:val="00B4559A"/>
    <w:rsid w:val="00B529A5"/>
    <w:rsid w:val="00B82FA5"/>
    <w:rsid w:val="00BA5B9E"/>
    <w:rsid w:val="00BA76CF"/>
    <w:rsid w:val="00BB1133"/>
    <w:rsid w:val="00BB1A94"/>
    <w:rsid w:val="00BD1400"/>
    <w:rsid w:val="00BD605C"/>
    <w:rsid w:val="00BD62AC"/>
    <w:rsid w:val="00BE2A76"/>
    <w:rsid w:val="00BE79D5"/>
    <w:rsid w:val="00BE7C4A"/>
    <w:rsid w:val="00BF150E"/>
    <w:rsid w:val="00C03AF6"/>
    <w:rsid w:val="00C04922"/>
    <w:rsid w:val="00C04B23"/>
    <w:rsid w:val="00C065B9"/>
    <w:rsid w:val="00C114B2"/>
    <w:rsid w:val="00C17322"/>
    <w:rsid w:val="00C26D69"/>
    <w:rsid w:val="00C31769"/>
    <w:rsid w:val="00C41F86"/>
    <w:rsid w:val="00C4451F"/>
    <w:rsid w:val="00C51C5F"/>
    <w:rsid w:val="00C535F3"/>
    <w:rsid w:val="00C64B41"/>
    <w:rsid w:val="00C65E60"/>
    <w:rsid w:val="00C73C00"/>
    <w:rsid w:val="00C80184"/>
    <w:rsid w:val="00C829F3"/>
    <w:rsid w:val="00C955CD"/>
    <w:rsid w:val="00CB0C97"/>
    <w:rsid w:val="00CB218A"/>
    <w:rsid w:val="00CC0DE5"/>
    <w:rsid w:val="00CE2B55"/>
    <w:rsid w:val="00CE5A52"/>
    <w:rsid w:val="00CF57A9"/>
    <w:rsid w:val="00CF7AF3"/>
    <w:rsid w:val="00D03BF5"/>
    <w:rsid w:val="00D16A8E"/>
    <w:rsid w:val="00D21CF1"/>
    <w:rsid w:val="00D26ADA"/>
    <w:rsid w:val="00D35A78"/>
    <w:rsid w:val="00D5265A"/>
    <w:rsid w:val="00D548CB"/>
    <w:rsid w:val="00D555A1"/>
    <w:rsid w:val="00D629DA"/>
    <w:rsid w:val="00D64DC2"/>
    <w:rsid w:val="00D668B6"/>
    <w:rsid w:val="00D8473A"/>
    <w:rsid w:val="00D8727C"/>
    <w:rsid w:val="00DA1665"/>
    <w:rsid w:val="00DA2DB8"/>
    <w:rsid w:val="00DA46CA"/>
    <w:rsid w:val="00DB0C91"/>
    <w:rsid w:val="00DB201E"/>
    <w:rsid w:val="00DB24A4"/>
    <w:rsid w:val="00DD44AB"/>
    <w:rsid w:val="00DD6BA2"/>
    <w:rsid w:val="00DD7F8A"/>
    <w:rsid w:val="00DE7252"/>
    <w:rsid w:val="00DF21EB"/>
    <w:rsid w:val="00E04489"/>
    <w:rsid w:val="00E05814"/>
    <w:rsid w:val="00E119EF"/>
    <w:rsid w:val="00E13535"/>
    <w:rsid w:val="00E20E70"/>
    <w:rsid w:val="00E25B68"/>
    <w:rsid w:val="00E3433E"/>
    <w:rsid w:val="00E35BB1"/>
    <w:rsid w:val="00E458ED"/>
    <w:rsid w:val="00E506DF"/>
    <w:rsid w:val="00E533AA"/>
    <w:rsid w:val="00E75B22"/>
    <w:rsid w:val="00E77921"/>
    <w:rsid w:val="00E83889"/>
    <w:rsid w:val="00E84003"/>
    <w:rsid w:val="00E87865"/>
    <w:rsid w:val="00EC0DF7"/>
    <w:rsid w:val="00EC10FC"/>
    <w:rsid w:val="00EC75D5"/>
    <w:rsid w:val="00EE0041"/>
    <w:rsid w:val="00EE29B9"/>
    <w:rsid w:val="00EF23D6"/>
    <w:rsid w:val="00F004EE"/>
    <w:rsid w:val="00F047A8"/>
    <w:rsid w:val="00F1572E"/>
    <w:rsid w:val="00F21F61"/>
    <w:rsid w:val="00F33866"/>
    <w:rsid w:val="00F420AD"/>
    <w:rsid w:val="00F42CF3"/>
    <w:rsid w:val="00F42E23"/>
    <w:rsid w:val="00F45EEE"/>
    <w:rsid w:val="00F51E9C"/>
    <w:rsid w:val="00F523CA"/>
    <w:rsid w:val="00F74A9D"/>
    <w:rsid w:val="00F96DBB"/>
    <w:rsid w:val="00FB2432"/>
    <w:rsid w:val="00FC5E2F"/>
    <w:rsid w:val="00FC6FFD"/>
    <w:rsid w:val="00FD08C9"/>
    <w:rsid w:val="00FD5B7E"/>
    <w:rsid w:val="00FE2C76"/>
    <w:rsid w:val="00FF3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val="en-GB" w:eastAsia="en-US"/>
    </w:rPr>
  </w:style>
  <w:style w:type="paragraph" w:styleId="Heading1">
    <w:name w:val="heading 1"/>
    <w:aliases w:val="Paper title"/>
    <w:next w:val="Subtitle"/>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val="en-GB"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val="en-GB"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9D09EA"/>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9D09EA"/>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9D09EA"/>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9D09EA"/>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9D09EA"/>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val="en-GB" w:eastAsia="en-US"/>
    </w:rPr>
  </w:style>
  <w:style w:type="paragraph" w:styleId="BodyTextIndent">
    <w:name w:val="Body Text Indent"/>
    <w:basedOn w:val="BodyText"/>
    <w:uiPriority w:val="49"/>
    <w:locked/>
    <w:rsid w:val="009D09EA"/>
    <w:pPr>
      <w:ind w:left="1134" w:hanging="675"/>
    </w:pPr>
  </w:style>
  <w:style w:type="paragraph" w:customStyle="1" w:styleId="BodyTextMultiline">
    <w:name w:val="Body Text Multiline"/>
    <w:basedOn w:val="BodyText"/>
    <w:locked/>
    <w:rsid w:val="009D09EA"/>
    <w:pPr>
      <w:numPr>
        <w:numId w:val="1"/>
      </w:numPr>
    </w:pPr>
  </w:style>
  <w:style w:type="paragraph" w:customStyle="1" w:styleId="BodyTextSummary">
    <w:name w:val="Body Text Summary"/>
    <w:uiPriority w:val="49"/>
    <w:locked/>
    <w:rsid w:val="009D09EA"/>
    <w:pPr>
      <w:numPr>
        <w:numId w:val="2"/>
      </w:numPr>
      <w:tabs>
        <w:tab w:val="clear" w:pos="720"/>
      </w:tabs>
      <w:spacing w:after="170" w:line="280" w:lineRule="atLeast"/>
      <w:ind w:left="572" w:hanging="459"/>
      <w:jc w:val="both"/>
    </w:pPr>
    <w:rPr>
      <w:sz w:val="22"/>
      <w:szCs w:val="22"/>
      <w:lang w:val="en-GB" w:eastAsia="en-US"/>
    </w:rPr>
  </w:style>
  <w:style w:type="paragraph" w:styleId="Caption">
    <w:name w:val="caption"/>
    <w:next w:val="Normal"/>
    <w:uiPriority w:val="49"/>
    <w:rsid w:val="009D09EA"/>
    <w:pPr>
      <w:spacing w:after="85"/>
    </w:pPr>
    <w:rPr>
      <w:bCs/>
      <w:sz w:val="18"/>
      <w:lang w:val="en-US" w:eastAsia="en-US"/>
    </w:rPr>
  </w:style>
  <w:style w:type="paragraph" w:styleId="Footer">
    <w:name w:val="footer"/>
    <w:basedOn w:val="Normal"/>
    <w:link w:val="FooterChar"/>
    <w:uiPriority w:val="99"/>
    <w:locked/>
    <w:rsid w:val="009D09EA"/>
    <w:pPr>
      <w:overflowPunct/>
      <w:autoSpaceDE/>
      <w:autoSpaceDN/>
      <w:adjustRightInd/>
      <w:textAlignment w:val="auto"/>
    </w:pPr>
    <w:rPr>
      <w:sz w:val="2"/>
      <w:lang w:val="en-US"/>
    </w:rPr>
  </w:style>
  <w:style w:type="paragraph" w:styleId="FootnoteText">
    <w:name w:val="footnote text"/>
    <w:semiHidden/>
    <w:locked/>
    <w:rsid w:val="009D09EA"/>
    <w:pPr>
      <w:tabs>
        <w:tab w:val="left" w:pos="459"/>
      </w:tabs>
      <w:spacing w:before="142"/>
      <w:ind w:left="459"/>
      <w:jc w:val="both"/>
    </w:pPr>
    <w:rPr>
      <w:sz w:val="18"/>
      <w:lang w:val="en-GB" w:eastAsia="en-US"/>
    </w:rPr>
  </w:style>
  <w:style w:type="paragraph" w:styleId="Header">
    <w:name w:val="header"/>
    <w:next w:val="BodyText"/>
    <w:uiPriority w:val="49"/>
    <w:locked/>
    <w:rsid w:val="009D09EA"/>
    <w:pPr>
      <w:spacing w:after="85"/>
    </w:pPr>
    <w:rPr>
      <w:sz w:val="18"/>
      <w:lang w:val="en-US" w:eastAsia="en-US"/>
    </w:rPr>
  </w:style>
  <w:style w:type="paragraph" w:customStyle="1" w:styleId="ListBulleted">
    <w:name w:val="List Bulleted"/>
    <w:uiPriority w:val="7"/>
    <w:qFormat/>
    <w:locked/>
    <w:rsid w:val="009D09EA"/>
    <w:pPr>
      <w:numPr>
        <w:numId w:val="6"/>
      </w:numPr>
      <w:tabs>
        <w:tab w:val="clear" w:pos="1179"/>
        <w:tab w:val="left" w:pos="919"/>
      </w:tabs>
      <w:ind w:left="918" w:right="1134" w:hanging="459"/>
      <w:jc w:val="both"/>
    </w:pPr>
    <w:rPr>
      <w:sz w:val="22"/>
      <w:lang w:val="en-GB"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9D09EA"/>
    <w:pPr>
      <w:widowControl w:val="0"/>
      <w:spacing w:line="440" w:lineRule="exact"/>
      <w:jc w:val="center"/>
      <w:outlineLvl w:val="0"/>
    </w:pPr>
    <w:rPr>
      <w:rFonts w:ascii="Arial" w:hAnsi="Arial" w:cs="Arial"/>
      <w:bCs/>
      <w:sz w:val="42"/>
      <w:szCs w:val="32"/>
      <w:lang w:val="en-GB" w:eastAsia="en-US"/>
    </w:rPr>
  </w:style>
  <w:style w:type="paragraph" w:customStyle="1" w:styleId="zyxConfid2Red">
    <w:name w:val="zyxConfid2Red"/>
    <w:basedOn w:val="Normal"/>
    <w:uiPriority w:val="49"/>
    <w:locked/>
    <w:rsid w:val="009D09EA"/>
    <w:pPr>
      <w:spacing w:after="20" w:line="220" w:lineRule="exact"/>
      <w:jc w:val="right"/>
    </w:pPr>
    <w:rPr>
      <w:rFonts w:ascii="Arial" w:hAnsi="Arial" w:cs="Arial"/>
      <w:color w:val="FF0000"/>
    </w:rPr>
  </w:style>
  <w:style w:type="paragraph" w:customStyle="1" w:styleId="zyxConfidRed">
    <w:name w:val="zyxConfidRed"/>
    <w:uiPriority w:val="49"/>
    <w:locked/>
    <w:rsid w:val="009D09EA"/>
    <w:pPr>
      <w:widowControl w:val="0"/>
      <w:spacing w:before="80"/>
      <w:jc w:val="right"/>
    </w:pPr>
    <w:rPr>
      <w:rFonts w:ascii="Arial" w:hAnsi="Arial"/>
      <w:b/>
      <w:caps/>
      <w:color w:val="FF0000"/>
      <w:sz w:val="40"/>
      <w:lang w:val="en-GB" w:eastAsia="en-US"/>
    </w:rPr>
  </w:style>
  <w:style w:type="paragraph" w:customStyle="1" w:styleId="zyxConfidBlack">
    <w:name w:val="zyxConfidBlack"/>
    <w:basedOn w:val="zyxConfidRed"/>
    <w:uiPriority w:val="49"/>
    <w:locked/>
    <w:rsid w:val="009D09EA"/>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9D09EA"/>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9D09EA"/>
    <w:pPr>
      <w:spacing w:after="60" w:line="280" w:lineRule="exact"/>
      <w:ind w:left="113"/>
    </w:pPr>
    <w:rPr>
      <w:sz w:val="22"/>
      <w:lang w:val="en-GB" w:eastAsia="en-US"/>
    </w:rPr>
  </w:style>
  <w:style w:type="paragraph" w:customStyle="1" w:styleId="zyxFillIn">
    <w:name w:val="zyxFill_In"/>
    <w:basedOn w:val="zyxPrePrint"/>
    <w:uiPriority w:val="49"/>
    <w:locked/>
    <w:rsid w:val="009D09EA"/>
    <w:rPr>
      <w:b/>
    </w:rPr>
  </w:style>
  <w:style w:type="paragraph" w:customStyle="1" w:styleId="zyxLogo">
    <w:name w:val="zyxLogo"/>
    <w:basedOn w:val="Normal"/>
    <w:uiPriority w:val="49"/>
    <w:locked/>
    <w:rsid w:val="009D09EA"/>
    <w:pPr>
      <w:keepNext/>
      <w:spacing w:after="10"/>
    </w:pPr>
    <w:rPr>
      <w:rFonts w:ascii="Arial" w:hAnsi="Arial"/>
      <w:b/>
      <w:sz w:val="13"/>
    </w:rPr>
  </w:style>
  <w:style w:type="paragraph" w:customStyle="1" w:styleId="zyxP1Footer">
    <w:name w:val="zyxP1_Footer"/>
    <w:basedOn w:val="Normal"/>
    <w:uiPriority w:val="49"/>
    <w:locked/>
    <w:rsid w:val="009D09EA"/>
    <w:pPr>
      <w:widowControl w:val="0"/>
      <w:spacing w:line="160" w:lineRule="exact"/>
      <w:ind w:left="108"/>
    </w:pPr>
    <w:rPr>
      <w:sz w:val="14"/>
    </w:rPr>
  </w:style>
  <w:style w:type="paragraph" w:customStyle="1" w:styleId="zyxSensitivity">
    <w:name w:val="zyxSensitivity"/>
    <w:basedOn w:val="Normal"/>
    <w:uiPriority w:val="49"/>
    <w:locked/>
    <w:rsid w:val="009D09EA"/>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9D09EA"/>
    <w:pPr>
      <w:keepNext/>
      <w:spacing w:line="420" w:lineRule="exact"/>
    </w:pPr>
    <w:rPr>
      <w:rFonts w:ascii="Arial" w:hAnsi="Arial"/>
      <w:sz w:val="40"/>
    </w:rPr>
  </w:style>
  <w:style w:type="character" w:styleId="FootnoteReference">
    <w:name w:val="footnote reference"/>
    <w:semiHidden/>
    <w:locked/>
    <w:rsid w:val="009D09EA"/>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9D09EA"/>
    <w:pPr>
      <w:numPr>
        <w:numId w:val="9"/>
      </w:numPr>
      <w:tabs>
        <w:tab w:val="clear" w:pos="459"/>
        <w:tab w:val="left" w:pos="919"/>
      </w:tabs>
      <w:spacing w:after="240" w:line="240" w:lineRule="exact"/>
      <w:ind w:left="918"/>
      <w:jc w:val="both"/>
    </w:pPr>
    <w:rPr>
      <w:sz w:val="22"/>
      <w:lang w:val="en-GB" w:eastAsia="en-US"/>
    </w:rPr>
  </w:style>
  <w:style w:type="paragraph" w:customStyle="1" w:styleId="zyxClassification1">
    <w:name w:val="zyxClassification1"/>
    <w:basedOn w:val="BodyText"/>
    <w:uiPriority w:val="49"/>
    <w:locked/>
    <w:rsid w:val="009D09EA"/>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9D09EA"/>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link w:val="BodyText"/>
    <w:rsid w:val="00647F33"/>
    <w:rPr>
      <w:lang w:eastAsia="en-US"/>
    </w:rPr>
  </w:style>
  <w:style w:type="character" w:customStyle="1" w:styleId="AuthornameandaffiliationChar">
    <w:name w:val="Author name and affiliation 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val="en-GB" w:eastAsia="en-US"/>
    </w:rPr>
  </w:style>
  <w:style w:type="character" w:customStyle="1" w:styleId="FigurecaptionChar">
    <w:name w:val="Figure caption 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link w:val="Otherunnumberedheadings"/>
    <w:uiPriority w:val="49"/>
    <w:rsid w:val="00D26ADA"/>
    <w:rPr>
      <w:rFonts w:ascii="Times New Roman Bold" w:hAnsi="Times New Roman Bold"/>
      <w:b/>
      <w:caps/>
      <w:lang w:eastAsia="en-US"/>
    </w:rPr>
  </w:style>
  <w:style w:type="character" w:customStyle="1" w:styleId="ReferencelistChar">
    <w:name w:val="Reference list 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link w:val="Tabletext"/>
    <w:uiPriority w:val="49"/>
    <w:rsid w:val="00883848"/>
    <w:rPr>
      <w:lang w:eastAsia="en-US"/>
    </w:rPr>
  </w:style>
  <w:style w:type="character" w:styleId="PlaceholderText">
    <w:name w:val="Placeholder Text"/>
    <w:basedOn w:val="DefaultParagraphFont"/>
    <w:uiPriority w:val="99"/>
    <w:semiHidden/>
    <w:locked/>
    <w:rsid w:val="00365035"/>
    <w:rPr>
      <w:color w:val="808080"/>
    </w:rPr>
  </w:style>
  <w:style w:type="character" w:styleId="CommentReference">
    <w:name w:val="annotation reference"/>
    <w:basedOn w:val="DefaultParagraphFont"/>
    <w:uiPriority w:val="49"/>
    <w:semiHidden/>
    <w:unhideWhenUsed/>
    <w:locked/>
    <w:rsid w:val="00261A2A"/>
    <w:rPr>
      <w:sz w:val="16"/>
      <w:szCs w:val="16"/>
    </w:rPr>
  </w:style>
  <w:style w:type="paragraph" w:styleId="CommentText">
    <w:name w:val="annotation text"/>
    <w:basedOn w:val="Normal"/>
    <w:link w:val="CommentTextChar"/>
    <w:uiPriority w:val="49"/>
    <w:semiHidden/>
    <w:unhideWhenUsed/>
    <w:locked/>
    <w:rsid w:val="00261A2A"/>
    <w:pPr>
      <w:overflowPunct/>
      <w:autoSpaceDE/>
      <w:autoSpaceDN/>
      <w:adjustRightInd/>
      <w:textAlignment w:val="auto"/>
    </w:pPr>
    <w:rPr>
      <w:sz w:val="20"/>
      <w:lang w:val="en-IN" w:eastAsia="en-GB"/>
    </w:rPr>
  </w:style>
  <w:style w:type="character" w:customStyle="1" w:styleId="CommentTextChar">
    <w:name w:val="Comment Text Char"/>
    <w:basedOn w:val="DefaultParagraphFont"/>
    <w:link w:val="CommentText"/>
    <w:uiPriority w:val="49"/>
    <w:semiHidden/>
    <w:rsid w:val="00261A2A"/>
  </w:style>
  <w:style w:type="paragraph" w:styleId="CommentSubject">
    <w:name w:val="annotation subject"/>
    <w:basedOn w:val="CommentText"/>
    <w:next w:val="CommentText"/>
    <w:link w:val="CommentSubjectChar"/>
    <w:uiPriority w:val="49"/>
    <w:semiHidden/>
    <w:unhideWhenUsed/>
    <w:locked/>
    <w:rsid w:val="007D7270"/>
    <w:pPr>
      <w:overflowPunct w:val="0"/>
      <w:autoSpaceDE w:val="0"/>
      <w:autoSpaceDN w:val="0"/>
      <w:adjustRightInd w:val="0"/>
      <w:textAlignment w:val="baseline"/>
    </w:pPr>
    <w:rPr>
      <w:b/>
      <w:bCs/>
      <w:lang w:val="en-GB" w:eastAsia="en-US"/>
    </w:rPr>
  </w:style>
  <w:style w:type="character" w:customStyle="1" w:styleId="CommentSubjectChar">
    <w:name w:val="Comment Subject Char"/>
    <w:basedOn w:val="CommentTextChar"/>
    <w:link w:val="CommentSubject"/>
    <w:uiPriority w:val="49"/>
    <w:semiHidden/>
    <w:rsid w:val="007D7270"/>
    <w:rPr>
      <w:b/>
      <w:bCs/>
      <w:lang w:val="en-GB" w:eastAsia="en-US"/>
    </w:rPr>
  </w:style>
  <w:style w:type="character" w:styleId="Hyperlink">
    <w:name w:val="Hyperlink"/>
    <w:basedOn w:val="DefaultParagraphFont"/>
    <w:uiPriority w:val="49"/>
    <w:unhideWhenUsed/>
    <w:locked/>
    <w:rsid w:val="00A94AA6"/>
    <w:rPr>
      <w:color w:val="0563C1" w:themeColor="hyperlink"/>
      <w:u w:val="single"/>
    </w:rPr>
  </w:style>
  <w:style w:type="character" w:customStyle="1" w:styleId="UnresolvedMention1">
    <w:name w:val="Unresolved Mention1"/>
    <w:basedOn w:val="DefaultParagraphFont"/>
    <w:uiPriority w:val="99"/>
    <w:semiHidden/>
    <w:unhideWhenUsed/>
    <w:rsid w:val="00A94AA6"/>
    <w:rPr>
      <w:color w:val="605E5C"/>
      <w:shd w:val="clear" w:color="auto" w:fill="E1DFDD"/>
    </w:rPr>
  </w:style>
  <w:style w:type="paragraph" w:styleId="Revision">
    <w:name w:val="Revision"/>
    <w:hidden/>
    <w:uiPriority w:val="99"/>
    <w:semiHidden/>
    <w:rsid w:val="00E506DF"/>
    <w:rPr>
      <w:sz w:val="22"/>
      <w:lang w:val="en-GB" w:eastAsia="en-US"/>
    </w:rPr>
  </w:style>
  <w:style w:type="character" w:customStyle="1" w:styleId="Heading2Char">
    <w:name w:val="Heading 2 Char"/>
    <w:aliases w:val="1st level paper heading Char"/>
    <w:basedOn w:val="DefaultParagraphFont"/>
    <w:link w:val="Heading2"/>
    <w:uiPriority w:val="4"/>
    <w:rsid w:val="00237B0D"/>
    <w:rPr>
      <w:caps/>
      <w:lang w:val="en-GB" w:eastAsia="en-US"/>
    </w:rPr>
  </w:style>
  <w:style w:type="character" w:customStyle="1" w:styleId="Heading3Char">
    <w:name w:val="Heading 3 Char"/>
    <w:aliases w:val="2nd level paper heading Char"/>
    <w:basedOn w:val="DefaultParagraphFont"/>
    <w:link w:val="Heading3"/>
    <w:uiPriority w:val="4"/>
    <w:rsid w:val="00237B0D"/>
    <w:rPr>
      <w:b/>
      <w:lang w:val="en-GB" w:eastAsia="en-US"/>
    </w:rPr>
  </w:style>
  <w:style w:type="paragraph" w:styleId="ListParagraph">
    <w:name w:val="List Paragraph"/>
    <w:basedOn w:val="Normal"/>
    <w:uiPriority w:val="49"/>
    <w:locked/>
    <w:rsid w:val="00FD08C9"/>
    <w:pPr>
      <w:ind w:left="720"/>
      <w:contextualSpacing/>
    </w:pPr>
  </w:style>
</w:styles>
</file>

<file path=word/webSettings.xml><?xml version="1.0" encoding="utf-8"?>
<w:webSettings xmlns:r="http://schemas.openxmlformats.org/officeDocument/2006/relationships" xmlns:w="http://schemas.openxmlformats.org/wordprocessingml/2006/main">
  <w:divs>
    <w:div w:id="815026167">
      <w:bodyDiv w:val="1"/>
      <w:marLeft w:val="0"/>
      <w:marRight w:val="0"/>
      <w:marTop w:val="0"/>
      <w:marBottom w:val="0"/>
      <w:divBdr>
        <w:top w:val="none" w:sz="0" w:space="0" w:color="auto"/>
        <w:left w:val="none" w:sz="0" w:space="0" w:color="auto"/>
        <w:bottom w:val="none" w:sz="0" w:space="0" w:color="auto"/>
        <w:right w:val="none" w:sz="0" w:space="0" w:color="auto"/>
      </w:divBdr>
    </w:div>
    <w:div w:id="1700277064">
      <w:bodyDiv w:val="1"/>
      <w:marLeft w:val="0"/>
      <w:marRight w:val="0"/>
      <w:marTop w:val="0"/>
      <w:marBottom w:val="0"/>
      <w:divBdr>
        <w:top w:val="none" w:sz="0" w:space="0" w:color="auto"/>
        <w:left w:val="none" w:sz="0" w:space="0" w:color="auto"/>
        <w:bottom w:val="none" w:sz="0" w:space="0" w:color="auto"/>
        <w:right w:val="none" w:sz="0" w:space="0" w:color="auto"/>
      </w:divBdr>
    </w:div>
    <w:div w:id="186878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18.png"/><Relationship Id="rId3" Type="http://schemas.openxmlformats.org/officeDocument/2006/relationships/styles" Target="styles.xml"/><Relationship Id="rId34" Type="http://schemas.openxmlformats.org/officeDocument/2006/relationships/image" Target="media/image15.png"/><Relationship Id="rId42" Type="http://schemas.microsoft.com/office/2007/relationships/hdphoto" Target="media/hdphoto7.wdp"/><Relationship Id="rId47" Type="http://schemas.openxmlformats.org/officeDocument/2006/relationships/image" Target="media/image24.png"/><Relationship Id="rId50" Type="http://schemas.openxmlformats.org/officeDocument/2006/relationships/header" Target="header2.xml"/><Relationship Id="rId55" Type="http://schemas.openxmlformats.org/officeDocument/2006/relationships/fontTable" Target="fontTable.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17.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22.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2.wdp"/><Relationship Id="rId28" Type="http://schemas.openxmlformats.org/officeDocument/2006/relationships/image" Target="media/image14.png"/><Relationship Id="rId36" Type="http://schemas.microsoft.com/office/2007/relationships/hdphoto" Target="media/hdphoto4.wdp"/><Relationship Id="rId49" Type="http://schemas.openxmlformats.org/officeDocument/2006/relationships/header" Target="header1.xml"/><Relationship Id="rId57" Type="http://schemas.microsoft.com/office/2011/relationships/people" Target="people.xml"/><Relationship Id="rId10" Type="http://schemas.openxmlformats.org/officeDocument/2006/relationships/image" Target="media/image2.png"/><Relationship Id="rId44" Type="http://schemas.openxmlformats.org/officeDocument/2006/relationships/image" Target="media/image21.jpeg"/><Relationship Id="rId52" Type="http://schemas.openxmlformats.org/officeDocument/2006/relationships/footer" Target="footer2.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7"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jpeg"/><Relationship Id="rId48" Type="http://schemas.microsoft.com/office/2007/relationships/hdphoto" Target="media/hdphoto8.wdp"/><Relationship Id="rId56" Type="http://schemas.openxmlformats.org/officeDocument/2006/relationships/theme" Target="theme/theme1.xml"/><Relationship Id="rId8" Type="http://schemas.openxmlformats.org/officeDocument/2006/relationships/hyperlink" Target="mailto:kchaturvedi@igcar.gov.in" TargetMode="Externa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E129EB58-22EF-4F0A-8781-CD07A378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TotalTime>
  <Pages>10</Pages>
  <Words>3601</Words>
  <Characters>19577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igc10995</cp:lastModifiedBy>
  <cp:revision>3</cp:revision>
  <cp:lastPrinted>2020-12-26T05:25:00Z</cp:lastPrinted>
  <dcterms:created xsi:type="dcterms:W3CDTF">2021-06-29T07:21:00Z</dcterms:created>
  <dcterms:modified xsi:type="dcterms:W3CDTF">2022-04-07T10:31:00Z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