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D01D" w14:textId="77777777" w:rsidR="00E20E70" w:rsidRPr="00EE29B9" w:rsidRDefault="00777A87" w:rsidP="00537496">
      <w:pPr>
        <w:pStyle w:val="Heading1"/>
      </w:pPr>
      <w:bookmarkStart w:id="0" w:name="_Hlk69130178"/>
      <w:r w:rsidRPr="00777A87">
        <w:t>Nuclear Hydrogen and Fast Reactors</w:t>
      </w:r>
    </w:p>
    <w:p w14:paraId="2BC1DE79" w14:textId="77777777" w:rsidR="00802381" w:rsidRDefault="00802381" w:rsidP="00537496">
      <w:pPr>
        <w:pStyle w:val="Authornameandaffiliation"/>
      </w:pPr>
    </w:p>
    <w:p w14:paraId="47809E33" w14:textId="77777777" w:rsidR="006F1028" w:rsidRDefault="006F1028" w:rsidP="00537496">
      <w:pPr>
        <w:pStyle w:val="Authornameandaffiliation"/>
      </w:pPr>
    </w:p>
    <w:p w14:paraId="2C41E6FE" w14:textId="77777777" w:rsidR="003B5E0E" w:rsidRDefault="00777A87" w:rsidP="00537496">
      <w:pPr>
        <w:pStyle w:val="Authornameandaffiliation"/>
      </w:pPr>
      <w:r>
        <w:t>I</w:t>
      </w:r>
      <w:r w:rsidR="00537496">
        <w:t>.</w:t>
      </w:r>
      <w:r w:rsidR="00FF386F" w:rsidRPr="00FF386F">
        <w:t xml:space="preserve"> </w:t>
      </w:r>
      <w:r>
        <w:t>IORDACHE</w:t>
      </w:r>
    </w:p>
    <w:p w14:paraId="7747574A" w14:textId="77777777" w:rsidR="00F0016A" w:rsidRDefault="00F0016A" w:rsidP="00537496">
      <w:pPr>
        <w:pStyle w:val="Authornameandaffiliation"/>
      </w:pPr>
    </w:p>
    <w:p w14:paraId="06ECBADB" w14:textId="31615F8E" w:rsidR="00777A87" w:rsidRDefault="008459B5" w:rsidP="00537496">
      <w:pPr>
        <w:pStyle w:val="Authornameandaffiliation"/>
      </w:pPr>
      <w:r>
        <w:t xml:space="preserve">The </w:t>
      </w:r>
      <w:r w:rsidR="00777A87" w:rsidRPr="00777A87">
        <w:t xml:space="preserve">National Research and Development Institute for Cryogenic and Isotopic Technologies </w:t>
      </w:r>
      <w:r w:rsidR="00B77419">
        <w:t xml:space="preserve">- </w:t>
      </w:r>
      <w:r w:rsidR="00777A87" w:rsidRPr="00777A87">
        <w:t>IC</w:t>
      </w:r>
      <w:r w:rsidR="00777A87">
        <w:t>SI</w:t>
      </w:r>
    </w:p>
    <w:p w14:paraId="42C91888" w14:textId="77777777" w:rsidR="00FF386F" w:rsidRDefault="00777A87" w:rsidP="00537496">
      <w:pPr>
        <w:pStyle w:val="Authornameandaffiliation"/>
      </w:pPr>
      <w:r>
        <w:t xml:space="preserve">Rm. </w:t>
      </w:r>
      <w:proofErr w:type="spellStart"/>
      <w:r>
        <w:t>Valcea</w:t>
      </w:r>
      <w:proofErr w:type="spellEnd"/>
      <w:r w:rsidR="00FF386F">
        <w:t xml:space="preserve">, </w:t>
      </w:r>
      <w:r>
        <w:t>Romania</w:t>
      </w:r>
    </w:p>
    <w:p w14:paraId="37BF035B" w14:textId="77777777" w:rsidR="00F0016A" w:rsidRDefault="00F0016A" w:rsidP="00537496">
      <w:pPr>
        <w:pStyle w:val="Authornameandaffiliation"/>
      </w:pPr>
    </w:p>
    <w:p w14:paraId="35F08DC1" w14:textId="77777777" w:rsidR="00FF386F" w:rsidRDefault="00FF386F" w:rsidP="00537496">
      <w:pPr>
        <w:pStyle w:val="Authornameandaffiliation"/>
      </w:pPr>
      <w:r>
        <w:t xml:space="preserve">Email: </w:t>
      </w:r>
      <w:r w:rsidR="00777A87">
        <w:t>iordache.ioan@icsi.ro</w:t>
      </w:r>
    </w:p>
    <w:p w14:paraId="687AFAD4" w14:textId="77777777" w:rsidR="00FF386F" w:rsidRDefault="00FF386F" w:rsidP="00537496">
      <w:pPr>
        <w:pStyle w:val="Authornameandaffiliation"/>
      </w:pPr>
    </w:p>
    <w:p w14:paraId="50F58F6D" w14:textId="77777777" w:rsidR="00003206" w:rsidRDefault="00003206" w:rsidP="00537496">
      <w:pPr>
        <w:pStyle w:val="Authornameandaffiliation"/>
      </w:pPr>
    </w:p>
    <w:p w14:paraId="778C1E76" w14:textId="77777777" w:rsidR="00003206" w:rsidRDefault="00003206" w:rsidP="00537496">
      <w:pPr>
        <w:pStyle w:val="Authornameandaffiliation"/>
      </w:pPr>
    </w:p>
    <w:p w14:paraId="55799B36" w14:textId="77777777" w:rsidR="00647F33" w:rsidRPr="00647F33" w:rsidRDefault="00647F33" w:rsidP="00537496">
      <w:pPr>
        <w:pStyle w:val="Authornameandaffiliation"/>
        <w:rPr>
          <w:b/>
        </w:rPr>
      </w:pPr>
      <w:r w:rsidRPr="00647F33">
        <w:rPr>
          <w:b/>
        </w:rPr>
        <w:t>Abstract</w:t>
      </w:r>
    </w:p>
    <w:bookmarkEnd w:id="0"/>
    <w:p w14:paraId="35445AAF" w14:textId="77777777" w:rsidR="00647F33" w:rsidRDefault="00647F33" w:rsidP="00537496">
      <w:pPr>
        <w:pStyle w:val="Authornameandaffiliation"/>
      </w:pPr>
    </w:p>
    <w:p w14:paraId="6402745D" w14:textId="6EED8230" w:rsidR="00647F33" w:rsidRPr="00BD605C" w:rsidRDefault="00777A87" w:rsidP="00537B0C">
      <w:pPr>
        <w:pStyle w:val="Abstracttext"/>
        <w:jc w:val="both"/>
      </w:pPr>
      <w:r>
        <w:t>Hydrogen and hydrogen technology are expected to have a key role as energy carrier</w:t>
      </w:r>
      <w:r w:rsidR="00B77419">
        <w:t>s</w:t>
      </w:r>
      <w:r>
        <w:t xml:space="preserve"> for </w:t>
      </w:r>
      <w:r w:rsidR="002014DB">
        <w:t>technical</w:t>
      </w:r>
      <w:r>
        <w:t xml:space="preserve"> and economic systems. Th</w:t>
      </w:r>
      <w:r w:rsidR="00B77419">
        <w:t>ese</w:t>
      </w:r>
      <w:r>
        <w:t xml:space="preserve"> are expected to be a new impulse for </w:t>
      </w:r>
      <w:r w:rsidR="00537B0C" w:rsidRPr="00537B0C">
        <w:t>the integration of nuclear into the grid</w:t>
      </w:r>
      <w:r>
        <w:t>.</w:t>
      </w:r>
      <w:r w:rsidR="00537B0C">
        <w:t xml:space="preserve"> </w:t>
      </w:r>
      <w:r>
        <w:t>Large-scale demonstration projects of the low carbon hydrogen production require major investments by countries and long</w:t>
      </w:r>
      <w:r w:rsidR="00B77419">
        <w:t>-</w:t>
      </w:r>
      <w:r>
        <w:t xml:space="preserve">term strategies. </w:t>
      </w:r>
      <w:r w:rsidR="00537B0C" w:rsidRPr="00537B0C">
        <w:t>For the nuclear industry, long-term strategies and substantial investments are required, where both hydrogen production and nuclear power can complement e</w:t>
      </w:r>
      <w:r w:rsidR="00537B0C">
        <w:t>ach other in future development</w:t>
      </w:r>
      <w:r>
        <w:t>.</w:t>
      </w:r>
      <w:r w:rsidR="00537B0C">
        <w:t xml:space="preserve"> </w:t>
      </w:r>
      <w:r>
        <w:t xml:space="preserve">From </w:t>
      </w:r>
      <w:r w:rsidR="00B77419">
        <w:t xml:space="preserve">a </w:t>
      </w:r>
      <w:r>
        <w:t>technical point of view, these binders are electricity utilization via electrolysis and residual heat via thermochemical cycle or others thermochemical processes. Th</w:t>
      </w:r>
      <w:r w:rsidR="002739EF">
        <w:t>e</w:t>
      </w:r>
      <w:r>
        <w:t xml:space="preserve"> paper summarizes the current concerns of the hydrogen community in finding solutions based on scientific fundamentals for hydrogen production using nuclear energy.</w:t>
      </w:r>
    </w:p>
    <w:p w14:paraId="4D370693" w14:textId="77777777" w:rsidR="00647F33" w:rsidRDefault="00F523CA" w:rsidP="00537496">
      <w:pPr>
        <w:pStyle w:val="Heading2"/>
        <w:numPr>
          <w:ilvl w:val="1"/>
          <w:numId w:val="10"/>
        </w:numPr>
      </w:pPr>
      <w:r>
        <w:t>INTRODUCTION</w:t>
      </w:r>
    </w:p>
    <w:p w14:paraId="530419BB" w14:textId="2FFF8B58" w:rsidR="00901E5C" w:rsidRDefault="002739EF" w:rsidP="00901E5C">
      <w:pPr>
        <w:pStyle w:val="BodyText"/>
      </w:pPr>
      <w:r>
        <w:t xml:space="preserve">The </w:t>
      </w:r>
      <w:r w:rsidR="003E014D">
        <w:t xml:space="preserve">main </w:t>
      </w:r>
      <w:r>
        <w:t xml:space="preserve">commercial method of producing hydrogen is steam methane reforming (SMR) </w:t>
      </w:r>
      <w:r w:rsidR="00537B0C">
        <w:t>from hydrocarbons mixtures. R</w:t>
      </w:r>
      <w:r>
        <w:t>esearchers are currently investigating the possibilities of large-scale production to reduce the carbon footprint of processes that use methane or fossil fuels with carbon capture</w:t>
      </w:r>
      <w:r w:rsidR="005B5788">
        <w:t xml:space="preserve"> - </w:t>
      </w:r>
      <w:r>
        <w:t>a</w:t>
      </w:r>
      <w:r w:rsidRPr="002739EF">
        <w:t xml:space="preserve"> common name for this method is</w:t>
      </w:r>
      <w:r>
        <w:t xml:space="preserve"> “blue hydrogen”. </w:t>
      </w:r>
    </w:p>
    <w:p w14:paraId="5F5BFD17" w14:textId="58559676" w:rsidR="002739EF" w:rsidRDefault="002739EF" w:rsidP="00901E5C">
      <w:pPr>
        <w:pStyle w:val="BodyText"/>
      </w:pPr>
      <w:r>
        <w:t>The electrolysis of water is also extensively developed as an alternative to steam methane reforming.</w:t>
      </w:r>
      <w:r w:rsidR="005B5788">
        <w:t xml:space="preserve"> </w:t>
      </w:r>
      <w:r w:rsidR="00537B0C" w:rsidRPr="00537B0C">
        <w:t xml:space="preserve">With some exceptions, the electricity was primarily used for </w:t>
      </w:r>
      <w:r>
        <w:t xml:space="preserve">brine electrolysis in </w:t>
      </w:r>
      <w:proofErr w:type="spellStart"/>
      <w:r>
        <w:t>chlor</w:t>
      </w:r>
      <w:proofErr w:type="spellEnd"/>
      <w:r>
        <w:t xml:space="preserve">-alkali industry, </w:t>
      </w:r>
      <w:r w:rsidR="005B5788">
        <w:t>w</w:t>
      </w:r>
      <w:r>
        <w:t>here hydrogen is a by-produc</w:t>
      </w:r>
      <w:r w:rsidR="00901E5C">
        <w:t xml:space="preserve">t, </w:t>
      </w:r>
      <w:r w:rsidR="00901E5C" w:rsidRPr="00901E5C">
        <w:t xml:space="preserve">and the method of obtaining is often called </w:t>
      </w:r>
      <w:r>
        <w:t>“white hydrogen”</w:t>
      </w:r>
      <w:r w:rsidR="00901E5C">
        <w:t>.</w:t>
      </w:r>
      <w:r w:rsidR="00901E5C" w:rsidRPr="00901E5C">
        <w:t xml:space="preserve"> </w:t>
      </w:r>
      <w:r w:rsidR="00901E5C">
        <w:t>The most advanced electrochemical technologies to date are systems using polymer electrolytes</w:t>
      </w:r>
      <w:r w:rsidR="00901E5C" w:rsidRPr="00901E5C">
        <w:t xml:space="preserve"> </w:t>
      </w:r>
      <w:r w:rsidR="00901E5C">
        <w:t>or/and alkaline electrolytes.</w:t>
      </w:r>
    </w:p>
    <w:p w14:paraId="6709333F" w14:textId="6F9868CB" w:rsidR="00901E5C" w:rsidRDefault="00901E5C" w:rsidP="00901E5C">
      <w:pPr>
        <w:pStyle w:val="BodyText"/>
      </w:pPr>
      <w:r>
        <w:t>The electrolysis can be performed at low temperature, when liquid water is used</w:t>
      </w:r>
      <w:r w:rsidR="005B5788">
        <w:t>,</w:t>
      </w:r>
      <w:r>
        <w:t xml:space="preserve"> or at high temperature, </w:t>
      </w:r>
      <w:r w:rsidR="005B5788">
        <w:t>(</w:t>
      </w:r>
      <w:r>
        <w:t>between 700</w:t>
      </w:r>
      <w:r w:rsidRPr="00901E5C">
        <w:t xml:space="preserve"> </w:t>
      </w:r>
      <w:proofErr w:type="spellStart"/>
      <w:r w:rsidRPr="00901E5C">
        <w:rPr>
          <w:vertAlign w:val="superscript"/>
        </w:rPr>
        <w:t>o</w:t>
      </w:r>
      <w:r w:rsidRPr="00901E5C">
        <w:t>C</w:t>
      </w:r>
      <w:proofErr w:type="spellEnd"/>
      <w:r>
        <w:t xml:space="preserve"> and 800 </w:t>
      </w:r>
      <w:proofErr w:type="spellStart"/>
      <w:r w:rsidRPr="00901E5C">
        <w:rPr>
          <w:vertAlign w:val="superscript"/>
        </w:rPr>
        <w:t>o</w:t>
      </w:r>
      <w:r>
        <w:t>C</w:t>
      </w:r>
      <w:proofErr w:type="spellEnd"/>
      <w:r>
        <w:t>)</w:t>
      </w:r>
      <w:r w:rsidR="005B5788">
        <w:t>,</w:t>
      </w:r>
      <w:r>
        <w:t xml:space="preserve"> </w:t>
      </w:r>
      <w:r w:rsidRPr="00901E5C">
        <w:t xml:space="preserve">when water </w:t>
      </w:r>
      <w:r w:rsidR="007D2D5C" w:rsidRPr="007D2D5C">
        <w:rPr>
          <w:lang w:val="en-US"/>
        </w:rPr>
        <w:t>vapo</w:t>
      </w:r>
      <w:r w:rsidRPr="007D2D5C">
        <w:rPr>
          <w:lang w:val="en-US"/>
        </w:rPr>
        <w:t>r</w:t>
      </w:r>
      <w:r>
        <w:t xml:space="preserve"> (steam)</w:t>
      </w:r>
      <w:r w:rsidRPr="00901E5C">
        <w:t xml:space="preserve"> </w:t>
      </w:r>
      <w:r>
        <w:t xml:space="preserve">is used. The main advantage of the high temperature electrolysis is that the dissociation of steam requires less </w:t>
      </w:r>
      <w:r w:rsidR="007D2D5C">
        <w:t xml:space="preserve">electrical </w:t>
      </w:r>
      <w:r>
        <w:t>energy compared to liquid water.</w:t>
      </w:r>
    </w:p>
    <w:p w14:paraId="66FFD432" w14:textId="38B7A62A" w:rsidR="007D2D5C" w:rsidRDefault="007D2D5C" w:rsidP="00901E5C">
      <w:pPr>
        <w:pStyle w:val="BodyText"/>
      </w:pPr>
      <w:r>
        <w:t xml:space="preserve">The </w:t>
      </w:r>
      <w:r w:rsidRPr="007D2D5C">
        <w:t xml:space="preserve">thermochemical cycle </w:t>
      </w:r>
      <w:r>
        <w:t xml:space="preserve">means utilization of water and residual high temperature for hydrogen production. </w:t>
      </w:r>
      <w:r w:rsidRPr="00455009">
        <w:t xml:space="preserve">This hydrogen pathway comprises the oxidation of a metal oxide or an </w:t>
      </w:r>
      <w:proofErr w:type="spellStart"/>
      <w:r w:rsidRPr="00455009">
        <w:t>oxidable</w:t>
      </w:r>
      <w:proofErr w:type="spellEnd"/>
      <w:r w:rsidRPr="00455009">
        <w:t xml:space="preserve"> compound (e.g. iodine-sulphur) by a reaction with water and, second</w:t>
      </w:r>
      <w:r w:rsidR="00723E30" w:rsidRPr="00455009">
        <w:t>ly</w:t>
      </w:r>
      <w:r w:rsidRPr="00455009">
        <w:t xml:space="preserve">, </w:t>
      </w:r>
      <w:r w:rsidRPr="007D2D5C">
        <w:t>the recycling of this compound, that takes place at higher temperatures by stripping off one oxygen atom.</w:t>
      </w:r>
    </w:p>
    <w:p w14:paraId="7F7C79F9" w14:textId="6C25FD8F" w:rsidR="00EF07FF" w:rsidRDefault="007D2D5C" w:rsidP="007D2D5C">
      <w:pPr>
        <w:pStyle w:val="BodyText"/>
      </w:pPr>
      <w:r>
        <w:t xml:space="preserve">Thermochemical cycles and high temperature electrolysis are currently being developed for demonstration projects of large-scale hydrogen </w:t>
      </w:r>
      <w:r w:rsidRPr="00455009">
        <w:t xml:space="preserve">production using energy of nuclear reactors. In </w:t>
      </w:r>
      <w:r w:rsidRPr="007D2D5C">
        <w:t xml:space="preserve">a more recent language, </w:t>
      </w:r>
      <w:r w:rsidR="00EF07FF">
        <w:t>all</w:t>
      </w:r>
      <w:r w:rsidRPr="007D2D5C">
        <w:t xml:space="preserve"> methods, which involve obtaining hydrogen with the help of nuclear energy, are called "pink hydrogen".</w:t>
      </w:r>
      <w:r w:rsidR="00EF07FF">
        <w:t xml:space="preserve"> The newest progress referring to nuclear hydrogen are co-authored in </w:t>
      </w:r>
      <w:r w:rsidR="00537B0C">
        <w:t>another</w:t>
      </w:r>
      <w:r w:rsidR="00EF07FF">
        <w:t xml:space="preserve"> pa</w:t>
      </w:r>
      <w:r w:rsidR="00723E30">
        <w:t>p</w:t>
      </w:r>
      <w:r w:rsidR="00EF07FF">
        <w:t>er</w:t>
      </w:r>
      <w:r w:rsidR="00F65AA0">
        <w:t xml:space="preserve"> </w:t>
      </w:r>
      <w:r w:rsidR="00F65AA0">
        <w:rPr>
          <w:lang w:val="en-US"/>
        </w:rPr>
        <w:t>[1]</w:t>
      </w:r>
      <w:r w:rsidR="00EF07FF">
        <w:t>.</w:t>
      </w:r>
    </w:p>
    <w:p w14:paraId="6560304E" w14:textId="52ADB3BF" w:rsidR="00F0016A" w:rsidRDefault="00F0016A" w:rsidP="007D2D5C">
      <w:pPr>
        <w:pStyle w:val="BodyText"/>
      </w:pPr>
      <w:r w:rsidRPr="00F0016A">
        <w:t xml:space="preserve">In principle, there are five general methods of obtaining hydrogen using nuclear </w:t>
      </w:r>
      <w:r>
        <w:t>energy and water decomposition: radiolysis, electrolysis,</w:t>
      </w:r>
      <w:r w:rsidRPr="00F0016A">
        <w:t xml:space="preserve"> </w:t>
      </w:r>
      <w:r>
        <w:t xml:space="preserve">steam electrolysis, </w:t>
      </w:r>
      <w:r w:rsidRPr="00F0016A">
        <w:t xml:space="preserve">thermochemical </w:t>
      </w:r>
      <w:r>
        <w:t xml:space="preserve">and </w:t>
      </w:r>
      <w:r w:rsidRPr="00F0016A">
        <w:t xml:space="preserve">hybrid thermochemical splitting of water. The first method uses nuclear radiation to directly </w:t>
      </w:r>
      <w:r>
        <w:t>split</w:t>
      </w:r>
      <w:r w:rsidRPr="00F0016A">
        <w:t xml:space="preserve"> the water molecule </w:t>
      </w:r>
      <w:r>
        <w:t>to</w:t>
      </w:r>
      <w:r w:rsidRPr="00F0016A">
        <w:t xml:space="preserve"> hydrogen and oxygen. The second is a classical method that uses electricity </w:t>
      </w:r>
      <w:r>
        <w:t>for water electrolysis</w:t>
      </w:r>
      <w:r w:rsidRPr="00F0016A">
        <w:t xml:space="preserve">. The third </w:t>
      </w:r>
      <w:r>
        <w:t>means the electrochemical decomposition of water vapour. The last ones</w:t>
      </w:r>
      <w:r w:rsidRPr="00F0016A">
        <w:t xml:space="preserve"> directly use high temperature heat and regenerative chemicals to divide the water</w:t>
      </w:r>
      <w:r>
        <w:t xml:space="preserve"> with or without electricity</w:t>
      </w:r>
      <w:r w:rsidRPr="00F0016A">
        <w:t>.</w:t>
      </w:r>
    </w:p>
    <w:p w14:paraId="3629FB13" w14:textId="77777777" w:rsidR="00F0016A" w:rsidRDefault="00F0016A" w:rsidP="007D2D5C">
      <w:pPr>
        <w:pStyle w:val="BodyText"/>
      </w:pPr>
    </w:p>
    <w:p w14:paraId="0391E079" w14:textId="77777777" w:rsidR="00F0016A" w:rsidRDefault="00F0016A" w:rsidP="007D2D5C">
      <w:pPr>
        <w:pStyle w:val="BodyText"/>
      </w:pPr>
    </w:p>
    <w:p w14:paraId="0E5D29E6" w14:textId="77777777" w:rsidR="00E25B68" w:rsidRDefault="00544AA3" w:rsidP="00E060B1">
      <w:pPr>
        <w:pStyle w:val="Heading2"/>
        <w:numPr>
          <w:ilvl w:val="1"/>
          <w:numId w:val="10"/>
        </w:numPr>
      </w:pPr>
      <w:r>
        <w:t>NUCLEAR HYDROGEN</w:t>
      </w:r>
      <w:r w:rsidR="00E060B1">
        <w:t xml:space="preserve"> and </w:t>
      </w:r>
      <w:r w:rsidR="00E060B1" w:rsidRPr="00E060B1">
        <w:t>fast-neutron reactors</w:t>
      </w:r>
    </w:p>
    <w:p w14:paraId="271D08EA" w14:textId="25BE99C1" w:rsidR="00544AA3" w:rsidRDefault="00544AA3" w:rsidP="00544AA3">
      <w:pPr>
        <w:pStyle w:val="BodyText"/>
      </w:pPr>
      <w:r w:rsidRPr="00F0138E">
        <w:lastRenderedPageBreak/>
        <w:t xml:space="preserve">Nuclear hydrogen production can be made </w:t>
      </w:r>
      <w:r w:rsidR="00BC2C4E" w:rsidRPr="00F0138E">
        <w:t>through</w:t>
      </w:r>
      <w:r w:rsidRPr="00F0138E">
        <w:t xml:space="preserve"> low temperature electrolysis, high-temperature electrolysis, thermochemical (thermochemical cycles are included here), and any other hybrid processes. The scope of this paper is to ma</w:t>
      </w:r>
      <w:r w:rsidR="00D51A2E" w:rsidRPr="00F0138E">
        <w:t>ke</w:t>
      </w:r>
      <w:r w:rsidRPr="00F0138E">
        <w:t xml:space="preserve"> a </w:t>
      </w:r>
      <w:r w:rsidR="00D51A2E" w:rsidRPr="00F0138E">
        <w:t xml:space="preserve">current </w:t>
      </w:r>
      <w:r w:rsidRPr="00F0138E">
        <w:t xml:space="preserve">review </w:t>
      </w:r>
      <w:r w:rsidR="00723EB6" w:rsidRPr="00F0138E">
        <w:t>on the</w:t>
      </w:r>
      <w:r w:rsidRPr="00F0138E">
        <w:t xml:space="preserve"> fast </w:t>
      </w:r>
      <w:r w:rsidRPr="00996D53">
        <w:t>neutron reactors</w:t>
      </w:r>
      <w:r w:rsidR="009011EA">
        <w:t xml:space="preserve"> </w:t>
      </w:r>
      <w:r w:rsidR="009011EA" w:rsidRPr="00996D53">
        <w:t>under</w:t>
      </w:r>
      <w:r w:rsidR="009011EA">
        <w:t xml:space="preserve"> </w:t>
      </w:r>
      <w:r w:rsidR="009011EA" w:rsidRPr="00996D53">
        <w:t>development</w:t>
      </w:r>
      <w:r w:rsidRPr="00996D53">
        <w:t xml:space="preserve"> and </w:t>
      </w:r>
      <w:r w:rsidRPr="00BC2C4E">
        <w:t xml:space="preserve">see how appropriate they are and what methods can be used to obtain hydrogen. </w:t>
      </w:r>
    </w:p>
    <w:p w14:paraId="1FEBC0DE" w14:textId="77777777" w:rsidR="00544AA3" w:rsidRDefault="00E060B1" w:rsidP="00544AA3">
      <w:pPr>
        <w:pStyle w:val="BodyText"/>
      </w:pPr>
      <w:r>
        <w:t>The</w:t>
      </w:r>
      <w:r w:rsidRPr="00E060B1">
        <w:t xml:space="preserve"> fast-neutron reactor</w:t>
      </w:r>
      <w:r>
        <w:t>s</w:t>
      </w:r>
      <w:r w:rsidRPr="00E060B1">
        <w:t xml:space="preserve"> </w:t>
      </w:r>
      <w:r>
        <w:t>are</w:t>
      </w:r>
      <w:r w:rsidRPr="00E060B1">
        <w:t xml:space="preserve"> a category of nuclear reactor</w:t>
      </w:r>
      <w:r>
        <w:t>s</w:t>
      </w:r>
      <w:r w:rsidRPr="00E060B1">
        <w:t xml:space="preserve"> in which the fission chain reaction is sustained by fast neutrons</w:t>
      </w:r>
      <w:r w:rsidR="00E462EB">
        <w:t xml:space="preserve"> with the</w:t>
      </w:r>
      <w:r w:rsidRPr="00E060B1">
        <w:t xml:space="preserve"> energ</w:t>
      </w:r>
      <w:r>
        <w:t xml:space="preserve">y above 1 MeV.  </w:t>
      </w:r>
      <w:bookmarkStart w:id="1" w:name="_GoBack"/>
      <w:bookmarkEnd w:id="1"/>
    </w:p>
    <w:p w14:paraId="3252BF8B" w14:textId="77777777" w:rsidR="008B6BB9" w:rsidRPr="00455009" w:rsidRDefault="00E060B1" w:rsidP="00537496">
      <w:pPr>
        <w:pStyle w:val="Heading3"/>
      </w:pPr>
      <w:r w:rsidRPr="00455009">
        <w:t>Under construction and in design fast reactors</w:t>
      </w:r>
    </w:p>
    <w:p w14:paraId="2B8B087F" w14:textId="6E147FF5" w:rsidR="00AD466F" w:rsidRDefault="007545DA" w:rsidP="00AD466F">
      <w:pPr>
        <w:pStyle w:val="Authornameandaffiliation"/>
        <w:ind w:left="0" w:firstLine="567"/>
        <w:jc w:val="both"/>
        <w:rPr>
          <w:lang w:val="en-GB"/>
        </w:rPr>
      </w:pPr>
      <w:r>
        <w:rPr>
          <w:lang w:val="en-GB"/>
        </w:rPr>
        <w:t>T</w:t>
      </w:r>
      <w:r w:rsidR="00E060B1">
        <w:rPr>
          <w:lang w:val="en-GB"/>
        </w:rPr>
        <w:t xml:space="preserve">he main types of fast reactors that are under construction or </w:t>
      </w:r>
      <w:r w:rsidR="00E060B1" w:rsidRPr="00455009">
        <w:rPr>
          <w:lang w:val="en-GB"/>
        </w:rPr>
        <w:t>in design</w:t>
      </w:r>
      <w:r>
        <w:rPr>
          <w:color w:val="FF0000"/>
          <w:lang w:val="en-GB"/>
        </w:rPr>
        <w:t xml:space="preserve"> </w:t>
      </w:r>
      <w:r>
        <w:rPr>
          <w:lang w:val="en-GB"/>
        </w:rPr>
        <w:t>are described in the next paragraphs</w:t>
      </w:r>
      <w:r w:rsidR="00E060B1">
        <w:rPr>
          <w:lang w:val="en-GB"/>
        </w:rPr>
        <w:t xml:space="preserve">. </w:t>
      </w:r>
      <w:r w:rsidR="00AD466F">
        <w:rPr>
          <w:lang w:val="en-GB"/>
        </w:rPr>
        <w:t>The f</w:t>
      </w:r>
      <w:r w:rsidR="00AD466F" w:rsidRPr="00AD466F">
        <w:rPr>
          <w:lang w:val="en-GB"/>
        </w:rPr>
        <w:t>ast reactors are widely regarded as an essential develo</w:t>
      </w:r>
      <w:r w:rsidR="00AD466F">
        <w:rPr>
          <w:lang w:val="en-GB"/>
        </w:rPr>
        <w:t xml:space="preserve">pment due to several advantages: quantity of the neutron production, </w:t>
      </w:r>
      <w:r w:rsidR="00AD466F" w:rsidRPr="00AD466F">
        <w:rPr>
          <w:lang w:val="en-GB"/>
        </w:rPr>
        <w:t xml:space="preserve">fine balance between the production </w:t>
      </w:r>
      <w:r w:rsidR="00AD466F">
        <w:rPr>
          <w:lang w:val="en-GB"/>
        </w:rPr>
        <w:t xml:space="preserve">and removal </w:t>
      </w:r>
      <w:r w:rsidR="00AD466F" w:rsidRPr="00AD466F">
        <w:rPr>
          <w:lang w:val="en-GB"/>
        </w:rPr>
        <w:t>of neutrons from fission</w:t>
      </w:r>
      <w:r w:rsidR="00AD466F">
        <w:rPr>
          <w:lang w:val="en-GB"/>
        </w:rPr>
        <w:t xml:space="preserve">, </w:t>
      </w:r>
      <w:r w:rsidR="00AD466F" w:rsidRPr="00AD466F">
        <w:rPr>
          <w:lang w:val="en-GB"/>
        </w:rPr>
        <w:t>operating pressure in the reactor</w:t>
      </w:r>
      <w:r w:rsidR="00AD466F">
        <w:rPr>
          <w:lang w:val="en-GB"/>
        </w:rPr>
        <w:t xml:space="preserve">, </w:t>
      </w:r>
      <w:r w:rsidR="00AD466F" w:rsidRPr="00AD466F">
        <w:rPr>
          <w:lang w:val="en-GB"/>
        </w:rPr>
        <w:t>no pressure vessel with associated problems</w:t>
      </w:r>
      <w:r w:rsidR="00AD466F">
        <w:rPr>
          <w:lang w:val="en-GB"/>
        </w:rPr>
        <w:t xml:space="preserve">, </w:t>
      </w:r>
      <w:r w:rsidR="00AD466F" w:rsidRPr="00AD466F">
        <w:rPr>
          <w:lang w:val="en-GB"/>
        </w:rPr>
        <w:t>electric generating efficiency</w:t>
      </w:r>
      <w:r w:rsidR="00537B0C">
        <w:rPr>
          <w:lang w:val="en-GB"/>
        </w:rPr>
        <w:t xml:space="preserve"> </w:t>
      </w:r>
      <w:r w:rsidR="00537B0C" w:rsidRPr="00537B0C">
        <w:rPr>
          <w:lang w:val="en-GB"/>
        </w:rPr>
        <w:t>and breeding new fuel</w:t>
      </w:r>
      <w:r w:rsidR="00FB1C43">
        <w:rPr>
          <w:lang w:val="en-GB"/>
        </w:rPr>
        <w:t>.</w:t>
      </w:r>
      <w:r w:rsidR="00FE3C66">
        <w:rPr>
          <w:lang w:val="en-GB"/>
        </w:rPr>
        <w:t xml:space="preserve"> </w:t>
      </w:r>
      <w:r w:rsidR="00FE3C66" w:rsidRPr="00FE3C66">
        <w:rPr>
          <w:lang w:val="en-GB"/>
        </w:rPr>
        <w:t xml:space="preserve">Fast reactors are </w:t>
      </w:r>
      <w:r w:rsidR="00FE3C66" w:rsidRPr="00455009">
        <w:rPr>
          <w:lang w:val="en-GB"/>
        </w:rPr>
        <w:t>capable</w:t>
      </w:r>
      <w:r w:rsidR="00FE3C66" w:rsidRPr="00FE3C66">
        <w:rPr>
          <w:lang w:val="en-GB"/>
        </w:rPr>
        <w:t xml:space="preserve"> of destroying the longest-lived nuclear waste, transforming it </w:t>
      </w:r>
      <w:r w:rsidR="000D1485">
        <w:rPr>
          <w:lang w:val="en-GB"/>
        </w:rPr>
        <w:t>in</w:t>
      </w:r>
      <w:r w:rsidR="00FE3C66" w:rsidRPr="00FE3C66">
        <w:rPr>
          <w:lang w:val="en-GB"/>
        </w:rPr>
        <w:t>to waste that decays to harmlessness in centuries rather than hundreds of millenn</w:t>
      </w:r>
      <w:r w:rsidR="00FE3C66">
        <w:rPr>
          <w:lang w:val="en-GB"/>
        </w:rPr>
        <w:t>ia</w:t>
      </w:r>
      <w:r w:rsidR="00670AEB">
        <w:rPr>
          <w:lang w:val="en-GB"/>
        </w:rPr>
        <w:t>.</w:t>
      </w:r>
      <w:r w:rsidR="00FE3C66">
        <w:rPr>
          <w:lang w:val="en-GB"/>
        </w:rPr>
        <w:t xml:space="preserve"> </w:t>
      </w:r>
      <w:r w:rsidR="00670AEB">
        <w:rPr>
          <w:lang w:val="en-GB"/>
        </w:rPr>
        <w:t>R</w:t>
      </w:r>
      <w:r w:rsidR="00FE3C66" w:rsidRPr="00FE3C66">
        <w:rPr>
          <w:lang w:val="en-GB"/>
        </w:rPr>
        <w:t>eactors can employ metallic fuel</w:t>
      </w:r>
      <w:r w:rsidR="00FE3C66">
        <w:rPr>
          <w:lang w:val="en-GB"/>
        </w:rPr>
        <w:t xml:space="preserve">, </w:t>
      </w:r>
      <w:r w:rsidR="00A97C28" w:rsidRPr="00A97C28">
        <w:rPr>
          <w:lang w:val="en-GB"/>
        </w:rPr>
        <w:t>generate a lot of heat in a small space</w:t>
      </w:r>
      <w:r w:rsidR="00A97C28">
        <w:rPr>
          <w:lang w:val="en-GB"/>
        </w:rPr>
        <w:t xml:space="preserve">, </w:t>
      </w:r>
      <w:r w:rsidR="00FE3C66">
        <w:rPr>
          <w:lang w:val="en-GB"/>
        </w:rPr>
        <w:t>etc.</w:t>
      </w:r>
    </w:p>
    <w:p w14:paraId="0FD1B12E" w14:textId="14411D2F" w:rsidR="00FE3C66" w:rsidRDefault="00A97C28" w:rsidP="00AD466F">
      <w:pPr>
        <w:pStyle w:val="Authornameandaffiliation"/>
        <w:ind w:left="0" w:firstLine="567"/>
        <w:jc w:val="both"/>
        <w:rPr>
          <w:lang w:val="en-GB"/>
        </w:rPr>
      </w:pPr>
      <w:r>
        <w:rPr>
          <w:lang w:val="en-GB"/>
        </w:rPr>
        <w:t xml:space="preserve">The </w:t>
      </w:r>
      <w:r w:rsidR="00FE3C66" w:rsidRPr="00FE3C66">
        <w:rPr>
          <w:lang w:val="en-GB"/>
        </w:rPr>
        <w:t xml:space="preserve">fast reactors are liquid metal cooled </w:t>
      </w:r>
      <w:r>
        <w:rPr>
          <w:lang w:val="en-GB"/>
        </w:rPr>
        <w:t xml:space="preserve">and gas cooled. </w:t>
      </w:r>
      <w:r w:rsidRPr="00A97C28">
        <w:rPr>
          <w:lang w:val="en-GB"/>
        </w:rPr>
        <w:t xml:space="preserve">The liquid metals used </w:t>
      </w:r>
      <w:r>
        <w:rPr>
          <w:lang w:val="en-GB"/>
        </w:rPr>
        <w:t xml:space="preserve">in fast reactors </w:t>
      </w:r>
      <w:r w:rsidRPr="00A97C28">
        <w:rPr>
          <w:lang w:val="en-GB"/>
        </w:rPr>
        <w:t>typically need good heat transfer characteristics.</w:t>
      </w:r>
      <w:r>
        <w:rPr>
          <w:lang w:val="en-GB"/>
        </w:rPr>
        <w:t xml:space="preserve"> </w:t>
      </w:r>
      <w:r w:rsidR="00455009">
        <w:rPr>
          <w:lang w:val="en-GB"/>
        </w:rPr>
        <w:t xml:space="preserve">The </w:t>
      </w:r>
      <w:r>
        <w:rPr>
          <w:lang w:val="en-GB"/>
        </w:rPr>
        <w:t>liquid metal coolants used in fast reactors</w:t>
      </w:r>
      <w:r w:rsidR="00EE29E8">
        <w:rPr>
          <w:lang w:val="en-GB"/>
        </w:rPr>
        <w:t xml:space="preserve"> are the following</w:t>
      </w:r>
      <w:r>
        <w:rPr>
          <w:lang w:val="en-GB"/>
        </w:rPr>
        <w:t>: s</w:t>
      </w:r>
      <w:r w:rsidRPr="00A97C28">
        <w:rPr>
          <w:lang w:val="en-GB"/>
        </w:rPr>
        <w:t xml:space="preserve">odium and </w:t>
      </w:r>
      <w:r>
        <w:rPr>
          <w:lang w:val="en-GB"/>
        </w:rPr>
        <w:t xml:space="preserve">its </w:t>
      </w:r>
      <w:r w:rsidRPr="00A97C28">
        <w:rPr>
          <w:lang w:val="en-GB"/>
        </w:rPr>
        <w:t xml:space="preserve">eutectic sodium-potassium alloy </w:t>
      </w:r>
      <w:r>
        <w:rPr>
          <w:lang w:val="en-GB"/>
        </w:rPr>
        <w:t>(</w:t>
      </w:r>
      <w:proofErr w:type="spellStart"/>
      <w:r>
        <w:rPr>
          <w:lang w:val="en-GB"/>
        </w:rPr>
        <w:t>NaK</w:t>
      </w:r>
      <w:proofErr w:type="spellEnd"/>
      <w:r w:rsidRPr="00A97C28">
        <w:rPr>
          <w:lang w:val="en-GB"/>
        </w:rPr>
        <w:t>)</w:t>
      </w:r>
      <w:r>
        <w:rPr>
          <w:lang w:val="en-GB"/>
        </w:rPr>
        <w:t>, m</w:t>
      </w:r>
      <w:r w:rsidRPr="00A97C28">
        <w:rPr>
          <w:lang w:val="en-GB"/>
        </w:rPr>
        <w:t>ercury</w:t>
      </w:r>
      <w:r>
        <w:rPr>
          <w:lang w:val="en-GB"/>
        </w:rPr>
        <w:t xml:space="preserve"> (</w:t>
      </w:r>
      <w:r w:rsidRPr="00A97C28">
        <w:rPr>
          <w:lang w:val="en-GB"/>
        </w:rPr>
        <w:t>this metal is not expected to be used in future reactors</w:t>
      </w:r>
      <w:r>
        <w:rPr>
          <w:lang w:val="en-GB"/>
        </w:rPr>
        <w:t xml:space="preserve">), </w:t>
      </w:r>
      <w:r w:rsidRPr="00A97C28">
        <w:rPr>
          <w:lang w:val="en-GB"/>
        </w:rPr>
        <w:t>lead with bismuth</w:t>
      </w:r>
      <w:r>
        <w:rPr>
          <w:lang w:val="en-GB"/>
        </w:rPr>
        <w:t xml:space="preserve"> and </w:t>
      </w:r>
      <w:r w:rsidRPr="00A97C28">
        <w:rPr>
          <w:lang w:val="en-GB"/>
        </w:rPr>
        <w:t>lead-bismuth eutectic</w:t>
      </w:r>
      <w:r w:rsidR="00775C19" w:rsidRPr="00775C19">
        <w:t xml:space="preserve"> </w:t>
      </w:r>
      <w:r w:rsidR="00775C19" w:rsidRPr="00775C19">
        <w:rPr>
          <w:lang w:val="en-GB"/>
        </w:rPr>
        <w:t>alloy</w:t>
      </w:r>
      <w:r w:rsidR="00E32243">
        <w:rPr>
          <w:lang w:val="en-GB"/>
        </w:rPr>
        <w:t xml:space="preserve"> (</w:t>
      </w:r>
      <w:r w:rsidR="00E32243" w:rsidRPr="00E32243">
        <w:rPr>
          <w:lang w:val="en-GB"/>
        </w:rPr>
        <w:t>LBE</w:t>
      </w:r>
      <w:r w:rsidR="00E32243">
        <w:rPr>
          <w:lang w:val="en-GB"/>
        </w:rPr>
        <w:t>)</w:t>
      </w:r>
      <w:r w:rsidR="00775C19">
        <w:rPr>
          <w:lang w:val="en-GB"/>
        </w:rPr>
        <w:t xml:space="preserve">, and tin. </w:t>
      </w:r>
      <w:r w:rsidR="00775C19" w:rsidRPr="00775C19">
        <w:rPr>
          <w:lang w:val="en-GB"/>
        </w:rPr>
        <w:t xml:space="preserve">The gas used </w:t>
      </w:r>
      <w:r w:rsidR="00775C19">
        <w:rPr>
          <w:lang w:val="en-GB"/>
        </w:rPr>
        <w:t xml:space="preserve">as coolant in fast reactors </w:t>
      </w:r>
      <w:r w:rsidR="00775C19" w:rsidRPr="00775C19">
        <w:rPr>
          <w:lang w:val="en-GB"/>
        </w:rPr>
        <w:t xml:space="preserve">can be </w:t>
      </w:r>
      <w:r w:rsidR="00670AEB">
        <w:rPr>
          <w:lang w:val="en-GB"/>
        </w:rPr>
        <w:t xml:space="preserve">of </w:t>
      </w:r>
      <w:r w:rsidR="00775C19" w:rsidRPr="00775C19">
        <w:rPr>
          <w:lang w:val="en-GB"/>
        </w:rPr>
        <w:t>many different types, including carbon dioxide or helium</w:t>
      </w:r>
      <w:r w:rsidR="00775C19">
        <w:rPr>
          <w:lang w:val="en-GB"/>
        </w:rPr>
        <w:t xml:space="preserve">. The </w:t>
      </w:r>
      <w:r w:rsidR="00EE29E8">
        <w:rPr>
          <w:lang w:val="en-GB"/>
        </w:rPr>
        <w:t xml:space="preserve">lead-cooled </w:t>
      </w:r>
      <w:r w:rsidR="00775C19">
        <w:rPr>
          <w:lang w:val="en-GB"/>
        </w:rPr>
        <w:t xml:space="preserve">fast reactors are symbolised LFR, </w:t>
      </w:r>
      <w:r w:rsidR="00775C19" w:rsidRPr="00775C19">
        <w:rPr>
          <w:lang w:val="en-GB"/>
        </w:rPr>
        <w:t>those who use sodium are noted</w:t>
      </w:r>
      <w:r w:rsidR="00775C19">
        <w:rPr>
          <w:lang w:val="en-GB"/>
        </w:rPr>
        <w:t xml:space="preserve"> NFR and gas</w:t>
      </w:r>
      <w:r w:rsidR="00EE29E8">
        <w:rPr>
          <w:lang w:val="en-GB"/>
        </w:rPr>
        <w:t>-</w:t>
      </w:r>
      <w:r w:rsidR="00775C19">
        <w:rPr>
          <w:lang w:val="en-GB"/>
        </w:rPr>
        <w:t xml:space="preserve">cooled fast reactors are typed GFR. </w:t>
      </w:r>
    </w:p>
    <w:p w14:paraId="7A86D84C" w14:textId="0A185CD7" w:rsidR="00BD74D4" w:rsidRPr="00F0138E" w:rsidRDefault="00985410" w:rsidP="00BD74D4">
      <w:pPr>
        <w:pStyle w:val="Authornameandaffiliation"/>
        <w:ind w:left="0" w:firstLine="567"/>
        <w:jc w:val="both"/>
        <w:rPr>
          <w:lang w:val="en-GB"/>
        </w:rPr>
      </w:pPr>
      <w:r w:rsidRPr="00F0138E">
        <w:rPr>
          <w:lang w:val="en-GB"/>
        </w:rPr>
        <w:t>T</w:t>
      </w:r>
      <w:r w:rsidR="00CE0BBD" w:rsidRPr="00F0138E">
        <w:rPr>
          <w:lang w:val="en-GB"/>
        </w:rPr>
        <w:t xml:space="preserve">his study </w:t>
      </w:r>
      <w:r w:rsidR="00F0138E">
        <w:rPr>
          <w:lang w:val="en-GB"/>
        </w:rPr>
        <w:t>focuses</w:t>
      </w:r>
      <w:r w:rsidR="00CE0BBD" w:rsidRPr="00F0138E">
        <w:rPr>
          <w:lang w:val="en-GB"/>
        </w:rPr>
        <w:t xml:space="preserve"> only </w:t>
      </w:r>
      <w:r w:rsidRPr="00F0138E">
        <w:rPr>
          <w:lang w:val="en-GB"/>
        </w:rPr>
        <w:t xml:space="preserve">on </w:t>
      </w:r>
      <w:r w:rsidR="00CE0BBD" w:rsidRPr="00F0138E">
        <w:rPr>
          <w:lang w:val="en-GB"/>
        </w:rPr>
        <w:t>th</w:t>
      </w:r>
      <w:r w:rsidR="00F0138E">
        <w:rPr>
          <w:lang w:val="en-GB"/>
        </w:rPr>
        <w:t>e</w:t>
      </w:r>
      <w:r w:rsidR="00CE0BBD" w:rsidRPr="00F0138E">
        <w:rPr>
          <w:lang w:val="en-GB"/>
        </w:rPr>
        <w:t xml:space="preserve"> </w:t>
      </w:r>
      <w:r w:rsidRPr="00F0138E">
        <w:rPr>
          <w:lang w:val="en-GB"/>
        </w:rPr>
        <w:t xml:space="preserve">fast reactors </w:t>
      </w:r>
      <w:r w:rsidR="00CE0BBD" w:rsidRPr="00F0138E">
        <w:rPr>
          <w:lang w:val="en-GB"/>
        </w:rPr>
        <w:t xml:space="preserve">under construction or in development. </w:t>
      </w:r>
      <w:r w:rsidR="00775C19" w:rsidRPr="00F0138E">
        <w:rPr>
          <w:lang w:val="en-GB"/>
        </w:rPr>
        <w:t>At this time, 2</w:t>
      </w:r>
      <w:r w:rsidR="00850FFC" w:rsidRPr="00F0138E">
        <w:rPr>
          <w:lang w:val="en-GB"/>
        </w:rPr>
        <w:t>5</w:t>
      </w:r>
      <w:r w:rsidR="00775C19" w:rsidRPr="00F0138E">
        <w:rPr>
          <w:lang w:val="en-GB"/>
        </w:rPr>
        <w:t xml:space="preserve"> types of </w:t>
      </w:r>
      <w:r w:rsidR="00CE0BBD" w:rsidRPr="00F0138E">
        <w:rPr>
          <w:lang w:val="en-GB"/>
        </w:rPr>
        <w:t xml:space="preserve">fast </w:t>
      </w:r>
      <w:r w:rsidR="00775C19" w:rsidRPr="00F0138E">
        <w:rPr>
          <w:lang w:val="en-GB"/>
        </w:rPr>
        <w:t>reactors are known</w:t>
      </w:r>
      <w:r w:rsidR="00537B0C" w:rsidRPr="00537B0C">
        <w:t xml:space="preserve"> </w:t>
      </w:r>
      <w:r w:rsidR="00537B0C">
        <w:rPr>
          <w:lang w:val="en-GB"/>
        </w:rPr>
        <w:t>which are listed in Table 1</w:t>
      </w:r>
      <w:r w:rsidR="00BD74D4" w:rsidRPr="00F0138E">
        <w:rPr>
          <w:lang w:val="en-GB"/>
        </w:rPr>
        <w:t>. Those decommissioned, active, under repair or never operated are not mentioned</w:t>
      </w:r>
      <w:r w:rsidR="00F65AA0" w:rsidRPr="00F0138E">
        <w:rPr>
          <w:lang w:val="en-GB"/>
        </w:rPr>
        <w:t xml:space="preserve"> [2]</w:t>
      </w:r>
      <w:r w:rsidR="00BD74D4" w:rsidRPr="00F0138E">
        <w:rPr>
          <w:lang w:val="en-GB"/>
        </w:rPr>
        <w:t xml:space="preserve">. </w:t>
      </w:r>
    </w:p>
    <w:p w14:paraId="2224CA5B" w14:textId="29468214" w:rsidR="00EE0041" w:rsidRDefault="00AD466F" w:rsidP="00AD466F">
      <w:pPr>
        <w:pStyle w:val="Authornameandaffiliation"/>
        <w:ind w:left="0" w:firstLine="567"/>
        <w:jc w:val="both"/>
        <w:rPr>
          <w:lang w:val="en-GB"/>
        </w:rPr>
      </w:pPr>
      <w:r w:rsidRPr="00AD466F">
        <w:rPr>
          <w:lang w:val="en-GB"/>
        </w:rPr>
        <w:t xml:space="preserve">The most studied and built </w:t>
      </w:r>
      <w:r w:rsidR="00BD74D4">
        <w:rPr>
          <w:lang w:val="en-GB"/>
        </w:rPr>
        <w:t>f</w:t>
      </w:r>
      <w:r w:rsidRPr="00AD466F">
        <w:rPr>
          <w:lang w:val="en-GB"/>
        </w:rPr>
        <w:t xml:space="preserve">ast reactor type is the </w:t>
      </w:r>
      <w:r w:rsidR="00BD74D4">
        <w:rPr>
          <w:lang w:val="en-GB"/>
        </w:rPr>
        <w:t xml:space="preserve">sodium-cooled </w:t>
      </w:r>
      <w:r w:rsidR="00CB6659">
        <w:rPr>
          <w:lang w:val="en-GB"/>
        </w:rPr>
        <w:t xml:space="preserve">one, </w:t>
      </w:r>
      <w:r w:rsidR="00BD74D4">
        <w:rPr>
          <w:lang w:val="en-GB"/>
        </w:rPr>
        <w:t>but the l</w:t>
      </w:r>
      <w:r w:rsidRPr="00AD466F">
        <w:rPr>
          <w:lang w:val="en-GB"/>
        </w:rPr>
        <w:t xml:space="preserve">ead-cooled fast reactor </w:t>
      </w:r>
      <w:r w:rsidR="00CB6659">
        <w:rPr>
          <w:lang w:val="en-GB"/>
        </w:rPr>
        <w:t xml:space="preserve">also </w:t>
      </w:r>
      <w:r w:rsidRPr="00AD466F">
        <w:rPr>
          <w:lang w:val="en-GB"/>
        </w:rPr>
        <w:t>ha</w:t>
      </w:r>
      <w:r w:rsidR="00CB6659">
        <w:rPr>
          <w:lang w:val="en-GB"/>
        </w:rPr>
        <w:t>s</w:t>
      </w:r>
      <w:r w:rsidRPr="00AD466F">
        <w:rPr>
          <w:lang w:val="en-GB"/>
        </w:rPr>
        <w:t xml:space="preserve"> </w:t>
      </w:r>
      <w:r w:rsidR="00BD74D4">
        <w:rPr>
          <w:lang w:val="en-GB"/>
        </w:rPr>
        <w:t xml:space="preserve">advantages </w:t>
      </w:r>
      <w:r w:rsidR="00BD74D4" w:rsidRPr="00BD74D4">
        <w:rPr>
          <w:lang w:val="en-GB"/>
        </w:rPr>
        <w:t>and</w:t>
      </w:r>
      <w:r w:rsidR="00F0138E">
        <w:rPr>
          <w:lang w:val="en-GB"/>
        </w:rPr>
        <w:t xml:space="preserve"> </w:t>
      </w:r>
      <w:r w:rsidR="00BD74D4" w:rsidRPr="00985410">
        <w:rPr>
          <w:lang w:val="en-GB"/>
        </w:rPr>
        <w:t xml:space="preserve">piqued the interest of the scientific community. </w:t>
      </w:r>
    </w:p>
    <w:p w14:paraId="7873CA84" w14:textId="77777777" w:rsidR="00C948CB" w:rsidRDefault="00C948CB" w:rsidP="00C948CB">
      <w:pPr>
        <w:pStyle w:val="Authornameandaffiliation"/>
        <w:ind w:firstLine="567"/>
      </w:pPr>
    </w:p>
    <w:p w14:paraId="0D2D1268" w14:textId="77777777" w:rsidR="00C948CB" w:rsidRPr="00C948CB" w:rsidRDefault="00C948CB" w:rsidP="00C948CB">
      <w:pPr>
        <w:pStyle w:val="Authornameandaffiliation"/>
        <w:ind w:firstLine="567"/>
      </w:pPr>
      <w:r w:rsidRPr="00C948CB">
        <w:t>TABLE 1.</w:t>
      </w:r>
      <w:r w:rsidRPr="00C948CB">
        <w:tab/>
        <w:t>FAST-NEUTRON REACTORS</w:t>
      </w:r>
    </w:p>
    <w:tbl>
      <w:tblPr>
        <w:tblW w:w="8788" w:type="dxa"/>
        <w:jc w:val="righ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1"/>
        <w:gridCol w:w="1336"/>
        <w:gridCol w:w="3195"/>
        <w:gridCol w:w="1276"/>
        <w:gridCol w:w="960"/>
        <w:gridCol w:w="1450"/>
      </w:tblGrid>
      <w:tr w:rsidR="00C948CB" w:rsidRPr="00C948CB" w14:paraId="5E6A3A51" w14:textId="77777777" w:rsidTr="00C948CB">
        <w:trPr>
          <w:trHeight w:val="288"/>
          <w:jc w:val="right"/>
        </w:trPr>
        <w:tc>
          <w:tcPr>
            <w:tcW w:w="571" w:type="dxa"/>
            <w:vAlign w:val="center"/>
          </w:tcPr>
          <w:p w14:paraId="1527DB5A" w14:textId="77777777" w:rsidR="00C948CB" w:rsidRPr="00C948CB" w:rsidRDefault="00C948CB" w:rsidP="00C948CB">
            <w:pPr>
              <w:rPr>
                <w:b/>
                <w:bCs/>
                <w:color w:val="000000"/>
                <w:sz w:val="18"/>
                <w:szCs w:val="18"/>
              </w:rPr>
            </w:pPr>
          </w:p>
        </w:tc>
        <w:tc>
          <w:tcPr>
            <w:tcW w:w="1336" w:type="dxa"/>
            <w:shd w:val="clear" w:color="auto" w:fill="auto"/>
            <w:noWrap/>
            <w:vAlign w:val="center"/>
            <w:hideMark/>
          </w:tcPr>
          <w:p w14:paraId="3516CEAF" w14:textId="77777777" w:rsidR="00C948CB" w:rsidRPr="00CC63BD" w:rsidRDefault="00C948CB" w:rsidP="00C948CB">
            <w:pPr>
              <w:rPr>
                <w:b/>
                <w:bCs/>
                <w:color w:val="000000"/>
                <w:sz w:val="18"/>
                <w:szCs w:val="18"/>
              </w:rPr>
            </w:pPr>
            <w:r w:rsidRPr="00C948CB">
              <w:rPr>
                <w:b/>
                <w:bCs/>
                <w:color w:val="000000"/>
                <w:sz w:val="18"/>
                <w:szCs w:val="18"/>
              </w:rPr>
              <w:t>Acronym</w:t>
            </w:r>
          </w:p>
        </w:tc>
        <w:tc>
          <w:tcPr>
            <w:tcW w:w="3195" w:type="dxa"/>
            <w:shd w:val="clear" w:color="auto" w:fill="auto"/>
            <w:noWrap/>
            <w:vAlign w:val="center"/>
            <w:hideMark/>
          </w:tcPr>
          <w:p w14:paraId="4703D1E3" w14:textId="77777777" w:rsidR="00C948CB" w:rsidRPr="00CC63BD" w:rsidRDefault="00C948CB" w:rsidP="00C948CB">
            <w:pPr>
              <w:rPr>
                <w:b/>
                <w:bCs/>
                <w:color w:val="000000"/>
                <w:sz w:val="18"/>
                <w:szCs w:val="18"/>
              </w:rPr>
            </w:pPr>
            <w:r w:rsidRPr="00CC63BD">
              <w:rPr>
                <w:b/>
                <w:bCs/>
                <w:color w:val="000000"/>
                <w:sz w:val="18"/>
                <w:szCs w:val="18"/>
              </w:rPr>
              <w:t>Name</w:t>
            </w:r>
          </w:p>
        </w:tc>
        <w:tc>
          <w:tcPr>
            <w:tcW w:w="1276" w:type="dxa"/>
            <w:shd w:val="clear" w:color="auto" w:fill="auto"/>
            <w:noWrap/>
            <w:vAlign w:val="center"/>
            <w:hideMark/>
          </w:tcPr>
          <w:p w14:paraId="7897C1C9" w14:textId="77777777" w:rsidR="00C948CB" w:rsidRPr="00CC63BD" w:rsidRDefault="00C948CB" w:rsidP="00C948CB">
            <w:pPr>
              <w:rPr>
                <w:b/>
                <w:bCs/>
                <w:color w:val="000000"/>
                <w:sz w:val="18"/>
                <w:szCs w:val="18"/>
              </w:rPr>
            </w:pPr>
            <w:r w:rsidRPr="00CC63BD">
              <w:rPr>
                <w:b/>
                <w:bCs/>
                <w:color w:val="000000"/>
                <w:sz w:val="18"/>
                <w:szCs w:val="18"/>
              </w:rPr>
              <w:t>Coolant</w:t>
            </w:r>
          </w:p>
        </w:tc>
        <w:tc>
          <w:tcPr>
            <w:tcW w:w="960" w:type="dxa"/>
            <w:shd w:val="clear" w:color="auto" w:fill="auto"/>
            <w:noWrap/>
            <w:vAlign w:val="center"/>
            <w:hideMark/>
          </w:tcPr>
          <w:p w14:paraId="70F2316E" w14:textId="77777777" w:rsidR="00C948CB" w:rsidRPr="00CC63BD" w:rsidRDefault="00C948CB" w:rsidP="00C948CB">
            <w:pPr>
              <w:rPr>
                <w:b/>
                <w:bCs/>
                <w:color w:val="000000"/>
                <w:sz w:val="18"/>
                <w:szCs w:val="18"/>
              </w:rPr>
            </w:pPr>
            <w:r w:rsidRPr="00CC63BD">
              <w:rPr>
                <w:b/>
                <w:bCs/>
                <w:color w:val="000000"/>
                <w:sz w:val="18"/>
                <w:szCs w:val="18"/>
              </w:rPr>
              <w:t>Type</w:t>
            </w:r>
          </w:p>
        </w:tc>
        <w:tc>
          <w:tcPr>
            <w:tcW w:w="1450" w:type="dxa"/>
            <w:shd w:val="clear" w:color="auto" w:fill="auto"/>
            <w:noWrap/>
            <w:vAlign w:val="center"/>
            <w:hideMark/>
          </w:tcPr>
          <w:p w14:paraId="165F3B14" w14:textId="77777777" w:rsidR="00C948CB" w:rsidRPr="00CC63BD" w:rsidRDefault="00C948CB" w:rsidP="00C948CB">
            <w:pPr>
              <w:jc w:val="center"/>
              <w:rPr>
                <w:b/>
                <w:color w:val="000000"/>
                <w:sz w:val="18"/>
                <w:szCs w:val="18"/>
              </w:rPr>
            </w:pPr>
            <w:r w:rsidRPr="00C948CB">
              <w:rPr>
                <w:b/>
                <w:color w:val="000000"/>
                <w:sz w:val="18"/>
                <w:szCs w:val="18"/>
              </w:rPr>
              <w:t xml:space="preserve">System Temperature </w:t>
            </w:r>
          </w:p>
        </w:tc>
      </w:tr>
      <w:tr w:rsidR="00C948CB" w:rsidRPr="00C948CB" w14:paraId="522422C5" w14:textId="77777777" w:rsidTr="00C948CB">
        <w:trPr>
          <w:trHeight w:val="288"/>
          <w:jc w:val="right"/>
        </w:trPr>
        <w:tc>
          <w:tcPr>
            <w:tcW w:w="571" w:type="dxa"/>
            <w:vAlign w:val="center"/>
          </w:tcPr>
          <w:p w14:paraId="2C4C1D47" w14:textId="77777777" w:rsidR="00C948CB" w:rsidRPr="00C948CB" w:rsidRDefault="00C948CB" w:rsidP="00C948CB">
            <w:pPr>
              <w:rPr>
                <w:color w:val="000000"/>
                <w:sz w:val="18"/>
                <w:szCs w:val="18"/>
              </w:rPr>
            </w:pPr>
            <w:r w:rsidRPr="00C948CB">
              <w:rPr>
                <w:color w:val="000000"/>
                <w:sz w:val="18"/>
                <w:szCs w:val="18"/>
              </w:rPr>
              <w:t>1</w:t>
            </w:r>
          </w:p>
        </w:tc>
        <w:tc>
          <w:tcPr>
            <w:tcW w:w="1336" w:type="dxa"/>
            <w:shd w:val="clear" w:color="auto" w:fill="auto"/>
            <w:noWrap/>
            <w:vAlign w:val="center"/>
            <w:hideMark/>
          </w:tcPr>
          <w:p w14:paraId="7F0BFD30" w14:textId="77777777" w:rsidR="00C948CB" w:rsidRPr="00CC63BD" w:rsidRDefault="00C948CB" w:rsidP="00C948CB">
            <w:pPr>
              <w:rPr>
                <w:color w:val="000000"/>
                <w:sz w:val="18"/>
                <w:szCs w:val="18"/>
              </w:rPr>
            </w:pPr>
            <w:r w:rsidRPr="00CC63BD">
              <w:rPr>
                <w:color w:val="000000"/>
                <w:sz w:val="18"/>
                <w:szCs w:val="18"/>
              </w:rPr>
              <w:t>ALFRED</w:t>
            </w:r>
          </w:p>
        </w:tc>
        <w:tc>
          <w:tcPr>
            <w:tcW w:w="3195" w:type="dxa"/>
            <w:shd w:val="clear" w:color="auto" w:fill="auto"/>
            <w:noWrap/>
            <w:vAlign w:val="center"/>
            <w:hideMark/>
          </w:tcPr>
          <w:p w14:paraId="09FD16D2" w14:textId="77777777" w:rsidR="00C948CB" w:rsidRPr="00CC63BD" w:rsidRDefault="00C948CB" w:rsidP="00C948CB">
            <w:pPr>
              <w:rPr>
                <w:color w:val="000000"/>
                <w:sz w:val="18"/>
                <w:szCs w:val="18"/>
              </w:rPr>
            </w:pPr>
            <w:r w:rsidRPr="00CC63BD">
              <w:rPr>
                <w:color w:val="000000"/>
                <w:sz w:val="18"/>
                <w:szCs w:val="18"/>
              </w:rPr>
              <w:t>Advanced Lead Fast Reactor European Demonstrator</w:t>
            </w:r>
          </w:p>
        </w:tc>
        <w:tc>
          <w:tcPr>
            <w:tcW w:w="1276" w:type="dxa"/>
            <w:shd w:val="clear" w:color="auto" w:fill="auto"/>
            <w:noWrap/>
            <w:vAlign w:val="center"/>
            <w:hideMark/>
          </w:tcPr>
          <w:p w14:paraId="4D613DD8"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268E7338"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41E6E676" w14:textId="522B3F30" w:rsidR="00C948CB" w:rsidRPr="00CC63BD" w:rsidRDefault="00C948CB" w:rsidP="00166752">
            <w:pPr>
              <w:jc w:val="center"/>
              <w:rPr>
                <w:color w:val="000000"/>
                <w:sz w:val="18"/>
                <w:szCs w:val="18"/>
              </w:rPr>
            </w:pPr>
            <w:r w:rsidRPr="00CC63BD">
              <w:rPr>
                <w:color w:val="000000"/>
                <w:sz w:val="18"/>
                <w:szCs w:val="18"/>
              </w:rPr>
              <w:t>400</w:t>
            </w:r>
            <w:r w:rsidR="00166752">
              <w:rPr>
                <w:color w:val="000000"/>
                <w:sz w:val="18"/>
                <w:szCs w:val="18"/>
              </w:rPr>
              <w:t>-</w:t>
            </w:r>
            <w:r w:rsidRPr="00CC63BD">
              <w:rPr>
                <w:color w:val="000000"/>
                <w:sz w:val="18"/>
                <w:szCs w:val="18"/>
              </w:rPr>
              <w:t>480</w:t>
            </w:r>
            <w:r w:rsidRPr="00C948CB">
              <w:rPr>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4643A5E0" w14:textId="77777777" w:rsidTr="00C948CB">
        <w:trPr>
          <w:trHeight w:val="288"/>
          <w:jc w:val="right"/>
        </w:trPr>
        <w:tc>
          <w:tcPr>
            <w:tcW w:w="571" w:type="dxa"/>
            <w:vAlign w:val="center"/>
          </w:tcPr>
          <w:p w14:paraId="4F56BA9B" w14:textId="77777777" w:rsidR="00C948CB" w:rsidRPr="00C948CB" w:rsidRDefault="00C948CB" w:rsidP="00C948CB">
            <w:pPr>
              <w:rPr>
                <w:color w:val="000000"/>
                <w:sz w:val="18"/>
                <w:szCs w:val="18"/>
              </w:rPr>
            </w:pPr>
            <w:r w:rsidRPr="00C948CB">
              <w:rPr>
                <w:color w:val="000000"/>
                <w:sz w:val="18"/>
                <w:szCs w:val="18"/>
              </w:rPr>
              <w:t>2</w:t>
            </w:r>
          </w:p>
        </w:tc>
        <w:tc>
          <w:tcPr>
            <w:tcW w:w="1336" w:type="dxa"/>
            <w:shd w:val="clear" w:color="auto" w:fill="auto"/>
            <w:noWrap/>
            <w:vAlign w:val="center"/>
            <w:hideMark/>
          </w:tcPr>
          <w:p w14:paraId="4D419A62" w14:textId="77777777" w:rsidR="00C948CB" w:rsidRPr="00CC63BD" w:rsidRDefault="00C948CB" w:rsidP="00C948CB">
            <w:pPr>
              <w:rPr>
                <w:color w:val="000000"/>
                <w:sz w:val="18"/>
                <w:szCs w:val="18"/>
              </w:rPr>
            </w:pPr>
            <w:r w:rsidRPr="00CC63BD">
              <w:rPr>
                <w:color w:val="000000"/>
                <w:sz w:val="18"/>
                <w:szCs w:val="18"/>
              </w:rPr>
              <w:t>ALLEGRO</w:t>
            </w:r>
          </w:p>
        </w:tc>
        <w:tc>
          <w:tcPr>
            <w:tcW w:w="3195" w:type="dxa"/>
            <w:shd w:val="clear" w:color="auto" w:fill="auto"/>
            <w:noWrap/>
            <w:vAlign w:val="center"/>
            <w:hideMark/>
          </w:tcPr>
          <w:p w14:paraId="68CC85C7" w14:textId="77777777" w:rsidR="00C948CB" w:rsidRPr="00CC63BD" w:rsidRDefault="00C948CB" w:rsidP="00C948CB">
            <w:pPr>
              <w:rPr>
                <w:color w:val="000000"/>
                <w:sz w:val="18"/>
                <w:szCs w:val="18"/>
              </w:rPr>
            </w:pPr>
            <w:r w:rsidRPr="00CC63BD">
              <w:rPr>
                <w:color w:val="000000"/>
                <w:sz w:val="18"/>
                <w:szCs w:val="18"/>
              </w:rPr>
              <w:t>ALLEGRO</w:t>
            </w:r>
          </w:p>
        </w:tc>
        <w:tc>
          <w:tcPr>
            <w:tcW w:w="1276" w:type="dxa"/>
            <w:shd w:val="clear" w:color="auto" w:fill="auto"/>
            <w:noWrap/>
            <w:vAlign w:val="center"/>
            <w:hideMark/>
          </w:tcPr>
          <w:p w14:paraId="09351DE1" w14:textId="77777777" w:rsidR="00C948CB" w:rsidRPr="00CC63BD" w:rsidRDefault="00C948CB" w:rsidP="00C948CB">
            <w:pPr>
              <w:rPr>
                <w:color w:val="000000"/>
                <w:sz w:val="18"/>
                <w:szCs w:val="18"/>
              </w:rPr>
            </w:pPr>
            <w:r w:rsidRPr="00CC63BD">
              <w:rPr>
                <w:color w:val="000000"/>
                <w:sz w:val="18"/>
                <w:szCs w:val="18"/>
              </w:rPr>
              <w:t>Helium</w:t>
            </w:r>
          </w:p>
        </w:tc>
        <w:tc>
          <w:tcPr>
            <w:tcW w:w="960" w:type="dxa"/>
            <w:shd w:val="clear" w:color="auto" w:fill="auto"/>
            <w:noWrap/>
            <w:vAlign w:val="center"/>
            <w:hideMark/>
          </w:tcPr>
          <w:p w14:paraId="55C7FA82" w14:textId="77777777" w:rsidR="00C948CB" w:rsidRPr="00CC63BD" w:rsidRDefault="00C948CB" w:rsidP="00C948CB">
            <w:pPr>
              <w:rPr>
                <w:color w:val="000000"/>
                <w:sz w:val="18"/>
                <w:szCs w:val="18"/>
              </w:rPr>
            </w:pPr>
            <w:r w:rsidRPr="00CC63BD">
              <w:rPr>
                <w:color w:val="000000"/>
                <w:sz w:val="18"/>
                <w:szCs w:val="18"/>
              </w:rPr>
              <w:t>GFR</w:t>
            </w:r>
          </w:p>
        </w:tc>
        <w:tc>
          <w:tcPr>
            <w:tcW w:w="1450" w:type="dxa"/>
            <w:shd w:val="clear" w:color="auto" w:fill="auto"/>
            <w:noWrap/>
            <w:vAlign w:val="center"/>
            <w:hideMark/>
          </w:tcPr>
          <w:p w14:paraId="73E228C9" w14:textId="77777777" w:rsidR="00C948CB" w:rsidRPr="00CC63BD" w:rsidRDefault="00C948CB" w:rsidP="00C948CB">
            <w:pPr>
              <w:jc w:val="center"/>
              <w:rPr>
                <w:color w:val="000000"/>
                <w:sz w:val="18"/>
                <w:szCs w:val="18"/>
              </w:rPr>
            </w:pPr>
            <w:r w:rsidRPr="00CC63BD">
              <w:rPr>
                <w:color w:val="000000"/>
                <w:sz w:val="18"/>
                <w:szCs w:val="18"/>
              </w:rPr>
              <w:t>530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F92139E" w14:textId="77777777" w:rsidTr="00C948CB">
        <w:trPr>
          <w:trHeight w:val="288"/>
          <w:jc w:val="right"/>
        </w:trPr>
        <w:tc>
          <w:tcPr>
            <w:tcW w:w="571" w:type="dxa"/>
            <w:vAlign w:val="center"/>
          </w:tcPr>
          <w:p w14:paraId="2C3F49C8" w14:textId="77777777" w:rsidR="00C948CB" w:rsidRPr="00C948CB" w:rsidRDefault="00C948CB" w:rsidP="00C948CB">
            <w:pPr>
              <w:rPr>
                <w:color w:val="000000"/>
                <w:sz w:val="18"/>
                <w:szCs w:val="18"/>
              </w:rPr>
            </w:pPr>
            <w:r w:rsidRPr="00C948CB">
              <w:rPr>
                <w:color w:val="000000"/>
                <w:sz w:val="18"/>
                <w:szCs w:val="18"/>
              </w:rPr>
              <w:t>3</w:t>
            </w:r>
          </w:p>
        </w:tc>
        <w:tc>
          <w:tcPr>
            <w:tcW w:w="1336" w:type="dxa"/>
            <w:shd w:val="clear" w:color="auto" w:fill="auto"/>
            <w:noWrap/>
            <w:vAlign w:val="center"/>
            <w:hideMark/>
          </w:tcPr>
          <w:p w14:paraId="12FE5B78" w14:textId="77777777" w:rsidR="00C948CB" w:rsidRPr="00CC63BD" w:rsidRDefault="00C948CB" w:rsidP="00C948CB">
            <w:pPr>
              <w:rPr>
                <w:color w:val="000000"/>
                <w:sz w:val="18"/>
                <w:szCs w:val="18"/>
              </w:rPr>
            </w:pPr>
            <w:r w:rsidRPr="00CC63BD">
              <w:rPr>
                <w:color w:val="000000"/>
                <w:sz w:val="18"/>
                <w:szCs w:val="18"/>
              </w:rPr>
              <w:t>ASTRID</w:t>
            </w:r>
          </w:p>
        </w:tc>
        <w:tc>
          <w:tcPr>
            <w:tcW w:w="3195" w:type="dxa"/>
            <w:shd w:val="clear" w:color="auto" w:fill="auto"/>
            <w:noWrap/>
            <w:vAlign w:val="center"/>
            <w:hideMark/>
          </w:tcPr>
          <w:p w14:paraId="4307CDF4" w14:textId="77777777" w:rsidR="00C948CB" w:rsidRPr="00CC63BD" w:rsidRDefault="00C948CB" w:rsidP="00C948CB">
            <w:pPr>
              <w:rPr>
                <w:color w:val="000000"/>
                <w:sz w:val="18"/>
                <w:szCs w:val="18"/>
              </w:rPr>
            </w:pPr>
            <w:r w:rsidRPr="00CC63BD">
              <w:rPr>
                <w:color w:val="000000"/>
                <w:sz w:val="18"/>
                <w:szCs w:val="18"/>
              </w:rPr>
              <w:t>Advanced Sodium Technological Reactor for Industrial Demonstration</w:t>
            </w:r>
          </w:p>
        </w:tc>
        <w:tc>
          <w:tcPr>
            <w:tcW w:w="1276" w:type="dxa"/>
            <w:shd w:val="clear" w:color="auto" w:fill="auto"/>
            <w:noWrap/>
            <w:vAlign w:val="center"/>
            <w:hideMark/>
          </w:tcPr>
          <w:p w14:paraId="1D74EECC"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29F9C3D4"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6DDA6CF0" w14:textId="77777777" w:rsidR="00C948CB" w:rsidRPr="00CC63BD" w:rsidRDefault="00C948CB" w:rsidP="00C948CB">
            <w:pPr>
              <w:jc w:val="center"/>
              <w:rPr>
                <w:color w:val="000000"/>
                <w:sz w:val="18"/>
                <w:szCs w:val="18"/>
              </w:rPr>
            </w:pPr>
            <w:r w:rsidRPr="00CC63BD">
              <w:rPr>
                <w:color w:val="000000"/>
                <w:sz w:val="18"/>
                <w:szCs w:val="18"/>
              </w:rPr>
              <w:t>475</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464EDC59" w14:textId="77777777" w:rsidTr="00C948CB">
        <w:trPr>
          <w:trHeight w:val="288"/>
          <w:jc w:val="right"/>
        </w:trPr>
        <w:tc>
          <w:tcPr>
            <w:tcW w:w="571" w:type="dxa"/>
            <w:vAlign w:val="center"/>
          </w:tcPr>
          <w:p w14:paraId="52078BE9" w14:textId="77777777" w:rsidR="00C948CB" w:rsidRPr="00C948CB" w:rsidRDefault="00C948CB" w:rsidP="00C948CB">
            <w:pPr>
              <w:rPr>
                <w:color w:val="000000"/>
                <w:sz w:val="18"/>
                <w:szCs w:val="18"/>
              </w:rPr>
            </w:pPr>
            <w:r w:rsidRPr="00C948CB">
              <w:rPr>
                <w:color w:val="000000"/>
                <w:sz w:val="18"/>
                <w:szCs w:val="18"/>
              </w:rPr>
              <w:t>4</w:t>
            </w:r>
          </w:p>
        </w:tc>
        <w:tc>
          <w:tcPr>
            <w:tcW w:w="1336" w:type="dxa"/>
            <w:shd w:val="clear" w:color="auto" w:fill="auto"/>
            <w:noWrap/>
            <w:vAlign w:val="center"/>
            <w:hideMark/>
          </w:tcPr>
          <w:p w14:paraId="068F38B3" w14:textId="77777777" w:rsidR="00C948CB" w:rsidRPr="00CC63BD" w:rsidRDefault="00C948CB" w:rsidP="00C948CB">
            <w:pPr>
              <w:rPr>
                <w:color w:val="000000"/>
                <w:sz w:val="18"/>
                <w:szCs w:val="18"/>
              </w:rPr>
            </w:pPr>
            <w:r w:rsidRPr="00CC63BD">
              <w:rPr>
                <w:color w:val="000000"/>
                <w:sz w:val="18"/>
                <w:szCs w:val="18"/>
              </w:rPr>
              <w:t>BN-1200</w:t>
            </w:r>
          </w:p>
        </w:tc>
        <w:tc>
          <w:tcPr>
            <w:tcW w:w="3195" w:type="dxa"/>
            <w:shd w:val="clear" w:color="auto" w:fill="auto"/>
            <w:noWrap/>
            <w:vAlign w:val="center"/>
            <w:hideMark/>
          </w:tcPr>
          <w:p w14:paraId="3F7ED058" w14:textId="77777777" w:rsidR="00C948CB" w:rsidRPr="00CC63BD" w:rsidRDefault="00C948CB" w:rsidP="00C948CB">
            <w:pPr>
              <w:rPr>
                <w:color w:val="000000"/>
                <w:sz w:val="18"/>
                <w:szCs w:val="18"/>
              </w:rPr>
            </w:pPr>
            <w:r w:rsidRPr="00CC63BD">
              <w:rPr>
                <w:color w:val="000000"/>
                <w:sz w:val="18"/>
                <w:szCs w:val="18"/>
              </w:rPr>
              <w:t>BN-1200</w:t>
            </w:r>
          </w:p>
        </w:tc>
        <w:tc>
          <w:tcPr>
            <w:tcW w:w="1276" w:type="dxa"/>
            <w:shd w:val="clear" w:color="auto" w:fill="auto"/>
            <w:noWrap/>
            <w:vAlign w:val="center"/>
            <w:hideMark/>
          </w:tcPr>
          <w:p w14:paraId="7F0B84F9"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77F94FD2"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327825CC" w14:textId="77777777" w:rsidR="00C948CB" w:rsidRPr="00CC63BD" w:rsidRDefault="00C948CB" w:rsidP="00C948CB">
            <w:pPr>
              <w:jc w:val="center"/>
              <w:rPr>
                <w:color w:val="000000"/>
                <w:sz w:val="18"/>
                <w:szCs w:val="18"/>
              </w:rPr>
            </w:pPr>
            <w:r w:rsidRPr="00CC63BD">
              <w:rPr>
                <w:color w:val="000000"/>
                <w:sz w:val="18"/>
                <w:szCs w:val="18"/>
              </w:rPr>
              <w:t>410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009FA2C6" w14:textId="77777777" w:rsidTr="00C948CB">
        <w:trPr>
          <w:trHeight w:val="288"/>
          <w:jc w:val="right"/>
        </w:trPr>
        <w:tc>
          <w:tcPr>
            <w:tcW w:w="571" w:type="dxa"/>
            <w:vAlign w:val="center"/>
          </w:tcPr>
          <w:p w14:paraId="5A6828FC" w14:textId="77777777" w:rsidR="00C948CB" w:rsidRPr="00C948CB" w:rsidRDefault="00C948CB" w:rsidP="00C948CB">
            <w:pPr>
              <w:rPr>
                <w:color w:val="000000"/>
                <w:sz w:val="18"/>
                <w:szCs w:val="18"/>
              </w:rPr>
            </w:pPr>
            <w:r w:rsidRPr="00C948CB">
              <w:rPr>
                <w:color w:val="000000"/>
                <w:sz w:val="18"/>
                <w:szCs w:val="18"/>
              </w:rPr>
              <w:t>5</w:t>
            </w:r>
          </w:p>
        </w:tc>
        <w:tc>
          <w:tcPr>
            <w:tcW w:w="1336" w:type="dxa"/>
            <w:shd w:val="clear" w:color="auto" w:fill="auto"/>
            <w:noWrap/>
            <w:vAlign w:val="center"/>
            <w:hideMark/>
          </w:tcPr>
          <w:p w14:paraId="68F91F8A" w14:textId="77777777" w:rsidR="00C948CB" w:rsidRPr="00CC63BD" w:rsidRDefault="00C948CB" w:rsidP="00C948CB">
            <w:pPr>
              <w:rPr>
                <w:color w:val="000000"/>
                <w:sz w:val="18"/>
                <w:szCs w:val="18"/>
              </w:rPr>
            </w:pPr>
            <w:r w:rsidRPr="00CC63BD">
              <w:rPr>
                <w:color w:val="000000"/>
                <w:sz w:val="18"/>
                <w:szCs w:val="18"/>
              </w:rPr>
              <w:t>BREST-OD-300</w:t>
            </w:r>
          </w:p>
        </w:tc>
        <w:tc>
          <w:tcPr>
            <w:tcW w:w="3195" w:type="dxa"/>
            <w:shd w:val="clear" w:color="auto" w:fill="auto"/>
            <w:noWrap/>
            <w:vAlign w:val="center"/>
            <w:hideMark/>
          </w:tcPr>
          <w:p w14:paraId="383BE2BA" w14:textId="77777777" w:rsidR="00C948CB" w:rsidRPr="00CC63BD" w:rsidRDefault="00C948CB" w:rsidP="00C948CB">
            <w:pPr>
              <w:rPr>
                <w:color w:val="000000"/>
                <w:sz w:val="18"/>
                <w:szCs w:val="18"/>
              </w:rPr>
            </w:pPr>
            <w:r w:rsidRPr="00CC63BD">
              <w:rPr>
                <w:color w:val="000000"/>
                <w:sz w:val="18"/>
                <w:szCs w:val="18"/>
              </w:rPr>
              <w:t>BREST-OD-300</w:t>
            </w:r>
          </w:p>
        </w:tc>
        <w:tc>
          <w:tcPr>
            <w:tcW w:w="1276" w:type="dxa"/>
            <w:shd w:val="clear" w:color="auto" w:fill="auto"/>
            <w:noWrap/>
            <w:vAlign w:val="center"/>
            <w:hideMark/>
          </w:tcPr>
          <w:p w14:paraId="6C75BB21"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7B98DEB7"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32A50AE4" w14:textId="5C64F7E1" w:rsidR="00C948CB" w:rsidRPr="00CC63BD" w:rsidRDefault="00C948CB" w:rsidP="00166752">
            <w:pPr>
              <w:jc w:val="center"/>
              <w:rPr>
                <w:sz w:val="18"/>
                <w:szCs w:val="18"/>
              </w:rPr>
            </w:pPr>
            <w:r w:rsidRPr="00CC63BD">
              <w:rPr>
                <w:color w:val="000000"/>
                <w:sz w:val="18"/>
                <w:szCs w:val="18"/>
              </w:rPr>
              <w:t>420</w:t>
            </w:r>
            <w:r w:rsidR="00166752">
              <w:rPr>
                <w:color w:val="000000"/>
                <w:sz w:val="18"/>
                <w:szCs w:val="18"/>
              </w:rPr>
              <w:t>-</w:t>
            </w:r>
            <w:r w:rsidRPr="00CC63BD">
              <w:rPr>
                <w:color w:val="000000"/>
                <w:sz w:val="18"/>
                <w:szCs w:val="18"/>
              </w:rPr>
              <w:t>540</w:t>
            </w:r>
            <w:r w:rsidRPr="00C948CB">
              <w:rPr>
                <w:color w:val="000000"/>
                <w:sz w:val="18"/>
                <w:szCs w:val="18"/>
              </w:rPr>
              <w:t xml:space="preserve"> </w:t>
            </w:r>
            <w:proofErr w:type="spellStart"/>
            <w:r w:rsidRPr="00C948CB">
              <w:rPr>
                <w:color w:val="000000"/>
                <w:sz w:val="18"/>
                <w:szCs w:val="18"/>
                <w:vertAlign w:val="superscript"/>
              </w:rPr>
              <w:t>o</w:t>
            </w:r>
            <w:r w:rsidR="00537B0C">
              <w:rPr>
                <w:color w:val="000000"/>
                <w:sz w:val="18"/>
                <w:szCs w:val="18"/>
              </w:rPr>
              <w:t>C</w:t>
            </w:r>
            <w:proofErr w:type="spellEnd"/>
          </w:p>
        </w:tc>
      </w:tr>
      <w:tr w:rsidR="00C948CB" w:rsidRPr="00C948CB" w14:paraId="5FDFC9AC" w14:textId="77777777" w:rsidTr="00C948CB">
        <w:trPr>
          <w:trHeight w:val="288"/>
          <w:jc w:val="right"/>
        </w:trPr>
        <w:tc>
          <w:tcPr>
            <w:tcW w:w="571" w:type="dxa"/>
            <w:vAlign w:val="center"/>
          </w:tcPr>
          <w:p w14:paraId="07344686" w14:textId="77777777" w:rsidR="00C948CB" w:rsidRPr="00C948CB" w:rsidRDefault="00C948CB" w:rsidP="00C948CB">
            <w:pPr>
              <w:rPr>
                <w:color w:val="000000"/>
                <w:sz w:val="18"/>
                <w:szCs w:val="18"/>
              </w:rPr>
            </w:pPr>
            <w:r w:rsidRPr="00C948CB">
              <w:rPr>
                <w:color w:val="000000"/>
                <w:sz w:val="18"/>
                <w:szCs w:val="18"/>
              </w:rPr>
              <w:t>6</w:t>
            </w:r>
          </w:p>
        </w:tc>
        <w:tc>
          <w:tcPr>
            <w:tcW w:w="1336" w:type="dxa"/>
            <w:shd w:val="clear" w:color="auto" w:fill="auto"/>
            <w:noWrap/>
            <w:vAlign w:val="center"/>
            <w:hideMark/>
          </w:tcPr>
          <w:p w14:paraId="7B8225D2" w14:textId="77777777" w:rsidR="00C948CB" w:rsidRPr="00CC63BD" w:rsidRDefault="00C948CB" w:rsidP="00C948CB">
            <w:pPr>
              <w:rPr>
                <w:color w:val="000000"/>
                <w:sz w:val="18"/>
                <w:szCs w:val="18"/>
              </w:rPr>
            </w:pPr>
            <w:r w:rsidRPr="00CC63BD">
              <w:rPr>
                <w:color w:val="000000"/>
                <w:sz w:val="18"/>
                <w:szCs w:val="18"/>
              </w:rPr>
              <w:t>CFR-600</w:t>
            </w:r>
          </w:p>
        </w:tc>
        <w:tc>
          <w:tcPr>
            <w:tcW w:w="3195" w:type="dxa"/>
            <w:shd w:val="clear" w:color="auto" w:fill="auto"/>
            <w:noWrap/>
            <w:vAlign w:val="center"/>
            <w:hideMark/>
          </w:tcPr>
          <w:p w14:paraId="4AF1D5E6" w14:textId="77777777" w:rsidR="00C948CB" w:rsidRPr="00CC63BD" w:rsidRDefault="00C948CB" w:rsidP="00C948CB">
            <w:pPr>
              <w:rPr>
                <w:color w:val="000000"/>
                <w:sz w:val="18"/>
                <w:szCs w:val="18"/>
              </w:rPr>
            </w:pPr>
            <w:r w:rsidRPr="00CC63BD">
              <w:rPr>
                <w:color w:val="000000"/>
                <w:sz w:val="18"/>
                <w:szCs w:val="18"/>
              </w:rPr>
              <w:t>China Fast Reactor 600</w:t>
            </w:r>
          </w:p>
        </w:tc>
        <w:tc>
          <w:tcPr>
            <w:tcW w:w="1276" w:type="dxa"/>
            <w:shd w:val="clear" w:color="auto" w:fill="auto"/>
            <w:noWrap/>
            <w:vAlign w:val="center"/>
            <w:hideMark/>
          </w:tcPr>
          <w:p w14:paraId="3AA7AA4D"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4D3D2C54"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3EDA82FC" w14:textId="44EF4785" w:rsidR="00C948CB" w:rsidRPr="00CC63BD" w:rsidRDefault="00C948CB" w:rsidP="00166752">
            <w:pPr>
              <w:jc w:val="center"/>
              <w:rPr>
                <w:color w:val="000000"/>
                <w:sz w:val="18"/>
                <w:szCs w:val="18"/>
              </w:rPr>
            </w:pPr>
            <w:r w:rsidRPr="00CC63BD">
              <w:rPr>
                <w:color w:val="000000"/>
                <w:sz w:val="18"/>
                <w:szCs w:val="18"/>
              </w:rPr>
              <w:t>380</w:t>
            </w:r>
            <w:r w:rsidR="00166752">
              <w:rPr>
                <w:color w:val="000000"/>
                <w:sz w:val="18"/>
                <w:szCs w:val="18"/>
              </w:rPr>
              <w:t>-</w:t>
            </w:r>
            <w:r w:rsidRPr="00CC63BD">
              <w:rPr>
                <w:color w:val="000000"/>
                <w:sz w:val="18"/>
                <w:szCs w:val="18"/>
              </w:rPr>
              <w:t>550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2F0FC89A" w14:textId="77777777" w:rsidTr="00C948CB">
        <w:trPr>
          <w:trHeight w:val="288"/>
          <w:jc w:val="right"/>
        </w:trPr>
        <w:tc>
          <w:tcPr>
            <w:tcW w:w="571" w:type="dxa"/>
            <w:vAlign w:val="center"/>
          </w:tcPr>
          <w:p w14:paraId="2748BA4E" w14:textId="77777777" w:rsidR="00C948CB" w:rsidRPr="00C948CB" w:rsidRDefault="00C948CB" w:rsidP="00C948CB">
            <w:pPr>
              <w:rPr>
                <w:color w:val="000000"/>
                <w:sz w:val="18"/>
                <w:szCs w:val="18"/>
              </w:rPr>
            </w:pPr>
            <w:r w:rsidRPr="00C948CB">
              <w:rPr>
                <w:color w:val="000000"/>
                <w:sz w:val="18"/>
                <w:szCs w:val="18"/>
              </w:rPr>
              <w:t>7</w:t>
            </w:r>
          </w:p>
        </w:tc>
        <w:tc>
          <w:tcPr>
            <w:tcW w:w="1336" w:type="dxa"/>
            <w:shd w:val="clear" w:color="auto" w:fill="auto"/>
            <w:noWrap/>
            <w:vAlign w:val="center"/>
            <w:hideMark/>
          </w:tcPr>
          <w:p w14:paraId="2C200E9D" w14:textId="77777777" w:rsidR="00C948CB" w:rsidRPr="00CC63BD" w:rsidRDefault="00C948CB" w:rsidP="00C948CB">
            <w:pPr>
              <w:rPr>
                <w:color w:val="000000"/>
                <w:sz w:val="18"/>
                <w:szCs w:val="18"/>
              </w:rPr>
            </w:pPr>
            <w:r w:rsidRPr="00CC63BD">
              <w:rPr>
                <w:color w:val="000000"/>
                <w:sz w:val="18"/>
                <w:szCs w:val="18"/>
              </w:rPr>
              <w:t>CLEAR-I</w:t>
            </w:r>
          </w:p>
        </w:tc>
        <w:tc>
          <w:tcPr>
            <w:tcW w:w="3195" w:type="dxa"/>
            <w:shd w:val="clear" w:color="auto" w:fill="auto"/>
            <w:noWrap/>
            <w:vAlign w:val="center"/>
            <w:hideMark/>
          </w:tcPr>
          <w:p w14:paraId="64DD736D" w14:textId="77777777" w:rsidR="00C948CB" w:rsidRPr="00CC63BD" w:rsidRDefault="00C948CB" w:rsidP="00C948CB">
            <w:pPr>
              <w:rPr>
                <w:color w:val="000000"/>
                <w:sz w:val="18"/>
                <w:szCs w:val="18"/>
              </w:rPr>
            </w:pPr>
            <w:r w:rsidRPr="00CC63BD">
              <w:rPr>
                <w:color w:val="000000"/>
                <w:sz w:val="18"/>
                <w:szCs w:val="18"/>
              </w:rPr>
              <w:t xml:space="preserve">China </w:t>
            </w:r>
            <w:proofErr w:type="spellStart"/>
            <w:r w:rsidRPr="00CC63BD">
              <w:rPr>
                <w:color w:val="000000"/>
                <w:sz w:val="18"/>
                <w:szCs w:val="18"/>
              </w:rPr>
              <w:t>LEAd</w:t>
            </w:r>
            <w:proofErr w:type="spellEnd"/>
            <w:r w:rsidRPr="00CC63BD">
              <w:rPr>
                <w:color w:val="000000"/>
                <w:sz w:val="18"/>
                <w:szCs w:val="18"/>
              </w:rPr>
              <w:t>-based Research Reactor</w:t>
            </w:r>
          </w:p>
        </w:tc>
        <w:tc>
          <w:tcPr>
            <w:tcW w:w="1276" w:type="dxa"/>
            <w:shd w:val="clear" w:color="auto" w:fill="auto"/>
            <w:noWrap/>
            <w:vAlign w:val="center"/>
            <w:hideMark/>
          </w:tcPr>
          <w:p w14:paraId="1EA20700" w14:textId="77777777" w:rsidR="00C948CB" w:rsidRPr="00CC63BD" w:rsidRDefault="00C948CB" w:rsidP="00C948CB">
            <w:pPr>
              <w:rPr>
                <w:color w:val="000000"/>
                <w:sz w:val="18"/>
                <w:szCs w:val="18"/>
              </w:rPr>
            </w:pPr>
            <w:r w:rsidRPr="00C948CB">
              <w:rPr>
                <w:color w:val="000000"/>
                <w:sz w:val="18"/>
                <w:szCs w:val="18"/>
              </w:rPr>
              <w:t>LBE</w:t>
            </w:r>
          </w:p>
        </w:tc>
        <w:tc>
          <w:tcPr>
            <w:tcW w:w="960" w:type="dxa"/>
            <w:shd w:val="clear" w:color="auto" w:fill="auto"/>
            <w:noWrap/>
            <w:vAlign w:val="center"/>
            <w:hideMark/>
          </w:tcPr>
          <w:p w14:paraId="48F33BC7"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364924A6" w14:textId="168499B8" w:rsidR="00C948CB" w:rsidRPr="00CC63BD" w:rsidRDefault="00C948CB" w:rsidP="00166752">
            <w:pPr>
              <w:jc w:val="center"/>
              <w:rPr>
                <w:color w:val="000000"/>
                <w:sz w:val="18"/>
                <w:szCs w:val="18"/>
              </w:rPr>
            </w:pPr>
            <w:r w:rsidRPr="00CC63BD">
              <w:rPr>
                <w:color w:val="000000"/>
                <w:sz w:val="18"/>
                <w:szCs w:val="18"/>
              </w:rPr>
              <w:t>260</w:t>
            </w:r>
            <w:r w:rsidR="00166752">
              <w:rPr>
                <w:color w:val="000000"/>
                <w:sz w:val="18"/>
                <w:szCs w:val="18"/>
              </w:rPr>
              <w:t>-</w:t>
            </w:r>
            <w:r w:rsidRPr="00CC63BD">
              <w:rPr>
                <w:color w:val="000000"/>
                <w:sz w:val="18"/>
                <w:szCs w:val="18"/>
              </w:rPr>
              <w:t>390</w:t>
            </w:r>
            <w:r w:rsidRPr="00C948CB">
              <w:rPr>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3D18521" w14:textId="77777777" w:rsidTr="00C948CB">
        <w:trPr>
          <w:trHeight w:val="288"/>
          <w:jc w:val="right"/>
        </w:trPr>
        <w:tc>
          <w:tcPr>
            <w:tcW w:w="571" w:type="dxa"/>
            <w:vAlign w:val="center"/>
          </w:tcPr>
          <w:p w14:paraId="0B8F7CB0" w14:textId="77777777" w:rsidR="00C948CB" w:rsidRPr="00C948CB" w:rsidRDefault="00C948CB" w:rsidP="00C948CB">
            <w:pPr>
              <w:rPr>
                <w:color w:val="000000"/>
                <w:sz w:val="18"/>
                <w:szCs w:val="18"/>
              </w:rPr>
            </w:pPr>
            <w:r w:rsidRPr="00C948CB">
              <w:rPr>
                <w:color w:val="000000"/>
                <w:sz w:val="18"/>
                <w:szCs w:val="18"/>
              </w:rPr>
              <w:t>8</w:t>
            </w:r>
          </w:p>
        </w:tc>
        <w:tc>
          <w:tcPr>
            <w:tcW w:w="1336" w:type="dxa"/>
            <w:shd w:val="clear" w:color="auto" w:fill="auto"/>
            <w:noWrap/>
            <w:vAlign w:val="center"/>
            <w:hideMark/>
          </w:tcPr>
          <w:p w14:paraId="1AAF1D05" w14:textId="77777777" w:rsidR="00C948CB" w:rsidRPr="00CC63BD" w:rsidRDefault="00C948CB" w:rsidP="00C948CB">
            <w:pPr>
              <w:rPr>
                <w:color w:val="000000"/>
                <w:sz w:val="18"/>
                <w:szCs w:val="18"/>
              </w:rPr>
            </w:pPr>
            <w:r w:rsidRPr="00CC63BD">
              <w:rPr>
                <w:color w:val="000000"/>
                <w:sz w:val="18"/>
                <w:szCs w:val="18"/>
              </w:rPr>
              <w:t>ELECTRA</w:t>
            </w:r>
          </w:p>
        </w:tc>
        <w:tc>
          <w:tcPr>
            <w:tcW w:w="3195" w:type="dxa"/>
            <w:shd w:val="clear" w:color="auto" w:fill="auto"/>
            <w:noWrap/>
            <w:vAlign w:val="center"/>
            <w:hideMark/>
          </w:tcPr>
          <w:p w14:paraId="4AF8FB51" w14:textId="77777777" w:rsidR="00C948CB" w:rsidRPr="00CC63BD" w:rsidRDefault="00C948CB" w:rsidP="00C948CB">
            <w:pPr>
              <w:rPr>
                <w:color w:val="000000"/>
                <w:sz w:val="18"/>
                <w:szCs w:val="18"/>
              </w:rPr>
            </w:pPr>
            <w:r w:rsidRPr="00CC63BD">
              <w:rPr>
                <w:color w:val="000000"/>
                <w:sz w:val="18"/>
                <w:szCs w:val="18"/>
              </w:rPr>
              <w:t>European Lead Cooled Training Reactor</w:t>
            </w:r>
          </w:p>
        </w:tc>
        <w:tc>
          <w:tcPr>
            <w:tcW w:w="1276" w:type="dxa"/>
            <w:shd w:val="clear" w:color="auto" w:fill="auto"/>
            <w:noWrap/>
            <w:vAlign w:val="center"/>
            <w:hideMark/>
          </w:tcPr>
          <w:p w14:paraId="4CCE3C99"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1EF7A22F"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1D15AE6E" w14:textId="3009C99D" w:rsidR="00C948CB" w:rsidRPr="00CC63BD" w:rsidRDefault="00C948CB" w:rsidP="00166752">
            <w:pPr>
              <w:jc w:val="center"/>
              <w:rPr>
                <w:color w:val="000000"/>
                <w:sz w:val="18"/>
                <w:szCs w:val="18"/>
              </w:rPr>
            </w:pPr>
            <w:r w:rsidRPr="00CC63BD">
              <w:rPr>
                <w:color w:val="000000"/>
                <w:sz w:val="18"/>
                <w:szCs w:val="18"/>
              </w:rPr>
              <w:t>400</w:t>
            </w:r>
            <w:r w:rsidR="00166752">
              <w:rPr>
                <w:color w:val="000000"/>
                <w:sz w:val="18"/>
                <w:szCs w:val="18"/>
              </w:rPr>
              <w:t>-</w:t>
            </w:r>
            <w:r w:rsidRPr="00CC63BD">
              <w:rPr>
                <w:color w:val="000000"/>
                <w:sz w:val="18"/>
                <w:szCs w:val="18"/>
              </w:rPr>
              <w:t>500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5751CA11" w14:textId="77777777" w:rsidTr="00C948CB">
        <w:trPr>
          <w:trHeight w:val="288"/>
          <w:jc w:val="right"/>
        </w:trPr>
        <w:tc>
          <w:tcPr>
            <w:tcW w:w="571" w:type="dxa"/>
            <w:vAlign w:val="center"/>
          </w:tcPr>
          <w:p w14:paraId="77ED34A7" w14:textId="77777777" w:rsidR="00C948CB" w:rsidRPr="00C948CB" w:rsidRDefault="00C948CB" w:rsidP="00C948CB">
            <w:pPr>
              <w:rPr>
                <w:color w:val="000000"/>
                <w:sz w:val="18"/>
                <w:szCs w:val="18"/>
              </w:rPr>
            </w:pPr>
            <w:r w:rsidRPr="00C948CB">
              <w:rPr>
                <w:color w:val="000000"/>
                <w:sz w:val="18"/>
                <w:szCs w:val="18"/>
              </w:rPr>
              <w:t>9</w:t>
            </w:r>
          </w:p>
        </w:tc>
        <w:tc>
          <w:tcPr>
            <w:tcW w:w="1336" w:type="dxa"/>
            <w:shd w:val="clear" w:color="auto" w:fill="auto"/>
            <w:noWrap/>
            <w:vAlign w:val="center"/>
            <w:hideMark/>
          </w:tcPr>
          <w:p w14:paraId="6209D98F" w14:textId="77777777" w:rsidR="00C948CB" w:rsidRPr="00CC63BD" w:rsidRDefault="00C948CB" w:rsidP="00C948CB">
            <w:pPr>
              <w:rPr>
                <w:color w:val="000000"/>
                <w:sz w:val="18"/>
                <w:szCs w:val="18"/>
              </w:rPr>
            </w:pPr>
            <w:r w:rsidRPr="00CC63BD">
              <w:rPr>
                <w:color w:val="000000"/>
                <w:sz w:val="18"/>
                <w:szCs w:val="18"/>
              </w:rPr>
              <w:t>ELFR</w:t>
            </w:r>
          </w:p>
        </w:tc>
        <w:tc>
          <w:tcPr>
            <w:tcW w:w="3195" w:type="dxa"/>
            <w:shd w:val="clear" w:color="auto" w:fill="auto"/>
            <w:noWrap/>
            <w:vAlign w:val="center"/>
            <w:hideMark/>
          </w:tcPr>
          <w:p w14:paraId="2EEC3C8F" w14:textId="77777777" w:rsidR="00C948CB" w:rsidRPr="00CC63BD" w:rsidRDefault="00C948CB" w:rsidP="00C948CB">
            <w:pPr>
              <w:rPr>
                <w:color w:val="000000"/>
                <w:sz w:val="18"/>
                <w:szCs w:val="18"/>
              </w:rPr>
            </w:pPr>
            <w:r w:rsidRPr="00CC63BD">
              <w:rPr>
                <w:color w:val="000000"/>
                <w:sz w:val="18"/>
                <w:szCs w:val="18"/>
              </w:rPr>
              <w:t>European Lead Fast Reactor</w:t>
            </w:r>
          </w:p>
        </w:tc>
        <w:tc>
          <w:tcPr>
            <w:tcW w:w="1276" w:type="dxa"/>
            <w:shd w:val="clear" w:color="auto" w:fill="auto"/>
            <w:noWrap/>
            <w:vAlign w:val="center"/>
            <w:hideMark/>
          </w:tcPr>
          <w:p w14:paraId="37DC0C39"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0FCDAB1F"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602A7184" w14:textId="440427B4" w:rsidR="00C948CB" w:rsidRPr="00CC63BD" w:rsidRDefault="00C948CB" w:rsidP="00166752">
            <w:pPr>
              <w:jc w:val="center"/>
              <w:rPr>
                <w:color w:val="000000"/>
                <w:sz w:val="18"/>
                <w:szCs w:val="18"/>
              </w:rPr>
            </w:pPr>
            <w:r w:rsidRPr="00CC63BD">
              <w:rPr>
                <w:color w:val="000000"/>
                <w:sz w:val="18"/>
                <w:szCs w:val="18"/>
              </w:rPr>
              <w:t>400</w:t>
            </w:r>
            <w:r w:rsidR="00166752">
              <w:rPr>
                <w:color w:val="000000"/>
                <w:sz w:val="18"/>
                <w:szCs w:val="18"/>
              </w:rPr>
              <w:t>-</w:t>
            </w:r>
            <w:r w:rsidRPr="00CC63BD">
              <w:rPr>
                <w:color w:val="000000"/>
                <w:sz w:val="18"/>
                <w:szCs w:val="18"/>
              </w:rPr>
              <w:t>48</w:t>
            </w:r>
            <w:r>
              <w:rPr>
                <w:color w:val="000000"/>
                <w:sz w:val="18"/>
                <w:szCs w:val="18"/>
              </w:rPr>
              <w:t>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201C04E" w14:textId="77777777" w:rsidTr="00C948CB">
        <w:trPr>
          <w:trHeight w:val="288"/>
          <w:jc w:val="right"/>
        </w:trPr>
        <w:tc>
          <w:tcPr>
            <w:tcW w:w="571" w:type="dxa"/>
            <w:vAlign w:val="center"/>
          </w:tcPr>
          <w:p w14:paraId="77C1C457" w14:textId="77777777" w:rsidR="00C948CB" w:rsidRPr="00C948CB" w:rsidRDefault="00C948CB" w:rsidP="00C948CB">
            <w:pPr>
              <w:rPr>
                <w:color w:val="000000"/>
                <w:sz w:val="18"/>
                <w:szCs w:val="18"/>
              </w:rPr>
            </w:pPr>
            <w:r w:rsidRPr="00C948CB">
              <w:rPr>
                <w:color w:val="000000"/>
                <w:sz w:val="18"/>
                <w:szCs w:val="18"/>
              </w:rPr>
              <w:t>10</w:t>
            </w:r>
          </w:p>
        </w:tc>
        <w:tc>
          <w:tcPr>
            <w:tcW w:w="1336" w:type="dxa"/>
            <w:shd w:val="clear" w:color="auto" w:fill="auto"/>
            <w:noWrap/>
            <w:vAlign w:val="center"/>
            <w:hideMark/>
          </w:tcPr>
          <w:p w14:paraId="5F963976" w14:textId="77777777" w:rsidR="00C948CB" w:rsidRPr="00CC63BD" w:rsidRDefault="00C948CB" w:rsidP="00C948CB">
            <w:pPr>
              <w:rPr>
                <w:color w:val="000000"/>
                <w:sz w:val="18"/>
                <w:szCs w:val="18"/>
              </w:rPr>
            </w:pPr>
            <w:r w:rsidRPr="00CC63BD">
              <w:rPr>
                <w:color w:val="000000"/>
                <w:sz w:val="18"/>
                <w:szCs w:val="18"/>
              </w:rPr>
              <w:t>EM2</w:t>
            </w:r>
          </w:p>
        </w:tc>
        <w:tc>
          <w:tcPr>
            <w:tcW w:w="3195" w:type="dxa"/>
            <w:shd w:val="clear" w:color="auto" w:fill="auto"/>
            <w:noWrap/>
            <w:vAlign w:val="center"/>
            <w:hideMark/>
          </w:tcPr>
          <w:p w14:paraId="21274773" w14:textId="77777777" w:rsidR="00C948CB" w:rsidRPr="00CC63BD" w:rsidRDefault="00C948CB" w:rsidP="00C948CB">
            <w:pPr>
              <w:rPr>
                <w:color w:val="000000"/>
                <w:sz w:val="18"/>
                <w:szCs w:val="18"/>
              </w:rPr>
            </w:pPr>
            <w:r w:rsidRPr="00CC63BD">
              <w:rPr>
                <w:color w:val="000000"/>
                <w:sz w:val="18"/>
                <w:szCs w:val="18"/>
              </w:rPr>
              <w:t>Energy Multiplier Module</w:t>
            </w:r>
          </w:p>
        </w:tc>
        <w:tc>
          <w:tcPr>
            <w:tcW w:w="1276" w:type="dxa"/>
            <w:shd w:val="clear" w:color="auto" w:fill="auto"/>
            <w:noWrap/>
            <w:vAlign w:val="center"/>
            <w:hideMark/>
          </w:tcPr>
          <w:p w14:paraId="7AECC99C" w14:textId="77777777" w:rsidR="00C948CB" w:rsidRPr="00CC63BD" w:rsidRDefault="00C948CB" w:rsidP="00C948CB">
            <w:pPr>
              <w:rPr>
                <w:color w:val="000000"/>
                <w:sz w:val="18"/>
                <w:szCs w:val="18"/>
              </w:rPr>
            </w:pPr>
            <w:r w:rsidRPr="00CC63BD">
              <w:rPr>
                <w:color w:val="000000"/>
                <w:sz w:val="18"/>
                <w:szCs w:val="18"/>
              </w:rPr>
              <w:t>Helium</w:t>
            </w:r>
          </w:p>
        </w:tc>
        <w:tc>
          <w:tcPr>
            <w:tcW w:w="960" w:type="dxa"/>
            <w:shd w:val="clear" w:color="auto" w:fill="auto"/>
            <w:noWrap/>
            <w:vAlign w:val="center"/>
            <w:hideMark/>
          </w:tcPr>
          <w:p w14:paraId="68FF66C5" w14:textId="77777777" w:rsidR="00C948CB" w:rsidRPr="00CC63BD" w:rsidRDefault="00C948CB" w:rsidP="00C948CB">
            <w:pPr>
              <w:rPr>
                <w:color w:val="000000"/>
                <w:sz w:val="18"/>
                <w:szCs w:val="18"/>
              </w:rPr>
            </w:pPr>
            <w:r w:rsidRPr="00CC63BD">
              <w:rPr>
                <w:color w:val="000000"/>
                <w:sz w:val="18"/>
                <w:szCs w:val="18"/>
              </w:rPr>
              <w:t>GFR</w:t>
            </w:r>
          </w:p>
        </w:tc>
        <w:tc>
          <w:tcPr>
            <w:tcW w:w="1450" w:type="dxa"/>
            <w:shd w:val="clear" w:color="auto" w:fill="auto"/>
            <w:noWrap/>
            <w:vAlign w:val="center"/>
            <w:hideMark/>
          </w:tcPr>
          <w:p w14:paraId="29169292" w14:textId="74BEB128" w:rsidR="00C948CB" w:rsidRPr="00CC63BD" w:rsidRDefault="00C948CB" w:rsidP="00166752">
            <w:pPr>
              <w:jc w:val="center"/>
              <w:rPr>
                <w:sz w:val="18"/>
                <w:szCs w:val="18"/>
              </w:rPr>
            </w:pPr>
            <w:r w:rsidRPr="00CC63BD">
              <w:rPr>
                <w:color w:val="000000"/>
                <w:sz w:val="18"/>
                <w:szCs w:val="18"/>
              </w:rPr>
              <w:t>550</w:t>
            </w:r>
            <w:r w:rsidR="00166752">
              <w:rPr>
                <w:color w:val="000000"/>
                <w:sz w:val="18"/>
                <w:szCs w:val="18"/>
              </w:rPr>
              <w:t>-</w:t>
            </w:r>
            <w:r w:rsidRPr="00CC63BD">
              <w:rPr>
                <w:color w:val="000000"/>
                <w:sz w:val="18"/>
                <w:szCs w:val="18"/>
              </w:rPr>
              <w:t>850</w:t>
            </w:r>
            <w:r w:rsidR="00996259">
              <w:t xml:space="preserve"> </w:t>
            </w:r>
            <w:proofErr w:type="spellStart"/>
            <w:r w:rsidR="00996259" w:rsidRPr="00996259">
              <w:rPr>
                <w:color w:val="000000"/>
                <w:sz w:val="18"/>
                <w:szCs w:val="18"/>
                <w:vertAlign w:val="superscript"/>
              </w:rPr>
              <w:t>o</w:t>
            </w:r>
            <w:r w:rsidR="00537B0C">
              <w:rPr>
                <w:color w:val="000000"/>
                <w:sz w:val="18"/>
                <w:szCs w:val="18"/>
              </w:rPr>
              <w:t>C</w:t>
            </w:r>
            <w:proofErr w:type="spellEnd"/>
          </w:p>
        </w:tc>
      </w:tr>
      <w:tr w:rsidR="00C948CB" w:rsidRPr="00C948CB" w14:paraId="069A8E8F" w14:textId="77777777" w:rsidTr="00C948CB">
        <w:trPr>
          <w:trHeight w:val="288"/>
          <w:jc w:val="right"/>
        </w:trPr>
        <w:tc>
          <w:tcPr>
            <w:tcW w:w="571" w:type="dxa"/>
            <w:vAlign w:val="center"/>
          </w:tcPr>
          <w:p w14:paraId="783B654C" w14:textId="77777777" w:rsidR="00C948CB" w:rsidRPr="00C948CB" w:rsidRDefault="00C948CB" w:rsidP="00C948CB">
            <w:pPr>
              <w:rPr>
                <w:color w:val="000000"/>
                <w:sz w:val="18"/>
                <w:szCs w:val="18"/>
              </w:rPr>
            </w:pPr>
            <w:r w:rsidRPr="00C948CB">
              <w:rPr>
                <w:color w:val="000000"/>
                <w:sz w:val="18"/>
                <w:szCs w:val="18"/>
              </w:rPr>
              <w:t>11</w:t>
            </w:r>
          </w:p>
        </w:tc>
        <w:tc>
          <w:tcPr>
            <w:tcW w:w="1336" w:type="dxa"/>
            <w:shd w:val="clear" w:color="auto" w:fill="auto"/>
            <w:noWrap/>
            <w:vAlign w:val="center"/>
            <w:hideMark/>
          </w:tcPr>
          <w:p w14:paraId="19AA0335" w14:textId="77777777" w:rsidR="00C948CB" w:rsidRPr="00CC63BD" w:rsidRDefault="00C948CB" w:rsidP="00C948CB">
            <w:pPr>
              <w:rPr>
                <w:color w:val="000000"/>
                <w:sz w:val="18"/>
                <w:szCs w:val="18"/>
              </w:rPr>
            </w:pPr>
            <w:r w:rsidRPr="00CC63BD">
              <w:rPr>
                <w:color w:val="000000"/>
                <w:sz w:val="18"/>
                <w:szCs w:val="18"/>
              </w:rPr>
              <w:t>FBR-1 &amp; 2</w:t>
            </w:r>
          </w:p>
        </w:tc>
        <w:tc>
          <w:tcPr>
            <w:tcW w:w="3195" w:type="dxa"/>
            <w:shd w:val="clear" w:color="auto" w:fill="auto"/>
            <w:noWrap/>
            <w:vAlign w:val="center"/>
            <w:hideMark/>
          </w:tcPr>
          <w:p w14:paraId="2A49BFA1" w14:textId="77777777" w:rsidR="00C948CB" w:rsidRPr="00CC63BD" w:rsidRDefault="00C948CB" w:rsidP="00C948CB">
            <w:pPr>
              <w:rPr>
                <w:color w:val="000000"/>
                <w:sz w:val="18"/>
                <w:szCs w:val="18"/>
              </w:rPr>
            </w:pPr>
            <w:r w:rsidRPr="00CC63BD">
              <w:rPr>
                <w:color w:val="000000"/>
                <w:sz w:val="18"/>
                <w:szCs w:val="18"/>
              </w:rPr>
              <w:t>Fast Breeder Reactors 1 &amp; 2</w:t>
            </w:r>
          </w:p>
        </w:tc>
        <w:tc>
          <w:tcPr>
            <w:tcW w:w="1276" w:type="dxa"/>
            <w:shd w:val="clear" w:color="auto" w:fill="auto"/>
            <w:noWrap/>
            <w:vAlign w:val="center"/>
            <w:hideMark/>
          </w:tcPr>
          <w:p w14:paraId="6A493FE1"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17248404"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6EE948CB" w14:textId="406EE7FB" w:rsidR="00C948CB" w:rsidRPr="00CC63BD" w:rsidRDefault="00C948CB" w:rsidP="00166752">
            <w:pPr>
              <w:jc w:val="center"/>
              <w:rPr>
                <w:color w:val="000000"/>
                <w:sz w:val="18"/>
                <w:szCs w:val="18"/>
              </w:rPr>
            </w:pPr>
            <w:r w:rsidRPr="00CC63BD">
              <w:rPr>
                <w:color w:val="000000"/>
                <w:sz w:val="18"/>
                <w:szCs w:val="18"/>
              </w:rPr>
              <w:t>397</w:t>
            </w:r>
            <w:r w:rsidR="00166752">
              <w:rPr>
                <w:color w:val="000000"/>
                <w:sz w:val="18"/>
                <w:szCs w:val="18"/>
              </w:rPr>
              <w:t>-</w:t>
            </w:r>
            <w:r w:rsidRPr="00CC63BD">
              <w:rPr>
                <w:color w:val="000000"/>
                <w:sz w:val="18"/>
                <w:szCs w:val="18"/>
              </w:rPr>
              <w:t>547</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8B419C4" w14:textId="77777777" w:rsidTr="00C948CB">
        <w:trPr>
          <w:trHeight w:val="288"/>
          <w:jc w:val="right"/>
        </w:trPr>
        <w:tc>
          <w:tcPr>
            <w:tcW w:w="571" w:type="dxa"/>
            <w:vAlign w:val="center"/>
          </w:tcPr>
          <w:p w14:paraId="725BAC55" w14:textId="77777777" w:rsidR="00C948CB" w:rsidRPr="00C948CB" w:rsidRDefault="00C948CB" w:rsidP="00C948CB">
            <w:pPr>
              <w:rPr>
                <w:color w:val="000000"/>
                <w:sz w:val="18"/>
                <w:szCs w:val="18"/>
              </w:rPr>
            </w:pPr>
            <w:r w:rsidRPr="00C948CB">
              <w:rPr>
                <w:color w:val="000000"/>
                <w:sz w:val="18"/>
                <w:szCs w:val="18"/>
              </w:rPr>
              <w:t>12</w:t>
            </w:r>
          </w:p>
        </w:tc>
        <w:tc>
          <w:tcPr>
            <w:tcW w:w="1336" w:type="dxa"/>
            <w:shd w:val="clear" w:color="auto" w:fill="auto"/>
            <w:noWrap/>
            <w:vAlign w:val="center"/>
            <w:hideMark/>
          </w:tcPr>
          <w:p w14:paraId="41EF3569" w14:textId="77777777" w:rsidR="00C948CB" w:rsidRPr="00CC63BD" w:rsidRDefault="00C948CB" w:rsidP="00C948CB">
            <w:pPr>
              <w:rPr>
                <w:color w:val="000000"/>
                <w:sz w:val="18"/>
                <w:szCs w:val="18"/>
              </w:rPr>
            </w:pPr>
            <w:r w:rsidRPr="00CC63BD">
              <w:rPr>
                <w:color w:val="000000"/>
                <w:sz w:val="18"/>
                <w:szCs w:val="18"/>
              </w:rPr>
              <w:t>G4M</w:t>
            </w:r>
          </w:p>
        </w:tc>
        <w:tc>
          <w:tcPr>
            <w:tcW w:w="3195" w:type="dxa"/>
            <w:shd w:val="clear" w:color="auto" w:fill="auto"/>
            <w:noWrap/>
            <w:vAlign w:val="center"/>
            <w:hideMark/>
          </w:tcPr>
          <w:p w14:paraId="10E0D2CA" w14:textId="77777777" w:rsidR="00C948CB" w:rsidRPr="00CC63BD" w:rsidRDefault="00C948CB" w:rsidP="00C948CB">
            <w:pPr>
              <w:rPr>
                <w:color w:val="000000"/>
                <w:sz w:val="18"/>
                <w:szCs w:val="18"/>
              </w:rPr>
            </w:pPr>
            <w:r w:rsidRPr="00CC63BD">
              <w:rPr>
                <w:color w:val="000000"/>
                <w:sz w:val="18"/>
                <w:szCs w:val="18"/>
              </w:rPr>
              <w:t>Gen4 Module</w:t>
            </w:r>
          </w:p>
        </w:tc>
        <w:tc>
          <w:tcPr>
            <w:tcW w:w="1276" w:type="dxa"/>
            <w:shd w:val="clear" w:color="auto" w:fill="auto"/>
            <w:noWrap/>
            <w:vAlign w:val="center"/>
            <w:hideMark/>
          </w:tcPr>
          <w:p w14:paraId="1C035A77" w14:textId="77777777" w:rsidR="00C948CB" w:rsidRPr="00CC63BD" w:rsidRDefault="00C948CB" w:rsidP="00C948CB">
            <w:pPr>
              <w:rPr>
                <w:color w:val="000000"/>
                <w:sz w:val="18"/>
                <w:szCs w:val="18"/>
              </w:rPr>
            </w:pPr>
            <w:r w:rsidRPr="00C948CB">
              <w:rPr>
                <w:color w:val="000000"/>
                <w:sz w:val="18"/>
                <w:szCs w:val="18"/>
              </w:rPr>
              <w:t>LBE</w:t>
            </w:r>
          </w:p>
        </w:tc>
        <w:tc>
          <w:tcPr>
            <w:tcW w:w="960" w:type="dxa"/>
            <w:shd w:val="clear" w:color="auto" w:fill="auto"/>
            <w:noWrap/>
            <w:vAlign w:val="center"/>
            <w:hideMark/>
          </w:tcPr>
          <w:p w14:paraId="47B23ADB"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1B88C32B" w14:textId="6D1AE590" w:rsidR="00C948CB" w:rsidRPr="00CC63BD" w:rsidRDefault="00C948CB" w:rsidP="00C948CB">
            <w:pPr>
              <w:jc w:val="center"/>
              <w:rPr>
                <w:sz w:val="18"/>
                <w:szCs w:val="18"/>
              </w:rPr>
            </w:pPr>
            <w:r w:rsidRPr="00CC63BD">
              <w:rPr>
                <w:color w:val="000000"/>
                <w:sz w:val="18"/>
                <w:szCs w:val="18"/>
              </w:rPr>
              <w:t>500</w:t>
            </w:r>
            <w:r w:rsidRPr="00C948CB">
              <w:rPr>
                <w:color w:val="000000"/>
                <w:sz w:val="18"/>
                <w:szCs w:val="18"/>
              </w:rPr>
              <w:t xml:space="preserve"> </w:t>
            </w:r>
            <w:proofErr w:type="spellStart"/>
            <w:r w:rsidRPr="00C948CB">
              <w:rPr>
                <w:color w:val="000000"/>
                <w:sz w:val="18"/>
                <w:szCs w:val="18"/>
                <w:vertAlign w:val="superscript"/>
              </w:rPr>
              <w:t>o</w:t>
            </w:r>
            <w:r w:rsidR="00537B0C">
              <w:rPr>
                <w:color w:val="000000"/>
                <w:sz w:val="18"/>
                <w:szCs w:val="18"/>
              </w:rPr>
              <w:t>C</w:t>
            </w:r>
            <w:proofErr w:type="spellEnd"/>
          </w:p>
        </w:tc>
      </w:tr>
      <w:tr w:rsidR="00C948CB" w:rsidRPr="00C948CB" w14:paraId="253F1002" w14:textId="77777777" w:rsidTr="00C948CB">
        <w:trPr>
          <w:trHeight w:val="288"/>
          <w:jc w:val="right"/>
        </w:trPr>
        <w:tc>
          <w:tcPr>
            <w:tcW w:w="571" w:type="dxa"/>
            <w:vAlign w:val="center"/>
          </w:tcPr>
          <w:p w14:paraId="604D698A" w14:textId="77777777" w:rsidR="00C948CB" w:rsidRPr="00C948CB" w:rsidRDefault="00C948CB" w:rsidP="00C948CB">
            <w:pPr>
              <w:rPr>
                <w:color w:val="000000"/>
                <w:sz w:val="18"/>
                <w:szCs w:val="18"/>
              </w:rPr>
            </w:pPr>
            <w:r w:rsidRPr="00C948CB">
              <w:rPr>
                <w:color w:val="000000"/>
                <w:sz w:val="18"/>
                <w:szCs w:val="18"/>
              </w:rPr>
              <w:t>13</w:t>
            </w:r>
          </w:p>
        </w:tc>
        <w:tc>
          <w:tcPr>
            <w:tcW w:w="1336" w:type="dxa"/>
            <w:shd w:val="clear" w:color="auto" w:fill="auto"/>
            <w:noWrap/>
            <w:vAlign w:val="center"/>
            <w:hideMark/>
          </w:tcPr>
          <w:p w14:paraId="14D6BE35" w14:textId="77777777" w:rsidR="00C948CB" w:rsidRPr="00CC63BD" w:rsidRDefault="00C948CB" w:rsidP="00C948CB">
            <w:pPr>
              <w:rPr>
                <w:color w:val="000000"/>
                <w:sz w:val="18"/>
                <w:szCs w:val="18"/>
              </w:rPr>
            </w:pPr>
            <w:r w:rsidRPr="00CC63BD">
              <w:rPr>
                <w:color w:val="000000"/>
                <w:sz w:val="18"/>
                <w:szCs w:val="18"/>
              </w:rPr>
              <w:t>JSFR</w:t>
            </w:r>
          </w:p>
        </w:tc>
        <w:tc>
          <w:tcPr>
            <w:tcW w:w="3195" w:type="dxa"/>
            <w:shd w:val="clear" w:color="auto" w:fill="auto"/>
            <w:noWrap/>
            <w:vAlign w:val="center"/>
            <w:hideMark/>
          </w:tcPr>
          <w:p w14:paraId="0D4BC063" w14:textId="77777777" w:rsidR="00C948CB" w:rsidRPr="00CC63BD" w:rsidRDefault="00C948CB" w:rsidP="00C948CB">
            <w:pPr>
              <w:rPr>
                <w:color w:val="000000"/>
                <w:sz w:val="18"/>
                <w:szCs w:val="18"/>
              </w:rPr>
            </w:pPr>
            <w:r w:rsidRPr="00CC63BD">
              <w:rPr>
                <w:color w:val="000000"/>
                <w:sz w:val="18"/>
                <w:szCs w:val="18"/>
              </w:rPr>
              <w:t>Japan Sodium-cooled Fast Reactor</w:t>
            </w:r>
          </w:p>
        </w:tc>
        <w:tc>
          <w:tcPr>
            <w:tcW w:w="1276" w:type="dxa"/>
            <w:shd w:val="clear" w:color="auto" w:fill="auto"/>
            <w:noWrap/>
            <w:vAlign w:val="center"/>
            <w:hideMark/>
          </w:tcPr>
          <w:p w14:paraId="2E20543B"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294C331A"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6B5133DA" w14:textId="77777777" w:rsidR="00C948CB" w:rsidRPr="00CC63BD" w:rsidRDefault="00C948CB" w:rsidP="00C948CB">
            <w:pPr>
              <w:jc w:val="center"/>
              <w:rPr>
                <w:color w:val="000000"/>
                <w:sz w:val="18"/>
                <w:szCs w:val="18"/>
              </w:rPr>
            </w:pPr>
            <w:r w:rsidRPr="00CC63BD">
              <w:rPr>
                <w:color w:val="000000"/>
                <w:sz w:val="18"/>
                <w:szCs w:val="18"/>
              </w:rPr>
              <w:t>550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9D36CCE" w14:textId="77777777" w:rsidTr="00C948CB">
        <w:trPr>
          <w:trHeight w:val="288"/>
          <w:jc w:val="right"/>
        </w:trPr>
        <w:tc>
          <w:tcPr>
            <w:tcW w:w="571" w:type="dxa"/>
            <w:vAlign w:val="center"/>
          </w:tcPr>
          <w:p w14:paraId="7F55E015" w14:textId="77777777" w:rsidR="00C948CB" w:rsidRPr="00C948CB" w:rsidRDefault="00C948CB" w:rsidP="00C948CB">
            <w:pPr>
              <w:rPr>
                <w:color w:val="000000"/>
                <w:sz w:val="18"/>
                <w:szCs w:val="18"/>
              </w:rPr>
            </w:pPr>
            <w:r w:rsidRPr="00C948CB">
              <w:rPr>
                <w:color w:val="000000"/>
                <w:sz w:val="18"/>
                <w:szCs w:val="18"/>
              </w:rPr>
              <w:t>14</w:t>
            </w:r>
          </w:p>
        </w:tc>
        <w:tc>
          <w:tcPr>
            <w:tcW w:w="1336" w:type="dxa"/>
            <w:shd w:val="clear" w:color="auto" w:fill="auto"/>
            <w:noWrap/>
            <w:vAlign w:val="center"/>
            <w:hideMark/>
          </w:tcPr>
          <w:p w14:paraId="1C829126" w14:textId="77777777" w:rsidR="00C948CB" w:rsidRPr="00CC63BD" w:rsidRDefault="00C948CB" w:rsidP="00C948CB">
            <w:pPr>
              <w:rPr>
                <w:color w:val="000000"/>
                <w:sz w:val="18"/>
                <w:szCs w:val="18"/>
              </w:rPr>
            </w:pPr>
            <w:r w:rsidRPr="00CC63BD">
              <w:rPr>
                <w:color w:val="000000"/>
                <w:sz w:val="18"/>
                <w:szCs w:val="18"/>
              </w:rPr>
              <w:t>KAMADO FBR</w:t>
            </w:r>
          </w:p>
        </w:tc>
        <w:tc>
          <w:tcPr>
            <w:tcW w:w="3195" w:type="dxa"/>
            <w:shd w:val="clear" w:color="auto" w:fill="auto"/>
            <w:noWrap/>
            <w:vAlign w:val="center"/>
            <w:hideMark/>
          </w:tcPr>
          <w:p w14:paraId="58071AAC" w14:textId="77777777" w:rsidR="00C948CB" w:rsidRPr="00CC63BD" w:rsidRDefault="00C948CB" w:rsidP="00C948CB">
            <w:pPr>
              <w:rPr>
                <w:color w:val="000000"/>
                <w:sz w:val="18"/>
                <w:szCs w:val="18"/>
              </w:rPr>
            </w:pPr>
            <w:r w:rsidRPr="00CC63BD">
              <w:rPr>
                <w:color w:val="000000"/>
                <w:sz w:val="18"/>
                <w:szCs w:val="18"/>
              </w:rPr>
              <w:t>KAMADO FBR</w:t>
            </w:r>
          </w:p>
        </w:tc>
        <w:tc>
          <w:tcPr>
            <w:tcW w:w="1276" w:type="dxa"/>
            <w:shd w:val="clear" w:color="auto" w:fill="auto"/>
            <w:noWrap/>
            <w:vAlign w:val="center"/>
            <w:hideMark/>
          </w:tcPr>
          <w:p w14:paraId="23971758" w14:textId="77777777" w:rsidR="00C948CB" w:rsidRPr="00CC63BD" w:rsidRDefault="00C948CB" w:rsidP="00C948CB">
            <w:pPr>
              <w:rPr>
                <w:color w:val="000000"/>
                <w:sz w:val="18"/>
                <w:szCs w:val="18"/>
              </w:rPr>
            </w:pPr>
            <w:r w:rsidRPr="00CC63BD">
              <w:rPr>
                <w:color w:val="000000"/>
                <w:sz w:val="18"/>
                <w:szCs w:val="18"/>
              </w:rPr>
              <w:t>Carbon Dioxide</w:t>
            </w:r>
          </w:p>
        </w:tc>
        <w:tc>
          <w:tcPr>
            <w:tcW w:w="960" w:type="dxa"/>
            <w:shd w:val="clear" w:color="auto" w:fill="auto"/>
            <w:noWrap/>
            <w:vAlign w:val="center"/>
            <w:hideMark/>
          </w:tcPr>
          <w:p w14:paraId="76676328" w14:textId="77777777" w:rsidR="00C948CB" w:rsidRPr="00CC63BD" w:rsidRDefault="00C948CB" w:rsidP="00C948CB">
            <w:pPr>
              <w:rPr>
                <w:color w:val="000000"/>
                <w:sz w:val="18"/>
                <w:szCs w:val="18"/>
              </w:rPr>
            </w:pPr>
            <w:r w:rsidRPr="00CC63BD">
              <w:rPr>
                <w:color w:val="000000"/>
                <w:sz w:val="18"/>
                <w:szCs w:val="18"/>
              </w:rPr>
              <w:t>GFR</w:t>
            </w:r>
          </w:p>
        </w:tc>
        <w:tc>
          <w:tcPr>
            <w:tcW w:w="1450" w:type="dxa"/>
            <w:shd w:val="clear" w:color="auto" w:fill="auto"/>
            <w:noWrap/>
            <w:vAlign w:val="center"/>
            <w:hideMark/>
          </w:tcPr>
          <w:p w14:paraId="7753EDB7" w14:textId="49B6FCD8" w:rsidR="00C948CB" w:rsidRPr="00CC63BD" w:rsidRDefault="00C948CB" w:rsidP="00166752">
            <w:pPr>
              <w:jc w:val="center"/>
              <w:rPr>
                <w:color w:val="000000"/>
                <w:sz w:val="18"/>
                <w:szCs w:val="18"/>
              </w:rPr>
            </w:pPr>
            <w:r w:rsidRPr="00CC63BD">
              <w:rPr>
                <w:color w:val="000000"/>
                <w:sz w:val="18"/>
                <w:szCs w:val="18"/>
              </w:rPr>
              <w:t>200</w:t>
            </w:r>
            <w:r w:rsidR="00166752">
              <w:rPr>
                <w:color w:val="000000"/>
                <w:sz w:val="18"/>
                <w:szCs w:val="18"/>
              </w:rPr>
              <w:t>-</w:t>
            </w:r>
            <w:r w:rsidRPr="00CC63BD">
              <w:rPr>
                <w:color w:val="000000"/>
                <w:sz w:val="18"/>
                <w:szCs w:val="18"/>
              </w:rPr>
              <w:t>400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5D0D5DB9" w14:textId="77777777" w:rsidTr="00C948CB">
        <w:trPr>
          <w:trHeight w:val="288"/>
          <w:jc w:val="right"/>
        </w:trPr>
        <w:tc>
          <w:tcPr>
            <w:tcW w:w="571" w:type="dxa"/>
            <w:vAlign w:val="center"/>
          </w:tcPr>
          <w:p w14:paraId="6F020741" w14:textId="77777777" w:rsidR="00C948CB" w:rsidRPr="00C948CB" w:rsidRDefault="00C948CB" w:rsidP="00C948CB">
            <w:pPr>
              <w:rPr>
                <w:color w:val="000000"/>
                <w:sz w:val="18"/>
                <w:szCs w:val="18"/>
              </w:rPr>
            </w:pPr>
            <w:r w:rsidRPr="00C948CB">
              <w:rPr>
                <w:color w:val="000000"/>
                <w:sz w:val="18"/>
                <w:szCs w:val="18"/>
              </w:rPr>
              <w:t>15</w:t>
            </w:r>
          </w:p>
        </w:tc>
        <w:tc>
          <w:tcPr>
            <w:tcW w:w="1336" w:type="dxa"/>
            <w:shd w:val="clear" w:color="auto" w:fill="auto"/>
            <w:noWrap/>
            <w:vAlign w:val="center"/>
            <w:hideMark/>
          </w:tcPr>
          <w:p w14:paraId="3BDD4273" w14:textId="77777777" w:rsidR="00C948CB" w:rsidRPr="00CC63BD" w:rsidRDefault="00C948CB" w:rsidP="00C948CB">
            <w:pPr>
              <w:rPr>
                <w:color w:val="000000"/>
                <w:sz w:val="18"/>
                <w:szCs w:val="18"/>
              </w:rPr>
            </w:pPr>
            <w:r w:rsidRPr="00CC63BD">
              <w:rPr>
                <w:color w:val="000000"/>
                <w:sz w:val="18"/>
                <w:szCs w:val="18"/>
              </w:rPr>
              <w:t>LFR-AS-200</w:t>
            </w:r>
          </w:p>
        </w:tc>
        <w:tc>
          <w:tcPr>
            <w:tcW w:w="3195" w:type="dxa"/>
            <w:shd w:val="clear" w:color="auto" w:fill="auto"/>
            <w:noWrap/>
            <w:vAlign w:val="center"/>
            <w:hideMark/>
          </w:tcPr>
          <w:p w14:paraId="324AF6BE" w14:textId="77777777" w:rsidR="00C948CB" w:rsidRPr="00CC63BD" w:rsidRDefault="00C948CB" w:rsidP="00C948CB">
            <w:pPr>
              <w:rPr>
                <w:color w:val="000000"/>
                <w:sz w:val="18"/>
                <w:szCs w:val="18"/>
              </w:rPr>
            </w:pPr>
            <w:r w:rsidRPr="00CC63BD">
              <w:rPr>
                <w:color w:val="000000"/>
                <w:sz w:val="18"/>
                <w:szCs w:val="18"/>
              </w:rPr>
              <w:t>Lead-cooled Fast Reactor Amphora-Shaped 200</w:t>
            </w:r>
          </w:p>
        </w:tc>
        <w:tc>
          <w:tcPr>
            <w:tcW w:w="1276" w:type="dxa"/>
            <w:shd w:val="clear" w:color="auto" w:fill="auto"/>
            <w:noWrap/>
            <w:vAlign w:val="center"/>
            <w:hideMark/>
          </w:tcPr>
          <w:p w14:paraId="00E89D03"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76DC223A"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7619F65E" w14:textId="2E40145B" w:rsidR="00C948CB" w:rsidRPr="00CC63BD" w:rsidRDefault="00C948CB" w:rsidP="00166752">
            <w:pPr>
              <w:jc w:val="center"/>
              <w:rPr>
                <w:color w:val="000000"/>
                <w:sz w:val="18"/>
                <w:szCs w:val="18"/>
              </w:rPr>
            </w:pPr>
            <w:r w:rsidRPr="00CC63BD">
              <w:rPr>
                <w:color w:val="000000"/>
                <w:sz w:val="18"/>
                <w:szCs w:val="18"/>
              </w:rPr>
              <w:t>420</w:t>
            </w:r>
            <w:r w:rsidR="00166752">
              <w:rPr>
                <w:color w:val="000000"/>
                <w:sz w:val="18"/>
                <w:szCs w:val="18"/>
              </w:rPr>
              <w:t>-</w:t>
            </w:r>
            <w:r w:rsidRPr="00CC63BD">
              <w:rPr>
                <w:color w:val="000000"/>
                <w:sz w:val="18"/>
                <w:szCs w:val="18"/>
              </w:rPr>
              <w:t>530</w:t>
            </w:r>
            <w:r w:rsidRPr="00C948CB">
              <w:rPr>
                <w:color w:val="000000"/>
                <w:sz w:val="18"/>
                <w:szCs w:val="18"/>
              </w:rPr>
              <w:t xml:space="preserve"> </w:t>
            </w:r>
            <w:proofErr w:type="spellStart"/>
            <w:r w:rsidRPr="00C948CB">
              <w:rPr>
                <w:color w:val="000000"/>
                <w:sz w:val="18"/>
                <w:szCs w:val="18"/>
                <w:vertAlign w:val="superscript"/>
              </w:rPr>
              <w:t>o</w:t>
            </w:r>
            <w:r w:rsidR="00537B0C">
              <w:rPr>
                <w:color w:val="000000"/>
                <w:sz w:val="18"/>
                <w:szCs w:val="18"/>
              </w:rPr>
              <w:t>C</w:t>
            </w:r>
            <w:proofErr w:type="spellEnd"/>
          </w:p>
        </w:tc>
      </w:tr>
      <w:tr w:rsidR="00C948CB" w:rsidRPr="00C948CB" w14:paraId="2889402B" w14:textId="77777777" w:rsidTr="00C948CB">
        <w:trPr>
          <w:trHeight w:val="288"/>
          <w:jc w:val="right"/>
        </w:trPr>
        <w:tc>
          <w:tcPr>
            <w:tcW w:w="571" w:type="dxa"/>
            <w:vAlign w:val="center"/>
          </w:tcPr>
          <w:p w14:paraId="64D1597F" w14:textId="77777777" w:rsidR="00C948CB" w:rsidRPr="00C948CB" w:rsidRDefault="00C948CB" w:rsidP="00C948CB">
            <w:pPr>
              <w:rPr>
                <w:color w:val="000000"/>
                <w:sz w:val="18"/>
                <w:szCs w:val="18"/>
              </w:rPr>
            </w:pPr>
            <w:r w:rsidRPr="00C948CB">
              <w:rPr>
                <w:color w:val="000000"/>
                <w:sz w:val="18"/>
                <w:szCs w:val="18"/>
              </w:rPr>
              <w:t>16</w:t>
            </w:r>
          </w:p>
        </w:tc>
        <w:tc>
          <w:tcPr>
            <w:tcW w:w="1336" w:type="dxa"/>
            <w:shd w:val="clear" w:color="auto" w:fill="auto"/>
            <w:noWrap/>
            <w:vAlign w:val="center"/>
            <w:hideMark/>
          </w:tcPr>
          <w:p w14:paraId="4E634E6E" w14:textId="77777777" w:rsidR="00C948CB" w:rsidRPr="00CC63BD" w:rsidRDefault="00C948CB" w:rsidP="00C948CB">
            <w:pPr>
              <w:rPr>
                <w:color w:val="000000"/>
                <w:sz w:val="18"/>
                <w:szCs w:val="18"/>
              </w:rPr>
            </w:pPr>
            <w:r w:rsidRPr="00CC63BD">
              <w:rPr>
                <w:color w:val="000000"/>
                <w:sz w:val="18"/>
                <w:szCs w:val="18"/>
              </w:rPr>
              <w:t>MBIR</w:t>
            </w:r>
          </w:p>
        </w:tc>
        <w:tc>
          <w:tcPr>
            <w:tcW w:w="3195" w:type="dxa"/>
            <w:shd w:val="clear" w:color="auto" w:fill="auto"/>
            <w:noWrap/>
            <w:vAlign w:val="center"/>
            <w:hideMark/>
          </w:tcPr>
          <w:p w14:paraId="52C49E03" w14:textId="77777777" w:rsidR="00C948CB" w:rsidRPr="00CC63BD" w:rsidRDefault="00C948CB" w:rsidP="00C948CB">
            <w:pPr>
              <w:rPr>
                <w:color w:val="000000"/>
                <w:sz w:val="18"/>
                <w:szCs w:val="18"/>
              </w:rPr>
            </w:pPr>
            <w:r w:rsidRPr="00CC63BD">
              <w:rPr>
                <w:color w:val="000000"/>
                <w:sz w:val="18"/>
                <w:szCs w:val="18"/>
              </w:rPr>
              <w:t>Multipurpose fast-neutron research reactor</w:t>
            </w:r>
          </w:p>
        </w:tc>
        <w:tc>
          <w:tcPr>
            <w:tcW w:w="1276" w:type="dxa"/>
            <w:shd w:val="clear" w:color="auto" w:fill="auto"/>
            <w:noWrap/>
            <w:vAlign w:val="center"/>
            <w:hideMark/>
          </w:tcPr>
          <w:p w14:paraId="5BEEC0F0"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716CADF2"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715A194B" w14:textId="696D35B6" w:rsidR="00C948CB" w:rsidRPr="00CC63BD" w:rsidRDefault="00C948CB" w:rsidP="00166752">
            <w:pPr>
              <w:jc w:val="center"/>
              <w:rPr>
                <w:color w:val="000000"/>
                <w:sz w:val="18"/>
                <w:szCs w:val="18"/>
              </w:rPr>
            </w:pPr>
            <w:r w:rsidRPr="00CC63BD">
              <w:rPr>
                <w:color w:val="000000"/>
                <w:sz w:val="18"/>
                <w:szCs w:val="18"/>
              </w:rPr>
              <w:t>330</w:t>
            </w:r>
            <w:r w:rsidR="00166752">
              <w:rPr>
                <w:color w:val="000000"/>
                <w:sz w:val="18"/>
                <w:szCs w:val="18"/>
              </w:rPr>
              <w:t>-</w:t>
            </w:r>
            <w:r w:rsidRPr="00CC63BD">
              <w:rPr>
                <w:color w:val="000000"/>
                <w:sz w:val="18"/>
                <w:szCs w:val="18"/>
              </w:rPr>
              <w:t>512</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224C3CB4" w14:textId="77777777" w:rsidTr="00C948CB">
        <w:trPr>
          <w:trHeight w:val="288"/>
          <w:jc w:val="right"/>
        </w:trPr>
        <w:tc>
          <w:tcPr>
            <w:tcW w:w="571" w:type="dxa"/>
            <w:vAlign w:val="center"/>
          </w:tcPr>
          <w:p w14:paraId="346F7715" w14:textId="77777777" w:rsidR="00C948CB" w:rsidRPr="00C948CB" w:rsidRDefault="00C948CB" w:rsidP="00C948CB">
            <w:pPr>
              <w:rPr>
                <w:color w:val="000000"/>
                <w:sz w:val="18"/>
                <w:szCs w:val="18"/>
              </w:rPr>
            </w:pPr>
            <w:r w:rsidRPr="00C948CB">
              <w:rPr>
                <w:color w:val="000000"/>
                <w:sz w:val="18"/>
                <w:szCs w:val="18"/>
              </w:rPr>
              <w:t>17</w:t>
            </w:r>
          </w:p>
        </w:tc>
        <w:tc>
          <w:tcPr>
            <w:tcW w:w="1336" w:type="dxa"/>
            <w:shd w:val="clear" w:color="auto" w:fill="auto"/>
            <w:noWrap/>
            <w:vAlign w:val="center"/>
            <w:hideMark/>
          </w:tcPr>
          <w:p w14:paraId="333822B7" w14:textId="77777777" w:rsidR="00C948CB" w:rsidRPr="00CC63BD" w:rsidRDefault="00C948CB" w:rsidP="00C948CB">
            <w:pPr>
              <w:rPr>
                <w:color w:val="000000"/>
                <w:sz w:val="18"/>
                <w:szCs w:val="18"/>
              </w:rPr>
            </w:pPr>
            <w:r w:rsidRPr="00CC63BD">
              <w:rPr>
                <w:color w:val="000000"/>
                <w:sz w:val="18"/>
                <w:szCs w:val="18"/>
              </w:rPr>
              <w:t>MSFR</w:t>
            </w:r>
          </w:p>
        </w:tc>
        <w:tc>
          <w:tcPr>
            <w:tcW w:w="3195" w:type="dxa"/>
            <w:shd w:val="clear" w:color="auto" w:fill="auto"/>
            <w:noWrap/>
            <w:vAlign w:val="center"/>
            <w:hideMark/>
          </w:tcPr>
          <w:p w14:paraId="0B98A844" w14:textId="77777777" w:rsidR="00C948CB" w:rsidRPr="00CC63BD" w:rsidRDefault="00C948CB" w:rsidP="00C948CB">
            <w:pPr>
              <w:rPr>
                <w:color w:val="000000"/>
                <w:sz w:val="18"/>
                <w:szCs w:val="18"/>
              </w:rPr>
            </w:pPr>
            <w:r w:rsidRPr="00CC63BD">
              <w:rPr>
                <w:color w:val="000000"/>
                <w:sz w:val="18"/>
                <w:szCs w:val="18"/>
              </w:rPr>
              <w:t>Molten Salt Fast Reactors</w:t>
            </w:r>
          </w:p>
        </w:tc>
        <w:tc>
          <w:tcPr>
            <w:tcW w:w="1276" w:type="dxa"/>
            <w:shd w:val="clear" w:color="auto" w:fill="auto"/>
            <w:noWrap/>
            <w:vAlign w:val="center"/>
            <w:hideMark/>
          </w:tcPr>
          <w:p w14:paraId="7A7BEDC0" w14:textId="77777777" w:rsidR="00C948CB" w:rsidRPr="00CC63BD" w:rsidRDefault="00C948CB" w:rsidP="00C948CB">
            <w:pPr>
              <w:rPr>
                <w:color w:val="000000"/>
                <w:sz w:val="18"/>
                <w:szCs w:val="18"/>
              </w:rPr>
            </w:pPr>
            <w:r w:rsidRPr="00CC63BD">
              <w:rPr>
                <w:color w:val="000000"/>
                <w:sz w:val="18"/>
                <w:szCs w:val="18"/>
              </w:rPr>
              <w:t>Molten Salt</w:t>
            </w:r>
          </w:p>
        </w:tc>
        <w:tc>
          <w:tcPr>
            <w:tcW w:w="960" w:type="dxa"/>
            <w:shd w:val="clear" w:color="auto" w:fill="auto"/>
            <w:noWrap/>
            <w:vAlign w:val="center"/>
            <w:hideMark/>
          </w:tcPr>
          <w:p w14:paraId="7F5CCFAA" w14:textId="77777777" w:rsidR="00C948CB" w:rsidRPr="00CC63BD" w:rsidRDefault="00C948CB" w:rsidP="00C948CB">
            <w:pPr>
              <w:rPr>
                <w:color w:val="000000"/>
                <w:sz w:val="18"/>
                <w:szCs w:val="18"/>
              </w:rPr>
            </w:pPr>
            <w:r w:rsidRPr="00CC63BD">
              <w:rPr>
                <w:color w:val="000000"/>
                <w:sz w:val="18"/>
                <w:szCs w:val="18"/>
              </w:rPr>
              <w:t>MSR</w:t>
            </w:r>
          </w:p>
        </w:tc>
        <w:tc>
          <w:tcPr>
            <w:tcW w:w="1450" w:type="dxa"/>
            <w:shd w:val="clear" w:color="auto" w:fill="auto"/>
            <w:noWrap/>
            <w:vAlign w:val="center"/>
            <w:hideMark/>
          </w:tcPr>
          <w:p w14:paraId="2697A2C6" w14:textId="32DDA0F4" w:rsidR="00C948CB" w:rsidRPr="00CC63BD" w:rsidRDefault="00C948CB" w:rsidP="00C948CB">
            <w:pPr>
              <w:jc w:val="center"/>
              <w:rPr>
                <w:color w:val="000000"/>
                <w:sz w:val="18"/>
                <w:szCs w:val="18"/>
              </w:rPr>
            </w:pPr>
            <w:r w:rsidRPr="00CC63BD">
              <w:rPr>
                <w:color w:val="000000"/>
                <w:sz w:val="18"/>
                <w:szCs w:val="18"/>
              </w:rPr>
              <w:t>750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7299B3A0" w14:textId="77777777" w:rsidTr="00C948CB">
        <w:trPr>
          <w:trHeight w:val="288"/>
          <w:jc w:val="right"/>
        </w:trPr>
        <w:tc>
          <w:tcPr>
            <w:tcW w:w="571" w:type="dxa"/>
            <w:vAlign w:val="center"/>
          </w:tcPr>
          <w:p w14:paraId="61C196C3" w14:textId="77777777" w:rsidR="00C948CB" w:rsidRPr="00C948CB" w:rsidRDefault="00C948CB" w:rsidP="00C948CB">
            <w:pPr>
              <w:rPr>
                <w:color w:val="000000"/>
                <w:sz w:val="18"/>
                <w:szCs w:val="18"/>
              </w:rPr>
            </w:pPr>
            <w:r w:rsidRPr="00C948CB">
              <w:rPr>
                <w:color w:val="000000"/>
                <w:sz w:val="18"/>
                <w:szCs w:val="18"/>
              </w:rPr>
              <w:t>18</w:t>
            </w:r>
          </w:p>
        </w:tc>
        <w:tc>
          <w:tcPr>
            <w:tcW w:w="1336" w:type="dxa"/>
            <w:shd w:val="clear" w:color="auto" w:fill="auto"/>
            <w:noWrap/>
            <w:vAlign w:val="center"/>
            <w:hideMark/>
          </w:tcPr>
          <w:p w14:paraId="5AC19AB8" w14:textId="77777777" w:rsidR="00C948CB" w:rsidRPr="00CC63BD" w:rsidRDefault="00C948CB" w:rsidP="00C948CB">
            <w:pPr>
              <w:rPr>
                <w:color w:val="000000"/>
                <w:sz w:val="18"/>
                <w:szCs w:val="18"/>
              </w:rPr>
            </w:pPr>
            <w:r w:rsidRPr="00CC63BD">
              <w:rPr>
                <w:color w:val="000000"/>
                <w:sz w:val="18"/>
                <w:szCs w:val="18"/>
              </w:rPr>
              <w:t>MYRRHA</w:t>
            </w:r>
          </w:p>
        </w:tc>
        <w:tc>
          <w:tcPr>
            <w:tcW w:w="3195" w:type="dxa"/>
            <w:shd w:val="clear" w:color="auto" w:fill="auto"/>
            <w:noWrap/>
            <w:vAlign w:val="center"/>
            <w:hideMark/>
          </w:tcPr>
          <w:p w14:paraId="5059638D" w14:textId="77777777" w:rsidR="00C948CB" w:rsidRPr="00CC63BD" w:rsidRDefault="00C948CB" w:rsidP="00C948CB">
            <w:pPr>
              <w:rPr>
                <w:color w:val="000000"/>
                <w:sz w:val="18"/>
                <w:szCs w:val="18"/>
              </w:rPr>
            </w:pPr>
            <w:r w:rsidRPr="00CC63BD">
              <w:rPr>
                <w:color w:val="000000"/>
                <w:sz w:val="18"/>
                <w:szCs w:val="18"/>
              </w:rPr>
              <w:t xml:space="preserve">Multi-purpose </w:t>
            </w:r>
            <w:proofErr w:type="spellStart"/>
            <w:r w:rsidRPr="00CC63BD">
              <w:rPr>
                <w:color w:val="000000"/>
                <w:sz w:val="18"/>
                <w:szCs w:val="18"/>
              </w:rPr>
              <w:t>hYbrid</w:t>
            </w:r>
            <w:proofErr w:type="spellEnd"/>
            <w:r w:rsidRPr="00CC63BD">
              <w:rPr>
                <w:color w:val="000000"/>
                <w:sz w:val="18"/>
                <w:szCs w:val="18"/>
              </w:rPr>
              <w:t xml:space="preserve"> Research Reactor for High-tech Applications</w:t>
            </w:r>
          </w:p>
        </w:tc>
        <w:tc>
          <w:tcPr>
            <w:tcW w:w="1276" w:type="dxa"/>
            <w:shd w:val="clear" w:color="auto" w:fill="auto"/>
            <w:noWrap/>
            <w:vAlign w:val="center"/>
            <w:hideMark/>
          </w:tcPr>
          <w:p w14:paraId="104D08D8" w14:textId="77777777" w:rsidR="00C948CB" w:rsidRPr="00CC63BD" w:rsidRDefault="00C948CB" w:rsidP="00C948CB">
            <w:pPr>
              <w:rPr>
                <w:color w:val="000000"/>
                <w:sz w:val="18"/>
                <w:szCs w:val="18"/>
              </w:rPr>
            </w:pPr>
            <w:r w:rsidRPr="00C948CB">
              <w:rPr>
                <w:color w:val="000000"/>
                <w:sz w:val="18"/>
                <w:szCs w:val="18"/>
              </w:rPr>
              <w:t>LBE</w:t>
            </w:r>
          </w:p>
        </w:tc>
        <w:tc>
          <w:tcPr>
            <w:tcW w:w="960" w:type="dxa"/>
            <w:shd w:val="clear" w:color="auto" w:fill="auto"/>
            <w:noWrap/>
            <w:vAlign w:val="center"/>
            <w:hideMark/>
          </w:tcPr>
          <w:p w14:paraId="7658FA2B"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4E822A33" w14:textId="64ADAA15" w:rsidR="00C948CB" w:rsidRPr="00CC63BD" w:rsidRDefault="00C948CB" w:rsidP="00166752">
            <w:pPr>
              <w:jc w:val="center"/>
              <w:rPr>
                <w:color w:val="000000"/>
                <w:sz w:val="18"/>
                <w:szCs w:val="18"/>
              </w:rPr>
            </w:pPr>
            <w:r w:rsidRPr="00CC63BD">
              <w:rPr>
                <w:color w:val="000000"/>
                <w:sz w:val="18"/>
                <w:szCs w:val="18"/>
              </w:rPr>
              <w:t>270</w:t>
            </w:r>
            <w:r w:rsidR="00166752">
              <w:rPr>
                <w:color w:val="000000"/>
                <w:sz w:val="18"/>
                <w:szCs w:val="18"/>
              </w:rPr>
              <w:t>-</w:t>
            </w:r>
            <w:r w:rsidRPr="00CC63BD">
              <w:rPr>
                <w:color w:val="000000"/>
                <w:sz w:val="18"/>
                <w:szCs w:val="18"/>
              </w:rPr>
              <w:t>410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0C602C7D" w14:textId="77777777" w:rsidTr="00C948CB">
        <w:trPr>
          <w:trHeight w:val="288"/>
          <w:jc w:val="right"/>
        </w:trPr>
        <w:tc>
          <w:tcPr>
            <w:tcW w:w="571" w:type="dxa"/>
            <w:vAlign w:val="center"/>
          </w:tcPr>
          <w:p w14:paraId="0D8CFDCF" w14:textId="77777777" w:rsidR="00C948CB" w:rsidRPr="00C948CB" w:rsidRDefault="00C948CB" w:rsidP="00C948CB">
            <w:pPr>
              <w:rPr>
                <w:color w:val="000000"/>
                <w:sz w:val="18"/>
                <w:szCs w:val="18"/>
              </w:rPr>
            </w:pPr>
            <w:r w:rsidRPr="00C948CB">
              <w:rPr>
                <w:color w:val="000000"/>
                <w:sz w:val="18"/>
                <w:szCs w:val="18"/>
              </w:rPr>
              <w:lastRenderedPageBreak/>
              <w:t>19</w:t>
            </w:r>
          </w:p>
        </w:tc>
        <w:tc>
          <w:tcPr>
            <w:tcW w:w="1336" w:type="dxa"/>
            <w:shd w:val="clear" w:color="auto" w:fill="auto"/>
            <w:noWrap/>
            <w:vAlign w:val="center"/>
            <w:hideMark/>
          </w:tcPr>
          <w:p w14:paraId="74F1AB43" w14:textId="77777777" w:rsidR="00C948CB" w:rsidRPr="00CC63BD" w:rsidRDefault="00C948CB" w:rsidP="00C948CB">
            <w:pPr>
              <w:rPr>
                <w:color w:val="000000"/>
                <w:sz w:val="18"/>
                <w:szCs w:val="18"/>
              </w:rPr>
            </w:pPr>
            <w:r w:rsidRPr="00CC63BD">
              <w:rPr>
                <w:color w:val="000000"/>
                <w:sz w:val="18"/>
                <w:szCs w:val="18"/>
              </w:rPr>
              <w:t>PEACER</w:t>
            </w:r>
          </w:p>
        </w:tc>
        <w:tc>
          <w:tcPr>
            <w:tcW w:w="3195" w:type="dxa"/>
            <w:shd w:val="clear" w:color="auto" w:fill="auto"/>
            <w:noWrap/>
            <w:vAlign w:val="center"/>
            <w:hideMark/>
          </w:tcPr>
          <w:p w14:paraId="76442AF6" w14:textId="77777777" w:rsidR="00C948CB" w:rsidRPr="00CC63BD" w:rsidRDefault="00C948CB" w:rsidP="00C948CB">
            <w:pPr>
              <w:rPr>
                <w:color w:val="000000"/>
                <w:sz w:val="18"/>
                <w:szCs w:val="18"/>
              </w:rPr>
            </w:pPr>
            <w:r w:rsidRPr="00CC63BD">
              <w:rPr>
                <w:color w:val="000000"/>
                <w:sz w:val="18"/>
                <w:szCs w:val="18"/>
              </w:rPr>
              <w:t xml:space="preserve">Proliferation-resistant Environment-friendly Accident-tolerant </w:t>
            </w:r>
            <w:proofErr w:type="spellStart"/>
            <w:r w:rsidRPr="00CC63BD">
              <w:rPr>
                <w:color w:val="000000"/>
                <w:sz w:val="18"/>
                <w:szCs w:val="18"/>
              </w:rPr>
              <w:t>Continuable</w:t>
            </w:r>
            <w:proofErr w:type="spellEnd"/>
            <w:r w:rsidRPr="00CC63BD">
              <w:rPr>
                <w:color w:val="000000"/>
                <w:sz w:val="18"/>
                <w:szCs w:val="18"/>
              </w:rPr>
              <w:t xml:space="preserve"> and Economical Reactor</w:t>
            </w:r>
          </w:p>
        </w:tc>
        <w:tc>
          <w:tcPr>
            <w:tcW w:w="1276" w:type="dxa"/>
            <w:shd w:val="clear" w:color="auto" w:fill="auto"/>
            <w:noWrap/>
            <w:vAlign w:val="center"/>
            <w:hideMark/>
          </w:tcPr>
          <w:p w14:paraId="303128DD" w14:textId="77777777" w:rsidR="00C948CB" w:rsidRPr="00CC63BD" w:rsidRDefault="00C948CB" w:rsidP="00C948CB">
            <w:pPr>
              <w:rPr>
                <w:color w:val="000000"/>
                <w:sz w:val="18"/>
                <w:szCs w:val="18"/>
              </w:rPr>
            </w:pPr>
            <w:r w:rsidRPr="00C948CB">
              <w:rPr>
                <w:color w:val="000000"/>
                <w:sz w:val="18"/>
                <w:szCs w:val="18"/>
              </w:rPr>
              <w:t>LBE</w:t>
            </w:r>
          </w:p>
        </w:tc>
        <w:tc>
          <w:tcPr>
            <w:tcW w:w="960" w:type="dxa"/>
            <w:shd w:val="clear" w:color="auto" w:fill="auto"/>
            <w:noWrap/>
            <w:vAlign w:val="center"/>
            <w:hideMark/>
          </w:tcPr>
          <w:p w14:paraId="68F965BF"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42C14AD2" w14:textId="689F2A86" w:rsidR="00C948CB" w:rsidRPr="00CC63BD" w:rsidRDefault="00C948CB" w:rsidP="00166752">
            <w:pPr>
              <w:jc w:val="center"/>
              <w:rPr>
                <w:color w:val="000000"/>
                <w:sz w:val="18"/>
                <w:szCs w:val="18"/>
              </w:rPr>
            </w:pPr>
            <w:r w:rsidRPr="00CC63BD">
              <w:rPr>
                <w:color w:val="000000"/>
                <w:sz w:val="18"/>
                <w:szCs w:val="18"/>
              </w:rPr>
              <w:t>300</w:t>
            </w:r>
            <w:r w:rsidR="00166752">
              <w:rPr>
                <w:color w:val="000000"/>
                <w:sz w:val="18"/>
                <w:szCs w:val="18"/>
              </w:rPr>
              <w:t>-</w:t>
            </w:r>
            <w:r w:rsidRPr="00CC63BD">
              <w:rPr>
                <w:color w:val="000000"/>
                <w:sz w:val="18"/>
                <w:szCs w:val="18"/>
              </w:rPr>
              <w:t>400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D7506CA" w14:textId="77777777" w:rsidTr="00C948CB">
        <w:trPr>
          <w:trHeight w:val="288"/>
          <w:jc w:val="right"/>
        </w:trPr>
        <w:tc>
          <w:tcPr>
            <w:tcW w:w="571" w:type="dxa"/>
            <w:vAlign w:val="center"/>
          </w:tcPr>
          <w:p w14:paraId="609774DA" w14:textId="77777777" w:rsidR="00C948CB" w:rsidRPr="00C948CB" w:rsidRDefault="00C948CB" w:rsidP="00C948CB">
            <w:pPr>
              <w:rPr>
                <w:color w:val="000000"/>
                <w:sz w:val="18"/>
                <w:szCs w:val="18"/>
              </w:rPr>
            </w:pPr>
            <w:r w:rsidRPr="00C948CB">
              <w:rPr>
                <w:color w:val="000000"/>
                <w:sz w:val="18"/>
                <w:szCs w:val="18"/>
              </w:rPr>
              <w:t>20</w:t>
            </w:r>
          </w:p>
        </w:tc>
        <w:tc>
          <w:tcPr>
            <w:tcW w:w="1336" w:type="dxa"/>
            <w:shd w:val="clear" w:color="auto" w:fill="auto"/>
            <w:noWrap/>
            <w:vAlign w:val="center"/>
            <w:hideMark/>
          </w:tcPr>
          <w:p w14:paraId="2D6AA6F0" w14:textId="77777777" w:rsidR="00C948CB" w:rsidRPr="00CC63BD" w:rsidRDefault="00C948CB" w:rsidP="00C948CB">
            <w:pPr>
              <w:rPr>
                <w:color w:val="000000"/>
                <w:sz w:val="18"/>
                <w:szCs w:val="18"/>
              </w:rPr>
            </w:pPr>
            <w:r w:rsidRPr="00CC63BD">
              <w:rPr>
                <w:color w:val="000000"/>
                <w:sz w:val="18"/>
                <w:szCs w:val="18"/>
              </w:rPr>
              <w:t>PGSFR</w:t>
            </w:r>
          </w:p>
        </w:tc>
        <w:tc>
          <w:tcPr>
            <w:tcW w:w="3195" w:type="dxa"/>
            <w:shd w:val="clear" w:color="auto" w:fill="auto"/>
            <w:noWrap/>
            <w:vAlign w:val="center"/>
            <w:hideMark/>
          </w:tcPr>
          <w:p w14:paraId="6F93138F" w14:textId="77777777" w:rsidR="00C948CB" w:rsidRPr="00CC63BD" w:rsidRDefault="00C948CB" w:rsidP="00C948CB">
            <w:pPr>
              <w:rPr>
                <w:color w:val="000000"/>
                <w:sz w:val="18"/>
                <w:szCs w:val="18"/>
              </w:rPr>
            </w:pPr>
            <w:r w:rsidRPr="00CC63BD">
              <w:rPr>
                <w:color w:val="000000"/>
                <w:sz w:val="18"/>
                <w:szCs w:val="18"/>
              </w:rPr>
              <w:t>Prototype Gen-IV Sodium-cooled Fast Reactor</w:t>
            </w:r>
          </w:p>
        </w:tc>
        <w:tc>
          <w:tcPr>
            <w:tcW w:w="1276" w:type="dxa"/>
            <w:shd w:val="clear" w:color="auto" w:fill="auto"/>
            <w:noWrap/>
            <w:vAlign w:val="center"/>
            <w:hideMark/>
          </w:tcPr>
          <w:p w14:paraId="78625500"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6F63CB2C"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62763FA8" w14:textId="5790228A" w:rsidR="00C948CB" w:rsidRPr="00CC63BD" w:rsidRDefault="00C948CB" w:rsidP="00166752">
            <w:pPr>
              <w:jc w:val="center"/>
              <w:rPr>
                <w:color w:val="000000"/>
                <w:sz w:val="18"/>
                <w:szCs w:val="18"/>
              </w:rPr>
            </w:pPr>
            <w:r w:rsidRPr="00CC63BD">
              <w:rPr>
                <w:color w:val="000000"/>
                <w:sz w:val="18"/>
                <w:szCs w:val="18"/>
              </w:rPr>
              <w:t>390</w:t>
            </w:r>
            <w:r w:rsidR="00166752">
              <w:rPr>
                <w:color w:val="000000"/>
                <w:sz w:val="18"/>
                <w:szCs w:val="18"/>
              </w:rPr>
              <w:t>-</w:t>
            </w:r>
            <w:r w:rsidRPr="00CC63BD">
              <w:rPr>
                <w:color w:val="000000"/>
                <w:sz w:val="18"/>
                <w:szCs w:val="18"/>
              </w:rPr>
              <w:t>545</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3EE1CA6E" w14:textId="77777777" w:rsidTr="00C948CB">
        <w:trPr>
          <w:trHeight w:val="288"/>
          <w:jc w:val="right"/>
        </w:trPr>
        <w:tc>
          <w:tcPr>
            <w:tcW w:w="571" w:type="dxa"/>
            <w:vAlign w:val="center"/>
          </w:tcPr>
          <w:p w14:paraId="3D926FC4" w14:textId="77777777" w:rsidR="00C948CB" w:rsidRPr="00C948CB" w:rsidRDefault="00C948CB" w:rsidP="00C948CB">
            <w:pPr>
              <w:rPr>
                <w:color w:val="000000"/>
                <w:sz w:val="18"/>
                <w:szCs w:val="18"/>
              </w:rPr>
            </w:pPr>
            <w:r w:rsidRPr="00C948CB">
              <w:rPr>
                <w:color w:val="000000"/>
                <w:sz w:val="18"/>
                <w:szCs w:val="18"/>
              </w:rPr>
              <w:t>21</w:t>
            </w:r>
          </w:p>
        </w:tc>
        <w:tc>
          <w:tcPr>
            <w:tcW w:w="1336" w:type="dxa"/>
            <w:shd w:val="clear" w:color="auto" w:fill="auto"/>
            <w:noWrap/>
            <w:vAlign w:val="center"/>
            <w:hideMark/>
          </w:tcPr>
          <w:p w14:paraId="35D679C3" w14:textId="77777777" w:rsidR="00C948CB" w:rsidRPr="00CC63BD" w:rsidRDefault="00C948CB" w:rsidP="00C948CB">
            <w:pPr>
              <w:rPr>
                <w:color w:val="000000"/>
                <w:sz w:val="18"/>
                <w:szCs w:val="18"/>
              </w:rPr>
            </w:pPr>
            <w:r w:rsidRPr="00CC63BD">
              <w:rPr>
                <w:color w:val="000000"/>
                <w:sz w:val="18"/>
                <w:szCs w:val="18"/>
              </w:rPr>
              <w:t>PRISM</w:t>
            </w:r>
          </w:p>
        </w:tc>
        <w:tc>
          <w:tcPr>
            <w:tcW w:w="3195" w:type="dxa"/>
            <w:shd w:val="clear" w:color="auto" w:fill="auto"/>
            <w:noWrap/>
            <w:vAlign w:val="center"/>
            <w:hideMark/>
          </w:tcPr>
          <w:p w14:paraId="0009F33A" w14:textId="77777777" w:rsidR="00C948CB" w:rsidRPr="00CC63BD" w:rsidRDefault="00C948CB" w:rsidP="00C948CB">
            <w:pPr>
              <w:rPr>
                <w:color w:val="000000"/>
                <w:sz w:val="18"/>
                <w:szCs w:val="18"/>
              </w:rPr>
            </w:pPr>
            <w:r w:rsidRPr="00CC63BD">
              <w:rPr>
                <w:color w:val="000000"/>
                <w:sz w:val="18"/>
                <w:szCs w:val="18"/>
              </w:rPr>
              <w:t>Power Reactor Innovative Small Reactor</w:t>
            </w:r>
          </w:p>
        </w:tc>
        <w:tc>
          <w:tcPr>
            <w:tcW w:w="1276" w:type="dxa"/>
            <w:shd w:val="clear" w:color="auto" w:fill="auto"/>
            <w:noWrap/>
            <w:vAlign w:val="center"/>
            <w:hideMark/>
          </w:tcPr>
          <w:p w14:paraId="18C4B331"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4D1B1E57"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2467D84D" w14:textId="77777777" w:rsidR="00C948CB" w:rsidRPr="00CC63BD" w:rsidRDefault="00C948CB" w:rsidP="00C948CB">
            <w:pPr>
              <w:jc w:val="center"/>
              <w:rPr>
                <w:color w:val="000000"/>
                <w:sz w:val="18"/>
                <w:szCs w:val="18"/>
              </w:rPr>
            </w:pPr>
            <w:r w:rsidRPr="00CC63BD">
              <w:rPr>
                <w:color w:val="000000"/>
                <w:sz w:val="18"/>
                <w:szCs w:val="18"/>
              </w:rPr>
              <w:t>485</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6DB886D3" w14:textId="77777777" w:rsidTr="00C948CB">
        <w:trPr>
          <w:trHeight w:val="288"/>
          <w:jc w:val="right"/>
        </w:trPr>
        <w:tc>
          <w:tcPr>
            <w:tcW w:w="571" w:type="dxa"/>
            <w:vAlign w:val="center"/>
          </w:tcPr>
          <w:p w14:paraId="771FAA3C" w14:textId="77777777" w:rsidR="00C948CB" w:rsidRPr="00C948CB" w:rsidRDefault="00C948CB" w:rsidP="00C948CB">
            <w:pPr>
              <w:rPr>
                <w:color w:val="000000"/>
                <w:sz w:val="18"/>
                <w:szCs w:val="18"/>
              </w:rPr>
            </w:pPr>
            <w:r w:rsidRPr="00C948CB">
              <w:rPr>
                <w:color w:val="000000"/>
                <w:sz w:val="18"/>
                <w:szCs w:val="18"/>
              </w:rPr>
              <w:t>22</w:t>
            </w:r>
          </w:p>
        </w:tc>
        <w:tc>
          <w:tcPr>
            <w:tcW w:w="1336" w:type="dxa"/>
            <w:shd w:val="clear" w:color="auto" w:fill="auto"/>
            <w:noWrap/>
            <w:vAlign w:val="center"/>
            <w:hideMark/>
          </w:tcPr>
          <w:p w14:paraId="14D2BC8E" w14:textId="77777777" w:rsidR="00C948CB" w:rsidRPr="00CC63BD" w:rsidRDefault="00C948CB" w:rsidP="00C948CB">
            <w:pPr>
              <w:rPr>
                <w:color w:val="000000"/>
                <w:sz w:val="18"/>
                <w:szCs w:val="18"/>
              </w:rPr>
            </w:pPr>
            <w:r w:rsidRPr="00CC63BD">
              <w:rPr>
                <w:color w:val="000000"/>
                <w:sz w:val="18"/>
                <w:szCs w:val="18"/>
              </w:rPr>
              <w:t>SEALER</w:t>
            </w:r>
          </w:p>
        </w:tc>
        <w:tc>
          <w:tcPr>
            <w:tcW w:w="3195" w:type="dxa"/>
            <w:shd w:val="clear" w:color="auto" w:fill="auto"/>
            <w:noWrap/>
            <w:vAlign w:val="center"/>
            <w:hideMark/>
          </w:tcPr>
          <w:p w14:paraId="739857B1" w14:textId="77777777" w:rsidR="00C948CB" w:rsidRPr="00CC63BD" w:rsidRDefault="00C948CB" w:rsidP="00C948CB">
            <w:pPr>
              <w:rPr>
                <w:color w:val="000000"/>
                <w:sz w:val="18"/>
                <w:szCs w:val="18"/>
              </w:rPr>
            </w:pPr>
            <w:r w:rsidRPr="00CC63BD">
              <w:rPr>
                <w:color w:val="000000"/>
                <w:sz w:val="18"/>
                <w:szCs w:val="18"/>
              </w:rPr>
              <w:t>Swedish Advanced Lead Reactor</w:t>
            </w:r>
          </w:p>
        </w:tc>
        <w:tc>
          <w:tcPr>
            <w:tcW w:w="1276" w:type="dxa"/>
            <w:shd w:val="clear" w:color="auto" w:fill="auto"/>
            <w:noWrap/>
            <w:vAlign w:val="center"/>
            <w:hideMark/>
          </w:tcPr>
          <w:p w14:paraId="366925C6"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7ADAFC29"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3E08ABED" w14:textId="76A0AB48" w:rsidR="00C948CB" w:rsidRPr="00CC63BD" w:rsidRDefault="00C948CB" w:rsidP="00166752">
            <w:pPr>
              <w:jc w:val="center"/>
              <w:rPr>
                <w:sz w:val="18"/>
                <w:szCs w:val="18"/>
              </w:rPr>
            </w:pPr>
            <w:r w:rsidRPr="00C948CB">
              <w:rPr>
                <w:sz w:val="18"/>
                <w:szCs w:val="18"/>
              </w:rPr>
              <w:t>420</w:t>
            </w:r>
            <w:r w:rsidR="00166752">
              <w:rPr>
                <w:sz w:val="18"/>
                <w:szCs w:val="18"/>
              </w:rPr>
              <w:t>-</w:t>
            </w:r>
            <w:r w:rsidRPr="00C948CB">
              <w:rPr>
                <w:sz w:val="18"/>
                <w:szCs w:val="18"/>
              </w:rPr>
              <w:t xml:space="preserve">550 </w:t>
            </w:r>
            <w:proofErr w:type="spellStart"/>
            <w:r w:rsidRPr="00C948CB">
              <w:rPr>
                <w:sz w:val="18"/>
                <w:szCs w:val="18"/>
                <w:vertAlign w:val="superscript"/>
              </w:rPr>
              <w:t>o</w:t>
            </w:r>
            <w:r w:rsidRPr="00C948CB">
              <w:rPr>
                <w:sz w:val="18"/>
                <w:szCs w:val="18"/>
              </w:rPr>
              <w:t>C</w:t>
            </w:r>
            <w:proofErr w:type="spellEnd"/>
          </w:p>
        </w:tc>
      </w:tr>
      <w:tr w:rsidR="00C948CB" w:rsidRPr="00C948CB" w14:paraId="7C1ACD28" w14:textId="77777777" w:rsidTr="00C948CB">
        <w:trPr>
          <w:trHeight w:val="288"/>
          <w:jc w:val="right"/>
        </w:trPr>
        <w:tc>
          <w:tcPr>
            <w:tcW w:w="571" w:type="dxa"/>
            <w:vAlign w:val="center"/>
          </w:tcPr>
          <w:p w14:paraId="5B1943C9" w14:textId="77777777" w:rsidR="00C948CB" w:rsidRPr="00C948CB" w:rsidRDefault="00C948CB" w:rsidP="00C948CB">
            <w:pPr>
              <w:rPr>
                <w:color w:val="000000"/>
                <w:sz w:val="18"/>
                <w:szCs w:val="18"/>
              </w:rPr>
            </w:pPr>
            <w:r w:rsidRPr="00C948CB">
              <w:rPr>
                <w:color w:val="000000"/>
                <w:sz w:val="18"/>
                <w:szCs w:val="18"/>
              </w:rPr>
              <w:t>23</w:t>
            </w:r>
          </w:p>
        </w:tc>
        <w:tc>
          <w:tcPr>
            <w:tcW w:w="1336" w:type="dxa"/>
            <w:shd w:val="clear" w:color="auto" w:fill="auto"/>
            <w:noWrap/>
            <w:vAlign w:val="center"/>
            <w:hideMark/>
          </w:tcPr>
          <w:p w14:paraId="734A6F07" w14:textId="77777777" w:rsidR="00C948CB" w:rsidRPr="00CC63BD" w:rsidRDefault="00C948CB" w:rsidP="00C948CB">
            <w:pPr>
              <w:rPr>
                <w:color w:val="000000"/>
                <w:sz w:val="18"/>
                <w:szCs w:val="18"/>
              </w:rPr>
            </w:pPr>
            <w:r w:rsidRPr="00CC63BD">
              <w:rPr>
                <w:color w:val="000000"/>
                <w:sz w:val="18"/>
                <w:szCs w:val="18"/>
              </w:rPr>
              <w:t>SVBR-100</w:t>
            </w:r>
          </w:p>
        </w:tc>
        <w:tc>
          <w:tcPr>
            <w:tcW w:w="3195" w:type="dxa"/>
            <w:shd w:val="clear" w:color="auto" w:fill="auto"/>
            <w:noWrap/>
            <w:vAlign w:val="center"/>
            <w:hideMark/>
          </w:tcPr>
          <w:p w14:paraId="099246CC" w14:textId="77777777" w:rsidR="00C948CB" w:rsidRPr="00CC63BD" w:rsidRDefault="00C948CB" w:rsidP="00C948CB">
            <w:pPr>
              <w:rPr>
                <w:color w:val="000000"/>
                <w:sz w:val="18"/>
                <w:szCs w:val="18"/>
              </w:rPr>
            </w:pPr>
            <w:r w:rsidRPr="00CC63BD">
              <w:rPr>
                <w:color w:val="000000"/>
                <w:sz w:val="18"/>
                <w:szCs w:val="18"/>
              </w:rPr>
              <w:t>SVBR-100</w:t>
            </w:r>
          </w:p>
        </w:tc>
        <w:tc>
          <w:tcPr>
            <w:tcW w:w="1276" w:type="dxa"/>
            <w:shd w:val="clear" w:color="auto" w:fill="auto"/>
            <w:noWrap/>
            <w:vAlign w:val="center"/>
            <w:hideMark/>
          </w:tcPr>
          <w:p w14:paraId="4BB2BF46" w14:textId="77777777" w:rsidR="00C948CB" w:rsidRPr="00CC63BD" w:rsidRDefault="00C948CB" w:rsidP="00C948CB">
            <w:pPr>
              <w:rPr>
                <w:color w:val="000000"/>
                <w:sz w:val="18"/>
                <w:szCs w:val="18"/>
              </w:rPr>
            </w:pPr>
            <w:r w:rsidRPr="00C948CB">
              <w:rPr>
                <w:color w:val="000000"/>
                <w:sz w:val="18"/>
                <w:szCs w:val="18"/>
              </w:rPr>
              <w:t>LBE</w:t>
            </w:r>
          </w:p>
        </w:tc>
        <w:tc>
          <w:tcPr>
            <w:tcW w:w="960" w:type="dxa"/>
            <w:shd w:val="clear" w:color="auto" w:fill="auto"/>
            <w:noWrap/>
            <w:vAlign w:val="center"/>
            <w:hideMark/>
          </w:tcPr>
          <w:p w14:paraId="2360BEFE"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518BD297" w14:textId="77777777" w:rsidR="00C948CB" w:rsidRPr="00CC63BD" w:rsidRDefault="00C948CB" w:rsidP="00C948CB">
            <w:pPr>
              <w:jc w:val="center"/>
              <w:rPr>
                <w:color w:val="000000"/>
                <w:sz w:val="18"/>
                <w:szCs w:val="18"/>
              </w:rPr>
            </w:pPr>
            <w:r w:rsidRPr="00CC63BD">
              <w:rPr>
                <w:color w:val="000000"/>
                <w:sz w:val="18"/>
                <w:szCs w:val="18"/>
              </w:rPr>
              <w:t>490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16BF75A2" w14:textId="77777777" w:rsidTr="00C948CB">
        <w:trPr>
          <w:trHeight w:val="288"/>
          <w:jc w:val="right"/>
        </w:trPr>
        <w:tc>
          <w:tcPr>
            <w:tcW w:w="571" w:type="dxa"/>
            <w:vAlign w:val="center"/>
          </w:tcPr>
          <w:p w14:paraId="2B3D83B9" w14:textId="77777777" w:rsidR="00C948CB" w:rsidRPr="00C948CB" w:rsidRDefault="00C948CB" w:rsidP="00C948CB">
            <w:pPr>
              <w:rPr>
                <w:color w:val="000000"/>
                <w:sz w:val="18"/>
                <w:szCs w:val="18"/>
              </w:rPr>
            </w:pPr>
            <w:r w:rsidRPr="00C948CB">
              <w:rPr>
                <w:color w:val="000000"/>
                <w:sz w:val="18"/>
                <w:szCs w:val="18"/>
              </w:rPr>
              <w:t>24</w:t>
            </w:r>
          </w:p>
        </w:tc>
        <w:tc>
          <w:tcPr>
            <w:tcW w:w="1336" w:type="dxa"/>
            <w:shd w:val="clear" w:color="auto" w:fill="auto"/>
            <w:noWrap/>
            <w:vAlign w:val="center"/>
            <w:hideMark/>
          </w:tcPr>
          <w:p w14:paraId="71F32459" w14:textId="77777777" w:rsidR="00C948CB" w:rsidRPr="00CC63BD" w:rsidRDefault="00C948CB" w:rsidP="00C948CB">
            <w:pPr>
              <w:rPr>
                <w:color w:val="000000"/>
                <w:sz w:val="18"/>
                <w:szCs w:val="18"/>
              </w:rPr>
            </w:pPr>
            <w:r w:rsidRPr="00CC63BD">
              <w:rPr>
                <w:color w:val="000000"/>
                <w:sz w:val="18"/>
                <w:szCs w:val="18"/>
              </w:rPr>
              <w:t>TWR-P</w:t>
            </w:r>
          </w:p>
        </w:tc>
        <w:tc>
          <w:tcPr>
            <w:tcW w:w="3195" w:type="dxa"/>
            <w:shd w:val="clear" w:color="auto" w:fill="auto"/>
            <w:noWrap/>
            <w:vAlign w:val="center"/>
            <w:hideMark/>
          </w:tcPr>
          <w:p w14:paraId="17C669DD" w14:textId="77777777" w:rsidR="00C948CB" w:rsidRPr="00CC63BD" w:rsidRDefault="00C948CB" w:rsidP="00C948CB">
            <w:pPr>
              <w:rPr>
                <w:color w:val="000000"/>
                <w:sz w:val="18"/>
                <w:szCs w:val="18"/>
              </w:rPr>
            </w:pPr>
            <w:r w:rsidRPr="00CC63BD">
              <w:rPr>
                <w:color w:val="000000"/>
                <w:sz w:val="18"/>
                <w:szCs w:val="18"/>
              </w:rPr>
              <w:t>Travelling Wave Reactor-Prototype</w:t>
            </w:r>
          </w:p>
        </w:tc>
        <w:tc>
          <w:tcPr>
            <w:tcW w:w="1276" w:type="dxa"/>
            <w:shd w:val="clear" w:color="auto" w:fill="auto"/>
            <w:noWrap/>
            <w:vAlign w:val="center"/>
            <w:hideMark/>
          </w:tcPr>
          <w:p w14:paraId="31D7FCC2" w14:textId="77777777" w:rsidR="00C948CB" w:rsidRPr="00CC63BD" w:rsidRDefault="00C948CB" w:rsidP="00C948CB">
            <w:pPr>
              <w:rPr>
                <w:color w:val="000000"/>
                <w:sz w:val="18"/>
                <w:szCs w:val="18"/>
              </w:rPr>
            </w:pPr>
            <w:r w:rsidRPr="00CC63BD">
              <w:rPr>
                <w:color w:val="000000"/>
                <w:sz w:val="18"/>
                <w:szCs w:val="18"/>
              </w:rPr>
              <w:t>Sodium</w:t>
            </w:r>
          </w:p>
        </w:tc>
        <w:tc>
          <w:tcPr>
            <w:tcW w:w="960" w:type="dxa"/>
            <w:shd w:val="clear" w:color="auto" w:fill="auto"/>
            <w:noWrap/>
            <w:vAlign w:val="center"/>
            <w:hideMark/>
          </w:tcPr>
          <w:p w14:paraId="46085E2A" w14:textId="77777777" w:rsidR="00C948CB" w:rsidRPr="00CC63BD" w:rsidRDefault="00C948CB" w:rsidP="00C948CB">
            <w:pPr>
              <w:rPr>
                <w:color w:val="000000"/>
                <w:sz w:val="18"/>
                <w:szCs w:val="18"/>
              </w:rPr>
            </w:pPr>
            <w:r w:rsidRPr="00CC63BD">
              <w:rPr>
                <w:color w:val="000000"/>
                <w:sz w:val="18"/>
                <w:szCs w:val="18"/>
              </w:rPr>
              <w:t>SFR</w:t>
            </w:r>
          </w:p>
        </w:tc>
        <w:tc>
          <w:tcPr>
            <w:tcW w:w="1450" w:type="dxa"/>
            <w:shd w:val="clear" w:color="auto" w:fill="auto"/>
            <w:noWrap/>
            <w:vAlign w:val="center"/>
            <w:hideMark/>
          </w:tcPr>
          <w:p w14:paraId="4A115A3B" w14:textId="529EBA7A" w:rsidR="00C948CB" w:rsidRPr="00CC63BD" w:rsidRDefault="00C948CB" w:rsidP="00166752">
            <w:pPr>
              <w:jc w:val="center"/>
              <w:rPr>
                <w:color w:val="000000"/>
                <w:sz w:val="18"/>
                <w:szCs w:val="18"/>
              </w:rPr>
            </w:pPr>
            <w:r w:rsidRPr="00CC63BD">
              <w:rPr>
                <w:color w:val="000000"/>
                <w:sz w:val="18"/>
                <w:szCs w:val="18"/>
              </w:rPr>
              <w:t>360</w:t>
            </w:r>
            <w:r w:rsidR="00166752">
              <w:rPr>
                <w:color w:val="000000"/>
                <w:sz w:val="18"/>
                <w:szCs w:val="18"/>
              </w:rPr>
              <w:t>-</w:t>
            </w:r>
            <w:r w:rsidRPr="00CC63BD">
              <w:rPr>
                <w:color w:val="000000"/>
                <w:sz w:val="18"/>
                <w:szCs w:val="18"/>
              </w:rPr>
              <w:t>500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r w:rsidR="00C948CB" w:rsidRPr="00C948CB" w14:paraId="7992BA83" w14:textId="77777777" w:rsidTr="00C948CB">
        <w:trPr>
          <w:trHeight w:val="288"/>
          <w:jc w:val="right"/>
        </w:trPr>
        <w:tc>
          <w:tcPr>
            <w:tcW w:w="571" w:type="dxa"/>
            <w:vAlign w:val="center"/>
          </w:tcPr>
          <w:p w14:paraId="4A10866B" w14:textId="77777777" w:rsidR="00C948CB" w:rsidRPr="00C948CB" w:rsidRDefault="00C948CB" w:rsidP="00C948CB">
            <w:pPr>
              <w:rPr>
                <w:color w:val="000000"/>
                <w:sz w:val="18"/>
                <w:szCs w:val="18"/>
              </w:rPr>
            </w:pPr>
            <w:r w:rsidRPr="00C948CB">
              <w:rPr>
                <w:color w:val="000000"/>
                <w:sz w:val="18"/>
                <w:szCs w:val="18"/>
              </w:rPr>
              <w:t>25</w:t>
            </w:r>
          </w:p>
        </w:tc>
        <w:tc>
          <w:tcPr>
            <w:tcW w:w="1336" w:type="dxa"/>
            <w:shd w:val="clear" w:color="auto" w:fill="auto"/>
            <w:noWrap/>
            <w:vAlign w:val="center"/>
            <w:hideMark/>
          </w:tcPr>
          <w:p w14:paraId="7701840B" w14:textId="77777777" w:rsidR="00C948CB" w:rsidRPr="00CC63BD" w:rsidRDefault="00C948CB" w:rsidP="00C948CB">
            <w:pPr>
              <w:rPr>
                <w:color w:val="000000"/>
                <w:sz w:val="18"/>
                <w:szCs w:val="18"/>
              </w:rPr>
            </w:pPr>
            <w:r w:rsidRPr="00CC63BD">
              <w:rPr>
                <w:color w:val="000000"/>
                <w:sz w:val="18"/>
                <w:szCs w:val="18"/>
              </w:rPr>
              <w:t>W-LFR</w:t>
            </w:r>
          </w:p>
        </w:tc>
        <w:tc>
          <w:tcPr>
            <w:tcW w:w="3195" w:type="dxa"/>
            <w:shd w:val="clear" w:color="auto" w:fill="auto"/>
            <w:noWrap/>
            <w:vAlign w:val="center"/>
            <w:hideMark/>
          </w:tcPr>
          <w:p w14:paraId="10339DA6" w14:textId="77777777" w:rsidR="00C948CB" w:rsidRPr="00CC63BD" w:rsidRDefault="00C948CB" w:rsidP="00C948CB">
            <w:pPr>
              <w:rPr>
                <w:color w:val="000000"/>
                <w:sz w:val="18"/>
                <w:szCs w:val="18"/>
              </w:rPr>
            </w:pPr>
            <w:r w:rsidRPr="00CC63BD">
              <w:rPr>
                <w:color w:val="000000"/>
                <w:sz w:val="18"/>
                <w:szCs w:val="18"/>
              </w:rPr>
              <w:t>Westinghouse Lead-cooled Fast Reactor</w:t>
            </w:r>
          </w:p>
        </w:tc>
        <w:tc>
          <w:tcPr>
            <w:tcW w:w="1276" w:type="dxa"/>
            <w:shd w:val="clear" w:color="auto" w:fill="auto"/>
            <w:noWrap/>
            <w:vAlign w:val="center"/>
            <w:hideMark/>
          </w:tcPr>
          <w:p w14:paraId="2733A254" w14:textId="77777777" w:rsidR="00C948CB" w:rsidRPr="00CC63BD" w:rsidRDefault="00C948CB" w:rsidP="00C948CB">
            <w:pPr>
              <w:rPr>
                <w:color w:val="000000"/>
                <w:sz w:val="18"/>
                <w:szCs w:val="18"/>
              </w:rPr>
            </w:pPr>
            <w:r w:rsidRPr="00CC63BD">
              <w:rPr>
                <w:color w:val="000000"/>
                <w:sz w:val="18"/>
                <w:szCs w:val="18"/>
              </w:rPr>
              <w:t>Lead</w:t>
            </w:r>
          </w:p>
        </w:tc>
        <w:tc>
          <w:tcPr>
            <w:tcW w:w="960" w:type="dxa"/>
            <w:shd w:val="clear" w:color="auto" w:fill="auto"/>
            <w:noWrap/>
            <w:vAlign w:val="center"/>
            <w:hideMark/>
          </w:tcPr>
          <w:p w14:paraId="02E72CC3" w14:textId="77777777" w:rsidR="00C948CB" w:rsidRPr="00CC63BD" w:rsidRDefault="00C948CB" w:rsidP="00C948CB">
            <w:pPr>
              <w:rPr>
                <w:color w:val="000000"/>
                <w:sz w:val="18"/>
                <w:szCs w:val="18"/>
              </w:rPr>
            </w:pPr>
            <w:r w:rsidRPr="00CC63BD">
              <w:rPr>
                <w:color w:val="000000"/>
                <w:sz w:val="18"/>
                <w:szCs w:val="18"/>
              </w:rPr>
              <w:t>LFR</w:t>
            </w:r>
          </w:p>
        </w:tc>
        <w:tc>
          <w:tcPr>
            <w:tcW w:w="1450" w:type="dxa"/>
            <w:shd w:val="clear" w:color="auto" w:fill="auto"/>
            <w:noWrap/>
            <w:vAlign w:val="center"/>
            <w:hideMark/>
          </w:tcPr>
          <w:p w14:paraId="79ACE9D0" w14:textId="6AECDD35" w:rsidR="00C948CB" w:rsidRPr="00CC63BD" w:rsidRDefault="00C948CB" w:rsidP="00166752">
            <w:pPr>
              <w:jc w:val="center"/>
              <w:rPr>
                <w:color w:val="000000"/>
                <w:sz w:val="18"/>
                <w:szCs w:val="18"/>
              </w:rPr>
            </w:pPr>
            <w:r w:rsidRPr="00CC63BD">
              <w:rPr>
                <w:color w:val="000000"/>
                <w:sz w:val="18"/>
                <w:szCs w:val="18"/>
              </w:rPr>
              <w:t>390</w:t>
            </w:r>
            <w:r w:rsidR="00166752">
              <w:rPr>
                <w:color w:val="000000"/>
                <w:sz w:val="18"/>
                <w:szCs w:val="18"/>
              </w:rPr>
              <w:t>-</w:t>
            </w:r>
            <w:r w:rsidRPr="00CC63BD">
              <w:rPr>
                <w:color w:val="000000"/>
                <w:sz w:val="18"/>
                <w:szCs w:val="18"/>
              </w:rPr>
              <w:t>650</w:t>
            </w:r>
            <w:r w:rsidRPr="00C948CB">
              <w:rPr>
                <w:color w:val="000000"/>
                <w:sz w:val="18"/>
                <w:szCs w:val="18"/>
              </w:rPr>
              <w:t xml:space="preserve"> </w:t>
            </w:r>
            <w:proofErr w:type="spellStart"/>
            <w:r w:rsidRPr="00C948CB">
              <w:rPr>
                <w:color w:val="000000"/>
                <w:sz w:val="18"/>
                <w:szCs w:val="18"/>
                <w:vertAlign w:val="superscript"/>
              </w:rPr>
              <w:t>o</w:t>
            </w:r>
            <w:r w:rsidRPr="00C948CB">
              <w:rPr>
                <w:color w:val="000000"/>
                <w:sz w:val="18"/>
                <w:szCs w:val="18"/>
              </w:rPr>
              <w:t>C</w:t>
            </w:r>
            <w:proofErr w:type="spellEnd"/>
          </w:p>
        </w:tc>
      </w:tr>
    </w:tbl>
    <w:p w14:paraId="7B748502" w14:textId="77777777" w:rsidR="00537B0C" w:rsidRDefault="00537B0C" w:rsidP="00AD466F">
      <w:pPr>
        <w:pStyle w:val="Authornameandaffiliation"/>
        <w:ind w:left="0" w:firstLine="567"/>
        <w:jc w:val="both"/>
        <w:rPr>
          <w:lang w:val="en-GB"/>
        </w:rPr>
      </w:pPr>
    </w:p>
    <w:p w14:paraId="03E1A968" w14:textId="77777777" w:rsidR="00C948CB" w:rsidRDefault="00C948CB" w:rsidP="00AD466F">
      <w:pPr>
        <w:pStyle w:val="Authornameandaffiliation"/>
        <w:ind w:left="0" w:firstLine="567"/>
        <w:jc w:val="both"/>
        <w:rPr>
          <w:lang w:val="en-GB"/>
        </w:rPr>
      </w:pPr>
      <w:r w:rsidRPr="00C948CB">
        <w:rPr>
          <w:lang w:val="en-GB"/>
        </w:rPr>
        <w:t>As can be seen from the table above, most reactors operate at temperatures between 400</w:t>
      </w:r>
      <w:r w:rsidR="00985E0C" w:rsidRPr="00985E0C">
        <w:t xml:space="preserve"> </w:t>
      </w:r>
      <w:proofErr w:type="spellStart"/>
      <w:r w:rsidR="00985E0C" w:rsidRPr="00985E0C">
        <w:rPr>
          <w:vertAlign w:val="superscript"/>
          <w:lang w:val="en-GB"/>
        </w:rPr>
        <w:t>o</w:t>
      </w:r>
      <w:r w:rsidR="00985E0C" w:rsidRPr="00985E0C">
        <w:rPr>
          <w:lang w:val="en-GB"/>
        </w:rPr>
        <w:t>C</w:t>
      </w:r>
      <w:proofErr w:type="spellEnd"/>
      <w:r w:rsidRPr="00C948CB">
        <w:rPr>
          <w:lang w:val="en-GB"/>
        </w:rPr>
        <w:t xml:space="preserve"> and 500 </w:t>
      </w:r>
      <w:proofErr w:type="spellStart"/>
      <w:r w:rsidR="00985E0C" w:rsidRPr="00985E0C">
        <w:rPr>
          <w:vertAlign w:val="superscript"/>
          <w:lang w:val="en-GB"/>
        </w:rPr>
        <w:t>o</w:t>
      </w:r>
      <w:r w:rsidR="00985E0C" w:rsidRPr="00985E0C">
        <w:rPr>
          <w:lang w:val="en-GB"/>
        </w:rPr>
        <w:t>C</w:t>
      </w:r>
      <w:r w:rsidR="00985E0C">
        <w:rPr>
          <w:lang w:val="en-GB"/>
        </w:rPr>
        <w:t>.</w:t>
      </w:r>
      <w:proofErr w:type="spellEnd"/>
      <w:r w:rsidR="00985E0C">
        <w:rPr>
          <w:lang w:val="en-GB"/>
        </w:rPr>
        <w:t xml:space="preserve"> </w:t>
      </w:r>
      <w:r>
        <w:rPr>
          <w:lang w:val="en-GB"/>
        </w:rPr>
        <w:t xml:space="preserve"> </w:t>
      </w:r>
      <w:r w:rsidR="00985E0C" w:rsidRPr="00985E0C">
        <w:rPr>
          <w:lang w:val="en-GB"/>
        </w:rPr>
        <w:t>The vast majority do not exceed 550 and only two stand out with slightly higher temperatures</w:t>
      </w:r>
      <w:r w:rsidR="00985E0C">
        <w:rPr>
          <w:lang w:val="en-GB"/>
        </w:rPr>
        <w:t xml:space="preserve"> (750 </w:t>
      </w:r>
      <w:proofErr w:type="spellStart"/>
      <w:r w:rsidR="00985E0C" w:rsidRPr="00985E0C">
        <w:rPr>
          <w:vertAlign w:val="superscript"/>
          <w:lang w:val="en-GB"/>
        </w:rPr>
        <w:t>o</w:t>
      </w:r>
      <w:r w:rsidR="00985E0C" w:rsidRPr="00985E0C">
        <w:rPr>
          <w:lang w:val="en-GB"/>
        </w:rPr>
        <w:t>C</w:t>
      </w:r>
      <w:proofErr w:type="spellEnd"/>
      <w:r w:rsidR="00985E0C" w:rsidRPr="00985E0C">
        <w:rPr>
          <w:lang w:val="en-GB"/>
        </w:rPr>
        <w:t xml:space="preserve"> </w:t>
      </w:r>
      <w:r w:rsidR="00985E0C">
        <w:rPr>
          <w:lang w:val="en-GB"/>
        </w:rPr>
        <w:t>and 850</w:t>
      </w:r>
      <w:r w:rsidR="00985E0C" w:rsidRPr="00985E0C">
        <w:rPr>
          <w:vertAlign w:val="superscript"/>
          <w:lang w:val="en-GB"/>
        </w:rPr>
        <w:t xml:space="preserve"> </w:t>
      </w:r>
      <w:proofErr w:type="spellStart"/>
      <w:r w:rsidR="00985E0C" w:rsidRPr="00985E0C">
        <w:rPr>
          <w:vertAlign w:val="superscript"/>
          <w:lang w:val="en-GB"/>
        </w:rPr>
        <w:t>o</w:t>
      </w:r>
      <w:r w:rsidR="00985E0C" w:rsidRPr="00985E0C">
        <w:rPr>
          <w:lang w:val="en-GB"/>
        </w:rPr>
        <w:t>C</w:t>
      </w:r>
      <w:proofErr w:type="spellEnd"/>
      <w:r w:rsidR="00985E0C">
        <w:rPr>
          <w:lang w:val="en-GB"/>
        </w:rPr>
        <w:t>)</w:t>
      </w:r>
      <w:r w:rsidR="00985E0C" w:rsidRPr="00985E0C">
        <w:rPr>
          <w:lang w:val="en-GB"/>
        </w:rPr>
        <w:t>.</w:t>
      </w:r>
      <w:r w:rsidR="00985E0C">
        <w:rPr>
          <w:lang w:val="en-GB"/>
        </w:rPr>
        <w:t xml:space="preserve"> </w:t>
      </w:r>
      <w:r w:rsidR="00985E0C" w:rsidRPr="00985E0C">
        <w:rPr>
          <w:lang w:val="en-GB"/>
        </w:rPr>
        <w:t>This phenomenon is a limiting factor in the use of the vast majority of thermochemical cycles or high temperature electrolysis.</w:t>
      </w:r>
      <w:r w:rsidR="00985E0C">
        <w:rPr>
          <w:lang w:val="en-GB"/>
        </w:rPr>
        <w:t xml:space="preserve"> As a punctual remark, the </w:t>
      </w:r>
      <w:r w:rsidR="00985E0C" w:rsidRPr="00985E0C">
        <w:rPr>
          <w:lang w:val="en-GB"/>
        </w:rPr>
        <w:t>Gas Turbine High Temperature Reacto</w:t>
      </w:r>
      <w:r w:rsidR="00985E0C">
        <w:rPr>
          <w:lang w:val="en-GB"/>
        </w:rPr>
        <w:t xml:space="preserve">rs </w:t>
      </w:r>
      <w:r w:rsidR="000C4700">
        <w:rPr>
          <w:lang w:val="en-GB"/>
        </w:rPr>
        <w:t xml:space="preserve">can </w:t>
      </w:r>
      <w:r w:rsidR="00985E0C">
        <w:rPr>
          <w:lang w:val="en-GB"/>
        </w:rPr>
        <w:t xml:space="preserve">work at higher temperatures, 950 </w:t>
      </w:r>
      <w:proofErr w:type="spellStart"/>
      <w:r w:rsidR="00985E0C" w:rsidRPr="00985E0C">
        <w:rPr>
          <w:vertAlign w:val="superscript"/>
          <w:lang w:val="en-GB"/>
        </w:rPr>
        <w:t>o</w:t>
      </w:r>
      <w:r w:rsidR="00985E0C">
        <w:rPr>
          <w:lang w:val="en-GB"/>
        </w:rPr>
        <w:t>C.</w:t>
      </w:r>
      <w:proofErr w:type="spellEnd"/>
    </w:p>
    <w:p w14:paraId="032CA678" w14:textId="77777777" w:rsidR="000C4700" w:rsidRDefault="000C4700" w:rsidP="00AD466F">
      <w:pPr>
        <w:pStyle w:val="Authornameandaffiliation"/>
        <w:ind w:left="0" w:firstLine="567"/>
        <w:jc w:val="both"/>
        <w:rPr>
          <w:lang w:val="en-GB"/>
        </w:rPr>
      </w:pPr>
    </w:p>
    <w:p w14:paraId="62FAF919" w14:textId="77777777" w:rsidR="000C4700" w:rsidRPr="000C4700" w:rsidRDefault="000C4700" w:rsidP="00AD466F">
      <w:pPr>
        <w:pStyle w:val="Authornameandaffiliation"/>
        <w:ind w:left="0" w:firstLine="567"/>
        <w:jc w:val="both"/>
        <w:rPr>
          <w:b/>
          <w:lang w:val="en-GB"/>
        </w:rPr>
      </w:pPr>
      <w:r w:rsidRPr="000C4700">
        <w:rPr>
          <w:b/>
          <w:lang w:val="en-GB"/>
        </w:rPr>
        <w:t>2.2. Hydrogen production methods</w:t>
      </w:r>
    </w:p>
    <w:p w14:paraId="51331411" w14:textId="77777777" w:rsidR="000C4700" w:rsidRDefault="000C4700" w:rsidP="00AD466F">
      <w:pPr>
        <w:pStyle w:val="Authornameandaffiliation"/>
        <w:ind w:left="0" w:firstLine="567"/>
        <w:jc w:val="both"/>
        <w:rPr>
          <w:lang w:val="en-GB"/>
        </w:rPr>
      </w:pPr>
    </w:p>
    <w:p w14:paraId="2F95B4CE" w14:textId="2035ABA9" w:rsidR="00384A18" w:rsidRDefault="00FF0732" w:rsidP="00384A18">
      <w:pPr>
        <w:pStyle w:val="Authornameandaffiliation"/>
        <w:ind w:left="0" w:firstLine="567"/>
        <w:jc w:val="both"/>
        <w:rPr>
          <w:lang w:val="en-GB"/>
        </w:rPr>
      </w:pPr>
      <w:r w:rsidRPr="00FF0732">
        <w:rPr>
          <w:lang w:val="en-GB"/>
        </w:rPr>
        <w:t xml:space="preserve">It should also be noted that the </w:t>
      </w:r>
      <w:r>
        <w:rPr>
          <w:lang w:val="en-GB"/>
        </w:rPr>
        <w:t xml:space="preserve">clean hydrogen </w:t>
      </w:r>
      <w:r w:rsidRPr="00FF0732">
        <w:rPr>
          <w:lang w:val="en-GB"/>
        </w:rPr>
        <w:t>is not incompatible with the production and delivery</w:t>
      </w:r>
      <w:r>
        <w:rPr>
          <w:lang w:val="en-GB"/>
        </w:rPr>
        <w:t xml:space="preserve"> </w:t>
      </w:r>
      <w:r w:rsidR="00F0138E">
        <w:rPr>
          <w:lang w:val="en-GB"/>
        </w:rPr>
        <w:t>of nuclear-produced hydrogen in</w:t>
      </w:r>
      <w:r w:rsidRPr="00FF0732">
        <w:rPr>
          <w:lang w:val="en-GB"/>
        </w:rPr>
        <w:t xml:space="preserve"> </w:t>
      </w:r>
      <w:r>
        <w:rPr>
          <w:lang w:val="en-GB"/>
        </w:rPr>
        <w:t xml:space="preserve">both </w:t>
      </w:r>
      <w:r w:rsidRPr="00FF0732">
        <w:rPr>
          <w:lang w:val="en-GB"/>
        </w:rPr>
        <w:t>short</w:t>
      </w:r>
      <w:r>
        <w:rPr>
          <w:lang w:val="en-GB"/>
        </w:rPr>
        <w:t xml:space="preserve"> and medium </w:t>
      </w:r>
      <w:r w:rsidRPr="00FF0732">
        <w:rPr>
          <w:lang w:val="en-GB"/>
        </w:rPr>
        <w:t>term</w:t>
      </w:r>
      <w:r>
        <w:rPr>
          <w:lang w:val="en-GB"/>
        </w:rPr>
        <w:t xml:space="preserve">s. </w:t>
      </w:r>
      <w:r w:rsidR="00384A18" w:rsidRPr="00384A18">
        <w:rPr>
          <w:lang w:val="en-GB"/>
        </w:rPr>
        <w:t xml:space="preserve">The nuclear hydrogen is covered by the ‘low-carbon hydrogen” definition, </w:t>
      </w:r>
      <w:r w:rsidR="00384A18" w:rsidRPr="00D51A2E">
        <w:rPr>
          <w:lang w:val="en-GB"/>
        </w:rPr>
        <w:t xml:space="preserve">but the business case to invest </w:t>
      </w:r>
      <w:r w:rsidR="00384A18" w:rsidRPr="00384A18">
        <w:rPr>
          <w:lang w:val="en-GB"/>
        </w:rPr>
        <w:t>must be associated with the electrolyser capacity, as well as the longer-term associated infrastructure for storage and transportation associated, and with labour force development. Together with these above, the decision to invest in nuclear hydrogen is clearly weakened by long-term energy strategies aim of entirely renewable-based production.</w:t>
      </w:r>
    </w:p>
    <w:p w14:paraId="25738E46" w14:textId="063C7DBC" w:rsidR="007C0B99" w:rsidRDefault="003D29A5" w:rsidP="00384A18">
      <w:pPr>
        <w:pStyle w:val="Authornameandaffiliation"/>
        <w:ind w:left="0" w:firstLine="567"/>
        <w:jc w:val="both"/>
        <w:rPr>
          <w:lang w:val="en-GB"/>
        </w:rPr>
      </w:pPr>
      <w:r w:rsidRPr="003D29A5">
        <w:rPr>
          <w:lang w:val="en-GB"/>
        </w:rPr>
        <w:t xml:space="preserve">Low-carbon hydrogen generation technologies, such as nuclear power, need to be stimulated in the short term by production and demand, and, in the long term, by the </w:t>
      </w:r>
      <w:r>
        <w:rPr>
          <w:lang w:val="en-GB"/>
        </w:rPr>
        <w:t>advantages</w:t>
      </w:r>
      <w:r w:rsidRPr="003D29A5">
        <w:rPr>
          <w:lang w:val="en-GB"/>
        </w:rPr>
        <w:t xml:space="preserve"> of their inclusion in policy-</w:t>
      </w:r>
      <w:r w:rsidR="00F0138E" w:rsidRPr="003D29A5">
        <w:rPr>
          <w:lang w:val="en-GB"/>
        </w:rPr>
        <w:t>making.</w:t>
      </w:r>
      <w:r w:rsidR="00F0138E" w:rsidRPr="00D50F02">
        <w:rPr>
          <w:lang w:val="en-GB"/>
        </w:rPr>
        <w:t xml:space="preserve"> Today’s</w:t>
      </w:r>
      <w:r w:rsidR="007C0B99" w:rsidRPr="00D50F02">
        <w:rPr>
          <w:lang w:val="en-GB"/>
        </w:rPr>
        <w:t xml:space="preserve"> commercial nuclear hydrogen production option is low-temperature electrolysis. The economics are primarily dependent upon the cost of electricity; thus, the incentive to use lower-cost off-peak electricity for hydrogen production. </w:t>
      </w:r>
      <w:r w:rsidR="007C0B99" w:rsidRPr="007C0B99">
        <w:rPr>
          <w:lang w:val="en-GB"/>
        </w:rPr>
        <w:t>Economics are grid specific. Other methods that are under research or demonstration are: steam electrolysis or high temperature electrolysis, thermochemical cycles, nuclear steam reforming, nuclear coal gasification or radiolysis of water</w:t>
      </w:r>
      <w:r w:rsidR="003548D3">
        <w:rPr>
          <w:lang w:val="en-GB"/>
        </w:rPr>
        <w:t xml:space="preserve">, </w:t>
      </w:r>
      <w:r w:rsidR="00537B0C" w:rsidRPr="00537B0C">
        <w:rPr>
          <w:lang w:val="en-GB"/>
        </w:rPr>
        <w:t>which are listed in Ta</w:t>
      </w:r>
      <w:r w:rsidR="00537B0C">
        <w:rPr>
          <w:lang w:val="en-GB"/>
        </w:rPr>
        <w:t>ble 2 and illustrated in Fig. 1</w:t>
      </w:r>
      <w:r w:rsidR="007C0B99" w:rsidRPr="007C0B99">
        <w:rPr>
          <w:lang w:val="en-GB"/>
        </w:rPr>
        <w:t>.</w:t>
      </w:r>
    </w:p>
    <w:p w14:paraId="5D25CAE0" w14:textId="03C0FA53" w:rsidR="007C0B99" w:rsidRDefault="007C0B99" w:rsidP="00384A18">
      <w:pPr>
        <w:pStyle w:val="Authornameandaffiliation"/>
        <w:ind w:left="0" w:firstLine="567"/>
        <w:jc w:val="both"/>
        <w:rPr>
          <w:lang w:val="en-GB"/>
        </w:rPr>
      </w:pPr>
      <w:r>
        <w:rPr>
          <w:lang w:val="en-GB"/>
        </w:rPr>
        <w:t xml:space="preserve">The </w:t>
      </w:r>
      <w:r w:rsidRPr="007C0B99">
        <w:rPr>
          <w:lang w:val="en-GB"/>
        </w:rPr>
        <w:t>low-temperature electrolysis and chemical reforming</w:t>
      </w:r>
      <w:r w:rsidRPr="007C0B99">
        <w:t xml:space="preserve"> </w:t>
      </w:r>
      <w:r w:rsidRPr="007C0B99">
        <w:rPr>
          <w:lang w:val="en-GB"/>
        </w:rPr>
        <w:t xml:space="preserve">are well known, </w:t>
      </w:r>
      <w:r w:rsidR="009E44CC">
        <w:rPr>
          <w:lang w:val="en-GB"/>
        </w:rPr>
        <w:t xml:space="preserve">so </w:t>
      </w:r>
      <w:r w:rsidRPr="007C0B99">
        <w:rPr>
          <w:lang w:val="en-GB"/>
        </w:rPr>
        <w:t>we will not detail them.</w:t>
      </w:r>
      <w:r w:rsidR="002771A0" w:rsidRPr="002771A0">
        <w:t xml:space="preserve"> </w:t>
      </w:r>
      <w:r w:rsidR="002771A0" w:rsidRPr="002771A0">
        <w:rPr>
          <w:lang w:val="en-GB"/>
        </w:rPr>
        <w:t xml:space="preserve">The steam reforming of hydrocarbons, including both fossil fuels and biomass, usually requires temperatures over 800°C. </w:t>
      </w:r>
      <w:r w:rsidRPr="007C0B99">
        <w:t xml:space="preserve"> </w:t>
      </w:r>
      <w:r>
        <w:t xml:space="preserve">The </w:t>
      </w:r>
      <w:r>
        <w:rPr>
          <w:lang w:val="en-GB"/>
        </w:rPr>
        <w:t>h</w:t>
      </w:r>
      <w:r w:rsidRPr="007C0B99">
        <w:rPr>
          <w:lang w:val="en-GB"/>
        </w:rPr>
        <w:t xml:space="preserve">igh temperature electrolysis involves </w:t>
      </w:r>
      <w:r>
        <w:rPr>
          <w:lang w:val="en-GB"/>
        </w:rPr>
        <w:t>electrochemical</w:t>
      </w:r>
      <w:r w:rsidRPr="007C0B99">
        <w:rPr>
          <w:lang w:val="en-GB"/>
        </w:rPr>
        <w:t xml:space="preserve"> splitting of steam into hydrogen and oxygen at high temperatures at the range of 800 – 1000 </w:t>
      </w:r>
      <w:proofErr w:type="spellStart"/>
      <w:r w:rsidRPr="007C0B99">
        <w:rPr>
          <w:vertAlign w:val="superscript"/>
          <w:lang w:val="en-GB"/>
        </w:rPr>
        <w:t>o</w:t>
      </w:r>
      <w:r w:rsidRPr="007C0B99">
        <w:rPr>
          <w:lang w:val="en-GB"/>
        </w:rPr>
        <w:t>C.</w:t>
      </w:r>
      <w:proofErr w:type="spellEnd"/>
      <w:r w:rsidRPr="007C0B99">
        <w:rPr>
          <w:lang w:val="en-GB"/>
        </w:rPr>
        <w:t xml:space="preserve"> The primary advantage </w:t>
      </w:r>
      <w:r>
        <w:rPr>
          <w:lang w:val="en-GB"/>
        </w:rPr>
        <w:t>is the</w:t>
      </w:r>
      <w:r w:rsidRPr="007C0B99">
        <w:rPr>
          <w:lang w:val="en-GB"/>
        </w:rPr>
        <w:t xml:space="preserve"> efficienc</w:t>
      </w:r>
      <w:r>
        <w:rPr>
          <w:lang w:val="en-GB"/>
        </w:rPr>
        <w:t>y</w:t>
      </w:r>
      <w:r w:rsidR="002771A0">
        <w:rPr>
          <w:lang w:val="en-GB"/>
        </w:rPr>
        <w:t xml:space="preserve">, the process is </w:t>
      </w:r>
      <w:r w:rsidRPr="007C0B99">
        <w:rPr>
          <w:lang w:val="en-GB"/>
        </w:rPr>
        <w:t xml:space="preserve">more </w:t>
      </w:r>
      <w:r w:rsidR="002771A0" w:rsidRPr="007C0B99">
        <w:rPr>
          <w:lang w:val="en-GB"/>
        </w:rPr>
        <w:t xml:space="preserve">favourable </w:t>
      </w:r>
      <w:r w:rsidR="002771A0">
        <w:rPr>
          <w:lang w:val="en-GB"/>
        </w:rPr>
        <w:t xml:space="preserve">from </w:t>
      </w:r>
      <w:r w:rsidR="009E44CC">
        <w:rPr>
          <w:lang w:val="en-GB"/>
        </w:rPr>
        <w:t xml:space="preserve">the </w:t>
      </w:r>
      <w:r w:rsidRPr="007C0B99">
        <w:rPr>
          <w:lang w:val="en-GB"/>
        </w:rPr>
        <w:t xml:space="preserve">thermodynamic </w:t>
      </w:r>
      <w:r w:rsidR="002771A0">
        <w:rPr>
          <w:lang w:val="en-GB"/>
        </w:rPr>
        <w:t xml:space="preserve">point of view </w:t>
      </w:r>
      <w:r w:rsidRPr="007C0B99">
        <w:rPr>
          <w:lang w:val="en-GB"/>
        </w:rPr>
        <w:t xml:space="preserve">for electrolysis. </w:t>
      </w:r>
      <w:r w:rsidR="002771A0">
        <w:rPr>
          <w:lang w:val="en-GB"/>
        </w:rPr>
        <w:t>In fact, t</w:t>
      </w:r>
      <w:r w:rsidRPr="007C0B99">
        <w:rPr>
          <w:lang w:val="en-GB"/>
        </w:rPr>
        <w:t>he steam electrolyses work</w:t>
      </w:r>
      <w:r w:rsidR="00C2529E">
        <w:rPr>
          <w:lang w:val="en-GB"/>
        </w:rPr>
        <w:t>s</w:t>
      </w:r>
      <w:r w:rsidRPr="007C0B99">
        <w:rPr>
          <w:lang w:val="en-GB"/>
        </w:rPr>
        <w:t xml:space="preserve"> as reversible solid oxide fuel cell.</w:t>
      </w:r>
    </w:p>
    <w:p w14:paraId="0DE4DD1A" w14:textId="07C94622" w:rsidR="002771A0" w:rsidRDefault="003D681E" w:rsidP="00384A18">
      <w:pPr>
        <w:pStyle w:val="Authornameandaffiliation"/>
        <w:ind w:left="0" w:firstLine="567"/>
        <w:jc w:val="both"/>
        <w:rPr>
          <w:lang w:val="en-GB"/>
        </w:rPr>
      </w:pPr>
      <w:r>
        <w:rPr>
          <w:lang w:val="en-GB"/>
        </w:rPr>
        <w:t>At the moment, t</w:t>
      </w:r>
      <w:r w:rsidR="002771A0" w:rsidRPr="002771A0">
        <w:rPr>
          <w:lang w:val="en-GB"/>
        </w:rPr>
        <w:t xml:space="preserve">he research and development of thermochemical cycles </w:t>
      </w:r>
      <w:r>
        <w:rPr>
          <w:lang w:val="en-GB"/>
        </w:rPr>
        <w:t>are</w:t>
      </w:r>
      <w:r w:rsidR="002771A0" w:rsidRPr="002771A0">
        <w:rPr>
          <w:lang w:val="en-GB"/>
        </w:rPr>
        <w:t xml:space="preserve"> at </w:t>
      </w:r>
      <w:r>
        <w:rPr>
          <w:lang w:val="en-GB"/>
        </w:rPr>
        <w:t>a</w:t>
      </w:r>
      <w:r w:rsidR="002771A0" w:rsidRPr="002771A0">
        <w:rPr>
          <w:lang w:val="en-GB"/>
        </w:rPr>
        <w:t xml:space="preserve"> laboratory and pilot level</w:t>
      </w:r>
      <w:r w:rsidR="002771A0">
        <w:rPr>
          <w:lang w:val="en-GB"/>
        </w:rPr>
        <w:t>.</w:t>
      </w:r>
      <w:r w:rsidR="002771A0" w:rsidRPr="002771A0">
        <w:t xml:space="preserve"> </w:t>
      </w:r>
      <w:r w:rsidR="002771A0">
        <w:rPr>
          <w:lang w:val="en-GB"/>
        </w:rPr>
        <w:t>There w</w:t>
      </w:r>
      <w:r>
        <w:rPr>
          <w:lang w:val="en-GB"/>
        </w:rPr>
        <w:t>ere</w:t>
      </w:r>
      <w:r w:rsidR="002771A0">
        <w:rPr>
          <w:lang w:val="en-GB"/>
        </w:rPr>
        <w:t xml:space="preserve"> reported more than </w:t>
      </w:r>
      <w:r w:rsidR="002771A0" w:rsidRPr="002771A0">
        <w:rPr>
          <w:lang w:val="en-GB"/>
        </w:rPr>
        <w:t xml:space="preserve">200 thermochemical cycles. </w:t>
      </w:r>
      <w:r w:rsidR="00166752">
        <w:rPr>
          <w:lang w:val="en-GB"/>
        </w:rPr>
        <w:t>E</w:t>
      </w:r>
      <w:r w:rsidR="002771A0">
        <w:rPr>
          <w:lang w:val="en-GB"/>
        </w:rPr>
        <w:t>ight</w:t>
      </w:r>
      <w:r w:rsidR="002771A0" w:rsidRPr="002771A0">
        <w:rPr>
          <w:lang w:val="en-GB"/>
        </w:rPr>
        <w:t xml:space="preserve"> cycles have practical potential for </w:t>
      </w:r>
      <w:r w:rsidR="002771A0" w:rsidRPr="00097065">
        <w:rPr>
          <w:lang w:val="en-GB"/>
        </w:rPr>
        <w:t>the industr</w:t>
      </w:r>
      <w:r w:rsidR="00723EB6">
        <w:rPr>
          <w:color w:val="FF0000"/>
          <w:lang w:val="en-GB"/>
        </w:rPr>
        <w:t>y</w:t>
      </w:r>
      <w:r w:rsidR="002771A0" w:rsidRPr="002771A0">
        <w:rPr>
          <w:lang w:val="en-GB"/>
        </w:rPr>
        <w:t>: sulphur-iodine (S</w:t>
      </w:r>
      <w:r w:rsidR="006A4D43">
        <w:rPr>
          <w:lang w:val="en-GB"/>
        </w:rPr>
        <w:t>-</w:t>
      </w:r>
      <w:r w:rsidR="002771A0" w:rsidRPr="002771A0">
        <w:rPr>
          <w:lang w:val="en-GB"/>
        </w:rPr>
        <w:t>I), copper-chlorine (Cu-Cl), cerium-chloride (Ce-Cl), iron-chlorine (Fe-Cl), magnesium-</w:t>
      </w:r>
      <w:r w:rsidR="006F672A">
        <w:rPr>
          <w:lang w:val="en-GB"/>
        </w:rPr>
        <w:t>chlorine</w:t>
      </w:r>
      <w:r w:rsidR="002771A0" w:rsidRPr="002771A0">
        <w:rPr>
          <w:lang w:val="en-GB"/>
        </w:rPr>
        <w:t xml:space="preserve"> (Mg-</w:t>
      </w:r>
      <w:r w:rsidR="006F672A">
        <w:rPr>
          <w:lang w:val="en-GB"/>
        </w:rPr>
        <w:t>Cl</w:t>
      </w:r>
      <w:r w:rsidR="002771A0" w:rsidRPr="002771A0">
        <w:rPr>
          <w:lang w:val="en-GB"/>
        </w:rPr>
        <w:t xml:space="preserve">), vanadium-chloride (V-Cl), copper sulphate chlorine-based hybrid cycles. Estimates made for these </w:t>
      </w:r>
      <w:r w:rsidR="002771A0">
        <w:rPr>
          <w:lang w:val="en-GB"/>
        </w:rPr>
        <w:t>thermos-</w:t>
      </w:r>
      <w:r w:rsidR="002771A0" w:rsidRPr="002771A0">
        <w:rPr>
          <w:lang w:val="en-GB"/>
        </w:rPr>
        <w:t>cycles are based on studies and experimental tests, demonstration trials and a series of feasibility analyses.</w:t>
      </w:r>
      <w:r w:rsidR="002771A0">
        <w:rPr>
          <w:lang w:val="en-GB"/>
        </w:rPr>
        <w:t xml:space="preserve"> </w:t>
      </w:r>
      <w:r w:rsidR="002771A0" w:rsidRPr="002771A0">
        <w:rPr>
          <w:lang w:val="en-GB"/>
        </w:rPr>
        <w:t xml:space="preserve">The “coldest” </w:t>
      </w:r>
      <w:r w:rsidR="006F672A">
        <w:rPr>
          <w:lang w:val="en-GB"/>
        </w:rPr>
        <w:t xml:space="preserve">are </w:t>
      </w:r>
      <w:r w:rsidR="006F672A" w:rsidRPr="006F672A">
        <w:rPr>
          <w:lang w:val="en-GB"/>
        </w:rPr>
        <w:t>magnesium-chlorine</w:t>
      </w:r>
      <w:r w:rsidR="006F672A">
        <w:rPr>
          <w:lang w:val="en-GB"/>
        </w:rPr>
        <w:t xml:space="preserve"> and</w:t>
      </w:r>
      <w:r w:rsidR="002771A0" w:rsidRPr="002771A0">
        <w:rPr>
          <w:lang w:val="en-GB"/>
        </w:rPr>
        <w:t xml:space="preserve"> copper-chlorine thermos-cycle</w:t>
      </w:r>
      <w:r>
        <w:rPr>
          <w:lang w:val="en-GB"/>
        </w:rPr>
        <w:t xml:space="preserve"> -the </w:t>
      </w:r>
      <w:r w:rsidR="002771A0" w:rsidRPr="002771A0">
        <w:rPr>
          <w:lang w:val="en-GB"/>
        </w:rPr>
        <w:t xml:space="preserve">maximum temperature does not exceed </w:t>
      </w:r>
      <w:r w:rsidR="006F672A">
        <w:rPr>
          <w:lang w:val="en-GB"/>
        </w:rPr>
        <w:t>450-</w:t>
      </w:r>
      <w:r w:rsidR="002771A0" w:rsidRPr="002771A0">
        <w:rPr>
          <w:lang w:val="en-GB"/>
        </w:rPr>
        <w:t xml:space="preserve">550 </w:t>
      </w:r>
      <w:proofErr w:type="spellStart"/>
      <w:r w:rsidR="002771A0" w:rsidRPr="002771A0">
        <w:rPr>
          <w:vertAlign w:val="superscript"/>
          <w:lang w:val="en-GB"/>
        </w:rPr>
        <w:t>o</w:t>
      </w:r>
      <w:r w:rsidR="002771A0">
        <w:rPr>
          <w:lang w:val="en-GB"/>
        </w:rPr>
        <w:t>C</w:t>
      </w:r>
      <w:proofErr w:type="spellEnd"/>
      <w:r w:rsidR="002771A0">
        <w:rPr>
          <w:lang w:val="en-GB"/>
        </w:rPr>
        <w:t xml:space="preserve"> </w:t>
      </w:r>
      <w:r w:rsidR="002771A0" w:rsidRPr="00C31F26">
        <w:rPr>
          <w:lang w:val="en-GB"/>
        </w:rPr>
        <w:t xml:space="preserve">and the most </w:t>
      </w:r>
      <w:r w:rsidR="002771A0" w:rsidRPr="00F0138E">
        <w:rPr>
          <w:lang w:val="en-GB"/>
        </w:rPr>
        <w:t>studie</w:t>
      </w:r>
      <w:r w:rsidR="00723EB6" w:rsidRPr="00F0138E">
        <w:rPr>
          <w:lang w:val="en-GB"/>
        </w:rPr>
        <w:t>d</w:t>
      </w:r>
      <w:r w:rsidR="002771A0" w:rsidRPr="00F0138E">
        <w:rPr>
          <w:lang w:val="en-GB"/>
        </w:rPr>
        <w:t xml:space="preserve"> is </w:t>
      </w:r>
      <w:r w:rsidR="009E36B9" w:rsidRPr="00F0138E">
        <w:rPr>
          <w:lang w:val="en-GB"/>
        </w:rPr>
        <w:t>sulphur-iodine</w:t>
      </w:r>
      <w:r w:rsidR="00C31F26" w:rsidRPr="00F0138E">
        <w:rPr>
          <w:lang w:val="en-GB"/>
        </w:rPr>
        <w:t>,</w:t>
      </w:r>
      <w:r w:rsidR="009E36B9" w:rsidRPr="00F0138E">
        <w:rPr>
          <w:lang w:val="en-GB"/>
        </w:rPr>
        <w:t xml:space="preserve"> where the highest temperature is between 800 </w:t>
      </w:r>
      <w:proofErr w:type="spellStart"/>
      <w:r w:rsidR="009E36B9" w:rsidRPr="00F0138E">
        <w:rPr>
          <w:vertAlign w:val="superscript"/>
          <w:lang w:val="en-GB"/>
        </w:rPr>
        <w:t>o</w:t>
      </w:r>
      <w:r w:rsidR="009E36B9" w:rsidRPr="00F0138E">
        <w:rPr>
          <w:lang w:val="en-GB"/>
        </w:rPr>
        <w:t>C</w:t>
      </w:r>
      <w:proofErr w:type="spellEnd"/>
      <w:r w:rsidR="009E36B9" w:rsidRPr="00F0138E">
        <w:rPr>
          <w:lang w:val="en-GB"/>
        </w:rPr>
        <w:t xml:space="preserve"> and 900 </w:t>
      </w:r>
      <w:proofErr w:type="spellStart"/>
      <w:r w:rsidR="009E36B9" w:rsidRPr="00F0138E">
        <w:rPr>
          <w:vertAlign w:val="superscript"/>
          <w:lang w:val="en-GB"/>
        </w:rPr>
        <w:t>o</w:t>
      </w:r>
      <w:r w:rsidR="009E36B9" w:rsidRPr="00F0138E">
        <w:rPr>
          <w:lang w:val="en-GB"/>
        </w:rPr>
        <w:t>C.</w:t>
      </w:r>
      <w:proofErr w:type="spellEnd"/>
    </w:p>
    <w:p w14:paraId="2002ED3D" w14:textId="77777777" w:rsidR="003548D3" w:rsidRDefault="003548D3" w:rsidP="00384A18">
      <w:pPr>
        <w:pStyle w:val="Authornameandaffiliation"/>
        <w:ind w:left="0" w:firstLine="567"/>
        <w:jc w:val="both"/>
        <w:rPr>
          <w:lang w:val="en-GB"/>
        </w:rPr>
      </w:pPr>
    </w:p>
    <w:p w14:paraId="2B53F8E1" w14:textId="77777777" w:rsidR="003548D3" w:rsidRDefault="003548D3" w:rsidP="00384A18">
      <w:pPr>
        <w:pStyle w:val="Authornameandaffiliation"/>
        <w:ind w:left="0" w:firstLine="567"/>
        <w:jc w:val="both"/>
        <w:rPr>
          <w:lang w:val="en-GB"/>
        </w:rPr>
      </w:pPr>
      <w:r>
        <w:rPr>
          <w:lang w:val="en-GB"/>
        </w:rPr>
        <w:tab/>
      </w:r>
      <w:r w:rsidRPr="003548D3">
        <w:rPr>
          <w:lang w:val="en-GB"/>
        </w:rPr>
        <w:t>TABLE 1.</w:t>
      </w:r>
      <w:r w:rsidRPr="003548D3">
        <w:rPr>
          <w:lang w:val="en-GB"/>
        </w:rPr>
        <w:tab/>
      </w:r>
      <w:r>
        <w:rPr>
          <w:lang w:val="en-GB"/>
        </w:rPr>
        <w:t>HYDROGEN PRODUCTION METHODS</w:t>
      </w:r>
    </w:p>
    <w:tbl>
      <w:tblPr>
        <w:tblStyle w:val="TableGrid"/>
        <w:tblW w:w="0" w:type="auto"/>
        <w:jc w:val="center"/>
        <w:tblBorders>
          <w:insideV w:val="none" w:sz="0" w:space="0" w:color="auto"/>
        </w:tblBorders>
        <w:tblLook w:val="04A0" w:firstRow="1" w:lastRow="0" w:firstColumn="1" w:lastColumn="0" w:noHBand="0" w:noVBand="1"/>
      </w:tblPr>
      <w:tblGrid>
        <w:gridCol w:w="421"/>
        <w:gridCol w:w="3551"/>
        <w:gridCol w:w="1986"/>
      </w:tblGrid>
      <w:tr w:rsidR="003548D3" w14:paraId="4CA9E383" w14:textId="77777777" w:rsidTr="00942A5F">
        <w:trPr>
          <w:trHeight w:val="250"/>
          <w:jc w:val="center"/>
        </w:trPr>
        <w:tc>
          <w:tcPr>
            <w:tcW w:w="421" w:type="dxa"/>
          </w:tcPr>
          <w:p w14:paraId="4F7FA0A9" w14:textId="77777777" w:rsidR="003548D3" w:rsidRDefault="003548D3" w:rsidP="00384A18">
            <w:pPr>
              <w:pStyle w:val="Authornameandaffiliation"/>
              <w:ind w:left="0"/>
              <w:jc w:val="both"/>
              <w:rPr>
                <w:lang w:val="en-GB"/>
              </w:rPr>
            </w:pPr>
          </w:p>
        </w:tc>
        <w:tc>
          <w:tcPr>
            <w:tcW w:w="3551" w:type="dxa"/>
          </w:tcPr>
          <w:p w14:paraId="6E4353D3" w14:textId="77777777" w:rsidR="003548D3" w:rsidRDefault="003548D3" w:rsidP="00384A18">
            <w:pPr>
              <w:pStyle w:val="Authornameandaffiliation"/>
              <w:ind w:left="0"/>
              <w:jc w:val="both"/>
              <w:rPr>
                <w:lang w:val="en-GB"/>
              </w:rPr>
            </w:pPr>
            <w:r>
              <w:rPr>
                <w:lang w:val="en-GB"/>
              </w:rPr>
              <w:t>Hydrogen production method</w:t>
            </w:r>
          </w:p>
        </w:tc>
        <w:tc>
          <w:tcPr>
            <w:tcW w:w="1986" w:type="dxa"/>
          </w:tcPr>
          <w:p w14:paraId="27F3BD17" w14:textId="77777777" w:rsidR="003548D3" w:rsidRDefault="003548D3" w:rsidP="00B85F4D">
            <w:pPr>
              <w:pStyle w:val="Authornameandaffiliation"/>
              <w:ind w:left="0"/>
              <w:jc w:val="center"/>
              <w:rPr>
                <w:lang w:val="en-GB"/>
              </w:rPr>
            </w:pPr>
            <w:r>
              <w:rPr>
                <w:lang w:val="en-GB"/>
              </w:rPr>
              <w:t>Temperature</w:t>
            </w:r>
          </w:p>
        </w:tc>
      </w:tr>
      <w:tr w:rsidR="003548D3" w14:paraId="6BB60F6F" w14:textId="77777777" w:rsidTr="00942A5F">
        <w:trPr>
          <w:trHeight w:val="250"/>
          <w:jc w:val="center"/>
        </w:trPr>
        <w:tc>
          <w:tcPr>
            <w:tcW w:w="421" w:type="dxa"/>
          </w:tcPr>
          <w:p w14:paraId="2C89EF5C" w14:textId="77777777" w:rsidR="003548D3" w:rsidRDefault="003548D3" w:rsidP="00384A18">
            <w:pPr>
              <w:pStyle w:val="Authornameandaffiliation"/>
              <w:ind w:left="0"/>
              <w:jc w:val="both"/>
              <w:rPr>
                <w:lang w:val="en-GB"/>
              </w:rPr>
            </w:pPr>
            <w:r>
              <w:rPr>
                <w:lang w:val="en-GB"/>
              </w:rPr>
              <w:t>1.</w:t>
            </w:r>
          </w:p>
        </w:tc>
        <w:tc>
          <w:tcPr>
            <w:tcW w:w="3551" w:type="dxa"/>
          </w:tcPr>
          <w:p w14:paraId="42B05CEF" w14:textId="77777777" w:rsidR="003548D3" w:rsidRDefault="003548D3" w:rsidP="00384A18">
            <w:pPr>
              <w:pStyle w:val="Authornameandaffiliation"/>
              <w:ind w:left="0"/>
              <w:jc w:val="both"/>
              <w:rPr>
                <w:lang w:val="en-GB"/>
              </w:rPr>
            </w:pPr>
            <w:r>
              <w:rPr>
                <w:lang w:val="en-GB"/>
              </w:rPr>
              <w:t>Hydrocarbons/methane steam reforming</w:t>
            </w:r>
          </w:p>
        </w:tc>
        <w:tc>
          <w:tcPr>
            <w:tcW w:w="1986" w:type="dxa"/>
          </w:tcPr>
          <w:p w14:paraId="02EA25BA" w14:textId="06E82FC2" w:rsidR="003548D3" w:rsidRDefault="003548D3" w:rsidP="00166752">
            <w:pPr>
              <w:pStyle w:val="Authornameandaffiliation"/>
              <w:ind w:left="0"/>
              <w:jc w:val="center"/>
              <w:rPr>
                <w:lang w:val="en-GB"/>
              </w:rPr>
            </w:pPr>
            <w:r>
              <w:rPr>
                <w:lang w:val="en-GB"/>
              </w:rPr>
              <w:t>700</w:t>
            </w:r>
            <w:r w:rsidR="00B85F4D">
              <w:rPr>
                <w:lang w:val="en-GB"/>
              </w:rPr>
              <w:t xml:space="preserve"> </w:t>
            </w:r>
            <w:r>
              <w:rPr>
                <w:lang w:val="en-GB"/>
              </w:rPr>
              <w:t>°C</w:t>
            </w:r>
            <w:r w:rsidR="00C84D23">
              <w:rPr>
                <w:lang w:val="en-GB"/>
              </w:rPr>
              <w:t xml:space="preserve"> </w:t>
            </w:r>
            <w:r w:rsidR="00166752">
              <w:rPr>
                <w:lang w:val="en-GB"/>
              </w:rPr>
              <w:t>-</w:t>
            </w:r>
            <w:r>
              <w:rPr>
                <w:lang w:val="en-GB"/>
              </w:rPr>
              <w:t xml:space="preserve">1 </w:t>
            </w:r>
            <w:r w:rsidRPr="003548D3">
              <w:rPr>
                <w:lang w:val="en-GB"/>
              </w:rPr>
              <w:t>000</w:t>
            </w:r>
            <w:r w:rsidR="00B85F4D">
              <w:rPr>
                <w:lang w:val="en-GB"/>
              </w:rPr>
              <w:t xml:space="preserve"> </w:t>
            </w:r>
            <w:r w:rsidRPr="003548D3">
              <w:rPr>
                <w:lang w:val="en-GB"/>
              </w:rPr>
              <w:t>°C</w:t>
            </w:r>
          </w:p>
        </w:tc>
      </w:tr>
      <w:tr w:rsidR="003548D3" w14:paraId="0F45B6E9" w14:textId="77777777" w:rsidTr="00942A5F">
        <w:trPr>
          <w:trHeight w:val="250"/>
          <w:jc w:val="center"/>
        </w:trPr>
        <w:tc>
          <w:tcPr>
            <w:tcW w:w="421" w:type="dxa"/>
          </w:tcPr>
          <w:p w14:paraId="427AFE60" w14:textId="77777777" w:rsidR="003548D3" w:rsidRDefault="003548D3" w:rsidP="00384A18">
            <w:pPr>
              <w:pStyle w:val="Authornameandaffiliation"/>
              <w:ind w:left="0"/>
              <w:jc w:val="both"/>
              <w:rPr>
                <w:lang w:val="en-GB"/>
              </w:rPr>
            </w:pPr>
            <w:r>
              <w:rPr>
                <w:lang w:val="en-GB"/>
              </w:rPr>
              <w:t>2.</w:t>
            </w:r>
          </w:p>
        </w:tc>
        <w:tc>
          <w:tcPr>
            <w:tcW w:w="3551" w:type="dxa"/>
          </w:tcPr>
          <w:p w14:paraId="037D8CC2" w14:textId="77777777" w:rsidR="003548D3" w:rsidRDefault="003548D3" w:rsidP="00384A18">
            <w:pPr>
              <w:pStyle w:val="Authornameandaffiliation"/>
              <w:ind w:left="0"/>
              <w:jc w:val="both"/>
              <w:rPr>
                <w:lang w:val="en-GB"/>
              </w:rPr>
            </w:pPr>
            <w:r>
              <w:rPr>
                <w:lang w:val="en-GB"/>
              </w:rPr>
              <w:t>Low temperature water electrolysis</w:t>
            </w:r>
          </w:p>
        </w:tc>
        <w:tc>
          <w:tcPr>
            <w:tcW w:w="1986" w:type="dxa"/>
          </w:tcPr>
          <w:p w14:paraId="028DA6D4" w14:textId="77777777" w:rsidR="003548D3" w:rsidRDefault="00B85F4D" w:rsidP="00B85F4D">
            <w:pPr>
              <w:pStyle w:val="Authornameandaffiliation"/>
              <w:ind w:left="0"/>
              <w:jc w:val="center"/>
              <w:rPr>
                <w:lang w:val="en-GB"/>
              </w:rPr>
            </w:pPr>
            <w:r>
              <w:rPr>
                <w:lang w:val="en-GB"/>
              </w:rPr>
              <w:t>&lt;</w:t>
            </w:r>
            <w:r w:rsidR="003548D3" w:rsidRPr="003548D3">
              <w:rPr>
                <w:lang w:val="en-GB"/>
              </w:rPr>
              <w:t>100 °C</w:t>
            </w:r>
          </w:p>
        </w:tc>
      </w:tr>
      <w:tr w:rsidR="003548D3" w14:paraId="65AA18B6" w14:textId="77777777" w:rsidTr="00942A5F">
        <w:trPr>
          <w:trHeight w:val="250"/>
          <w:jc w:val="center"/>
        </w:trPr>
        <w:tc>
          <w:tcPr>
            <w:tcW w:w="421" w:type="dxa"/>
          </w:tcPr>
          <w:p w14:paraId="0086BC5A" w14:textId="77777777" w:rsidR="003548D3" w:rsidRDefault="003548D3" w:rsidP="00384A18">
            <w:pPr>
              <w:pStyle w:val="Authornameandaffiliation"/>
              <w:ind w:left="0"/>
              <w:jc w:val="both"/>
              <w:rPr>
                <w:lang w:val="en-GB"/>
              </w:rPr>
            </w:pPr>
            <w:r>
              <w:rPr>
                <w:lang w:val="en-GB"/>
              </w:rPr>
              <w:t>3.</w:t>
            </w:r>
          </w:p>
        </w:tc>
        <w:tc>
          <w:tcPr>
            <w:tcW w:w="3551" w:type="dxa"/>
          </w:tcPr>
          <w:p w14:paraId="4BF4798C" w14:textId="77777777" w:rsidR="003548D3" w:rsidRDefault="003548D3" w:rsidP="00384A18">
            <w:pPr>
              <w:pStyle w:val="Authornameandaffiliation"/>
              <w:ind w:left="0"/>
              <w:jc w:val="both"/>
              <w:rPr>
                <w:lang w:val="en-GB"/>
              </w:rPr>
            </w:pPr>
            <w:r>
              <w:rPr>
                <w:lang w:val="en-GB"/>
              </w:rPr>
              <w:t>Steam Electrolysis</w:t>
            </w:r>
          </w:p>
        </w:tc>
        <w:tc>
          <w:tcPr>
            <w:tcW w:w="1986" w:type="dxa"/>
          </w:tcPr>
          <w:p w14:paraId="7CE7DA2E" w14:textId="135FA88B" w:rsidR="003548D3" w:rsidRDefault="00B85F4D" w:rsidP="00166752">
            <w:pPr>
              <w:pStyle w:val="Authornameandaffiliation"/>
              <w:ind w:left="0"/>
              <w:jc w:val="center"/>
              <w:rPr>
                <w:lang w:val="en-GB"/>
              </w:rPr>
            </w:pPr>
            <w:r w:rsidRPr="00B85F4D">
              <w:rPr>
                <w:lang w:val="en-GB"/>
              </w:rPr>
              <w:t>750</w:t>
            </w:r>
            <w:r>
              <w:rPr>
                <w:lang w:val="en-GB"/>
              </w:rPr>
              <w:t xml:space="preserve"> </w:t>
            </w:r>
            <w:r w:rsidRPr="00B85F4D">
              <w:rPr>
                <w:lang w:val="en-GB"/>
              </w:rPr>
              <w:t xml:space="preserve">°C </w:t>
            </w:r>
            <w:r w:rsidR="00166752">
              <w:rPr>
                <w:lang w:val="en-GB"/>
              </w:rPr>
              <w:t>-</w:t>
            </w:r>
            <w:r w:rsidR="00C84D23">
              <w:rPr>
                <w:lang w:val="en-GB"/>
              </w:rPr>
              <w:t xml:space="preserve"> </w:t>
            </w:r>
            <w:r w:rsidRPr="00B85F4D">
              <w:rPr>
                <w:lang w:val="en-GB"/>
              </w:rPr>
              <w:t>950</w:t>
            </w:r>
            <w:r>
              <w:rPr>
                <w:lang w:val="en-GB"/>
              </w:rPr>
              <w:t xml:space="preserve"> </w:t>
            </w:r>
            <w:r w:rsidRPr="00B85F4D">
              <w:rPr>
                <w:lang w:val="en-GB"/>
              </w:rPr>
              <w:t>°C</w:t>
            </w:r>
          </w:p>
        </w:tc>
      </w:tr>
      <w:tr w:rsidR="003548D3" w14:paraId="7409AACB" w14:textId="77777777" w:rsidTr="00942A5F">
        <w:trPr>
          <w:trHeight w:val="250"/>
          <w:jc w:val="center"/>
        </w:trPr>
        <w:tc>
          <w:tcPr>
            <w:tcW w:w="421" w:type="dxa"/>
          </w:tcPr>
          <w:p w14:paraId="4982DDA7" w14:textId="77777777" w:rsidR="003548D3" w:rsidRDefault="00B85F4D" w:rsidP="00384A18">
            <w:pPr>
              <w:pStyle w:val="Authornameandaffiliation"/>
              <w:ind w:left="0"/>
              <w:jc w:val="both"/>
              <w:rPr>
                <w:lang w:val="en-GB"/>
              </w:rPr>
            </w:pPr>
            <w:r>
              <w:rPr>
                <w:lang w:val="en-GB"/>
              </w:rPr>
              <w:t>5</w:t>
            </w:r>
          </w:p>
        </w:tc>
        <w:tc>
          <w:tcPr>
            <w:tcW w:w="3551" w:type="dxa"/>
          </w:tcPr>
          <w:p w14:paraId="3C7E19D9" w14:textId="77777777" w:rsidR="003548D3" w:rsidRDefault="003548D3" w:rsidP="00384A18">
            <w:pPr>
              <w:pStyle w:val="Authornameandaffiliation"/>
              <w:ind w:left="0"/>
              <w:jc w:val="both"/>
              <w:rPr>
                <w:lang w:val="en-GB"/>
              </w:rPr>
            </w:pPr>
            <w:r>
              <w:rPr>
                <w:lang w:val="en-GB"/>
              </w:rPr>
              <w:t>Thermochemical Cycles</w:t>
            </w:r>
          </w:p>
        </w:tc>
        <w:tc>
          <w:tcPr>
            <w:tcW w:w="1986" w:type="dxa"/>
          </w:tcPr>
          <w:p w14:paraId="4CB26CED" w14:textId="1C6DA210" w:rsidR="003548D3" w:rsidRDefault="00C84D23" w:rsidP="00166752">
            <w:pPr>
              <w:pStyle w:val="Authornameandaffiliation"/>
              <w:ind w:left="0"/>
              <w:jc w:val="center"/>
              <w:rPr>
                <w:lang w:val="en-GB"/>
              </w:rPr>
            </w:pPr>
            <w:r>
              <w:rPr>
                <w:lang w:val="en-GB"/>
              </w:rPr>
              <w:t>4</w:t>
            </w:r>
            <w:r w:rsidR="00B85F4D" w:rsidRPr="00B85F4D">
              <w:rPr>
                <w:lang w:val="en-GB"/>
              </w:rPr>
              <w:t xml:space="preserve">50 °C </w:t>
            </w:r>
            <w:r w:rsidR="00166752">
              <w:rPr>
                <w:lang w:val="en-GB"/>
              </w:rPr>
              <w:t>-</w:t>
            </w:r>
            <w:r>
              <w:rPr>
                <w:lang w:val="en-GB"/>
              </w:rPr>
              <w:t xml:space="preserve"> </w:t>
            </w:r>
            <w:r w:rsidR="00B85F4D" w:rsidRPr="00B85F4D">
              <w:rPr>
                <w:lang w:val="en-GB"/>
              </w:rPr>
              <w:t>9</w:t>
            </w:r>
            <w:r w:rsidR="00B85F4D">
              <w:rPr>
                <w:lang w:val="en-GB"/>
              </w:rPr>
              <w:t>0</w:t>
            </w:r>
            <w:r w:rsidR="00B85F4D" w:rsidRPr="00B85F4D">
              <w:rPr>
                <w:lang w:val="en-GB"/>
              </w:rPr>
              <w:t>0 °C</w:t>
            </w:r>
          </w:p>
        </w:tc>
      </w:tr>
    </w:tbl>
    <w:p w14:paraId="31EA20C3" w14:textId="77777777" w:rsidR="003548D3" w:rsidRDefault="003548D3" w:rsidP="00384A18">
      <w:pPr>
        <w:pStyle w:val="Authornameandaffiliation"/>
        <w:ind w:left="0" w:firstLine="567"/>
        <w:jc w:val="both"/>
        <w:rPr>
          <w:lang w:val="en-GB"/>
        </w:rPr>
      </w:pPr>
    </w:p>
    <w:p w14:paraId="7DF7ABC8" w14:textId="77777777" w:rsidR="00BE30FE" w:rsidRDefault="00BE30FE" w:rsidP="00BE30FE">
      <w:pPr>
        <w:pStyle w:val="Authornameandaffiliation"/>
        <w:ind w:left="0"/>
        <w:jc w:val="center"/>
        <w:rPr>
          <w:lang w:val="en-GB"/>
        </w:rPr>
      </w:pPr>
      <w:r w:rsidRPr="00BE30FE">
        <w:rPr>
          <w:noProof/>
        </w:rPr>
        <w:lastRenderedPageBreak/>
        <w:drawing>
          <wp:inline distT="0" distB="0" distL="0" distR="0" wp14:anchorId="4F0B80AB" wp14:editId="0753F0D3">
            <wp:extent cx="4693920" cy="274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696868" cy="2747455"/>
                    </a:xfrm>
                    <a:prstGeom prst="rect">
                      <a:avLst/>
                    </a:prstGeom>
                    <a:noFill/>
                    <a:ln>
                      <a:noFill/>
                    </a:ln>
                  </pic:spPr>
                </pic:pic>
              </a:graphicData>
            </a:graphic>
          </wp:inline>
        </w:drawing>
      </w:r>
    </w:p>
    <w:p w14:paraId="21861AC8" w14:textId="77777777" w:rsidR="00BE30FE" w:rsidRDefault="00BE30FE" w:rsidP="00BE30FE">
      <w:pPr>
        <w:pStyle w:val="Authornameandaffiliation"/>
        <w:ind w:left="0"/>
        <w:jc w:val="center"/>
        <w:rPr>
          <w:lang w:val="en-GB"/>
        </w:rPr>
      </w:pPr>
    </w:p>
    <w:p w14:paraId="30BE3FB3" w14:textId="77777777" w:rsidR="00BE30FE" w:rsidRDefault="00BE30FE" w:rsidP="00BE30FE">
      <w:pPr>
        <w:pStyle w:val="Authornameandaffiliation"/>
        <w:ind w:left="0" w:firstLine="567"/>
        <w:jc w:val="center"/>
        <w:rPr>
          <w:lang w:val="en-GB"/>
        </w:rPr>
      </w:pPr>
      <w:r w:rsidRPr="00BE30FE">
        <w:rPr>
          <w:i/>
          <w:sz w:val="18"/>
          <w:szCs w:val="18"/>
          <w:lang w:val="en-GB"/>
        </w:rPr>
        <w:t>FIG. 1. Routes for nuclear assisted hydrogen production (adapted from [</w:t>
      </w:r>
      <w:r w:rsidR="00F65AA0">
        <w:rPr>
          <w:i/>
          <w:sz w:val="18"/>
          <w:szCs w:val="18"/>
          <w:lang w:val="en-GB"/>
        </w:rPr>
        <w:t>3</w:t>
      </w:r>
      <w:r w:rsidRPr="00BE30FE">
        <w:rPr>
          <w:i/>
          <w:sz w:val="18"/>
          <w:szCs w:val="18"/>
          <w:lang w:val="en-GB"/>
        </w:rPr>
        <w:t>]).</w:t>
      </w:r>
    </w:p>
    <w:p w14:paraId="0D9E9617" w14:textId="77777777" w:rsidR="00BE30FE" w:rsidRDefault="00BE30FE" w:rsidP="00F65AA0">
      <w:pPr>
        <w:pStyle w:val="Authornameandaffiliation"/>
        <w:ind w:left="0"/>
        <w:jc w:val="both"/>
        <w:rPr>
          <w:lang w:val="en-GB"/>
        </w:rPr>
      </w:pPr>
    </w:p>
    <w:p w14:paraId="17F09E97" w14:textId="77777777" w:rsidR="00BE30FE" w:rsidRDefault="00BE30FE" w:rsidP="00791DB5">
      <w:pPr>
        <w:pStyle w:val="Authornameandaffiliation"/>
        <w:ind w:left="0" w:firstLine="567"/>
        <w:jc w:val="both"/>
        <w:rPr>
          <w:lang w:val="en"/>
        </w:rPr>
      </w:pPr>
      <w:r w:rsidRPr="00BE30FE">
        <w:rPr>
          <w:lang w:val="en-GB"/>
        </w:rPr>
        <w:t xml:space="preserve">As can be seen from the above and in both the table and the figure, the main methods of obtaining hydrogen require temperatures higher than </w:t>
      </w:r>
      <w:r w:rsidR="005830C3">
        <w:rPr>
          <w:lang w:val="en-GB"/>
        </w:rPr>
        <w:t>4</w:t>
      </w:r>
      <w:r w:rsidR="00791DB5" w:rsidRPr="00791DB5">
        <w:rPr>
          <w:lang w:val="en-GB"/>
        </w:rPr>
        <w:t>50 °C</w:t>
      </w:r>
      <w:r w:rsidRPr="00BE30FE">
        <w:rPr>
          <w:lang w:val="en-GB"/>
        </w:rPr>
        <w:t xml:space="preserve">, with the exception of water electrolysis. We could consider lower temperatures at intermediate stages of biomass processing or obtaining </w:t>
      </w:r>
      <w:r w:rsidR="00791DB5">
        <w:rPr>
          <w:lang w:val="en-GB"/>
        </w:rPr>
        <w:t>bio-</w:t>
      </w:r>
      <w:r w:rsidR="00791DB5" w:rsidRPr="00BE30FE">
        <w:rPr>
          <w:lang w:val="en-GB"/>
        </w:rPr>
        <w:t>hydrogen</w:t>
      </w:r>
      <w:r w:rsidRPr="00BE30FE">
        <w:rPr>
          <w:lang w:val="en-GB"/>
        </w:rPr>
        <w:t>.</w:t>
      </w:r>
      <w:r w:rsidR="00791DB5">
        <w:rPr>
          <w:lang w:val="en-GB"/>
        </w:rPr>
        <w:t xml:space="preserve"> </w:t>
      </w:r>
      <w:r w:rsidR="00791DB5" w:rsidRPr="00791DB5">
        <w:rPr>
          <w:lang w:val="en"/>
        </w:rPr>
        <w:t>It should be noted that the thermochemical cycles are not too low, the vast majority are close to 1000</w:t>
      </w:r>
      <w:r w:rsidR="00791DB5">
        <w:rPr>
          <w:lang w:val="en"/>
        </w:rPr>
        <w:t xml:space="preserve"> </w:t>
      </w:r>
      <w:r w:rsidR="00791DB5" w:rsidRPr="00791DB5">
        <w:rPr>
          <w:lang w:val="en"/>
        </w:rPr>
        <w:t>°C, with the exception of Cu-C</w:t>
      </w:r>
      <w:r w:rsidR="00791DB5">
        <w:rPr>
          <w:lang w:val="en"/>
        </w:rPr>
        <w:t>l</w:t>
      </w:r>
      <w:r w:rsidR="005830C3">
        <w:rPr>
          <w:lang w:val="en"/>
        </w:rPr>
        <w:t>, Mg-Cl</w:t>
      </w:r>
      <w:r w:rsidR="00791DB5" w:rsidRPr="00791DB5">
        <w:rPr>
          <w:lang w:val="en"/>
        </w:rPr>
        <w:t xml:space="preserve"> and a few more</w:t>
      </w:r>
      <w:r w:rsidR="00F65AA0">
        <w:rPr>
          <w:lang w:val="en"/>
        </w:rPr>
        <w:t xml:space="preserve"> [4]</w:t>
      </w:r>
      <w:r w:rsidR="00791DB5" w:rsidRPr="00791DB5">
        <w:rPr>
          <w:lang w:val="en"/>
        </w:rPr>
        <w:t>.</w:t>
      </w:r>
      <w:r w:rsidR="005830C3">
        <w:rPr>
          <w:lang w:val="en"/>
        </w:rPr>
        <w:t xml:space="preserve"> </w:t>
      </w:r>
    </w:p>
    <w:p w14:paraId="0500BD1C" w14:textId="77777777" w:rsidR="005830C3" w:rsidRDefault="005830C3" w:rsidP="00791DB5">
      <w:pPr>
        <w:pStyle w:val="Authornameandaffiliation"/>
        <w:ind w:left="0" w:firstLine="567"/>
        <w:jc w:val="both"/>
        <w:rPr>
          <w:lang w:val="en"/>
        </w:rPr>
      </w:pPr>
      <w:r>
        <w:rPr>
          <w:lang w:val="en"/>
        </w:rPr>
        <w:t>An updated review about thermochemical cycles, especially about those with low temperatures (</w:t>
      </w:r>
      <w:r w:rsidRPr="005830C3">
        <w:rPr>
          <w:lang w:val="en"/>
        </w:rPr>
        <w:t>Cu-Cl</w:t>
      </w:r>
      <w:r>
        <w:rPr>
          <w:lang w:val="en"/>
        </w:rPr>
        <w:t>, 5</w:t>
      </w:r>
      <w:r w:rsidRPr="005830C3">
        <w:rPr>
          <w:lang w:val="en"/>
        </w:rPr>
        <w:t xml:space="preserve">50 °C, </w:t>
      </w:r>
      <w:r>
        <w:rPr>
          <w:lang w:val="en"/>
        </w:rPr>
        <w:t xml:space="preserve">and </w:t>
      </w:r>
      <w:r w:rsidRPr="005830C3">
        <w:rPr>
          <w:lang w:val="en"/>
        </w:rPr>
        <w:t>Mg-Cl</w:t>
      </w:r>
      <w:r>
        <w:rPr>
          <w:lang w:val="en"/>
        </w:rPr>
        <w:t>,</w:t>
      </w:r>
      <w:r w:rsidRPr="005830C3">
        <w:rPr>
          <w:lang w:val="en"/>
        </w:rPr>
        <w:t xml:space="preserve"> 450 °C</w:t>
      </w:r>
      <w:r>
        <w:rPr>
          <w:lang w:val="en"/>
        </w:rPr>
        <w:t xml:space="preserve">) was realized by </w:t>
      </w:r>
      <w:r w:rsidRPr="005830C3">
        <w:rPr>
          <w:lang w:val="en"/>
        </w:rPr>
        <w:t>El-Emam</w:t>
      </w:r>
      <w:r>
        <w:rPr>
          <w:lang w:val="en"/>
        </w:rPr>
        <w:t xml:space="preserve"> et al [5]. </w:t>
      </w:r>
    </w:p>
    <w:p w14:paraId="08637BC5" w14:textId="77777777" w:rsidR="00F004EE" w:rsidRDefault="00942A5F" w:rsidP="00537496">
      <w:pPr>
        <w:pStyle w:val="Heading2"/>
      </w:pPr>
      <w:r>
        <w:t>Discussions</w:t>
      </w:r>
    </w:p>
    <w:p w14:paraId="6B8FE890" w14:textId="5D5C3C39" w:rsidR="001308F2" w:rsidRDefault="00942A5F" w:rsidP="00E122B1">
      <w:pPr>
        <w:pStyle w:val="BodyText"/>
      </w:pPr>
      <w:r>
        <w:t xml:space="preserve">The utilisation of energy from nuclear reactors in </w:t>
      </w:r>
      <w:r w:rsidR="00E122B1">
        <w:t xml:space="preserve">order to produce hydrogen </w:t>
      </w:r>
      <w:r w:rsidR="007C6950">
        <w:t xml:space="preserve">are of </w:t>
      </w:r>
      <w:r w:rsidR="00E122B1">
        <w:t>interest from bot</w:t>
      </w:r>
      <w:r w:rsidR="003D681E">
        <w:t>h</w:t>
      </w:r>
      <w:r w:rsidR="00E122B1">
        <w:t xml:space="preserve"> </w:t>
      </w:r>
      <w:r w:rsidR="008D3E33">
        <w:t xml:space="preserve">the use of </w:t>
      </w:r>
      <w:r w:rsidR="00E122B1" w:rsidRPr="008D3E33">
        <w:t>electricity and residual or waste heat</w:t>
      </w:r>
      <w:r w:rsidR="00E122B1">
        <w:t xml:space="preserve">. </w:t>
      </w:r>
      <w:r w:rsidR="00166752" w:rsidRPr="00166752">
        <w:t>If the utilization of electricity does not require special conditions or new technologies, heat ut</w:t>
      </w:r>
      <w:r w:rsidR="00166752">
        <w:t>ilization becomes the challenge</w:t>
      </w:r>
      <w:r w:rsidR="00E122B1">
        <w:t xml:space="preserve">. </w:t>
      </w:r>
      <w:r w:rsidR="00E122B1" w:rsidRPr="00E122B1">
        <w:t>This is why the main research and challenges are moving towards nuclear processes to obtain hydrogen at high temperatures.</w:t>
      </w:r>
      <w:r w:rsidR="00E122B1">
        <w:t xml:space="preserve"> There are two promising methods</w:t>
      </w:r>
      <w:r w:rsidR="007C6950">
        <w:t>:</w:t>
      </w:r>
      <w:r w:rsidR="00E122B1">
        <w:t xml:space="preserve"> Steam Electrolysis and Thermochemical Cycles</w:t>
      </w:r>
      <w:r w:rsidR="007C6950">
        <w:t>,</w:t>
      </w:r>
      <w:r w:rsidR="00E122B1">
        <w:t xml:space="preserve"> both requir</w:t>
      </w:r>
      <w:r w:rsidR="007C6950">
        <w:t>ing</w:t>
      </w:r>
      <w:r w:rsidR="00E122B1">
        <w:t xml:space="preserve"> very high temperatures. F</w:t>
      </w:r>
      <w:r w:rsidR="007C6950">
        <w:t>rom</w:t>
      </w:r>
      <w:r w:rsidR="00E122B1">
        <w:t xml:space="preserve"> </w:t>
      </w:r>
      <w:r w:rsidR="007C6950">
        <w:t xml:space="preserve">the </w:t>
      </w:r>
      <w:r w:rsidR="00E122B1">
        <w:t>above mentioned</w:t>
      </w:r>
      <w:r w:rsidR="007C6950">
        <w:t>,</w:t>
      </w:r>
      <w:r w:rsidR="00E122B1">
        <w:t xml:space="preserve"> </w:t>
      </w:r>
      <w:r w:rsidR="00E122B1" w:rsidRPr="00E122B1">
        <w:t xml:space="preserve">it can be seen that </w:t>
      </w:r>
      <w:r w:rsidR="00E122B1" w:rsidRPr="00EC2DF1">
        <w:t xml:space="preserve">in principle </w:t>
      </w:r>
      <w:r w:rsidR="00E122B1" w:rsidRPr="00E122B1">
        <w:t>these values are around 900</w:t>
      </w:r>
      <w:r w:rsidR="00E122B1">
        <w:t xml:space="preserve"> </w:t>
      </w:r>
      <w:r w:rsidR="00E122B1" w:rsidRPr="00E122B1">
        <w:t>°C and can approach 1000</w:t>
      </w:r>
      <w:r w:rsidR="00E122B1">
        <w:t xml:space="preserve"> </w:t>
      </w:r>
      <w:r w:rsidR="00E122B1" w:rsidRPr="00E122B1">
        <w:t>°C.</w:t>
      </w:r>
      <w:r w:rsidR="00E122B1">
        <w:t xml:space="preserve"> </w:t>
      </w:r>
      <w:r w:rsidR="00E122B1" w:rsidRPr="00E122B1">
        <w:t>The exception is the C</w:t>
      </w:r>
      <w:r w:rsidR="00E122B1">
        <w:t>u</w:t>
      </w:r>
      <w:r w:rsidR="00E122B1" w:rsidRPr="00E122B1">
        <w:t>-Cl cycle and a few others, where temperatures are around 550</w:t>
      </w:r>
      <w:r w:rsidR="00996259">
        <w:t xml:space="preserve"> </w:t>
      </w:r>
      <w:r w:rsidR="00996259" w:rsidRPr="00996259">
        <w:t>°C</w:t>
      </w:r>
      <w:r w:rsidR="00E122B1" w:rsidRPr="00E122B1">
        <w:t>.</w:t>
      </w:r>
    </w:p>
    <w:p w14:paraId="0AD9DEC4" w14:textId="3608C313" w:rsidR="009F1E61" w:rsidRDefault="00996259" w:rsidP="009F1E61">
      <w:pPr>
        <w:pStyle w:val="BodyText"/>
      </w:pPr>
      <w:r w:rsidRPr="00996259">
        <w:t>Gas Turbine High Temperature Reactors can work at higher temperatures</w:t>
      </w:r>
      <w:r w:rsidRPr="00F0138E">
        <w:t xml:space="preserve">, 950 </w:t>
      </w:r>
      <w:proofErr w:type="spellStart"/>
      <w:r w:rsidRPr="00F0138E">
        <w:rPr>
          <w:vertAlign w:val="superscript"/>
        </w:rPr>
        <w:t>o</w:t>
      </w:r>
      <w:r w:rsidRPr="00F0138E">
        <w:t>C</w:t>
      </w:r>
      <w:proofErr w:type="spellEnd"/>
      <w:r w:rsidRPr="00F0138E">
        <w:t xml:space="preserve">, </w:t>
      </w:r>
      <w:r w:rsidR="00166752">
        <w:t>but</w:t>
      </w:r>
      <w:r w:rsidRPr="00F0138E">
        <w:t xml:space="preserve"> fast reactors rarely have temperatures </w:t>
      </w:r>
      <w:r w:rsidR="00276171" w:rsidRPr="00F0138E">
        <w:t xml:space="preserve">of </w:t>
      </w:r>
      <w:r w:rsidRPr="00F0138E">
        <w:t>more than 550 °C</w:t>
      </w:r>
      <w:r w:rsidR="008D3E33" w:rsidRPr="00F0138E">
        <w:t>.</w:t>
      </w:r>
      <w:r w:rsidRPr="00F0138E">
        <w:t xml:space="preserve"> </w:t>
      </w:r>
      <w:r w:rsidR="008D3E33" w:rsidRPr="00F0138E">
        <w:t>O</w:t>
      </w:r>
      <w:r w:rsidRPr="00F0138E">
        <w:t xml:space="preserve">nly </w:t>
      </w:r>
      <w:r w:rsidR="004B3212" w:rsidRPr="00F0138E">
        <w:t xml:space="preserve">the </w:t>
      </w:r>
      <w:r w:rsidRPr="00F0138E">
        <w:t>Energy Multiplier Module</w:t>
      </w:r>
      <w:r w:rsidR="008D3E33" w:rsidRPr="00F0138E">
        <w:t xml:space="preserve"> (EM2), a helium-cooled neutron-fast reactor,</w:t>
      </w:r>
      <w:r w:rsidRPr="00F0138E">
        <w:t xml:space="preserve"> ha</w:t>
      </w:r>
      <w:r w:rsidR="004B3212" w:rsidRPr="00F0138E">
        <w:t>s</w:t>
      </w:r>
      <w:r w:rsidRPr="00F0138E">
        <w:t xml:space="preserve"> </w:t>
      </w:r>
      <w:r w:rsidR="00276171" w:rsidRPr="00F0138E">
        <w:t xml:space="preserve">the </w:t>
      </w:r>
      <w:r w:rsidRPr="00F0138E">
        <w:t xml:space="preserve">core outlet temperature </w:t>
      </w:r>
      <w:r w:rsidR="00276171" w:rsidRPr="00F0138E">
        <w:t>of</w:t>
      </w:r>
      <w:r w:rsidRPr="00F0138E">
        <w:t xml:space="preserve"> 850 </w:t>
      </w:r>
      <w:proofErr w:type="spellStart"/>
      <w:r w:rsidRPr="00F0138E">
        <w:rPr>
          <w:vertAlign w:val="superscript"/>
        </w:rPr>
        <w:t>o</w:t>
      </w:r>
      <w:r w:rsidRPr="00F0138E">
        <w:t>C.</w:t>
      </w:r>
      <w:proofErr w:type="spellEnd"/>
      <w:r w:rsidR="009F1E61" w:rsidRPr="00F0138E">
        <w:t xml:space="preserve"> The reactor is designed by G</w:t>
      </w:r>
      <w:r w:rsidR="009F1E61">
        <w:t xml:space="preserve">eneral </w:t>
      </w:r>
      <w:r w:rsidR="00B60CD1">
        <w:t>Atomics (GA)</w:t>
      </w:r>
      <w:r w:rsidR="009F1E61">
        <w:t xml:space="preserve"> as a modular, grid-capable power source with a net unit output of 265 </w:t>
      </w:r>
      <w:proofErr w:type="gramStart"/>
      <w:r w:rsidR="009F1E61">
        <w:t>MW(</w:t>
      </w:r>
      <w:proofErr w:type="gramEnd"/>
      <w:r w:rsidR="009F1E61">
        <w:t xml:space="preserve">e). </w:t>
      </w:r>
      <w:r w:rsidR="009F1E61" w:rsidRPr="009F1E61">
        <w:t>The commercial o</w:t>
      </w:r>
      <w:r w:rsidR="00F0138E">
        <w:t>peration is scheduled for 2032,</w:t>
      </w:r>
      <w:r w:rsidR="009F1E61" w:rsidRPr="009F1E61">
        <w:t xml:space="preserve"> after a series of intermediate </w:t>
      </w:r>
      <w:r w:rsidR="00B60CD1">
        <w:t>milestones</w:t>
      </w:r>
      <w:r w:rsidR="00B95790">
        <w:t xml:space="preserve"> [2]</w:t>
      </w:r>
      <w:r w:rsidR="009F1E61" w:rsidRPr="009F1E61">
        <w:t>.</w:t>
      </w:r>
      <w:r w:rsidR="00B60CD1">
        <w:t xml:space="preserve"> </w:t>
      </w:r>
    </w:p>
    <w:p w14:paraId="6343C1D1" w14:textId="1E597294" w:rsidR="00B60CD1" w:rsidRDefault="00B60CD1" w:rsidP="0030180A">
      <w:pPr>
        <w:pStyle w:val="BodyText"/>
      </w:pPr>
      <w:r>
        <w:t xml:space="preserve">This type of reactor is suitable for both steam electrolysis and thermochemical cycles. The </w:t>
      </w:r>
      <w:r w:rsidRPr="00B60CD1">
        <w:t>sulphur-iodine (S</w:t>
      </w:r>
      <w:r w:rsidR="006A4D43">
        <w:t>-</w:t>
      </w:r>
      <w:r w:rsidRPr="00B60CD1">
        <w:t>I)</w:t>
      </w:r>
      <w:r>
        <w:t xml:space="preserve"> thermochemical cycle is the most advanced </w:t>
      </w:r>
      <w:r w:rsidRPr="00B60CD1">
        <w:t>from the aforementioned series</w:t>
      </w:r>
      <w:r>
        <w:t xml:space="preserve">. </w:t>
      </w:r>
      <w:r w:rsidR="006A4D43">
        <w:t>The core inlet temperature is also high</w:t>
      </w:r>
      <w:r w:rsidR="00DC256A">
        <w:t>,</w:t>
      </w:r>
      <w:r w:rsidR="006A4D43">
        <w:t xml:space="preserve"> 550</w:t>
      </w:r>
      <w:r w:rsidR="006A4D43" w:rsidRPr="006A4D43">
        <w:rPr>
          <w:vertAlign w:val="superscript"/>
        </w:rPr>
        <w:t>o</w:t>
      </w:r>
      <w:r w:rsidR="006A4D43">
        <w:t xml:space="preserve">C, </w:t>
      </w:r>
      <w:r w:rsidR="006A4D43" w:rsidRPr="006A4D43">
        <w:t>and this value make</w:t>
      </w:r>
      <w:r w:rsidR="006A4D43">
        <w:t xml:space="preserve">s it usable for the </w:t>
      </w:r>
      <w:r w:rsidR="006A4D43" w:rsidRPr="006A4D43">
        <w:t>copper-chlorine (Cu-Cl)</w:t>
      </w:r>
      <w:r w:rsidR="006A4D43">
        <w:t xml:space="preserve"> thermochemical cycle. </w:t>
      </w:r>
      <w:r>
        <w:t xml:space="preserve">The high temperature of this type of fast reactor </w:t>
      </w:r>
      <w:r w:rsidRPr="00B60CD1">
        <w:t xml:space="preserve">makes it the </w:t>
      </w:r>
      <w:r w:rsidR="00166752">
        <w:t>most suitable</w:t>
      </w:r>
      <w:r w:rsidRPr="00B60CD1">
        <w:t xml:space="preserve"> of the 25 listed</w:t>
      </w:r>
      <w:r w:rsidR="00DC256A">
        <w:t>, but it</w:t>
      </w:r>
      <w:r w:rsidR="00F0138E">
        <w:t xml:space="preserve"> </w:t>
      </w:r>
      <w:r w:rsidR="0030180A">
        <w:t xml:space="preserve">must be </w:t>
      </w:r>
      <w:r w:rsidR="00F0138E">
        <w:t>noted that</w:t>
      </w:r>
      <w:r w:rsidR="0030180A" w:rsidRPr="0030180A">
        <w:t xml:space="preserve"> </w:t>
      </w:r>
      <w:r w:rsidR="0030180A">
        <w:t>the available temperature as process heat source</w:t>
      </w:r>
      <w:r w:rsidR="00DC256A">
        <w:t xml:space="preserve"> is not mentioned</w:t>
      </w:r>
      <w:r w:rsidR="0030180A">
        <w:t xml:space="preserve">. </w:t>
      </w:r>
    </w:p>
    <w:p w14:paraId="396F6D1B" w14:textId="0A318318" w:rsidR="006A4D43" w:rsidRDefault="006A4D43" w:rsidP="006A4D43">
      <w:pPr>
        <w:pStyle w:val="BodyText"/>
      </w:pPr>
      <w:r>
        <w:t>A second type of fast reactor that ha</w:t>
      </w:r>
      <w:r w:rsidR="003D250D">
        <w:t>s</w:t>
      </w:r>
      <w:r>
        <w:t xml:space="preserve"> good potential is </w:t>
      </w:r>
      <w:r w:rsidRPr="006A4D43">
        <w:t>Molten Salt Fast Reactors (MSFR)</w:t>
      </w:r>
      <w:r w:rsidR="000516A3">
        <w:t>.</w:t>
      </w:r>
      <w:r>
        <w:t xml:space="preserve"> </w:t>
      </w:r>
      <w:r w:rsidR="000516A3">
        <w:t>I</w:t>
      </w:r>
      <w:r>
        <w:t xml:space="preserve">t operated </w:t>
      </w:r>
      <w:r w:rsidR="00395F1B">
        <w:t>at a</w:t>
      </w:r>
      <w:r>
        <w:t xml:space="preserve"> max </w:t>
      </w:r>
      <w:r w:rsidR="00395F1B">
        <w:t>fuel salt temperature of 750</w:t>
      </w:r>
      <w:r w:rsidR="008960D3">
        <w:t xml:space="preserve"> </w:t>
      </w:r>
      <w:r>
        <w:t>°C</w:t>
      </w:r>
      <w:r w:rsidR="00B95790">
        <w:t xml:space="preserve"> [2]</w:t>
      </w:r>
      <w:r>
        <w:t xml:space="preserve">. This temperature is suitable for a </w:t>
      </w:r>
      <w:r w:rsidR="00395F1B">
        <w:t xml:space="preserve">small </w:t>
      </w:r>
      <w:r>
        <w:t xml:space="preserve">number of </w:t>
      </w:r>
      <w:r w:rsidR="00395F1B">
        <w:t xml:space="preserve">thermochemical cycles and for steam electrolysis, </w:t>
      </w:r>
      <w:r w:rsidR="00166752" w:rsidRPr="00166752">
        <w:t xml:space="preserve">but it is not clear if the fuel salt melting of </w:t>
      </w:r>
      <w:r w:rsidR="00395F1B" w:rsidRPr="00395F1B">
        <w:t>565 °C</w:t>
      </w:r>
      <w:r w:rsidR="00395F1B">
        <w:t xml:space="preserve"> will be a precondition</w:t>
      </w:r>
      <w:r w:rsidR="00395F1B" w:rsidRPr="00395F1B">
        <w:t xml:space="preserve"> </w:t>
      </w:r>
      <w:r w:rsidR="00395F1B">
        <w:t xml:space="preserve">for </w:t>
      </w:r>
      <w:r w:rsidR="00395F1B" w:rsidRPr="00395F1B">
        <w:t>inlet temperature</w:t>
      </w:r>
      <w:r w:rsidR="00FD7B25">
        <w:t>,</w:t>
      </w:r>
      <w:r w:rsidR="0030180A">
        <w:t xml:space="preserve"> and this temperature can be used in the t</w:t>
      </w:r>
      <w:r w:rsidR="0030180A" w:rsidRPr="0030180A">
        <w:t>hermal conversion circuit</w:t>
      </w:r>
      <w:r w:rsidR="0030180A">
        <w:t>.</w:t>
      </w:r>
    </w:p>
    <w:p w14:paraId="02B97A28" w14:textId="14B37948" w:rsidR="0030180A" w:rsidRDefault="0030180A" w:rsidP="0030180A">
      <w:pPr>
        <w:pStyle w:val="BodyText"/>
      </w:pPr>
      <w:r>
        <w:t xml:space="preserve">Another type of reactor that </w:t>
      </w:r>
      <w:r w:rsidR="00FD7B25">
        <w:t xml:space="preserve">has </w:t>
      </w:r>
      <w:r>
        <w:t xml:space="preserve">potential for </w:t>
      </w:r>
      <w:r w:rsidR="00B95790">
        <w:t>high temperature</w:t>
      </w:r>
      <w:r>
        <w:t xml:space="preserve"> nuclear hydrogen production is </w:t>
      </w:r>
      <w:r w:rsidRPr="0030180A">
        <w:t>Westinghouse Lead Fast Reactor</w:t>
      </w:r>
      <w:r>
        <w:t>. It</w:t>
      </w:r>
      <w:r w:rsidR="00FD7B25">
        <w:t>s</w:t>
      </w:r>
      <w:r>
        <w:t xml:space="preserve"> maximum o</w:t>
      </w:r>
      <w:r w:rsidRPr="0030180A">
        <w:t xml:space="preserve">utlet </w:t>
      </w:r>
      <w:r>
        <w:t>c</w:t>
      </w:r>
      <w:r w:rsidRPr="0030180A">
        <w:t xml:space="preserve">oolant </w:t>
      </w:r>
      <w:r>
        <w:t xml:space="preserve">temperature is 650 </w:t>
      </w:r>
      <w:proofErr w:type="spellStart"/>
      <w:r w:rsidRPr="0030180A">
        <w:rPr>
          <w:vertAlign w:val="superscript"/>
        </w:rPr>
        <w:t>o</w:t>
      </w:r>
      <w:r>
        <w:t>C</w:t>
      </w:r>
      <w:proofErr w:type="spellEnd"/>
      <w:r>
        <w:t xml:space="preserve">, and the available </w:t>
      </w:r>
      <w:r w:rsidR="00B95790">
        <w:t>t</w:t>
      </w:r>
      <w:r>
        <w:t xml:space="preserve">emperature as </w:t>
      </w:r>
      <w:r w:rsidR="00B95790">
        <w:t>p</w:t>
      </w:r>
      <w:r>
        <w:t xml:space="preserve">rocess </w:t>
      </w:r>
      <w:r w:rsidR="00B95790">
        <w:t>h</w:t>
      </w:r>
      <w:r>
        <w:t xml:space="preserve">eat </w:t>
      </w:r>
      <w:r w:rsidR="00B95790">
        <w:t>s</w:t>
      </w:r>
      <w:r>
        <w:t>ource</w:t>
      </w:r>
      <w:r w:rsidR="00B95790">
        <w:t xml:space="preserve"> </w:t>
      </w:r>
      <w:r w:rsidR="00B95790" w:rsidRPr="00B95790">
        <w:t>is 6</w:t>
      </w:r>
      <w:r w:rsidR="00B95790">
        <w:t>3</w:t>
      </w:r>
      <w:r w:rsidR="00B95790" w:rsidRPr="00B95790">
        <w:t xml:space="preserve">0 </w:t>
      </w:r>
      <w:proofErr w:type="spellStart"/>
      <w:r w:rsidR="00B95790" w:rsidRPr="00B95790">
        <w:rPr>
          <w:vertAlign w:val="superscript"/>
        </w:rPr>
        <w:t>o</w:t>
      </w:r>
      <w:r w:rsidR="00B95790" w:rsidRPr="00B95790">
        <w:t>C</w:t>
      </w:r>
      <w:proofErr w:type="spellEnd"/>
      <w:r w:rsidR="00B95790">
        <w:t xml:space="preserve"> [2]. This temperature </w:t>
      </w:r>
      <w:r w:rsidR="00B95790" w:rsidRPr="00B95790">
        <w:t>makes it usable for the copper-chlorine (Cu-Cl) thermochemical cycle.</w:t>
      </w:r>
    </w:p>
    <w:p w14:paraId="208FFFBD" w14:textId="2AD1A4EB" w:rsidR="008960D3" w:rsidRDefault="00166752" w:rsidP="008960D3">
      <w:pPr>
        <w:pStyle w:val="BodyText"/>
      </w:pPr>
      <w:r w:rsidRPr="00166752">
        <w:lastRenderedPageBreak/>
        <w:t xml:space="preserve">There are also eight reactors </w:t>
      </w:r>
      <w:r w:rsidR="008960D3">
        <w:t xml:space="preserve">(ALLEGRO, BREST-OD-300, CFR-600, JSFR, LFR-AS-200, MBIR, PGSFR, and SEALER) </w:t>
      </w:r>
      <w:r w:rsidR="008960D3" w:rsidRPr="008960D3">
        <w:t>that significantly exceed the temperature of 500 °C and reach 550</w:t>
      </w:r>
      <w:r w:rsidR="008960D3">
        <w:t xml:space="preserve"> </w:t>
      </w:r>
      <w:r w:rsidR="008960D3" w:rsidRPr="008960D3">
        <w:t>°C. These are certainly suitable for the Cu-Cl</w:t>
      </w:r>
      <w:r w:rsidR="006F672A" w:rsidRPr="006F672A">
        <w:t xml:space="preserve"> </w:t>
      </w:r>
      <w:r w:rsidR="006F672A">
        <w:t>and Mg-Cl</w:t>
      </w:r>
      <w:r w:rsidR="008960D3" w:rsidRPr="008960D3">
        <w:t xml:space="preserve"> </w:t>
      </w:r>
      <w:r w:rsidR="008960D3">
        <w:t>thermo</w:t>
      </w:r>
      <w:r w:rsidR="008960D3" w:rsidRPr="008960D3">
        <w:t>c</w:t>
      </w:r>
      <w:r w:rsidR="008960D3">
        <w:t>hemical c</w:t>
      </w:r>
      <w:r w:rsidR="008960D3" w:rsidRPr="008960D3">
        <w:t>ycle</w:t>
      </w:r>
      <w:r w:rsidR="006F672A">
        <w:t>s</w:t>
      </w:r>
      <w:r w:rsidR="008960D3" w:rsidRPr="008960D3">
        <w:t xml:space="preserve"> or other cycles with lower temperatures.</w:t>
      </w:r>
    </w:p>
    <w:p w14:paraId="4F52B9C6" w14:textId="7AB93D25" w:rsidR="003A5A17" w:rsidRDefault="003A5A17" w:rsidP="003A5A17">
      <w:pPr>
        <w:pStyle w:val="BodyText"/>
      </w:pPr>
      <w:r w:rsidRPr="003A5A17">
        <w:t>Another category, five reactors, is significantly cl</w:t>
      </w:r>
      <w:r>
        <w:t>ose, but does not reach 500 °C:</w:t>
      </w:r>
      <w:r w:rsidRPr="003A5A17">
        <w:t xml:space="preserve"> </w:t>
      </w:r>
      <w:r>
        <w:t xml:space="preserve">ALFRED, ASTRID, ELFR, PRISM, and SVBR-100. </w:t>
      </w:r>
      <w:r w:rsidRPr="003A5A17">
        <w:t xml:space="preserve">In certain circumstances, where some progress is being made and the minimum temperatures at which the above-mentioned thermochemical cycles have unequivocally set working conditions, they have the potential to be used in this field. </w:t>
      </w:r>
    </w:p>
    <w:p w14:paraId="33ADAFAE" w14:textId="1908C87D" w:rsidR="004F0E36" w:rsidRDefault="00166752" w:rsidP="00996259">
      <w:pPr>
        <w:pStyle w:val="BodyText"/>
      </w:pPr>
      <w:r w:rsidRPr="00166752">
        <w:t>What has been discussed for fast reactors is that high temperature</w:t>
      </w:r>
      <w:r w:rsidR="00996259" w:rsidRPr="00996259">
        <w:t xml:space="preserve"> electrolysis and most thermochemical cycles are not an option for hydrogen production. </w:t>
      </w:r>
      <w:r w:rsidR="004F0E36">
        <w:t xml:space="preserve">The fast reactors </w:t>
      </w:r>
      <w:r w:rsidR="004F0E36" w:rsidRPr="004F0E36">
        <w:t xml:space="preserve">must be oriented towards the coupling with hydrogen production by water electrolysis and hybrid Cu-Cl </w:t>
      </w:r>
      <w:r w:rsidR="004F0E36">
        <w:t>thermos cycles</w:t>
      </w:r>
      <w:r w:rsidR="004F0E36" w:rsidRPr="004F0E36">
        <w:t>.</w:t>
      </w:r>
      <w:r w:rsidR="004F0E36">
        <w:t xml:space="preserve"> The coupling with water electrolysis must be seriously analysed because many types of fast reactors have smaller electrical power compared with classical nuclear reactors.  </w:t>
      </w:r>
    </w:p>
    <w:p w14:paraId="29397C61" w14:textId="5271671C" w:rsidR="00880D8C" w:rsidRPr="00F0138E" w:rsidRDefault="005840FD" w:rsidP="00996259">
      <w:pPr>
        <w:pStyle w:val="BodyText"/>
        <w:rPr>
          <w:lang w:val="ro-RO"/>
        </w:rPr>
      </w:pPr>
      <w:r>
        <w:t>Giv</w:t>
      </w:r>
      <w:r w:rsidR="00954A5E">
        <w:t>en</w:t>
      </w:r>
      <w:r>
        <w:t xml:space="preserve"> the increasing </w:t>
      </w:r>
      <w:r w:rsidRPr="00880D8C">
        <w:t xml:space="preserve">imbalance between supply and demand and the </w:t>
      </w:r>
      <w:r w:rsidR="00AD25F8">
        <w:t xml:space="preserve">growing contribution of the </w:t>
      </w:r>
      <w:r w:rsidRPr="00880D8C">
        <w:t>presence of renewables to this phenomenon</w:t>
      </w:r>
      <w:r>
        <w:t>,</w:t>
      </w:r>
      <w:r w:rsidRPr="00880D8C">
        <w:t xml:space="preserve"> </w:t>
      </w:r>
      <w:r>
        <w:t>t</w:t>
      </w:r>
      <w:r w:rsidR="00880D8C" w:rsidRPr="00880D8C">
        <w:t>his option must also be considered</w:t>
      </w:r>
      <w:r w:rsidR="00410015">
        <w:t>.</w:t>
      </w:r>
      <w:r w:rsidR="00880D8C" w:rsidRPr="00880D8C">
        <w:t xml:space="preserve"> </w:t>
      </w:r>
    </w:p>
    <w:p w14:paraId="1D656ABC" w14:textId="4A20BE8C" w:rsidR="00880D8C" w:rsidRDefault="00C36B14" w:rsidP="00B95790">
      <w:pPr>
        <w:pStyle w:val="BodyText"/>
      </w:pPr>
      <w:r w:rsidRPr="00C36B14">
        <w:t>The development efforts of the ALFRED (Advanced Lead Fast Reactor European Demonstrator) system in Romania are recommended to be associated with the product</w:t>
      </w:r>
      <w:r>
        <w:t>ion of hydrogen by electrolysis</w:t>
      </w:r>
      <w:r w:rsidR="00B95790">
        <w:t xml:space="preserve"> [</w:t>
      </w:r>
      <w:r w:rsidR="005830C3">
        <w:t>6</w:t>
      </w:r>
      <w:r w:rsidR="00B95790">
        <w:t>]</w:t>
      </w:r>
      <w:r w:rsidR="00880D8C">
        <w:t>.</w:t>
      </w:r>
      <w:r w:rsidR="00B95790" w:rsidRPr="00B95790">
        <w:t xml:space="preserve"> </w:t>
      </w:r>
      <w:r w:rsidR="00B95790">
        <w:t xml:space="preserve">The Advanced Lead Fast Reactor European Demonstrator (ALFRED) conceptual design has been carried out in the frame of the EU FP7 LEADER (Lead-cooled European Advanced Demonstration Reactor) Project. ALFRED is a 300 </w:t>
      </w:r>
      <w:proofErr w:type="spellStart"/>
      <w:r w:rsidR="00B95790">
        <w:t>MWth</w:t>
      </w:r>
      <w:proofErr w:type="spellEnd"/>
      <w:r w:rsidR="00B95790">
        <w:t xml:space="preserve"> pool system developed to demonstrate the viability of the European LFR (ELFR) technology for use in the future commercial power plant</w:t>
      </w:r>
      <w:r w:rsidR="00880D95">
        <w:t xml:space="preserve"> [2]</w:t>
      </w:r>
      <w:r w:rsidR="00B95790">
        <w:t>.</w:t>
      </w:r>
      <w:r w:rsidR="00880D95">
        <w:t xml:space="preserve"> The superheated steam temperature is</w:t>
      </w:r>
      <w:r w:rsidR="00880D95" w:rsidRPr="00880D95">
        <w:t xml:space="preserve"> 450 °C</w:t>
      </w:r>
      <w:r w:rsidR="00880D95">
        <w:t xml:space="preserve">, </w:t>
      </w:r>
      <w:r w:rsidR="00880D95" w:rsidRPr="00880D95">
        <w:t xml:space="preserve">this means that this system is not good for either </w:t>
      </w:r>
      <w:r w:rsidR="00880D95">
        <w:t xml:space="preserve">stem electrolysis </w:t>
      </w:r>
      <w:r w:rsidR="00880D95" w:rsidRPr="00880D95">
        <w:t xml:space="preserve">or </w:t>
      </w:r>
      <w:r w:rsidR="00880D95">
        <w:t>thermochemical cycles</w:t>
      </w:r>
      <w:r w:rsidR="00880D95" w:rsidRPr="00880D95">
        <w:t>. The only option is the classic electrolysis and the installed power is one that would allow an easy management of the electricity for both power and electrolysis.</w:t>
      </w:r>
    </w:p>
    <w:p w14:paraId="56BC6B70" w14:textId="4B0FA489" w:rsidR="006F1028" w:rsidRPr="00D86028" w:rsidRDefault="006F1028" w:rsidP="006F1028">
      <w:pPr>
        <w:pStyle w:val="BodyText"/>
      </w:pPr>
      <w:r>
        <w:t xml:space="preserve">While there is considerable interest in the use of thermal energy from </w:t>
      </w:r>
      <w:r w:rsidR="000A535B">
        <w:t>high temperature</w:t>
      </w:r>
      <w:r w:rsidR="000A535B" w:rsidRPr="000A535B">
        <w:t xml:space="preserve"> thermal-neutron reactor</w:t>
      </w:r>
      <w:r w:rsidR="000A535B">
        <w:t xml:space="preserve"> </w:t>
      </w:r>
      <w:r>
        <w:t xml:space="preserve">designs to produce hydrogen in </w:t>
      </w:r>
      <w:r w:rsidR="000A535B">
        <w:t>the future</w:t>
      </w:r>
      <w:r>
        <w:t xml:space="preserve">, </w:t>
      </w:r>
      <w:r w:rsidR="000A535B">
        <w:t xml:space="preserve">for </w:t>
      </w:r>
      <w:r w:rsidR="00117C30" w:rsidRPr="00117C30">
        <w:t>fast-neutron reactor</w:t>
      </w:r>
      <w:r w:rsidR="00117C30">
        <w:t xml:space="preserve"> the focus </w:t>
      </w:r>
      <w:r>
        <w:t>shall be on the production of hydrogen via electrolysis using electricity.</w:t>
      </w:r>
      <w:r w:rsidR="00972392" w:rsidRPr="00972392">
        <w:t xml:space="preserve"> As a result, the nuclear community should adopt positions and made voluntary efforts to explain exactly what means technology neutral and low emission because the </w:t>
      </w:r>
      <w:r w:rsidR="00972392" w:rsidRPr="00D86028">
        <w:t>lifecycle emissions from nuclear are similar with other renewable, e.g. wind power or less, e.g. PV panels</w:t>
      </w:r>
      <w:r w:rsidR="00D86028" w:rsidRPr="00D86028">
        <w:t xml:space="preserve"> [7</w:t>
      </w:r>
      <w:r w:rsidR="008433F0">
        <w:t>, 8</w:t>
      </w:r>
      <w:r w:rsidR="00D86028" w:rsidRPr="00D86028">
        <w:t>]</w:t>
      </w:r>
      <w:r w:rsidR="00972392" w:rsidRPr="00D86028">
        <w:t>.</w:t>
      </w:r>
    </w:p>
    <w:p w14:paraId="157289EC" w14:textId="401AA975" w:rsidR="003A5A17" w:rsidRDefault="00A141E9" w:rsidP="003A5A17">
      <w:pPr>
        <w:pStyle w:val="BodyText"/>
      </w:pPr>
      <w:r w:rsidRPr="00A141E9">
        <w:t xml:space="preserve">This review of hydrogen production </w:t>
      </w:r>
      <w:r>
        <w:t>methods</w:t>
      </w:r>
      <w:r w:rsidRPr="00A141E9">
        <w:t xml:space="preserve"> and </w:t>
      </w:r>
      <w:r>
        <w:t xml:space="preserve">fast </w:t>
      </w:r>
      <w:r w:rsidRPr="00A141E9">
        <w:t>reactor</w:t>
      </w:r>
      <w:r>
        <w:t>s</w:t>
      </w:r>
      <w:r w:rsidRPr="00A141E9">
        <w:t xml:space="preserve"> operating conditions may be discouraging, but it should be understood that </w:t>
      </w:r>
      <w:r>
        <w:t xml:space="preserve">both issues are a </w:t>
      </w:r>
      <w:r w:rsidR="003E44F3">
        <w:t>long-</w:t>
      </w:r>
      <w:r>
        <w:t xml:space="preserve">term approach. </w:t>
      </w:r>
      <w:r w:rsidRPr="00A141E9">
        <w:t>On the long term the hydrogen knowledge will evolve as well and the heat utilization in production process will be studied more and more in order to reach the most useful result.</w:t>
      </w:r>
      <w:r w:rsidR="00E462EB">
        <w:t xml:space="preserve"> The thermochemistry will be a new field of research for many scientists, </w:t>
      </w:r>
      <w:r w:rsidR="00C36B14">
        <w:t xml:space="preserve">especially </w:t>
      </w:r>
      <w:r w:rsidR="00E462EB">
        <w:t>in the field of nuclear hydrogen.</w:t>
      </w:r>
      <w:r w:rsidR="003A5A17">
        <w:t xml:space="preserve"> For example, a modified </w:t>
      </w:r>
      <w:r w:rsidR="003A5A17" w:rsidRPr="003A5A17">
        <w:t xml:space="preserve">Hybrid </w:t>
      </w:r>
      <w:proofErr w:type="spellStart"/>
      <w:r w:rsidR="003A5A17" w:rsidRPr="003A5A17">
        <w:t>Sulfur</w:t>
      </w:r>
      <w:proofErr w:type="spellEnd"/>
      <w:r w:rsidR="003A5A17" w:rsidRPr="003A5A17">
        <w:t xml:space="preserve"> Cycle</w:t>
      </w:r>
      <w:r w:rsidR="003A5A17">
        <w:t xml:space="preserve"> (</w:t>
      </w:r>
      <w:proofErr w:type="spellStart"/>
      <w:r w:rsidR="003A5A17">
        <w:t>HyS</w:t>
      </w:r>
      <w:proofErr w:type="spellEnd"/>
      <w:r w:rsidR="003A5A17">
        <w:t xml:space="preserve">) has been introduced in Japan, to decrease the maximum temperature range to 500-700 </w:t>
      </w:r>
      <w:proofErr w:type="spellStart"/>
      <w:r w:rsidR="003A5A17" w:rsidRPr="003A5A17">
        <w:rPr>
          <w:vertAlign w:val="superscript"/>
        </w:rPr>
        <w:t>o</w:t>
      </w:r>
      <w:r w:rsidR="003A5A17">
        <w:t>C</w:t>
      </w:r>
      <w:proofErr w:type="spellEnd"/>
      <w:r w:rsidR="003A5A17">
        <w:t xml:space="preserve"> [</w:t>
      </w:r>
      <w:r w:rsidR="008433F0">
        <w:t>9</w:t>
      </w:r>
      <w:r w:rsidR="003A5A17">
        <w:t>].</w:t>
      </w:r>
      <w:r w:rsidR="005145F7">
        <w:t xml:space="preserve"> This type of thermochemical cycle is sustainable for majority of above</w:t>
      </w:r>
      <w:r w:rsidR="00482E36">
        <w:t>-</w:t>
      </w:r>
      <w:r w:rsidR="005145F7">
        <w:t>mentioned fast reactors.</w:t>
      </w:r>
    </w:p>
    <w:p w14:paraId="6621DB3A" w14:textId="77777777" w:rsidR="004F0E36" w:rsidRDefault="00CF4DEE" w:rsidP="00996259">
      <w:pPr>
        <w:pStyle w:val="BodyText"/>
      </w:pPr>
      <w:r w:rsidRPr="00CF4DEE">
        <w:t xml:space="preserve">The nuclear energy </w:t>
      </w:r>
      <w:r>
        <w:t xml:space="preserve">sector </w:t>
      </w:r>
      <w:r w:rsidRPr="00CF4DEE">
        <w:t>offers</w:t>
      </w:r>
      <w:r>
        <w:t xml:space="preserve"> a new</w:t>
      </w:r>
      <w:r w:rsidRPr="00CF4DEE">
        <w:t xml:space="preserve"> potential for the large-scale production of </w:t>
      </w:r>
      <w:r>
        <w:t xml:space="preserve">low-carbon </w:t>
      </w:r>
      <w:r w:rsidRPr="00CF4DEE">
        <w:t>hydrogen</w:t>
      </w:r>
      <w:r>
        <w:t>. The production of low-carbon h</w:t>
      </w:r>
      <w:r w:rsidRPr="00CF4DEE">
        <w:t xml:space="preserve">ydrogen represents </w:t>
      </w:r>
      <w:r>
        <w:t>a possible</w:t>
      </w:r>
      <w:r w:rsidRPr="00CF4DEE">
        <w:t xml:space="preserve"> new mission for nuclear </w:t>
      </w:r>
      <w:r>
        <w:t>reactors</w:t>
      </w:r>
      <w:r w:rsidRPr="00CF4DEE">
        <w:t xml:space="preserve"> that is potentially larger than the current emission-free electrical production.</w:t>
      </w:r>
    </w:p>
    <w:p w14:paraId="3BE43EA0" w14:textId="77777777" w:rsidR="0058654F" w:rsidRDefault="00CF4DEE" w:rsidP="00537496">
      <w:pPr>
        <w:pStyle w:val="Heading2"/>
      </w:pPr>
      <w:r>
        <w:t>Conclusions</w:t>
      </w:r>
    </w:p>
    <w:p w14:paraId="05766FBB" w14:textId="7BA193A2" w:rsidR="00C0407A" w:rsidRPr="004370D8" w:rsidRDefault="00CF4DEE" w:rsidP="00C36B14">
      <w:pPr>
        <w:pStyle w:val="BodyText"/>
      </w:pPr>
      <w:r>
        <w:t>The fast</w:t>
      </w:r>
      <w:r w:rsidR="00C0407A">
        <w:t>-neutron</w:t>
      </w:r>
      <w:r>
        <w:t xml:space="preserve"> nuclear reactors </w:t>
      </w:r>
      <w:r w:rsidR="00C0407A">
        <w:t>is usable for low-carbon hydrogen production</w:t>
      </w:r>
      <w:r w:rsidR="00410015">
        <w:t>,</w:t>
      </w:r>
      <w:r w:rsidR="00C0407A">
        <w:t xml:space="preserve"> and this technology can contribute to </w:t>
      </w:r>
      <w:r w:rsidR="00410015">
        <w:t xml:space="preserve">the </w:t>
      </w:r>
      <w:r w:rsidR="00C0407A">
        <w:t>reduction of CO</w:t>
      </w:r>
      <w:r w:rsidR="00C0407A" w:rsidRPr="00C0407A">
        <w:rPr>
          <w:vertAlign w:val="subscript"/>
        </w:rPr>
        <w:t>2</w:t>
      </w:r>
      <w:r w:rsidR="00C36B14">
        <w:t xml:space="preserve"> emissions. </w:t>
      </w:r>
      <w:r w:rsidR="00C0407A" w:rsidRPr="00C0407A">
        <w:t xml:space="preserve">Due to the installed capacity, much smaller than conventional reactors, </w:t>
      </w:r>
      <w:r w:rsidR="00C0407A">
        <w:t>the fast reactors</w:t>
      </w:r>
      <w:r w:rsidR="00C0407A" w:rsidRPr="00C0407A">
        <w:t xml:space="preserve"> are easier to integrate into the current energy system</w:t>
      </w:r>
      <w:r w:rsidR="00C0407A">
        <w:t>s</w:t>
      </w:r>
      <w:r w:rsidR="00C0407A" w:rsidRPr="00C0407A">
        <w:t xml:space="preserve"> characterized by large </w:t>
      </w:r>
      <w:r w:rsidR="00C0407A" w:rsidRPr="00482E36">
        <w:t>discrepancies</w:t>
      </w:r>
      <w:r w:rsidR="00C0407A" w:rsidRPr="00C0407A">
        <w:t xml:space="preserve"> between </w:t>
      </w:r>
      <w:r w:rsidR="008459B5">
        <w:t xml:space="preserve">the </w:t>
      </w:r>
      <w:r w:rsidR="00C0407A" w:rsidRPr="00C0407A">
        <w:t>demand and supply of electricity,</w:t>
      </w:r>
      <w:r w:rsidR="00C0407A">
        <w:t xml:space="preserve"> the</w:t>
      </w:r>
      <w:r w:rsidR="00C0407A" w:rsidRPr="00C0407A">
        <w:t xml:space="preserve"> imbalance caused also by the growing share of renewables.</w:t>
      </w:r>
      <w:r w:rsidR="00C36B14">
        <w:t xml:space="preserve"> </w:t>
      </w:r>
      <w:r w:rsidR="00C0407A">
        <w:t>The most suitable method for hydrogen production using fast reactors is water electrolysis a</w:t>
      </w:r>
      <w:r w:rsidR="00482E36">
        <w:t>t</w:t>
      </w:r>
      <w:r w:rsidR="00C0407A">
        <w:t xml:space="preserve"> low temperatures. Other promising methods for </w:t>
      </w:r>
      <w:r w:rsidR="004A4448">
        <w:t>nuclear hydrogen</w:t>
      </w:r>
      <w:r w:rsidR="00C35FFE">
        <w:t>, such</w:t>
      </w:r>
      <w:r w:rsidR="004A4448">
        <w:t xml:space="preserve"> as </w:t>
      </w:r>
      <w:r w:rsidR="004A4448" w:rsidRPr="00C31F26">
        <w:t xml:space="preserve">steam </w:t>
      </w:r>
      <w:r w:rsidR="004A4448">
        <w:t xml:space="preserve">electrolysis and thermochemical cycles </w:t>
      </w:r>
      <w:r w:rsidR="00F0138E">
        <w:t>are</w:t>
      </w:r>
      <w:r w:rsidR="00F0138E" w:rsidRPr="00F0138E">
        <w:rPr>
          <w:color w:val="FF0000"/>
        </w:rPr>
        <w:t xml:space="preserve"> </w:t>
      </w:r>
      <w:r w:rsidR="00F0138E" w:rsidRPr="00F0138E">
        <w:t>suitable</w:t>
      </w:r>
      <w:r w:rsidR="004A4448" w:rsidRPr="00F0138E">
        <w:t xml:space="preserve"> for the </w:t>
      </w:r>
      <w:r w:rsidR="004A4448">
        <w:t xml:space="preserve">majority of actual developing fast reactors, </w:t>
      </w:r>
      <w:r w:rsidR="004A4448" w:rsidRPr="004A4448">
        <w:t xml:space="preserve">the exceptions are the few that operate at temperatures above 500-550 </w:t>
      </w:r>
      <w:proofErr w:type="spellStart"/>
      <w:r w:rsidR="004A4448" w:rsidRPr="004A4448">
        <w:rPr>
          <w:vertAlign w:val="superscript"/>
        </w:rPr>
        <w:t>o</w:t>
      </w:r>
      <w:r w:rsidR="004A4448" w:rsidRPr="004A4448">
        <w:t>C.</w:t>
      </w:r>
      <w:proofErr w:type="spellEnd"/>
    </w:p>
    <w:p w14:paraId="2EF21204" w14:textId="77777777" w:rsidR="00F0138E" w:rsidRDefault="00F0138E" w:rsidP="00CF4DEE">
      <w:pPr>
        <w:pStyle w:val="Otherunnumberedheadings"/>
      </w:pPr>
    </w:p>
    <w:p w14:paraId="00A99794" w14:textId="77777777" w:rsidR="00C36B14" w:rsidRPr="00C36B14" w:rsidRDefault="00C36B14" w:rsidP="00C36B14">
      <w:pPr>
        <w:pStyle w:val="BodyText"/>
      </w:pPr>
    </w:p>
    <w:p w14:paraId="2BA91DDF" w14:textId="77777777" w:rsidR="00CF4DEE" w:rsidRDefault="00285755" w:rsidP="00CF4DEE">
      <w:pPr>
        <w:pStyle w:val="Otherunnumberedheadings"/>
      </w:pPr>
      <w:r w:rsidRPr="00285755">
        <w:lastRenderedPageBreak/>
        <w:t>ACKNOWLEDGEMENTS</w:t>
      </w:r>
    </w:p>
    <w:p w14:paraId="11EBABB0" w14:textId="6866978C" w:rsidR="00D26ADA" w:rsidRDefault="00CF4DEE" w:rsidP="00CF4DEE">
      <w:pPr>
        <w:pStyle w:val="BodyText"/>
      </w:pPr>
      <w:r>
        <w:t>The author acknowledge</w:t>
      </w:r>
      <w:r w:rsidR="00410015">
        <w:t>s</w:t>
      </w:r>
      <w:r>
        <w:t xml:space="preserve"> the support provided by the International Atomic Energy Agency and </w:t>
      </w:r>
      <w:r w:rsidR="00410015">
        <w:t xml:space="preserve">the </w:t>
      </w:r>
      <w:r>
        <w:t xml:space="preserve">Romanian Nuclear and Radioactive Waste Agency. </w:t>
      </w:r>
    </w:p>
    <w:p w14:paraId="192630D8" w14:textId="77777777" w:rsidR="00D26ADA" w:rsidRPr="00285755" w:rsidRDefault="00D26ADA" w:rsidP="00537496">
      <w:pPr>
        <w:pStyle w:val="Otherunnumberedheadings"/>
      </w:pPr>
      <w:r>
        <w:t>References</w:t>
      </w:r>
    </w:p>
    <w:p w14:paraId="692C80E5" w14:textId="77777777" w:rsidR="00F65AA0" w:rsidRDefault="00F65AA0" w:rsidP="00F65AA0">
      <w:pPr>
        <w:pStyle w:val="Referencelist"/>
      </w:pPr>
      <w:r w:rsidRPr="00F65AA0">
        <w:t>ODUKOYA A., NATERER G.F., ROEB M., MANSILLA C., MOUGIN J., YU B., KUPECKI J., IORDACHE I., MILEWSKI J., Progress of the IAHE Nuclear Hydrogen Division on international hydrogen production programs, International Journal of Hydrogen Energy 41 (201</w:t>
      </w:r>
      <w:r w:rsidR="00880D95">
        <w:t>6) 7878-7891.</w:t>
      </w:r>
    </w:p>
    <w:p w14:paraId="6B59B465" w14:textId="77777777" w:rsidR="00F65AA0" w:rsidRDefault="00F65AA0" w:rsidP="00F65AA0">
      <w:pPr>
        <w:pStyle w:val="Referencelist"/>
      </w:pPr>
      <w:r w:rsidRPr="00F65AA0">
        <w:t xml:space="preserve">INTERNATIONAL ATOMIC ENERGY AGENCY, Advanced Reactors Information System(ARIS),  </w:t>
      </w:r>
      <w:hyperlink r:id="rId12" w:history="1">
        <w:r w:rsidRPr="00A45943">
          <w:rPr>
            <w:rStyle w:val="Hyperlink"/>
          </w:rPr>
          <w:t>https://aris.iaea.org/sites/SFR.html</w:t>
        </w:r>
      </w:hyperlink>
    </w:p>
    <w:p w14:paraId="6B6A7369" w14:textId="1D71B9D0" w:rsidR="00F65AA0" w:rsidRDefault="00F0138E" w:rsidP="00F65AA0">
      <w:pPr>
        <w:pStyle w:val="Referencelist"/>
      </w:pPr>
      <w:r>
        <w:t xml:space="preserve">TSUKADA, </w:t>
      </w:r>
      <w:r w:rsidR="00F65AA0" w:rsidRPr="00F65AA0">
        <w:t>R.</w:t>
      </w:r>
      <w:proofErr w:type="gramStart"/>
      <w:r w:rsidR="00F65AA0" w:rsidRPr="00F65AA0">
        <w:t>,  Proposal</w:t>
      </w:r>
      <w:proofErr w:type="gramEnd"/>
      <w:r w:rsidR="00F65AA0" w:rsidRPr="00F65AA0">
        <w:t xml:space="preserve">  for  hydrogen  economy,  Proc.  COE-</w:t>
      </w:r>
      <w:r w:rsidRPr="00F65AA0">
        <w:t>INES Int</w:t>
      </w:r>
      <w:r w:rsidR="00F65AA0" w:rsidRPr="00F65AA0">
        <w:t xml:space="preserve">.  </w:t>
      </w:r>
      <w:r w:rsidRPr="00F65AA0">
        <w:t>Workshop on</w:t>
      </w:r>
      <w:r w:rsidR="00F65AA0" w:rsidRPr="00F65AA0">
        <w:t xml:space="preserve"> </w:t>
      </w:r>
      <w:r w:rsidRPr="00F65AA0">
        <w:t>Toward Hydrogen Economy</w:t>
      </w:r>
      <w:r>
        <w:t>,</w:t>
      </w:r>
      <w:r w:rsidR="00F65AA0" w:rsidRPr="00F65AA0">
        <w:t xml:space="preserve"> </w:t>
      </w:r>
      <w:proofErr w:type="gramStart"/>
      <w:r w:rsidR="00F65AA0" w:rsidRPr="00F65AA0">
        <w:t>What  Nuclear</w:t>
      </w:r>
      <w:proofErr w:type="gramEnd"/>
      <w:r w:rsidR="00F65AA0" w:rsidRPr="00F65AA0">
        <w:t xml:space="preserve"> Can Contribute and How, Tokyo, 2004, THEN, Tokyo </w:t>
      </w:r>
      <w:r w:rsidR="00F65AA0">
        <w:t>Institute of Technology (2005).</w:t>
      </w:r>
    </w:p>
    <w:p w14:paraId="6DDA728F" w14:textId="77777777" w:rsidR="009E0D5B" w:rsidRDefault="00F65AA0" w:rsidP="00F65AA0">
      <w:pPr>
        <w:pStyle w:val="Referencelist"/>
      </w:pPr>
      <w:r w:rsidRPr="00F65AA0">
        <w:t>INTERNATIONAL ATOMIC ENERGY AGENCY, Hydrogen Production Using Nuclear Energy, IAEA Nuclear Energy Series, Technical Reports No. NP-T-4.2, IAEA, Vienna (2013)</w:t>
      </w:r>
      <w:r>
        <w:t>.</w:t>
      </w:r>
    </w:p>
    <w:p w14:paraId="7069DC0C" w14:textId="77777777" w:rsidR="005830C3" w:rsidRDefault="005830C3" w:rsidP="005830C3">
      <w:pPr>
        <w:pStyle w:val="Referencelist"/>
      </w:pPr>
      <w:r w:rsidRPr="005830C3">
        <w:t xml:space="preserve">EL-EMAM </w:t>
      </w:r>
      <w:r>
        <w:t xml:space="preserve">S. R. </w:t>
      </w:r>
      <w:r w:rsidRPr="005830C3">
        <w:t xml:space="preserve"> HASAN OZCAN</w:t>
      </w:r>
      <w:r>
        <w:t xml:space="preserve"> H.</w:t>
      </w:r>
      <w:r w:rsidRPr="005830C3">
        <w:t xml:space="preserve">, CALIN ZAMFIRESCU </w:t>
      </w:r>
      <w:r>
        <w:t>C.,</w:t>
      </w:r>
      <w:r w:rsidRPr="005830C3">
        <w:t xml:space="preserve"> </w:t>
      </w:r>
      <w:r>
        <w:t xml:space="preserve">Updates on promising thermochemical cycles for clean hydrogen production using nuclear energy, </w:t>
      </w:r>
      <w:r w:rsidRPr="005830C3">
        <w:t>Journal of Cleaner Production 262 (2020) 121424</w:t>
      </w:r>
      <w:r>
        <w:t>.</w:t>
      </w:r>
    </w:p>
    <w:p w14:paraId="05921F39" w14:textId="0AF258D3" w:rsidR="00D86028" w:rsidRDefault="00B95790" w:rsidP="00D86028">
      <w:pPr>
        <w:pStyle w:val="Referencelist"/>
      </w:pPr>
      <w:r w:rsidRPr="00B95790">
        <w:t>REGIA AUTONOMĂ TEHNOLOGII PENTRU ENERGIA NUCLEARĂ</w:t>
      </w:r>
      <w:r>
        <w:t xml:space="preserve">, Pro Alfred, </w:t>
      </w:r>
      <w:hyperlink r:id="rId13" w:history="1">
        <w:r w:rsidR="00880D95" w:rsidRPr="00A45943">
          <w:rPr>
            <w:rStyle w:val="Hyperlink"/>
          </w:rPr>
          <w:t>www.proalfred.nuclear.ro</w:t>
        </w:r>
      </w:hyperlink>
      <w:r w:rsidR="00880D95">
        <w:t xml:space="preserve"> </w:t>
      </w:r>
      <w:r w:rsidR="003A5A17">
        <w:t>.</w:t>
      </w:r>
    </w:p>
    <w:p w14:paraId="1F00AB36" w14:textId="77777777" w:rsidR="00D86028" w:rsidRDefault="00D86028" w:rsidP="00D86028">
      <w:pPr>
        <w:pStyle w:val="Referencelist"/>
      </w:pPr>
      <w:r w:rsidRPr="00D86028">
        <w:t xml:space="preserve">SCHLÖMER S., BRUCKNER T., FULTON L., HERTWICH E., et al., Annex III: Technology-specific cost and performance parameters. In: </w:t>
      </w:r>
      <w:proofErr w:type="spellStart"/>
      <w:r w:rsidRPr="00D86028">
        <w:t>Edenhofer</w:t>
      </w:r>
      <w:proofErr w:type="spellEnd"/>
      <w:r w:rsidRPr="00D86028">
        <w:t xml:space="preserve">, O., R. </w:t>
      </w:r>
      <w:proofErr w:type="spellStart"/>
      <w:r w:rsidRPr="00D86028">
        <w:t>Pichs-Madruga</w:t>
      </w:r>
      <w:proofErr w:type="spellEnd"/>
      <w:r w:rsidRPr="00D86028">
        <w:t xml:space="preserve">, Y. </w:t>
      </w:r>
      <w:proofErr w:type="spellStart"/>
      <w:r w:rsidRPr="00D86028">
        <w:t>Sokona</w:t>
      </w:r>
      <w:proofErr w:type="spellEnd"/>
      <w:r w:rsidRPr="00D86028">
        <w:t xml:space="preserve">, E. </w:t>
      </w:r>
      <w:proofErr w:type="spellStart"/>
      <w:r w:rsidRPr="00D86028">
        <w:t>Farahani</w:t>
      </w:r>
      <w:proofErr w:type="spellEnd"/>
      <w:r w:rsidRPr="00D86028">
        <w:t xml:space="preserve">, S. </w:t>
      </w:r>
      <w:proofErr w:type="spellStart"/>
      <w:r w:rsidRPr="00D86028">
        <w:t>Kadner</w:t>
      </w:r>
      <w:proofErr w:type="spellEnd"/>
      <w:r w:rsidRPr="00D86028">
        <w:t xml:space="preserve">, K. </w:t>
      </w:r>
      <w:proofErr w:type="spellStart"/>
      <w:r w:rsidRPr="00D86028">
        <w:t>Seyboth</w:t>
      </w:r>
      <w:proofErr w:type="spellEnd"/>
      <w:r w:rsidRPr="00D86028">
        <w:t xml:space="preserve">, A. Adler, I. Baum, S. Brunner, P. </w:t>
      </w:r>
      <w:proofErr w:type="spellStart"/>
      <w:r w:rsidRPr="00D86028">
        <w:t>Eickemeier</w:t>
      </w:r>
      <w:proofErr w:type="spellEnd"/>
      <w:r w:rsidRPr="00D86028">
        <w:t xml:space="preserve">, B. </w:t>
      </w:r>
      <w:proofErr w:type="spellStart"/>
      <w:r w:rsidRPr="00D86028">
        <w:t>Kriemann</w:t>
      </w:r>
      <w:proofErr w:type="spellEnd"/>
      <w:r w:rsidRPr="00D86028">
        <w:t xml:space="preserve">, J. </w:t>
      </w:r>
      <w:proofErr w:type="spellStart"/>
      <w:r w:rsidRPr="00D86028">
        <w:t>Savolainen</w:t>
      </w:r>
      <w:proofErr w:type="spellEnd"/>
      <w:r w:rsidRPr="00D86028">
        <w:t xml:space="preserve">, S. </w:t>
      </w:r>
      <w:proofErr w:type="spellStart"/>
      <w:r w:rsidRPr="00D86028">
        <w:t>Schlömer</w:t>
      </w:r>
      <w:proofErr w:type="spellEnd"/>
      <w:r w:rsidRPr="00D86028">
        <w:t xml:space="preserve">, C. von </w:t>
      </w:r>
      <w:proofErr w:type="spellStart"/>
      <w:r w:rsidRPr="00D86028">
        <w:t>Stechow</w:t>
      </w:r>
      <w:proofErr w:type="spellEnd"/>
      <w:r w:rsidRPr="00D86028">
        <w:t xml:space="preserve">, T. </w:t>
      </w:r>
      <w:proofErr w:type="spellStart"/>
      <w:r w:rsidRPr="00D86028">
        <w:t>Zwickel</w:t>
      </w:r>
      <w:proofErr w:type="spellEnd"/>
      <w:r w:rsidRPr="00D86028">
        <w:t xml:space="preserve"> and J.C. Minx , editors. Climate Change 2014: Mitigation of Climate Change, Cambridge University Press, Cambridge, United Kingdom and New York, NY, USA (2014).</w:t>
      </w:r>
    </w:p>
    <w:p w14:paraId="59E3D50E" w14:textId="61D88359" w:rsidR="008433F0" w:rsidRDefault="008433F0" w:rsidP="008433F0">
      <w:pPr>
        <w:pStyle w:val="Referencelist"/>
      </w:pPr>
      <w:r>
        <w:t xml:space="preserve">UNECE, </w:t>
      </w:r>
      <w:r w:rsidRPr="008433F0">
        <w:t>Life Cycle Assessment of Electricity Generation Options</w:t>
      </w:r>
      <w:r>
        <w:t xml:space="preserve">, </w:t>
      </w:r>
      <w:r w:rsidRPr="008433F0">
        <w:t>United Nations Publications,</w:t>
      </w:r>
      <w:r>
        <w:t xml:space="preserve"> Geneva (2021).</w:t>
      </w:r>
    </w:p>
    <w:p w14:paraId="2BED70C2" w14:textId="77B4FAE0" w:rsidR="003A5A17" w:rsidRDefault="00F0138E" w:rsidP="00D86028">
      <w:pPr>
        <w:pStyle w:val="Referencelist"/>
      </w:pPr>
      <w:r>
        <w:t>GORENSEK M.B., SUMMERS W.A.</w:t>
      </w:r>
      <w:r w:rsidR="003A5A17">
        <w:t>,</w:t>
      </w:r>
      <w:r w:rsidR="005145F7">
        <w:t xml:space="preserve"> The hybrid </w:t>
      </w:r>
      <w:r w:rsidR="00197A32">
        <w:t>sulphur</w:t>
      </w:r>
      <w:r w:rsidR="005145F7">
        <w:t xml:space="preserve"> cycle, 2011,</w:t>
      </w:r>
      <w:r w:rsidR="003A5A17">
        <w:t xml:space="preserve"> In: Yan XL, Hino R, editors. Nuclear hydrogen production handbook.</w:t>
      </w:r>
      <w:r w:rsidR="005145F7">
        <w:t xml:space="preserve"> Boca Raton FL: CRC Press; (2011)</w:t>
      </w:r>
      <w:r w:rsidR="003A5A17">
        <w:t>.</w:t>
      </w:r>
    </w:p>
    <w:sectPr w:rsidR="003A5A17"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548F" w14:textId="77777777" w:rsidR="00E61AD1" w:rsidRDefault="00E61AD1">
      <w:r>
        <w:separator/>
      </w:r>
    </w:p>
  </w:endnote>
  <w:endnote w:type="continuationSeparator" w:id="0">
    <w:p w14:paraId="61DF79CE" w14:textId="77777777" w:rsidR="00E61AD1" w:rsidRDefault="00E6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B70B" w14:textId="56AA5186" w:rsidR="00A141E9" w:rsidRDefault="00A141E9">
    <w:pPr>
      <w:pStyle w:val="zyxClassification1"/>
    </w:pPr>
    <w:r>
      <w:fldChar w:fldCharType="begin"/>
    </w:r>
    <w:r>
      <w:instrText xml:space="preserve"> DOCPROPERTY "IaeaClassification"  \* MERGEFORMAT </w:instrText>
    </w:r>
    <w:r>
      <w:fldChar w:fldCharType="end"/>
    </w:r>
  </w:p>
  <w:p w14:paraId="12431EA7" w14:textId="10F1FA80" w:rsidR="00A141E9" w:rsidRDefault="00A141E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21481" w14:textId="2DE40B27" w:rsidR="00A141E9" w:rsidRDefault="00A141E9">
    <w:pPr>
      <w:pStyle w:val="zyxClassification1"/>
    </w:pPr>
    <w:r>
      <w:fldChar w:fldCharType="begin"/>
    </w:r>
    <w:r>
      <w:instrText xml:space="preserve"> DOCPROPERTY "IaeaClassification"  \* MERGEFORMAT </w:instrText>
    </w:r>
    <w:r>
      <w:fldChar w:fldCharType="end"/>
    </w:r>
  </w:p>
  <w:p w14:paraId="62997C97" w14:textId="4F4D1876" w:rsidR="00A141E9" w:rsidRPr="00037321" w:rsidRDefault="00A141E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27072">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A141E9" w14:paraId="5E843BC0" w14:textId="77777777">
      <w:trPr>
        <w:cantSplit/>
      </w:trPr>
      <w:tc>
        <w:tcPr>
          <w:tcW w:w="4644" w:type="dxa"/>
        </w:tcPr>
        <w:p w14:paraId="0CA19C37" w14:textId="30CE1BD9" w:rsidR="00A141E9" w:rsidRDefault="00A141E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2EF29F41" w14:textId="53EE1878" w:rsidR="00A141E9" w:rsidRDefault="00A141E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14:paraId="2CD46013" w14:textId="22520210" w:rsidR="00A141E9" w:rsidRDefault="00A141E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14:paraId="6A767C1C" w14:textId="1540E46D" w:rsidR="00A141E9" w:rsidRDefault="00A141E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14:paraId="11F51F14" w14:textId="3F311A03" w:rsidR="00A141E9" w:rsidRDefault="00A141E9">
    <w:r>
      <w:rPr>
        <w:sz w:val="16"/>
      </w:rPr>
      <w:fldChar w:fldCharType="begin"/>
    </w:r>
    <w:r>
      <w:rPr>
        <w:sz w:val="16"/>
      </w:rPr>
      <w:instrText xml:space="preserve"> FILENAME \* MERGEFORMAT </w:instrText>
    </w:r>
    <w:r>
      <w:rPr>
        <w:sz w:val="16"/>
      </w:rPr>
      <w:fldChar w:fldCharType="separate"/>
    </w:r>
    <w:r w:rsidR="00B570B9">
      <w:rPr>
        <w:noProof/>
        <w:sz w:val="16"/>
      </w:rPr>
      <w:t>Template_CN291-IDNUMBER-381 (D)</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8C27" w14:textId="77777777" w:rsidR="00E61AD1" w:rsidRDefault="00E61AD1">
      <w:r>
        <w:t>___________________________________________________________________________</w:t>
      </w:r>
    </w:p>
  </w:footnote>
  <w:footnote w:type="continuationSeparator" w:id="0">
    <w:p w14:paraId="7CBD0F7F" w14:textId="77777777" w:rsidR="00E61AD1" w:rsidRDefault="00E61AD1">
      <w:r>
        <w:t>___________________________________________________________________________</w:t>
      </w:r>
    </w:p>
  </w:footnote>
  <w:footnote w:type="continuationNotice" w:id="1">
    <w:p w14:paraId="6CE664F9" w14:textId="77777777" w:rsidR="00E61AD1" w:rsidRDefault="00E61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DEF7" w14:textId="20C96FD0" w:rsidR="00A141E9" w:rsidRDefault="00A141E9" w:rsidP="00CF7AF3">
    <w:pPr>
      <w:pStyle w:val="Runninghead"/>
    </w:pPr>
    <w:r>
      <w:tab/>
    </w:r>
    <w:r w:rsidR="00127072" w:rsidRPr="00127072">
      <w:t>FR21: IAEA-CN-291/381</w:t>
    </w:r>
  </w:p>
  <w:p w14:paraId="14FB539E" w14:textId="2904EC9C" w:rsidR="00A141E9" w:rsidRDefault="00A141E9"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08C39C7C" w14:textId="42D972F1" w:rsidR="00A141E9" w:rsidRDefault="00A141E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E5BAE" w14:textId="77777777" w:rsidR="00A141E9" w:rsidRPr="00F0016A" w:rsidRDefault="00A141E9" w:rsidP="00037321">
    <w:pPr>
      <w:jc w:val="center"/>
      <w:rPr>
        <w:color w:val="808080" w:themeColor="background1" w:themeShade="80"/>
        <w:sz w:val="18"/>
        <w:szCs w:val="18"/>
      </w:rPr>
    </w:pPr>
    <w:r w:rsidRPr="009F1E61">
      <w:rPr>
        <w:b/>
        <w:color w:val="262626" w:themeColor="text1" w:themeTint="D9"/>
        <w:sz w:val="16"/>
        <w:szCs w:val="16"/>
      </w:rPr>
      <w:t>IORDACHE I</w:t>
    </w:r>
    <w:r w:rsidRPr="00F0016A">
      <w:rPr>
        <w:color w:val="808080" w:themeColor="background1" w:themeShade="80"/>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141E9" w14:paraId="78389035" w14:textId="77777777">
      <w:trPr>
        <w:cantSplit/>
        <w:trHeight w:val="716"/>
      </w:trPr>
      <w:tc>
        <w:tcPr>
          <w:tcW w:w="979" w:type="dxa"/>
          <w:vMerge w:val="restart"/>
        </w:tcPr>
        <w:p w14:paraId="7E9919C4" w14:textId="77777777" w:rsidR="00A141E9" w:rsidRDefault="00A141E9">
          <w:pPr>
            <w:spacing w:before="180"/>
            <w:ind w:left="17"/>
          </w:pPr>
        </w:p>
      </w:tc>
      <w:tc>
        <w:tcPr>
          <w:tcW w:w="3638" w:type="dxa"/>
          <w:vAlign w:val="bottom"/>
        </w:tcPr>
        <w:p w14:paraId="527E73E1" w14:textId="77777777" w:rsidR="00A141E9" w:rsidRDefault="00A141E9">
          <w:pPr>
            <w:spacing w:after="20"/>
          </w:pPr>
        </w:p>
      </w:tc>
      <w:bookmarkStart w:id="2" w:name="DOC_bkmClassification1"/>
      <w:tc>
        <w:tcPr>
          <w:tcW w:w="5702" w:type="dxa"/>
          <w:vMerge w:val="restart"/>
          <w:tcMar>
            <w:right w:w="193" w:type="dxa"/>
          </w:tcMar>
        </w:tcPr>
        <w:p w14:paraId="58306C5B" w14:textId="12C09C2A" w:rsidR="00A141E9" w:rsidRDefault="00A141E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54B9D54B" w14:textId="46CEDB49" w:rsidR="00A141E9" w:rsidRDefault="00A141E9">
          <w:pPr>
            <w:pStyle w:val="zyxConfid2Red"/>
          </w:pPr>
          <w:r>
            <w:fldChar w:fldCharType="begin"/>
          </w:r>
          <w:r>
            <w:instrText>DOCPROPERTY "IaeaClassification2"  \* MERGEFORMAT</w:instrText>
          </w:r>
          <w:r>
            <w:fldChar w:fldCharType="end"/>
          </w:r>
        </w:p>
      </w:tc>
    </w:tr>
    <w:tr w:rsidR="00A141E9" w14:paraId="72CE1779" w14:textId="77777777">
      <w:trPr>
        <w:cantSplit/>
        <w:trHeight w:val="167"/>
      </w:trPr>
      <w:tc>
        <w:tcPr>
          <w:tcW w:w="979" w:type="dxa"/>
          <w:vMerge/>
        </w:tcPr>
        <w:p w14:paraId="2D014C06" w14:textId="77777777" w:rsidR="00A141E9" w:rsidRDefault="00A141E9">
          <w:pPr>
            <w:spacing w:before="57"/>
          </w:pPr>
        </w:p>
      </w:tc>
      <w:tc>
        <w:tcPr>
          <w:tcW w:w="3638" w:type="dxa"/>
          <w:vAlign w:val="bottom"/>
        </w:tcPr>
        <w:p w14:paraId="25CE44F1" w14:textId="77777777" w:rsidR="00A141E9" w:rsidRDefault="00A141E9">
          <w:pPr>
            <w:pStyle w:val="Heading9"/>
            <w:spacing w:before="0" w:after="10"/>
          </w:pPr>
        </w:p>
      </w:tc>
      <w:tc>
        <w:tcPr>
          <w:tcW w:w="5702" w:type="dxa"/>
          <w:vMerge/>
          <w:vAlign w:val="bottom"/>
        </w:tcPr>
        <w:p w14:paraId="7537A551" w14:textId="77777777" w:rsidR="00A141E9" w:rsidRDefault="00A141E9">
          <w:pPr>
            <w:pStyle w:val="Heading9"/>
            <w:spacing w:before="0" w:after="10"/>
          </w:pPr>
        </w:p>
      </w:tc>
    </w:tr>
  </w:tbl>
  <w:p w14:paraId="67677152" w14:textId="77777777" w:rsidR="00A141E9" w:rsidRDefault="00A141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7321"/>
    <w:rsid w:val="00040350"/>
    <w:rsid w:val="00047E69"/>
    <w:rsid w:val="000516A3"/>
    <w:rsid w:val="00093A64"/>
    <w:rsid w:val="00097065"/>
    <w:rsid w:val="000A0299"/>
    <w:rsid w:val="000A2990"/>
    <w:rsid w:val="000A535B"/>
    <w:rsid w:val="000C4332"/>
    <w:rsid w:val="000C4700"/>
    <w:rsid w:val="000D1485"/>
    <w:rsid w:val="000F7E94"/>
    <w:rsid w:val="001119D6"/>
    <w:rsid w:val="00117C30"/>
    <w:rsid w:val="00127072"/>
    <w:rsid w:val="001308F2"/>
    <w:rsid w:val="001313E8"/>
    <w:rsid w:val="00166752"/>
    <w:rsid w:val="00183BC4"/>
    <w:rsid w:val="00197A32"/>
    <w:rsid w:val="001C58F5"/>
    <w:rsid w:val="001D4748"/>
    <w:rsid w:val="001D5CEE"/>
    <w:rsid w:val="002014DB"/>
    <w:rsid w:val="002071D9"/>
    <w:rsid w:val="0023450F"/>
    <w:rsid w:val="00256822"/>
    <w:rsid w:val="0026525A"/>
    <w:rsid w:val="002739EF"/>
    <w:rsid w:val="00274790"/>
    <w:rsid w:val="00276171"/>
    <w:rsid w:val="002771A0"/>
    <w:rsid w:val="00285755"/>
    <w:rsid w:val="002A1F9C"/>
    <w:rsid w:val="002A747D"/>
    <w:rsid w:val="002B29C2"/>
    <w:rsid w:val="002C29DB"/>
    <w:rsid w:val="002C4208"/>
    <w:rsid w:val="002C702D"/>
    <w:rsid w:val="0030180A"/>
    <w:rsid w:val="00352DE1"/>
    <w:rsid w:val="003548D3"/>
    <w:rsid w:val="003728E6"/>
    <w:rsid w:val="00384A18"/>
    <w:rsid w:val="00395F1B"/>
    <w:rsid w:val="003A5A17"/>
    <w:rsid w:val="003B5E0E"/>
    <w:rsid w:val="003D250D"/>
    <w:rsid w:val="003D255A"/>
    <w:rsid w:val="003D29A5"/>
    <w:rsid w:val="003D681E"/>
    <w:rsid w:val="003E014D"/>
    <w:rsid w:val="003E44F3"/>
    <w:rsid w:val="00410015"/>
    <w:rsid w:val="00413EF1"/>
    <w:rsid w:val="00416949"/>
    <w:rsid w:val="004370D8"/>
    <w:rsid w:val="00455009"/>
    <w:rsid w:val="00472C43"/>
    <w:rsid w:val="00481E39"/>
    <w:rsid w:val="00482E36"/>
    <w:rsid w:val="004A4448"/>
    <w:rsid w:val="004B3212"/>
    <w:rsid w:val="004F0E36"/>
    <w:rsid w:val="005145F7"/>
    <w:rsid w:val="00537496"/>
    <w:rsid w:val="00537B0C"/>
    <w:rsid w:val="00544AA3"/>
    <w:rsid w:val="00544ED3"/>
    <w:rsid w:val="005830C3"/>
    <w:rsid w:val="005840FD"/>
    <w:rsid w:val="0058477B"/>
    <w:rsid w:val="0058654F"/>
    <w:rsid w:val="00596ACA"/>
    <w:rsid w:val="005B5788"/>
    <w:rsid w:val="005E39BC"/>
    <w:rsid w:val="005F00A0"/>
    <w:rsid w:val="00647F33"/>
    <w:rsid w:val="00662532"/>
    <w:rsid w:val="00670AEB"/>
    <w:rsid w:val="00684AD1"/>
    <w:rsid w:val="00697C23"/>
    <w:rsid w:val="006A4D43"/>
    <w:rsid w:val="006B2274"/>
    <w:rsid w:val="006F1028"/>
    <w:rsid w:val="006F5C3F"/>
    <w:rsid w:val="006F672A"/>
    <w:rsid w:val="00717C6F"/>
    <w:rsid w:val="00723E30"/>
    <w:rsid w:val="00723EB6"/>
    <w:rsid w:val="007445DA"/>
    <w:rsid w:val="007545DA"/>
    <w:rsid w:val="00775C19"/>
    <w:rsid w:val="00777A87"/>
    <w:rsid w:val="00791DB5"/>
    <w:rsid w:val="007B4FD1"/>
    <w:rsid w:val="007C0B99"/>
    <w:rsid w:val="007C6950"/>
    <w:rsid w:val="007D2D5C"/>
    <w:rsid w:val="00802381"/>
    <w:rsid w:val="0083096A"/>
    <w:rsid w:val="008433F0"/>
    <w:rsid w:val="008459B5"/>
    <w:rsid w:val="00850FFC"/>
    <w:rsid w:val="0086759F"/>
    <w:rsid w:val="00871F40"/>
    <w:rsid w:val="00880D8C"/>
    <w:rsid w:val="00880D95"/>
    <w:rsid w:val="00883848"/>
    <w:rsid w:val="008960D3"/>
    <w:rsid w:val="00897ED5"/>
    <w:rsid w:val="008B6BB9"/>
    <w:rsid w:val="008D3E33"/>
    <w:rsid w:val="009011EA"/>
    <w:rsid w:val="00901E5C"/>
    <w:rsid w:val="00911543"/>
    <w:rsid w:val="00942A5F"/>
    <w:rsid w:val="009519C9"/>
    <w:rsid w:val="00954A5E"/>
    <w:rsid w:val="00972392"/>
    <w:rsid w:val="00985410"/>
    <w:rsid w:val="00985E0C"/>
    <w:rsid w:val="00996259"/>
    <w:rsid w:val="00996D53"/>
    <w:rsid w:val="009D0B86"/>
    <w:rsid w:val="009E0D5B"/>
    <w:rsid w:val="009E1558"/>
    <w:rsid w:val="009E36B9"/>
    <w:rsid w:val="009E44CC"/>
    <w:rsid w:val="009E47D8"/>
    <w:rsid w:val="009F1E61"/>
    <w:rsid w:val="00A141E9"/>
    <w:rsid w:val="00A233D1"/>
    <w:rsid w:val="00A42898"/>
    <w:rsid w:val="00A57919"/>
    <w:rsid w:val="00A97C28"/>
    <w:rsid w:val="00AB6ACE"/>
    <w:rsid w:val="00AC5A3A"/>
    <w:rsid w:val="00AD25F8"/>
    <w:rsid w:val="00AD466F"/>
    <w:rsid w:val="00B030DF"/>
    <w:rsid w:val="00B570B9"/>
    <w:rsid w:val="00B604BE"/>
    <w:rsid w:val="00B60CD1"/>
    <w:rsid w:val="00B77419"/>
    <w:rsid w:val="00B82FA5"/>
    <w:rsid w:val="00B85F4D"/>
    <w:rsid w:val="00B95790"/>
    <w:rsid w:val="00BB5111"/>
    <w:rsid w:val="00BC2C4E"/>
    <w:rsid w:val="00BD1400"/>
    <w:rsid w:val="00BD605C"/>
    <w:rsid w:val="00BD74D4"/>
    <w:rsid w:val="00BE2A76"/>
    <w:rsid w:val="00BE30FE"/>
    <w:rsid w:val="00BE5F63"/>
    <w:rsid w:val="00BF1901"/>
    <w:rsid w:val="00C0407A"/>
    <w:rsid w:val="00C2529E"/>
    <w:rsid w:val="00C31F26"/>
    <w:rsid w:val="00C35FFE"/>
    <w:rsid w:val="00C36B14"/>
    <w:rsid w:val="00C65E60"/>
    <w:rsid w:val="00C84D23"/>
    <w:rsid w:val="00C948CB"/>
    <w:rsid w:val="00CA0102"/>
    <w:rsid w:val="00CB6659"/>
    <w:rsid w:val="00CE0BBD"/>
    <w:rsid w:val="00CE5A52"/>
    <w:rsid w:val="00CF4DEE"/>
    <w:rsid w:val="00CF7AF3"/>
    <w:rsid w:val="00D26ADA"/>
    <w:rsid w:val="00D35A78"/>
    <w:rsid w:val="00D50F02"/>
    <w:rsid w:val="00D51A2E"/>
    <w:rsid w:val="00D53110"/>
    <w:rsid w:val="00D555A1"/>
    <w:rsid w:val="00D64DC2"/>
    <w:rsid w:val="00D86028"/>
    <w:rsid w:val="00DA46CA"/>
    <w:rsid w:val="00DC256A"/>
    <w:rsid w:val="00DF21EB"/>
    <w:rsid w:val="00E060B1"/>
    <w:rsid w:val="00E122B1"/>
    <w:rsid w:val="00E20E70"/>
    <w:rsid w:val="00E25B68"/>
    <w:rsid w:val="00E32243"/>
    <w:rsid w:val="00E462EB"/>
    <w:rsid w:val="00E46B2F"/>
    <w:rsid w:val="00E50E93"/>
    <w:rsid w:val="00E61AD1"/>
    <w:rsid w:val="00E84003"/>
    <w:rsid w:val="00EC10FC"/>
    <w:rsid w:val="00EC2DF1"/>
    <w:rsid w:val="00ED0A99"/>
    <w:rsid w:val="00EE0041"/>
    <w:rsid w:val="00EE29B9"/>
    <w:rsid w:val="00EE29E8"/>
    <w:rsid w:val="00EF07FF"/>
    <w:rsid w:val="00F0016A"/>
    <w:rsid w:val="00F004EE"/>
    <w:rsid w:val="00F0138E"/>
    <w:rsid w:val="00F42E23"/>
    <w:rsid w:val="00F45EEE"/>
    <w:rsid w:val="00F51E9C"/>
    <w:rsid w:val="00F523CA"/>
    <w:rsid w:val="00F65AA0"/>
    <w:rsid w:val="00F73892"/>
    <w:rsid w:val="00F74A9D"/>
    <w:rsid w:val="00FB1C43"/>
    <w:rsid w:val="00FD7B25"/>
    <w:rsid w:val="00FE3C66"/>
    <w:rsid w:val="00FF0732"/>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0E27"/>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basedOn w:val="DefaultParagraphFont"/>
    <w:uiPriority w:val="49"/>
    <w:unhideWhenUsed/>
    <w:locked/>
    <w:rsid w:val="00BD74D4"/>
    <w:rPr>
      <w:color w:val="0000FF" w:themeColor="hyperlink"/>
      <w:u w:val="single"/>
    </w:rPr>
  </w:style>
  <w:style w:type="paragraph" w:styleId="Revision">
    <w:name w:val="Revision"/>
    <w:hidden/>
    <w:uiPriority w:val="99"/>
    <w:semiHidden/>
    <w:rsid w:val="00B7741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alfred.nuclear.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ris.iaea.org/sites/SF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E8224-DF5A-4487-996C-6C61E04C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123</TotalTime>
  <Pages>6</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iordache ioan</cp:lastModifiedBy>
  <cp:revision>6</cp:revision>
  <cp:lastPrinted>2015-12-01T10:27:00Z</cp:lastPrinted>
  <dcterms:created xsi:type="dcterms:W3CDTF">2022-02-16T06:33:00Z</dcterms:created>
  <dcterms:modified xsi:type="dcterms:W3CDTF">2022-02-16T08:56:00Z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