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A78" w:rsidRPr="00D74A78" w:rsidRDefault="00D74A78" w:rsidP="00D74A78">
      <w:pPr>
        <w:pStyle w:val="a0"/>
        <w:rPr>
          <w:rFonts w:asciiTheme="minorHAnsi" w:hAnsiTheme="minorHAnsi"/>
        </w:rPr>
      </w:pPr>
      <w:bookmarkStart w:id="0" w:name="_Hlk69130178"/>
      <w:r w:rsidRPr="00D74A78">
        <w:rPr>
          <w:rFonts w:ascii="Times New Roman Bold" w:hAnsi="Times New Roman Bold" w:cs="Times New Roman"/>
          <w:i w:val="0"/>
          <w:caps/>
          <w:szCs w:val="20"/>
        </w:rPr>
        <w:t>COMPARATIVE ANALYSIS OF CALCULATED</w:t>
      </w:r>
      <w:r w:rsidRPr="00D74A78">
        <w:rPr>
          <w:rFonts w:asciiTheme="minorHAnsi" w:hAnsiTheme="minorHAnsi" w:cs="Times New Roman"/>
          <w:i w:val="0"/>
          <w:caps/>
          <w:szCs w:val="20"/>
        </w:rPr>
        <w:br/>
      </w:r>
      <w:r w:rsidRPr="00D74A78">
        <w:rPr>
          <w:rFonts w:ascii="Times New Roman Bold" w:hAnsi="Times New Roman Bold" w:cs="Times New Roman"/>
          <w:i w:val="0"/>
          <w:caps/>
          <w:szCs w:val="20"/>
        </w:rPr>
        <w:t xml:space="preserve"> AND EXPERIMENTAL DISCREPANCIES OF </w:t>
      </w:r>
      <w:r w:rsidRPr="00D74A78">
        <w:rPr>
          <w:rFonts w:asciiTheme="minorHAnsi" w:hAnsiTheme="minorHAnsi" w:cs="Times New Roman"/>
          <w:i w:val="0"/>
          <w:caps/>
          <w:szCs w:val="20"/>
        </w:rPr>
        <w:br/>
      </w:r>
      <w:r w:rsidRPr="00D74A78">
        <w:rPr>
          <w:rFonts w:ascii="Times New Roman Bold" w:hAnsi="Times New Roman Bold" w:cs="Times New Roman"/>
          <w:i w:val="0"/>
          <w:caps/>
          <w:szCs w:val="20"/>
        </w:rPr>
        <w:t>NEUTRON-PHYSICAL CHARACTERISTICS OF BN-</w:t>
      </w:r>
      <w:r w:rsidRPr="00D74A78">
        <w:rPr>
          <w:rFonts w:asciiTheme="minorHAnsi" w:hAnsiTheme="minorHAnsi" w:cs="Times New Roman"/>
          <w:i w:val="0"/>
          <w:caps/>
          <w:szCs w:val="20"/>
        </w:rPr>
        <w:t>800</w:t>
      </w:r>
    </w:p>
    <w:p w:rsidR="00802381" w:rsidRDefault="00802381" w:rsidP="00537496">
      <w:pPr>
        <w:pStyle w:val="Authornameandaffiliation"/>
      </w:pPr>
    </w:p>
    <w:p w:rsidR="00FF386F" w:rsidRDefault="00FF386F" w:rsidP="00537496">
      <w:pPr>
        <w:pStyle w:val="Authornameandaffiliation"/>
      </w:pPr>
    </w:p>
    <w:p w:rsidR="00003206" w:rsidRPr="001E78CF" w:rsidRDefault="00D74A78" w:rsidP="00003206">
      <w:pPr>
        <w:pStyle w:val="Authornameandaffiliation"/>
        <w:rPr>
          <w:vertAlign w:val="superscript"/>
        </w:rPr>
      </w:pPr>
      <w:proofErr w:type="gramStart"/>
      <w:r w:rsidRPr="00D74A78">
        <w:t>M.Y.</w:t>
      </w:r>
      <w:proofErr w:type="gramEnd"/>
      <w:r w:rsidRPr="00003206">
        <w:rPr>
          <w:vertAlign w:val="superscript"/>
        </w:rPr>
        <w:t xml:space="preserve"> </w:t>
      </w:r>
      <w:r w:rsidRPr="00D74A78">
        <w:rPr>
          <w:vertAlign w:val="superscript"/>
        </w:rPr>
        <w:t xml:space="preserve"> </w:t>
      </w:r>
      <w:r w:rsidRPr="00D74A78">
        <w:t>Semenov</w:t>
      </w:r>
      <w:r w:rsidR="00003206" w:rsidRPr="00003206">
        <w:rPr>
          <w:vertAlign w:val="superscript"/>
        </w:rPr>
        <w:t>1</w:t>
      </w:r>
      <w:r w:rsidR="00003206">
        <w:t xml:space="preserve">, </w:t>
      </w:r>
      <w:r w:rsidRPr="00D74A78">
        <w:t>A.A. Peregudov</w:t>
      </w:r>
      <w:r w:rsidRPr="00003206">
        <w:rPr>
          <w:vertAlign w:val="superscript"/>
        </w:rPr>
        <w:t>1</w:t>
      </w:r>
      <w:r w:rsidRPr="00D74A78">
        <w:t>, V.A. Mishin</w:t>
      </w:r>
      <w:r w:rsidRPr="00003206">
        <w:rPr>
          <w:vertAlign w:val="superscript"/>
        </w:rPr>
        <w:t>1</w:t>
      </w:r>
      <w:r w:rsidRPr="00D74A78">
        <w:t>, Y.V. Dyachenko</w:t>
      </w:r>
      <w:r w:rsidRPr="00003206">
        <w:rPr>
          <w:vertAlign w:val="superscript"/>
        </w:rPr>
        <w:t>1</w:t>
      </w:r>
      <w:r w:rsidRPr="00D74A78">
        <w:t xml:space="preserve">, S.B. </w:t>
      </w:r>
      <w:proofErr w:type="spellStart"/>
      <w:r w:rsidRPr="00D74A78">
        <w:t>Belov</w:t>
      </w:r>
      <w:proofErr w:type="spellEnd"/>
      <w:r w:rsidRPr="00D74A78">
        <w:t xml:space="preserve"> </w:t>
      </w:r>
      <w:r w:rsidRPr="00D74A78">
        <w:rPr>
          <w:vertAlign w:val="superscript"/>
        </w:rPr>
        <w:t>2</w:t>
      </w:r>
      <w:proofErr w:type="gramStart"/>
      <w:r>
        <w:t xml:space="preserve">, </w:t>
      </w:r>
      <w:r w:rsidRPr="00D74A78">
        <w:t xml:space="preserve"> A.E.Kuznetsov</w:t>
      </w:r>
      <w:r w:rsidRPr="00D74A78">
        <w:rPr>
          <w:vertAlign w:val="superscript"/>
        </w:rPr>
        <w:t>2</w:t>
      </w:r>
      <w:proofErr w:type="gramEnd"/>
      <w:r w:rsidRPr="00D74A78">
        <w:t>, V.A. Zheltyshev</w:t>
      </w:r>
      <w:r w:rsidR="001E78CF" w:rsidRPr="001E78CF">
        <w:rPr>
          <w:vertAlign w:val="superscript"/>
        </w:rPr>
        <w:t>3</w:t>
      </w:r>
      <w:r>
        <w:t>,</w:t>
      </w:r>
      <w:r w:rsidRPr="00D74A78">
        <w:t xml:space="preserve"> E.P. Lyapin</w:t>
      </w:r>
      <w:r w:rsidR="001E78CF" w:rsidRPr="001E78CF">
        <w:rPr>
          <w:vertAlign w:val="superscript"/>
        </w:rPr>
        <w:t>3</w:t>
      </w:r>
      <w:r>
        <w:t xml:space="preserve">, </w:t>
      </w:r>
      <w:r w:rsidRPr="00D74A78">
        <w:t xml:space="preserve">G.Y. </w:t>
      </w:r>
      <w:r w:rsidR="001E78CF">
        <w:t>Dubovoy</w:t>
      </w:r>
      <w:r w:rsidR="001E78CF" w:rsidRPr="001E78CF">
        <w:rPr>
          <w:vertAlign w:val="superscript"/>
        </w:rPr>
        <w:t>3</w:t>
      </w:r>
    </w:p>
    <w:p w:rsidR="00003206" w:rsidRDefault="00003206" w:rsidP="00537496">
      <w:pPr>
        <w:pStyle w:val="Authornameandaffiliation"/>
      </w:pPr>
    </w:p>
    <w:p w:rsidR="001E78CF" w:rsidRPr="001E78CF" w:rsidRDefault="001E78CF" w:rsidP="001E78CF">
      <w:pPr>
        <w:pStyle w:val="Authornameandaffiliation"/>
      </w:pPr>
      <w:r w:rsidRPr="001E78CF">
        <w:rPr>
          <w:vertAlign w:val="superscript"/>
        </w:rPr>
        <w:t>1</w:t>
      </w:r>
      <w:r w:rsidRPr="001E78CF">
        <w:t xml:space="preserve">JSC </w:t>
      </w:r>
      <w:r w:rsidRPr="001E78CF">
        <w:rPr>
          <w:i/>
          <w:iCs/>
          <w:lang w:val="en-GB"/>
        </w:rPr>
        <w:t>«</w:t>
      </w:r>
      <w:r>
        <w:rPr>
          <w:i/>
          <w:iCs/>
          <w:lang w:val="en-GB"/>
        </w:rPr>
        <w:t>SSC RF</w:t>
      </w:r>
      <w:r w:rsidRPr="001E78CF">
        <w:rPr>
          <w:i/>
          <w:iCs/>
          <w:lang w:val="en-GB"/>
        </w:rPr>
        <w:t xml:space="preserve"> – The Institute of Physics and Power Energy», </w:t>
      </w:r>
      <w:proofErr w:type="spellStart"/>
      <w:r w:rsidRPr="001E78CF">
        <w:rPr>
          <w:i/>
          <w:iCs/>
          <w:lang w:val="en-GB"/>
        </w:rPr>
        <w:t>Obninsk</w:t>
      </w:r>
      <w:proofErr w:type="spellEnd"/>
      <w:r w:rsidRPr="001E78CF">
        <w:rPr>
          <w:i/>
          <w:iCs/>
          <w:lang w:val="en-GB"/>
        </w:rPr>
        <w:t>, Russia</w:t>
      </w:r>
    </w:p>
    <w:p w:rsidR="001E78CF" w:rsidRPr="001E78CF" w:rsidRDefault="001E78CF" w:rsidP="001E78CF">
      <w:pPr>
        <w:pStyle w:val="Authornameandaffiliation"/>
      </w:pPr>
      <w:r w:rsidRPr="001E78CF">
        <w:rPr>
          <w:vertAlign w:val="superscript"/>
        </w:rPr>
        <w:t>2</w:t>
      </w:r>
      <w:r w:rsidRPr="001E78CF">
        <w:t xml:space="preserve">JSC </w:t>
      </w:r>
      <w:r w:rsidRPr="001E78CF">
        <w:rPr>
          <w:i/>
          <w:iCs/>
          <w:lang w:val="en-GB"/>
        </w:rPr>
        <w:t>«</w:t>
      </w:r>
      <w:proofErr w:type="spellStart"/>
      <w:r w:rsidRPr="001E78CF">
        <w:rPr>
          <w:i/>
          <w:iCs/>
          <w:lang w:val="en-GB"/>
        </w:rPr>
        <w:t>Afrikantov</w:t>
      </w:r>
      <w:proofErr w:type="spellEnd"/>
      <w:r w:rsidRPr="001E78CF">
        <w:rPr>
          <w:i/>
          <w:iCs/>
          <w:lang w:val="en-GB"/>
        </w:rPr>
        <w:t xml:space="preserve"> OKB Mechanical Engineering», Nizhny Novgorod, Russia</w:t>
      </w:r>
      <w:r w:rsidRPr="001E78CF">
        <w:t xml:space="preserve"> </w:t>
      </w:r>
    </w:p>
    <w:p w:rsidR="00003206" w:rsidRPr="001E78CF" w:rsidRDefault="001E78CF" w:rsidP="001E78CF">
      <w:pPr>
        <w:pStyle w:val="Authornameandaffiliation"/>
        <w:rPr>
          <w:i/>
        </w:rPr>
      </w:pPr>
      <w:r w:rsidRPr="001E78CF">
        <w:rPr>
          <w:i/>
          <w:vertAlign w:val="superscript"/>
        </w:rPr>
        <w:t>3</w:t>
      </w:r>
      <w:r w:rsidRPr="001E78CF">
        <w:rPr>
          <w:i/>
        </w:rPr>
        <w:t xml:space="preserve">JSC «Concern </w:t>
      </w:r>
      <w:proofErr w:type="spellStart"/>
      <w:r w:rsidRPr="001E78CF">
        <w:rPr>
          <w:i/>
        </w:rPr>
        <w:t>Rosenergoatom</w:t>
      </w:r>
      <w:proofErr w:type="spellEnd"/>
      <w:r w:rsidRPr="001E78CF">
        <w:rPr>
          <w:i/>
        </w:rPr>
        <w:t xml:space="preserve">» branch, </w:t>
      </w:r>
      <w:proofErr w:type="spellStart"/>
      <w:r w:rsidRPr="001E78CF">
        <w:rPr>
          <w:i/>
        </w:rPr>
        <w:t>Beloyarsk</w:t>
      </w:r>
      <w:proofErr w:type="spellEnd"/>
      <w:r w:rsidRPr="001E78CF">
        <w:rPr>
          <w:i/>
        </w:rPr>
        <w:t xml:space="preserve"> </w:t>
      </w:r>
      <w:r w:rsidRPr="001E78CF">
        <w:rPr>
          <w:i/>
        </w:rPr>
        <w:t xml:space="preserve">Nuclear Power plant, </w:t>
      </w:r>
      <w:proofErr w:type="spellStart"/>
      <w:r w:rsidRPr="001E78CF">
        <w:rPr>
          <w:i/>
        </w:rPr>
        <w:t>Zarechny</w:t>
      </w:r>
      <w:proofErr w:type="spellEnd"/>
      <w:r w:rsidRPr="001E78CF">
        <w:rPr>
          <w:i/>
        </w:rPr>
        <w:t>, Russia</w:t>
      </w:r>
    </w:p>
    <w:p w:rsidR="001E78CF" w:rsidRPr="001E78CF" w:rsidRDefault="001E78CF" w:rsidP="001E78CF">
      <w:pPr>
        <w:pStyle w:val="Authornameandaffiliation"/>
      </w:pPr>
    </w:p>
    <w:p w:rsidR="00003206" w:rsidRDefault="00003206" w:rsidP="00003206">
      <w:pPr>
        <w:pStyle w:val="Authornameandaffiliation"/>
      </w:pPr>
      <w:r>
        <w:t>Email</w:t>
      </w:r>
      <w:r w:rsidRPr="00003206">
        <w:t xml:space="preserve"> contact of </w:t>
      </w:r>
      <w:r>
        <w:t>corresponding</w:t>
      </w:r>
      <w:r w:rsidRPr="00003206">
        <w:t xml:space="preserve"> author</w:t>
      </w:r>
      <w:r>
        <w:t xml:space="preserve">: </w:t>
      </w:r>
      <w:r w:rsidR="001E78CF">
        <w:t>vamishin</w:t>
      </w:r>
      <w:r>
        <w:t>@</w:t>
      </w:r>
      <w:r w:rsidR="001E78CF">
        <w:t>ippe.ru</w:t>
      </w:r>
    </w:p>
    <w:p w:rsidR="00003206" w:rsidRDefault="00003206" w:rsidP="00537496">
      <w:pPr>
        <w:pStyle w:val="Authornameandaffiliation"/>
      </w:pPr>
    </w:p>
    <w:p w:rsidR="00003206" w:rsidRDefault="00003206" w:rsidP="00537496">
      <w:pPr>
        <w:pStyle w:val="Authornameandaffiliation"/>
      </w:pPr>
    </w:p>
    <w:p w:rsidR="00647F33" w:rsidRPr="00647F33" w:rsidRDefault="00647F33" w:rsidP="00537496">
      <w:pPr>
        <w:pStyle w:val="Authornameandaffiliation"/>
        <w:rPr>
          <w:b/>
        </w:rPr>
      </w:pPr>
      <w:r w:rsidRPr="00647F33">
        <w:rPr>
          <w:b/>
        </w:rPr>
        <w:t>Abstract</w:t>
      </w:r>
    </w:p>
    <w:bookmarkEnd w:id="0"/>
    <w:p w:rsidR="00647F33" w:rsidRDefault="00647F33" w:rsidP="00537496">
      <w:pPr>
        <w:pStyle w:val="Authornameandaffiliation"/>
      </w:pPr>
    </w:p>
    <w:p w:rsidR="001E78CF" w:rsidRDefault="001E78CF" w:rsidP="001E78CF">
      <w:pPr>
        <w:pStyle w:val="Abstracttext"/>
      </w:pPr>
      <w:r>
        <w:t>From 2016 to the present day, the BN-800 reactor with a hybrid core is being commercially operated in Russia. During this time, a large amount of experimental data on basic neutron-physical characteristics of the core has been collected. The loading of the hybrid core was permanently changed during the initial time period: different ratio of fuel assemblies with uranium fuel and MOX fuel and also the number of fuel assemblies of medium- and highly-enriched zones. In 2021 the transition to a full core loading with MOX fuel began, which is planned to be completed in 2022. In order to confirm the reasonability of the calculated prediction of neutron-physical characteristics of the BN-800 core, work has been performed to analyze the methods of computational support for the operation of the reactor and to compare the calculated values of the neutron-physical characteristics with the available experimental data.</w:t>
      </w:r>
    </w:p>
    <w:p w:rsidR="001E78CF" w:rsidRDefault="001E78CF" w:rsidP="001E78CF">
      <w:pPr>
        <w:pStyle w:val="Abstracttext"/>
      </w:pPr>
      <w:r>
        <w:t xml:space="preserve">The calculations were performed using the MMKC code, which implements the Monte-Carlo method, as well as JARFR and GEFEST800 in the diffusion approximation. The comparison of the calculation results for all codes with measurement results allowed </w:t>
      </w:r>
      <w:proofErr w:type="gramStart"/>
      <w:r>
        <w:t>to estimate</w:t>
      </w:r>
      <w:proofErr w:type="gramEnd"/>
      <w:r>
        <w:t xml:space="preserve"> the methodological error in the calculation of the basic neutron-physical characteristics. </w:t>
      </w:r>
    </w:p>
    <w:p w:rsidR="001E78CF" w:rsidRDefault="001E78CF" w:rsidP="001E78CF">
      <w:pPr>
        <w:pStyle w:val="Abstracttext"/>
      </w:pPr>
      <w:r>
        <w:t>Calculations were performed for the first five micro-companies of BN-800.</w:t>
      </w:r>
    </w:p>
    <w:p w:rsidR="001E78CF" w:rsidRDefault="001E78CF" w:rsidP="001E78CF">
      <w:pPr>
        <w:pStyle w:val="Abstracttext"/>
      </w:pPr>
      <w:r>
        <w:t>The analysis of the following neutron-physical characteristics was performed:</w:t>
      </w:r>
    </w:p>
    <w:p w:rsidR="001E78CF" w:rsidRDefault="001E78CF" w:rsidP="00EB3B69">
      <w:pPr>
        <w:pStyle w:val="ListEmdash"/>
      </w:pPr>
      <w:r>
        <w:t>t</w:t>
      </w:r>
      <w:r>
        <w:t>he value of the reactivity margin at the beginning and the end of the campaign;</w:t>
      </w:r>
    </w:p>
    <w:p w:rsidR="001E78CF" w:rsidRDefault="001E78CF" w:rsidP="00EB3B69">
      <w:pPr>
        <w:pStyle w:val="ListEmdash"/>
      </w:pPr>
      <w:r>
        <w:t>v</w:t>
      </w:r>
      <w:r>
        <w:t xml:space="preserve">alues of </w:t>
      </w:r>
      <w:proofErr w:type="spellStart"/>
      <w:r>
        <w:t>subcriticality</w:t>
      </w:r>
      <w:proofErr w:type="spellEnd"/>
      <w:r>
        <w:t xml:space="preserve"> levels during reload and after SR withdrawal;</w:t>
      </w:r>
    </w:p>
    <w:p w:rsidR="001E78CF" w:rsidRDefault="001E78CF" w:rsidP="00EB3B69">
      <w:pPr>
        <w:pStyle w:val="ListEmdash"/>
      </w:pPr>
      <w:r>
        <w:t>e</w:t>
      </w:r>
      <w:r>
        <w:t xml:space="preserve">fficiency of single CPS rods and CPS groups; </w:t>
      </w:r>
    </w:p>
    <w:p w:rsidR="001E78CF" w:rsidRPr="00BD605C" w:rsidRDefault="001E78CF" w:rsidP="00EB3B69">
      <w:pPr>
        <w:pStyle w:val="ListEmdash"/>
      </w:pPr>
      <w:proofErr w:type="gramStart"/>
      <w:r>
        <w:t>t</w:t>
      </w:r>
      <w:r>
        <w:t>emperature-power</w:t>
      </w:r>
      <w:proofErr w:type="gramEnd"/>
      <w:r>
        <w:t xml:space="preserve"> effect of reactivity.</w:t>
      </w:r>
    </w:p>
    <w:p w:rsidR="00647F33" w:rsidRDefault="00F523CA" w:rsidP="00537496">
      <w:pPr>
        <w:pStyle w:val="2"/>
        <w:numPr>
          <w:ilvl w:val="1"/>
          <w:numId w:val="10"/>
        </w:numPr>
      </w:pPr>
      <w:r>
        <w:t>INTRODUCTION</w:t>
      </w:r>
    </w:p>
    <w:p w:rsidR="001E78CF" w:rsidRDefault="001E78CF" w:rsidP="001E78CF">
      <w:pPr>
        <w:pStyle w:val="a1"/>
      </w:pPr>
      <w:r>
        <w:t>During the operation of the BN-800 reactor, a large amount of experimental data on basic neutron-physical characteristics of the core has been collected. At the initial stage of operation of the reactor (before the introduction of industrial production of MOX fuel) hybrid core was used. It was formed mainly from fuel assemblies with uranium fuel and partly from fuel assemblies with MOX fuel. The loading of the hybrid core was not permanent: the ratio of fuel assemblies with uranium fuel and MOX fuel, as well as the number of fuel assembles of MEZ FAs and HEZ FAs, changed. In addition, due to the use of a special order of fuel assembly reloads in the initial period of operation of the reactor in order to form a uniformly partial reload scheme, the average fuel burn-up in the core (the average isotopic composition) varied from micro-company to micro-company.</w:t>
      </w:r>
    </w:p>
    <w:p w:rsidR="001E78CF" w:rsidRDefault="001E78CF" w:rsidP="001E78CF">
      <w:pPr>
        <w:pStyle w:val="a1"/>
      </w:pPr>
      <w:r>
        <w:t xml:space="preserve">Within the framework of settlement maintenance of the reactor operation, neutron physics calculations of the core are carried out and their results are compared with experimental data. The comparison of the calculation results based on the codes used with the data obtained from the results of measurements during the initial period of operation allowed us to clarify the methodological error in calculating the main neutron-physical characteristics and, suitably, to reduce the uncertainty of their prediction for the upcoming micro-companies. The calculations were performed using the MMKC code [1], which is part of the calculation modules of the </w:t>
      </w:r>
      <w:r>
        <w:lastRenderedPageBreak/>
        <w:t xml:space="preserve">code </w:t>
      </w:r>
      <w:proofErr w:type="spellStart"/>
      <w:r>
        <w:t>BNcode</w:t>
      </w:r>
      <w:proofErr w:type="spellEnd"/>
      <w:r>
        <w:t xml:space="preserve"> [2], which implements the Monte Carlo method, as well as JARFR [3] and GEFEST800 [4] in the diffusion approximation. </w:t>
      </w:r>
    </w:p>
    <w:p w:rsidR="001E78CF" w:rsidRDefault="001E78CF" w:rsidP="001E78CF">
      <w:pPr>
        <w:pStyle w:val="a1"/>
      </w:pPr>
      <w:r>
        <w:t>In this report presents the results of the analysis of the following neutron-physical characteristics:</w:t>
      </w:r>
    </w:p>
    <w:p w:rsidR="001E78CF" w:rsidRDefault="001E78CF" w:rsidP="00EB3B69">
      <w:pPr>
        <w:pStyle w:val="ListEmdash"/>
      </w:pPr>
      <w:r>
        <w:t>reactor reactivity margin;</w:t>
      </w:r>
    </w:p>
    <w:p w:rsidR="001E78CF" w:rsidRDefault="001E78CF" w:rsidP="00EB3B69">
      <w:pPr>
        <w:pStyle w:val="ListEmdash"/>
      </w:pPr>
      <w:r>
        <w:t xml:space="preserve">values of the reactor </w:t>
      </w:r>
      <w:proofErr w:type="spellStart"/>
      <w:r>
        <w:t>subcriticality</w:t>
      </w:r>
      <w:proofErr w:type="spellEnd"/>
      <w:r>
        <w:t xml:space="preserve"> levels during reload and after the SR withdrawal;</w:t>
      </w:r>
    </w:p>
    <w:p w:rsidR="001E78CF" w:rsidRDefault="001E78CF" w:rsidP="00EB3B69">
      <w:pPr>
        <w:pStyle w:val="ListEmdash"/>
      </w:pPr>
      <w:r>
        <w:t>efficiency of the CPS rods;</w:t>
      </w:r>
    </w:p>
    <w:p w:rsidR="001E78CF" w:rsidRDefault="001E78CF" w:rsidP="00EB3B69">
      <w:pPr>
        <w:pStyle w:val="ListEmdash"/>
      </w:pPr>
      <w:proofErr w:type="gramStart"/>
      <w:r>
        <w:t>temperature-power</w:t>
      </w:r>
      <w:proofErr w:type="gramEnd"/>
      <w:r>
        <w:t xml:space="preserve"> effect of reactivity.</w:t>
      </w:r>
    </w:p>
    <w:p w:rsidR="001E78CF" w:rsidRDefault="001E78CF" w:rsidP="001E78CF">
      <w:pPr>
        <w:pStyle w:val="a1"/>
      </w:pPr>
      <w:r>
        <w:t>The results of the analysis for the first five micro-companies of the BN-800 reactor with hybrid core are presented.</w:t>
      </w:r>
    </w:p>
    <w:p w:rsidR="001E78CF" w:rsidRDefault="001E78CF" w:rsidP="001E78CF">
      <w:pPr>
        <w:pStyle w:val="a1"/>
      </w:pPr>
    </w:p>
    <w:p w:rsidR="000F3A11" w:rsidRDefault="000F3A11" w:rsidP="000F3A11">
      <w:pPr>
        <w:pStyle w:val="2"/>
        <w:numPr>
          <w:ilvl w:val="1"/>
          <w:numId w:val="10"/>
        </w:numPr>
      </w:pPr>
      <w:r>
        <w:t>DESCRIPTION OF THE BN-800 CORE</w:t>
      </w:r>
    </w:p>
    <w:p w:rsidR="001E78CF" w:rsidRPr="001E78CF" w:rsidRDefault="001E78CF" w:rsidP="001E78CF">
      <w:pPr>
        <w:pStyle w:val="a1"/>
        <w:rPr>
          <w:lang w:val="en-US"/>
        </w:rPr>
      </w:pPr>
      <w:r w:rsidRPr="001E78CF">
        <w:rPr>
          <w:lang w:val="en-US"/>
        </w:rPr>
        <w:t>The BN-800 core consists of: fuel assemblies, radial blanket assemblies, rods and liners of CPS rods, steel shielding assemblies (SSAs), boron shielding assemblies (BSAs), waste fuel assemblies of IPS FAs, liners of IPS FAs, which is located in the reactor along a triangular grid with a step of 100 mm. Figure 1 shows a cartogram of the starting configuration of the core [5].</w:t>
      </w:r>
    </w:p>
    <w:p w:rsidR="001E78CF" w:rsidRPr="001E78CF" w:rsidRDefault="001E78CF" w:rsidP="001E78CF">
      <w:pPr>
        <w:pStyle w:val="a1"/>
        <w:rPr>
          <w:lang w:val="en-US"/>
        </w:rPr>
      </w:pPr>
      <w:r w:rsidRPr="001E78CF">
        <w:rPr>
          <w:lang w:val="en-US"/>
        </w:rPr>
        <w:t> </w:t>
      </w:r>
    </w:p>
    <w:p w:rsidR="001E78CF" w:rsidRPr="001E78CF" w:rsidRDefault="006627D0" w:rsidP="006627D0">
      <w:pPr>
        <w:pStyle w:val="a1"/>
        <w:ind w:firstLine="0"/>
        <w:jc w:val="center"/>
        <w:rPr>
          <w:lang w:val="en-US"/>
        </w:rPr>
      </w:pPr>
      <w:r w:rsidRPr="006627D0">
        <w:rPr>
          <w:lang w:val="en-US"/>
        </w:rPr>
        <w:drawing>
          <wp:inline distT="0" distB="0" distL="0" distR="0">
            <wp:extent cx="5104933" cy="2855599"/>
            <wp:effectExtent l="19050" t="0" r="467"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9494" t="35032" r="58425" b="33066"/>
                    <a:stretch/>
                  </pic:blipFill>
                  <pic:spPr bwMode="auto">
                    <a:xfrm>
                      <a:off x="0" y="0"/>
                      <a:ext cx="5104293" cy="28552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E78CF" w:rsidRPr="001E78CF" w:rsidRDefault="006627D0" w:rsidP="006627D0">
      <w:pPr>
        <w:pStyle w:val="Figurecaption"/>
        <w:rPr>
          <w:lang w:val="en-US"/>
        </w:rPr>
      </w:pPr>
      <w:proofErr w:type="gramStart"/>
      <w:r>
        <w:rPr>
          <w:lang w:val="en-US"/>
        </w:rPr>
        <w:t>Fig.</w:t>
      </w:r>
      <w:r w:rsidR="001E78CF" w:rsidRPr="001E78CF">
        <w:rPr>
          <w:lang w:val="en-US"/>
        </w:rPr>
        <w:t xml:space="preserve"> 1.</w:t>
      </w:r>
      <w:proofErr w:type="gramEnd"/>
      <w:r w:rsidR="001E78CF" w:rsidRPr="001E78CF">
        <w:rPr>
          <w:lang w:val="en-US"/>
        </w:rPr>
        <w:t xml:space="preserve"> </w:t>
      </w:r>
      <w:proofErr w:type="gramStart"/>
      <w:r w:rsidR="001E78CF" w:rsidRPr="001E78CF">
        <w:rPr>
          <w:lang w:val="en-US"/>
        </w:rPr>
        <w:t>Cartogram of the starting configuration of the BN-800 core.</w:t>
      </w:r>
      <w:proofErr w:type="gramEnd"/>
    </w:p>
    <w:p w:rsidR="001E78CF" w:rsidRPr="001E78CF" w:rsidRDefault="001E78CF" w:rsidP="001E78CF">
      <w:pPr>
        <w:pStyle w:val="a1"/>
        <w:rPr>
          <w:lang w:val="en-US"/>
        </w:rPr>
      </w:pPr>
    </w:p>
    <w:p w:rsidR="001E78CF" w:rsidRDefault="001E78CF" w:rsidP="001E78CF">
      <w:pPr>
        <w:pStyle w:val="a1"/>
        <w:rPr>
          <w:lang w:val="en-US"/>
        </w:rPr>
      </w:pPr>
      <w:r w:rsidRPr="001E78CF">
        <w:rPr>
          <w:lang w:val="en-US"/>
        </w:rPr>
        <w:t>During the operation of the hybrid core, its composition changed. After the first micro-company, the permanent reactivity compensators (PRC) were replaced by the LEZ fuel assemblies. Depending on the volume of supplies of fuel assemblies with MOX fuel, their number in the core changed. The change in the share of fuel assemblies with MOX fuel in the core from 1 to 5 MC is presented in Table 1.</w:t>
      </w:r>
    </w:p>
    <w:p w:rsidR="006627D0" w:rsidRPr="001E78CF" w:rsidRDefault="006627D0" w:rsidP="001E78CF">
      <w:pPr>
        <w:pStyle w:val="a1"/>
        <w:rPr>
          <w:lang w:val="en-US"/>
        </w:rPr>
      </w:pPr>
    </w:p>
    <w:p w:rsidR="001E78CF" w:rsidRPr="006627D0" w:rsidRDefault="001E78CF" w:rsidP="006627D0">
      <w:pPr>
        <w:pStyle w:val="a1"/>
        <w:ind w:firstLine="0"/>
        <w:rPr>
          <w:caps/>
          <w:lang w:val="en-US"/>
        </w:rPr>
      </w:pPr>
      <w:r w:rsidRPr="006627D0">
        <w:rPr>
          <w:caps/>
          <w:lang w:val="en-US"/>
        </w:rPr>
        <w:t>Table 1-The fraction of fuel assemblies with MOX fuel in the core of the BN-800 reactor from 1</w:t>
      </w:r>
      <w:r w:rsidR="006627D0">
        <w:rPr>
          <w:caps/>
          <w:lang w:val="en-US"/>
        </w:rPr>
        <w:t xml:space="preserve"> mc</w:t>
      </w:r>
      <w:r w:rsidRPr="006627D0">
        <w:rPr>
          <w:caps/>
          <w:lang w:val="en-US"/>
        </w:rPr>
        <w:t xml:space="preserve"> to 5 MC</w:t>
      </w:r>
    </w:p>
    <w:p w:rsidR="001E78CF" w:rsidRDefault="001E78CF" w:rsidP="001E78CF">
      <w:pPr>
        <w:pStyle w:val="a1"/>
        <w:rPr>
          <w:lang w:val="en-US"/>
        </w:rPr>
      </w:pPr>
    </w:p>
    <w:tbl>
      <w:tblPr>
        <w:tblStyle w:val="ae"/>
        <w:tblW w:w="0" w:type="auto"/>
        <w:jc w:val="center"/>
        <w:tblBorders>
          <w:left w:val="none" w:sz="0" w:space="0" w:color="auto"/>
          <w:right w:val="none" w:sz="0" w:space="0" w:color="auto"/>
          <w:insideV w:val="none" w:sz="0" w:space="0" w:color="auto"/>
        </w:tblBorders>
        <w:tblLook w:val="04A0"/>
      </w:tblPr>
      <w:tblGrid>
        <w:gridCol w:w="4333"/>
        <w:gridCol w:w="4339"/>
      </w:tblGrid>
      <w:tr w:rsidR="006627D0" w:rsidRPr="006D532A" w:rsidTr="006627D0">
        <w:trPr>
          <w:trHeight w:val="282"/>
          <w:jc w:val="center"/>
        </w:trPr>
        <w:tc>
          <w:tcPr>
            <w:tcW w:w="4333" w:type="dxa"/>
            <w:tcBorders>
              <w:bottom w:val="single" w:sz="4" w:space="0" w:color="auto"/>
            </w:tcBorders>
            <w:vAlign w:val="center"/>
          </w:tcPr>
          <w:p w:rsidR="006627D0" w:rsidRPr="00C9191C" w:rsidRDefault="006627D0" w:rsidP="006627D0">
            <w:pPr>
              <w:pStyle w:val="Tabletext"/>
              <w:jc w:val="center"/>
              <w:rPr>
                <w:lang w:val="en-US"/>
              </w:rPr>
            </w:pPr>
            <w:r w:rsidRPr="00C9191C">
              <w:rPr>
                <w:lang w:val="en-US"/>
              </w:rPr>
              <w:t xml:space="preserve">The number of </w:t>
            </w:r>
            <w:r>
              <w:rPr>
                <w:lang w:val="en-US"/>
              </w:rPr>
              <w:t>micro-company</w:t>
            </w:r>
          </w:p>
        </w:tc>
        <w:tc>
          <w:tcPr>
            <w:tcW w:w="4339" w:type="dxa"/>
            <w:tcBorders>
              <w:bottom w:val="single" w:sz="4" w:space="0" w:color="auto"/>
            </w:tcBorders>
            <w:vAlign w:val="center"/>
          </w:tcPr>
          <w:p w:rsidR="006627D0" w:rsidRPr="00C9191C" w:rsidRDefault="006627D0" w:rsidP="006627D0">
            <w:pPr>
              <w:pStyle w:val="Tabletext"/>
              <w:jc w:val="center"/>
              <w:rPr>
                <w:lang w:val="en-US"/>
              </w:rPr>
            </w:pPr>
            <w:r w:rsidRPr="00C9191C">
              <w:rPr>
                <w:lang w:val="en-US"/>
              </w:rPr>
              <w:t>The fraction of fuel assemblies with MOX, %</w:t>
            </w:r>
          </w:p>
        </w:tc>
      </w:tr>
      <w:tr w:rsidR="006627D0" w:rsidRPr="00C9191C" w:rsidTr="006627D0">
        <w:trPr>
          <w:trHeight w:val="282"/>
          <w:jc w:val="center"/>
        </w:trPr>
        <w:tc>
          <w:tcPr>
            <w:tcW w:w="4333" w:type="dxa"/>
            <w:tcBorders>
              <w:bottom w:val="nil"/>
            </w:tcBorders>
            <w:vAlign w:val="center"/>
          </w:tcPr>
          <w:p w:rsidR="006627D0" w:rsidRPr="00C9191C" w:rsidRDefault="006627D0" w:rsidP="006627D0">
            <w:pPr>
              <w:pStyle w:val="Tabletext"/>
              <w:jc w:val="center"/>
              <w:rPr>
                <w:lang w:val="en-US"/>
              </w:rPr>
            </w:pPr>
            <w:r w:rsidRPr="00C9191C">
              <w:rPr>
                <w:lang w:val="en-US"/>
              </w:rPr>
              <w:t>1 MC</w:t>
            </w:r>
          </w:p>
        </w:tc>
        <w:tc>
          <w:tcPr>
            <w:tcW w:w="4339" w:type="dxa"/>
            <w:tcBorders>
              <w:bottom w:val="nil"/>
            </w:tcBorders>
            <w:vAlign w:val="center"/>
          </w:tcPr>
          <w:p w:rsidR="006627D0" w:rsidRPr="00C9191C" w:rsidRDefault="006627D0" w:rsidP="006627D0">
            <w:pPr>
              <w:pStyle w:val="Tabletext"/>
              <w:jc w:val="center"/>
              <w:rPr>
                <w:lang w:val="en-US"/>
              </w:rPr>
            </w:pPr>
            <w:r w:rsidRPr="00C9191C">
              <w:rPr>
                <w:lang w:val="en-US"/>
              </w:rPr>
              <w:t>16</w:t>
            </w:r>
          </w:p>
        </w:tc>
      </w:tr>
      <w:tr w:rsidR="006627D0" w:rsidRPr="00C9191C" w:rsidTr="006627D0">
        <w:trPr>
          <w:trHeight w:val="297"/>
          <w:jc w:val="center"/>
        </w:trPr>
        <w:tc>
          <w:tcPr>
            <w:tcW w:w="4333" w:type="dxa"/>
            <w:tcBorders>
              <w:top w:val="nil"/>
              <w:bottom w:val="nil"/>
            </w:tcBorders>
            <w:vAlign w:val="center"/>
          </w:tcPr>
          <w:p w:rsidR="006627D0" w:rsidRPr="00C9191C" w:rsidRDefault="006627D0" w:rsidP="006627D0">
            <w:pPr>
              <w:pStyle w:val="Tabletext"/>
              <w:jc w:val="center"/>
              <w:rPr>
                <w:lang w:val="en-US"/>
              </w:rPr>
            </w:pPr>
            <w:r w:rsidRPr="00C9191C">
              <w:rPr>
                <w:lang w:val="en-US"/>
              </w:rPr>
              <w:t>2 MC</w:t>
            </w:r>
          </w:p>
        </w:tc>
        <w:tc>
          <w:tcPr>
            <w:tcW w:w="4339" w:type="dxa"/>
            <w:tcBorders>
              <w:top w:val="nil"/>
              <w:bottom w:val="nil"/>
            </w:tcBorders>
            <w:vAlign w:val="center"/>
          </w:tcPr>
          <w:p w:rsidR="006627D0" w:rsidRPr="00C9191C" w:rsidRDefault="006627D0" w:rsidP="006627D0">
            <w:pPr>
              <w:pStyle w:val="Tabletext"/>
              <w:jc w:val="center"/>
              <w:rPr>
                <w:lang w:val="en-US"/>
              </w:rPr>
            </w:pPr>
            <w:r w:rsidRPr="00C9191C">
              <w:rPr>
                <w:lang w:val="en-US"/>
              </w:rPr>
              <w:t>18</w:t>
            </w:r>
          </w:p>
        </w:tc>
      </w:tr>
      <w:tr w:rsidR="006627D0" w:rsidRPr="00C9191C" w:rsidTr="006627D0">
        <w:trPr>
          <w:trHeight w:val="282"/>
          <w:jc w:val="center"/>
        </w:trPr>
        <w:tc>
          <w:tcPr>
            <w:tcW w:w="4333" w:type="dxa"/>
            <w:tcBorders>
              <w:top w:val="nil"/>
              <w:bottom w:val="nil"/>
            </w:tcBorders>
            <w:vAlign w:val="center"/>
          </w:tcPr>
          <w:p w:rsidR="006627D0" w:rsidRPr="00C9191C" w:rsidRDefault="006627D0" w:rsidP="006627D0">
            <w:pPr>
              <w:pStyle w:val="Tabletext"/>
              <w:jc w:val="center"/>
              <w:rPr>
                <w:lang w:val="en-US"/>
              </w:rPr>
            </w:pPr>
            <w:r w:rsidRPr="00C9191C">
              <w:rPr>
                <w:lang w:val="en-US"/>
              </w:rPr>
              <w:t>3 MC</w:t>
            </w:r>
          </w:p>
        </w:tc>
        <w:tc>
          <w:tcPr>
            <w:tcW w:w="4339" w:type="dxa"/>
            <w:tcBorders>
              <w:top w:val="nil"/>
              <w:bottom w:val="nil"/>
            </w:tcBorders>
            <w:vAlign w:val="center"/>
          </w:tcPr>
          <w:p w:rsidR="006627D0" w:rsidRPr="00C9191C" w:rsidRDefault="006627D0" w:rsidP="006627D0">
            <w:pPr>
              <w:pStyle w:val="Tabletext"/>
              <w:jc w:val="center"/>
              <w:rPr>
                <w:lang w:val="en-US"/>
              </w:rPr>
            </w:pPr>
            <w:r w:rsidRPr="00C9191C">
              <w:rPr>
                <w:lang w:val="en-US"/>
              </w:rPr>
              <w:t>18</w:t>
            </w:r>
          </w:p>
        </w:tc>
      </w:tr>
      <w:tr w:rsidR="006627D0" w:rsidRPr="00C9191C" w:rsidTr="006627D0">
        <w:trPr>
          <w:trHeight w:val="282"/>
          <w:jc w:val="center"/>
        </w:trPr>
        <w:tc>
          <w:tcPr>
            <w:tcW w:w="4333" w:type="dxa"/>
            <w:tcBorders>
              <w:top w:val="nil"/>
              <w:bottom w:val="nil"/>
            </w:tcBorders>
            <w:vAlign w:val="center"/>
          </w:tcPr>
          <w:p w:rsidR="006627D0" w:rsidRPr="00C9191C" w:rsidRDefault="006627D0" w:rsidP="006627D0">
            <w:pPr>
              <w:pStyle w:val="Tabletext"/>
              <w:jc w:val="center"/>
              <w:rPr>
                <w:lang w:val="en-US"/>
              </w:rPr>
            </w:pPr>
            <w:r w:rsidRPr="00C9191C">
              <w:rPr>
                <w:lang w:val="en-US"/>
              </w:rPr>
              <w:t>4 MC</w:t>
            </w:r>
          </w:p>
        </w:tc>
        <w:tc>
          <w:tcPr>
            <w:tcW w:w="4339" w:type="dxa"/>
            <w:tcBorders>
              <w:top w:val="nil"/>
              <w:bottom w:val="nil"/>
            </w:tcBorders>
            <w:vAlign w:val="center"/>
          </w:tcPr>
          <w:p w:rsidR="006627D0" w:rsidRPr="00C9191C" w:rsidRDefault="006627D0" w:rsidP="006627D0">
            <w:pPr>
              <w:pStyle w:val="Tabletext"/>
              <w:jc w:val="center"/>
              <w:rPr>
                <w:lang w:val="en-US"/>
              </w:rPr>
            </w:pPr>
            <w:r w:rsidRPr="00C9191C">
              <w:rPr>
                <w:lang w:val="en-US"/>
              </w:rPr>
              <w:t>16</w:t>
            </w:r>
          </w:p>
        </w:tc>
      </w:tr>
      <w:tr w:rsidR="006627D0" w:rsidRPr="00C9191C" w:rsidTr="006627D0">
        <w:trPr>
          <w:trHeight w:val="297"/>
          <w:jc w:val="center"/>
        </w:trPr>
        <w:tc>
          <w:tcPr>
            <w:tcW w:w="4333" w:type="dxa"/>
            <w:tcBorders>
              <w:top w:val="nil"/>
            </w:tcBorders>
            <w:vAlign w:val="center"/>
          </w:tcPr>
          <w:p w:rsidR="006627D0" w:rsidRPr="00C9191C" w:rsidRDefault="006627D0" w:rsidP="006627D0">
            <w:pPr>
              <w:pStyle w:val="Tabletext"/>
              <w:jc w:val="center"/>
              <w:rPr>
                <w:lang w:val="en-US"/>
              </w:rPr>
            </w:pPr>
            <w:r w:rsidRPr="00C9191C">
              <w:rPr>
                <w:lang w:val="en-US"/>
              </w:rPr>
              <w:t>5 MC</w:t>
            </w:r>
          </w:p>
        </w:tc>
        <w:tc>
          <w:tcPr>
            <w:tcW w:w="4339" w:type="dxa"/>
            <w:tcBorders>
              <w:top w:val="nil"/>
            </w:tcBorders>
            <w:vAlign w:val="center"/>
          </w:tcPr>
          <w:p w:rsidR="006627D0" w:rsidRPr="00C9191C" w:rsidRDefault="006627D0" w:rsidP="006627D0">
            <w:pPr>
              <w:pStyle w:val="Tabletext"/>
              <w:jc w:val="center"/>
              <w:rPr>
                <w:lang w:val="en-US"/>
              </w:rPr>
            </w:pPr>
            <w:r w:rsidRPr="00C9191C">
              <w:rPr>
                <w:lang w:val="en-US"/>
              </w:rPr>
              <w:t>10</w:t>
            </w:r>
          </w:p>
        </w:tc>
      </w:tr>
    </w:tbl>
    <w:p w:rsidR="006627D0" w:rsidRPr="001E78CF" w:rsidRDefault="006627D0" w:rsidP="006627D0">
      <w:pPr>
        <w:pStyle w:val="a1"/>
        <w:ind w:firstLine="0"/>
        <w:rPr>
          <w:lang w:val="en-US"/>
        </w:rPr>
      </w:pPr>
    </w:p>
    <w:p w:rsidR="000F3A11" w:rsidRDefault="000F3A11" w:rsidP="000F3A11">
      <w:pPr>
        <w:pStyle w:val="2"/>
        <w:numPr>
          <w:ilvl w:val="1"/>
          <w:numId w:val="10"/>
        </w:numPr>
      </w:pPr>
      <w:r>
        <w:lastRenderedPageBreak/>
        <w:t>THE GEFEST800 CODE</w:t>
      </w:r>
    </w:p>
    <w:p w:rsidR="001E78CF" w:rsidRPr="001E78CF" w:rsidRDefault="001E78CF" w:rsidP="001E78CF">
      <w:pPr>
        <w:pStyle w:val="a1"/>
        <w:rPr>
          <w:lang w:val="en-US"/>
        </w:rPr>
      </w:pPr>
      <w:r w:rsidRPr="001E78CF">
        <w:rPr>
          <w:lang w:val="en-US"/>
        </w:rPr>
        <w:t xml:space="preserve">The main neutron physics calculations are calculated in the multi-group (26 groups) diffusion approximation. Neutron-physical constants are prepared using the CONSYST constant preparation system [6] and the ABBN-93 constant library [7]. The </w:t>
      </w:r>
      <w:proofErr w:type="spellStart"/>
      <w:r w:rsidRPr="001E78CF">
        <w:rPr>
          <w:lang w:val="en-US"/>
        </w:rPr>
        <w:t>multigroup</w:t>
      </w:r>
      <w:proofErr w:type="spellEnd"/>
      <w:r w:rsidRPr="001E78CF">
        <w:rPr>
          <w:lang w:val="en-US"/>
        </w:rPr>
        <w:t xml:space="preserve"> (299 groups) diffusion approximation is used to prepare the constants.</w:t>
      </w:r>
    </w:p>
    <w:p w:rsidR="001E78CF" w:rsidRPr="001E78CF" w:rsidRDefault="001E78CF" w:rsidP="001E78CF">
      <w:pPr>
        <w:pStyle w:val="a1"/>
        <w:rPr>
          <w:lang w:val="en-US"/>
        </w:rPr>
      </w:pPr>
      <w:r w:rsidRPr="001E78CF">
        <w:rPr>
          <w:lang w:val="en-US"/>
        </w:rPr>
        <w:t xml:space="preserve">The program archive contains the passport data on the fuel composition in the downloaded fuel assemblies, and also it contains information on the isotopic composition of fuel in irradiated fuel assemblies. </w:t>
      </w:r>
    </w:p>
    <w:p w:rsidR="001E78CF" w:rsidRPr="001E78CF" w:rsidRDefault="001E78CF" w:rsidP="001E78CF">
      <w:pPr>
        <w:pStyle w:val="a1"/>
        <w:rPr>
          <w:lang w:val="en-US"/>
        </w:rPr>
      </w:pPr>
      <w:r w:rsidRPr="001E78CF">
        <w:rPr>
          <w:lang w:val="en-US"/>
        </w:rPr>
        <w:t xml:space="preserve">GEFEST800 </w:t>
      </w:r>
      <w:r w:rsidR="00FE3BF9">
        <w:rPr>
          <w:lang w:val="en-US"/>
        </w:rPr>
        <w:t>–</w:t>
      </w:r>
      <w:r w:rsidRPr="001E78CF">
        <w:rPr>
          <w:lang w:val="en-US"/>
        </w:rPr>
        <w:t xml:space="preserve"> </w:t>
      </w:r>
      <w:r w:rsidR="00FE3BF9">
        <w:rPr>
          <w:lang w:val="en-US"/>
        </w:rPr>
        <w:t>BN-800 operation maintenance code (</w:t>
      </w:r>
      <w:proofErr w:type="spellStart"/>
      <w:r w:rsidR="00FE3BF9">
        <w:rPr>
          <w:lang w:val="en-US"/>
        </w:rPr>
        <w:t>Beloyarsk</w:t>
      </w:r>
      <w:proofErr w:type="spellEnd"/>
      <w:r w:rsidR="00FE3BF9">
        <w:rPr>
          <w:lang w:val="en-US"/>
        </w:rPr>
        <w:t xml:space="preserve"> NPP)</w:t>
      </w:r>
      <w:r w:rsidRPr="001E78CF">
        <w:rPr>
          <w:lang w:val="en-US"/>
        </w:rPr>
        <w:t>.</w:t>
      </w:r>
    </w:p>
    <w:p w:rsidR="001E78CF" w:rsidRPr="001E78CF" w:rsidRDefault="001E78CF" w:rsidP="001E78CF">
      <w:pPr>
        <w:pStyle w:val="a1"/>
        <w:rPr>
          <w:lang w:val="en-US"/>
        </w:rPr>
      </w:pPr>
    </w:p>
    <w:p w:rsidR="000F3A11" w:rsidRDefault="000F3A11" w:rsidP="000F3A11">
      <w:pPr>
        <w:pStyle w:val="2"/>
        <w:numPr>
          <w:ilvl w:val="1"/>
          <w:numId w:val="10"/>
        </w:numPr>
      </w:pPr>
      <w:r>
        <w:t>THE JARFR CODE</w:t>
      </w:r>
    </w:p>
    <w:p w:rsidR="001E78CF" w:rsidRPr="001E78CF" w:rsidRDefault="001E78CF" w:rsidP="001E78CF">
      <w:pPr>
        <w:pStyle w:val="a1"/>
        <w:rPr>
          <w:lang w:val="en-US"/>
        </w:rPr>
      </w:pPr>
      <w:r w:rsidRPr="001E78CF">
        <w:rPr>
          <w:lang w:val="en-US"/>
        </w:rPr>
        <w:t xml:space="preserve">The JARFR software tool is designed for neutron-physical calculations of fast reactors with a sodium coolant based on the solution of the </w:t>
      </w:r>
      <w:proofErr w:type="spellStart"/>
      <w:r w:rsidRPr="001E78CF">
        <w:rPr>
          <w:lang w:val="en-US"/>
        </w:rPr>
        <w:t>multigroup</w:t>
      </w:r>
      <w:proofErr w:type="spellEnd"/>
      <w:r w:rsidRPr="001E78CF">
        <w:rPr>
          <w:lang w:val="en-US"/>
        </w:rPr>
        <w:t xml:space="preserve"> (26 groups) neutron transport equation in the diffusion approximation.</w:t>
      </w:r>
    </w:p>
    <w:p w:rsidR="001E78CF" w:rsidRPr="001E78CF" w:rsidRDefault="001E78CF" w:rsidP="001E78CF">
      <w:pPr>
        <w:pStyle w:val="a1"/>
        <w:rPr>
          <w:lang w:val="en-US"/>
        </w:rPr>
      </w:pPr>
      <w:r w:rsidRPr="001E78CF">
        <w:rPr>
          <w:lang w:val="en-US"/>
        </w:rPr>
        <w:t>JARFR calculations were carried out using the original library of constants ABBN-93 and the system for preparing constants taking into account the composition and spectrum of neutrons CONSYST.</w:t>
      </w:r>
    </w:p>
    <w:p w:rsidR="001E78CF" w:rsidRPr="001E78CF" w:rsidRDefault="001E78CF" w:rsidP="001E78CF">
      <w:pPr>
        <w:pStyle w:val="a1"/>
        <w:rPr>
          <w:lang w:val="en-US"/>
        </w:rPr>
      </w:pPr>
      <w:r w:rsidRPr="001E78CF">
        <w:rPr>
          <w:lang w:val="en-US"/>
        </w:rPr>
        <w:t>The JARFR code is used by the organization - the general designer of the BN-800 reactor facility – JSC «</w:t>
      </w:r>
      <w:proofErr w:type="spellStart"/>
      <w:r w:rsidRPr="001E78CF">
        <w:rPr>
          <w:lang w:val="en-US"/>
        </w:rPr>
        <w:t>Afrikantov</w:t>
      </w:r>
      <w:proofErr w:type="spellEnd"/>
      <w:r w:rsidRPr="001E78CF">
        <w:rPr>
          <w:lang w:val="en-US"/>
        </w:rPr>
        <w:t xml:space="preserve"> OKBM» for the development of the core project and maintenance of operation.</w:t>
      </w:r>
    </w:p>
    <w:p w:rsidR="001E78CF" w:rsidRPr="001E78CF" w:rsidRDefault="001E78CF" w:rsidP="001E78CF">
      <w:pPr>
        <w:pStyle w:val="a1"/>
        <w:rPr>
          <w:lang w:val="en-US"/>
        </w:rPr>
      </w:pPr>
    </w:p>
    <w:p w:rsidR="000F3A11" w:rsidRDefault="000F3A11" w:rsidP="000F3A11">
      <w:pPr>
        <w:pStyle w:val="2"/>
        <w:numPr>
          <w:ilvl w:val="1"/>
          <w:numId w:val="10"/>
        </w:numPr>
      </w:pPr>
      <w:r>
        <w:t>mmKC (bnCODE)</w:t>
      </w:r>
    </w:p>
    <w:p w:rsidR="001E78CF" w:rsidRPr="001E78CF" w:rsidRDefault="001E78CF" w:rsidP="001E78CF">
      <w:pPr>
        <w:pStyle w:val="a1"/>
        <w:rPr>
          <w:lang w:val="en-US"/>
        </w:rPr>
      </w:pPr>
      <w:r w:rsidRPr="001E78CF">
        <w:rPr>
          <w:lang w:val="en-US"/>
        </w:rPr>
        <w:t xml:space="preserve">The MMKC is precision code that implements the neutron-physics calculation of the reactor the Monte-Carlo method. The MMKC calculations use the estimated neutron data files ROSFOND2010 [8] in the ACE format. To account for the temperature changes in the elements of the reactor core, the PTC module is used. This is a program for taking into account the Doppler-effect in calculations with point-by-point tracking of the neutron energy. The program uses the method of proportional temperature concentrations, which allows </w:t>
      </w:r>
      <w:proofErr w:type="gramStart"/>
      <w:r w:rsidRPr="001E78CF">
        <w:rPr>
          <w:lang w:val="en-US"/>
        </w:rPr>
        <w:t>to take</w:t>
      </w:r>
      <w:proofErr w:type="gramEnd"/>
      <w:r w:rsidRPr="001E78CF">
        <w:rPr>
          <w:lang w:val="en-US"/>
        </w:rPr>
        <w:t xml:space="preserve"> into account changes in the temperature of nuclides in calculations of the criticality of fast-neutron reactor installations according to Monte Carlo programs using detailed neutron energy tracking. For more information about the method and it`s testing, see [9].</w:t>
      </w:r>
    </w:p>
    <w:p w:rsidR="001E78CF" w:rsidRPr="001E78CF" w:rsidRDefault="001E78CF" w:rsidP="001E78CF">
      <w:pPr>
        <w:pStyle w:val="a1"/>
        <w:rPr>
          <w:lang w:val="en-US"/>
        </w:rPr>
      </w:pPr>
      <w:r w:rsidRPr="001E78CF">
        <w:rPr>
          <w:lang w:val="en-US"/>
        </w:rPr>
        <w:t xml:space="preserve">The tasks were prepared using the supervisor's code </w:t>
      </w:r>
      <w:proofErr w:type="spellStart"/>
      <w:r w:rsidRPr="001E78CF">
        <w:rPr>
          <w:lang w:val="en-US"/>
        </w:rPr>
        <w:t>BNcode</w:t>
      </w:r>
      <w:proofErr w:type="spellEnd"/>
      <w:r w:rsidRPr="001E78CF">
        <w:rPr>
          <w:lang w:val="en-US"/>
        </w:rPr>
        <w:t>. The code of the supervisor to support the operation of the fast sodium reactor is used to determine the most accurate current and forecast design characteristics of the BN-800 reactor, to justify the safety during reload, to justify the balance of reactivity according to the micro-company.</w:t>
      </w:r>
    </w:p>
    <w:p w:rsidR="001E78CF" w:rsidRPr="001E78CF" w:rsidRDefault="001E78CF" w:rsidP="000F3A11">
      <w:pPr>
        <w:pStyle w:val="a1"/>
        <w:rPr>
          <w:lang w:val="en-US"/>
        </w:rPr>
      </w:pPr>
      <w:r w:rsidRPr="001E78CF">
        <w:rPr>
          <w:lang w:val="en-US"/>
        </w:rPr>
        <w:t>This code is used by the staff of the scientific director of JSC «SSC RF-IPPE» for scientific support of the BN-800 reactor.</w:t>
      </w:r>
    </w:p>
    <w:p w:rsidR="001E78CF" w:rsidRDefault="001E78CF" w:rsidP="000F3A11">
      <w:pPr>
        <w:pStyle w:val="a1"/>
        <w:rPr>
          <w:lang w:val="en-US"/>
        </w:rPr>
      </w:pPr>
      <w:r w:rsidRPr="000F3A11">
        <w:rPr>
          <w:lang w:val="en-US"/>
        </w:rPr>
        <w:t>Comparative computational and experimental studies based on the results of operation reactor facility BN-800 reactor.</w:t>
      </w:r>
    </w:p>
    <w:p w:rsidR="00E25B68" w:rsidRDefault="000F3A11" w:rsidP="000F3A11">
      <w:pPr>
        <w:pStyle w:val="2"/>
        <w:numPr>
          <w:ilvl w:val="1"/>
          <w:numId w:val="10"/>
        </w:numPr>
        <w:spacing w:before="240" w:beforeAutospacing="0" w:after="240" w:afterAutospacing="0"/>
      </w:pPr>
      <w:r w:rsidRPr="000F3A11">
        <w:t>Comparative computational and experimental studies based on the results of operation reactor facility BN-800 reactor.</w:t>
      </w:r>
    </w:p>
    <w:p w:rsidR="000A2990" w:rsidRDefault="000A2990" w:rsidP="000A2990">
      <w:pPr>
        <w:pStyle w:val="a1"/>
      </w:pPr>
      <w:r>
        <w:t xml:space="preserve">The text of a paper submitted to this conference must be original with any material from copyrighted works (including illustrations, tables, and text quotations) included with the permission of the copyright holder. The contributor should, therefore, make sure that any permissions and rights required to publish any third-party content have been obtained and that all published material is correctly referenced. </w:t>
      </w:r>
    </w:p>
    <w:p w:rsidR="000A2990" w:rsidRDefault="000A2990" w:rsidP="000A2990">
      <w:pPr>
        <w:pStyle w:val="a1"/>
      </w:pPr>
      <w:r>
        <w:t>The content of a paper is expected to have been written by the stated authors and the paper itself must not have been published before and be under consideration for publication by another entity (if this is the case please contact the Conference Organizer for further information). All papers will be scanned to ensure originality; if they are found to contain non-original text, only their abstract will be included in the proceedings.</w:t>
      </w:r>
    </w:p>
    <w:p w:rsidR="0026525A" w:rsidRDefault="000A2990" w:rsidP="000A2990">
      <w:pPr>
        <w:pStyle w:val="a1"/>
      </w:pPr>
      <w:r>
        <w:lastRenderedPageBreak/>
        <w:t>Papers will only be included in the proceedings if the IAEA Form B has been submitted prior to the conference. If the Form B is not received, only the abstract may be included in the proceedings, but this may also be omitted.</w:t>
      </w:r>
    </w:p>
    <w:p w:rsidR="000F3A11" w:rsidRDefault="000F3A11" w:rsidP="000A2990">
      <w:pPr>
        <w:pStyle w:val="a1"/>
      </w:pPr>
    </w:p>
    <w:p w:rsidR="000F3A11" w:rsidRPr="000F3A11" w:rsidRDefault="000F3A11" w:rsidP="000F3A11">
      <w:pPr>
        <w:pStyle w:val="a1"/>
        <w:rPr>
          <w:lang w:val="en-US"/>
        </w:rPr>
      </w:pPr>
      <w:r w:rsidRPr="000F3A11">
        <w:rPr>
          <w:lang w:val="en-US"/>
        </w:rPr>
        <w:t>4.1 Research of criticality</w:t>
      </w:r>
    </w:p>
    <w:p w:rsidR="000F3A11" w:rsidRPr="000F3A11" w:rsidRDefault="000F3A11" w:rsidP="000F3A11">
      <w:pPr>
        <w:pStyle w:val="a1"/>
        <w:rPr>
          <w:lang w:val="en-US"/>
        </w:rPr>
      </w:pPr>
    </w:p>
    <w:p w:rsidR="000F3A11" w:rsidRPr="000F3A11" w:rsidRDefault="000F3A11" w:rsidP="000F3A11">
      <w:pPr>
        <w:pStyle w:val="a1"/>
        <w:rPr>
          <w:lang w:val="en-US"/>
        </w:rPr>
      </w:pPr>
      <w:r w:rsidRPr="000F3A11">
        <w:rPr>
          <w:lang w:val="en-US"/>
        </w:rPr>
        <w:t>The research of criticality was conducted using the MMKC precision code for five micro-companies. Figure 2 shows the criticality results obtained with using this code for the "cold" and "hot" states.</w:t>
      </w:r>
    </w:p>
    <w:p w:rsidR="000F3A11" w:rsidRPr="000F3A11" w:rsidRDefault="000F3A11" w:rsidP="000F3A11">
      <w:pPr>
        <w:pStyle w:val="a1"/>
        <w:rPr>
          <w:lang w:val="en-US"/>
        </w:rPr>
      </w:pPr>
      <w:r w:rsidRPr="000F3A11">
        <w:rPr>
          <w:lang w:val="en-US"/>
        </w:rPr>
        <w:t xml:space="preserve">Note that the estimated time in the </w:t>
      </w:r>
      <w:proofErr w:type="spellStart"/>
      <w:r w:rsidRPr="000F3A11">
        <w:rPr>
          <w:lang w:val="en-US"/>
        </w:rPr>
        <w:t>BNcode</w:t>
      </w:r>
      <w:proofErr w:type="spellEnd"/>
      <w:r w:rsidRPr="000F3A11">
        <w:rPr>
          <w:lang w:val="en-US"/>
        </w:rPr>
        <w:t xml:space="preserve"> of a single neutron-physical calculation by the MMKC program with a detailed geometry (the design task is about 50,000 zones) and with a temperature profile in height and radius takes about 3 hours, and the calculation time of a single micro-company is about 12 hours.</w:t>
      </w:r>
    </w:p>
    <w:p w:rsidR="000F3A11" w:rsidRDefault="000F3A11" w:rsidP="000F3A11">
      <w:pPr>
        <w:pStyle w:val="a1"/>
        <w:rPr>
          <w:lang w:val="en-US"/>
        </w:rPr>
      </w:pPr>
      <w:r w:rsidRPr="000F3A11">
        <w:rPr>
          <w:lang w:val="en-US"/>
        </w:rPr>
        <w:t>As can be seen from Figure 2, the calculation of the critical "cold" and "hot" states of the reactor is predicted with good accuracy (the maximum spread is ±0.1 %), but it should be noted that the difference in the criticality calculations between the "cold" and "hot" states of the reactor is ~0.2%.</w:t>
      </w:r>
    </w:p>
    <w:p w:rsidR="006627D0" w:rsidRPr="000F3A11" w:rsidRDefault="006627D0" w:rsidP="000F3A11">
      <w:pPr>
        <w:pStyle w:val="a1"/>
        <w:rPr>
          <w:lang w:val="en-US"/>
        </w:rPr>
      </w:pPr>
    </w:p>
    <w:p w:rsidR="000F3A11" w:rsidRPr="000F3A11" w:rsidRDefault="006627D0" w:rsidP="006627D0">
      <w:pPr>
        <w:pStyle w:val="a1"/>
        <w:ind w:firstLine="0"/>
        <w:jc w:val="center"/>
        <w:rPr>
          <w:lang w:val="en-US"/>
        </w:rPr>
      </w:pPr>
      <w:r>
        <w:rPr>
          <w:noProof/>
          <w:lang w:val="ru-RU" w:eastAsia="ru-RU"/>
        </w:rPr>
        <w:drawing>
          <wp:inline distT="0" distB="0" distL="0" distR="0">
            <wp:extent cx="5096414" cy="2730993"/>
            <wp:effectExtent l="19050" t="0" r="8986"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28559" t="22115" r="54317" b="48558"/>
                    <a:stretch>
                      <a:fillRect/>
                    </a:stretch>
                  </pic:blipFill>
                  <pic:spPr bwMode="auto">
                    <a:xfrm>
                      <a:off x="0" y="0"/>
                      <a:ext cx="5096424" cy="2730998"/>
                    </a:xfrm>
                    <a:prstGeom prst="rect">
                      <a:avLst/>
                    </a:prstGeom>
                    <a:noFill/>
                    <a:ln w="9525">
                      <a:noFill/>
                      <a:miter lim="800000"/>
                      <a:headEnd/>
                      <a:tailEnd/>
                    </a:ln>
                  </pic:spPr>
                </pic:pic>
              </a:graphicData>
            </a:graphic>
          </wp:inline>
        </w:drawing>
      </w:r>
    </w:p>
    <w:p w:rsidR="000F3A11" w:rsidRPr="000F3A11" w:rsidRDefault="000F3A11" w:rsidP="006627D0">
      <w:pPr>
        <w:pStyle w:val="Figurecaption"/>
        <w:rPr>
          <w:lang w:val="en-US"/>
        </w:rPr>
      </w:pPr>
      <w:proofErr w:type="gramStart"/>
      <w:r w:rsidRPr="000F3A11">
        <w:rPr>
          <w:lang w:val="en-US"/>
        </w:rPr>
        <w:t>Fig</w:t>
      </w:r>
      <w:r>
        <w:rPr>
          <w:lang w:val="en-US"/>
        </w:rPr>
        <w:t>.</w:t>
      </w:r>
      <w:r w:rsidRPr="000F3A11">
        <w:rPr>
          <w:lang w:val="en-US"/>
        </w:rPr>
        <w:t xml:space="preserve"> 2.</w:t>
      </w:r>
      <w:proofErr w:type="gramEnd"/>
      <w:r w:rsidRPr="000F3A11">
        <w:rPr>
          <w:lang w:val="en-US"/>
        </w:rPr>
        <w:t xml:space="preserve"> Results of critical states calculations</w:t>
      </w:r>
    </w:p>
    <w:p w:rsidR="000F3A11" w:rsidRPr="000F3A11" w:rsidRDefault="000F3A11" w:rsidP="000F3A11">
      <w:pPr>
        <w:pStyle w:val="a1"/>
        <w:rPr>
          <w:lang w:val="en-US"/>
        </w:rPr>
      </w:pPr>
    </w:p>
    <w:p w:rsidR="000F3A11" w:rsidRPr="000F3A11" w:rsidRDefault="000F3A11" w:rsidP="000F3A11">
      <w:pPr>
        <w:pStyle w:val="2"/>
        <w:rPr>
          <w:lang w:val="en-US"/>
        </w:rPr>
      </w:pPr>
      <w:r w:rsidRPr="000F3A11">
        <w:rPr>
          <w:lang w:val="en-US"/>
        </w:rPr>
        <w:t>Calculations of the reactivity margin</w:t>
      </w:r>
    </w:p>
    <w:p w:rsidR="000F3A11" w:rsidRPr="000F3A11" w:rsidRDefault="000F3A11" w:rsidP="000F3A11">
      <w:pPr>
        <w:pStyle w:val="a1"/>
        <w:rPr>
          <w:lang w:val="en-US"/>
        </w:rPr>
      </w:pPr>
    </w:p>
    <w:p w:rsidR="000F3A11" w:rsidRPr="006627D0" w:rsidRDefault="000F3A11" w:rsidP="000F3A11">
      <w:pPr>
        <w:pStyle w:val="a1"/>
        <w:rPr>
          <w:lang w:val="en-US"/>
        </w:rPr>
      </w:pPr>
      <w:r w:rsidRPr="000F3A11">
        <w:rPr>
          <w:lang w:val="en-US"/>
        </w:rPr>
        <w:t xml:space="preserve">Studies of the reactivity margin were also carried out for five micro-companies for three codes of the MMKC, GEFEST800, </w:t>
      </w:r>
      <w:proofErr w:type="gramStart"/>
      <w:r w:rsidRPr="000F3A11">
        <w:rPr>
          <w:lang w:val="en-US"/>
        </w:rPr>
        <w:t>JARFR</w:t>
      </w:r>
      <w:proofErr w:type="gramEnd"/>
      <w:r w:rsidRPr="000F3A11">
        <w:rPr>
          <w:lang w:val="en-US"/>
        </w:rPr>
        <w:t xml:space="preserve">. The results of comparing the calculated values of the reactor reactivity margin in </w:t>
      </w:r>
      <w:r w:rsidR="006627D0" w:rsidRPr="006627D0">
        <w:rPr>
          <w:lang w:val="en-US"/>
        </w:rPr>
        <w:t>«</w:t>
      </w:r>
      <w:r w:rsidRPr="000F3A11">
        <w:rPr>
          <w:lang w:val="en-US"/>
        </w:rPr>
        <w:t>cold</w:t>
      </w:r>
      <w:r w:rsidR="006627D0" w:rsidRPr="006627D0">
        <w:rPr>
          <w:lang w:val="en-US"/>
        </w:rPr>
        <w:t>»</w:t>
      </w:r>
      <w:r w:rsidRPr="000F3A11">
        <w:rPr>
          <w:lang w:val="en-US"/>
        </w:rPr>
        <w:t xml:space="preserve"> conditions at the beginning and at the end of micro-companies with experimental data a</w:t>
      </w:r>
      <w:r w:rsidR="006627D0">
        <w:rPr>
          <w:lang w:val="en-US"/>
        </w:rPr>
        <w:t>re presented in Tables 2 and 3.</w:t>
      </w:r>
    </w:p>
    <w:p w:rsidR="006627D0" w:rsidRPr="006627D0" w:rsidRDefault="006627D0" w:rsidP="000F3A11">
      <w:pPr>
        <w:pStyle w:val="a1"/>
        <w:rPr>
          <w:lang w:val="en-US"/>
        </w:rPr>
      </w:pPr>
    </w:p>
    <w:p w:rsidR="000F3A11" w:rsidRDefault="000F3A11" w:rsidP="006627D0">
      <w:pPr>
        <w:pStyle w:val="a1"/>
        <w:ind w:firstLine="0"/>
        <w:rPr>
          <w:caps/>
          <w:lang w:val="ru-RU"/>
        </w:rPr>
      </w:pPr>
      <w:r w:rsidRPr="006627D0">
        <w:rPr>
          <w:caps/>
        </w:rPr>
        <w:t>Table 2 – Results of calculated and experimental discrepancies of reactivity margin in beginning of M</w:t>
      </w:r>
      <w:r w:rsidR="006627D0">
        <w:rPr>
          <w:caps/>
        </w:rPr>
        <w:t>C for «cold» core state, %Δk/k</w:t>
      </w:r>
    </w:p>
    <w:p w:rsidR="006627D0" w:rsidRPr="006627D0" w:rsidRDefault="006627D0" w:rsidP="006627D0">
      <w:pPr>
        <w:pStyle w:val="a1"/>
        <w:ind w:firstLine="0"/>
        <w:rPr>
          <w:caps/>
          <w:lang w:val="ru-RU"/>
        </w:rPr>
      </w:pPr>
    </w:p>
    <w:tbl>
      <w:tblPr>
        <w:tblStyle w:val="ae"/>
        <w:tblW w:w="0" w:type="auto"/>
        <w:jc w:val="center"/>
        <w:tblBorders>
          <w:left w:val="none" w:sz="0" w:space="0" w:color="auto"/>
          <w:right w:val="none" w:sz="0" w:space="0" w:color="auto"/>
          <w:insideH w:val="none" w:sz="0" w:space="0" w:color="auto"/>
          <w:insideV w:val="none" w:sz="0" w:space="0" w:color="auto"/>
        </w:tblBorders>
        <w:tblLayout w:type="fixed"/>
        <w:tblLook w:val="04A0"/>
      </w:tblPr>
      <w:tblGrid>
        <w:gridCol w:w="1372"/>
        <w:gridCol w:w="674"/>
        <w:gridCol w:w="859"/>
        <w:gridCol w:w="801"/>
        <w:gridCol w:w="934"/>
        <w:gridCol w:w="1068"/>
        <w:gridCol w:w="3305"/>
      </w:tblGrid>
      <w:tr w:rsidR="006627D0" w:rsidRPr="006D532A" w:rsidTr="006627D0">
        <w:trPr>
          <w:trHeight w:val="854"/>
          <w:jc w:val="center"/>
        </w:trPr>
        <w:tc>
          <w:tcPr>
            <w:tcW w:w="1372" w:type="dxa"/>
            <w:tcBorders>
              <w:top w:val="single" w:sz="4" w:space="0" w:color="auto"/>
              <w:bottom w:val="single" w:sz="4" w:space="0" w:color="auto"/>
            </w:tcBorders>
            <w:vAlign w:val="center"/>
          </w:tcPr>
          <w:p w:rsidR="006627D0" w:rsidRPr="00C9191C" w:rsidRDefault="006627D0" w:rsidP="006627D0">
            <w:pPr>
              <w:pStyle w:val="Tabletext"/>
              <w:spacing w:line="240" w:lineRule="auto"/>
              <w:jc w:val="left"/>
              <w:rPr>
                <w:lang w:val="en-US"/>
              </w:rPr>
            </w:pPr>
            <w:r w:rsidRPr="00C9191C">
              <w:rPr>
                <w:lang w:val="en-US"/>
              </w:rPr>
              <w:t>Code</w:t>
            </w:r>
          </w:p>
        </w:tc>
        <w:tc>
          <w:tcPr>
            <w:tcW w:w="674" w:type="dxa"/>
            <w:tcBorders>
              <w:top w:val="single" w:sz="4" w:space="0" w:color="auto"/>
              <w:bottom w:val="single" w:sz="4" w:space="0" w:color="auto"/>
            </w:tcBorders>
            <w:vAlign w:val="center"/>
          </w:tcPr>
          <w:p w:rsidR="006627D0" w:rsidRPr="00C9191C" w:rsidRDefault="006627D0" w:rsidP="006627D0">
            <w:pPr>
              <w:pStyle w:val="Tabletext"/>
              <w:spacing w:line="240" w:lineRule="auto"/>
              <w:jc w:val="center"/>
              <w:rPr>
                <w:lang w:val="en-US"/>
              </w:rPr>
            </w:pPr>
            <w:r w:rsidRPr="00C9191C">
              <w:rPr>
                <w:lang w:val="en-US"/>
              </w:rPr>
              <w:t>1MC</w:t>
            </w:r>
          </w:p>
        </w:tc>
        <w:tc>
          <w:tcPr>
            <w:tcW w:w="859" w:type="dxa"/>
            <w:tcBorders>
              <w:top w:val="single" w:sz="4" w:space="0" w:color="auto"/>
              <w:bottom w:val="single" w:sz="4" w:space="0" w:color="auto"/>
            </w:tcBorders>
            <w:vAlign w:val="center"/>
          </w:tcPr>
          <w:p w:rsidR="006627D0" w:rsidRPr="00C9191C" w:rsidRDefault="006627D0" w:rsidP="006627D0">
            <w:pPr>
              <w:pStyle w:val="Tabletext"/>
              <w:spacing w:line="240" w:lineRule="auto"/>
              <w:jc w:val="center"/>
              <w:rPr>
                <w:lang w:val="en-US"/>
              </w:rPr>
            </w:pPr>
            <w:r w:rsidRPr="00C9191C">
              <w:rPr>
                <w:lang w:val="en-US"/>
              </w:rPr>
              <w:t>2MC</w:t>
            </w:r>
          </w:p>
        </w:tc>
        <w:tc>
          <w:tcPr>
            <w:tcW w:w="801" w:type="dxa"/>
            <w:tcBorders>
              <w:top w:val="single" w:sz="4" w:space="0" w:color="auto"/>
              <w:bottom w:val="single" w:sz="4" w:space="0" w:color="auto"/>
            </w:tcBorders>
            <w:vAlign w:val="center"/>
          </w:tcPr>
          <w:p w:rsidR="006627D0" w:rsidRPr="00C9191C" w:rsidRDefault="006627D0" w:rsidP="006627D0">
            <w:pPr>
              <w:pStyle w:val="Tabletext"/>
              <w:spacing w:line="240" w:lineRule="auto"/>
              <w:jc w:val="center"/>
              <w:rPr>
                <w:lang w:val="en-US"/>
              </w:rPr>
            </w:pPr>
            <w:r w:rsidRPr="00C9191C">
              <w:rPr>
                <w:lang w:val="en-US"/>
              </w:rPr>
              <w:t>3 MC</w:t>
            </w:r>
          </w:p>
        </w:tc>
        <w:tc>
          <w:tcPr>
            <w:tcW w:w="934" w:type="dxa"/>
            <w:tcBorders>
              <w:top w:val="single" w:sz="4" w:space="0" w:color="auto"/>
              <w:bottom w:val="single" w:sz="4" w:space="0" w:color="auto"/>
            </w:tcBorders>
            <w:vAlign w:val="center"/>
          </w:tcPr>
          <w:p w:rsidR="006627D0" w:rsidRPr="00C9191C" w:rsidRDefault="006627D0" w:rsidP="006627D0">
            <w:pPr>
              <w:pStyle w:val="Tabletext"/>
              <w:spacing w:line="240" w:lineRule="auto"/>
              <w:jc w:val="center"/>
              <w:rPr>
                <w:lang w:val="en-US"/>
              </w:rPr>
            </w:pPr>
            <w:r w:rsidRPr="00C9191C">
              <w:rPr>
                <w:lang w:val="en-US"/>
              </w:rPr>
              <w:t>4 MC</w:t>
            </w:r>
          </w:p>
        </w:tc>
        <w:tc>
          <w:tcPr>
            <w:tcW w:w="1068" w:type="dxa"/>
            <w:tcBorders>
              <w:top w:val="single" w:sz="4" w:space="0" w:color="auto"/>
              <w:bottom w:val="single" w:sz="4" w:space="0" w:color="auto"/>
            </w:tcBorders>
            <w:vAlign w:val="center"/>
          </w:tcPr>
          <w:p w:rsidR="006627D0" w:rsidRPr="00C9191C" w:rsidRDefault="006627D0" w:rsidP="006627D0">
            <w:pPr>
              <w:pStyle w:val="Tabletext"/>
              <w:spacing w:line="240" w:lineRule="auto"/>
              <w:jc w:val="center"/>
              <w:rPr>
                <w:lang w:val="en-US"/>
              </w:rPr>
            </w:pPr>
            <w:r w:rsidRPr="00C9191C">
              <w:rPr>
                <w:lang w:val="en-US"/>
              </w:rPr>
              <w:t>5 MC</w:t>
            </w:r>
          </w:p>
        </w:tc>
        <w:tc>
          <w:tcPr>
            <w:tcW w:w="3305" w:type="dxa"/>
            <w:tcBorders>
              <w:top w:val="single" w:sz="4" w:space="0" w:color="auto"/>
              <w:bottom w:val="single" w:sz="4" w:space="0" w:color="auto"/>
            </w:tcBorders>
            <w:vAlign w:val="center"/>
          </w:tcPr>
          <w:p w:rsidR="006627D0" w:rsidRPr="00C9191C" w:rsidRDefault="006627D0" w:rsidP="006627D0">
            <w:pPr>
              <w:pStyle w:val="Tabletext"/>
              <w:spacing w:line="240" w:lineRule="auto"/>
              <w:jc w:val="center"/>
              <w:rPr>
                <w:lang w:val="en-US"/>
              </w:rPr>
            </w:pPr>
            <w:r w:rsidRPr="00C9191C">
              <w:rPr>
                <w:lang w:val="en-US"/>
              </w:rPr>
              <w:t>The average discrepancies of reactivity margin</w:t>
            </w:r>
          </w:p>
        </w:tc>
      </w:tr>
      <w:tr w:rsidR="006627D0" w:rsidRPr="00C9191C" w:rsidTr="006627D0">
        <w:trPr>
          <w:trHeight w:val="303"/>
          <w:jc w:val="center"/>
        </w:trPr>
        <w:tc>
          <w:tcPr>
            <w:tcW w:w="1372" w:type="dxa"/>
            <w:tcBorders>
              <w:top w:val="single" w:sz="4" w:space="0" w:color="auto"/>
            </w:tcBorders>
            <w:vAlign w:val="center"/>
          </w:tcPr>
          <w:p w:rsidR="006627D0" w:rsidRPr="00C9191C" w:rsidRDefault="006627D0" w:rsidP="006627D0">
            <w:pPr>
              <w:pStyle w:val="Tabletext"/>
              <w:spacing w:line="240" w:lineRule="auto"/>
              <w:jc w:val="left"/>
              <w:rPr>
                <w:lang w:val="en-US"/>
              </w:rPr>
            </w:pPr>
            <w:r w:rsidRPr="00C9191C">
              <w:rPr>
                <w:lang w:val="en-US"/>
              </w:rPr>
              <w:t>MMKC</w:t>
            </w:r>
          </w:p>
        </w:tc>
        <w:tc>
          <w:tcPr>
            <w:tcW w:w="674" w:type="dxa"/>
            <w:tcBorders>
              <w:top w:val="single" w:sz="4" w:space="0" w:color="auto"/>
            </w:tcBorders>
            <w:vAlign w:val="center"/>
          </w:tcPr>
          <w:p w:rsidR="006627D0" w:rsidRPr="00C9191C" w:rsidRDefault="006627D0" w:rsidP="006627D0">
            <w:pPr>
              <w:pStyle w:val="Tabletext"/>
              <w:spacing w:line="240" w:lineRule="auto"/>
              <w:jc w:val="center"/>
              <w:rPr>
                <w:lang w:val="en-US"/>
              </w:rPr>
            </w:pPr>
            <w:r w:rsidRPr="00C9191C">
              <w:rPr>
                <w:lang w:val="en-US"/>
              </w:rPr>
              <w:t>-0,46</w:t>
            </w:r>
          </w:p>
        </w:tc>
        <w:tc>
          <w:tcPr>
            <w:tcW w:w="859" w:type="dxa"/>
            <w:tcBorders>
              <w:top w:val="single" w:sz="4" w:space="0" w:color="auto"/>
            </w:tcBorders>
            <w:vAlign w:val="center"/>
          </w:tcPr>
          <w:p w:rsidR="006627D0" w:rsidRPr="00C9191C" w:rsidRDefault="006627D0" w:rsidP="006627D0">
            <w:pPr>
              <w:pStyle w:val="Tabletext"/>
              <w:spacing w:line="240" w:lineRule="auto"/>
              <w:jc w:val="center"/>
              <w:rPr>
                <w:lang w:val="en-US"/>
              </w:rPr>
            </w:pPr>
            <w:r w:rsidRPr="00C9191C">
              <w:rPr>
                <w:lang w:val="en-US"/>
              </w:rPr>
              <w:t>-0,36</w:t>
            </w:r>
          </w:p>
        </w:tc>
        <w:tc>
          <w:tcPr>
            <w:tcW w:w="801" w:type="dxa"/>
            <w:tcBorders>
              <w:top w:val="single" w:sz="4" w:space="0" w:color="auto"/>
            </w:tcBorders>
            <w:vAlign w:val="center"/>
          </w:tcPr>
          <w:p w:rsidR="006627D0" w:rsidRPr="00C9191C" w:rsidRDefault="006627D0" w:rsidP="006627D0">
            <w:pPr>
              <w:pStyle w:val="Tabletext"/>
              <w:spacing w:line="240" w:lineRule="auto"/>
              <w:jc w:val="center"/>
              <w:rPr>
                <w:lang w:val="en-US"/>
              </w:rPr>
            </w:pPr>
            <w:r w:rsidRPr="00C9191C">
              <w:rPr>
                <w:lang w:val="en-US"/>
              </w:rPr>
              <w:t>-0,24</w:t>
            </w:r>
          </w:p>
        </w:tc>
        <w:tc>
          <w:tcPr>
            <w:tcW w:w="934" w:type="dxa"/>
            <w:tcBorders>
              <w:top w:val="single" w:sz="4" w:space="0" w:color="auto"/>
            </w:tcBorders>
            <w:vAlign w:val="center"/>
          </w:tcPr>
          <w:p w:rsidR="006627D0" w:rsidRPr="00C9191C" w:rsidRDefault="006627D0" w:rsidP="006627D0">
            <w:pPr>
              <w:pStyle w:val="Tabletext"/>
              <w:spacing w:line="240" w:lineRule="auto"/>
              <w:jc w:val="center"/>
              <w:rPr>
                <w:lang w:val="en-US"/>
              </w:rPr>
            </w:pPr>
            <w:r w:rsidRPr="00C9191C">
              <w:rPr>
                <w:lang w:val="en-US"/>
              </w:rPr>
              <w:t>-0,13</w:t>
            </w:r>
          </w:p>
        </w:tc>
        <w:tc>
          <w:tcPr>
            <w:tcW w:w="1068" w:type="dxa"/>
            <w:tcBorders>
              <w:top w:val="single" w:sz="4" w:space="0" w:color="auto"/>
            </w:tcBorders>
            <w:vAlign w:val="center"/>
          </w:tcPr>
          <w:p w:rsidR="006627D0" w:rsidRPr="00C9191C" w:rsidRDefault="006627D0" w:rsidP="006627D0">
            <w:pPr>
              <w:pStyle w:val="Tabletext"/>
              <w:spacing w:line="240" w:lineRule="auto"/>
              <w:jc w:val="center"/>
              <w:rPr>
                <w:lang w:val="en-US"/>
              </w:rPr>
            </w:pPr>
            <w:r w:rsidRPr="00C9191C">
              <w:rPr>
                <w:lang w:val="en-US"/>
              </w:rPr>
              <w:t>-0,24</w:t>
            </w:r>
          </w:p>
        </w:tc>
        <w:tc>
          <w:tcPr>
            <w:tcW w:w="3305" w:type="dxa"/>
            <w:tcBorders>
              <w:top w:val="single" w:sz="4" w:space="0" w:color="auto"/>
            </w:tcBorders>
            <w:vAlign w:val="center"/>
          </w:tcPr>
          <w:p w:rsidR="006627D0" w:rsidRPr="00C9191C" w:rsidRDefault="006627D0" w:rsidP="006627D0">
            <w:pPr>
              <w:pStyle w:val="Tabletext"/>
              <w:spacing w:line="240" w:lineRule="auto"/>
              <w:jc w:val="center"/>
              <w:rPr>
                <w:lang w:val="en-US"/>
              </w:rPr>
            </w:pPr>
            <w:r w:rsidRPr="00C9191C">
              <w:rPr>
                <w:lang w:val="en-US"/>
              </w:rPr>
              <w:t>-0,30 ± 0,12</w:t>
            </w:r>
          </w:p>
        </w:tc>
      </w:tr>
      <w:tr w:rsidR="006627D0" w:rsidRPr="00C9191C" w:rsidTr="006627D0">
        <w:trPr>
          <w:trHeight w:val="303"/>
          <w:jc w:val="center"/>
        </w:trPr>
        <w:tc>
          <w:tcPr>
            <w:tcW w:w="1372" w:type="dxa"/>
            <w:vAlign w:val="center"/>
          </w:tcPr>
          <w:p w:rsidR="006627D0" w:rsidRPr="00C9191C" w:rsidRDefault="006627D0" w:rsidP="006627D0">
            <w:pPr>
              <w:pStyle w:val="Tabletext"/>
              <w:jc w:val="left"/>
              <w:rPr>
                <w:lang w:val="en-US"/>
              </w:rPr>
            </w:pPr>
            <w:r w:rsidRPr="00C9191C">
              <w:rPr>
                <w:lang w:val="en-US"/>
              </w:rPr>
              <w:t>GEFEST800</w:t>
            </w:r>
          </w:p>
        </w:tc>
        <w:tc>
          <w:tcPr>
            <w:tcW w:w="674" w:type="dxa"/>
            <w:vAlign w:val="center"/>
          </w:tcPr>
          <w:p w:rsidR="006627D0" w:rsidRPr="00C9191C" w:rsidRDefault="006627D0" w:rsidP="006627D0">
            <w:pPr>
              <w:pStyle w:val="Tabletext"/>
              <w:jc w:val="center"/>
              <w:rPr>
                <w:lang w:val="en-US"/>
              </w:rPr>
            </w:pPr>
            <w:r w:rsidRPr="00C9191C">
              <w:rPr>
                <w:lang w:val="en-US"/>
              </w:rPr>
              <w:t>-</w:t>
            </w:r>
          </w:p>
        </w:tc>
        <w:tc>
          <w:tcPr>
            <w:tcW w:w="859" w:type="dxa"/>
            <w:vAlign w:val="center"/>
          </w:tcPr>
          <w:p w:rsidR="006627D0" w:rsidRPr="00C9191C" w:rsidRDefault="006627D0" w:rsidP="006627D0">
            <w:pPr>
              <w:pStyle w:val="Tabletext"/>
              <w:jc w:val="center"/>
              <w:rPr>
                <w:lang w:val="en-US"/>
              </w:rPr>
            </w:pPr>
            <w:r w:rsidRPr="00C9191C">
              <w:rPr>
                <w:lang w:val="en-US"/>
              </w:rPr>
              <w:t>-0,58</w:t>
            </w:r>
          </w:p>
        </w:tc>
        <w:tc>
          <w:tcPr>
            <w:tcW w:w="801" w:type="dxa"/>
            <w:vAlign w:val="center"/>
          </w:tcPr>
          <w:p w:rsidR="006627D0" w:rsidRPr="00C9191C" w:rsidRDefault="006627D0" w:rsidP="006627D0">
            <w:pPr>
              <w:pStyle w:val="Tabletext"/>
              <w:jc w:val="center"/>
              <w:rPr>
                <w:lang w:val="en-US"/>
              </w:rPr>
            </w:pPr>
            <w:r w:rsidRPr="00C9191C">
              <w:rPr>
                <w:lang w:val="en-US"/>
              </w:rPr>
              <w:t>-0,60</w:t>
            </w:r>
          </w:p>
        </w:tc>
        <w:tc>
          <w:tcPr>
            <w:tcW w:w="934" w:type="dxa"/>
            <w:vAlign w:val="center"/>
          </w:tcPr>
          <w:p w:rsidR="006627D0" w:rsidRPr="00C9191C" w:rsidRDefault="006627D0" w:rsidP="006627D0">
            <w:pPr>
              <w:pStyle w:val="Tabletext"/>
              <w:jc w:val="center"/>
              <w:rPr>
                <w:lang w:val="en-US"/>
              </w:rPr>
            </w:pPr>
            <w:r w:rsidRPr="00C9191C">
              <w:rPr>
                <w:lang w:val="en-US"/>
              </w:rPr>
              <w:t>-0,44</w:t>
            </w:r>
          </w:p>
        </w:tc>
        <w:tc>
          <w:tcPr>
            <w:tcW w:w="1068" w:type="dxa"/>
            <w:vAlign w:val="center"/>
          </w:tcPr>
          <w:p w:rsidR="006627D0" w:rsidRPr="00C9191C" w:rsidRDefault="006627D0" w:rsidP="006627D0">
            <w:pPr>
              <w:pStyle w:val="Tabletext"/>
              <w:jc w:val="center"/>
              <w:rPr>
                <w:lang w:val="en-US"/>
              </w:rPr>
            </w:pPr>
            <w:r w:rsidRPr="00C9191C">
              <w:rPr>
                <w:lang w:val="en-US"/>
              </w:rPr>
              <w:t>-0,46</w:t>
            </w:r>
          </w:p>
        </w:tc>
        <w:tc>
          <w:tcPr>
            <w:tcW w:w="3305" w:type="dxa"/>
            <w:vAlign w:val="center"/>
          </w:tcPr>
          <w:p w:rsidR="006627D0" w:rsidRPr="00C9191C" w:rsidRDefault="006627D0" w:rsidP="006627D0">
            <w:pPr>
              <w:pStyle w:val="Tabletext"/>
              <w:jc w:val="center"/>
              <w:rPr>
                <w:lang w:val="en-US"/>
              </w:rPr>
            </w:pPr>
            <w:r w:rsidRPr="00C9191C">
              <w:rPr>
                <w:lang w:val="en-US"/>
              </w:rPr>
              <w:t>-0,54 ± 0,09</w:t>
            </w:r>
          </w:p>
        </w:tc>
      </w:tr>
      <w:tr w:rsidR="006627D0" w:rsidRPr="00C9191C" w:rsidTr="006627D0">
        <w:trPr>
          <w:trHeight w:val="321"/>
          <w:jc w:val="center"/>
        </w:trPr>
        <w:tc>
          <w:tcPr>
            <w:tcW w:w="1372" w:type="dxa"/>
            <w:vAlign w:val="center"/>
          </w:tcPr>
          <w:p w:rsidR="006627D0" w:rsidRPr="00C9191C" w:rsidRDefault="006627D0" w:rsidP="006627D0">
            <w:pPr>
              <w:pStyle w:val="Tabletext"/>
              <w:jc w:val="left"/>
              <w:rPr>
                <w:lang w:val="en-US"/>
              </w:rPr>
            </w:pPr>
            <w:r w:rsidRPr="00C9191C">
              <w:rPr>
                <w:lang w:val="en-US"/>
              </w:rPr>
              <w:t>JARFR</w:t>
            </w:r>
          </w:p>
        </w:tc>
        <w:tc>
          <w:tcPr>
            <w:tcW w:w="674" w:type="dxa"/>
            <w:vAlign w:val="center"/>
          </w:tcPr>
          <w:p w:rsidR="006627D0" w:rsidRPr="00C9191C" w:rsidRDefault="006627D0" w:rsidP="006627D0">
            <w:pPr>
              <w:pStyle w:val="Tabletext"/>
              <w:jc w:val="center"/>
              <w:rPr>
                <w:lang w:val="en-US"/>
              </w:rPr>
            </w:pPr>
            <w:r w:rsidRPr="00C9191C">
              <w:rPr>
                <w:lang w:val="en-US"/>
              </w:rPr>
              <w:t>0,07</w:t>
            </w:r>
          </w:p>
        </w:tc>
        <w:tc>
          <w:tcPr>
            <w:tcW w:w="859" w:type="dxa"/>
            <w:vAlign w:val="center"/>
          </w:tcPr>
          <w:p w:rsidR="006627D0" w:rsidRPr="00C9191C" w:rsidRDefault="006627D0" w:rsidP="006627D0">
            <w:pPr>
              <w:pStyle w:val="Tabletext"/>
              <w:jc w:val="center"/>
              <w:rPr>
                <w:lang w:val="en-US"/>
              </w:rPr>
            </w:pPr>
            <w:r w:rsidRPr="00C9191C">
              <w:rPr>
                <w:lang w:val="en-US"/>
              </w:rPr>
              <w:t>-0,06</w:t>
            </w:r>
          </w:p>
        </w:tc>
        <w:tc>
          <w:tcPr>
            <w:tcW w:w="801" w:type="dxa"/>
            <w:vAlign w:val="center"/>
          </w:tcPr>
          <w:p w:rsidR="006627D0" w:rsidRPr="00C9191C" w:rsidRDefault="006627D0" w:rsidP="006627D0">
            <w:pPr>
              <w:pStyle w:val="Tabletext"/>
              <w:jc w:val="center"/>
              <w:rPr>
                <w:lang w:val="en-US"/>
              </w:rPr>
            </w:pPr>
            <w:r w:rsidRPr="00C9191C">
              <w:rPr>
                <w:lang w:val="en-US"/>
              </w:rPr>
              <w:t>-0,13</w:t>
            </w:r>
          </w:p>
        </w:tc>
        <w:tc>
          <w:tcPr>
            <w:tcW w:w="934" w:type="dxa"/>
            <w:vAlign w:val="center"/>
          </w:tcPr>
          <w:p w:rsidR="006627D0" w:rsidRPr="00C9191C" w:rsidRDefault="006627D0" w:rsidP="006627D0">
            <w:pPr>
              <w:pStyle w:val="Tabletext"/>
              <w:jc w:val="center"/>
              <w:rPr>
                <w:lang w:val="en-US"/>
              </w:rPr>
            </w:pPr>
            <w:r w:rsidRPr="00C9191C">
              <w:rPr>
                <w:lang w:val="en-US"/>
              </w:rPr>
              <w:t>0,1</w:t>
            </w:r>
          </w:p>
        </w:tc>
        <w:tc>
          <w:tcPr>
            <w:tcW w:w="1068" w:type="dxa"/>
            <w:vAlign w:val="center"/>
          </w:tcPr>
          <w:p w:rsidR="006627D0" w:rsidRPr="00C9191C" w:rsidRDefault="006627D0" w:rsidP="006627D0">
            <w:pPr>
              <w:pStyle w:val="Tabletext"/>
              <w:jc w:val="center"/>
              <w:rPr>
                <w:lang w:val="en-US"/>
              </w:rPr>
            </w:pPr>
            <w:r w:rsidRPr="00C9191C">
              <w:rPr>
                <w:lang w:val="en-US"/>
              </w:rPr>
              <w:t>0,03</w:t>
            </w:r>
          </w:p>
        </w:tc>
        <w:tc>
          <w:tcPr>
            <w:tcW w:w="3305" w:type="dxa"/>
            <w:vAlign w:val="center"/>
          </w:tcPr>
          <w:p w:rsidR="006627D0" w:rsidRPr="00C9191C" w:rsidRDefault="006627D0" w:rsidP="006627D0">
            <w:pPr>
              <w:pStyle w:val="Tabletext"/>
              <w:jc w:val="center"/>
              <w:rPr>
                <w:lang w:val="en-US"/>
              </w:rPr>
            </w:pPr>
            <w:r w:rsidRPr="00C9191C">
              <w:rPr>
                <w:lang w:val="en-US"/>
              </w:rPr>
              <w:t>0,00 ± 0,10</w:t>
            </w:r>
          </w:p>
        </w:tc>
      </w:tr>
    </w:tbl>
    <w:p w:rsidR="000F3A11" w:rsidRPr="006627D0" w:rsidRDefault="000F3A11" w:rsidP="006627D0">
      <w:pPr>
        <w:pStyle w:val="Tabletext"/>
        <w:rPr>
          <w:b/>
          <w:lang w:val="en-US"/>
        </w:rPr>
      </w:pPr>
    </w:p>
    <w:p w:rsidR="000F3A11" w:rsidRDefault="000F3A11" w:rsidP="006627D0">
      <w:pPr>
        <w:pStyle w:val="Tabletext"/>
        <w:rPr>
          <w:rStyle w:val="a5"/>
          <w:caps/>
          <w:lang w:val="ru-RU"/>
        </w:rPr>
      </w:pPr>
      <w:r w:rsidRPr="006627D0">
        <w:rPr>
          <w:rStyle w:val="a5"/>
          <w:caps/>
          <w:lang w:val="en-US"/>
        </w:rPr>
        <w:t>Table 3 – Results of calculated and experimental discrepancies of reactivity margin in end of MC for «hot» core state, %Δk/k.</w:t>
      </w:r>
    </w:p>
    <w:p w:rsidR="006627D0" w:rsidRPr="006627D0" w:rsidRDefault="006627D0" w:rsidP="006627D0">
      <w:pPr>
        <w:pStyle w:val="Tabletext"/>
        <w:rPr>
          <w:rStyle w:val="a5"/>
          <w:caps/>
          <w:lang w:val="ru-RU"/>
        </w:rPr>
      </w:pPr>
    </w:p>
    <w:tbl>
      <w:tblPr>
        <w:tblStyle w:val="ae"/>
        <w:tblW w:w="0" w:type="auto"/>
        <w:tblBorders>
          <w:left w:val="none" w:sz="0" w:space="0" w:color="auto"/>
          <w:right w:val="none" w:sz="0" w:space="0" w:color="auto"/>
          <w:insideV w:val="none" w:sz="0" w:space="0" w:color="auto"/>
        </w:tblBorders>
        <w:tblLayout w:type="fixed"/>
        <w:tblLook w:val="04A0"/>
      </w:tblPr>
      <w:tblGrid>
        <w:gridCol w:w="1457"/>
        <w:gridCol w:w="716"/>
        <w:gridCol w:w="912"/>
        <w:gridCol w:w="851"/>
        <w:gridCol w:w="992"/>
        <w:gridCol w:w="1134"/>
        <w:gridCol w:w="3509"/>
      </w:tblGrid>
      <w:tr w:rsidR="006627D0" w:rsidRPr="006D532A" w:rsidTr="006627D0">
        <w:trPr>
          <w:trHeight w:val="1064"/>
        </w:trPr>
        <w:tc>
          <w:tcPr>
            <w:tcW w:w="1457" w:type="dxa"/>
            <w:tcBorders>
              <w:bottom w:val="single" w:sz="4" w:space="0" w:color="auto"/>
            </w:tcBorders>
            <w:vAlign w:val="center"/>
          </w:tcPr>
          <w:p w:rsidR="006627D0" w:rsidRPr="00C9191C" w:rsidRDefault="006627D0" w:rsidP="006627D0">
            <w:pPr>
              <w:pStyle w:val="Tabletext"/>
              <w:rPr>
                <w:lang w:val="en-US"/>
              </w:rPr>
            </w:pPr>
            <w:r w:rsidRPr="00C9191C">
              <w:rPr>
                <w:lang w:val="en-US"/>
              </w:rPr>
              <w:t>Code</w:t>
            </w:r>
          </w:p>
        </w:tc>
        <w:tc>
          <w:tcPr>
            <w:tcW w:w="716" w:type="dxa"/>
            <w:tcBorders>
              <w:bottom w:val="single" w:sz="4" w:space="0" w:color="auto"/>
            </w:tcBorders>
            <w:vAlign w:val="center"/>
          </w:tcPr>
          <w:p w:rsidR="006627D0" w:rsidRPr="00C9191C" w:rsidRDefault="006627D0" w:rsidP="006627D0">
            <w:pPr>
              <w:pStyle w:val="Tabletext"/>
              <w:jc w:val="center"/>
              <w:rPr>
                <w:lang w:val="en-US"/>
              </w:rPr>
            </w:pPr>
            <w:r w:rsidRPr="00C9191C">
              <w:rPr>
                <w:lang w:val="en-US"/>
              </w:rPr>
              <w:t>1MC</w:t>
            </w:r>
          </w:p>
        </w:tc>
        <w:tc>
          <w:tcPr>
            <w:tcW w:w="912" w:type="dxa"/>
            <w:tcBorders>
              <w:bottom w:val="single" w:sz="4" w:space="0" w:color="auto"/>
            </w:tcBorders>
            <w:vAlign w:val="center"/>
          </w:tcPr>
          <w:p w:rsidR="006627D0" w:rsidRPr="00C9191C" w:rsidRDefault="006627D0" w:rsidP="006627D0">
            <w:pPr>
              <w:pStyle w:val="Tabletext"/>
              <w:jc w:val="center"/>
              <w:rPr>
                <w:lang w:val="en-US"/>
              </w:rPr>
            </w:pPr>
            <w:r w:rsidRPr="00C9191C">
              <w:rPr>
                <w:lang w:val="en-US"/>
              </w:rPr>
              <w:t>2MC</w:t>
            </w:r>
          </w:p>
        </w:tc>
        <w:tc>
          <w:tcPr>
            <w:tcW w:w="851" w:type="dxa"/>
            <w:tcBorders>
              <w:bottom w:val="single" w:sz="4" w:space="0" w:color="auto"/>
            </w:tcBorders>
            <w:vAlign w:val="center"/>
          </w:tcPr>
          <w:p w:rsidR="006627D0" w:rsidRPr="00C9191C" w:rsidRDefault="006627D0" w:rsidP="006627D0">
            <w:pPr>
              <w:pStyle w:val="Tabletext"/>
              <w:jc w:val="center"/>
              <w:rPr>
                <w:lang w:val="en-US"/>
              </w:rPr>
            </w:pPr>
            <w:r w:rsidRPr="00C9191C">
              <w:rPr>
                <w:lang w:val="en-US"/>
              </w:rPr>
              <w:t>3 MC</w:t>
            </w:r>
          </w:p>
        </w:tc>
        <w:tc>
          <w:tcPr>
            <w:tcW w:w="992" w:type="dxa"/>
            <w:tcBorders>
              <w:bottom w:val="single" w:sz="4" w:space="0" w:color="auto"/>
            </w:tcBorders>
            <w:vAlign w:val="center"/>
          </w:tcPr>
          <w:p w:rsidR="006627D0" w:rsidRPr="00C9191C" w:rsidRDefault="006627D0" w:rsidP="006627D0">
            <w:pPr>
              <w:pStyle w:val="Tabletext"/>
              <w:jc w:val="center"/>
              <w:rPr>
                <w:lang w:val="en-US"/>
              </w:rPr>
            </w:pPr>
            <w:r w:rsidRPr="00C9191C">
              <w:rPr>
                <w:lang w:val="en-US"/>
              </w:rPr>
              <w:t>4 MC</w:t>
            </w:r>
          </w:p>
        </w:tc>
        <w:tc>
          <w:tcPr>
            <w:tcW w:w="1134" w:type="dxa"/>
            <w:tcBorders>
              <w:bottom w:val="single" w:sz="4" w:space="0" w:color="auto"/>
            </w:tcBorders>
            <w:vAlign w:val="center"/>
          </w:tcPr>
          <w:p w:rsidR="006627D0" w:rsidRPr="00C9191C" w:rsidRDefault="006627D0" w:rsidP="006627D0">
            <w:pPr>
              <w:pStyle w:val="Tabletext"/>
              <w:jc w:val="center"/>
              <w:rPr>
                <w:lang w:val="en-US"/>
              </w:rPr>
            </w:pPr>
            <w:r w:rsidRPr="00C9191C">
              <w:rPr>
                <w:lang w:val="en-US"/>
              </w:rPr>
              <w:t>5 MC</w:t>
            </w:r>
          </w:p>
        </w:tc>
        <w:tc>
          <w:tcPr>
            <w:tcW w:w="3509" w:type="dxa"/>
            <w:tcBorders>
              <w:bottom w:val="single" w:sz="4" w:space="0" w:color="auto"/>
            </w:tcBorders>
            <w:vAlign w:val="center"/>
          </w:tcPr>
          <w:p w:rsidR="006627D0" w:rsidRPr="00C9191C" w:rsidRDefault="006627D0" w:rsidP="006627D0">
            <w:pPr>
              <w:pStyle w:val="Tabletext"/>
              <w:jc w:val="center"/>
              <w:rPr>
                <w:lang w:val="en-US"/>
              </w:rPr>
            </w:pPr>
            <w:r w:rsidRPr="00C9191C">
              <w:rPr>
                <w:lang w:val="en-US"/>
              </w:rPr>
              <w:t>The average discrepancies of reactivity margin</w:t>
            </w:r>
          </w:p>
        </w:tc>
      </w:tr>
      <w:tr w:rsidR="006627D0" w:rsidRPr="00C9191C" w:rsidTr="006627D0">
        <w:trPr>
          <w:trHeight w:val="325"/>
        </w:trPr>
        <w:tc>
          <w:tcPr>
            <w:tcW w:w="1457" w:type="dxa"/>
            <w:tcBorders>
              <w:bottom w:val="nil"/>
              <w:right w:val="nil"/>
            </w:tcBorders>
            <w:vAlign w:val="center"/>
          </w:tcPr>
          <w:p w:rsidR="006627D0" w:rsidRPr="00C9191C" w:rsidRDefault="006627D0" w:rsidP="006627D0">
            <w:pPr>
              <w:pStyle w:val="Tabletext"/>
              <w:rPr>
                <w:lang w:val="en-US"/>
              </w:rPr>
            </w:pPr>
            <w:r w:rsidRPr="00C9191C">
              <w:rPr>
                <w:lang w:val="en-US"/>
              </w:rPr>
              <w:t>MMKC</w:t>
            </w:r>
          </w:p>
        </w:tc>
        <w:tc>
          <w:tcPr>
            <w:tcW w:w="716" w:type="dxa"/>
            <w:tcBorders>
              <w:left w:val="nil"/>
              <w:bottom w:val="nil"/>
              <w:right w:val="nil"/>
            </w:tcBorders>
            <w:vAlign w:val="center"/>
          </w:tcPr>
          <w:p w:rsidR="006627D0" w:rsidRPr="00C9191C" w:rsidRDefault="006627D0" w:rsidP="006627D0">
            <w:pPr>
              <w:pStyle w:val="Tabletext"/>
              <w:jc w:val="center"/>
            </w:pPr>
            <w:r w:rsidRPr="00C9191C">
              <w:rPr>
                <w:lang w:val="en-US"/>
              </w:rPr>
              <w:t>0</w:t>
            </w:r>
            <w:r w:rsidRPr="00C9191C">
              <w:t>,09</w:t>
            </w:r>
          </w:p>
        </w:tc>
        <w:tc>
          <w:tcPr>
            <w:tcW w:w="912" w:type="dxa"/>
            <w:tcBorders>
              <w:left w:val="nil"/>
              <w:bottom w:val="nil"/>
              <w:right w:val="nil"/>
            </w:tcBorders>
            <w:vAlign w:val="center"/>
          </w:tcPr>
          <w:p w:rsidR="006627D0" w:rsidRPr="00C9191C" w:rsidRDefault="006627D0" w:rsidP="006627D0">
            <w:pPr>
              <w:pStyle w:val="Tabletext"/>
              <w:jc w:val="center"/>
            </w:pPr>
            <w:r w:rsidRPr="00C9191C">
              <w:t>0,02</w:t>
            </w:r>
          </w:p>
        </w:tc>
        <w:tc>
          <w:tcPr>
            <w:tcW w:w="851" w:type="dxa"/>
            <w:tcBorders>
              <w:left w:val="nil"/>
              <w:bottom w:val="nil"/>
              <w:right w:val="nil"/>
            </w:tcBorders>
            <w:vAlign w:val="center"/>
          </w:tcPr>
          <w:p w:rsidR="006627D0" w:rsidRPr="00C9191C" w:rsidRDefault="006627D0" w:rsidP="006627D0">
            <w:pPr>
              <w:pStyle w:val="Tabletext"/>
              <w:jc w:val="center"/>
            </w:pPr>
            <w:r w:rsidRPr="00C9191C">
              <w:t>0,26</w:t>
            </w:r>
          </w:p>
        </w:tc>
        <w:tc>
          <w:tcPr>
            <w:tcW w:w="992" w:type="dxa"/>
            <w:tcBorders>
              <w:left w:val="nil"/>
              <w:bottom w:val="nil"/>
              <w:right w:val="nil"/>
            </w:tcBorders>
            <w:vAlign w:val="center"/>
          </w:tcPr>
          <w:p w:rsidR="006627D0" w:rsidRPr="00C9191C" w:rsidRDefault="006627D0" w:rsidP="006627D0">
            <w:pPr>
              <w:pStyle w:val="Tabletext"/>
              <w:jc w:val="center"/>
            </w:pPr>
            <w:r w:rsidRPr="00C9191C">
              <w:t>0,28</w:t>
            </w:r>
          </w:p>
        </w:tc>
        <w:tc>
          <w:tcPr>
            <w:tcW w:w="1134" w:type="dxa"/>
            <w:tcBorders>
              <w:left w:val="nil"/>
              <w:bottom w:val="nil"/>
              <w:right w:val="nil"/>
            </w:tcBorders>
            <w:vAlign w:val="center"/>
          </w:tcPr>
          <w:p w:rsidR="006627D0" w:rsidRPr="00C9191C" w:rsidRDefault="006627D0" w:rsidP="006627D0">
            <w:pPr>
              <w:pStyle w:val="Tabletext"/>
              <w:jc w:val="center"/>
            </w:pPr>
            <w:r w:rsidRPr="00C9191C">
              <w:t>-0,14</w:t>
            </w:r>
          </w:p>
        </w:tc>
        <w:tc>
          <w:tcPr>
            <w:tcW w:w="3509" w:type="dxa"/>
            <w:tcBorders>
              <w:left w:val="nil"/>
              <w:bottom w:val="nil"/>
            </w:tcBorders>
            <w:vAlign w:val="center"/>
          </w:tcPr>
          <w:p w:rsidR="006627D0" w:rsidRPr="00C9191C" w:rsidRDefault="006627D0" w:rsidP="006627D0">
            <w:pPr>
              <w:pStyle w:val="Tabletext"/>
              <w:jc w:val="center"/>
            </w:pPr>
            <w:r w:rsidRPr="00C9191C">
              <w:rPr>
                <w:lang w:val="en-US"/>
              </w:rPr>
              <w:t>0,</w:t>
            </w:r>
            <w:r w:rsidRPr="00C9191C">
              <w:t>1</w:t>
            </w:r>
            <w:r w:rsidRPr="00C9191C">
              <w:rPr>
                <w:lang w:val="en-US"/>
              </w:rPr>
              <w:t>0 ± 0,1</w:t>
            </w:r>
            <w:r w:rsidRPr="00C9191C">
              <w:t>6</w:t>
            </w:r>
          </w:p>
        </w:tc>
      </w:tr>
      <w:tr w:rsidR="006627D0" w:rsidRPr="00C9191C" w:rsidTr="006627D0">
        <w:trPr>
          <w:trHeight w:val="325"/>
        </w:trPr>
        <w:tc>
          <w:tcPr>
            <w:tcW w:w="1457" w:type="dxa"/>
            <w:tcBorders>
              <w:top w:val="nil"/>
              <w:bottom w:val="nil"/>
              <w:right w:val="nil"/>
            </w:tcBorders>
            <w:vAlign w:val="center"/>
          </w:tcPr>
          <w:p w:rsidR="006627D0" w:rsidRPr="00C9191C" w:rsidRDefault="006627D0" w:rsidP="006627D0">
            <w:pPr>
              <w:pStyle w:val="Tabletext"/>
              <w:rPr>
                <w:lang w:val="en-US"/>
              </w:rPr>
            </w:pPr>
            <w:r w:rsidRPr="00C9191C">
              <w:rPr>
                <w:lang w:val="en-US"/>
              </w:rPr>
              <w:t>GEFEST800</w:t>
            </w:r>
          </w:p>
        </w:tc>
        <w:tc>
          <w:tcPr>
            <w:tcW w:w="716" w:type="dxa"/>
            <w:tcBorders>
              <w:top w:val="nil"/>
              <w:left w:val="nil"/>
              <w:bottom w:val="nil"/>
              <w:right w:val="nil"/>
            </w:tcBorders>
            <w:vAlign w:val="center"/>
          </w:tcPr>
          <w:p w:rsidR="006627D0" w:rsidRPr="00C9191C" w:rsidRDefault="006627D0" w:rsidP="006627D0">
            <w:pPr>
              <w:pStyle w:val="Tabletext"/>
              <w:jc w:val="center"/>
              <w:rPr>
                <w:lang w:val="en-US"/>
              </w:rPr>
            </w:pPr>
            <w:r w:rsidRPr="00C9191C">
              <w:rPr>
                <w:lang w:val="en-US"/>
              </w:rPr>
              <w:t>-</w:t>
            </w:r>
          </w:p>
        </w:tc>
        <w:tc>
          <w:tcPr>
            <w:tcW w:w="912" w:type="dxa"/>
            <w:tcBorders>
              <w:top w:val="nil"/>
              <w:left w:val="nil"/>
              <w:bottom w:val="nil"/>
              <w:right w:val="nil"/>
            </w:tcBorders>
            <w:vAlign w:val="center"/>
          </w:tcPr>
          <w:p w:rsidR="006627D0" w:rsidRPr="00C9191C" w:rsidRDefault="006627D0" w:rsidP="006627D0">
            <w:pPr>
              <w:pStyle w:val="Tabletext"/>
              <w:jc w:val="center"/>
            </w:pPr>
            <w:r w:rsidRPr="00C9191C">
              <w:t>-0,17</w:t>
            </w:r>
          </w:p>
        </w:tc>
        <w:tc>
          <w:tcPr>
            <w:tcW w:w="851" w:type="dxa"/>
            <w:tcBorders>
              <w:top w:val="nil"/>
              <w:left w:val="nil"/>
              <w:bottom w:val="nil"/>
              <w:right w:val="nil"/>
            </w:tcBorders>
            <w:vAlign w:val="center"/>
          </w:tcPr>
          <w:p w:rsidR="006627D0" w:rsidRPr="00C9191C" w:rsidRDefault="006627D0" w:rsidP="006627D0">
            <w:pPr>
              <w:pStyle w:val="Tabletext"/>
              <w:jc w:val="center"/>
            </w:pPr>
            <w:r w:rsidRPr="00C9191C">
              <w:t>0,11</w:t>
            </w:r>
          </w:p>
        </w:tc>
        <w:tc>
          <w:tcPr>
            <w:tcW w:w="992" w:type="dxa"/>
            <w:tcBorders>
              <w:top w:val="nil"/>
              <w:left w:val="nil"/>
              <w:bottom w:val="nil"/>
              <w:right w:val="nil"/>
            </w:tcBorders>
            <w:vAlign w:val="center"/>
          </w:tcPr>
          <w:p w:rsidR="006627D0" w:rsidRPr="00C9191C" w:rsidRDefault="006627D0" w:rsidP="006627D0">
            <w:pPr>
              <w:pStyle w:val="Tabletext"/>
              <w:jc w:val="center"/>
            </w:pPr>
            <w:r w:rsidRPr="00C9191C">
              <w:t>0,17</w:t>
            </w:r>
          </w:p>
        </w:tc>
        <w:tc>
          <w:tcPr>
            <w:tcW w:w="1134" w:type="dxa"/>
            <w:tcBorders>
              <w:top w:val="nil"/>
              <w:left w:val="nil"/>
              <w:bottom w:val="nil"/>
              <w:right w:val="nil"/>
            </w:tcBorders>
            <w:vAlign w:val="center"/>
          </w:tcPr>
          <w:p w:rsidR="006627D0" w:rsidRPr="00C9191C" w:rsidRDefault="006627D0" w:rsidP="006627D0">
            <w:pPr>
              <w:pStyle w:val="Tabletext"/>
              <w:jc w:val="center"/>
            </w:pPr>
            <w:r w:rsidRPr="00C9191C">
              <w:t>-0,04</w:t>
            </w:r>
          </w:p>
        </w:tc>
        <w:tc>
          <w:tcPr>
            <w:tcW w:w="3509" w:type="dxa"/>
            <w:tcBorders>
              <w:top w:val="nil"/>
              <w:left w:val="nil"/>
              <w:bottom w:val="nil"/>
            </w:tcBorders>
            <w:vAlign w:val="center"/>
          </w:tcPr>
          <w:p w:rsidR="006627D0" w:rsidRPr="00C9191C" w:rsidRDefault="006627D0" w:rsidP="006627D0">
            <w:pPr>
              <w:pStyle w:val="Tabletext"/>
              <w:jc w:val="center"/>
            </w:pPr>
            <w:r w:rsidRPr="00C9191C">
              <w:rPr>
                <w:lang w:val="en-US"/>
              </w:rPr>
              <w:t>0,</w:t>
            </w:r>
            <w:r w:rsidRPr="00C9191C">
              <w:t>02</w:t>
            </w:r>
            <w:r w:rsidRPr="00C9191C">
              <w:rPr>
                <w:lang w:val="en-US"/>
              </w:rPr>
              <w:t xml:space="preserve"> ± 0,</w:t>
            </w:r>
            <w:r w:rsidRPr="00C9191C">
              <w:t>13</w:t>
            </w:r>
          </w:p>
        </w:tc>
      </w:tr>
      <w:tr w:rsidR="006627D0" w:rsidRPr="00C9191C" w:rsidTr="006627D0">
        <w:trPr>
          <w:trHeight w:val="345"/>
        </w:trPr>
        <w:tc>
          <w:tcPr>
            <w:tcW w:w="1457" w:type="dxa"/>
            <w:tcBorders>
              <w:top w:val="nil"/>
              <w:right w:val="nil"/>
            </w:tcBorders>
            <w:vAlign w:val="center"/>
          </w:tcPr>
          <w:p w:rsidR="006627D0" w:rsidRPr="00C9191C" w:rsidRDefault="006627D0" w:rsidP="006627D0">
            <w:pPr>
              <w:pStyle w:val="Tabletext"/>
              <w:rPr>
                <w:lang w:val="en-US"/>
              </w:rPr>
            </w:pPr>
            <w:r w:rsidRPr="00C9191C">
              <w:rPr>
                <w:lang w:val="en-US"/>
              </w:rPr>
              <w:t>JARFR</w:t>
            </w:r>
          </w:p>
        </w:tc>
        <w:tc>
          <w:tcPr>
            <w:tcW w:w="716" w:type="dxa"/>
            <w:tcBorders>
              <w:top w:val="nil"/>
              <w:left w:val="nil"/>
              <w:right w:val="nil"/>
            </w:tcBorders>
            <w:vAlign w:val="center"/>
          </w:tcPr>
          <w:p w:rsidR="006627D0" w:rsidRPr="00C9191C" w:rsidRDefault="006627D0" w:rsidP="006627D0">
            <w:pPr>
              <w:pStyle w:val="Tabletext"/>
              <w:jc w:val="center"/>
              <w:rPr>
                <w:lang w:val="en-US"/>
              </w:rPr>
            </w:pPr>
            <w:r w:rsidRPr="00C9191C">
              <w:rPr>
                <w:lang w:val="en-US"/>
              </w:rPr>
              <w:t>0,</w:t>
            </w:r>
            <w:r w:rsidRPr="00C9191C">
              <w:t>1</w:t>
            </w:r>
            <w:r w:rsidRPr="00C9191C">
              <w:rPr>
                <w:lang w:val="en-US"/>
              </w:rPr>
              <w:t>7</w:t>
            </w:r>
          </w:p>
        </w:tc>
        <w:tc>
          <w:tcPr>
            <w:tcW w:w="912" w:type="dxa"/>
            <w:tcBorders>
              <w:top w:val="nil"/>
              <w:left w:val="nil"/>
              <w:right w:val="nil"/>
            </w:tcBorders>
            <w:vAlign w:val="center"/>
          </w:tcPr>
          <w:p w:rsidR="006627D0" w:rsidRPr="00C9191C" w:rsidRDefault="006627D0" w:rsidP="006627D0">
            <w:pPr>
              <w:pStyle w:val="Tabletext"/>
              <w:jc w:val="center"/>
            </w:pPr>
            <w:r w:rsidRPr="00C9191C">
              <w:t>-0,06</w:t>
            </w:r>
          </w:p>
        </w:tc>
        <w:tc>
          <w:tcPr>
            <w:tcW w:w="851" w:type="dxa"/>
            <w:tcBorders>
              <w:top w:val="nil"/>
              <w:left w:val="nil"/>
              <w:right w:val="nil"/>
            </w:tcBorders>
            <w:vAlign w:val="center"/>
          </w:tcPr>
          <w:p w:rsidR="006627D0" w:rsidRPr="00C9191C" w:rsidRDefault="006627D0" w:rsidP="006627D0">
            <w:pPr>
              <w:pStyle w:val="Tabletext"/>
              <w:jc w:val="center"/>
            </w:pPr>
            <w:r w:rsidRPr="00C9191C">
              <w:t>0,03</w:t>
            </w:r>
          </w:p>
        </w:tc>
        <w:tc>
          <w:tcPr>
            <w:tcW w:w="992" w:type="dxa"/>
            <w:tcBorders>
              <w:top w:val="nil"/>
              <w:left w:val="nil"/>
              <w:right w:val="nil"/>
            </w:tcBorders>
            <w:vAlign w:val="center"/>
          </w:tcPr>
          <w:p w:rsidR="006627D0" w:rsidRPr="00C9191C" w:rsidRDefault="006627D0" w:rsidP="006627D0">
            <w:pPr>
              <w:pStyle w:val="Tabletext"/>
              <w:jc w:val="center"/>
            </w:pPr>
            <w:r w:rsidRPr="00C9191C">
              <w:t>0,07</w:t>
            </w:r>
          </w:p>
        </w:tc>
        <w:tc>
          <w:tcPr>
            <w:tcW w:w="1134" w:type="dxa"/>
            <w:tcBorders>
              <w:top w:val="nil"/>
              <w:left w:val="nil"/>
              <w:right w:val="nil"/>
            </w:tcBorders>
            <w:vAlign w:val="center"/>
          </w:tcPr>
          <w:p w:rsidR="006627D0" w:rsidRPr="00C9191C" w:rsidRDefault="006627D0" w:rsidP="006627D0">
            <w:pPr>
              <w:pStyle w:val="Tabletext"/>
              <w:jc w:val="center"/>
            </w:pPr>
            <w:r w:rsidRPr="00C9191C">
              <w:t>-0,21</w:t>
            </w:r>
          </w:p>
        </w:tc>
        <w:tc>
          <w:tcPr>
            <w:tcW w:w="3509" w:type="dxa"/>
            <w:tcBorders>
              <w:top w:val="nil"/>
              <w:left w:val="nil"/>
            </w:tcBorders>
            <w:vAlign w:val="center"/>
          </w:tcPr>
          <w:p w:rsidR="006627D0" w:rsidRPr="00C9191C" w:rsidRDefault="006627D0" w:rsidP="006627D0">
            <w:pPr>
              <w:pStyle w:val="Tabletext"/>
              <w:jc w:val="center"/>
            </w:pPr>
            <w:r w:rsidRPr="00C9191C">
              <w:rPr>
                <w:lang w:val="en-US"/>
              </w:rPr>
              <w:t>0,00 ± 0,1</w:t>
            </w:r>
            <w:r w:rsidRPr="00C9191C">
              <w:t>3</w:t>
            </w:r>
          </w:p>
        </w:tc>
      </w:tr>
    </w:tbl>
    <w:p w:rsidR="006627D0" w:rsidRPr="006627D0" w:rsidRDefault="006627D0" w:rsidP="006627D0">
      <w:pPr>
        <w:pStyle w:val="Tabletext"/>
        <w:rPr>
          <w:caps/>
          <w:lang w:val="ru-RU"/>
        </w:rPr>
      </w:pPr>
    </w:p>
    <w:p w:rsidR="000F3A11" w:rsidRPr="000F3A11" w:rsidRDefault="000F3A11" w:rsidP="000F3A11">
      <w:pPr>
        <w:pStyle w:val="a1"/>
        <w:rPr>
          <w:lang w:val="en-US"/>
        </w:rPr>
      </w:pPr>
    </w:p>
    <w:p w:rsidR="000F3A11" w:rsidRPr="000F3A11" w:rsidRDefault="000F3A11" w:rsidP="000F3A11">
      <w:pPr>
        <w:pStyle w:val="a1"/>
        <w:rPr>
          <w:lang w:val="en-US"/>
        </w:rPr>
      </w:pPr>
      <w:r w:rsidRPr="000F3A11">
        <w:rPr>
          <w:lang w:val="en-US"/>
        </w:rPr>
        <w:t>From the results presented in Tables 2 and 3, it follows:</w:t>
      </w:r>
    </w:p>
    <w:p w:rsidR="000F3A11" w:rsidRPr="000F3A11" w:rsidRDefault="000F3A11" w:rsidP="006627D0">
      <w:pPr>
        <w:pStyle w:val="ListEmdash"/>
        <w:rPr>
          <w:lang w:val="en-US"/>
        </w:rPr>
      </w:pPr>
      <w:r w:rsidRPr="000F3A11">
        <w:rPr>
          <w:lang w:val="en-US"/>
        </w:rPr>
        <w:t xml:space="preserve"> the average deviation of the calculation results from the experiments for the states at the end of the campaign is not large for all codes and does not exceed 0.1 % </w:t>
      </w:r>
      <w:proofErr w:type="spellStart"/>
      <w:r w:rsidRPr="000F3A11">
        <w:rPr>
          <w:lang w:val="en-US"/>
        </w:rPr>
        <w:t>Δk</w:t>
      </w:r>
      <w:proofErr w:type="spellEnd"/>
      <w:r w:rsidRPr="000F3A11">
        <w:rPr>
          <w:lang w:val="en-US"/>
        </w:rPr>
        <w:t>/k;</w:t>
      </w:r>
    </w:p>
    <w:p w:rsidR="000F3A11" w:rsidRPr="000F3A11" w:rsidRDefault="000F3A11" w:rsidP="006627D0">
      <w:pPr>
        <w:pStyle w:val="ListEmdash"/>
        <w:rPr>
          <w:lang w:val="en-US"/>
        </w:rPr>
      </w:pPr>
      <w:r w:rsidRPr="000F3A11">
        <w:rPr>
          <w:lang w:val="en-US"/>
        </w:rPr>
        <w:t xml:space="preserve"> </w:t>
      </w:r>
      <w:proofErr w:type="gramStart"/>
      <w:r w:rsidRPr="000F3A11">
        <w:rPr>
          <w:lang w:val="en-US"/>
        </w:rPr>
        <w:t>the</w:t>
      </w:r>
      <w:proofErr w:type="gramEnd"/>
      <w:r w:rsidRPr="000F3A11">
        <w:rPr>
          <w:lang w:val="en-US"/>
        </w:rPr>
        <w:t xml:space="preserve"> deviation of the calculation results at the beginning of the micro-company is slightly greater, which is due to the greater depth of immersion of the absorbing rods (the reactivity margin is determined by the efficiency of their submerged part).</w:t>
      </w:r>
    </w:p>
    <w:p w:rsidR="000F3A11" w:rsidRPr="000F3A11" w:rsidRDefault="000F3A11" w:rsidP="000F3A11">
      <w:pPr>
        <w:pStyle w:val="a1"/>
        <w:rPr>
          <w:lang w:val="en-US"/>
        </w:rPr>
      </w:pPr>
    </w:p>
    <w:p w:rsidR="000F3A11" w:rsidRPr="000F3A11" w:rsidRDefault="000F3A11" w:rsidP="000F3A11">
      <w:pPr>
        <w:pStyle w:val="2"/>
        <w:rPr>
          <w:lang w:val="en-US"/>
        </w:rPr>
      </w:pPr>
      <w:r w:rsidRPr="000F3A11">
        <w:rPr>
          <w:lang w:val="en-US"/>
        </w:rPr>
        <w:t>Calculations of effectiveness of CPS rods</w:t>
      </w:r>
    </w:p>
    <w:p w:rsidR="000F3A11" w:rsidRPr="000F3A11" w:rsidRDefault="000F3A11" w:rsidP="000F3A11">
      <w:pPr>
        <w:pStyle w:val="a1"/>
        <w:rPr>
          <w:lang w:val="en-US"/>
        </w:rPr>
      </w:pPr>
    </w:p>
    <w:p w:rsidR="000F3A11" w:rsidRPr="000F3A11" w:rsidRDefault="000F3A11" w:rsidP="000F3A11">
      <w:pPr>
        <w:pStyle w:val="a1"/>
        <w:rPr>
          <w:lang w:val="en-US"/>
        </w:rPr>
      </w:pPr>
      <w:r w:rsidRPr="000F3A11">
        <w:rPr>
          <w:lang w:val="en-US"/>
        </w:rPr>
        <w:t xml:space="preserve">Studies of the efficiency of the CPS rods were carried out according to the calculated codes of the MMKC, GEFEST800, </w:t>
      </w:r>
      <w:proofErr w:type="gramStart"/>
      <w:r w:rsidRPr="000F3A11">
        <w:rPr>
          <w:lang w:val="en-US"/>
        </w:rPr>
        <w:t>JARFR</w:t>
      </w:r>
      <w:proofErr w:type="gramEnd"/>
      <w:r w:rsidRPr="000F3A11">
        <w:rPr>
          <w:lang w:val="en-US"/>
        </w:rPr>
        <w:t>. Figures 3-6 show the average values for the groups of CPS of calculated and experimental deviations for all three calculation codes.</w:t>
      </w:r>
    </w:p>
    <w:p w:rsidR="000F3A11" w:rsidRPr="000F3A11" w:rsidRDefault="00EB3B69" w:rsidP="00EB3B69">
      <w:pPr>
        <w:pStyle w:val="a1"/>
        <w:ind w:firstLine="0"/>
        <w:jc w:val="center"/>
        <w:rPr>
          <w:lang w:val="en-US"/>
        </w:rPr>
      </w:pPr>
      <w:r w:rsidRPr="00EB3B69">
        <w:rPr>
          <w:lang w:val="en-US"/>
        </w:rPr>
        <w:drawing>
          <wp:inline distT="0" distB="0" distL="0" distR="0">
            <wp:extent cx="5732145" cy="2444091"/>
            <wp:effectExtent l="19050" t="0" r="1905"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732145" cy="2444091"/>
                    </a:xfrm>
                    <a:prstGeom prst="rect">
                      <a:avLst/>
                    </a:prstGeom>
                    <a:noFill/>
                  </pic:spPr>
                </pic:pic>
              </a:graphicData>
            </a:graphic>
          </wp:inline>
        </w:drawing>
      </w:r>
    </w:p>
    <w:p w:rsidR="00EB3B69" w:rsidRDefault="000F3A11" w:rsidP="00EB3B69">
      <w:pPr>
        <w:pStyle w:val="Figurecaption"/>
        <w:rPr>
          <w:lang w:val="ru-RU"/>
        </w:rPr>
      </w:pPr>
      <w:r w:rsidRPr="000F3A11">
        <w:rPr>
          <w:lang w:val="en-US"/>
        </w:rPr>
        <w:t>Figure 3 – Average deviation values of effectiveness of SR rods</w:t>
      </w:r>
    </w:p>
    <w:p w:rsidR="000F3A11" w:rsidRPr="000F3A11" w:rsidRDefault="00EB3B69" w:rsidP="00EB3B69">
      <w:pPr>
        <w:pStyle w:val="Figurecaption"/>
        <w:ind w:firstLine="0"/>
        <w:rPr>
          <w:lang w:val="en-US"/>
        </w:rPr>
      </w:pPr>
      <w:r w:rsidRPr="00EB3B69">
        <w:rPr>
          <w:lang w:val="en-US"/>
        </w:rPr>
        <w:lastRenderedPageBreak/>
        <w:drawing>
          <wp:inline distT="0" distB="0" distL="0" distR="0">
            <wp:extent cx="5732145" cy="2444919"/>
            <wp:effectExtent l="19050" t="0" r="1905"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5732145" cy="2444919"/>
                    </a:xfrm>
                    <a:prstGeom prst="rect">
                      <a:avLst/>
                    </a:prstGeom>
                    <a:noFill/>
                  </pic:spPr>
                </pic:pic>
              </a:graphicData>
            </a:graphic>
          </wp:inline>
        </w:drawing>
      </w:r>
    </w:p>
    <w:p w:rsidR="000F3A11" w:rsidRDefault="000F3A11" w:rsidP="00EB3B69">
      <w:pPr>
        <w:pStyle w:val="Figurecaption"/>
        <w:rPr>
          <w:lang w:val="ru-RU"/>
        </w:rPr>
      </w:pPr>
      <w:r w:rsidRPr="000F3A11">
        <w:rPr>
          <w:lang w:val="en-US"/>
        </w:rPr>
        <w:t>Figure 4 – Average deviation values of effectiveness of CR rods</w:t>
      </w:r>
    </w:p>
    <w:p w:rsidR="00EB3B69" w:rsidRPr="00EB3B69" w:rsidRDefault="00EB3B69" w:rsidP="00EB3B69">
      <w:pPr>
        <w:pStyle w:val="Figurecaption"/>
        <w:rPr>
          <w:lang w:val="ru-RU"/>
        </w:rPr>
      </w:pPr>
    </w:p>
    <w:p w:rsidR="000F3A11" w:rsidRPr="000F3A11" w:rsidRDefault="00EB3B69" w:rsidP="00EB3B69">
      <w:pPr>
        <w:pStyle w:val="Figurecaption"/>
        <w:ind w:firstLine="0"/>
        <w:rPr>
          <w:lang w:val="en-US"/>
        </w:rPr>
      </w:pPr>
      <w:r w:rsidRPr="00EB3B69">
        <w:rPr>
          <w:lang w:val="en-US"/>
        </w:rPr>
        <w:drawing>
          <wp:inline distT="0" distB="0" distL="0" distR="0">
            <wp:extent cx="5732145" cy="2441759"/>
            <wp:effectExtent l="19050" t="0" r="1905"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5732145" cy="2441759"/>
                    </a:xfrm>
                    <a:prstGeom prst="rect">
                      <a:avLst/>
                    </a:prstGeom>
                    <a:noFill/>
                  </pic:spPr>
                </pic:pic>
              </a:graphicData>
            </a:graphic>
          </wp:inline>
        </w:drawing>
      </w:r>
    </w:p>
    <w:p w:rsidR="00EB3B69" w:rsidRDefault="000F3A11" w:rsidP="00EB3B69">
      <w:pPr>
        <w:pStyle w:val="Figurecaption"/>
        <w:rPr>
          <w:lang w:val="ru-RU"/>
        </w:rPr>
      </w:pPr>
      <w:r w:rsidRPr="000F3A11">
        <w:rPr>
          <w:lang w:val="en-US"/>
        </w:rPr>
        <w:t>Figure 5 – Average deviation values of effectiveness of PSR rods</w:t>
      </w:r>
    </w:p>
    <w:p w:rsidR="00EB3B69" w:rsidRPr="00EB3B69" w:rsidRDefault="00EB3B69" w:rsidP="00EB3B69">
      <w:pPr>
        <w:pStyle w:val="Figurecaption"/>
        <w:rPr>
          <w:lang w:val="ru-RU"/>
        </w:rPr>
      </w:pPr>
    </w:p>
    <w:p w:rsidR="000F3A11" w:rsidRPr="000F3A11" w:rsidRDefault="00EB3B69" w:rsidP="00EB3B69">
      <w:pPr>
        <w:pStyle w:val="Figurecaption"/>
        <w:ind w:firstLine="0"/>
        <w:rPr>
          <w:lang w:val="en-US"/>
        </w:rPr>
      </w:pPr>
      <w:r w:rsidRPr="00EB3B69">
        <w:rPr>
          <w:lang w:val="en-US"/>
        </w:rPr>
        <w:drawing>
          <wp:inline distT="0" distB="0" distL="0" distR="0">
            <wp:extent cx="5732145" cy="2444137"/>
            <wp:effectExtent l="19050" t="0" r="1905"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732145" cy="2444137"/>
                    </a:xfrm>
                    <a:prstGeom prst="rect">
                      <a:avLst/>
                    </a:prstGeom>
                    <a:noFill/>
                  </pic:spPr>
                </pic:pic>
              </a:graphicData>
            </a:graphic>
          </wp:inline>
        </w:drawing>
      </w:r>
    </w:p>
    <w:p w:rsidR="000F3A11" w:rsidRDefault="000F3A11" w:rsidP="00EB3B69">
      <w:pPr>
        <w:pStyle w:val="Figurecaption"/>
        <w:rPr>
          <w:lang w:val="ru-RU"/>
        </w:rPr>
      </w:pPr>
      <w:r w:rsidRPr="000F3A11">
        <w:rPr>
          <w:lang w:val="en-US"/>
        </w:rPr>
        <w:t>Figure 6 – Average deviation values of effectiveness of RR rods</w:t>
      </w:r>
    </w:p>
    <w:p w:rsidR="00EB3B69" w:rsidRPr="00EB3B69" w:rsidRDefault="00EB3B69" w:rsidP="00EB3B69">
      <w:pPr>
        <w:pStyle w:val="Figurecaption"/>
        <w:rPr>
          <w:lang w:val="ru-RU"/>
        </w:rPr>
      </w:pPr>
    </w:p>
    <w:p w:rsidR="000F3A11" w:rsidRPr="000F3A11" w:rsidRDefault="000F3A11" w:rsidP="000F3A11">
      <w:pPr>
        <w:pStyle w:val="a1"/>
        <w:rPr>
          <w:lang w:val="en-US"/>
        </w:rPr>
      </w:pPr>
      <w:r w:rsidRPr="000F3A11">
        <w:rPr>
          <w:lang w:val="en-US"/>
        </w:rPr>
        <w:t>In each figure, a corridor of ±15% is highlighted, which is drawn according to the maximum observed differences between the averaged values and the experiment. Based on the results presented in Figures 3-6, the following conclusions can be drawn:</w:t>
      </w:r>
    </w:p>
    <w:p w:rsidR="000F3A11" w:rsidRPr="000F3A11" w:rsidRDefault="000F3A11" w:rsidP="00EB3B69">
      <w:pPr>
        <w:pStyle w:val="ListEmdash"/>
        <w:rPr>
          <w:lang w:val="en-US"/>
        </w:rPr>
      </w:pPr>
      <w:r w:rsidRPr="000F3A11">
        <w:rPr>
          <w:lang w:val="en-US"/>
        </w:rPr>
        <w:lastRenderedPageBreak/>
        <w:t>the calculated results for the main groups of CPS (CR and SR) are in good agreement both with each other and with the experimental values;</w:t>
      </w:r>
    </w:p>
    <w:p w:rsidR="000F3A11" w:rsidRPr="000F3A11" w:rsidRDefault="000F3A11" w:rsidP="00EB3B69">
      <w:pPr>
        <w:pStyle w:val="ListEmdash"/>
        <w:rPr>
          <w:lang w:val="en-US"/>
        </w:rPr>
      </w:pPr>
      <w:r w:rsidRPr="000F3A11">
        <w:rPr>
          <w:lang w:val="en-US"/>
        </w:rPr>
        <w:t>the spread of the calculated results for SR at the beginning of the MC is slightly greater than in the end of MC;</w:t>
      </w:r>
    </w:p>
    <w:p w:rsidR="000F3A11" w:rsidRPr="000F3A11" w:rsidRDefault="000F3A11" w:rsidP="00EB3B69">
      <w:pPr>
        <w:pStyle w:val="ListEmdash"/>
        <w:rPr>
          <w:lang w:val="en-US"/>
        </w:rPr>
      </w:pPr>
      <w:proofErr w:type="gramStart"/>
      <w:r w:rsidRPr="000F3A11">
        <w:rPr>
          <w:lang w:val="en-US"/>
        </w:rPr>
        <w:t>the</w:t>
      </w:r>
      <w:proofErr w:type="gramEnd"/>
      <w:r w:rsidRPr="000F3A11">
        <w:rPr>
          <w:lang w:val="en-US"/>
        </w:rPr>
        <w:t xml:space="preserve"> greatest variation in the calculated results is observed for the «lightest» RR rods both between themselves and with experimental values. However, even in this case, the calculated experimental discrepancies do not go beyond the outlined corridor.</w:t>
      </w:r>
    </w:p>
    <w:p w:rsidR="000F3A11" w:rsidRPr="000F3A11" w:rsidRDefault="000F3A11" w:rsidP="000F3A11">
      <w:pPr>
        <w:pStyle w:val="2"/>
        <w:rPr>
          <w:lang w:val="en-US"/>
        </w:rPr>
      </w:pPr>
      <w:r w:rsidRPr="000F3A11">
        <w:rPr>
          <w:lang w:val="en-US"/>
        </w:rPr>
        <w:t>Calculations of the balance of reactivity</w:t>
      </w:r>
    </w:p>
    <w:p w:rsidR="000F3A11" w:rsidRPr="000F3A11" w:rsidRDefault="000F3A11" w:rsidP="000F3A11">
      <w:pPr>
        <w:pStyle w:val="a1"/>
        <w:rPr>
          <w:lang w:val="en-US"/>
        </w:rPr>
      </w:pPr>
      <w:r w:rsidRPr="000F3A11">
        <w:rPr>
          <w:lang w:val="en-US"/>
        </w:rPr>
        <w:t xml:space="preserve">Calculated values of reactor </w:t>
      </w:r>
      <w:proofErr w:type="spellStart"/>
      <w:r w:rsidRPr="000F3A11">
        <w:rPr>
          <w:lang w:val="en-US"/>
        </w:rPr>
        <w:t>subcriticity</w:t>
      </w:r>
      <w:proofErr w:type="spellEnd"/>
      <w:r w:rsidRPr="000F3A11">
        <w:rPr>
          <w:lang w:val="en-US"/>
        </w:rPr>
        <w:t xml:space="preserve"> levels in overload states (not less </w:t>
      </w:r>
      <w:proofErr w:type="gramStart"/>
      <w:r w:rsidRPr="000F3A11">
        <w:rPr>
          <w:lang w:val="en-US"/>
        </w:rPr>
        <w:t>than  2</w:t>
      </w:r>
      <w:proofErr w:type="gramEnd"/>
      <w:r w:rsidRPr="000F3A11">
        <w:rPr>
          <w:lang w:val="en-US"/>
        </w:rPr>
        <w:t xml:space="preserve"> %</w:t>
      </w:r>
      <w:proofErr w:type="spellStart"/>
      <w:r w:rsidRPr="000F3A11">
        <w:rPr>
          <w:lang w:val="en-US"/>
        </w:rPr>
        <w:t>Δk</w:t>
      </w:r>
      <w:proofErr w:type="spellEnd"/>
      <w:r w:rsidRPr="000F3A11">
        <w:rPr>
          <w:lang w:val="en-US"/>
        </w:rPr>
        <w:t>/k) and after withdrawal of the SR rods (at least 1 %</w:t>
      </w:r>
      <w:proofErr w:type="spellStart"/>
      <w:r w:rsidRPr="000F3A11">
        <w:rPr>
          <w:lang w:val="en-US"/>
        </w:rPr>
        <w:t>Δk</w:t>
      </w:r>
      <w:proofErr w:type="spellEnd"/>
      <w:r w:rsidRPr="000F3A11">
        <w:rPr>
          <w:lang w:val="en-US"/>
        </w:rPr>
        <w:t>/k) for states with the maximum reactivity margin (the beginning of micro-</w:t>
      </w:r>
      <w:proofErr w:type="spellStart"/>
      <w:r w:rsidRPr="000F3A11">
        <w:rPr>
          <w:lang w:val="en-US"/>
        </w:rPr>
        <w:t>companys</w:t>
      </w:r>
      <w:proofErr w:type="spellEnd"/>
      <w:r w:rsidRPr="000F3A11">
        <w:rPr>
          <w:lang w:val="en-US"/>
        </w:rPr>
        <w:t>) are presented in Tables 4-5. The results are presented for the MMKC and JARFR codes for the first five micro-</w:t>
      </w:r>
      <w:proofErr w:type="spellStart"/>
      <w:r w:rsidRPr="000F3A11">
        <w:rPr>
          <w:lang w:val="en-US"/>
        </w:rPr>
        <w:t>companys</w:t>
      </w:r>
      <w:proofErr w:type="spellEnd"/>
      <w:r w:rsidRPr="000F3A11">
        <w:rPr>
          <w:lang w:val="en-US"/>
        </w:rPr>
        <w:t>.</w:t>
      </w:r>
    </w:p>
    <w:p w:rsidR="000F3A11" w:rsidRPr="000F3A11" w:rsidRDefault="000F3A11" w:rsidP="000F3A11">
      <w:pPr>
        <w:pStyle w:val="a1"/>
        <w:rPr>
          <w:lang w:val="en-US"/>
        </w:rPr>
      </w:pPr>
    </w:p>
    <w:p w:rsidR="000F3A11" w:rsidRDefault="000F3A11" w:rsidP="00EB3B69">
      <w:pPr>
        <w:pStyle w:val="a1"/>
        <w:ind w:firstLine="0"/>
        <w:rPr>
          <w:caps/>
          <w:lang w:val="ru-RU"/>
        </w:rPr>
      </w:pPr>
      <w:r w:rsidRPr="00EB3B69">
        <w:rPr>
          <w:caps/>
        </w:rPr>
        <w:t>Table 4 – The difference in the level of subcriticality of the reactor for five micro-campanys</w:t>
      </w:r>
    </w:p>
    <w:p w:rsidR="00EB3B69" w:rsidRDefault="00EB3B69" w:rsidP="00EB3B69">
      <w:pPr>
        <w:pStyle w:val="a1"/>
        <w:ind w:firstLine="0"/>
        <w:rPr>
          <w:caps/>
          <w:lang w:val="ru-RU"/>
        </w:rPr>
      </w:pPr>
    </w:p>
    <w:tbl>
      <w:tblPr>
        <w:tblW w:w="9398" w:type="dxa"/>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tblPr>
      <w:tblGrid>
        <w:gridCol w:w="2847"/>
        <w:gridCol w:w="1424"/>
        <w:gridCol w:w="1282"/>
        <w:gridCol w:w="1281"/>
        <w:gridCol w:w="1282"/>
        <w:gridCol w:w="1282"/>
      </w:tblGrid>
      <w:tr w:rsidR="00EB3B69" w:rsidRPr="006D532A" w:rsidTr="00EB3B69">
        <w:trPr>
          <w:trHeight w:val="225"/>
        </w:trPr>
        <w:tc>
          <w:tcPr>
            <w:tcW w:w="2847" w:type="dxa"/>
            <w:vMerge w:val="restart"/>
            <w:vAlign w:val="center"/>
            <w:hideMark/>
          </w:tcPr>
          <w:p w:rsidR="00EB3B69" w:rsidRPr="00C9191C" w:rsidRDefault="00EB3B69" w:rsidP="00EB3B69">
            <w:pPr>
              <w:pStyle w:val="Tabletext"/>
              <w:rPr>
                <w:lang w:val="en-US"/>
              </w:rPr>
            </w:pPr>
            <w:r w:rsidRPr="00C9191C">
              <w:rPr>
                <w:lang w:val="en-US"/>
              </w:rPr>
              <w:t>Code</w:t>
            </w:r>
          </w:p>
        </w:tc>
        <w:tc>
          <w:tcPr>
            <w:tcW w:w="6550" w:type="dxa"/>
            <w:gridSpan w:val="5"/>
            <w:vAlign w:val="center"/>
            <w:hideMark/>
          </w:tcPr>
          <w:p w:rsidR="00EB3B69" w:rsidRPr="00C9191C" w:rsidRDefault="00EB3B69" w:rsidP="00EB3B69">
            <w:pPr>
              <w:pStyle w:val="Tabletext"/>
              <w:jc w:val="center"/>
              <w:rPr>
                <w:lang w:val="en-US"/>
              </w:rPr>
            </w:pPr>
            <w:r w:rsidRPr="00C9191C">
              <w:rPr>
                <w:lang w:val="en-US"/>
              </w:rPr>
              <w:t xml:space="preserve">The difference in the level of </w:t>
            </w:r>
            <w:proofErr w:type="spellStart"/>
            <w:r w:rsidRPr="00C9191C">
              <w:rPr>
                <w:lang w:val="en-US"/>
              </w:rPr>
              <w:t>subcriticality</w:t>
            </w:r>
            <w:proofErr w:type="spellEnd"/>
            <w:r w:rsidRPr="00C9191C">
              <w:rPr>
                <w:lang w:val="en-US"/>
              </w:rPr>
              <w:t xml:space="preserve"> of the reactor for </w:t>
            </w:r>
            <w:r>
              <w:rPr>
                <w:lang w:val="en-US"/>
              </w:rPr>
              <w:t>micro-</w:t>
            </w:r>
            <w:proofErr w:type="spellStart"/>
            <w:r>
              <w:rPr>
                <w:lang w:val="en-US"/>
              </w:rPr>
              <w:t>campany</w:t>
            </w:r>
            <w:r w:rsidRPr="00C9191C">
              <w:rPr>
                <w:lang w:val="en-US"/>
              </w:rPr>
              <w:t>s</w:t>
            </w:r>
            <w:proofErr w:type="spellEnd"/>
            <w:r w:rsidRPr="00C9191C">
              <w:rPr>
                <w:lang w:val="en-US"/>
              </w:rPr>
              <w:t>, %</w:t>
            </w:r>
            <w:proofErr w:type="spellStart"/>
            <w:r w:rsidRPr="00C9191C">
              <w:rPr>
                <w:lang w:val="en-US"/>
              </w:rPr>
              <w:t>Δk</w:t>
            </w:r>
            <w:proofErr w:type="spellEnd"/>
            <w:r w:rsidRPr="00C9191C">
              <w:rPr>
                <w:lang w:val="en-US"/>
              </w:rPr>
              <w:t>/k</w:t>
            </w:r>
          </w:p>
        </w:tc>
      </w:tr>
      <w:tr w:rsidR="00EB3B69" w:rsidRPr="00C9191C" w:rsidTr="00EB3B69">
        <w:trPr>
          <w:trHeight w:val="310"/>
        </w:trPr>
        <w:tc>
          <w:tcPr>
            <w:tcW w:w="2847" w:type="dxa"/>
            <w:vMerge/>
            <w:vAlign w:val="center"/>
            <w:hideMark/>
          </w:tcPr>
          <w:p w:rsidR="00EB3B69" w:rsidRPr="00C9191C" w:rsidRDefault="00EB3B69" w:rsidP="00EB3B69">
            <w:pPr>
              <w:pStyle w:val="Tabletext"/>
              <w:rPr>
                <w:lang w:val="en-US"/>
              </w:rPr>
            </w:pPr>
          </w:p>
        </w:tc>
        <w:tc>
          <w:tcPr>
            <w:tcW w:w="1424" w:type="dxa"/>
            <w:vAlign w:val="center"/>
            <w:hideMark/>
          </w:tcPr>
          <w:p w:rsidR="00EB3B69" w:rsidRPr="00C9191C" w:rsidRDefault="00EB3B69" w:rsidP="00EB3B69">
            <w:pPr>
              <w:pStyle w:val="Tabletext"/>
              <w:jc w:val="center"/>
              <w:rPr>
                <w:lang w:val="en-US"/>
              </w:rPr>
            </w:pPr>
            <w:r w:rsidRPr="00C9191C">
              <w:rPr>
                <w:lang w:val="en-US"/>
              </w:rPr>
              <w:t>1MC</w:t>
            </w:r>
          </w:p>
        </w:tc>
        <w:tc>
          <w:tcPr>
            <w:tcW w:w="1282" w:type="dxa"/>
            <w:vAlign w:val="center"/>
            <w:hideMark/>
          </w:tcPr>
          <w:p w:rsidR="00EB3B69" w:rsidRPr="00C9191C" w:rsidRDefault="00EB3B69" w:rsidP="00EB3B69">
            <w:pPr>
              <w:pStyle w:val="Tabletext"/>
              <w:jc w:val="center"/>
              <w:rPr>
                <w:lang w:val="en-US"/>
              </w:rPr>
            </w:pPr>
            <w:r w:rsidRPr="00C9191C">
              <w:rPr>
                <w:lang w:val="en-US"/>
              </w:rPr>
              <w:t>2MC</w:t>
            </w:r>
          </w:p>
        </w:tc>
        <w:tc>
          <w:tcPr>
            <w:tcW w:w="1281" w:type="dxa"/>
            <w:vAlign w:val="center"/>
            <w:hideMark/>
          </w:tcPr>
          <w:p w:rsidR="00EB3B69" w:rsidRPr="00C9191C" w:rsidRDefault="00EB3B69" w:rsidP="00EB3B69">
            <w:pPr>
              <w:pStyle w:val="Tabletext"/>
              <w:jc w:val="center"/>
              <w:rPr>
                <w:lang w:val="en-US"/>
              </w:rPr>
            </w:pPr>
            <w:r w:rsidRPr="00C9191C">
              <w:rPr>
                <w:lang w:val="en-US"/>
              </w:rPr>
              <w:t>3 MC</w:t>
            </w:r>
          </w:p>
        </w:tc>
        <w:tc>
          <w:tcPr>
            <w:tcW w:w="1282" w:type="dxa"/>
            <w:vAlign w:val="center"/>
            <w:hideMark/>
          </w:tcPr>
          <w:p w:rsidR="00EB3B69" w:rsidRPr="00C9191C" w:rsidRDefault="00EB3B69" w:rsidP="00EB3B69">
            <w:pPr>
              <w:pStyle w:val="Tabletext"/>
              <w:jc w:val="center"/>
              <w:rPr>
                <w:lang w:val="en-US"/>
              </w:rPr>
            </w:pPr>
            <w:r w:rsidRPr="00C9191C">
              <w:rPr>
                <w:lang w:val="en-US"/>
              </w:rPr>
              <w:t>4 MC</w:t>
            </w:r>
          </w:p>
        </w:tc>
        <w:tc>
          <w:tcPr>
            <w:tcW w:w="1282" w:type="dxa"/>
            <w:vAlign w:val="center"/>
            <w:hideMark/>
          </w:tcPr>
          <w:p w:rsidR="00EB3B69" w:rsidRPr="00C9191C" w:rsidRDefault="00EB3B69" w:rsidP="00EB3B69">
            <w:pPr>
              <w:pStyle w:val="Tabletext"/>
              <w:jc w:val="center"/>
              <w:rPr>
                <w:lang w:val="en-US"/>
              </w:rPr>
            </w:pPr>
            <w:r w:rsidRPr="00C9191C">
              <w:rPr>
                <w:lang w:val="en-US"/>
              </w:rPr>
              <w:t>5 MC</w:t>
            </w:r>
          </w:p>
        </w:tc>
      </w:tr>
      <w:tr w:rsidR="00EB3B69" w:rsidRPr="00C9191C" w:rsidTr="00EB3B69">
        <w:trPr>
          <w:trHeight w:val="238"/>
        </w:trPr>
        <w:tc>
          <w:tcPr>
            <w:tcW w:w="2847" w:type="dxa"/>
            <w:vAlign w:val="center"/>
            <w:hideMark/>
          </w:tcPr>
          <w:p w:rsidR="00EB3B69" w:rsidRPr="00C9191C" w:rsidRDefault="00EB3B69" w:rsidP="00EB3B69">
            <w:pPr>
              <w:pStyle w:val="Tabletext"/>
              <w:rPr>
                <w:lang w:val="en-US"/>
              </w:rPr>
            </w:pPr>
            <w:r w:rsidRPr="00C9191C">
              <w:rPr>
                <w:lang w:val="en-US"/>
              </w:rPr>
              <w:t>MMKC</w:t>
            </w:r>
          </w:p>
        </w:tc>
        <w:tc>
          <w:tcPr>
            <w:tcW w:w="1424" w:type="dxa"/>
            <w:vAlign w:val="center"/>
            <w:hideMark/>
          </w:tcPr>
          <w:p w:rsidR="00EB3B69" w:rsidRPr="00C9191C" w:rsidRDefault="00EB3B69" w:rsidP="00EB3B69">
            <w:pPr>
              <w:pStyle w:val="Tabletext"/>
              <w:jc w:val="center"/>
              <w:rPr>
                <w:lang w:val="en-US"/>
              </w:rPr>
            </w:pPr>
            <w:r w:rsidRPr="00C9191C">
              <w:rPr>
                <w:lang w:val="en-US"/>
              </w:rPr>
              <w:t>0.28</w:t>
            </w:r>
          </w:p>
        </w:tc>
        <w:tc>
          <w:tcPr>
            <w:tcW w:w="1282" w:type="dxa"/>
            <w:vAlign w:val="center"/>
            <w:hideMark/>
          </w:tcPr>
          <w:p w:rsidR="00EB3B69" w:rsidRPr="00C9191C" w:rsidRDefault="00EB3B69" w:rsidP="00EB3B69">
            <w:pPr>
              <w:pStyle w:val="Tabletext"/>
              <w:jc w:val="center"/>
              <w:rPr>
                <w:lang w:val="en-US"/>
              </w:rPr>
            </w:pPr>
            <w:r w:rsidRPr="00C9191C">
              <w:rPr>
                <w:lang w:val="en-US"/>
              </w:rPr>
              <w:t>0.45</w:t>
            </w:r>
          </w:p>
        </w:tc>
        <w:tc>
          <w:tcPr>
            <w:tcW w:w="1281" w:type="dxa"/>
            <w:vAlign w:val="center"/>
            <w:hideMark/>
          </w:tcPr>
          <w:p w:rsidR="00EB3B69" w:rsidRPr="00C9191C" w:rsidRDefault="00EB3B69" w:rsidP="00EB3B69">
            <w:pPr>
              <w:pStyle w:val="Tabletext"/>
              <w:jc w:val="center"/>
              <w:rPr>
                <w:lang w:val="en-US"/>
              </w:rPr>
            </w:pPr>
            <w:r w:rsidRPr="00C9191C">
              <w:rPr>
                <w:lang w:val="en-US"/>
              </w:rPr>
              <w:t>1.82</w:t>
            </w:r>
          </w:p>
        </w:tc>
        <w:tc>
          <w:tcPr>
            <w:tcW w:w="1282" w:type="dxa"/>
            <w:vAlign w:val="center"/>
            <w:hideMark/>
          </w:tcPr>
          <w:p w:rsidR="00EB3B69" w:rsidRPr="00C9191C" w:rsidRDefault="00EB3B69" w:rsidP="00EB3B69">
            <w:pPr>
              <w:pStyle w:val="Tabletext"/>
              <w:jc w:val="center"/>
              <w:rPr>
                <w:lang w:val="en-US"/>
              </w:rPr>
            </w:pPr>
            <w:r w:rsidRPr="00C9191C">
              <w:rPr>
                <w:lang w:val="en-US"/>
              </w:rPr>
              <w:t>0.09</w:t>
            </w:r>
          </w:p>
        </w:tc>
        <w:tc>
          <w:tcPr>
            <w:tcW w:w="1282" w:type="dxa"/>
            <w:vAlign w:val="center"/>
            <w:hideMark/>
          </w:tcPr>
          <w:p w:rsidR="00EB3B69" w:rsidRPr="00C9191C" w:rsidRDefault="00EB3B69" w:rsidP="00EB3B69">
            <w:pPr>
              <w:pStyle w:val="Tabletext"/>
              <w:jc w:val="center"/>
              <w:rPr>
                <w:lang w:val="en-US"/>
              </w:rPr>
            </w:pPr>
            <w:r w:rsidRPr="00C9191C">
              <w:rPr>
                <w:lang w:val="en-US"/>
              </w:rPr>
              <w:t>0.62</w:t>
            </w:r>
          </w:p>
        </w:tc>
      </w:tr>
      <w:tr w:rsidR="00EB3B69" w:rsidRPr="00C9191C" w:rsidTr="00EB3B69">
        <w:trPr>
          <w:trHeight w:val="238"/>
        </w:trPr>
        <w:tc>
          <w:tcPr>
            <w:tcW w:w="2847" w:type="dxa"/>
            <w:vAlign w:val="center"/>
            <w:hideMark/>
          </w:tcPr>
          <w:p w:rsidR="00EB3B69" w:rsidRPr="00C9191C" w:rsidRDefault="00EB3B69" w:rsidP="00EB3B69">
            <w:pPr>
              <w:pStyle w:val="Tabletext"/>
              <w:rPr>
                <w:lang w:val="en-US"/>
              </w:rPr>
            </w:pPr>
            <w:r w:rsidRPr="00C9191C">
              <w:rPr>
                <w:lang w:val="en-US"/>
              </w:rPr>
              <w:t>JARFR</w:t>
            </w:r>
          </w:p>
        </w:tc>
        <w:tc>
          <w:tcPr>
            <w:tcW w:w="1424" w:type="dxa"/>
            <w:vAlign w:val="center"/>
            <w:hideMark/>
          </w:tcPr>
          <w:p w:rsidR="00EB3B69" w:rsidRPr="00C9191C" w:rsidRDefault="00EB3B69" w:rsidP="00EB3B69">
            <w:pPr>
              <w:pStyle w:val="Tabletext"/>
              <w:jc w:val="center"/>
              <w:rPr>
                <w:lang w:val="en-US"/>
              </w:rPr>
            </w:pPr>
            <w:r w:rsidRPr="00C9191C">
              <w:rPr>
                <w:lang w:val="en-US"/>
              </w:rPr>
              <w:t>0.35</w:t>
            </w:r>
          </w:p>
        </w:tc>
        <w:tc>
          <w:tcPr>
            <w:tcW w:w="1282" w:type="dxa"/>
            <w:vAlign w:val="center"/>
            <w:hideMark/>
          </w:tcPr>
          <w:p w:rsidR="00EB3B69" w:rsidRPr="00C9191C" w:rsidRDefault="00EB3B69" w:rsidP="00EB3B69">
            <w:pPr>
              <w:pStyle w:val="Tabletext"/>
              <w:jc w:val="center"/>
              <w:rPr>
                <w:lang w:val="en-US"/>
              </w:rPr>
            </w:pPr>
            <w:r w:rsidRPr="00C9191C">
              <w:rPr>
                <w:lang w:val="en-US"/>
              </w:rPr>
              <w:t>0.48</w:t>
            </w:r>
          </w:p>
        </w:tc>
        <w:tc>
          <w:tcPr>
            <w:tcW w:w="1281" w:type="dxa"/>
            <w:vAlign w:val="center"/>
            <w:hideMark/>
          </w:tcPr>
          <w:p w:rsidR="00EB3B69" w:rsidRPr="00C9191C" w:rsidRDefault="00EB3B69" w:rsidP="00EB3B69">
            <w:pPr>
              <w:pStyle w:val="Tabletext"/>
              <w:jc w:val="center"/>
              <w:rPr>
                <w:lang w:val="en-US"/>
              </w:rPr>
            </w:pPr>
            <w:r w:rsidRPr="00C9191C">
              <w:rPr>
                <w:lang w:val="en-US"/>
              </w:rPr>
              <w:t>1.85</w:t>
            </w:r>
          </w:p>
        </w:tc>
        <w:tc>
          <w:tcPr>
            <w:tcW w:w="1282" w:type="dxa"/>
            <w:vAlign w:val="center"/>
            <w:hideMark/>
          </w:tcPr>
          <w:p w:rsidR="00EB3B69" w:rsidRPr="00C9191C" w:rsidRDefault="00EB3B69" w:rsidP="00EB3B69">
            <w:pPr>
              <w:pStyle w:val="Tabletext"/>
              <w:jc w:val="center"/>
              <w:rPr>
                <w:lang w:val="en-US"/>
              </w:rPr>
            </w:pPr>
            <w:r w:rsidRPr="00C9191C">
              <w:rPr>
                <w:lang w:val="en-US"/>
              </w:rPr>
              <w:t>0.17</w:t>
            </w:r>
          </w:p>
        </w:tc>
        <w:tc>
          <w:tcPr>
            <w:tcW w:w="1282" w:type="dxa"/>
            <w:vAlign w:val="center"/>
            <w:hideMark/>
          </w:tcPr>
          <w:p w:rsidR="00EB3B69" w:rsidRPr="00C9191C" w:rsidRDefault="00EB3B69" w:rsidP="00EB3B69">
            <w:pPr>
              <w:pStyle w:val="Tabletext"/>
              <w:jc w:val="center"/>
              <w:rPr>
                <w:lang w:val="en-US"/>
              </w:rPr>
            </w:pPr>
            <w:r w:rsidRPr="00C9191C">
              <w:rPr>
                <w:lang w:val="en-US"/>
              </w:rPr>
              <w:t>0.72</w:t>
            </w:r>
          </w:p>
        </w:tc>
      </w:tr>
    </w:tbl>
    <w:p w:rsidR="00EB3B69" w:rsidRPr="00EB3B69" w:rsidRDefault="00EB3B69" w:rsidP="00EB3B69">
      <w:pPr>
        <w:pStyle w:val="a1"/>
        <w:ind w:firstLine="0"/>
        <w:rPr>
          <w:caps/>
          <w:lang w:val="ru-RU"/>
        </w:rPr>
      </w:pPr>
    </w:p>
    <w:p w:rsidR="000F3A11" w:rsidRDefault="000F3A11" w:rsidP="00EB3B69">
      <w:pPr>
        <w:pStyle w:val="a1"/>
        <w:ind w:firstLine="0"/>
        <w:rPr>
          <w:caps/>
          <w:lang w:val="ru-RU"/>
        </w:rPr>
      </w:pPr>
      <w:r w:rsidRPr="00EB3B69">
        <w:rPr>
          <w:caps/>
        </w:rPr>
        <w:t>Table 5 – The difference in the level of subcriticality after SR withdrawal</w:t>
      </w:r>
    </w:p>
    <w:p w:rsidR="00EB3B69" w:rsidRPr="00EB3B69" w:rsidRDefault="00EB3B69" w:rsidP="00EB3B69">
      <w:pPr>
        <w:pStyle w:val="a1"/>
        <w:ind w:firstLine="0"/>
        <w:rPr>
          <w:caps/>
          <w:lang w:val="ru-RU"/>
        </w:rPr>
      </w:pPr>
    </w:p>
    <w:tbl>
      <w:tblPr>
        <w:tblW w:w="9480" w:type="dxa"/>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tblPr>
      <w:tblGrid>
        <w:gridCol w:w="2872"/>
        <w:gridCol w:w="1437"/>
        <w:gridCol w:w="1293"/>
        <w:gridCol w:w="1292"/>
        <w:gridCol w:w="1293"/>
        <w:gridCol w:w="1293"/>
      </w:tblGrid>
      <w:tr w:rsidR="00EB3B69" w:rsidRPr="006D532A" w:rsidTr="00EB3B69">
        <w:trPr>
          <w:trHeight w:val="290"/>
        </w:trPr>
        <w:tc>
          <w:tcPr>
            <w:tcW w:w="2872" w:type="dxa"/>
            <w:vMerge w:val="restart"/>
            <w:vAlign w:val="center"/>
            <w:hideMark/>
          </w:tcPr>
          <w:p w:rsidR="00EB3B69" w:rsidRPr="00C9191C" w:rsidRDefault="00EB3B69" w:rsidP="00EB3B69">
            <w:pPr>
              <w:pStyle w:val="Tabletext"/>
              <w:rPr>
                <w:lang w:val="en-US"/>
              </w:rPr>
            </w:pPr>
            <w:r w:rsidRPr="00C9191C">
              <w:rPr>
                <w:lang w:val="en-US"/>
              </w:rPr>
              <w:t>Code/experiment</w:t>
            </w:r>
          </w:p>
        </w:tc>
        <w:tc>
          <w:tcPr>
            <w:tcW w:w="6607" w:type="dxa"/>
            <w:gridSpan w:val="5"/>
            <w:vAlign w:val="center"/>
            <w:hideMark/>
          </w:tcPr>
          <w:p w:rsidR="00EB3B69" w:rsidRPr="00C9191C" w:rsidRDefault="00EB3B69" w:rsidP="00EB3B69">
            <w:pPr>
              <w:pStyle w:val="Tabletext"/>
              <w:rPr>
                <w:lang w:val="en-US"/>
              </w:rPr>
            </w:pPr>
            <w:r w:rsidRPr="00C9191C">
              <w:rPr>
                <w:lang w:val="en-US"/>
              </w:rPr>
              <w:t xml:space="preserve">The difference in the level of </w:t>
            </w:r>
            <w:proofErr w:type="spellStart"/>
            <w:r w:rsidRPr="00C9191C">
              <w:rPr>
                <w:lang w:val="en-US"/>
              </w:rPr>
              <w:t>subcriticality</w:t>
            </w:r>
            <w:proofErr w:type="spellEnd"/>
            <w:r w:rsidRPr="00C9191C">
              <w:rPr>
                <w:lang w:val="en-US"/>
              </w:rPr>
              <w:t xml:space="preserve"> of the reactor for </w:t>
            </w:r>
            <w:r>
              <w:rPr>
                <w:lang w:val="en-US"/>
              </w:rPr>
              <w:t>micro-</w:t>
            </w:r>
            <w:proofErr w:type="spellStart"/>
            <w:r>
              <w:rPr>
                <w:lang w:val="en-US"/>
              </w:rPr>
              <w:t>campany</w:t>
            </w:r>
            <w:r w:rsidRPr="00C9191C">
              <w:rPr>
                <w:lang w:val="en-US"/>
              </w:rPr>
              <w:t>s</w:t>
            </w:r>
            <w:proofErr w:type="spellEnd"/>
            <w:r w:rsidRPr="00C9191C">
              <w:rPr>
                <w:lang w:val="en-US"/>
              </w:rPr>
              <w:t>, %</w:t>
            </w:r>
            <w:proofErr w:type="spellStart"/>
            <w:r w:rsidRPr="00C9191C">
              <w:rPr>
                <w:lang w:val="en-US"/>
              </w:rPr>
              <w:t>Δk</w:t>
            </w:r>
            <w:proofErr w:type="spellEnd"/>
            <w:r w:rsidRPr="00C9191C">
              <w:rPr>
                <w:lang w:val="en-US"/>
              </w:rPr>
              <w:t>/k</w:t>
            </w:r>
          </w:p>
        </w:tc>
      </w:tr>
      <w:tr w:rsidR="00EB3B69" w:rsidRPr="00C9191C" w:rsidTr="00EB3B69">
        <w:trPr>
          <w:trHeight w:val="398"/>
        </w:trPr>
        <w:tc>
          <w:tcPr>
            <w:tcW w:w="2872" w:type="dxa"/>
            <w:vMerge/>
            <w:vAlign w:val="center"/>
            <w:hideMark/>
          </w:tcPr>
          <w:p w:rsidR="00EB3B69" w:rsidRPr="00C9191C" w:rsidRDefault="00EB3B69" w:rsidP="00EB3B69">
            <w:pPr>
              <w:pStyle w:val="Tabletext"/>
              <w:rPr>
                <w:lang w:val="en-US"/>
              </w:rPr>
            </w:pPr>
          </w:p>
        </w:tc>
        <w:tc>
          <w:tcPr>
            <w:tcW w:w="1437" w:type="dxa"/>
            <w:vAlign w:val="center"/>
            <w:hideMark/>
          </w:tcPr>
          <w:p w:rsidR="00EB3B69" w:rsidRPr="00C9191C" w:rsidRDefault="00EB3B69" w:rsidP="00EB3B69">
            <w:pPr>
              <w:pStyle w:val="Tabletext"/>
              <w:rPr>
                <w:lang w:val="en-US"/>
              </w:rPr>
            </w:pPr>
            <w:r w:rsidRPr="00C9191C">
              <w:rPr>
                <w:lang w:val="en-US"/>
              </w:rPr>
              <w:t>1MC</w:t>
            </w:r>
          </w:p>
        </w:tc>
        <w:tc>
          <w:tcPr>
            <w:tcW w:w="1293" w:type="dxa"/>
            <w:vAlign w:val="center"/>
            <w:hideMark/>
          </w:tcPr>
          <w:p w:rsidR="00EB3B69" w:rsidRPr="00C9191C" w:rsidRDefault="00EB3B69" w:rsidP="00EB3B69">
            <w:pPr>
              <w:pStyle w:val="Tabletext"/>
              <w:rPr>
                <w:lang w:val="en-US"/>
              </w:rPr>
            </w:pPr>
            <w:r w:rsidRPr="00C9191C">
              <w:rPr>
                <w:lang w:val="en-US"/>
              </w:rPr>
              <w:t>2MC</w:t>
            </w:r>
          </w:p>
        </w:tc>
        <w:tc>
          <w:tcPr>
            <w:tcW w:w="1292" w:type="dxa"/>
            <w:vAlign w:val="center"/>
            <w:hideMark/>
          </w:tcPr>
          <w:p w:rsidR="00EB3B69" w:rsidRPr="00C9191C" w:rsidRDefault="00EB3B69" w:rsidP="00EB3B69">
            <w:pPr>
              <w:pStyle w:val="Tabletext"/>
              <w:rPr>
                <w:lang w:val="en-US"/>
              </w:rPr>
            </w:pPr>
            <w:r w:rsidRPr="00C9191C">
              <w:rPr>
                <w:lang w:val="en-US"/>
              </w:rPr>
              <w:t>3 MC</w:t>
            </w:r>
          </w:p>
        </w:tc>
        <w:tc>
          <w:tcPr>
            <w:tcW w:w="1293" w:type="dxa"/>
            <w:vAlign w:val="center"/>
            <w:hideMark/>
          </w:tcPr>
          <w:p w:rsidR="00EB3B69" w:rsidRPr="00C9191C" w:rsidRDefault="00EB3B69" w:rsidP="00EB3B69">
            <w:pPr>
              <w:pStyle w:val="Tabletext"/>
              <w:rPr>
                <w:lang w:val="en-US"/>
              </w:rPr>
            </w:pPr>
            <w:r w:rsidRPr="00C9191C">
              <w:rPr>
                <w:lang w:val="en-US"/>
              </w:rPr>
              <w:t>4 MC</w:t>
            </w:r>
          </w:p>
        </w:tc>
        <w:tc>
          <w:tcPr>
            <w:tcW w:w="1293" w:type="dxa"/>
            <w:vAlign w:val="center"/>
            <w:hideMark/>
          </w:tcPr>
          <w:p w:rsidR="00EB3B69" w:rsidRPr="00C9191C" w:rsidRDefault="00EB3B69" w:rsidP="00EB3B69">
            <w:pPr>
              <w:pStyle w:val="Tabletext"/>
              <w:rPr>
                <w:lang w:val="en-US"/>
              </w:rPr>
            </w:pPr>
            <w:r w:rsidRPr="00C9191C">
              <w:rPr>
                <w:lang w:val="en-US"/>
              </w:rPr>
              <w:t>5 MC</w:t>
            </w:r>
          </w:p>
        </w:tc>
      </w:tr>
      <w:tr w:rsidR="00EB3B69" w:rsidRPr="00C9191C" w:rsidTr="00EB3B69">
        <w:trPr>
          <w:trHeight w:val="306"/>
        </w:trPr>
        <w:tc>
          <w:tcPr>
            <w:tcW w:w="2872" w:type="dxa"/>
            <w:vAlign w:val="center"/>
            <w:hideMark/>
          </w:tcPr>
          <w:p w:rsidR="00EB3B69" w:rsidRPr="00C9191C" w:rsidRDefault="00EB3B69" w:rsidP="00EB3B69">
            <w:pPr>
              <w:pStyle w:val="Tabletext"/>
              <w:rPr>
                <w:lang w:val="en-US"/>
              </w:rPr>
            </w:pPr>
            <w:r w:rsidRPr="00C9191C">
              <w:rPr>
                <w:lang w:val="en-US"/>
              </w:rPr>
              <w:t>MMKC</w:t>
            </w:r>
          </w:p>
        </w:tc>
        <w:tc>
          <w:tcPr>
            <w:tcW w:w="1437" w:type="dxa"/>
            <w:vAlign w:val="center"/>
            <w:hideMark/>
          </w:tcPr>
          <w:p w:rsidR="00EB3B69" w:rsidRPr="00C9191C" w:rsidRDefault="00EB3B69" w:rsidP="00EB3B69">
            <w:pPr>
              <w:pStyle w:val="Tabletext"/>
              <w:rPr>
                <w:lang w:val="en-US"/>
              </w:rPr>
            </w:pPr>
            <w:r w:rsidRPr="00C9191C">
              <w:rPr>
                <w:lang w:val="en-US"/>
              </w:rPr>
              <w:t>0.35</w:t>
            </w:r>
          </w:p>
        </w:tc>
        <w:tc>
          <w:tcPr>
            <w:tcW w:w="1293" w:type="dxa"/>
            <w:vAlign w:val="center"/>
            <w:hideMark/>
          </w:tcPr>
          <w:p w:rsidR="00EB3B69" w:rsidRPr="00C9191C" w:rsidRDefault="00EB3B69" w:rsidP="00EB3B69">
            <w:pPr>
              <w:pStyle w:val="Tabletext"/>
              <w:rPr>
                <w:lang w:val="en-US"/>
              </w:rPr>
            </w:pPr>
            <w:r w:rsidRPr="00C9191C">
              <w:rPr>
                <w:lang w:val="en-US"/>
              </w:rPr>
              <w:t>0.68</w:t>
            </w:r>
          </w:p>
        </w:tc>
        <w:tc>
          <w:tcPr>
            <w:tcW w:w="1292" w:type="dxa"/>
            <w:vAlign w:val="center"/>
            <w:hideMark/>
          </w:tcPr>
          <w:p w:rsidR="00EB3B69" w:rsidRPr="00C9191C" w:rsidRDefault="00EB3B69" w:rsidP="00EB3B69">
            <w:pPr>
              <w:pStyle w:val="Tabletext"/>
              <w:rPr>
                <w:lang w:val="en-US"/>
              </w:rPr>
            </w:pPr>
            <w:r w:rsidRPr="00C9191C">
              <w:rPr>
                <w:lang w:val="en-US"/>
              </w:rPr>
              <w:t>0.93</w:t>
            </w:r>
          </w:p>
        </w:tc>
        <w:tc>
          <w:tcPr>
            <w:tcW w:w="1293" w:type="dxa"/>
            <w:vAlign w:val="center"/>
            <w:hideMark/>
          </w:tcPr>
          <w:p w:rsidR="00EB3B69" w:rsidRPr="00C9191C" w:rsidRDefault="00EB3B69" w:rsidP="00EB3B69">
            <w:pPr>
              <w:pStyle w:val="Tabletext"/>
              <w:rPr>
                <w:lang w:val="en-US"/>
              </w:rPr>
            </w:pPr>
            <w:r w:rsidRPr="00C9191C">
              <w:rPr>
                <w:lang w:val="en-US"/>
              </w:rPr>
              <w:t>0.19</w:t>
            </w:r>
          </w:p>
        </w:tc>
        <w:tc>
          <w:tcPr>
            <w:tcW w:w="1293" w:type="dxa"/>
            <w:vAlign w:val="center"/>
            <w:hideMark/>
          </w:tcPr>
          <w:p w:rsidR="00EB3B69" w:rsidRPr="00C9191C" w:rsidRDefault="00EB3B69" w:rsidP="00EB3B69">
            <w:pPr>
              <w:pStyle w:val="Tabletext"/>
              <w:rPr>
                <w:lang w:val="en-US"/>
              </w:rPr>
            </w:pPr>
            <w:r w:rsidRPr="00C9191C">
              <w:rPr>
                <w:lang w:val="en-US"/>
              </w:rPr>
              <w:t>0.67</w:t>
            </w:r>
          </w:p>
        </w:tc>
      </w:tr>
      <w:tr w:rsidR="00EB3B69" w:rsidRPr="00C9191C" w:rsidTr="00EB3B69">
        <w:trPr>
          <w:trHeight w:val="306"/>
        </w:trPr>
        <w:tc>
          <w:tcPr>
            <w:tcW w:w="2872" w:type="dxa"/>
            <w:vAlign w:val="center"/>
            <w:hideMark/>
          </w:tcPr>
          <w:p w:rsidR="00EB3B69" w:rsidRPr="00C9191C" w:rsidRDefault="00EB3B69" w:rsidP="00EB3B69">
            <w:pPr>
              <w:pStyle w:val="Tabletext"/>
              <w:rPr>
                <w:lang w:val="en-US"/>
              </w:rPr>
            </w:pPr>
            <w:r w:rsidRPr="00C9191C">
              <w:rPr>
                <w:lang w:val="en-US"/>
              </w:rPr>
              <w:t>JARFR</w:t>
            </w:r>
          </w:p>
        </w:tc>
        <w:tc>
          <w:tcPr>
            <w:tcW w:w="1437" w:type="dxa"/>
            <w:vAlign w:val="center"/>
            <w:hideMark/>
          </w:tcPr>
          <w:p w:rsidR="00EB3B69" w:rsidRPr="00C9191C" w:rsidRDefault="00EB3B69" w:rsidP="00EB3B69">
            <w:pPr>
              <w:pStyle w:val="Tabletext"/>
              <w:rPr>
                <w:lang w:val="en-US"/>
              </w:rPr>
            </w:pPr>
            <w:r w:rsidRPr="00C9191C">
              <w:rPr>
                <w:lang w:val="en-US"/>
              </w:rPr>
              <w:t>0.41</w:t>
            </w:r>
          </w:p>
        </w:tc>
        <w:tc>
          <w:tcPr>
            <w:tcW w:w="1293" w:type="dxa"/>
            <w:vAlign w:val="center"/>
            <w:hideMark/>
          </w:tcPr>
          <w:p w:rsidR="00EB3B69" w:rsidRPr="00C9191C" w:rsidRDefault="00EB3B69" w:rsidP="00EB3B69">
            <w:pPr>
              <w:pStyle w:val="Tabletext"/>
              <w:rPr>
                <w:lang w:val="en-US"/>
              </w:rPr>
            </w:pPr>
            <w:r w:rsidRPr="00C9191C">
              <w:rPr>
                <w:lang w:val="en-US"/>
              </w:rPr>
              <w:t>0.66</w:t>
            </w:r>
          </w:p>
        </w:tc>
        <w:tc>
          <w:tcPr>
            <w:tcW w:w="1292" w:type="dxa"/>
            <w:vAlign w:val="center"/>
            <w:hideMark/>
          </w:tcPr>
          <w:p w:rsidR="00EB3B69" w:rsidRPr="00C9191C" w:rsidRDefault="00EB3B69" w:rsidP="00EB3B69">
            <w:pPr>
              <w:pStyle w:val="Tabletext"/>
              <w:rPr>
                <w:lang w:val="en-US"/>
              </w:rPr>
            </w:pPr>
            <w:r w:rsidRPr="00C9191C">
              <w:rPr>
                <w:lang w:val="en-US"/>
              </w:rPr>
              <w:t>0.88</w:t>
            </w:r>
          </w:p>
        </w:tc>
        <w:tc>
          <w:tcPr>
            <w:tcW w:w="1293" w:type="dxa"/>
            <w:vAlign w:val="center"/>
            <w:hideMark/>
          </w:tcPr>
          <w:p w:rsidR="00EB3B69" w:rsidRPr="00C9191C" w:rsidRDefault="00EB3B69" w:rsidP="00EB3B69">
            <w:pPr>
              <w:pStyle w:val="Tabletext"/>
              <w:rPr>
                <w:lang w:val="en-US"/>
              </w:rPr>
            </w:pPr>
            <w:r w:rsidRPr="00C9191C">
              <w:rPr>
                <w:lang w:val="en-US"/>
              </w:rPr>
              <w:t>0.22</w:t>
            </w:r>
          </w:p>
        </w:tc>
        <w:tc>
          <w:tcPr>
            <w:tcW w:w="1293" w:type="dxa"/>
            <w:vAlign w:val="center"/>
            <w:hideMark/>
          </w:tcPr>
          <w:p w:rsidR="00EB3B69" w:rsidRPr="00C9191C" w:rsidRDefault="00EB3B69" w:rsidP="00EB3B69">
            <w:pPr>
              <w:pStyle w:val="Tabletext"/>
              <w:rPr>
                <w:lang w:val="en-US"/>
              </w:rPr>
            </w:pPr>
            <w:r w:rsidRPr="00C9191C">
              <w:rPr>
                <w:lang w:val="en-US"/>
              </w:rPr>
              <w:t>0.71</w:t>
            </w:r>
          </w:p>
        </w:tc>
      </w:tr>
    </w:tbl>
    <w:p w:rsidR="00EB3B69" w:rsidRDefault="00EB3B69" w:rsidP="00EB3B69">
      <w:pPr>
        <w:pStyle w:val="a1"/>
        <w:ind w:firstLine="0"/>
        <w:rPr>
          <w:lang w:val="ru-RU"/>
        </w:rPr>
      </w:pPr>
    </w:p>
    <w:p w:rsidR="00EB3B69" w:rsidRDefault="00EB3B69" w:rsidP="000F3A11">
      <w:pPr>
        <w:pStyle w:val="a1"/>
        <w:rPr>
          <w:lang w:val="ru-RU"/>
        </w:rPr>
      </w:pPr>
    </w:p>
    <w:p w:rsidR="000F3A11" w:rsidRPr="000F3A11" w:rsidRDefault="000F3A11" w:rsidP="000F3A11">
      <w:pPr>
        <w:pStyle w:val="a1"/>
        <w:rPr>
          <w:lang w:val="en-US"/>
        </w:rPr>
      </w:pPr>
      <w:r w:rsidRPr="000F3A11">
        <w:rPr>
          <w:lang w:val="en-US"/>
        </w:rPr>
        <w:t xml:space="preserve">The calculated values of the reactor </w:t>
      </w:r>
      <w:proofErr w:type="spellStart"/>
      <w:r w:rsidRPr="000F3A11">
        <w:rPr>
          <w:lang w:val="en-US"/>
        </w:rPr>
        <w:t>subcriticality</w:t>
      </w:r>
      <w:proofErr w:type="spellEnd"/>
      <w:r w:rsidRPr="000F3A11">
        <w:rPr>
          <w:lang w:val="en-US"/>
        </w:rPr>
        <w:t xml:space="preserve"> at </w:t>
      </w:r>
      <w:proofErr w:type="spellStart"/>
      <w:r w:rsidRPr="000F3A11">
        <w:rPr>
          <w:lang w:val="en-US"/>
        </w:rPr>
        <w:t>withdrawed</w:t>
      </w:r>
      <w:proofErr w:type="spellEnd"/>
      <w:r w:rsidRPr="000F3A11">
        <w:rPr>
          <w:lang w:val="en-US"/>
        </w:rPr>
        <w:t xml:space="preserve"> SR are systematically less than the experiment by ~0.6 %</w:t>
      </w:r>
      <w:proofErr w:type="spellStart"/>
      <w:r w:rsidRPr="000F3A11">
        <w:rPr>
          <w:lang w:val="en-US"/>
        </w:rPr>
        <w:t>Δk</w:t>
      </w:r>
      <w:proofErr w:type="spellEnd"/>
      <w:r w:rsidRPr="000F3A11">
        <w:rPr>
          <w:lang w:val="en-US"/>
        </w:rPr>
        <w:t>/k, excluding the 3rd MC.</w:t>
      </w:r>
    </w:p>
    <w:p w:rsidR="000F3A11" w:rsidRPr="000F3A11" w:rsidRDefault="000F3A11" w:rsidP="000F3A11">
      <w:pPr>
        <w:pStyle w:val="a1"/>
        <w:rPr>
          <w:lang w:val="en-US"/>
        </w:rPr>
      </w:pPr>
      <w:r w:rsidRPr="000F3A11">
        <w:rPr>
          <w:lang w:val="en-US"/>
        </w:rPr>
        <w:t>Research of the temperature and power effects of reactivity</w:t>
      </w:r>
    </w:p>
    <w:p w:rsidR="000F3A11" w:rsidRDefault="000F3A11" w:rsidP="000F3A11">
      <w:pPr>
        <w:pStyle w:val="a1"/>
        <w:rPr>
          <w:lang w:val="ru-RU"/>
        </w:rPr>
      </w:pPr>
      <w:r w:rsidRPr="000F3A11">
        <w:rPr>
          <w:lang w:val="en-US"/>
        </w:rPr>
        <w:t>Table 6 shows the results of comparing the calculated values of the temperature and power effects of reactivity with experimental values.</w:t>
      </w:r>
    </w:p>
    <w:p w:rsidR="00EB3B69" w:rsidRPr="00EB3B69" w:rsidRDefault="00EB3B69" w:rsidP="000F3A11">
      <w:pPr>
        <w:pStyle w:val="a1"/>
        <w:rPr>
          <w:lang w:val="ru-RU"/>
        </w:rPr>
      </w:pPr>
    </w:p>
    <w:p w:rsidR="000F3A11" w:rsidRPr="00EB3B69" w:rsidRDefault="000F3A11" w:rsidP="00EB3B69">
      <w:pPr>
        <w:pStyle w:val="a1"/>
        <w:ind w:firstLine="0"/>
        <w:rPr>
          <w:caps/>
          <w:lang w:val="en-US"/>
        </w:rPr>
      </w:pPr>
      <w:r w:rsidRPr="000F3A11">
        <w:rPr>
          <w:lang w:val="en-US"/>
        </w:rPr>
        <w:t xml:space="preserve"> </w:t>
      </w:r>
      <w:r w:rsidRPr="00EB3B69">
        <w:rPr>
          <w:caps/>
          <w:lang w:val="en-US"/>
        </w:rPr>
        <w:t xml:space="preserve">Table 6 </w:t>
      </w:r>
      <w:proofErr w:type="gramStart"/>
      <w:r w:rsidRPr="00EB3B69">
        <w:rPr>
          <w:caps/>
          <w:lang w:val="en-US"/>
        </w:rPr>
        <w:t>–  Comparison</w:t>
      </w:r>
      <w:proofErr w:type="gramEnd"/>
      <w:r w:rsidRPr="00EB3B69">
        <w:rPr>
          <w:caps/>
          <w:lang w:val="en-US"/>
        </w:rPr>
        <w:t xml:space="preserve"> results of the calculated values of the temperature-power effect of reactivity with the experimental ones</w:t>
      </w:r>
    </w:p>
    <w:p w:rsidR="00EB3B69" w:rsidRPr="00EB3B69" w:rsidRDefault="00EB3B69" w:rsidP="00EB3B69">
      <w:pPr>
        <w:pStyle w:val="a1"/>
        <w:ind w:firstLine="0"/>
        <w:rPr>
          <w:caps/>
          <w:lang w:val="en-US"/>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65"/>
        <w:gridCol w:w="850"/>
        <w:gridCol w:w="709"/>
        <w:gridCol w:w="850"/>
        <w:gridCol w:w="709"/>
        <w:gridCol w:w="851"/>
        <w:gridCol w:w="708"/>
        <w:gridCol w:w="851"/>
        <w:gridCol w:w="709"/>
        <w:gridCol w:w="850"/>
        <w:gridCol w:w="709"/>
      </w:tblGrid>
      <w:tr w:rsidR="00EB3B69" w:rsidRPr="006D532A" w:rsidTr="00FE3BF9">
        <w:trPr>
          <w:trHeight w:val="397"/>
        </w:trPr>
        <w:tc>
          <w:tcPr>
            <w:tcW w:w="1565" w:type="dxa"/>
            <w:vMerge w:val="restart"/>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Code</w:t>
            </w:r>
          </w:p>
        </w:tc>
        <w:tc>
          <w:tcPr>
            <w:tcW w:w="7796" w:type="dxa"/>
            <w:gridSpan w:val="10"/>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Significance of differences in the temperature-power effect of reactivity for a micro-company – (C-E), %</w:t>
            </w:r>
            <w:r w:rsidRPr="00C9191C">
              <w:rPr>
                <w:rFonts w:ascii="Times New Roman" w:hAnsi="Times New Roman"/>
                <w:lang w:val="en-US"/>
              </w:rPr>
              <w:sym w:font="Symbol" w:char="0044"/>
            </w:r>
            <w:r w:rsidRPr="00C9191C">
              <w:rPr>
                <w:rFonts w:ascii="Times New Roman" w:hAnsi="Times New Roman"/>
                <w:lang w:val="en-US"/>
              </w:rPr>
              <w:t>k/k</w:t>
            </w:r>
          </w:p>
        </w:tc>
      </w:tr>
      <w:tr w:rsidR="00EB3B69" w:rsidRPr="00C9191C" w:rsidTr="00FE3BF9">
        <w:trPr>
          <w:trHeight w:val="397"/>
        </w:trPr>
        <w:tc>
          <w:tcPr>
            <w:tcW w:w="1565" w:type="dxa"/>
            <w:vMerge/>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p>
        </w:tc>
        <w:tc>
          <w:tcPr>
            <w:tcW w:w="1559" w:type="dxa"/>
            <w:gridSpan w:val="2"/>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1MC</w:t>
            </w:r>
          </w:p>
        </w:tc>
        <w:tc>
          <w:tcPr>
            <w:tcW w:w="1559" w:type="dxa"/>
            <w:gridSpan w:val="2"/>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2MC</w:t>
            </w:r>
          </w:p>
        </w:tc>
        <w:tc>
          <w:tcPr>
            <w:tcW w:w="1559" w:type="dxa"/>
            <w:gridSpan w:val="2"/>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3 MC</w:t>
            </w:r>
          </w:p>
        </w:tc>
        <w:tc>
          <w:tcPr>
            <w:tcW w:w="1560" w:type="dxa"/>
            <w:gridSpan w:val="2"/>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4 MC</w:t>
            </w:r>
          </w:p>
        </w:tc>
        <w:tc>
          <w:tcPr>
            <w:tcW w:w="1559" w:type="dxa"/>
            <w:gridSpan w:val="2"/>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5 MC</w:t>
            </w:r>
          </w:p>
        </w:tc>
      </w:tr>
      <w:tr w:rsidR="00EB3B69" w:rsidRPr="00C9191C" w:rsidTr="00FE3BF9">
        <w:trPr>
          <w:trHeight w:val="397"/>
        </w:trPr>
        <w:tc>
          <w:tcPr>
            <w:tcW w:w="1565" w:type="dxa"/>
            <w:vMerge/>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start</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end</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start</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end</w:t>
            </w:r>
          </w:p>
        </w:tc>
        <w:tc>
          <w:tcPr>
            <w:tcW w:w="851"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start</w:t>
            </w:r>
          </w:p>
        </w:tc>
        <w:tc>
          <w:tcPr>
            <w:tcW w:w="708"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end</w:t>
            </w:r>
          </w:p>
        </w:tc>
        <w:tc>
          <w:tcPr>
            <w:tcW w:w="851"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start</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end</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start</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end</w:t>
            </w:r>
          </w:p>
        </w:tc>
      </w:tr>
      <w:tr w:rsidR="00EB3B69" w:rsidRPr="00C9191C" w:rsidTr="00FE3BF9">
        <w:trPr>
          <w:trHeight w:val="397"/>
        </w:trPr>
        <w:tc>
          <w:tcPr>
            <w:tcW w:w="9361" w:type="dxa"/>
            <w:gridSpan w:val="11"/>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TER</w:t>
            </w:r>
          </w:p>
        </w:tc>
      </w:tr>
      <w:tr w:rsidR="00EB3B69" w:rsidRPr="00C9191C" w:rsidTr="00FE3BF9">
        <w:trPr>
          <w:trHeight w:val="397"/>
        </w:trPr>
        <w:tc>
          <w:tcPr>
            <w:tcW w:w="1565"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ММКС</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0,03</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0,03</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0,03</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0,04</w:t>
            </w:r>
          </w:p>
        </w:tc>
        <w:tc>
          <w:tcPr>
            <w:tcW w:w="851"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0,02</w:t>
            </w:r>
          </w:p>
        </w:tc>
        <w:tc>
          <w:tcPr>
            <w:tcW w:w="708"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0,02</w:t>
            </w:r>
          </w:p>
        </w:tc>
        <w:tc>
          <w:tcPr>
            <w:tcW w:w="851"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0,02</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0,07</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0,18</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0,03</w:t>
            </w:r>
          </w:p>
        </w:tc>
      </w:tr>
      <w:tr w:rsidR="00EB3B69" w:rsidRPr="00C9191C" w:rsidTr="00FE3BF9">
        <w:trPr>
          <w:trHeight w:val="397"/>
        </w:trPr>
        <w:tc>
          <w:tcPr>
            <w:tcW w:w="1565"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lastRenderedPageBreak/>
              <w:t>JARFR</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0,02</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0,02</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0,03</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0,04</w:t>
            </w:r>
          </w:p>
        </w:tc>
        <w:tc>
          <w:tcPr>
            <w:tcW w:w="851"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0,02</w:t>
            </w:r>
          </w:p>
        </w:tc>
        <w:tc>
          <w:tcPr>
            <w:tcW w:w="708"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0,01</w:t>
            </w:r>
          </w:p>
        </w:tc>
        <w:tc>
          <w:tcPr>
            <w:tcW w:w="851"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0,02</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0,06</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0,18</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0,02</w:t>
            </w:r>
          </w:p>
        </w:tc>
      </w:tr>
      <w:tr w:rsidR="00EB3B69" w:rsidRPr="00C9191C" w:rsidTr="00FE3BF9">
        <w:trPr>
          <w:trHeight w:val="397"/>
        </w:trPr>
        <w:tc>
          <w:tcPr>
            <w:tcW w:w="9361" w:type="dxa"/>
            <w:gridSpan w:val="11"/>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PER</w:t>
            </w:r>
          </w:p>
        </w:tc>
      </w:tr>
      <w:tr w:rsidR="00EB3B69" w:rsidRPr="00C9191C" w:rsidTr="00FE3BF9">
        <w:trPr>
          <w:trHeight w:val="397"/>
        </w:trPr>
        <w:tc>
          <w:tcPr>
            <w:tcW w:w="1565"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ММКС</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-0,25</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-0,10</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-0,20</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-0,06</w:t>
            </w:r>
          </w:p>
        </w:tc>
        <w:tc>
          <w:tcPr>
            <w:tcW w:w="851"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-0,28</w:t>
            </w:r>
          </w:p>
        </w:tc>
        <w:tc>
          <w:tcPr>
            <w:tcW w:w="708"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0,03</w:t>
            </w:r>
          </w:p>
        </w:tc>
        <w:tc>
          <w:tcPr>
            <w:tcW w:w="851"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-0,10</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0,06</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-0,32</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-0,25</w:t>
            </w:r>
          </w:p>
        </w:tc>
      </w:tr>
      <w:tr w:rsidR="00EB3B69" w:rsidRPr="00C9191C" w:rsidTr="00FE3BF9">
        <w:trPr>
          <w:trHeight w:val="397"/>
        </w:trPr>
        <w:tc>
          <w:tcPr>
            <w:tcW w:w="1565"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JARFR</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-0,17</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0,00</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-0,12</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-0,01</w:t>
            </w:r>
          </w:p>
        </w:tc>
        <w:tc>
          <w:tcPr>
            <w:tcW w:w="851"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-0,21</w:t>
            </w:r>
          </w:p>
        </w:tc>
        <w:tc>
          <w:tcPr>
            <w:tcW w:w="708"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0,09</w:t>
            </w:r>
          </w:p>
        </w:tc>
        <w:tc>
          <w:tcPr>
            <w:tcW w:w="851"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-0,03</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0,11</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-0,26</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-0,17</w:t>
            </w:r>
          </w:p>
        </w:tc>
      </w:tr>
      <w:tr w:rsidR="00EB3B69" w:rsidRPr="00C9191C" w:rsidTr="00FE3BF9">
        <w:trPr>
          <w:trHeight w:val="397"/>
        </w:trPr>
        <w:tc>
          <w:tcPr>
            <w:tcW w:w="9361" w:type="dxa"/>
            <w:gridSpan w:val="11"/>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TPE</w:t>
            </w:r>
            <w:r>
              <w:rPr>
                <w:rFonts w:ascii="Times New Roman" w:hAnsi="Times New Roman"/>
                <w:lang w:val="en-US"/>
              </w:rPr>
              <w:t>R</w:t>
            </w:r>
          </w:p>
        </w:tc>
      </w:tr>
      <w:tr w:rsidR="00EB3B69" w:rsidRPr="00C9191C" w:rsidTr="00FE3BF9">
        <w:trPr>
          <w:trHeight w:val="397"/>
        </w:trPr>
        <w:tc>
          <w:tcPr>
            <w:tcW w:w="1565"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ММКС</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-0,22</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-0,07</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-0,17</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-0,02</w:t>
            </w:r>
          </w:p>
        </w:tc>
        <w:tc>
          <w:tcPr>
            <w:tcW w:w="851"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-0,26</w:t>
            </w:r>
          </w:p>
        </w:tc>
        <w:tc>
          <w:tcPr>
            <w:tcW w:w="708"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0,05</w:t>
            </w:r>
          </w:p>
        </w:tc>
        <w:tc>
          <w:tcPr>
            <w:tcW w:w="851"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-0,08</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0,13</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-0,14</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-0,22</w:t>
            </w:r>
          </w:p>
        </w:tc>
      </w:tr>
      <w:tr w:rsidR="00EB3B69" w:rsidRPr="00C9191C" w:rsidTr="00FE3BF9">
        <w:trPr>
          <w:trHeight w:val="397"/>
        </w:trPr>
        <w:tc>
          <w:tcPr>
            <w:tcW w:w="1565"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JARFR</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-0,16</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0,02</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-0,09</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0,02</w:t>
            </w:r>
          </w:p>
        </w:tc>
        <w:tc>
          <w:tcPr>
            <w:tcW w:w="851"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-0,19</w:t>
            </w:r>
          </w:p>
        </w:tc>
        <w:tc>
          <w:tcPr>
            <w:tcW w:w="708"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0,10</w:t>
            </w:r>
          </w:p>
        </w:tc>
        <w:tc>
          <w:tcPr>
            <w:tcW w:w="851"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-0,02</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0,17</w:t>
            </w:r>
          </w:p>
        </w:tc>
        <w:tc>
          <w:tcPr>
            <w:tcW w:w="850"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-0,09</w:t>
            </w:r>
          </w:p>
        </w:tc>
        <w:tc>
          <w:tcPr>
            <w:tcW w:w="709" w:type="dxa"/>
            <w:tcBorders>
              <w:top w:val="single" w:sz="4" w:space="0" w:color="auto"/>
              <w:left w:val="nil"/>
              <w:bottom w:val="single" w:sz="4" w:space="0" w:color="auto"/>
              <w:right w:val="nil"/>
            </w:tcBorders>
            <w:vAlign w:val="center"/>
            <w:hideMark/>
          </w:tcPr>
          <w:p w:rsidR="00EB3B69" w:rsidRPr="00C9191C" w:rsidRDefault="00EB3B69" w:rsidP="00360CAC">
            <w:pPr>
              <w:pStyle w:val="af7"/>
              <w:spacing w:before="120" w:line="276" w:lineRule="auto"/>
              <w:jc w:val="center"/>
              <w:rPr>
                <w:rFonts w:ascii="Times New Roman" w:hAnsi="Times New Roman"/>
                <w:lang w:val="en-US"/>
              </w:rPr>
            </w:pPr>
            <w:r w:rsidRPr="00C9191C">
              <w:rPr>
                <w:rFonts w:ascii="Times New Roman" w:hAnsi="Times New Roman"/>
                <w:lang w:val="en-US"/>
              </w:rPr>
              <w:t>-0,16</w:t>
            </w:r>
          </w:p>
        </w:tc>
      </w:tr>
    </w:tbl>
    <w:p w:rsidR="00EB3B69" w:rsidRPr="00EB3B69" w:rsidRDefault="00EB3B69" w:rsidP="00EB3B69">
      <w:pPr>
        <w:pStyle w:val="a1"/>
        <w:ind w:firstLine="0"/>
        <w:rPr>
          <w:caps/>
          <w:lang w:val="ru-RU"/>
        </w:rPr>
      </w:pPr>
    </w:p>
    <w:p w:rsidR="00EB3B69" w:rsidRDefault="00EB3B69" w:rsidP="000F3A11">
      <w:pPr>
        <w:pStyle w:val="a1"/>
        <w:rPr>
          <w:lang w:val="ru-RU"/>
        </w:rPr>
      </w:pPr>
    </w:p>
    <w:p w:rsidR="000F3A11" w:rsidRPr="000F3A11" w:rsidRDefault="000F3A11" w:rsidP="000F3A11">
      <w:pPr>
        <w:pStyle w:val="a1"/>
        <w:rPr>
          <w:lang w:val="en-US"/>
        </w:rPr>
      </w:pPr>
      <w:r w:rsidRPr="000F3A11">
        <w:rPr>
          <w:lang w:val="en-US"/>
        </w:rPr>
        <w:t>From the results of comparison of the calculated and experimental values of the temperature reactivity effect presented in Table 6, it follows:</w:t>
      </w:r>
    </w:p>
    <w:p w:rsidR="000F3A11" w:rsidRPr="000F3A11" w:rsidRDefault="000F3A11" w:rsidP="000F3A11">
      <w:pPr>
        <w:pStyle w:val="a1"/>
        <w:rPr>
          <w:lang w:val="en-US"/>
        </w:rPr>
      </w:pPr>
      <w:r w:rsidRPr="000F3A11">
        <w:rPr>
          <w:lang w:val="en-US"/>
        </w:rPr>
        <w:t xml:space="preserve">– </w:t>
      </w:r>
      <w:proofErr w:type="gramStart"/>
      <w:r w:rsidRPr="000F3A11">
        <w:rPr>
          <w:lang w:val="en-US"/>
        </w:rPr>
        <w:t>the</w:t>
      </w:r>
      <w:proofErr w:type="gramEnd"/>
      <w:r w:rsidRPr="000F3A11">
        <w:rPr>
          <w:lang w:val="en-US"/>
        </w:rPr>
        <w:t xml:space="preserve"> results of calculating the effect according to the MMKC and JARFR programs are close, the difference does not exceed 0.01 %∆k/k;</w:t>
      </w:r>
    </w:p>
    <w:p w:rsidR="000F3A11" w:rsidRPr="000F3A11" w:rsidRDefault="000F3A11" w:rsidP="000F3A11">
      <w:pPr>
        <w:pStyle w:val="a1"/>
        <w:rPr>
          <w:lang w:val="en-US"/>
        </w:rPr>
      </w:pPr>
      <w:r w:rsidRPr="000F3A11">
        <w:rPr>
          <w:lang w:val="en-US"/>
        </w:rPr>
        <w:t xml:space="preserve">– </w:t>
      </w:r>
      <w:proofErr w:type="gramStart"/>
      <w:r w:rsidRPr="000F3A11">
        <w:rPr>
          <w:lang w:val="en-US"/>
        </w:rPr>
        <w:t>the</w:t>
      </w:r>
      <w:proofErr w:type="gramEnd"/>
      <w:r w:rsidRPr="000F3A11">
        <w:rPr>
          <w:lang w:val="en-US"/>
        </w:rPr>
        <w:t xml:space="preserve"> difference between the calculation results and the experiment for most states of the core does not exceed 0.03 %∆k/k;</w:t>
      </w:r>
    </w:p>
    <w:p w:rsidR="000F3A11" w:rsidRPr="000F3A11" w:rsidRDefault="000F3A11" w:rsidP="000F3A11">
      <w:pPr>
        <w:pStyle w:val="a1"/>
        <w:rPr>
          <w:lang w:val="en-US"/>
        </w:rPr>
      </w:pPr>
      <w:r w:rsidRPr="000F3A11">
        <w:rPr>
          <w:lang w:val="en-US"/>
        </w:rPr>
        <w:t>– a greater difference between the experimental data and the results of calculations in the states on the end of the fourth micro-company and the beginning of the fifth micro-company is explained by the manifestation of the error of the experiment.</w:t>
      </w:r>
    </w:p>
    <w:p w:rsidR="000F3A11" w:rsidRPr="000F3A11" w:rsidRDefault="000F3A11" w:rsidP="000F3A11">
      <w:pPr>
        <w:pStyle w:val="a1"/>
        <w:rPr>
          <w:lang w:val="en-US"/>
        </w:rPr>
      </w:pPr>
      <w:r w:rsidRPr="000F3A11">
        <w:rPr>
          <w:lang w:val="en-US"/>
        </w:rPr>
        <w:t>From the results of comparison of the calculated and experimental values of the power effect of reactivity presented in Table 6, it follows:</w:t>
      </w:r>
    </w:p>
    <w:p w:rsidR="000F3A11" w:rsidRPr="000F3A11" w:rsidRDefault="000F3A11" w:rsidP="000F3A11">
      <w:pPr>
        <w:pStyle w:val="a1"/>
        <w:rPr>
          <w:lang w:val="en-US"/>
        </w:rPr>
      </w:pPr>
      <w:r w:rsidRPr="000F3A11">
        <w:rPr>
          <w:lang w:val="en-US"/>
        </w:rPr>
        <w:t xml:space="preserve">– </w:t>
      </w:r>
      <w:proofErr w:type="gramStart"/>
      <w:r w:rsidRPr="000F3A11">
        <w:rPr>
          <w:lang w:val="en-US"/>
        </w:rPr>
        <w:t>the</w:t>
      </w:r>
      <w:proofErr w:type="gramEnd"/>
      <w:r w:rsidRPr="000F3A11">
        <w:rPr>
          <w:lang w:val="en-US"/>
        </w:rPr>
        <w:t xml:space="preserve"> results of calculating the effect according to the MMKC and JARFR programs are close, the difference does not exceed 0.1 %∆k/k;</w:t>
      </w:r>
    </w:p>
    <w:p w:rsidR="000F3A11" w:rsidRPr="000F3A11" w:rsidRDefault="000F3A11" w:rsidP="000F3A11">
      <w:pPr>
        <w:pStyle w:val="a1"/>
        <w:rPr>
          <w:lang w:val="en-US"/>
        </w:rPr>
      </w:pPr>
      <w:r w:rsidRPr="000F3A11">
        <w:rPr>
          <w:lang w:val="en-US"/>
        </w:rPr>
        <w:t xml:space="preserve">– </w:t>
      </w:r>
      <w:proofErr w:type="gramStart"/>
      <w:r w:rsidRPr="000F3A11">
        <w:rPr>
          <w:lang w:val="en-US"/>
        </w:rPr>
        <w:t>the</w:t>
      </w:r>
      <w:proofErr w:type="gramEnd"/>
      <w:r w:rsidRPr="000F3A11">
        <w:rPr>
          <w:lang w:val="en-US"/>
        </w:rPr>
        <w:t xml:space="preserve"> difference between the calculation results and the experiment for most states of the core does not exceed 0.3 %∆k/k.</w:t>
      </w:r>
    </w:p>
    <w:p w:rsidR="000F3A11" w:rsidRPr="000F3A11" w:rsidRDefault="000F3A11" w:rsidP="000F3A11">
      <w:pPr>
        <w:pStyle w:val="a1"/>
        <w:rPr>
          <w:lang w:val="en-US"/>
        </w:rPr>
      </w:pPr>
    </w:p>
    <w:p w:rsidR="000F3A11" w:rsidRPr="000F3A11" w:rsidRDefault="000F3A11" w:rsidP="000F3A11">
      <w:pPr>
        <w:pStyle w:val="2"/>
        <w:rPr>
          <w:lang w:val="en-US"/>
        </w:rPr>
      </w:pPr>
      <w:r w:rsidRPr="000F3A11">
        <w:rPr>
          <w:lang w:val="en-US"/>
        </w:rPr>
        <w:t>CONCLUSION</w:t>
      </w:r>
    </w:p>
    <w:p w:rsidR="000F3A11" w:rsidRPr="000F3A11" w:rsidRDefault="000F3A11" w:rsidP="000F3A11">
      <w:pPr>
        <w:pStyle w:val="a1"/>
        <w:rPr>
          <w:lang w:val="en-US"/>
        </w:rPr>
      </w:pPr>
      <w:r w:rsidRPr="000F3A11">
        <w:rPr>
          <w:lang w:val="en-US"/>
        </w:rPr>
        <w:t xml:space="preserve">Work was carried out to compare the calculation results for all the involved codes with the measurement results. The resulting estimates are given below. </w:t>
      </w:r>
    </w:p>
    <w:p w:rsidR="000F3A11" w:rsidRPr="000F3A11" w:rsidRDefault="000F3A11" w:rsidP="000F3A11">
      <w:pPr>
        <w:pStyle w:val="a1"/>
        <w:rPr>
          <w:lang w:val="en-US"/>
        </w:rPr>
      </w:pPr>
      <w:r w:rsidRPr="000F3A11">
        <w:rPr>
          <w:lang w:val="en-US"/>
        </w:rPr>
        <w:t xml:space="preserve">1) Critical parameter for </w:t>
      </w:r>
      <w:r w:rsidR="00EB3B69" w:rsidRPr="00EB3B69">
        <w:rPr>
          <w:lang w:val="en-US"/>
        </w:rPr>
        <w:t>«</w:t>
      </w:r>
      <w:r w:rsidRPr="000F3A11">
        <w:rPr>
          <w:lang w:val="en-US"/>
        </w:rPr>
        <w:t>cold</w:t>
      </w:r>
      <w:r w:rsidR="00EB3B69" w:rsidRPr="00EB3B69">
        <w:rPr>
          <w:lang w:val="en-US"/>
        </w:rPr>
        <w:t>»</w:t>
      </w:r>
      <w:r w:rsidRPr="000F3A11">
        <w:rPr>
          <w:lang w:val="en-US"/>
        </w:rPr>
        <w:t xml:space="preserve"> and </w:t>
      </w:r>
      <w:r w:rsidR="00EB3B69" w:rsidRPr="00EB3B69">
        <w:rPr>
          <w:lang w:val="en-US"/>
        </w:rPr>
        <w:t>«</w:t>
      </w:r>
      <w:r w:rsidRPr="000F3A11">
        <w:rPr>
          <w:lang w:val="en-US"/>
        </w:rPr>
        <w:t>hot</w:t>
      </w:r>
      <w:r w:rsidR="00EB3B69" w:rsidRPr="00EB3B69">
        <w:rPr>
          <w:lang w:val="en-US"/>
        </w:rPr>
        <w:t>»</w:t>
      </w:r>
      <w:r w:rsidRPr="000F3A11">
        <w:rPr>
          <w:lang w:val="en-US"/>
        </w:rPr>
        <w:t xml:space="preserve"> reactor conditions predicted with accuracy (maximum spread of ±0.1 %). The systematic difference between the criticality calculations between the </w:t>
      </w:r>
      <w:r w:rsidR="00EB3B69" w:rsidRPr="00EB3B69">
        <w:rPr>
          <w:lang w:val="en-US"/>
        </w:rPr>
        <w:t>«</w:t>
      </w:r>
      <w:r w:rsidRPr="000F3A11">
        <w:rPr>
          <w:lang w:val="en-US"/>
        </w:rPr>
        <w:t>cold</w:t>
      </w:r>
      <w:r w:rsidR="00EB3B69" w:rsidRPr="00EB3B69">
        <w:rPr>
          <w:lang w:val="en-US"/>
        </w:rPr>
        <w:t>»</w:t>
      </w:r>
      <w:r w:rsidRPr="000F3A11">
        <w:rPr>
          <w:lang w:val="en-US"/>
        </w:rPr>
        <w:t xml:space="preserve"> and </w:t>
      </w:r>
      <w:r w:rsidR="00EB3B69" w:rsidRPr="00EB3B69">
        <w:rPr>
          <w:lang w:val="en-US"/>
        </w:rPr>
        <w:t>«</w:t>
      </w:r>
      <w:r w:rsidRPr="000F3A11">
        <w:rPr>
          <w:lang w:val="en-US"/>
        </w:rPr>
        <w:t>hot</w:t>
      </w:r>
      <w:r w:rsidR="00EB3B69" w:rsidRPr="00EB3B69">
        <w:rPr>
          <w:lang w:val="en-US"/>
        </w:rPr>
        <w:t>»</w:t>
      </w:r>
      <w:r w:rsidRPr="000F3A11">
        <w:rPr>
          <w:lang w:val="en-US"/>
        </w:rPr>
        <w:t xml:space="preserve"> conditions of the reactor, which is ~0.2%, has been established (according to micro-studies). </w:t>
      </w:r>
    </w:p>
    <w:p w:rsidR="000F3A11" w:rsidRPr="000F3A11" w:rsidRDefault="000F3A11" w:rsidP="000F3A11">
      <w:pPr>
        <w:pStyle w:val="a1"/>
        <w:rPr>
          <w:lang w:val="en-US"/>
        </w:rPr>
      </w:pPr>
      <w:r w:rsidRPr="000F3A11">
        <w:rPr>
          <w:lang w:val="en-US"/>
        </w:rPr>
        <w:t xml:space="preserve">2) The maximum reactivity margin is predicted in the range from </w:t>
      </w:r>
      <w:proofErr w:type="gramStart"/>
      <w:r w:rsidRPr="000F3A11">
        <w:rPr>
          <w:lang w:val="en-US"/>
        </w:rPr>
        <w:t>0  up</w:t>
      </w:r>
      <w:proofErr w:type="gramEnd"/>
      <w:r w:rsidRPr="000F3A11">
        <w:rPr>
          <w:lang w:val="en-US"/>
        </w:rPr>
        <w:t xml:space="preserve"> to minus 0.5%Δk/k. The deviation of the calculation results at the beginning of the micro-company is slightly greater, which is due to the greater depth of immersion of the absorbing rods (the reactivity margin is determined by the efficiency of their submerged part). </w:t>
      </w:r>
    </w:p>
    <w:p w:rsidR="000F3A11" w:rsidRPr="000F3A11" w:rsidRDefault="000F3A11" w:rsidP="000F3A11">
      <w:pPr>
        <w:pStyle w:val="a1"/>
        <w:rPr>
          <w:lang w:val="en-US"/>
        </w:rPr>
      </w:pPr>
      <w:r w:rsidRPr="000F3A11">
        <w:rPr>
          <w:lang w:val="en-US"/>
        </w:rPr>
        <w:t xml:space="preserve">3) The effectiveness of the CPS rods </w:t>
      </w:r>
    </w:p>
    <w:p w:rsidR="000F3A11" w:rsidRPr="000F3A11" w:rsidRDefault="000F3A11" w:rsidP="000F3A11">
      <w:pPr>
        <w:pStyle w:val="a1"/>
        <w:rPr>
          <w:lang w:val="en-US"/>
        </w:rPr>
      </w:pPr>
      <w:r w:rsidRPr="000F3A11">
        <w:rPr>
          <w:lang w:val="en-US"/>
        </w:rPr>
        <w:t xml:space="preserve">The calculated results for the main groups of CPS (CR and SR rods) are in good </w:t>
      </w:r>
      <w:proofErr w:type="gramStart"/>
      <w:r w:rsidRPr="000F3A11">
        <w:rPr>
          <w:lang w:val="en-US"/>
        </w:rPr>
        <w:t>agreement  both</w:t>
      </w:r>
      <w:proofErr w:type="gramEnd"/>
      <w:r w:rsidRPr="000F3A11">
        <w:rPr>
          <w:lang w:val="en-US"/>
        </w:rPr>
        <w:t xml:space="preserve"> between themselves and with experimental values. The average spread of the calculated results is 6 %.</w:t>
      </w:r>
    </w:p>
    <w:p w:rsidR="000F3A11" w:rsidRPr="000F3A11" w:rsidRDefault="000F3A11" w:rsidP="000F3A11">
      <w:pPr>
        <w:pStyle w:val="a1"/>
        <w:rPr>
          <w:lang w:val="en-US"/>
        </w:rPr>
      </w:pPr>
      <w:r w:rsidRPr="000F3A11">
        <w:rPr>
          <w:lang w:val="en-US"/>
        </w:rPr>
        <w:t xml:space="preserve">4) Reactivity balance </w:t>
      </w:r>
    </w:p>
    <w:p w:rsidR="000F3A11" w:rsidRPr="000F3A11" w:rsidRDefault="000F3A11" w:rsidP="000F3A11">
      <w:pPr>
        <w:pStyle w:val="a1"/>
        <w:rPr>
          <w:lang w:val="en-US"/>
        </w:rPr>
      </w:pPr>
      <w:r w:rsidRPr="000F3A11">
        <w:rPr>
          <w:lang w:val="en-US"/>
        </w:rPr>
        <w:t xml:space="preserve">The calculated values of the reactor </w:t>
      </w:r>
      <w:proofErr w:type="spellStart"/>
      <w:r w:rsidRPr="000F3A11">
        <w:rPr>
          <w:lang w:val="en-US"/>
        </w:rPr>
        <w:t>subcriticality</w:t>
      </w:r>
      <w:proofErr w:type="spellEnd"/>
      <w:r w:rsidRPr="000F3A11">
        <w:rPr>
          <w:lang w:val="en-US"/>
        </w:rPr>
        <w:t xml:space="preserve"> under reload are in good agreement with each </w:t>
      </w:r>
      <w:proofErr w:type="gramStart"/>
      <w:r w:rsidRPr="000F3A11">
        <w:rPr>
          <w:lang w:val="en-US"/>
        </w:rPr>
        <w:t>other,</w:t>
      </w:r>
      <w:proofErr w:type="gramEnd"/>
      <w:r w:rsidRPr="000F3A11">
        <w:rPr>
          <w:lang w:val="en-US"/>
        </w:rPr>
        <w:t xml:space="preserve"> however, it is systematically lower than the experiment by 0.4 %</w:t>
      </w:r>
      <w:proofErr w:type="spellStart"/>
      <w:r w:rsidRPr="000F3A11">
        <w:rPr>
          <w:lang w:val="en-US"/>
        </w:rPr>
        <w:t>Δk</w:t>
      </w:r>
      <w:proofErr w:type="spellEnd"/>
      <w:r w:rsidRPr="000F3A11">
        <w:rPr>
          <w:lang w:val="en-US"/>
        </w:rPr>
        <w:t xml:space="preserve">/k, excluding the third MC. The calculated values of the reactor </w:t>
      </w:r>
      <w:proofErr w:type="spellStart"/>
      <w:r w:rsidRPr="000F3A11">
        <w:rPr>
          <w:lang w:val="en-US"/>
        </w:rPr>
        <w:t>subcriticity</w:t>
      </w:r>
      <w:proofErr w:type="spellEnd"/>
      <w:r w:rsidRPr="000F3A11">
        <w:rPr>
          <w:lang w:val="en-US"/>
        </w:rPr>
        <w:t xml:space="preserve"> with the SR rods cocked are in good agreement with each other</w:t>
      </w:r>
      <w:proofErr w:type="gramStart"/>
      <w:r w:rsidRPr="000F3A11">
        <w:rPr>
          <w:lang w:val="en-US"/>
        </w:rPr>
        <w:t>,  however</w:t>
      </w:r>
      <w:proofErr w:type="gramEnd"/>
      <w:r w:rsidRPr="000F3A11">
        <w:rPr>
          <w:lang w:val="en-US"/>
        </w:rPr>
        <w:t>, it is systematically lower than the experiment by 0.5 %</w:t>
      </w:r>
      <w:proofErr w:type="spellStart"/>
      <w:r w:rsidRPr="000F3A11">
        <w:rPr>
          <w:lang w:val="en-US"/>
        </w:rPr>
        <w:t>Δk</w:t>
      </w:r>
      <w:proofErr w:type="spellEnd"/>
      <w:r w:rsidRPr="000F3A11">
        <w:rPr>
          <w:lang w:val="en-US"/>
        </w:rPr>
        <w:t xml:space="preserve">/k, excluding the third MC. Since the experimental values are based on the efficiency of single rods with introduced interference coefficients, it may be necessary to revise the correction coefficients. This may also apply to the restoration of the experimental value of the </w:t>
      </w:r>
      <w:r w:rsidR="008C68B6">
        <w:rPr>
          <w:lang w:val="en-US"/>
        </w:rPr>
        <w:t>maximum reactivity margin</w:t>
      </w:r>
      <w:r w:rsidRPr="000F3A11">
        <w:rPr>
          <w:lang w:val="en-US"/>
        </w:rPr>
        <w:t>.</w:t>
      </w:r>
    </w:p>
    <w:p w:rsidR="000F3A11" w:rsidRPr="000F3A11" w:rsidRDefault="000F3A11" w:rsidP="000F3A11">
      <w:pPr>
        <w:pStyle w:val="a1"/>
        <w:rPr>
          <w:lang w:val="en-US"/>
        </w:rPr>
      </w:pPr>
      <w:r w:rsidRPr="000F3A11">
        <w:rPr>
          <w:lang w:val="en-US"/>
        </w:rPr>
        <w:t xml:space="preserve">5) Temperature-power effect </w:t>
      </w:r>
    </w:p>
    <w:p w:rsidR="000F3A11" w:rsidRPr="000F3A11" w:rsidRDefault="000F3A11" w:rsidP="000F3A11">
      <w:pPr>
        <w:pStyle w:val="a1"/>
        <w:rPr>
          <w:lang w:val="en-US"/>
        </w:rPr>
      </w:pPr>
      <w:r w:rsidRPr="000F3A11">
        <w:rPr>
          <w:lang w:val="en-US"/>
        </w:rPr>
        <w:lastRenderedPageBreak/>
        <w:t xml:space="preserve">From the results of comparing the calculated and experimental values of the temperature-power effect of </w:t>
      </w:r>
      <w:proofErr w:type="gramStart"/>
      <w:r w:rsidRPr="000F3A11">
        <w:rPr>
          <w:lang w:val="en-US"/>
        </w:rPr>
        <w:t>reactivity</w:t>
      </w:r>
      <w:proofErr w:type="gramEnd"/>
      <w:r w:rsidRPr="000F3A11">
        <w:rPr>
          <w:lang w:val="en-US"/>
        </w:rPr>
        <w:t>, it can be concluded that the average values of differences are:</w:t>
      </w:r>
    </w:p>
    <w:p w:rsidR="000F3A11" w:rsidRPr="000F3A11" w:rsidRDefault="000F3A11" w:rsidP="00EB3B69">
      <w:pPr>
        <w:pStyle w:val="ListEmdash"/>
        <w:rPr>
          <w:lang w:val="en-US"/>
        </w:rPr>
      </w:pPr>
      <w:r w:rsidRPr="000F3A11">
        <w:rPr>
          <w:lang w:val="en-US"/>
        </w:rPr>
        <w:t>for temperature ef</w:t>
      </w:r>
      <w:r>
        <w:rPr>
          <w:lang w:val="en-US"/>
        </w:rPr>
        <w:t>fect of reactivity ~ 0.04 %∆k/k;</w:t>
      </w:r>
    </w:p>
    <w:p w:rsidR="000F3A11" w:rsidRPr="000F3A11" w:rsidRDefault="000F3A11" w:rsidP="00EB3B69">
      <w:pPr>
        <w:pStyle w:val="ListEmdash"/>
        <w:rPr>
          <w:lang w:val="en-US"/>
        </w:rPr>
      </w:pPr>
      <w:r w:rsidRPr="000F3A11">
        <w:rPr>
          <w:lang w:val="en-US"/>
        </w:rPr>
        <w:t>for power effect of reactivity ~ 0.1 %∆k / k</w:t>
      </w:r>
      <w:r>
        <w:rPr>
          <w:lang w:val="en-US"/>
        </w:rPr>
        <w:t>;</w:t>
      </w:r>
    </w:p>
    <w:p w:rsidR="000F3A11" w:rsidRPr="000F3A11" w:rsidRDefault="000F3A11" w:rsidP="00EB3B69">
      <w:pPr>
        <w:pStyle w:val="ListEmdash"/>
        <w:rPr>
          <w:lang w:val="en-US"/>
        </w:rPr>
      </w:pPr>
      <w:proofErr w:type="gramStart"/>
      <w:r w:rsidRPr="000F3A11">
        <w:rPr>
          <w:lang w:val="en-US"/>
        </w:rPr>
        <w:t>for</w:t>
      </w:r>
      <w:proofErr w:type="gramEnd"/>
      <w:r w:rsidRPr="000F3A11">
        <w:rPr>
          <w:lang w:val="en-US"/>
        </w:rPr>
        <w:t xml:space="preserve"> temperature-power effect of reactivity ~ 0.1 % ∆k/k</w:t>
      </w:r>
      <w:r>
        <w:rPr>
          <w:lang w:val="en-US"/>
        </w:rPr>
        <w:t>.</w:t>
      </w:r>
    </w:p>
    <w:p w:rsidR="000F3A11" w:rsidRPr="000F3A11" w:rsidRDefault="000F3A11" w:rsidP="000A2990">
      <w:pPr>
        <w:pStyle w:val="a1"/>
        <w:rPr>
          <w:lang w:val="en-US"/>
        </w:rPr>
      </w:pPr>
    </w:p>
    <w:p w:rsidR="000F3A11" w:rsidRPr="000F3A11" w:rsidRDefault="000F3A11" w:rsidP="000A2990">
      <w:pPr>
        <w:pStyle w:val="a1"/>
        <w:rPr>
          <w:lang w:val="en-US"/>
        </w:rPr>
      </w:pPr>
    </w:p>
    <w:p w:rsidR="00D26ADA" w:rsidRPr="00285755" w:rsidRDefault="00D26ADA" w:rsidP="00537496">
      <w:pPr>
        <w:pStyle w:val="Otherunnumberedheadings"/>
      </w:pPr>
      <w:r>
        <w:t>References</w:t>
      </w:r>
    </w:p>
    <w:p w:rsidR="008C68B6" w:rsidRDefault="008C68B6" w:rsidP="008C68B6">
      <w:pPr>
        <w:pStyle w:val="Referencelist"/>
        <w:ind w:left="360"/>
      </w:pPr>
      <w:r>
        <w:t xml:space="preserve">BLYSKAVKA A.A., ZHEMCHUGOV E.V., RASKACH K.F. Pilot version of the MMK program with continuous tracking of the neutron energy / Sb. "Reports of the NEUTRONICS-2012 seminar". - </w:t>
      </w:r>
      <w:proofErr w:type="spellStart"/>
      <w:r>
        <w:t>Obninsk</w:t>
      </w:r>
      <w:proofErr w:type="spellEnd"/>
      <w:r>
        <w:t>: JSC «SSC RF-IPPE», 2012.</w:t>
      </w:r>
    </w:p>
    <w:p w:rsidR="008C68B6" w:rsidRDefault="008C68B6" w:rsidP="008C68B6">
      <w:pPr>
        <w:pStyle w:val="Referencelist"/>
        <w:ind w:left="360"/>
      </w:pPr>
      <w:r>
        <w:t xml:space="preserve">PEREGUDOV A.A., KRYACHKO M.V., SEMENOV M.YU. </w:t>
      </w:r>
      <w:proofErr w:type="gramStart"/>
      <w:r>
        <w:t>et</w:t>
      </w:r>
      <w:proofErr w:type="gramEnd"/>
      <w:r>
        <w:t xml:space="preserve"> al. </w:t>
      </w:r>
      <w:proofErr w:type="spellStart"/>
      <w:r>
        <w:t>BNcode</w:t>
      </w:r>
      <w:proofErr w:type="spellEnd"/>
      <w:r>
        <w:t xml:space="preserve"> - an improved code for scientific support for the launch of BN reactors. // Questions of atomic science and technology. Series: Nuclear Reactor Constants, 2019, Issue 2, 2: 8.</w:t>
      </w:r>
    </w:p>
    <w:p w:rsidR="008C68B6" w:rsidRDefault="008C68B6" w:rsidP="008C68B6">
      <w:pPr>
        <w:pStyle w:val="Referencelist"/>
        <w:ind w:left="360"/>
      </w:pPr>
      <w:r>
        <w:t xml:space="preserve">L.N. YAROSLAVTSEV. JAR software package for calculating the </w:t>
      </w:r>
      <w:proofErr w:type="spellStart"/>
      <w:r>
        <w:t>neutronic</w:t>
      </w:r>
      <w:proofErr w:type="spellEnd"/>
      <w:r>
        <w:t xml:space="preserve"> characteristics of nuclear reactors. - VANT, series "Physics and technology of nuclear reactors", 1983, issue 8 (37), pp.41-43.</w:t>
      </w:r>
    </w:p>
    <w:p w:rsidR="008C68B6" w:rsidRDefault="008C68B6" w:rsidP="008C68B6">
      <w:pPr>
        <w:pStyle w:val="Referencelist"/>
        <w:ind w:left="360"/>
      </w:pPr>
      <w:r>
        <w:t>D.S. ASATRYAN, A.A. BELOV, A.A. PEREGUDOV et al. GEFEST800 software package for calculating neutron-physical characteristics of BN-800 in stationary mode. - Atomic Energy, 2015, volume 118, issue No. 6, pp. 303-309.</w:t>
      </w:r>
    </w:p>
    <w:p w:rsidR="008C68B6" w:rsidRDefault="008C68B6" w:rsidP="008C68B6">
      <w:pPr>
        <w:pStyle w:val="Referencelist"/>
        <w:ind w:left="360"/>
      </w:pPr>
      <w:r>
        <w:t>KAMAEV A.A., KLINOV D.A., MIKHAILOV G.M. and others. Computational and experimental analysis of neutron-physical characteristics of the BN-800 reactor core at the stages of physical start-up and subsequent development of the design capacity. - International Conference on Fast Reactors and their Fuel Cycles: Next Generation Nuclear Systems for Sustainable Development; Yekaterinburg (Russian Federation); June 26-29, 2017; IAEA-CN245-462</w:t>
      </w:r>
    </w:p>
    <w:p w:rsidR="008C68B6" w:rsidRDefault="008C68B6" w:rsidP="008C68B6">
      <w:pPr>
        <w:pStyle w:val="Referencelist"/>
        <w:ind w:left="360"/>
      </w:pPr>
      <w:r>
        <w:t>MANTUROV G.N., NIKOLAEV M.N., TSIBULYA A.M. System of group constants ABNAB-93. Part 1: Nuclear constants for calculating neutron and photon radiation fields; - Questions of atomic science and technology. Series: nuclear constants. - M., 1996. –</w:t>
      </w:r>
      <w:proofErr w:type="spellStart"/>
      <w:r>
        <w:t>Vyp</w:t>
      </w:r>
      <w:proofErr w:type="spellEnd"/>
      <w:r>
        <w:t>. 1.-p. 59.</w:t>
      </w:r>
    </w:p>
    <w:p w:rsidR="008C68B6" w:rsidRDefault="008C68B6" w:rsidP="008C68B6">
      <w:pPr>
        <w:pStyle w:val="Referencelist"/>
        <w:ind w:left="360"/>
      </w:pPr>
      <w:r>
        <w:t xml:space="preserve">MANTUROV G.N., NIKOLAEV M.N., TSIBULYA A.M. CONSYST constant preparation program. Description of the application. Preprint FEI-2828. - </w:t>
      </w:r>
      <w:proofErr w:type="spellStart"/>
      <w:r>
        <w:t>Obninsk</w:t>
      </w:r>
      <w:proofErr w:type="spellEnd"/>
      <w:r>
        <w:t>, 2000.</w:t>
      </w:r>
    </w:p>
    <w:p w:rsidR="008C68B6" w:rsidRDefault="008C68B6" w:rsidP="008C68B6">
      <w:pPr>
        <w:pStyle w:val="Referencelist"/>
        <w:ind w:left="360"/>
      </w:pPr>
      <w:r>
        <w:t>ZABRODSKAYA S.V., IGNATYUK A.V., KOSHCHEEV V.N., MANOKHIN V.N., NIKOLAEV M.N., PRONYAEV V.G. ROSFOND - Russian National Library of Evaluated Neutron Data / Coll. “Questions of atomic science and technology. Series: Nuclear Constants ". - Issue. 1-2</w:t>
      </w:r>
      <w:proofErr w:type="gramStart"/>
      <w:r>
        <w:t>,.</w:t>
      </w:r>
      <w:proofErr w:type="gramEnd"/>
      <w:r>
        <w:t xml:space="preserve"> - M., 2007.</w:t>
      </w:r>
    </w:p>
    <w:p w:rsidR="002C29DB" w:rsidRDefault="008C68B6" w:rsidP="008C68B6">
      <w:pPr>
        <w:pStyle w:val="Referencelist"/>
        <w:ind w:left="360"/>
      </w:pPr>
      <w:r>
        <w:t xml:space="preserve">KOSHCHEEV V.N., PEREGUDOV A.A., ROZHIKHIN E.V., SEMENOV M.YU., YAKUNIN A.A. </w:t>
      </w:r>
      <w:proofErr w:type="spellStart"/>
      <w:r>
        <w:t>Modeling</w:t>
      </w:r>
      <w:proofErr w:type="spellEnd"/>
      <w:r>
        <w:t xml:space="preserve"> detailed nuclear data at arbitrary temperature in neutron-physical calculations for Monte Carlo codes // Problems of Atomic and Technique. Series: Nuclear Reactor Constants, 2019, Issue 1, 1:21.</w:t>
      </w:r>
    </w:p>
    <w:p w:rsidR="00F45EEE" w:rsidRPr="00662532" w:rsidRDefault="00F45EEE" w:rsidP="00537496">
      <w:pPr>
        <w:pStyle w:val="a1"/>
        <w:ind w:firstLine="0"/>
        <w:jc w:val="left"/>
      </w:pPr>
    </w:p>
    <w:sectPr w:rsidR="00F45EEE" w:rsidRPr="00662532" w:rsidSect="0026525A">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D8B" w:rsidRDefault="00923D8B">
      <w:r>
        <w:separator/>
      </w:r>
    </w:p>
  </w:endnote>
  <w:endnote w:type="continuationSeparator" w:id="0">
    <w:p w:rsidR="00923D8B" w:rsidRDefault="00923D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E70" w:rsidRDefault="002449B8">
    <w:pPr>
      <w:pStyle w:val="zyxClassification1"/>
    </w:pPr>
    <w:r>
      <w:fldChar w:fldCharType="begin"/>
    </w:r>
    <w:r w:rsidR="00E20E70">
      <w:instrText xml:space="preserve"> DOCPROPERTY "IaeaClassification"  \* MERGEFORMAT </w:instrText>
    </w:r>
    <w:r>
      <w:fldChar w:fldCharType="end"/>
    </w:r>
  </w:p>
  <w:p w:rsidR="00E20E70" w:rsidRDefault="002449B8">
    <w:pPr>
      <w:pStyle w:val="zyxClassification2"/>
    </w:pPr>
    <w:r>
      <w:fldChar w:fldCharType="begin"/>
    </w:r>
    <w:r w:rsidR="00E20E70">
      <w:instrText>DOCPROPERTY "IaeaClassification2"  \* MERGEFORMAT</w:instrTex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E70" w:rsidRDefault="002449B8">
    <w:pPr>
      <w:pStyle w:val="zyxClassification1"/>
    </w:pPr>
    <w:r>
      <w:fldChar w:fldCharType="begin"/>
    </w:r>
    <w:r w:rsidR="00E20E70">
      <w:instrText xml:space="preserve"> DOCPROPERTY "IaeaClassification"  \* MERGEFORMAT </w:instrText>
    </w:r>
    <w:r>
      <w:fldChar w:fldCharType="end"/>
    </w:r>
  </w:p>
  <w:p w:rsidR="00E20E70" w:rsidRPr="00037321" w:rsidRDefault="002449B8">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00037321"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FE3BF9">
      <w:rPr>
        <w:rFonts w:ascii="Times New Roman" w:hAnsi="Times New Roman" w:cs="Times New Roman"/>
        <w:noProof/>
        <w:sz w:val="20"/>
      </w:rPr>
      <w:t>3</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90" w:tblpY="15707"/>
      <w:tblOverlap w:val="never"/>
      <w:tblW w:w="10314" w:type="dxa"/>
      <w:tblLook w:val="0000"/>
    </w:tblPr>
    <w:tblGrid>
      <w:gridCol w:w="4644"/>
      <w:gridCol w:w="5670"/>
    </w:tblGrid>
    <w:tr w:rsidR="00E20E70">
      <w:trPr>
        <w:cantSplit/>
      </w:trPr>
      <w:tc>
        <w:tcPr>
          <w:tcW w:w="4644" w:type="dxa"/>
        </w:tcPr>
        <w:p w:rsidR="00E20E70" w:rsidRDefault="002449B8">
          <w:pPr>
            <w:pStyle w:val="zyxDistribution"/>
            <w:framePr w:wrap="auto" w:vAnchor="margin" w:hAnchor="text" w:xAlign="left" w:yAlign="inline"/>
            <w:suppressOverlap w:val="0"/>
          </w:pPr>
          <w:r>
            <w:fldChar w:fldCharType="begin"/>
          </w:r>
          <w:r w:rsidR="00E20E70">
            <w:instrText xml:space="preserve"> DOCPROPERTY "IaeaDistribution"  \* MERGEFORMAT </w:instrText>
          </w:r>
          <w:r>
            <w:fldChar w:fldCharType="end"/>
          </w:r>
        </w:p>
        <w:p w:rsidR="00E20E70" w:rsidRDefault="002449B8">
          <w:pPr>
            <w:pStyle w:val="zyxSensitivity"/>
            <w:framePr w:wrap="auto" w:vAnchor="margin" w:hAnchor="text" w:xAlign="left" w:yAlign="inline"/>
            <w:suppressOverlap w:val="0"/>
          </w:pPr>
          <w:r>
            <w:fldChar w:fldCharType="begin"/>
          </w:r>
          <w:r w:rsidR="00E20E70">
            <w:instrText xml:space="preserve"> DOCPROPERTY "IaeaSensitivity"  \* MERGEFORMAT </w:instrText>
          </w:r>
          <w:r>
            <w:fldChar w:fldCharType="end"/>
          </w:r>
        </w:p>
      </w:tc>
      <w:bookmarkStart w:id="2" w:name="DOC_bkmClassification2"/>
      <w:tc>
        <w:tcPr>
          <w:tcW w:w="5670" w:type="dxa"/>
          <w:tcMar>
            <w:right w:w="249" w:type="dxa"/>
          </w:tcMar>
        </w:tcPr>
        <w:p w:rsidR="00E20E70" w:rsidRDefault="002449B8">
          <w:pPr>
            <w:pStyle w:val="zyxConfidBlack"/>
            <w:framePr w:wrap="auto" w:vAnchor="margin" w:hAnchor="text" w:xAlign="left" w:yAlign="inline"/>
            <w:suppressOverlap w:val="0"/>
          </w:pPr>
          <w:r>
            <w:fldChar w:fldCharType="begin"/>
          </w:r>
          <w:r w:rsidR="00E20E70">
            <w:instrText xml:space="preserve"> DOCPROPERTY "IaeaClassification"  \* MERGEFORMAT </w:instrText>
          </w:r>
          <w:r>
            <w:fldChar w:fldCharType="end"/>
          </w:r>
        </w:p>
        <w:bookmarkEnd w:id="2"/>
        <w:p w:rsidR="00E20E70" w:rsidRDefault="002449B8">
          <w:pPr>
            <w:spacing w:after="20" w:line="220" w:lineRule="exact"/>
            <w:jc w:val="right"/>
            <w:rPr>
              <w:rFonts w:ascii="Arial" w:hAnsi="Arial" w:cs="Arial"/>
              <w:color w:val="FF0000"/>
            </w:rPr>
          </w:pPr>
          <w:r>
            <w:rPr>
              <w:rFonts w:ascii="Arial" w:hAnsi="Arial"/>
              <w:b/>
            </w:rPr>
            <w:fldChar w:fldCharType="begin"/>
          </w:r>
          <w:r w:rsidR="00E20E70">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sidR="00E20E70">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rsidR="00E20E70" w:rsidRDefault="002449B8">
    <w:r>
      <w:rPr>
        <w:sz w:val="16"/>
      </w:rPr>
      <w:fldChar w:fldCharType="begin"/>
    </w:r>
    <w:r w:rsidR="00E20E70">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3"/>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D8B" w:rsidRDefault="00923D8B">
      <w:r>
        <w:t>___________________________________________________________________________</w:t>
      </w:r>
    </w:p>
  </w:footnote>
  <w:footnote w:type="continuationSeparator" w:id="0">
    <w:p w:rsidR="00923D8B" w:rsidRDefault="00923D8B">
      <w:r>
        <w:t>___________________________________________________________________________</w:t>
      </w:r>
    </w:p>
  </w:footnote>
  <w:footnote w:type="continuationNotice" w:id="1">
    <w:p w:rsidR="00923D8B" w:rsidRDefault="00923D8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F3" w:rsidRDefault="00CF7AF3" w:rsidP="00CF7AF3">
    <w:pPr>
      <w:pStyle w:val="Runninghead"/>
    </w:pPr>
    <w:r>
      <w:tab/>
    </w:r>
    <w:r w:rsidR="002C29DB">
      <w:t xml:space="preserve">FR21: </w:t>
    </w:r>
    <w:r>
      <w:t>IAEA-CN-</w:t>
    </w:r>
    <w:r w:rsidR="002C29DB">
      <w:t>291</w:t>
    </w:r>
    <w:r>
      <w:t>/</w:t>
    </w:r>
    <w:r w:rsidR="002C29DB">
      <w:t>## (Replace ## with contribution ID Number</w:t>
    </w:r>
    <w:r w:rsidR="00CA0102">
      <w:t>)</w:t>
    </w:r>
  </w:p>
  <w:p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rsidR="00E20E70" w:rsidRDefault="00CF7AF3" w:rsidP="00CF7AF3">
    <w:pPr>
      <w:pStyle w:val="zyxClassification1"/>
      <w:tabs>
        <w:tab w:val="left" w:pos="3956"/>
        <w:tab w:val="right" w:pos="9071"/>
      </w:tabs>
      <w:jc w:val="left"/>
    </w:pPr>
    <w:r>
      <w:tab/>
    </w:r>
    <w:r w:rsidR="002449B8">
      <w:fldChar w:fldCharType="begin"/>
    </w:r>
    <w:r w:rsidR="00E20E70">
      <w:instrText xml:space="preserve"> DOCPROPERTY "IaeaClassification"  \* MERGEFORMAT </w:instrText>
    </w:r>
    <w:r w:rsidR="002449B8">
      <w:fldChar w:fldCharType="end"/>
    </w:r>
  </w:p>
  <w:p w:rsidR="00E20E70" w:rsidRDefault="002449B8">
    <w:pPr>
      <w:pStyle w:val="zyxClassification2"/>
    </w:pPr>
    <w:r>
      <w:fldChar w:fldCharType="begin"/>
    </w:r>
    <w:r w:rsidR="00E20E70">
      <w:instrText>DOCPROPERTY "IaeaClassification2"  \* MERGEFORMAT</w:instrTex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321" w:rsidRPr="00FE3BF9" w:rsidRDefault="00FE3BF9" w:rsidP="00FE3BF9">
    <w:pPr>
      <w:pStyle w:val="Authornameandaffiliation"/>
      <w:jc w:val="center"/>
      <w:rPr>
        <w:sz w:val="16"/>
        <w:vertAlign w:val="superscript"/>
      </w:rPr>
    </w:pPr>
    <w:r w:rsidRPr="00FE3BF9">
      <w:rPr>
        <w:b/>
        <w:sz w:val="16"/>
      </w:rPr>
      <w:t xml:space="preserve">V.A. </w:t>
    </w:r>
    <w:proofErr w:type="spellStart"/>
    <w:r w:rsidRPr="00FE3BF9">
      <w:rPr>
        <w:b/>
        <w:sz w:val="16"/>
      </w:rPr>
      <w:t>Mishin</w:t>
    </w:r>
    <w:proofErr w:type="spellEnd"/>
    <w:proofErr w:type="gramStart"/>
    <w:r>
      <w:rPr>
        <w:b/>
        <w:sz w:val="16"/>
      </w:rPr>
      <w:t xml:space="preserve">, </w:t>
    </w:r>
    <w:r w:rsidRPr="00FE3BF9">
      <w:rPr>
        <w:sz w:val="16"/>
      </w:rPr>
      <w:t xml:space="preserve"> M.Y</w:t>
    </w:r>
    <w:proofErr w:type="gramEnd"/>
    <w:r w:rsidRPr="00FE3BF9">
      <w:rPr>
        <w:sz w:val="16"/>
      </w:rPr>
      <w:t>.</w:t>
    </w:r>
    <w:r w:rsidRPr="00FE3BF9">
      <w:rPr>
        <w:sz w:val="16"/>
        <w:vertAlign w:val="superscript"/>
      </w:rPr>
      <w:t xml:space="preserve">  </w:t>
    </w:r>
    <w:r w:rsidRPr="00FE3BF9">
      <w:rPr>
        <w:sz w:val="16"/>
      </w:rPr>
      <w:t xml:space="preserve">Semenov, A.A. </w:t>
    </w:r>
    <w:proofErr w:type="spellStart"/>
    <w:r w:rsidRPr="00FE3BF9">
      <w:rPr>
        <w:sz w:val="16"/>
      </w:rPr>
      <w:t>Peregudov</w:t>
    </w:r>
    <w:proofErr w:type="spellEnd"/>
    <w:r w:rsidRPr="00FE3BF9">
      <w:rPr>
        <w:sz w:val="16"/>
      </w:rPr>
      <w:t xml:space="preserve">, , Y.V. </w:t>
    </w:r>
    <w:proofErr w:type="spellStart"/>
    <w:r w:rsidRPr="00FE3BF9">
      <w:rPr>
        <w:sz w:val="16"/>
      </w:rPr>
      <w:t>Dyachenko</w:t>
    </w:r>
    <w:proofErr w:type="spellEnd"/>
    <w:r w:rsidRPr="00FE3BF9">
      <w:rPr>
        <w:sz w:val="16"/>
      </w:rPr>
      <w:t xml:space="preserve">, S.B. </w:t>
    </w:r>
    <w:proofErr w:type="spellStart"/>
    <w:r w:rsidRPr="00FE3BF9">
      <w:rPr>
        <w:sz w:val="16"/>
      </w:rPr>
      <w:t>Belov</w:t>
    </w:r>
    <w:proofErr w:type="spellEnd"/>
    <w:r w:rsidRPr="00FE3BF9">
      <w:rPr>
        <w:sz w:val="16"/>
      </w:rPr>
      <w:t xml:space="preserve">,  </w:t>
    </w:r>
    <w:proofErr w:type="spellStart"/>
    <w:r w:rsidRPr="00FE3BF9">
      <w:rPr>
        <w:sz w:val="16"/>
      </w:rPr>
      <w:t>A.E.Kuznetsov</w:t>
    </w:r>
    <w:proofErr w:type="spellEnd"/>
    <w:r w:rsidRPr="00FE3BF9">
      <w:rPr>
        <w:sz w:val="16"/>
      </w:rPr>
      <w:t>, V.A. </w:t>
    </w:r>
    <w:proofErr w:type="spellStart"/>
    <w:r w:rsidRPr="00FE3BF9">
      <w:rPr>
        <w:sz w:val="16"/>
      </w:rPr>
      <w:t>Zheltyshev</w:t>
    </w:r>
    <w:proofErr w:type="spellEnd"/>
    <w:r w:rsidRPr="00FE3BF9">
      <w:rPr>
        <w:sz w:val="16"/>
      </w:rPr>
      <w:t xml:space="preserve">, E.P. </w:t>
    </w:r>
    <w:proofErr w:type="spellStart"/>
    <w:r w:rsidRPr="00FE3BF9">
      <w:rPr>
        <w:sz w:val="16"/>
      </w:rPr>
      <w:t>Lyapin</w:t>
    </w:r>
    <w:proofErr w:type="spellEnd"/>
    <w:r w:rsidRPr="00FE3BF9">
      <w:rPr>
        <w:sz w:val="16"/>
      </w:rPr>
      <w:t xml:space="preserve">, G.Y. </w:t>
    </w:r>
    <w:proofErr w:type="spellStart"/>
    <w:r w:rsidRPr="00FE3BF9">
      <w:rPr>
        <w:sz w:val="16"/>
      </w:rPr>
      <w:t>Dubovoy</w:t>
    </w:r>
    <w:proofErr w:type="spellEnd"/>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33" w:tblpY="228"/>
      <w:tblOverlap w:val="never"/>
      <w:tblW w:w="10319" w:type="dxa"/>
      <w:tblLayout w:type="fixed"/>
      <w:tblLook w:val="0000"/>
    </w:tblPr>
    <w:tblGrid>
      <w:gridCol w:w="979"/>
      <w:gridCol w:w="3638"/>
      <w:gridCol w:w="5702"/>
    </w:tblGrid>
    <w:tr w:rsidR="00E20E70">
      <w:trPr>
        <w:cantSplit/>
        <w:trHeight w:val="716"/>
      </w:trPr>
      <w:tc>
        <w:tcPr>
          <w:tcW w:w="979" w:type="dxa"/>
          <w:vMerge w:val="restart"/>
        </w:tcPr>
        <w:p w:rsidR="00E20E70" w:rsidRDefault="00E20E70">
          <w:pPr>
            <w:spacing w:before="180"/>
            <w:ind w:left="17"/>
          </w:pPr>
        </w:p>
      </w:tc>
      <w:tc>
        <w:tcPr>
          <w:tcW w:w="3638" w:type="dxa"/>
          <w:vAlign w:val="bottom"/>
        </w:tcPr>
        <w:p w:rsidR="00E20E70" w:rsidRDefault="00E20E70">
          <w:pPr>
            <w:spacing w:after="20"/>
          </w:pPr>
        </w:p>
      </w:tc>
      <w:bookmarkStart w:id="1" w:name="DOC_bkmClassification1"/>
      <w:tc>
        <w:tcPr>
          <w:tcW w:w="5702" w:type="dxa"/>
          <w:vMerge w:val="restart"/>
          <w:tcMar>
            <w:right w:w="193" w:type="dxa"/>
          </w:tcMar>
        </w:tcPr>
        <w:p w:rsidR="00E20E70" w:rsidRDefault="002449B8">
          <w:pPr>
            <w:pStyle w:val="zyxConfidBlack"/>
            <w:framePr w:wrap="auto" w:vAnchor="margin" w:hAnchor="text" w:xAlign="left" w:yAlign="inline"/>
            <w:suppressOverlap w:val="0"/>
          </w:pPr>
          <w:r>
            <w:fldChar w:fldCharType="begin"/>
          </w:r>
          <w:r w:rsidR="00E20E70">
            <w:instrText xml:space="preserve"> DOCPROPERTY "IaeaClassification"  \* MERGEFORMAT </w:instrText>
          </w:r>
          <w:r>
            <w:fldChar w:fldCharType="end"/>
          </w:r>
        </w:p>
        <w:bookmarkEnd w:id="1"/>
        <w:p w:rsidR="00E20E70" w:rsidRDefault="002449B8">
          <w:pPr>
            <w:pStyle w:val="zyxConfid2Red"/>
          </w:pPr>
          <w:r>
            <w:fldChar w:fldCharType="begin"/>
          </w:r>
          <w:r w:rsidR="00E20E70">
            <w:instrText>DOCPROPERTY "IaeaClassification2"  \* MERGEFORMAT</w:instrText>
          </w:r>
          <w:r>
            <w:fldChar w:fldCharType="end"/>
          </w:r>
        </w:p>
      </w:tc>
    </w:tr>
    <w:tr w:rsidR="00E20E70">
      <w:trPr>
        <w:cantSplit/>
        <w:trHeight w:val="167"/>
      </w:trPr>
      <w:tc>
        <w:tcPr>
          <w:tcW w:w="979" w:type="dxa"/>
          <w:vMerge/>
        </w:tcPr>
        <w:p w:rsidR="00E20E70" w:rsidRDefault="00E20E70">
          <w:pPr>
            <w:spacing w:before="57"/>
          </w:pPr>
        </w:p>
      </w:tc>
      <w:tc>
        <w:tcPr>
          <w:tcW w:w="3638" w:type="dxa"/>
          <w:vAlign w:val="bottom"/>
        </w:tcPr>
        <w:p w:rsidR="00E20E70" w:rsidRDefault="00E20E70">
          <w:pPr>
            <w:pStyle w:val="9"/>
            <w:spacing w:before="0" w:after="10"/>
          </w:pPr>
        </w:p>
      </w:tc>
      <w:tc>
        <w:tcPr>
          <w:tcW w:w="5702" w:type="dxa"/>
          <w:vMerge/>
          <w:vAlign w:val="bottom"/>
        </w:tcPr>
        <w:p w:rsidR="00E20E70" w:rsidRDefault="00E20E70">
          <w:pPr>
            <w:pStyle w:val="9"/>
            <w:spacing w:before="0" w:after="10"/>
          </w:pPr>
        </w:p>
      </w:tc>
    </w:tr>
  </w:tbl>
  <w:p w:rsidR="00E20E70" w:rsidRDefault="00E20E7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D2763D7"/>
    <w:multiLevelType w:val="hybridMultilevel"/>
    <w:tmpl w:val="1144C6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1"/>
  </w:num>
  <w:num w:numId="4">
    <w:abstractNumId w:val="11"/>
  </w:num>
  <w:num w:numId="5">
    <w:abstractNumId w:val="11"/>
  </w:num>
  <w:num w:numId="6">
    <w:abstractNumId w:val="5"/>
  </w:num>
  <w:num w:numId="7">
    <w:abstractNumId w:val="8"/>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3"/>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6"/>
  </w:num>
  <w:num w:numId="31">
    <w:abstractNumId w:val="6"/>
  </w:num>
  <w:num w:numId="32">
    <w:abstractNumId w:val="11"/>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5122"/>
  </w:hdrShapeDefaults>
  <w:footnotePr>
    <w:footnote w:id="-1"/>
    <w:footnote w:id="0"/>
    <w:footnote w:id="1"/>
  </w:footnotePr>
  <w:endnotePr>
    <w:endnote w:id="-1"/>
    <w:endnote w:id="0"/>
  </w:endnotePr>
  <w:compat>
    <w:spaceForUL/>
    <w:balanceSingleByteDoubleByteWidth/>
    <w:doNotLeaveBackslashAlone/>
    <w:ulTrailSpace/>
    <w:doNotExpandShiftReturn/>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229AB"/>
    <w:rsid w:val="0002569A"/>
    <w:rsid w:val="00037321"/>
    <w:rsid w:val="00093A64"/>
    <w:rsid w:val="000A0299"/>
    <w:rsid w:val="000A2990"/>
    <w:rsid w:val="000C4332"/>
    <w:rsid w:val="000F3A11"/>
    <w:rsid w:val="000F7E94"/>
    <w:rsid w:val="001119D6"/>
    <w:rsid w:val="001308F2"/>
    <w:rsid w:val="001313E8"/>
    <w:rsid w:val="00183BC4"/>
    <w:rsid w:val="001C58F5"/>
    <w:rsid w:val="001D5CEE"/>
    <w:rsid w:val="001E78CF"/>
    <w:rsid w:val="002071D9"/>
    <w:rsid w:val="0023450F"/>
    <w:rsid w:val="002449B8"/>
    <w:rsid w:val="00256822"/>
    <w:rsid w:val="0026525A"/>
    <w:rsid w:val="00274790"/>
    <w:rsid w:val="00285755"/>
    <w:rsid w:val="002A1F9C"/>
    <w:rsid w:val="002B29C2"/>
    <w:rsid w:val="002C29DB"/>
    <w:rsid w:val="002C4208"/>
    <w:rsid w:val="00352DE1"/>
    <w:rsid w:val="003728E6"/>
    <w:rsid w:val="003B5E0E"/>
    <w:rsid w:val="003D255A"/>
    <w:rsid w:val="00416949"/>
    <w:rsid w:val="004370D8"/>
    <w:rsid w:val="00472C43"/>
    <w:rsid w:val="00537496"/>
    <w:rsid w:val="00544ED3"/>
    <w:rsid w:val="0058477B"/>
    <w:rsid w:val="0058654F"/>
    <w:rsid w:val="00596ACA"/>
    <w:rsid w:val="005E39BC"/>
    <w:rsid w:val="005F00A0"/>
    <w:rsid w:val="00647F33"/>
    <w:rsid w:val="00662532"/>
    <w:rsid w:val="006627D0"/>
    <w:rsid w:val="006B2274"/>
    <w:rsid w:val="00717C6F"/>
    <w:rsid w:val="007445DA"/>
    <w:rsid w:val="007B4FD1"/>
    <w:rsid w:val="00802381"/>
    <w:rsid w:val="0083096A"/>
    <w:rsid w:val="0086759F"/>
    <w:rsid w:val="00871F40"/>
    <w:rsid w:val="00883848"/>
    <w:rsid w:val="00897ED5"/>
    <w:rsid w:val="008B6BB9"/>
    <w:rsid w:val="008C68B6"/>
    <w:rsid w:val="00911543"/>
    <w:rsid w:val="00923D8B"/>
    <w:rsid w:val="009519C9"/>
    <w:rsid w:val="009D0B86"/>
    <w:rsid w:val="009E0D5B"/>
    <w:rsid w:val="009E1558"/>
    <w:rsid w:val="00A233D1"/>
    <w:rsid w:val="00A42898"/>
    <w:rsid w:val="00A57919"/>
    <w:rsid w:val="00AB6ACE"/>
    <w:rsid w:val="00AC5A3A"/>
    <w:rsid w:val="00B604BE"/>
    <w:rsid w:val="00B82FA5"/>
    <w:rsid w:val="00BD1400"/>
    <w:rsid w:val="00BD605C"/>
    <w:rsid w:val="00BE2A76"/>
    <w:rsid w:val="00BF1901"/>
    <w:rsid w:val="00C65E60"/>
    <w:rsid w:val="00CA0102"/>
    <w:rsid w:val="00CE5A52"/>
    <w:rsid w:val="00CF7AF3"/>
    <w:rsid w:val="00D26ADA"/>
    <w:rsid w:val="00D35A78"/>
    <w:rsid w:val="00D555A1"/>
    <w:rsid w:val="00D64DC2"/>
    <w:rsid w:val="00D74A78"/>
    <w:rsid w:val="00DA46CA"/>
    <w:rsid w:val="00DF21EB"/>
    <w:rsid w:val="00E20E70"/>
    <w:rsid w:val="00E25B68"/>
    <w:rsid w:val="00E84003"/>
    <w:rsid w:val="00EB3B69"/>
    <w:rsid w:val="00EC10FC"/>
    <w:rsid w:val="00ED0A99"/>
    <w:rsid w:val="00EE0041"/>
    <w:rsid w:val="00EE29B9"/>
    <w:rsid w:val="00F004EE"/>
    <w:rsid w:val="00F42E23"/>
    <w:rsid w:val="00F45EEE"/>
    <w:rsid w:val="00F51E9C"/>
    <w:rsid w:val="00F523CA"/>
    <w:rsid w:val="00F73892"/>
    <w:rsid w:val="00F74A9D"/>
    <w:rsid w:val="00FE3BF9"/>
    <w:rsid w:val="00FF38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59" w:unhideWhenUsed="0"/>
    <w:lsdException w:name="Table Theme" w:uiPriority="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rsid w:val="002449B8"/>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rsid w:val="002449B8"/>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rsid w:val="002449B8"/>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rsid w:val="002449B8"/>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rsid w:val="002449B8"/>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rsid w:val="002449B8"/>
    <w:pPr>
      <w:ind w:left="1134" w:hanging="675"/>
    </w:pPr>
  </w:style>
  <w:style w:type="paragraph" w:customStyle="1" w:styleId="BodyTextMultiline">
    <w:name w:val="Body Text Multiline"/>
    <w:basedOn w:val="a1"/>
    <w:locked/>
    <w:rsid w:val="002449B8"/>
    <w:pPr>
      <w:numPr>
        <w:numId w:val="1"/>
      </w:numPr>
    </w:pPr>
  </w:style>
  <w:style w:type="paragraph" w:customStyle="1" w:styleId="BodyTextSummary">
    <w:name w:val="Body Text Summary"/>
    <w:uiPriority w:val="49"/>
    <w:locked/>
    <w:rsid w:val="002449B8"/>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rsid w:val="002449B8"/>
    <w:pPr>
      <w:spacing w:after="85"/>
    </w:pPr>
    <w:rPr>
      <w:bCs/>
      <w:sz w:val="18"/>
      <w:lang w:val="en-US" w:eastAsia="en-US"/>
    </w:rPr>
  </w:style>
  <w:style w:type="paragraph" w:styleId="a8">
    <w:name w:val="footer"/>
    <w:basedOn w:val="a"/>
    <w:link w:val="a9"/>
    <w:uiPriority w:val="99"/>
    <w:locked/>
    <w:rsid w:val="002449B8"/>
    <w:pPr>
      <w:overflowPunct/>
      <w:autoSpaceDE/>
      <w:autoSpaceDN/>
      <w:adjustRightInd/>
      <w:textAlignment w:val="auto"/>
    </w:pPr>
    <w:rPr>
      <w:sz w:val="2"/>
      <w:lang w:val="en-US"/>
    </w:rPr>
  </w:style>
  <w:style w:type="paragraph" w:styleId="aa">
    <w:name w:val="footnote text"/>
    <w:semiHidden/>
    <w:locked/>
    <w:rsid w:val="002449B8"/>
    <w:pPr>
      <w:tabs>
        <w:tab w:val="left" w:pos="459"/>
      </w:tabs>
      <w:spacing w:before="142"/>
      <w:ind w:left="459"/>
      <w:jc w:val="both"/>
    </w:pPr>
    <w:rPr>
      <w:sz w:val="18"/>
      <w:lang w:eastAsia="en-US"/>
    </w:rPr>
  </w:style>
  <w:style w:type="paragraph" w:styleId="ab">
    <w:name w:val="header"/>
    <w:next w:val="a1"/>
    <w:uiPriority w:val="49"/>
    <w:locked/>
    <w:rsid w:val="002449B8"/>
    <w:pPr>
      <w:spacing w:after="85"/>
    </w:pPr>
    <w:rPr>
      <w:sz w:val="18"/>
      <w:lang w:val="en-US" w:eastAsia="en-US"/>
    </w:rPr>
  </w:style>
  <w:style w:type="paragraph" w:customStyle="1" w:styleId="ListBulleted">
    <w:name w:val="List Bulleted"/>
    <w:uiPriority w:val="7"/>
    <w:qFormat/>
    <w:locked/>
    <w:rsid w:val="002449B8"/>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rsid w:val="002449B8"/>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rsid w:val="002449B8"/>
    <w:pPr>
      <w:spacing w:after="20" w:line="220" w:lineRule="exact"/>
      <w:jc w:val="right"/>
    </w:pPr>
    <w:rPr>
      <w:rFonts w:ascii="Arial" w:hAnsi="Arial" w:cs="Arial"/>
      <w:color w:val="FF0000"/>
    </w:rPr>
  </w:style>
  <w:style w:type="paragraph" w:customStyle="1" w:styleId="zyxConfidRed">
    <w:name w:val="zyxConfidRed"/>
    <w:uiPriority w:val="49"/>
    <w:locked/>
    <w:rsid w:val="002449B8"/>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rsid w:val="002449B8"/>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rsid w:val="002449B8"/>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2449B8"/>
    <w:pPr>
      <w:spacing w:after="60" w:line="280" w:lineRule="exact"/>
      <w:ind w:left="113"/>
    </w:pPr>
    <w:rPr>
      <w:sz w:val="22"/>
      <w:lang w:eastAsia="en-US"/>
    </w:rPr>
  </w:style>
  <w:style w:type="paragraph" w:customStyle="1" w:styleId="zyxFillIn">
    <w:name w:val="zyxFill_In"/>
    <w:basedOn w:val="zyxPrePrint"/>
    <w:uiPriority w:val="49"/>
    <w:locked/>
    <w:rsid w:val="002449B8"/>
    <w:rPr>
      <w:b/>
    </w:rPr>
  </w:style>
  <w:style w:type="paragraph" w:customStyle="1" w:styleId="zyxLogo">
    <w:name w:val="zyxLogo"/>
    <w:basedOn w:val="a"/>
    <w:uiPriority w:val="49"/>
    <w:locked/>
    <w:rsid w:val="002449B8"/>
    <w:pPr>
      <w:keepNext/>
      <w:spacing w:after="10"/>
    </w:pPr>
    <w:rPr>
      <w:rFonts w:ascii="Arial" w:hAnsi="Arial"/>
      <w:b/>
      <w:sz w:val="13"/>
    </w:rPr>
  </w:style>
  <w:style w:type="paragraph" w:customStyle="1" w:styleId="zyxP1Footer">
    <w:name w:val="zyxP1_Footer"/>
    <w:basedOn w:val="a"/>
    <w:uiPriority w:val="49"/>
    <w:locked/>
    <w:rsid w:val="002449B8"/>
    <w:pPr>
      <w:widowControl w:val="0"/>
      <w:spacing w:line="160" w:lineRule="exact"/>
      <w:ind w:left="108"/>
    </w:pPr>
    <w:rPr>
      <w:sz w:val="14"/>
    </w:rPr>
  </w:style>
  <w:style w:type="paragraph" w:customStyle="1" w:styleId="zyxSensitivity">
    <w:name w:val="zyxSensitivity"/>
    <w:basedOn w:val="a"/>
    <w:uiPriority w:val="49"/>
    <w:locked/>
    <w:rsid w:val="002449B8"/>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rsid w:val="002449B8"/>
    <w:pPr>
      <w:keepNext/>
      <w:spacing w:line="420" w:lineRule="exact"/>
    </w:pPr>
    <w:rPr>
      <w:rFonts w:ascii="Arial" w:hAnsi="Arial"/>
      <w:sz w:val="40"/>
    </w:rPr>
  </w:style>
  <w:style w:type="character" w:styleId="ad">
    <w:name w:val="footnote reference"/>
    <w:basedOn w:val="a2"/>
    <w:semiHidden/>
    <w:locked/>
    <w:rsid w:val="002449B8"/>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rsid w:val="002449B8"/>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rsid w:val="002449B8"/>
    <w:pPr>
      <w:spacing w:line="280" w:lineRule="exact"/>
      <w:jc w:val="right"/>
    </w:pPr>
    <w:rPr>
      <w:rFonts w:ascii="Arial" w:hAnsi="Arial" w:cs="Arial"/>
      <w:b/>
      <w:bCs/>
      <w:caps/>
      <w:sz w:val="24"/>
    </w:rPr>
  </w:style>
  <w:style w:type="paragraph" w:customStyle="1" w:styleId="zyxClassification2">
    <w:name w:val="zyxClassification2"/>
    <w:basedOn w:val="a8"/>
    <w:uiPriority w:val="49"/>
    <w:locked/>
    <w:rsid w:val="002449B8"/>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uiPriority w:val="59"/>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Текст выноски Знак"/>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af1">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2"/>
    <w:link w:val="FIG-LONG"/>
    <w:rsid w:val="002C29DB"/>
    <w:rPr>
      <w:rFonts w:eastAsiaTheme="minorEastAsia"/>
      <w:i/>
      <w:iCs/>
      <w:sz w:val="18"/>
      <w:szCs w:val="18"/>
      <w:lang w:eastAsia="en-US"/>
    </w:rPr>
  </w:style>
  <w:style w:type="table" w:customStyle="1" w:styleId="TableGrid1">
    <w:name w:val="Table Grid1"/>
    <w:basedOn w:val="a3"/>
    <w:next w:val="ae"/>
    <w:uiPriority w:val="59"/>
    <w:rsid w:val="002C29DB"/>
    <w:rPr>
      <w:rFonts w:asciiTheme="minorHAnsi" w:eastAsiaTheme="minorEastAsia" w:hAnsiTheme="minorHAnsi" w:cstheme="minorBidi"/>
      <w:sz w:val="24"/>
      <w:szCs w:val="24"/>
      <w:lang w:val="it-I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2"/>
    <w:uiPriority w:val="49"/>
    <w:semiHidden/>
    <w:unhideWhenUsed/>
    <w:locked/>
    <w:rsid w:val="00A233D1"/>
    <w:rPr>
      <w:sz w:val="16"/>
      <w:szCs w:val="16"/>
    </w:rPr>
  </w:style>
  <w:style w:type="paragraph" w:styleId="af3">
    <w:name w:val="annotation text"/>
    <w:basedOn w:val="a"/>
    <w:link w:val="af4"/>
    <w:uiPriority w:val="49"/>
    <w:semiHidden/>
    <w:unhideWhenUsed/>
    <w:locked/>
    <w:rsid w:val="00A233D1"/>
    <w:rPr>
      <w:sz w:val="20"/>
    </w:rPr>
  </w:style>
  <w:style w:type="character" w:customStyle="1" w:styleId="af4">
    <w:name w:val="Текст примечания Знак"/>
    <w:basedOn w:val="a2"/>
    <w:link w:val="af3"/>
    <w:uiPriority w:val="49"/>
    <w:semiHidden/>
    <w:rsid w:val="00A233D1"/>
    <w:rPr>
      <w:lang w:eastAsia="en-US"/>
    </w:rPr>
  </w:style>
  <w:style w:type="paragraph" w:styleId="af5">
    <w:name w:val="annotation subject"/>
    <w:basedOn w:val="af3"/>
    <w:next w:val="af3"/>
    <w:link w:val="af6"/>
    <w:uiPriority w:val="49"/>
    <w:semiHidden/>
    <w:unhideWhenUsed/>
    <w:locked/>
    <w:rsid w:val="00A233D1"/>
    <w:rPr>
      <w:b/>
      <w:bCs/>
    </w:rPr>
  </w:style>
  <w:style w:type="character" w:customStyle="1" w:styleId="af6">
    <w:name w:val="Тема примечания Знак"/>
    <w:basedOn w:val="af4"/>
    <w:link w:val="af5"/>
    <w:uiPriority w:val="49"/>
    <w:semiHidden/>
    <w:rsid w:val="00A233D1"/>
    <w:rPr>
      <w:b/>
      <w:bCs/>
      <w:lang w:eastAsia="en-US"/>
    </w:rPr>
  </w:style>
  <w:style w:type="paragraph" w:styleId="af7">
    <w:name w:val="No Spacing"/>
    <w:uiPriority w:val="1"/>
    <w:qFormat/>
    <w:locked/>
    <w:rsid w:val="00EB3B69"/>
    <w:rPr>
      <w:rFonts w:ascii="Calibri" w:eastAsia="Calibri" w:hAnsi="Calibri"/>
      <w:sz w:val="22"/>
      <w:szCs w:val="22"/>
      <w:lang w:val="ru-RU"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D07955-4511-47A1-9E61-3AA2C090D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64</TotalTime>
  <Pages>9</Pages>
  <Words>3045</Words>
  <Characters>17363</Characters>
  <Application>Microsoft Office Word</Application>
  <DocSecurity>0</DocSecurity>
  <Lines>144</Lines>
  <Paragraphs>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20368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DVPanova</cp:lastModifiedBy>
  <cp:revision>11</cp:revision>
  <cp:lastPrinted>2015-12-01T10:27:00Z</cp:lastPrinted>
  <dcterms:created xsi:type="dcterms:W3CDTF">2020-12-14T08:57:00Z</dcterms:created>
  <dcterms:modified xsi:type="dcterms:W3CDTF">2022-03-31T13:20:00Z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