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AF3A6" w14:textId="03E2ADAE" w:rsidR="00000970" w:rsidRDefault="00000970" w:rsidP="00000970">
      <w:pPr>
        <w:jc w:val="center"/>
      </w:pPr>
      <w:r w:rsidRPr="002C3037">
        <w:rPr>
          <w:b/>
          <w:bCs/>
        </w:rPr>
        <w:t>Preliminary Shielding Analysis for the Versatile Test Reactor</w:t>
      </w:r>
    </w:p>
    <w:p w14:paraId="1051F1B6" w14:textId="77777777" w:rsidR="00000970" w:rsidRDefault="00000970" w:rsidP="00000970"/>
    <w:p w14:paraId="32B294C1" w14:textId="3A36FF87" w:rsidR="00000970" w:rsidRDefault="00000970" w:rsidP="00000970"/>
    <w:p w14:paraId="08018E74" w14:textId="77777777" w:rsidR="00000970" w:rsidRDefault="00000970" w:rsidP="00000970">
      <w:pPr>
        <w:ind w:left="360"/>
        <w:jc w:val="center"/>
      </w:pPr>
      <w:r>
        <w:t>T. Fei</w:t>
      </w:r>
    </w:p>
    <w:p w14:paraId="3EC29F8E" w14:textId="77777777" w:rsidR="00000970" w:rsidRDefault="00000970" w:rsidP="00000970">
      <w:pPr>
        <w:ind w:left="360"/>
        <w:jc w:val="center"/>
      </w:pPr>
      <w:r>
        <w:t>Argonne National Laboratory</w:t>
      </w:r>
    </w:p>
    <w:p w14:paraId="4B6FD2E4" w14:textId="77777777" w:rsidR="00000970" w:rsidRDefault="00000970" w:rsidP="00000970">
      <w:pPr>
        <w:ind w:left="360"/>
        <w:jc w:val="center"/>
      </w:pPr>
      <w:r>
        <w:t>Lemont, Illinois, United States of America</w:t>
      </w:r>
    </w:p>
    <w:p w14:paraId="1BFA5989" w14:textId="77777777" w:rsidR="00000970" w:rsidRDefault="00000970" w:rsidP="00000970">
      <w:pPr>
        <w:ind w:left="360"/>
        <w:jc w:val="center"/>
      </w:pPr>
      <w:r>
        <w:t>Email: tfei@anl.gov</w:t>
      </w:r>
    </w:p>
    <w:p w14:paraId="6E49950A" w14:textId="77777777" w:rsidR="00000970" w:rsidRDefault="00000970" w:rsidP="00000970"/>
    <w:p w14:paraId="17E78A49" w14:textId="77777777" w:rsidR="00000970" w:rsidRDefault="00000970" w:rsidP="00000970"/>
    <w:p w14:paraId="28B0CA7E" w14:textId="77777777" w:rsidR="00000970" w:rsidRDefault="00000970" w:rsidP="00000970"/>
    <w:p w14:paraId="2155118D" w14:textId="77777777" w:rsidR="00000970" w:rsidRDefault="00000970" w:rsidP="00000970"/>
    <w:p w14:paraId="578F1687" w14:textId="77777777" w:rsidR="00000970" w:rsidRDefault="00000970" w:rsidP="00000970"/>
    <w:p w14:paraId="27601DC0" w14:textId="77777777" w:rsidR="00000970" w:rsidRDefault="00000970" w:rsidP="00000970"/>
    <w:p w14:paraId="2D620706" w14:textId="77777777" w:rsidR="00000970" w:rsidRDefault="00000970" w:rsidP="00000970"/>
    <w:p w14:paraId="24B43478" w14:textId="77777777" w:rsidR="00000970" w:rsidRDefault="00000970" w:rsidP="00000970">
      <w:r>
        <w:rPr>
          <w:noProof/>
        </w:rPr>
        <mc:AlternateContent>
          <mc:Choice Requires="wps">
            <w:drawing>
              <wp:anchor distT="45720" distB="45720" distL="114300" distR="114300" simplePos="0" relativeHeight="251659264" behindDoc="0" locked="0" layoutInCell="1" allowOverlap="1" wp14:anchorId="5DA2DA59" wp14:editId="4B9F6CF6">
                <wp:simplePos x="0" y="0"/>
                <wp:positionH relativeFrom="column">
                  <wp:posOffset>590550</wp:posOffset>
                </wp:positionH>
                <wp:positionV relativeFrom="paragraph">
                  <wp:posOffset>85725</wp:posOffset>
                </wp:positionV>
                <wp:extent cx="4914900" cy="19526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952625"/>
                        </a:xfrm>
                        <a:prstGeom prst="rect">
                          <a:avLst/>
                        </a:prstGeom>
                        <a:solidFill>
                          <a:srgbClr val="FFFFFF"/>
                        </a:solidFill>
                        <a:ln w="9525">
                          <a:solidFill>
                            <a:srgbClr val="000000"/>
                          </a:solidFill>
                          <a:miter lim="800000"/>
                          <a:headEnd/>
                          <a:tailEnd/>
                        </a:ln>
                      </wps:spPr>
                      <wps:txbx>
                        <w:txbxContent>
                          <w:p w14:paraId="0F5BED09" w14:textId="77777777" w:rsidR="00000970" w:rsidRPr="001423FB" w:rsidRDefault="00000970" w:rsidP="00000970">
                            <w:pPr>
                              <w:rPr>
                                <w:szCs w:val="22"/>
                              </w:rPr>
                            </w:pPr>
                            <w:r w:rsidRPr="001423FB">
                              <w:rPr>
                                <w:szCs w:val="22"/>
                              </w:rPr>
                              <w:t xml:space="preserve">The submitted manuscript has been created by UChicago Argonne, LLC, Operator of Argonne National Laboratory (“Argonne”). Argonne, a U.S. Department of Energy Office of Science laboratory, is operated under Contract No. DE-AC02-06CH11357. The U.S. Government retains for itself, and others acting on its behalf, a paid-up nonexclusive, irrevocable worldwide license in said article to reproduce, prepare derivative works, distribute copies to the public, and perform publicly and display publicly, by or on behalf of the Government. The Department of Energy will provide public access to these results of federally sponsored research in accordance with the DOE Public Access Plan. </w:t>
                            </w:r>
                            <w:hyperlink r:id="rId11" w:history="1">
                              <w:r w:rsidRPr="001423FB">
                                <w:rPr>
                                  <w:rStyle w:val="Hyperlink"/>
                                  <w:szCs w:val="22"/>
                                </w:rPr>
                                <w:t>http://energy.gov/downloads/doe-public-access-plan</w:t>
                              </w:r>
                            </w:hyperlink>
                            <w:r w:rsidRPr="001423FB">
                              <w:rPr>
                                <w:szCs w:val="22"/>
                              </w:rPr>
                              <w:t>. The work reported in this summary is the result of ongoing efforts supporting the Versatile Test Reactor.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A2DA59" id="_x0000_t202" coordsize="21600,21600" o:spt="202" path="m,l,21600r21600,l21600,xe">
                <v:stroke joinstyle="miter"/>
                <v:path gradientshapeok="t" o:connecttype="rect"/>
              </v:shapetype>
              <v:shape id="Text Box 2" o:spid="_x0000_s1026" type="#_x0000_t202" style="position:absolute;margin-left:46.5pt;margin-top:6.75pt;width:387pt;height:153.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">
                <v:textbox>
                  <w:txbxContent>
                    <w:p w14:paraId="0F5BED09" w14:textId="77777777" w:rsidR="00000970" w:rsidRPr="001423FB" w:rsidRDefault="00000970" w:rsidP="00000970">
                      <w:pPr>
                        <w:rPr>
                          <w:szCs w:val="22"/>
                        </w:rPr>
                      </w:pPr>
                      <w:r w:rsidRPr="001423FB">
                        <w:rPr>
                          <w:szCs w:val="22"/>
                        </w:rPr>
                        <w:t xml:space="preserve">The submitted manuscript has been created by </w:t>
                      </w:r>
                      <w:proofErr w:type="spellStart"/>
                      <w:r w:rsidRPr="001423FB">
                        <w:rPr>
                          <w:szCs w:val="22"/>
                        </w:rPr>
                        <w:t>UChicago</w:t>
                      </w:r>
                      <w:proofErr w:type="spellEnd"/>
                      <w:r w:rsidRPr="001423FB">
                        <w:rPr>
                          <w:szCs w:val="22"/>
                        </w:rPr>
                        <w:t xml:space="preserve"> Argonne, LLC, Operator of Argonne National Laboratory (“Argonne”). Argonne, a U.S. Department of Energy Office of Science laboratory, is operated under Contract No. DE-AC02-06CH11357. The U.S. Government retains for itself, and others acting on its behalf, a paid-up nonexclusive, irrevocable worldwide license in said article to reproduce, prepare derivative works, distribute copies to the public, and perform publicly and display publicly, by or on behalf of the Government. The Department of Energy will provide public access to these results of federally sponsored research in accordance with the DOE Public Access Plan. </w:t>
                      </w:r>
                      <w:hyperlink r:id="rId12" w:history="1">
                        <w:r w:rsidRPr="001423FB">
                          <w:rPr>
                            <w:rStyle w:val="Hyperlink"/>
                            <w:szCs w:val="22"/>
                          </w:rPr>
                          <w:t>http://energy.gov/downloads/doe-public-access-plan</w:t>
                        </w:r>
                      </w:hyperlink>
                      <w:r w:rsidRPr="001423FB">
                        <w:rPr>
                          <w:szCs w:val="22"/>
                        </w:rPr>
                        <w:t>. The work reported in this summary is the result of ongoing efforts supporting the Versatile Test Reactor.</w:t>
                      </w:r>
                    </w:p>
                  </w:txbxContent>
                </v:textbox>
                <w10:wrap type="square"/>
              </v:shape>
            </w:pict>
          </mc:Fallback>
        </mc:AlternateContent>
      </w:r>
    </w:p>
    <w:p w14:paraId="304D976B" w14:textId="77777777" w:rsidR="00000970" w:rsidRDefault="00000970" w:rsidP="00000970"/>
    <w:p w14:paraId="2BB6A3B6" w14:textId="77777777" w:rsidR="00000970" w:rsidRDefault="00000970" w:rsidP="00000970"/>
    <w:p w14:paraId="18B34DAB" w14:textId="77777777" w:rsidR="00000970" w:rsidRDefault="00000970" w:rsidP="00000970"/>
    <w:p w14:paraId="31B756B7" w14:textId="77777777" w:rsidR="00000970" w:rsidRDefault="00000970" w:rsidP="00000970"/>
    <w:p w14:paraId="618669CB" w14:textId="77777777" w:rsidR="00000970" w:rsidRDefault="00000970" w:rsidP="00000970"/>
    <w:p w14:paraId="7C957D3D" w14:textId="77777777" w:rsidR="00000970" w:rsidRDefault="00000970" w:rsidP="00000970"/>
    <w:p w14:paraId="0DF28DF7" w14:textId="77777777" w:rsidR="00000970" w:rsidRDefault="00000970" w:rsidP="00000970"/>
    <w:p w14:paraId="2D3CF980" w14:textId="77777777" w:rsidR="00000970" w:rsidRDefault="00000970" w:rsidP="00000970"/>
    <w:p w14:paraId="173C62E4" w14:textId="77777777" w:rsidR="00000970" w:rsidRDefault="00000970" w:rsidP="00000970"/>
    <w:p w14:paraId="02AA91EF" w14:textId="77777777" w:rsidR="00000970" w:rsidRDefault="00000970" w:rsidP="00000970"/>
    <w:p w14:paraId="64AD2DC7" w14:textId="77777777" w:rsidR="00000970" w:rsidRDefault="00000970" w:rsidP="00000970"/>
    <w:p w14:paraId="62C20EB9" w14:textId="77777777" w:rsidR="00000970" w:rsidRDefault="00000970" w:rsidP="00000970"/>
    <w:p w14:paraId="49BBC179" w14:textId="77777777" w:rsidR="00000970" w:rsidRDefault="00000970" w:rsidP="00000970"/>
    <w:p w14:paraId="42FA18DF" w14:textId="77777777" w:rsidR="00000970" w:rsidRDefault="00000970" w:rsidP="00000970"/>
    <w:p w14:paraId="0F98FBA8" w14:textId="77777777" w:rsidR="00000970" w:rsidRDefault="00000970" w:rsidP="00000970"/>
    <w:p w14:paraId="7AFB0AEF" w14:textId="77777777" w:rsidR="00000970" w:rsidRDefault="00000970" w:rsidP="00000970"/>
    <w:p w14:paraId="0BDF67CA" w14:textId="77777777" w:rsidR="00000970" w:rsidRDefault="00000970" w:rsidP="00000970"/>
    <w:p w14:paraId="149D78B1" w14:textId="77777777" w:rsidR="00000970" w:rsidRDefault="00000970" w:rsidP="00000970"/>
    <w:p w14:paraId="782BDCA3" w14:textId="77777777" w:rsidR="00000970" w:rsidRDefault="00000970" w:rsidP="00000970"/>
    <w:p w14:paraId="45BC5E36" w14:textId="77777777" w:rsidR="00000970" w:rsidRDefault="00000970" w:rsidP="00000970"/>
    <w:p w14:paraId="66772757" w14:textId="77777777" w:rsidR="00000970" w:rsidRDefault="00000970" w:rsidP="00000970"/>
    <w:p w14:paraId="042D19C3" w14:textId="77777777" w:rsidR="00000970" w:rsidRDefault="00000970" w:rsidP="00000970"/>
    <w:p w14:paraId="5142098F" w14:textId="77777777" w:rsidR="00000970" w:rsidRDefault="00000970" w:rsidP="00000970"/>
    <w:p w14:paraId="6D7583DF" w14:textId="77777777" w:rsidR="00000970" w:rsidRDefault="00000970" w:rsidP="00000970"/>
    <w:p w14:paraId="5050E272" w14:textId="77777777" w:rsidR="00000970" w:rsidRDefault="00000970" w:rsidP="00000970">
      <w:pPr>
        <w:jc w:val="center"/>
      </w:pPr>
      <w:r w:rsidRPr="00F218D6">
        <w:t>2022 International Conference on Fast Reactors and Related Fuel Cycles</w:t>
      </w:r>
    </w:p>
    <w:p w14:paraId="4A0C0090" w14:textId="77777777" w:rsidR="00000970" w:rsidRDefault="00000970" w:rsidP="00000970">
      <w:pPr>
        <w:jc w:val="center"/>
      </w:pPr>
      <w:r>
        <w:t>Beijing, China</w:t>
      </w:r>
    </w:p>
    <w:p w14:paraId="497E6349" w14:textId="21A9E4FC" w:rsidR="00000970" w:rsidRDefault="00000970" w:rsidP="00000970">
      <w:pPr>
        <w:jc w:val="center"/>
      </w:pPr>
      <w:r>
        <w:t>April 25- 28, 2022</w:t>
      </w:r>
    </w:p>
    <w:p w14:paraId="360F475A" w14:textId="03310D9C" w:rsidR="00000970" w:rsidRDefault="00000970">
      <w:pPr>
        <w:overflowPunct/>
        <w:autoSpaceDE/>
        <w:autoSpaceDN/>
        <w:adjustRightInd/>
        <w:textAlignment w:val="auto"/>
      </w:pPr>
      <w:r>
        <w:br w:type="page"/>
      </w:r>
    </w:p>
    <w:p w14:paraId="540014CD" w14:textId="10B3D298" w:rsidR="00000970" w:rsidRDefault="00000970">
      <w:pPr>
        <w:overflowPunct/>
        <w:autoSpaceDE/>
        <w:autoSpaceDN/>
        <w:adjustRightInd/>
        <w:textAlignment w:val="auto"/>
        <w:rPr>
          <w:b/>
          <w:bCs/>
          <w:bdr w:val="none" w:sz="0" w:space="0" w:color="auto" w:frame="1"/>
          <w:shd w:val="clear" w:color="auto" w:fill="FFFFFF"/>
          <w:lang w:val="en-US"/>
        </w:rPr>
      </w:pPr>
    </w:p>
    <w:p w14:paraId="1E2E6B28" w14:textId="54C2E60B" w:rsidR="00A223BB" w:rsidRPr="003C21B3" w:rsidRDefault="00A223BB" w:rsidP="00A223BB">
      <w:pPr>
        <w:jc w:val="center"/>
        <w:rPr>
          <w:b/>
          <w:bCs/>
          <w:bdr w:val="none" w:sz="0" w:space="0" w:color="auto" w:frame="1"/>
          <w:shd w:val="clear" w:color="auto" w:fill="FFFFFF"/>
          <w:lang w:val="en-US"/>
        </w:rPr>
      </w:pPr>
      <w:r w:rsidRPr="003C21B3">
        <w:rPr>
          <w:b/>
          <w:bCs/>
          <w:bdr w:val="none" w:sz="0" w:space="0" w:color="auto" w:frame="1"/>
          <w:shd w:val="clear" w:color="auto" w:fill="FFFFFF"/>
          <w:lang w:val="en-US"/>
        </w:rPr>
        <w:t>Preliminary Shielding Analysis for the Versatile Test React</w:t>
      </w:r>
      <w:r w:rsidR="00927B23">
        <w:rPr>
          <w:b/>
          <w:bCs/>
          <w:bdr w:val="none" w:sz="0" w:space="0" w:color="auto" w:frame="1"/>
          <w:shd w:val="clear" w:color="auto" w:fill="FFFFFF"/>
          <w:lang w:val="en-US"/>
        </w:rPr>
        <w:t>or</w:t>
      </w:r>
    </w:p>
    <w:p w14:paraId="433FE03F" w14:textId="77777777" w:rsidR="00802381" w:rsidRPr="003C21B3" w:rsidRDefault="00802381" w:rsidP="00537496">
      <w:pPr>
        <w:pStyle w:val="Authornameandaffiliation"/>
      </w:pPr>
    </w:p>
    <w:p w14:paraId="433FE040" w14:textId="5575D202" w:rsidR="003B5E0E" w:rsidRPr="003C21B3" w:rsidRDefault="00A223BB" w:rsidP="00537496">
      <w:pPr>
        <w:pStyle w:val="Authornameandaffiliation"/>
      </w:pPr>
      <w:r w:rsidRPr="003C21B3">
        <w:t>T. Fei, F. Heidet</w:t>
      </w:r>
    </w:p>
    <w:p w14:paraId="433FE041" w14:textId="2DBAF525" w:rsidR="00FF386F" w:rsidRPr="003C21B3" w:rsidRDefault="00A223BB" w:rsidP="00537496">
      <w:pPr>
        <w:pStyle w:val="Authornameandaffiliation"/>
      </w:pPr>
      <w:r w:rsidRPr="003C21B3">
        <w:t>Argonne National Laboratory</w:t>
      </w:r>
    </w:p>
    <w:p w14:paraId="433FE042" w14:textId="5EB4055A" w:rsidR="00FF386F" w:rsidRPr="003C21B3" w:rsidRDefault="00CD3122" w:rsidP="00537496">
      <w:pPr>
        <w:pStyle w:val="Authornameandaffiliation"/>
      </w:pPr>
      <w:r>
        <w:t>Lemont</w:t>
      </w:r>
      <w:r w:rsidR="00FF386F" w:rsidRPr="003C21B3">
        <w:t xml:space="preserve">, </w:t>
      </w:r>
      <w:r>
        <w:t>U.S.A.</w:t>
      </w:r>
    </w:p>
    <w:p w14:paraId="433FE043" w14:textId="677B83F8" w:rsidR="00FF386F" w:rsidRPr="003C21B3" w:rsidRDefault="00FF386F" w:rsidP="00537496">
      <w:pPr>
        <w:pStyle w:val="Authornameandaffiliation"/>
      </w:pPr>
      <w:r w:rsidRPr="003C21B3">
        <w:t xml:space="preserve">Email: </w:t>
      </w:r>
      <w:r w:rsidR="00B4473D" w:rsidRPr="003C21B3">
        <w:t>tfei@anl.gov</w:t>
      </w:r>
    </w:p>
    <w:p w14:paraId="433FE044" w14:textId="77777777" w:rsidR="00FF386F" w:rsidRPr="003C21B3" w:rsidRDefault="00FF386F" w:rsidP="00537496">
      <w:pPr>
        <w:pStyle w:val="Authornameandaffiliation"/>
      </w:pPr>
    </w:p>
    <w:p w14:paraId="433FE045" w14:textId="4A947008" w:rsidR="00FF386F" w:rsidRPr="003C21B3" w:rsidRDefault="00A223BB" w:rsidP="00537496">
      <w:pPr>
        <w:pStyle w:val="Authornameandaffiliation"/>
      </w:pPr>
      <w:r w:rsidRPr="003C21B3">
        <w:t>S. Bays</w:t>
      </w:r>
    </w:p>
    <w:p w14:paraId="433FE046" w14:textId="032FBA27" w:rsidR="00FF386F" w:rsidRPr="003C21B3" w:rsidRDefault="00A223BB" w:rsidP="00537496">
      <w:pPr>
        <w:pStyle w:val="Authornameandaffiliation"/>
      </w:pPr>
      <w:r w:rsidRPr="003C21B3">
        <w:t>Idaho National Laborato</w:t>
      </w:r>
      <w:r w:rsidR="00C17C8D">
        <w:t>r</w:t>
      </w:r>
      <w:r w:rsidRPr="003C21B3">
        <w:t>y</w:t>
      </w:r>
    </w:p>
    <w:p w14:paraId="433FE047" w14:textId="1B54CBD7" w:rsidR="00FF386F" w:rsidRPr="003C21B3" w:rsidRDefault="00CD3122" w:rsidP="00537496">
      <w:pPr>
        <w:pStyle w:val="Authornameandaffiliation"/>
      </w:pPr>
      <w:r>
        <w:t>Idaho Fall</w:t>
      </w:r>
      <w:r w:rsidR="00FF386F" w:rsidRPr="003C21B3">
        <w:t xml:space="preserve">, </w:t>
      </w:r>
      <w:r>
        <w:t>U.S.A.</w:t>
      </w:r>
    </w:p>
    <w:p w14:paraId="433FE048" w14:textId="77777777" w:rsidR="00FF386F" w:rsidRPr="003C21B3" w:rsidRDefault="00FF386F" w:rsidP="00537496">
      <w:pPr>
        <w:pStyle w:val="Authornameandaffiliation"/>
      </w:pPr>
    </w:p>
    <w:p w14:paraId="433FE049" w14:textId="77777777" w:rsidR="00647F33" w:rsidRPr="003C21B3" w:rsidRDefault="00647F33" w:rsidP="00537496">
      <w:pPr>
        <w:pStyle w:val="Authornameandaffiliation"/>
        <w:rPr>
          <w:b/>
        </w:rPr>
      </w:pPr>
      <w:r w:rsidRPr="003C21B3">
        <w:rPr>
          <w:b/>
        </w:rPr>
        <w:t>Abstract</w:t>
      </w:r>
    </w:p>
    <w:p w14:paraId="433FE04A" w14:textId="77777777" w:rsidR="00647F33" w:rsidRPr="003C21B3" w:rsidRDefault="00647F33" w:rsidP="00537496">
      <w:pPr>
        <w:pStyle w:val="Authornameandaffiliation"/>
      </w:pPr>
    </w:p>
    <w:p w14:paraId="433FE04B" w14:textId="7CC9600E" w:rsidR="00647F33" w:rsidRPr="003C21B3" w:rsidRDefault="00A223BB" w:rsidP="00EA27B3">
      <w:pPr>
        <w:pStyle w:val="Abstracttext"/>
        <w:jc w:val="both"/>
      </w:pPr>
      <w:r w:rsidRPr="003C21B3">
        <w:t>The Versatile Test Reactor (VTR) is currently under development by the U.S. Department of Energy (DOE). It will provide very high fast neutron flux irradiation capabilities that are currently unavailable in the U.S. Given the increasingly large number of advanced reactor concepts being pursued in recent years, this irradiation testing capability will be essential to support maturation of these concepts. Radiation protection is an important part of the VTR design. High neutron fluxes can pose a challenge for radiation protection of the structures and equipment near the reactor core. Th</w:t>
      </w:r>
      <w:r w:rsidR="0067314E" w:rsidRPr="003C21B3">
        <w:t>e</w:t>
      </w:r>
      <w:r w:rsidRPr="003C21B3">
        <w:t xml:space="preserve"> paper provides a summary on the status of the shielding considerations and analysis performed for VTR. The paper focuses on the shielding needs for the secondary sodium flowing through the Intermediate Heat Exchanger (IHX), the air flowing through the Reactor Vessel Auxiliary Cooling System (RVACS), the dose rate above the reactor head access area, the radiation dose and flux in the neutron detectors, and the radiation damage on the reactor vessel wall and the structures near the core. One key challenge for the shielding design of VTR is the activation of the secondary sodium when it flows through the IHX. The IHXs are placed in the primary sodium pool inside the reactor vessel. During operation, neutrons produced in the core can reach the IHXs due to the small absorption cross section of sodium and the large mean free path of fast neutrons. The secondary sodium gets activated inside the IHX and emits photons in the secondary loop outside of the reactor vessel. Activation of secondary sodium needs to be mitigated in order to meet the radiation dose limit sets for personnel working at the plant as secondary sodium circulates outside of the reactor building to the air-dump heat exchangers. Similarly, for the RVACS, the air flowing in the system gets close to the reactor core, and some argon would become activated and released into the atmosphere. Thus, proper shielding is also required to reduce argon activation in the RVACS. The VTR design and development is underway and shielding considerations discussed in this paper will progress with the rest of the reactor. The work reported in this summary is the result of studies supporting a VTR conceptual design, cost, and schedule estimate for </w:t>
      </w:r>
      <w:r w:rsidR="002940CB">
        <w:t xml:space="preserve">the Office of Nuclear Energy of </w:t>
      </w:r>
      <w:proofErr w:type="gramStart"/>
      <w:r w:rsidRPr="003C21B3">
        <w:t>DOE</w:t>
      </w:r>
      <w:r w:rsidR="002940CB">
        <w:t xml:space="preserve"> </w:t>
      </w:r>
      <w:r w:rsidRPr="003C21B3">
        <w:t xml:space="preserve"> to</w:t>
      </w:r>
      <w:proofErr w:type="gramEnd"/>
      <w:r w:rsidRPr="003C21B3">
        <w:t xml:space="preserve"> make a decision on procurement. As such, it is preliminary.</w:t>
      </w:r>
    </w:p>
    <w:p w14:paraId="433FE04C" w14:textId="77777777" w:rsidR="00647F33" w:rsidRPr="003C21B3" w:rsidRDefault="00F523CA" w:rsidP="00537496">
      <w:pPr>
        <w:pStyle w:val="Heading2"/>
        <w:numPr>
          <w:ilvl w:val="1"/>
          <w:numId w:val="10"/>
        </w:numPr>
        <w:rPr>
          <w:lang w:val="en-US"/>
        </w:rPr>
      </w:pPr>
      <w:r w:rsidRPr="003C21B3">
        <w:rPr>
          <w:lang w:val="en-US"/>
        </w:rPr>
        <w:t>INTRODUCTION</w:t>
      </w:r>
    </w:p>
    <w:p w14:paraId="433FE04D" w14:textId="56A25554" w:rsidR="00647F33" w:rsidRPr="003C21B3" w:rsidRDefault="002D23F8" w:rsidP="002D23F8">
      <w:pPr>
        <w:pStyle w:val="BodyText"/>
        <w:rPr>
          <w:lang w:val="en-US"/>
        </w:rPr>
      </w:pPr>
      <w:r w:rsidRPr="003C21B3">
        <w:rPr>
          <w:lang w:val="en-US"/>
        </w:rPr>
        <w:t>The Versatile Test Reactor (VTR) is currently under development by the U.S. Department of Energy (DOE). It will provide very high fast neutron flux irradiation capabilities that are currently unavailable in the U.S. The goal to achieve high neutron flux also poses a challenge for radiation protection of the structures and equipment near the reactor core. Thus, s</w:t>
      </w:r>
      <w:r w:rsidR="00875686" w:rsidRPr="003C21B3">
        <w:rPr>
          <w:lang w:val="en-US"/>
        </w:rPr>
        <w:t xml:space="preserve">hielding </w:t>
      </w:r>
      <w:r w:rsidR="00594B4B" w:rsidRPr="003C21B3">
        <w:rPr>
          <w:lang w:val="en-US"/>
        </w:rPr>
        <w:t>analysis</w:t>
      </w:r>
      <w:r w:rsidR="00875686" w:rsidRPr="003C21B3">
        <w:rPr>
          <w:lang w:val="en-US"/>
        </w:rPr>
        <w:t xml:space="preserve"> is an important part of the </w:t>
      </w:r>
      <w:r w:rsidRPr="003C21B3">
        <w:rPr>
          <w:lang w:val="en-US"/>
        </w:rPr>
        <w:t>VTR</w:t>
      </w:r>
      <w:r w:rsidR="00875686" w:rsidRPr="003C21B3">
        <w:rPr>
          <w:lang w:val="en-US"/>
        </w:rPr>
        <w:t xml:space="preserve"> design</w:t>
      </w:r>
      <w:r w:rsidRPr="003C21B3">
        <w:rPr>
          <w:lang w:val="en-US"/>
        </w:rPr>
        <w:t xml:space="preserve"> work</w:t>
      </w:r>
      <w:r w:rsidR="00875686" w:rsidRPr="003C21B3">
        <w:rPr>
          <w:lang w:val="en-US"/>
        </w:rPr>
        <w:t xml:space="preserve">. </w:t>
      </w:r>
      <w:r w:rsidR="00B4473D" w:rsidRPr="003C21B3">
        <w:rPr>
          <w:lang w:val="en-US"/>
        </w:rPr>
        <w:t>In this study, dose rate and activities were assessed at different locations of interest. The adequacy of shields</w:t>
      </w:r>
      <w:r w:rsidR="00875686" w:rsidRPr="003C21B3">
        <w:rPr>
          <w:lang w:val="en-US"/>
        </w:rPr>
        <w:t xml:space="preserve"> required to protect workers and reactor components from damaging radiation sources</w:t>
      </w:r>
      <w:r w:rsidR="00B4473D" w:rsidRPr="003C21B3">
        <w:rPr>
          <w:lang w:val="en-US"/>
        </w:rPr>
        <w:t xml:space="preserve"> was evaluated</w:t>
      </w:r>
      <w:r w:rsidR="00875686" w:rsidRPr="003C21B3">
        <w:rPr>
          <w:lang w:val="en-US"/>
        </w:rPr>
        <w:t xml:space="preserve">. The major radiation source in VTR during operation is the prompt neutron and photon emitted from nuclear fuel fissions as well as the activated </w:t>
      </w:r>
      <w:r w:rsidR="00B4473D" w:rsidRPr="003C21B3">
        <w:rPr>
          <w:lang w:val="en-US"/>
        </w:rPr>
        <w:t>primary coolant</w:t>
      </w:r>
      <w:r w:rsidR="00875686" w:rsidRPr="003C21B3">
        <w:rPr>
          <w:lang w:val="en-US"/>
        </w:rPr>
        <w:t>.</w:t>
      </w:r>
      <w:r w:rsidRPr="003C21B3">
        <w:rPr>
          <w:lang w:val="en-US"/>
        </w:rPr>
        <w:t xml:space="preserve"> </w:t>
      </w:r>
      <w:r w:rsidR="00B4473D" w:rsidRPr="003C21B3">
        <w:rPr>
          <w:lang w:val="en-US"/>
        </w:rPr>
        <w:t>One</w:t>
      </w:r>
      <w:r w:rsidR="00875686" w:rsidRPr="003C21B3">
        <w:rPr>
          <w:lang w:val="en-US"/>
        </w:rPr>
        <w:t xml:space="preserve"> </w:t>
      </w:r>
      <w:r w:rsidR="00B4473D" w:rsidRPr="003C21B3">
        <w:rPr>
          <w:lang w:val="en-US"/>
        </w:rPr>
        <w:t xml:space="preserve">shielding </w:t>
      </w:r>
      <w:r w:rsidR="00875686" w:rsidRPr="003C21B3">
        <w:rPr>
          <w:lang w:val="en-US"/>
        </w:rPr>
        <w:t>challenge for a pool-typed Sodium-cooled Fast Reactor (SFR) such as VTR is the activation of the secondary sodium</w:t>
      </w:r>
      <w:r w:rsidR="00B4473D" w:rsidRPr="003C21B3">
        <w:rPr>
          <w:lang w:val="en-US"/>
        </w:rPr>
        <w:t>.</w:t>
      </w:r>
      <w:r w:rsidR="00875686" w:rsidRPr="003C21B3">
        <w:rPr>
          <w:lang w:val="en-US"/>
        </w:rPr>
        <w:t xml:space="preserve"> For a </w:t>
      </w:r>
      <w:proofErr w:type="gramStart"/>
      <w:r w:rsidR="00875686" w:rsidRPr="003C21B3">
        <w:rPr>
          <w:lang w:val="en-US"/>
        </w:rPr>
        <w:t>pool-typed</w:t>
      </w:r>
      <w:proofErr w:type="gramEnd"/>
      <w:r w:rsidR="00875686" w:rsidRPr="003C21B3">
        <w:rPr>
          <w:lang w:val="en-US"/>
        </w:rPr>
        <w:t xml:space="preserve"> SFR, the IHXs are placed in the primary sodium pool inside the reactor vessel. During operation, neutrons produced in the core can reach the IHXs due to the small absorption cross section of sodium and the large mean free path of fast neutrons. The secondary sodium gets activated inside the IHX and carries some of that activity outside of the reactor vessel. This source of radioactivity contained in the secondary sodium needs to be mitigated to meet the radiation dose limit sets for personnel working at the plant.</w:t>
      </w:r>
      <w:r w:rsidR="00B4473D" w:rsidRPr="003C21B3">
        <w:rPr>
          <w:lang w:val="en-US"/>
        </w:rPr>
        <w:t xml:space="preserve"> Air activation in the Reactor Vessel Auxiliary Cooling System (RVACS) was also </w:t>
      </w:r>
      <w:proofErr w:type="spellStart"/>
      <w:r w:rsidR="00B81ABF" w:rsidRPr="003C21B3">
        <w:rPr>
          <w:lang w:val="en-US"/>
        </w:rPr>
        <w:t>analysed</w:t>
      </w:r>
      <w:proofErr w:type="spellEnd"/>
      <w:r w:rsidR="00B4473D" w:rsidRPr="003C21B3">
        <w:rPr>
          <w:lang w:val="en-US"/>
        </w:rPr>
        <w:t>.</w:t>
      </w:r>
      <w:r w:rsidR="00B81ABF" w:rsidRPr="003C21B3">
        <w:rPr>
          <w:lang w:val="en-US"/>
        </w:rPr>
        <w:t xml:space="preserve"> The air flowing in the system gets close to the reactor core, and some argon would become activated and released into the atmosphere. Workers are expected to have limited access to the Head Access Area (HAA) directly above the reactor vessel. The analysis identified potential radiation streaming path to be blocked in future design.</w:t>
      </w:r>
      <w:r w:rsidR="00875686" w:rsidRPr="003C21B3">
        <w:rPr>
          <w:lang w:val="en-US"/>
        </w:rPr>
        <w:t xml:space="preserve"> </w:t>
      </w:r>
    </w:p>
    <w:p w14:paraId="433FE04F" w14:textId="7F0C18E6" w:rsidR="00E25B68" w:rsidRPr="003C21B3" w:rsidRDefault="00875686" w:rsidP="0026525A">
      <w:pPr>
        <w:pStyle w:val="Heading2"/>
        <w:numPr>
          <w:ilvl w:val="1"/>
          <w:numId w:val="10"/>
        </w:numPr>
        <w:rPr>
          <w:lang w:val="en-US"/>
        </w:rPr>
      </w:pPr>
      <w:r w:rsidRPr="003C21B3">
        <w:rPr>
          <w:lang w:val="en-US"/>
        </w:rPr>
        <w:lastRenderedPageBreak/>
        <w:t>Method</w:t>
      </w:r>
    </w:p>
    <w:p w14:paraId="3BE1B58D" w14:textId="2E2756B7" w:rsidR="00703140" w:rsidRPr="003C21B3" w:rsidRDefault="00B81ABF" w:rsidP="00B81ABF">
      <w:pPr>
        <w:pStyle w:val="BodyText"/>
        <w:rPr>
          <w:lang w:val="en-US"/>
        </w:rPr>
      </w:pPr>
      <w:r w:rsidRPr="003C21B3">
        <w:rPr>
          <w:lang w:val="en-US"/>
        </w:rPr>
        <w:t>The MCNP6.2 Monte-Carlo code [1] was employed to perform neutron and photon transport calculation, leveraging its ability to use of continuous energy neutron cross section and to model flexible geometry.</w:t>
      </w:r>
      <w:r w:rsidR="002940CB">
        <w:rPr>
          <w:lang w:val="en-US"/>
        </w:rPr>
        <w:t xml:space="preserve"> The </w:t>
      </w:r>
      <w:r w:rsidR="002940CB" w:rsidRPr="002940CB">
        <w:rPr>
          <w:lang w:val="en-US"/>
        </w:rPr>
        <w:t>ENDF/B-VII.0</w:t>
      </w:r>
      <w:r w:rsidR="002940CB">
        <w:rPr>
          <w:lang w:val="en-US"/>
        </w:rPr>
        <w:t xml:space="preserve"> [2] neutron library was employed.</w:t>
      </w:r>
      <w:r w:rsidRPr="003C21B3">
        <w:rPr>
          <w:lang w:val="en-US"/>
        </w:rPr>
        <w:t xml:space="preserve"> </w:t>
      </w:r>
      <w:r w:rsidR="00703140" w:rsidRPr="003C21B3">
        <w:rPr>
          <w:lang w:val="en-US"/>
        </w:rPr>
        <w:t>For the fission neutron source during reactor normal operation, the eigenvalue mode was first called in MCNP6.2 to generate the volumetric fission neutron source. The subsequent shielding analyses were transformed to solve fixed source problems by using the created volumetric fission neutron source and turning off the neutron production in fission in the active core region.</w:t>
      </w:r>
    </w:p>
    <w:p w14:paraId="68AD613F" w14:textId="54119926" w:rsidR="00D4708A" w:rsidRPr="003C21B3" w:rsidRDefault="00B81ABF" w:rsidP="00703140">
      <w:pPr>
        <w:pStyle w:val="BodyText"/>
        <w:rPr>
          <w:lang w:val="en-US"/>
        </w:rPr>
      </w:pPr>
      <w:r w:rsidRPr="003C21B3">
        <w:rPr>
          <w:lang w:val="en-US"/>
        </w:rPr>
        <w:t>The main disadvantage of the stochastic codes for deep penetration problems is to accumulate sufficient number of “scores” (</w:t>
      </w:r>
      <w:proofErr w:type="gramStart"/>
      <w:r w:rsidRPr="003C21B3">
        <w:rPr>
          <w:lang w:val="en-US"/>
        </w:rPr>
        <w:t>i.e.</w:t>
      </w:r>
      <w:proofErr w:type="gramEnd"/>
      <w:r w:rsidRPr="003C21B3">
        <w:rPr>
          <w:lang w:val="en-US"/>
        </w:rPr>
        <w:t xml:space="preserve"> neutron/photon recording) in the regions of interest that are heavily shielded. Due to the nature of the problem, an extremely small fraction of the simulated neutrons is able to reach the IHX in analog MCNP6.2 calculations. Variance reduction techniques, such as the weight window technique, are required for</w:t>
      </w:r>
      <w:r w:rsidR="00D4708A" w:rsidRPr="003C21B3">
        <w:rPr>
          <w:lang w:val="en-US"/>
        </w:rPr>
        <w:t xml:space="preserve"> the Monte Carlo</w:t>
      </w:r>
      <w:r w:rsidRPr="003C21B3">
        <w:rPr>
          <w:lang w:val="en-US"/>
        </w:rPr>
        <w:t xml:space="preserve"> calculations to obtain tallies with sufficiently low statistical uncertainties within reasonable computation time. The weight windows </w:t>
      </w:r>
      <w:r w:rsidR="00D4708A" w:rsidRPr="003C21B3">
        <w:rPr>
          <w:lang w:val="en-US"/>
        </w:rPr>
        <w:t>needed for the MCNP6.2 calculation were</w:t>
      </w:r>
      <w:r w:rsidRPr="003C21B3">
        <w:rPr>
          <w:lang w:val="en-US"/>
        </w:rPr>
        <w:t xml:space="preserve"> generated by the ADVANTG [</w:t>
      </w:r>
      <w:r w:rsidR="002940CB">
        <w:rPr>
          <w:lang w:val="en-US"/>
        </w:rPr>
        <w:t>3</w:t>
      </w:r>
      <w:r w:rsidRPr="003C21B3">
        <w:rPr>
          <w:lang w:val="en-US"/>
        </w:rPr>
        <w:t>] code</w:t>
      </w:r>
      <w:r w:rsidR="00D4708A" w:rsidRPr="003C21B3">
        <w:rPr>
          <w:lang w:val="en-US"/>
        </w:rPr>
        <w:t>. This code calls deterministic method to</w:t>
      </w:r>
      <w:r w:rsidRPr="003C21B3">
        <w:rPr>
          <w:lang w:val="en-US"/>
        </w:rPr>
        <w:t xml:space="preserve"> solve the </w:t>
      </w:r>
      <w:r w:rsidR="00D4708A" w:rsidRPr="003C21B3">
        <w:rPr>
          <w:lang w:val="en-US"/>
        </w:rPr>
        <w:t xml:space="preserve">multi-group </w:t>
      </w:r>
      <w:r w:rsidRPr="003C21B3">
        <w:rPr>
          <w:lang w:val="en-US"/>
        </w:rPr>
        <w:t>adjoint neutron flux of a simplified VTR model. This adjoint flux is</w:t>
      </w:r>
      <w:r w:rsidR="00D4708A" w:rsidRPr="003C21B3">
        <w:rPr>
          <w:lang w:val="en-US"/>
        </w:rPr>
        <w:t xml:space="preserve"> then</w:t>
      </w:r>
      <w:r w:rsidRPr="003C21B3">
        <w:rPr>
          <w:lang w:val="en-US"/>
        </w:rPr>
        <w:t xml:space="preserve"> employed to build the importance map (weight window) that is then used by the MCNP6.2 code. </w:t>
      </w:r>
    </w:p>
    <w:p w14:paraId="0233E082" w14:textId="150E367E" w:rsidR="00875686" w:rsidRPr="003C21B3" w:rsidRDefault="00B81ABF" w:rsidP="00703140">
      <w:pPr>
        <w:pStyle w:val="BodyText"/>
        <w:rPr>
          <w:lang w:val="en-US"/>
        </w:rPr>
      </w:pPr>
      <w:r w:rsidRPr="003C21B3">
        <w:rPr>
          <w:lang w:val="en-US"/>
        </w:rPr>
        <w:t>The dose rate was calculated by converting the flux based on the build-in flux-to-dose conversion factors in the MCNP6.2.</w:t>
      </w:r>
      <w:r w:rsidR="00703140" w:rsidRPr="003C21B3">
        <w:rPr>
          <w:lang w:val="en-US"/>
        </w:rPr>
        <w:t xml:space="preserve"> In general, the shielding</w:t>
      </w:r>
      <w:r w:rsidR="00875686" w:rsidRPr="003C21B3">
        <w:rPr>
          <w:lang w:val="en-US"/>
        </w:rPr>
        <w:t xml:space="preserve"> analys</w:t>
      </w:r>
      <w:r w:rsidR="00703140" w:rsidRPr="003C21B3">
        <w:rPr>
          <w:lang w:val="en-US"/>
        </w:rPr>
        <w:t>e</w:t>
      </w:r>
      <w:r w:rsidR="00875686" w:rsidRPr="003C21B3">
        <w:rPr>
          <w:lang w:val="en-US"/>
        </w:rPr>
        <w:t xml:space="preserve">s </w:t>
      </w:r>
      <w:r w:rsidR="00703140" w:rsidRPr="003C21B3">
        <w:rPr>
          <w:lang w:val="en-US"/>
        </w:rPr>
        <w:t xml:space="preserve">performed in this study </w:t>
      </w:r>
      <w:r w:rsidR="00875686" w:rsidRPr="003C21B3">
        <w:rPr>
          <w:lang w:val="en-US"/>
        </w:rPr>
        <w:t>follow three steps:</w:t>
      </w:r>
    </w:p>
    <w:p w14:paraId="1B38850A" w14:textId="3E65C1A9" w:rsidR="00875686" w:rsidRPr="003C21B3" w:rsidRDefault="00703140" w:rsidP="00703140">
      <w:pPr>
        <w:pStyle w:val="ListEmdash"/>
        <w:rPr>
          <w:lang w:val="en-US"/>
        </w:rPr>
      </w:pPr>
      <w:r w:rsidRPr="003C21B3">
        <w:rPr>
          <w:lang w:val="en-US"/>
        </w:rPr>
        <w:t>Obtain and specify</w:t>
      </w:r>
      <w:r w:rsidR="00875686" w:rsidRPr="003C21B3">
        <w:rPr>
          <w:lang w:val="en-US"/>
        </w:rPr>
        <w:t xml:space="preserve"> the radiation source characteristics such as the radiation particle types, the source spatial, spectral, and angular distribution.</w:t>
      </w:r>
    </w:p>
    <w:p w14:paraId="625491BF" w14:textId="72B10D56" w:rsidR="00875686" w:rsidRPr="003C21B3" w:rsidRDefault="00875686" w:rsidP="00703140">
      <w:pPr>
        <w:pStyle w:val="ListEmdash"/>
        <w:rPr>
          <w:lang w:val="en-US"/>
        </w:rPr>
      </w:pPr>
      <w:r w:rsidRPr="003C21B3">
        <w:rPr>
          <w:lang w:val="en-US"/>
        </w:rPr>
        <w:t>Identify the location of interest for estimating dose rate, activation rate or structural damage evaluation.</w:t>
      </w:r>
    </w:p>
    <w:p w14:paraId="6168374F" w14:textId="0D5999AD" w:rsidR="00875686" w:rsidRPr="003C21B3" w:rsidRDefault="00875686" w:rsidP="00703140">
      <w:pPr>
        <w:pStyle w:val="ListEmdash"/>
        <w:rPr>
          <w:lang w:val="en-US"/>
        </w:rPr>
      </w:pPr>
      <w:r w:rsidRPr="003C21B3">
        <w:rPr>
          <w:lang w:val="en-US"/>
        </w:rPr>
        <w:t>Perform particle transport calculations for various shielding designs and sensitivity studies on the shield dimension (thickness, height, etc.)</w:t>
      </w:r>
    </w:p>
    <w:p w14:paraId="77DA4D52" w14:textId="75AA05C4" w:rsidR="009F0164" w:rsidRPr="003C21B3" w:rsidRDefault="00875686" w:rsidP="009F0164">
      <w:pPr>
        <w:pStyle w:val="Heading2"/>
        <w:numPr>
          <w:ilvl w:val="1"/>
          <w:numId w:val="10"/>
        </w:numPr>
        <w:rPr>
          <w:lang w:val="en-US"/>
        </w:rPr>
      </w:pPr>
      <w:r w:rsidRPr="003C21B3">
        <w:rPr>
          <w:lang w:val="en-US"/>
        </w:rPr>
        <w:t>Secondary sodium Activation</w:t>
      </w:r>
    </w:p>
    <w:p w14:paraId="2BE686BF" w14:textId="40EA91B2" w:rsidR="00CC6FDE" w:rsidRPr="003C21B3" w:rsidRDefault="00703140" w:rsidP="00CC6FDE">
      <w:pPr>
        <w:pStyle w:val="BodyText"/>
        <w:rPr>
          <w:lang w:val="en-US"/>
        </w:rPr>
      </w:pPr>
      <w:r w:rsidRPr="003C21B3">
        <w:rPr>
          <w:lang w:val="en-US"/>
        </w:rPr>
        <w:t xml:space="preserve">The objective of the study is to estimate the secondary sodium activity in the secondary loop. </w:t>
      </w:r>
      <w:r w:rsidR="00817299" w:rsidRPr="003C21B3">
        <w:rPr>
          <w:lang w:val="en-US"/>
        </w:rPr>
        <w:t>The secondary sodium flowing in the IHX is activated by the neutrons streaming from the reactor core by the capture and (n,2n) reaction. Na-23 becomes Na-24 after capturing a neutron. Na-24 decays with a half-life of 14.96 hours and emits two photons of energy 1.368 and 2.754 MeV per decay. Na-22 created in Na-23 (n,2n) reaction also emits a photon of 1.274 MeV when decaying with a half-life of 2.60 years. However, the IHX is far away from the active core, and very few fast neutrons can reach the IHX due to moderations by sodium</w:t>
      </w:r>
      <w:r w:rsidR="00396310" w:rsidRPr="003C21B3">
        <w:rPr>
          <w:lang w:val="en-US"/>
        </w:rPr>
        <w:t xml:space="preserve"> and to activate Na-23 through (n,2n) reaction</w:t>
      </w:r>
      <w:r w:rsidR="00817299" w:rsidRPr="003C21B3">
        <w:rPr>
          <w:lang w:val="en-US"/>
        </w:rPr>
        <w:t>.</w:t>
      </w:r>
      <w:r w:rsidR="00396310" w:rsidRPr="003C21B3">
        <w:rPr>
          <w:lang w:val="en-US"/>
        </w:rPr>
        <w:t xml:space="preserve"> The Na-22 activity is much smaller than Na-24 activity during normal operation.</w:t>
      </w:r>
      <w:r w:rsidR="00CC6FDE">
        <w:rPr>
          <w:lang w:val="en-US"/>
        </w:rPr>
        <w:t xml:space="preserve"> </w:t>
      </w:r>
    </w:p>
    <w:p w14:paraId="7E17C61F" w14:textId="45CC1265" w:rsidR="009F0164" w:rsidRPr="003C21B3" w:rsidRDefault="00396310" w:rsidP="00703140">
      <w:pPr>
        <w:pStyle w:val="BodyText"/>
        <w:rPr>
          <w:lang w:val="en-US"/>
        </w:rPr>
      </w:pPr>
      <w:r w:rsidRPr="003C21B3">
        <w:rPr>
          <w:lang w:val="en-US"/>
        </w:rPr>
        <w:t xml:space="preserve"> </w:t>
      </w:r>
    </w:p>
    <w:p w14:paraId="60B2DE22" w14:textId="16FBBBCE" w:rsidR="00396310" w:rsidRPr="003C21B3" w:rsidRDefault="00396310" w:rsidP="00396310">
      <w:pPr>
        <w:pStyle w:val="BodyText"/>
        <w:rPr>
          <w:lang w:val="en-US"/>
        </w:rPr>
      </w:pPr>
      <w:r w:rsidRPr="003C21B3">
        <w:rPr>
          <w:lang w:val="en-US"/>
        </w:rPr>
        <w:t>The calculation takes two steps. First, t</w:t>
      </w:r>
      <w:r w:rsidR="009F0164" w:rsidRPr="003C21B3">
        <w:rPr>
          <w:lang w:val="en-US"/>
        </w:rPr>
        <w:t>he MCNP6.2 code was used to evaluate the secondary sodium activation</w:t>
      </w:r>
      <w:r w:rsidRPr="003C21B3">
        <w:rPr>
          <w:lang w:val="en-US"/>
        </w:rPr>
        <w:t xml:space="preserve"> rate</w:t>
      </w:r>
      <w:r w:rsidR="009F0164" w:rsidRPr="003C21B3">
        <w:rPr>
          <w:lang w:val="en-US"/>
        </w:rPr>
        <w:t xml:space="preserve"> in the IHX</w:t>
      </w:r>
      <w:r w:rsidRPr="003C21B3">
        <w:rPr>
          <w:lang w:val="en-US"/>
        </w:rPr>
        <w:t>, i.e., the Na-23 capture rate</w:t>
      </w:r>
      <w:r w:rsidR="009F0164" w:rsidRPr="003C21B3">
        <w:rPr>
          <w:lang w:val="en-US"/>
        </w:rPr>
        <w:t xml:space="preserve">. Then the </w:t>
      </w:r>
      <w:r w:rsidRPr="003C21B3">
        <w:rPr>
          <w:lang w:val="en-US"/>
        </w:rPr>
        <w:t>capture</w:t>
      </w:r>
      <w:r w:rsidR="009F0164" w:rsidRPr="003C21B3">
        <w:rPr>
          <w:lang w:val="en-US"/>
        </w:rPr>
        <w:t xml:space="preserve"> rate was converted to the equilibrium </w:t>
      </w:r>
      <w:r w:rsidRPr="003C21B3">
        <w:rPr>
          <w:lang w:val="en-US"/>
        </w:rPr>
        <w:t>Na-24</w:t>
      </w:r>
      <w:r w:rsidR="009F0164" w:rsidRPr="003C21B3">
        <w:rPr>
          <w:lang w:val="en-US"/>
        </w:rPr>
        <w:t xml:space="preserve"> activity </w:t>
      </w:r>
      <w:r w:rsidRPr="003C21B3">
        <w:rPr>
          <w:lang w:val="en-US"/>
        </w:rPr>
        <w:t xml:space="preserve">by solving the 1-dimensional particle transport equation (1) using the </w:t>
      </w:r>
      <w:proofErr w:type="spellStart"/>
      <w:r w:rsidRPr="003C21B3">
        <w:rPr>
          <w:lang w:val="en-US"/>
        </w:rPr>
        <w:t>Lagrangian</w:t>
      </w:r>
      <w:proofErr w:type="spellEnd"/>
      <w:r w:rsidRPr="003C21B3">
        <w:rPr>
          <w:lang w:val="en-US"/>
        </w:rPr>
        <w:t xml:space="preserve"> time derivative. </w:t>
      </w:r>
    </w:p>
    <w:p w14:paraId="49009D49" w14:textId="77777777" w:rsidR="00396310" w:rsidRPr="003C21B3" w:rsidRDefault="00396310" w:rsidP="00396310">
      <w:pPr>
        <w:pStyle w:val="BodyText"/>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0"/>
        <w:gridCol w:w="1017"/>
      </w:tblGrid>
      <w:tr w:rsidR="00396310" w:rsidRPr="003C21B3" w14:paraId="56BECA58" w14:textId="77777777" w:rsidTr="00330A92">
        <w:tc>
          <w:tcPr>
            <w:tcW w:w="8748" w:type="dxa"/>
          </w:tcPr>
          <w:p w14:paraId="379ED8AE" w14:textId="5131F8E7" w:rsidR="00396310" w:rsidRPr="003C21B3" w:rsidRDefault="00A33C1E" w:rsidP="00396310">
            <w:pPr>
              <w:pStyle w:val="BodyText"/>
              <w:rPr>
                <w:lang w:val="en-US"/>
              </w:rPr>
            </w:pPr>
            <m:oMathPara>
              <m:oMath>
                <m:f>
                  <m:fPr>
                    <m:ctrlPr>
                      <w:rPr>
                        <w:rFonts w:ascii="Cambria Math" w:hAnsi="Cambria Math"/>
                        <w:i/>
                        <w:lang w:val="en-US"/>
                      </w:rPr>
                    </m:ctrlPr>
                  </m:fPr>
                  <m:num>
                    <m:r>
                      <w:rPr>
                        <w:rFonts w:ascii="Cambria Math" w:hAnsi="Cambria Math"/>
                        <w:lang w:val="en-US"/>
                      </w:rPr>
                      <m:t>DN</m:t>
                    </m:r>
                    <m:d>
                      <m:dPr>
                        <m:ctrlPr>
                          <w:rPr>
                            <w:rFonts w:ascii="Cambria Math" w:hAnsi="Cambria Math"/>
                            <w:i/>
                            <w:lang w:val="en-US"/>
                          </w:rPr>
                        </m:ctrlPr>
                      </m:dPr>
                      <m:e>
                        <m:r>
                          <w:rPr>
                            <w:rFonts w:ascii="Cambria Math" w:hAnsi="Cambria Math"/>
                            <w:lang w:val="en-US"/>
                          </w:rPr>
                          <m:t>t,z</m:t>
                        </m:r>
                      </m:e>
                    </m:d>
                  </m:num>
                  <m:den>
                    <m:r>
                      <w:rPr>
                        <w:rFonts w:ascii="Cambria Math" w:hAnsi="Cambria Math"/>
                        <w:lang w:val="en-US"/>
                      </w:rPr>
                      <m:t>Dt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∂N</m:t>
                    </m:r>
                    <m:d>
                      <m:dPr>
                        <m:ctrlPr>
                          <w:rPr>
                            <w:rFonts w:ascii="Cambria Math" w:hAnsi="Cambria Math"/>
                            <w:i/>
                            <w:lang w:val="en-US"/>
                          </w:rPr>
                        </m:ctrlPr>
                      </m:dPr>
                      <m:e>
                        <m:r>
                          <w:rPr>
                            <w:rFonts w:ascii="Cambria Math" w:hAnsi="Cambria Math"/>
                            <w:lang w:val="en-US"/>
                          </w:rPr>
                          <m:t>t,z</m:t>
                        </m:r>
                      </m:e>
                    </m:d>
                  </m:num>
                  <m:den>
                    <m:r>
                      <w:rPr>
                        <w:rFonts w:ascii="Cambria Math" w:hAnsi="Cambria Math"/>
                        <w:lang w:val="en-US"/>
                      </w:rPr>
                      <m:t>∂t</m:t>
                    </m:r>
                  </m:den>
                </m:f>
                <m:r>
                  <w:rPr>
                    <w:rFonts w:ascii="Cambria Math" w:hAnsi="Cambria Math"/>
                    <w:lang w:val="en-US"/>
                  </w:rPr>
                  <m:t>+v</m:t>
                </m:r>
                <m:f>
                  <m:fPr>
                    <m:ctrlPr>
                      <w:rPr>
                        <w:rFonts w:ascii="Cambria Math" w:hAnsi="Cambria Math"/>
                        <w:i/>
                        <w:lang w:val="en-US"/>
                      </w:rPr>
                    </m:ctrlPr>
                  </m:fPr>
                  <m:num>
                    <m:r>
                      <w:rPr>
                        <w:rFonts w:ascii="Cambria Math" w:hAnsi="Cambria Math"/>
                        <w:lang w:val="en-US"/>
                      </w:rPr>
                      <m:t>∂N</m:t>
                    </m:r>
                    <m:d>
                      <m:dPr>
                        <m:ctrlPr>
                          <w:rPr>
                            <w:rFonts w:ascii="Cambria Math" w:hAnsi="Cambria Math"/>
                            <w:i/>
                            <w:lang w:val="en-US"/>
                          </w:rPr>
                        </m:ctrlPr>
                      </m:dPr>
                      <m:e>
                        <m:r>
                          <w:rPr>
                            <w:rFonts w:ascii="Cambria Math" w:hAnsi="Cambria Math"/>
                            <w:lang w:val="en-US"/>
                          </w:rPr>
                          <m:t>t,z</m:t>
                        </m:r>
                      </m:e>
                    </m:d>
                  </m:num>
                  <m:den>
                    <m:r>
                      <w:rPr>
                        <w:rFonts w:ascii="Cambria Math" w:hAnsi="Cambria Math"/>
                        <w:lang w:val="en-US"/>
                      </w:rPr>
                      <m:t>∂z</m:t>
                    </m:r>
                  </m:den>
                </m:f>
                <m:r>
                  <w:rPr>
                    <w:rFonts w:ascii="Cambria Math" w:hAnsi="Cambria Math"/>
                    <w:lang w:val="en-US"/>
                  </w:rPr>
                  <m:t>=S-λN</m:t>
                </m:r>
              </m:oMath>
            </m:oMathPara>
          </w:p>
        </w:tc>
        <w:tc>
          <w:tcPr>
            <w:tcW w:w="828" w:type="dxa"/>
            <w:vAlign w:val="center"/>
          </w:tcPr>
          <w:p w14:paraId="63EB58E9" w14:textId="77777777" w:rsidR="00396310" w:rsidRPr="003C21B3" w:rsidRDefault="00396310" w:rsidP="00396310">
            <w:pPr>
              <w:pStyle w:val="BodyText"/>
              <w:rPr>
                <w:lang w:val="en-US"/>
              </w:rPr>
            </w:pPr>
            <w:r w:rsidRPr="003C21B3">
              <w:rPr>
                <w:lang w:val="en-US"/>
              </w:rPr>
              <w:t>(1)</w:t>
            </w:r>
          </w:p>
        </w:tc>
      </w:tr>
    </w:tbl>
    <w:p w14:paraId="70657ACA" w14:textId="77777777" w:rsidR="00396310" w:rsidRPr="003C21B3" w:rsidRDefault="00396310" w:rsidP="00396310">
      <w:pPr>
        <w:pStyle w:val="BodyText"/>
        <w:rPr>
          <w:lang w:val="en-US"/>
        </w:rPr>
      </w:pPr>
    </w:p>
    <w:p w14:paraId="00249C03" w14:textId="0888F5AD" w:rsidR="00396310" w:rsidRPr="003C21B3" w:rsidRDefault="00396310" w:rsidP="00396310">
      <w:pPr>
        <w:pStyle w:val="BodyText"/>
        <w:rPr>
          <w:lang w:val="en-US"/>
        </w:rPr>
      </w:pPr>
      <w:r w:rsidRPr="003C21B3">
        <w:rPr>
          <w:lang w:val="en-US"/>
        </w:rPr>
        <w:t xml:space="preserve">Here, </w:t>
      </w:r>
      <m:oMath>
        <m:r>
          <w:rPr>
            <w:rFonts w:ascii="Cambria Math" w:hAnsi="Cambria Math"/>
            <w:lang w:val="en-US"/>
          </w:rPr>
          <m:t>N</m:t>
        </m:r>
      </m:oMath>
      <w:r w:rsidRPr="003C21B3">
        <w:rPr>
          <w:lang w:val="en-US"/>
        </w:rPr>
        <w:t xml:space="preserve"> is the total population of the radionuclide of interest (Na-24 in this case), </w:t>
      </w:r>
      <m:oMath>
        <m:r>
          <w:rPr>
            <w:rFonts w:ascii="Cambria Math" w:hAnsi="Cambria Math"/>
            <w:lang w:val="en-US"/>
          </w:rPr>
          <m:t>v</m:t>
        </m:r>
      </m:oMath>
      <w:r w:rsidRPr="003C21B3">
        <w:rPr>
          <w:lang w:val="en-US"/>
        </w:rPr>
        <w:t xml:space="preserve"> is the 1-dimensional coolant flow velocity, </w:t>
      </w:r>
      <m:oMath>
        <m:r>
          <w:rPr>
            <w:rFonts w:ascii="Cambria Math" w:hAnsi="Cambria Math"/>
            <w:lang w:val="en-US"/>
          </w:rPr>
          <m:t>λ</m:t>
        </m:r>
      </m:oMath>
      <w:r w:rsidRPr="003C21B3">
        <w:rPr>
          <w:lang w:val="en-US"/>
        </w:rPr>
        <w:t xml:space="preserve"> is the decay constant of the radionuclide, and </w:t>
      </w:r>
      <m:oMath>
        <m:r>
          <w:rPr>
            <w:rFonts w:ascii="Cambria Math" w:hAnsi="Cambria Math"/>
            <w:lang w:val="en-US"/>
          </w:rPr>
          <m:t>S</m:t>
        </m:r>
      </m:oMath>
      <w:r w:rsidR="008970AA" w:rsidRPr="003C21B3">
        <w:rPr>
          <w:lang w:val="en-US"/>
        </w:rPr>
        <w:t xml:space="preserve"> (the capture rate calculated from MCNP6.2)</w:t>
      </w:r>
      <w:r w:rsidRPr="003C21B3">
        <w:rPr>
          <w:lang w:val="en-US"/>
        </w:rPr>
        <w:t xml:space="preserve"> is the production rate of the radionuclide. We are only interested in the steady state case for this study, which means the Eulerian time derivative is zero. i.e., Eq. 1 becomes </w:t>
      </w:r>
    </w:p>
    <w:p w14:paraId="1781BFB0" w14:textId="77777777" w:rsidR="00396310" w:rsidRPr="003C21B3" w:rsidRDefault="00396310" w:rsidP="00396310">
      <w:pPr>
        <w:pStyle w:val="BodyText"/>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0"/>
        <w:gridCol w:w="1017"/>
      </w:tblGrid>
      <w:tr w:rsidR="00396310" w:rsidRPr="003C21B3" w14:paraId="54C2DC8E" w14:textId="77777777" w:rsidTr="00330A92">
        <w:tc>
          <w:tcPr>
            <w:tcW w:w="8748" w:type="dxa"/>
          </w:tcPr>
          <w:p w14:paraId="67A376F0" w14:textId="77777777" w:rsidR="00396310" w:rsidRPr="003C21B3" w:rsidRDefault="00396310" w:rsidP="00396310">
            <w:pPr>
              <w:pStyle w:val="BodyText"/>
              <w:rPr>
                <w:lang w:val="en-US"/>
              </w:rPr>
            </w:pPr>
            <m:oMathPara>
              <m:oMath>
                <m:r>
                  <w:rPr>
                    <w:rFonts w:ascii="Cambria Math" w:hAnsi="Cambria Math"/>
                    <w:lang w:val="en-US"/>
                  </w:rPr>
                  <m:t>v</m:t>
                </m:r>
                <m:f>
                  <m:fPr>
                    <m:ctrlPr>
                      <w:rPr>
                        <w:rFonts w:ascii="Cambria Math" w:hAnsi="Cambria Math"/>
                        <w:i/>
                        <w:lang w:val="en-US"/>
                      </w:rPr>
                    </m:ctrlPr>
                  </m:fPr>
                  <m:num>
                    <m:r>
                      <w:rPr>
                        <w:rFonts w:ascii="Cambria Math" w:hAnsi="Cambria Math"/>
                        <w:lang w:val="en-US"/>
                      </w:rPr>
                      <m:t>∂N</m:t>
                    </m:r>
                    <m:d>
                      <m:dPr>
                        <m:ctrlPr>
                          <w:rPr>
                            <w:rFonts w:ascii="Cambria Math" w:hAnsi="Cambria Math"/>
                            <w:i/>
                            <w:lang w:val="en-US"/>
                          </w:rPr>
                        </m:ctrlPr>
                      </m:dPr>
                      <m:e>
                        <m:r>
                          <w:rPr>
                            <w:rFonts w:ascii="Cambria Math" w:hAnsi="Cambria Math"/>
                            <w:lang w:val="en-US"/>
                          </w:rPr>
                          <m:t>t,z</m:t>
                        </m:r>
                      </m:e>
                    </m:d>
                  </m:num>
                  <m:den>
                    <m:r>
                      <w:rPr>
                        <w:rFonts w:ascii="Cambria Math" w:hAnsi="Cambria Math"/>
                        <w:lang w:val="en-US"/>
                      </w:rPr>
                      <m:t>∂z</m:t>
                    </m:r>
                  </m:den>
                </m:f>
                <m:r>
                  <w:rPr>
                    <w:rFonts w:ascii="Cambria Math" w:hAnsi="Cambria Math"/>
                    <w:lang w:val="en-US"/>
                  </w:rPr>
                  <m:t>=S-λN</m:t>
                </m:r>
              </m:oMath>
            </m:oMathPara>
          </w:p>
        </w:tc>
        <w:tc>
          <w:tcPr>
            <w:tcW w:w="828" w:type="dxa"/>
            <w:vAlign w:val="center"/>
          </w:tcPr>
          <w:p w14:paraId="0516BFA5" w14:textId="77777777" w:rsidR="00396310" w:rsidRPr="003C21B3" w:rsidRDefault="00396310" w:rsidP="00396310">
            <w:pPr>
              <w:pStyle w:val="BodyText"/>
              <w:rPr>
                <w:lang w:val="en-US"/>
              </w:rPr>
            </w:pPr>
            <w:r w:rsidRPr="003C21B3">
              <w:rPr>
                <w:lang w:val="en-US"/>
              </w:rPr>
              <w:t>(2)</w:t>
            </w:r>
          </w:p>
        </w:tc>
      </w:tr>
    </w:tbl>
    <w:p w14:paraId="52941597" w14:textId="77777777" w:rsidR="00396310" w:rsidRPr="003C21B3" w:rsidRDefault="00396310" w:rsidP="00396310">
      <w:pPr>
        <w:pStyle w:val="BodyText"/>
        <w:rPr>
          <w:lang w:val="en-US"/>
        </w:rPr>
      </w:pPr>
    </w:p>
    <w:p w14:paraId="160D322D" w14:textId="1FFCABA0" w:rsidR="00396310" w:rsidRPr="003C21B3" w:rsidRDefault="00396310" w:rsidP="00396310">
      <w:pPr>
        <w:pStyle w:val="BodyText"/>
        <w:rPr>
          <w:lang w:val="en-US"/>
        </w:rPr>
      </w:pPr>
      <w:r w:rsidRPr="003C21B3">
        <w:rPr>
          <w:lang w:val="en-US"/>
        </w:rPr>
        <w:t>For the coolant activation in IHX, the problem consists of two regions. Region 1 lies inside the reactor vessel, and the</w:t>
      </w:r>
      <w:r w:rsidR="00657354">
        <w:rPr>
          <w:lang w:val="en-US"/>
        </w:rPr>
        <w:t xml:space="preserve"> production rate </w:t>
      </w:r>
      <m:oMath>
        <m:r>
          <w:rPr>
            <w:rFonts w:ascii="Cambria Math" w:hAnsi="Cambria Math"/>
            <w:lang w:val="en-US"/>
          </w:rPr>
          <m:t>S</m:t>
        </m:r>
      </m:oMath>
      <w:r w:rsidRPr="003C21B3">
        <w:rPr>
          <w:lang w:val="en-US"/>
        </w:rPr>
        <w:t xml:space="preserve"> is calculated from MCNP6.2. Region 2 is outside the vessel, and </w:t>
      </w:r>
      <m:oMath>
        <m:r>
          <w:rPr>
            <w:rFonts w:ascii="Cambria Math" w:hAnsi="Cambria Math"/>
            <w:lang w:val="en-US"/>
          </w:rPr>
          <m:t>S</m:t>
        </m:r>
      </m:oMath>
      <w:r w:rsidRPr="003C21B3">
        <w:rPr>
          <w:lang w:val="en-US"/>
        </w:rPr>
        <w:t xml:space="preserve"> is zero. With continuity at the interfaces of the two regions, the equilibrium activity at the exit of Region 1 can be expressed as </w:t>
      </w:r>
    </w:p>
    <w:p w14:paraId="134AA68B" w14:textId="77777777" w:rsidR="00396310" w:rsidRPr="003C21B3" w:rsidRDefault="00396310" w:rsidP="00396310">
      <w:pPr>
        <w:pStyle w:val="BodyText"/>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0"/>
        <w:gridCol w:w="1017"/>
      </w:tblGrid>
      <w:tr w:rsidR="00396310" w:rsidRPr="003C21B3" w14:paraId="2AE8EBB8" w14:textId="77777777" w:rsidTr="00330A92">
        <w:tc>
          <w:tcPr>
            <w:tcW w:w="8748" w:type="dxa"/>
          </w:tcPr>
          <w:p w14:paraId="31E3CCD5" w14:textId="77777777" w:rsidR="00396310" w:rsidRPr="003C21B3" w:rsidRDefault="00396310" w:rsidP="00396310">
            <w:pPr>
              <w:pStyle w:val="BodyText"/>
              <w:rPr>
                <w:lang w:val="en-US"/>
              </w:rPr>
            </w:pPr>
            <m:oMathPara>
              <m:oMath>
                <m:r>
                  <w:rPr>
                    <w:rFonts w:ascii="Cambria Math" w:hAnsi="Cambria Math"/>
                    <w:lang w:val="en-US"/>
                  </w:rPr>
                  <m:t>λ</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1</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S</m:t>
                    </m:r>
                    <m:d>
                      <m:dPr>
                        <m:ctrlPr>
                          <w:rPr>
                            <w:rFonts w:ascii="Cambria Math" w:hAnsi="Cambria Math"/>
                            <w:i/>
                            <w:lang w:val="en-US"/>
                          </w:rPr>
                        </m:ctrlPr>
                      </m:dPr>
                      <m:e>
                        <m:r>
                          <w:rPr>
                            <w:rFonts w:ascii="Cambria Math" w:hAnsi="Cambria Math"/>
                            <w:lang w:val="en-US"/>
                          </w:rPr>
                          <m:t>1-</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1</m:t>
                                </m:r>
                              </m:sub>
                            </m:sSub>
                          </m:sup>
                        </m:sSup>
                      </m:e>
                    </m:d>
                  </m:num>
                  <m:den>
                    <m:r>
                      <w:rPr>
                        <w:rFonts w:ascii="Cambria Math" w:hAnsi="Cambria Math"/>
                        <w:lang w:val="en-US"/>
                      </w:rPr>
                      <m:t>1-</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2</m:t>
                                </m:r>
                              </m:sub>
                            </m:sSub>
                          </m:e>
                        </m:d>
                      </m:sup>
                    </m:sSup>
                  </m:den>
                </m:f>
                <m:r>
                  <w:rPr>
                    <w:rFonts w:ascii="Cambria Math" w:hAnsi="Cambria Math"/>
                    <w:lang w:val="en-US"/>
                  </w:rPr>
                  <m:t>.</m:t>
                </m:r>
              </m:oMath>
            </m:oMathPara>
          </w:p>
        </w:tc>
        <w:tc>
          <w:tcPr>
            <w:tcW w:w="828" w:type="dxa"/>
            <w:vAlign w:val="center"/>
          </w:tcPr>
          <w:p w14:paraId="0B35D2E9" w14:textId="77777777" w:rsidR="00396310" w:rsidRPr="003C21B3" w:rsidRDefault="00396310" w:rsidP="00396310">
            <w:pPr>
              <w:pStyle w:val="BodyText"/>
              <w:rPr>
                <w:lang w:val="en-US"/>
              </w:rPr>
            </w:pPr>
            <w:r w:rsidRPr="003C21B3">
              <w:rPr>
                <w:lang w:val="en-US"/>
              </w:rPr>
              <w:t>(3)</w:t>
            </w:r>
          </w:p>
        </w:tc>
      </w:tr>
    </w:tbl>
    <w:p w14:paraId="6D61B960" w14:textId="77777777" w:rsidR="009F0164" w:rsidRPr="003C21B3" w:rsidRDefault="009F0164" w:rsidP="008970AA">
      <w:pPr>
        <w:pStyle w:val="BodyText"/>
        <w:ind w:firstLine="0"/>
        <w:rPr>
          <w:lang w:val="en-US"/>
        </w:rPr>
      </w:pPr>
    </w:p>
    <w:p w14:paraId="5911820C" w14:textId="275C8940" w:rsidR="009F0164" w:rsidRPr="003C21B3" w:rsidRDefault="009F0164" w:rsidP="00C31A10">
      <w:pPr>
        <w:pStyle w:val="BodyText"/>
        <w:ind w:firstLine="0"/>
        <w:rPr>
          <w:lang w:val="en-US"/>
        </w:rPr>
      </w:pPr>
      <w:r w:rsidRPr="003C21B3">
        <w:rPr>
          <w:lang w:val="en-US"/>
        </w:rPr>
        <w:t xml:space="preserve">where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1</m:t>
            </m:r>
          </m:sub>
        </m:sSub>
      </m:oMath>
      <w:r w:rsidRPr="003C21B3">
        <w:rPr>
          <w:lang w:val="en-US"/>
        </w:rPr>
        <w:t xml:space="preserve"> and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2</m:t>
            </m:r>
          </m:sub>
        </m:sSub>
      </m:oMath>
      <w:r w:rsidRPr="003C21B3">
        <w:rPr>
          <w:lang w:val="en-US"/>
        </w:rPr>
        <w:t xml:space="preserve"> are the time spent</w:t>
      </w:r>
      <w:r w:rsidR="008970AA" w:rsidRPr="003C21B3">
        <w:rPr>
          <w:lang w:val="en-US"/>
        </w:rPr>
        <w:t xml:space="preserve"> by the secondary sodium</w:t>
      </w:r>
      <w:r w:rsidRPr="003C21B3">
        <w:rPr>
          <w:lang w:val="en-US"/>
        </w:rPr>
        <w:t xml:space="preserve"> inside and outside the reactor, </w:t>
      </w:r>
      <m:oMath>
        <m:r>
          <w:rPr>
            <w:rFonts w:ascii="Cambria Math" w:hAnsi="Cambria Math"/>
            <w:lang w:val="en-US"/>
          </w:rPr>
          <m:t>λ</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1</m:t>
            </m:r>
          </m:sub>
        </m:sSub>
      </m:oMath>
      <w:r w:rsidRPr="003C21B3">
        <w:rPr>
          <w:rFonts w:eastAsiaTheme="minorEastAsia"/>
          <w:lang w:val="en-US"/>
        </w:rPr>
        <w:t xml:space="preserve"> is the activity of the activated sodium, and </w:t>
      </w:r>
      <m:oMath>
        <m:r>
          <w:rPr>
            <w:rFonts w:ascii="Cambria Math" w:hAnsi="Cambria Math"/>
            <w:lang w:val="en-US"/>
          </w:rPr>
          <m:t>S</m:t>
        </m:r>
      </m:oMath>
      <w:r w:rsidRPr="003C21B3">
        <w:rPr>
          <w:rFonts w:eastAsiaTheme="minorEastAsia"/>
          <w:lang w:val="en-US"/>
        </w:rPr>
        <w:t xml:space="preserve"> is the production rate of activated sodium</w:t>
      </w:r>
      <w:r w:rsidRPr="003C21B3">
        <w:rPr>
          <w:lang w:val="en-US"/>
        </w:rPr>
        <w:t xml:space="preserve">. </w:t>
      </w:r>
    </w:p>
    <w:p w14:paraId="0FB6EF0A" w14:textId="55975CEE" w:rsidR="009F0164" w:rsidRPr="003C21B3" w:rsidRDefault="00686904" w:rsidP="009F0164">
      <w:pPr>
        <w:pStyle w:val="BodyText"/>
        <w:rPr>
          <w:lang w:val="en-US"/>
        </w:rPr>
      </w:pPr>
      <w:r w:rsidRPr="003C21B3">
        <w:rPr>
          <w:lang w:val="en-US"/>
        </w:rPr>
        <w:t>The preliminary VTR core design is shown in Fig. 1</w:t>
      </w:r>
      <w:r w:rsidR="009F0164" w:rsidRPr="003C21B3">
        <w:rPr>
          <w:lang w:val="en-US"/>
        </w:rPr>
        <w:t>. The secondary sodium activation results obtained are listed in Table 1.</w:t>
      </w:r>
      <w:r w:rsidR="00AE030D" w:rsidRPr="003C21B3">
        <w:rPr>
          <w:lang w:val="en-US"/>
        </w:rPr>
        <w:t xml:space="preserve"> Several things were observed. </w:t>
      </w:r>
    </w:p>
    <w:p w14:paraId="2AD4FE63" w14:textId="371FF036" w:rsidR="00AE030D" w:rsidRPr="003C21B3" w:rsidRDefault="00AE030D" w:rsidP="00AE030D">
      <w:pPr>
        <w:pStyle w:val="ListEmdash"/>
        <w:rPr>
          <w:lang w:val="en-US"/>
        </w:rPr>
      </w:pPr>
      <w:r w:rsidRPr="003C21B3">
        <w:rPr>
          <w:lang w:val="en-US"/>
        </w:rPr>
        <w:t>The spent fuel in the upper In-Vessel Storage (IVS) location has non-negligible effect on the secondary sodium activation as shown in Fig. 2.</w:t>
      </w:r>
    </w:p>
    <w:p w14:paraId="40D80120" w14:textId="339F4768" w:rsidR="00AE030D" w:rsidRPr="003C21B3" w:rsidRDefault="00AE030D" w:rsidP="00AE030D">
      <w:pPr>
        <w:pStyle w:val="ListEmdash"/>
        <w:rPr>
          <w:lang w:val="en-US"/>
        </w:rPr>
      </w:pPr>
      <w:r w:rsidRPr="003C21B3">
        <w:rPr>
          <w:lang w:val="en-US"/>
        </w:rPr>
        <w:t xml:space="preserve">The number of spent </w:t>
      </w:r>
      <w:proofErr w:type="gramStart"/>
      <w:r w:rsidRPr="003C21B3">
        <w:rPr>
          <w:lang w:val="en-US"/>
        </w:rPr>
        <w:t>fuel</w:t>
      </w:r>
      <w:proofErr w:type="gramEnd"/>
      <w:r w:rsidRPr="003C21B3">
        <w:rPr>
          <w:lang w:val="en-US"/>
        </w:rPr>
        <w:t xml:space="preserve"> in the lower IVS location around the active core has negligible effect on the secondary sodium activation as listed in Table 1, which shows all the results are within the statistical uncertainty (~4%) of the MCNP6.2 calculation.</w:t>
      </w:r>
    </w:p>
    <w:p w14:paraId="4FDB4F78" w14:textId="296CCEE5" w:rsidR="00AE030D" w:rsidRPr="003C21B3" w:rsidRDefault="00AE030D" w:rsidP="00AE030D">
      <w:pPr>
        <w:pStyle w:val="ListEmdash"/>
        <w:rPr>
          <w:lang w:val="en-US"/>
        </w:rPr>
      </w:pPr>
      <w:r w:rsidRPr="003C21B3">
        <w:rPr>
          <w:lang w:val="en-US"/>
        </w:rPr>
        <w:t>Current in-vessel shield configuration can sufficiently reduce the secondary sodium activity so that no additional shield is required around the secondary loop outside the reactor vessel.</w:t>
      </w:r>
    </w:p>
    <w:p w14:paraId="77FCFC97" w14:textId="77777777" w:rsidR="009F0164" w:rsidRPr="003C21B3" w:rsidRDefault="009F0164" w:rsidP="009F0164">
      <w:pPr>
        <w:pStyle w:val="BodyText"/>
        <w:rPr>
          <w:lang w:val="en-US"/>
        </w:rPr>
      </w:pPr>
    </w:p>
    <w:p w14:paraId="3F732245" w14:textId="18514CB4" w:rsidR="009F0164" w:rsidRPr="003C21B3" w:rsidRDefault="00095B56" w:rsidP="00095B56">
      <w:pPr>
        <w:pStyle w:val="FIG-LONG"/>
        <w:rPr>
          <w:lang w:val="en-US"/>
        </w:rPr>
      </w:pPr>
      <w:r>
        <w:rPr>
          <w:noProof/>
          <w:lang w:val="en-US"/>
        </w:rPr>
        <w:drawing>
          <wp:inline distT="0" distB="0" distL="0" distR="0" wp14:anchorId="01F846FF" wp14:editId="4B1CD02F">
            <wp:extent cx="5732145" cy="4199255"/>
            <wp:effectExtent l="0" t="0" r="0" b="4445"/>
            <wp:docPr id="2" name="Picture 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2145" cy="4199255"/>
                    </a:xfrm>
                    <a:prstGeom prst="rect">
                      <a:avLst/>
                    </a:prstGeom>
                  </pic:spPr>
                </pic:pic>
              </a:graphicData>
            </a:graphic>
          </wp:inline>
        </w:drawing>
      </w:r>
    </w:p>
    <w:p w14:paraId="6C60E4BB" w14:textId="348A9B08" w:rsidR="009F0164" w:rsidRPr="003C21B3" w:rsidRDefault="009F0164" w:rsidP="00686904">
      <w:pPr>
        <w:pStyle w:val="FIG-LONG"/>
        <w:rPr>
          <w:lang w:val="en-US"/>
        </w:rPr>
      </w:pPr>
      <w:r w:rsidRPr="003C21B3">
        <w:rPr>
          <w:lang w:val="en-US"/>
        </w:rPr>
        <w:t>F</w:t>
      </w:r>
      <w:r w:rsidR="008970AA" w:rsidRPr="003C21B3">
        <w:rPr>
          <w:lang w:val="en-US"/>
        </w:rPr>
        <w:t>IG</w:t>
      </w:r>
      <w:r w:rsidRPr="003C21B3">
        <w:rPr>
          <w:lang w:val="en-US"/>
        </w:rPr>
        <w:t xml:space="preserve"> </w:t>
      </w:r>
      <w:r w:rsidR="00686904" w:rsidRPr="003C21B3">
        <w:rPr>
          <w:lang w:val="en-US"/>
        </w:rPr>
        <w:t>1</w:t>
      </w:r>
      <w:r w:rsidRPr="003C21B3">
        <w:rPr>
          <w:lang w:val="en-US"/>
        </w:rPr>
        <w:t xml:space="preserve"> </w:t>
      </w:r>
      <w:r w:rsidR="00686904" w:rsidRPr="003C21B3">
        <w:rPr>
          <w:lang w:val="en-US"/>
        </w:rPr>
        <w:t>The schematics of the VTR configurations</w:t>
      </w:r>
    </w:p>
    <w:p w14:paraId="5C33CB60" w14:textId="69FBFC5D" w:rsidR="009F0164" w:rsidRPr="003C21B3" w:rsidRDefault="00686904" w:rsidP="009F0164">
      <w:pPr>
        <w:pStyle w:val="BodyText"/>
        <w:rPr>
          <w:lang w:val="en-US"/>
        </w:rPr>
      </w:pPr>
      <w:r w:rsidRPr="003C21B3">
        <w:rPr>
          <w:lang w:val="en-US"/>
        </w:rPr>
        <w:t>TABLE 1</w:t>
      </w:r>
      <w:r w:rsidR="009F0164" w:rsidRPr="003C21B3">
        <w:rPr>
          <w:lang w:val="en-US"/>
        </w:rPr>
        <w:t xml:space="preserve"> Secondary sodium activity.</w:t>
      </w:r>
    </w:p>
    <w:tbl>
      <w:tblPr>
        <w:tblStyle w:val="TableGrid"/>
        <w:tblW w:w="5000" w:type="pct"/>
        <w:tblLook w:val="04A0" w:firstRow="1" w:lastRow="0" w:firstColumn="1" w:lastColumn="0" w:noHBand="0" w:noVBand="1"/>
      </w:tblPr>
      <w:tblGrid>
        <w:gridCol w:w="4045"/>
        <w:gridCol w:w="2860"/>
        <w:gridCol w:w="2112"/>
      </w:tblGrid>
      <w:tr w:rsidR="00686904" w:rsidRPr="003C21B3" w14:paraId="4AE8CD93" w14:textId="77777777" w:rsidTr="00686904">
        <w:tc>
          <w:tcPr>
            <w:tcW w:w="2243" w:type="pct"/>
          </w:tcPr>
          <w:p w14:paraId="1589ECA3" w14:textId="77777777" w:rsidR="00686904" w:rsidRPr="003C21B3" w:rsidRDefault="00686904" w:rsidP="009F0164">
            <w:pPr>
              <w:pStyle w:val="BodyText"/>
              <w:rPr>
                <w:lang w:val="en-US"/>
              </w:rPr>
            </w:pPr>
            <w:r w:rsidRPr="003C21B3">
              <w:rPr>
                <w:lang w:val="en-US"/>
              </w:rPr>
              <w:t>Description</w:t>
            </w:r>
          </w:p>
        </w:tc>
        <w:tc>
          <w:tcPr>
            <w:tcW w:w="1586" w:type="pct"/>
          </w:tcPr>
          <w:p w14:paraId="6747F21E" w14:textId="77777777" w:rsidR="00686904" w:rsidRPr="003C21B3" w:rsidRDefault="00686904" w:rsidP="009F0164">
            <w:pPr>
              <w:pStyle w:val="BodyText"/>
              <w:rPr>
                <w:u w:val="single"/>
                <w:lang w:val="en-US"/>
              </w:rPr>
            </w:pPr>
            <w:r w:rsidRPr="003C21B3">
              <w:rPr>
                <w:lang w:val="en-US"/>
              </w:rPr>
              <w:t>Secondary sodium activity (µCi/cm</w:t>
            </w:r>
            <w:r w:rsidRPr="003C21B3">
              <w:rPr>
                <w:vertAlign w:val="superscript"/>
                <w:lang w:val="en-US"/>
              </w:rPr>
              <w:t>3</w:t>
            </w:r>
            <w:r w:rsidRPr="003C21B3">
              <w:rPr>
                <w:lang w:val="en-US"/>
              </w:rPr>
              <w:t>)</w:t>
            </w:r>
          </w:p>
        </w:tc>
        <w:tc>
          <w:tcPr>
            <w:tcW w:w="1171" w:type="pct"/>
          </w:tcPr>
          <w:p w14:paraId="4E205EFC" w14:textId="7E33639E" w:rsidR="00686904" w:rsidRPr="003C21B3" w:rsidRDefault="00A7350E" w:rsidP="009F0164">
            <w:pPr>
              <w:pStyle w:val="BodyText"/>
              <w:rPr>
                <w:lang w:val="en-US"/>
              </w:rPr>
            </w:pPr>
            <w:r>
              <w:rPr>
                <w:lang w:val="en-US"/>
              </w:rPr>
              <w:t>Relative error</w:t>
            </w:r>
          </w:p>
        </w:tc>
      </w:tr>
      <w:tr w:rsidR="00686904" w:rsidRPr="003C21B3" w14:paraId="11BB8411" w14:textId="77777777" w:rsidTr="00686904">
        <w:tc>
          <w:tcPr>
            <w:tcW w:w="2243" w:type="pct"/>
          </w:tcPr>
          <w:p w14:paraId="3643754E" w14:textId="1E533573" w:rsidR="00686904" w:rsidRPr="003C21B3" w:rsidRDefault="00686904" w:rsidP="009F0164">
            <w:pPr>
              <w:pStyle w:val="BodyText"/>
              <w:rPr>
                <w:lang w:val="en-US"/>
              </w:rPr>
            </w:pPr>
            <w:r w:rsidRPr="003C21B3">
              <w:rPr>
                <w:lang w:val="en-US"/>
              </w:rPr>
              <w:t>36 spent fuel assemblies</w:t>
            </w:r>
          </w:p>
        </w:tc>
        <w:tc>
          <w:tcPr>
            <w:tcW w:w="1586" w:type="pct"/>
          </w:tcPr>
          <w:p w14:paraId="54F809E6" w14:textId="77777777" w:rsidR="00686904" w:rsidRPr="00657354" w:rsidRDefault="00686904" w:rsidP="009F0164">
            <w:pPr>
              <w:pStyle w:val="BodyText"/>
              <w:rPr>
                <w:color w:val="000000"/>
                <w:lang w:val="en-US"/>
              </w:rPr>
            </w:pPr>
            <w:r w:rsidRPr="00657354">
              <w:rPr>
                <w:color w:val="000000"/>
                <w:lang w:val="en-US"/>
              </w:rPr>
              <w:t>4.90E-05</w:t>
            </w:r>
          </w:p>
        </w:tc>
        <w:tc>
          <w:tcPr>
            <w:tcW w:w="1171" w:type="pct"/>
          </w:tcPr>
          <w:p w14:paraId="4AA0B138" w14:textId="77777777" w:rsidR="00686904" w:rsidRPr="003C21B3" w:rsidRDefault="00686904" w:rsidP="009F0164">
            <w:pPr>
              <w:pStyle w:val="BodyText"/>
              <w:rPr>
                <w:color w:val="000000"/>
                <w:lang w:val="en-US"/>
              </w:rPr>
            </w:pPr>
            <w:r w:rsidRPr="003C21B3">
              <w:rPr>
                <w:color w:val="000000"/>
                <w:lang w:val="en-US"/>
              </w:rPr>
              <w:t>3.38%</w:t>
            </w:r>
          </w:p>
        </w:tc>
      </w:tr>
      <w:tr w:rsidR="00686904" w:rsidRPr="003C21B3" w14:paraId="2D317F68" w14:textId="77777777" w:rsidTr="00686904">
        <w:tc>
          <w:tcPr>
            <w:tcW w:w="2243" w:type="pct"/>
          </w:tcPr>
          <w:p w14:paraId="0EC63C2B" w14:textId="59BC8EAA" w:rsidR="00686904" w:rsidRPr="003C21B3" w:rsidRDefault="00686904" w:rsidP="009F0164">
            <w:pPr>
              <w:pStyle w:val="BodyText"/>
              <w:rPr>
                <w:lang w:val="en-US"/>
              </w:rPr>
            </w:pPr>
            <w:r w:rsidRPr="003C21B3">
              <w:rPr>
                <w:lang w:val="en-US"/>
              </w:rPr>
              <w:t>42 spent fuel assemblies</w:t>
            </w:r>
          </w:p>
        </w:tc>
        <w:tc>
          <w:tcPr>
            <w:tcW w:w="1586" w:type="pct"/>
          </w:tcPr>
          <w:p w14:paraId="65FEE841" w14:textId="77777777" w:rsidR="00686904" w:rsidRPr="00657354" w:rsidRDefault="00686904" w:rsidP="009F0164">
            <w:pPr>
              <w:pStyle w:val="BodyText"/>
              <w:rPr>
                <w:color w:val="000000"/>
                <w:lang w:val="en-US"/>
              </w:rPr>
            </w:pPr>
            <w:r w:rsidRPr="00657354">
              <w:rPr>
                <w:color w:val="000000"/>
                <w:lang w:val="en-US"/>
              </w:rPr>
              <w:t>5.11E-05</w:t>
            </w:r>
          </w:p>
        </w:tc>
        <w:tc>
          <w:tcPr>
            <w:tcW w:w="1171" w:type="pct"/>
          </w:tcPr>
          <w:p w14:paraId="7F20ED03" w14:textId="77777777" w:rsidR="00686904" w:rsidRPr="003C21B3" w:rsidRDefault="00686904" w:rsidP="009F0164">
            <w:pPr>
              <w:pStyle w:val="BodyText"/>
              <w:rPr>
                <w:color w:val="000000"/>
                <w:lang w:val="en-US"/>
              </w:rPr>
            </w:pPr>
            <w:r w:rsidRPr="003C21B3">
              <w:rPr>
                <w:color w:val="000000"/>
                <w:lang w:val="en-US"/>
              </w:rPr>
              <w:t>4.41%</w:t>
            </w:r>
          </w:p>
        </w:tc>
      </w:tr>
      <w:tr w:rsidR="00686904" w:rsidRPr="003C21B3" w14:paraId="5F2AADC5" w14:textId="77777777" w:rsidTr="00686904">
        <w:tc>
          <w:tcPr>
            <w:tcW w:w="2243" w:type="pct"/>
          </w:tcPr>
          <w:p w14:paraId="71F7CD6F" w14:textId="469C293A" w:rsidR="00686904" w:rsidRPr="003C21B3" w:rsidRDefault="00686904" w:rsidP="009F0164">
            <w:pPr>
              <w:pStyle w:val="BodyText"/>
              <w:rPr>
                <w:lang w:val="en-US"/>
              </w:rPr>
            </w:pPr>
            <w:r w:rsidRPr="003C21B3">
              <w:rPr>
                <w:lang w:val="en-US"/>
              </w:rPr>
              <w:t>No fuel assembly spent fuel assemblies</w:t>
            </w:r>
          </w:p>
        </w:tc>
        <w:tc>
          <w:tcPr>
            <w:tcW w:w="1586" w:type="pct"/>
          </w:tcPr>
          <w:p w14:paraId="4A911814" w14:textId="77777777" w:rsidR="00686904" w:rsidRPr="003C21B3" w:rsidRDefault="00686904" w:rsidP="009F0164">
            <w:pPr>
              <w:pStyle w:val="BodyText"/>
              <w:rPr>
                <w:color w:val="000000"/>
                <w:lang w:val="en-US"/>
              </w:rPr>
            </w:pPr>
            <w:r w:rsidRPr="003C21B3">
              <w:rPr>
                <w:color w:val="000000"/>
                <w:lang w:val="en-US"/>
              </w:rPr>
              <w:t>4.77E-05</w:t>
            </w:r>
          </w:p>
        </w:tc>
        <w:tc>
          <w:tcPr>
            <w:tcW w:w="1171" w:type="pct"/>
          </w:tcPr>
          <w:p w14:paraId="3B55A1BD" w14:textId="77777777" w:rsidR="00686904" w:rsidRPr="003C21B3" w:rsidRDefault="00686904" w:rsidP="009F0164">
            <w:pPr>
              <w:pStyle w:val="BodyText"/>
              <w:rPr>
                <w:color w:val="000000"/>
                <w:lang w:val="en-US"/>
              </w:rPr>
            </w:pPr>
            <w:r w:rsidRPr="003C21B3">
              <w:rPr>
                <w:color w:val="000000"/>
                <w:lang w:val="en-US"/>
              </w:rPr>
              <w:t>3.33%</w:t>
            </w:r>
          </w:p>
        </w:tc>
      </w:tr>
    </w:tbl>
    <w:p w14:paraId="03593DCE" w14:textId="77777777" w:rsidR="009F0164" w:rsidRPr="003C21B3" w:rsidRDefault="009F0164" w:rsidP="009F0164">
      <w:pPr>
        <w:pStyle w:val="BodyText"/>
        <w:rPr>
          <w:lang w:val="en-US"/>
        </w:rPr>
      </w:pPr>
    </w:p>
    <w:p w14:paraId="427621B0" w14:textId="77777777" w:rsidR="009F0164" w:rsidRPr="003C21B3" w:rsidRDefault="009F0164" w:rsidP="009F0164">
      <w:pPr>
        <w:pStyle w:val="BodyText"/>
        <w:rPr>
          <w:lang w:val="en-US"/>
        </w:rPr>
      </w:pPr>
      <w:r w:rsidRPr="003C21B3">
        <w:rPr>
          <w:noProof/>
          <w:lang w:val="en-US"/>
        </w:rPr>
        <w:lastRenderedPageBreak/>
        <w:drawing>
          <wp:inline distT="0" distB="0" distL="0" distR="0" wp14:anchorId="2B4F81FB" wp14:editId="243A31EF">
            <wp:extent cx="5486400" cy="3857625"/>
            <wp:effectExtent l="0" t="0" r="0" b="3175"/>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pic:nvPicPr>
                  <pic:blipFill>
                    <a:blip r:embed="rId14"/>
                    <a:stretch>
                      <a:fillRect/>
                    </a:stretch>
                  </pic:blipFill>
                  <pic:spPr>
                    <a:xfrm>
                      <a:off x="0" y="0"/>
                      <a:ext cx="5486400" cy="3857625"/>
                    </a:xfrm>
                    <a:prstGeom prst="rect">
                      <a:avLst/>
                    </a:prstGeom>
                  </pic:spPr>
                </pic:pic>
              </a:graphicData>
            </a:graphic>
          </wp:inline>
        </w:drawing>
      </w:r>
    </w:p>
    <w:p w14:paraId="4DAA113A" w14:textId="18F997EE" w:rsidR="009F0164" w:rsidRDefault="00686904" w:rsidP="004A42B5">
      <w:pPr>
        <w:pStyle w:val="FIG-LONG"/>
        <w:rPr>
          <w:lang w:val="en-US"/>
        </w:rPr>
      </w:pPr>
      <w:r w:rsidRPr="003C21B3">
        <w:rPr>
          <w:lang w:val="en-US"/>
        </w:rPr>
        <w:t xml:space="preserve">FIG </w:t>
      </w:r>
      <w:r w:rsidR="00AE030D" w:rsidRPr="003C21B3">
        <w:rPr>
          <w:lang w:val="en-US"/>
        </w:rPr>
        <w:t>2</w:t>
      </w:r>
      <w:r w:rsidR="009F0164" w:rsidRPr="003C21B3">
        <w:rPr>
          <w:lang w:val="en-US"/>
        </w:rPr>
        <w:t xml:space="preserve"> Neutron flux distribution</w:t>
      </w:r>
      <w:r w:rsidR="003159C5">
        <w:rPr>
          <w:lang w:val="en-US"/>
        </w:rPr>
        <w:t xml:space="preserve"> [#/cm</w:t>
      </w:r>
      <w:r w:rsidR="003159C5">
        <w:rPr>
          <w:vertAlign w:val="superscript"/>
          <w:lang w:val="en-US"/>
        </w:rPr>
        <w:t>2</w:t>
      </w:r>
      <w:r w:rsidR="003159C5">
        <w:rPr>
          <w:lang w:val="en-US"/>
        </w:rPr>
        <w:t>/source]</w:t>
      </w:r>
      <w:r w:rsidR="009F0164" w:rsidRPr="003C21B3">
        <w:rPr>
          <w:lang w:val="en-US"/>
        </w:rPr>
        <w:t xml:space="preserve"> in axial (left) and radial (right) directio</w:t>
      </w:r>
      <w:r w:rsidRPr="003C21B3">
        <w:rPr>
          <w:lang w:val="en-US"/>
        </w:rPr>
        <w:t>n</w:t>
      </w:r>
      <w:r w:rsidR="009F0164" w:rsidRPr="003C21B3">
        <w:rPr>
          <w:lang w:val="en-US"/>
        </w:rPr>
        <w:t>.</w:t>
      </w:r>
    </w:p>
    <w:p w14:paraId="14A1C608" w14:textId="01F416AA" w:rsidR="003C21B3" w:rsidRPr="003C21B3" w:rsidRDefault="003C21B3" w:rsidP="00C96C60">
      <w:pPr>
        <w:pStyle w:val="BodyText"/>
        <w:rPr>
          <w:lang w:val="en-US"/>
        </w:rPr>
      </w:pPr>
      <w:r w:rsidRPr="003C21B3">
        <w:rPr>
          <w:lang w:val="en-US"/>
        </w:rPr>
        <w:t>The relation between the dose rate limit and the</w:t>
      </w:r>
      <w:r>
        <w:rPr>
          <w:lang w:val="en-US"/>
        </w:rPr>
        <w:t xml:space="preserve"> secondary</w:t>
      </w:r>
      <w:r w:rsidRPr="003C21B3">
        <w:rPr>
          <w:lang w:val="en-US"/>
        </w:rPr>
        <w:t xml:space="preserve"> sodium activity limit depends on three factors: the sodium pipe thickness, the potential shield (concrete) thickness around the pipe, and the distance from the shield outer surface to the dose rate detecting region.</w:t>
      </w:r>
      <w:r w:rsidR="0042383B">
        <w:rPr>
          <w:lang w:val="en-US"/>
        </w:rPr>
        <w:t xml:space="preserve"> </w:t>
      </w:r>
      <w:r w:rsidRPr="003C21B3">
        <w:rPr>
          <w:lang w:val="en-US"/>
        </w:rPr>
        <w:t xml:space="preserve">A sensitivity study was performed to investigate this relation. </w:t>
      </w:r>
      <w:r w:rsidR="0042383B">
        <w:rPr>
          <w:lang w:val="en-US"/>
        </w:rPr>
        <w:t xml:space="preserve">The tentative dose rate limit at </w:t>
      </w:r>
      <w:r w:rsidR="000132C3">
        <w:rPr>
          <w:lang w:val="en-US"/>
        </w:rPr>
        <w:t>the pipe surface</w:t>
      </w:r>
      <w:r w:rsidR="0042383B">
        <w:rPr>
          <w:lang w:val="en-US"/>
        </w:rPr>
        <w:t xml:space="preserve"> was assumed to be 0.35 mrem/hr.</w:t>
      </w:r>
      <w:r w:rsidR="000132C3">
        <w:rPr>
          <w:lang w:val="en-US"/>
        </w:rPr>
        <w:t xml:space="preserve"> This was equivalent to a sodium activity limit of </w:t>
      </w:r>
      <w:r w:rsidR="000132C3">
        <w:rPr>
          <w:lang w:val="en-US"/>
        </w:rPr>
        <w:t xml:space="preserve">2E-4 </w:t>
      </w:r>
      <w:r w:rsidR="000132C3" w:rsidRPr="003C21B3">
        <w:rPr>
          <w:lang w:val="en-US"/>
        </w:rPr>
        <w:t>µCi/cm</w:t>
      </w:r>
      <w:r w:rsidR="000132C3" w:rsidRPr="003C21B3">
        <w:rPr>
          <w:vertAlign w:val="superscript"/>
          <w:lang w:val="en-US"/>
        </w:rPr>
        <w:t>3</w:t>
      </w:r>
      <w:r w:rsidR="000132C3">
        <w:rPr>
          <w:lang w:val="en-US"/>
        </w:rPr>
        <w:t xml:space="preserve"> based on the relation derived in the sensitivity study.</w:t>
      </w:r>
      <w:r w:rsidR="0042383B">
        <w:rPr>
          <w:lang w:val="en-US"/>
        </w:rPr>
        <w:t xml:space="preserve"> I</w:t>
      </w:r>
      <w:r w:rsidR="00C96C60">
        <w:t>t was found that no additional shield is required for the secondary loop outside the core.</w:t>
      </w:r>
    </w:p>
    <w:p w14:paraId="0A3AA45B" w14:textId="77550BF3" w:rsidR="00F86BEA" w:rsidRPr="003C21B3" w:rsidRDefault="00875686" w:rsidP="00C96C60">
      <w:pPr>
        <w:pStyle w:val="Heading2"/>
        <w:rPr>
          <w:lang w:val="en-US"/>
        </w:rPr>
      </w:pPr>
      <w:r w:rsidRPr="003C21B3">
        <w:rPr>
          <w:lang w:val="en-US"/>
        </w:rPr>
        <w:t>Air activation</w:t>
      </w:r>
    </w:p>
    <w:p w14:paraId="3282AAA1" w14:textId="75861D91" w:rsidR="00F86BEA" w:rsidRPr="003C21B3" w:rsidRDefault="00F86BEA" w:rsidP="00C96C60">
      <w:pPr>
        <w:pStyle w:val="BodyText"/>
        <w:rPr>
          <w:lang w:val="en-US"/>
        </w:rPr>
      </w:pPr>
      <w:r w:rsidRPr="003C21B3">
        <w:rPr>
          <w:lang w:val="en-US"/>
        </w:rPr>
        <w:t>The objective of th</w:t>
      </w:r>
      <w:r w:rsidR="00C96C60">
        <w:rPr>
          <w:lang w:val="en-US"/>
        </w:rPr>
        <w:t>e</w:t>
      </w:r>
      <w:r w:rsidRPr="003C21B3">
        <w:rPr>
          <w:lang w:val="en-US"/>
        </w:rPr>
        <w:t xml:space="preserve"> study is to </w:t>
      </w:r>
      <w:r w:rsidR="00C96C60">
        <w:rPr>
          <w:lang w:val="en-US"/>
        </w:rPr>
        <w:t>assess</w:t>
      </w:r>
      <w:r w:rsidRPr="003C21B3">
        <w:rPr>
          <w:lang w:val="en-US"/>
        </w:rPr>
        <w:t xml:space="preserve"> </w:t>
      </w:r>
      <w:r w:rsidR="00C96C60">
        <w:rPr>
          <w:lang w:val="en-US"/>
        </w:rPr>
        <w:t>t</w:t>
      </w:r>
      <w:r w:rsidRPr="003C21B3">
        <w:rPr>
          <w:lang w:val="en-US"/>
        </w:rPr>
        <w:t>he air activation inside the RVACS</w:t>
      </w:r>
      <w:r w:rsidR="00C96C60">
        <w:rPr>
          <w:lang w:val="en-US"/>
        </w:rPr>
        <w:t xml:space="preserve"> of the preliminary VTR design</w:t>
      </w:r>
      <w:r w:rsidRPr="003C21B3">
        <w:rPr>
          <w:lang w:val="en-US"/>
        </w:rPr>
        <w:t xml:space="preserve">. The Ar-41 activity is predicted to be </w:t>
      </w:r>
      <w:r w:rsidR="00A7350E">
        <w:rPr>
          <w:lang w:val="en-US"/>
        </w:rPr>
        <w:t>6.39</w:t>
      </w:r>
      <w:r w:rsidRPr="00C96C60">
        <w:rPr>
          <w:lang w:val="en-US"/>
        </w:rPr>
        <w:t>x10</w:t>
      </w:r>
      <w:r w:rsidRPr="00C96C60">
        <w:rPr>
          <w:vertAlign w:val="superscript"/>
          <w:lang w:val="en-US"/>
        </w:rPr>
        <w:t>-</w:t>
      </w:r>
      <w:r w:rsidR="00A7350E">
        <w:rPr>
          <w:vertAlign w:val="superscript"/>
          <w:lang w:val="en-US"/>
        </w:rPr>
        <w:t>8</w:t>
      </w:r>
      <w:r w:rsidRPr="00C96C60">
        <w:rPr>
          <w:lang w:val="en-US"/>
        </w:rPr>
        <w:t xml:space="preserve"> </w:t>
      </w:r>
      <w:r w:rsidR="00A7350E">
        <w:rPr>
          <w:lang w:val="en-US"/>
        </w:rPr>
        <w:t>µ</w:t>
      </w:r>
      <w:r w:rsidRPr="00C96C60">
        <w:rPr>
          <w:lang w:val="en-US"/>
        </w:rPr>
        <w:t>Ci/cm</w:t>
      </w:r>
      <w:r w:rsidRPr="00C96C60">
        <w:rPr>
          <w:vertAlign w:val="superscript"/>
          <w:lang w:val="en-US"/>
        </w:rPr>
        <w:t>3</w:t>
      </w:r>
      <w:r w:rsidRPr="003C21B3">
        <w:rPr>
          <w:lang w:val="en-US"/>
        </w:rPr>
        <w:t>.</w:t>
      </w:r>
      <w:r w:rsidR="00DA23C1">
        <w:rPr>
          <w:lang w:val="en-US"/>
        </w:rPr>
        <w:t xml:space="preserve"> Air from atmosphere enters the chimney from the top and flow to the bottom of the reactor vessel, where it is heated by the residue heat transferred from the core</w:t>
      </w:r>
      <w:r w:rsidRPr="003C21B3">
        <w:rPr>
          <w:lang w:val="en-US"/>
        </w:rPr>
        <w:t>.</w:t>
      </w:r>
      <w:r w:rsidR="00DA23C1">
        <w:rPr>
          <w:lang w:val="en-US"/>
        </w:rPr>
        <w:t xml:space="preserve"> The hot air rises to the top of the chimney and is released back to the atmosphere. The natural flow is driven by the reactor residue heat.</w:t>
      </w:r>
      <w:r w:rsidRPr="003C21B3">
        <w:rPr>
          <w:lang w:val="en-US"/>
        </w:rPr>
        <w:t xml:space="preserve"> The air pass near the reactor </w:t>
      </w:r>
      <w:r w:rsidR="00DA23C1">
        <w:rPr>
          <w:lang w:val="en-US"/>
        </w:rPr>
        <w:t>active core is</w:t>
      </w:r>
      <w:r w:rsidRPr="003C21B3">
        <w:rPr>
          <w:lang w:val="en-US"/>
        </w:rPr>
        <w:t xml:space="preserve"> irradiated</w:t>
      </w:r>
      <w:r w:rsidR="00DA23C1">
        <w:rPr>
          <w:lang w:val="en-US"/>
        </w:rPr>
        <w:t xml:space="preserve">. The small fraction of Ar-40 contained in the air is activated and becomes Ar-41 with a half-life of 109 mins. Once the air is </w:t>
      </w:r>
      <w:r w:rsidRPr="003C21B3">
        <w:rPr>
          <w:lang w:val="en-US"/>
        </w:rPr>
        <w:t>released to the environment</w:t>
      </w:r>
      <w:r w:rsidR="00DA23C1">
        <w:rPr>
          <w:lang w:val="en-US"/>
        </w:rPr>
        <w:t xml:space="preserve"> from the RVACS, this radioactive isotope is also released to the environme</w:t>
      </w:r>
      <w:r w:rsidR="00033B2D">
        <w:rPr>
          <w:lang w:val="en-US"/>
        </w:rPr>
        <w:t>nt</w:t>
      </w:r>
      <w:r w:rsidRPr="003C21B3">
        <w:rPr>
          <w:lang w:val="en-US"/>
        </w:rPr>
        <w:t xml:space="preserve">. The radioactive isotopes produced and carried along with the air depend on the air composition and the pollutants or particles carried in the air. The air composition used in the study is listed in Table </w:t>
      </w:r>
      <w:r w:rsidR="00E1174D">
        <w:rPr>
          <w:lang w:val="en-US"/>
        </w:rPr>
        <w:t>2</w:t>
      </w:r>
      <w:r w:rsidRPr="003C21B3">
        <w:rPr>
          <w:lang w:val="en-US"/>
        </w:rPr>
        <w:t>. The concentration of pollutants or particles would depend on the actual reactor site, which is unknow</w:t>
      </w:r>
      <w:r w:rsidR="00E1174D">
        <w:rPr>
          <w:lang w:val="en-US"/>
        </w:rPr>
        <w:t>n</w:t>
      </w:r>
      <w:r w:rsidRPr="003C21B3">
        <w:rPr>
          <w:lang w:val="en-US"/>
        </w:rPr>
        <w:t xml:space="preserve"> at this stage and is not included in the activation analysis.</w:t>
      </w:r>
    </w:p>
    <w:p w14:paraId="0193892C" w14:textId="77777777" w:rsidR="00F86BEA" w:rsidRPr="003C21B3" w:rsidRDefault="00F86BEA" w:rsidP="004A42B5">
      <w:pPr>
        <w:pStyle w:val="BodyText"/>
        <w:ind w:firstLine="0"/>
        <w:rPr>
          <w:lang w:val="en-US"/>
        </w:rPr>
      </w:pPr>
    </w:p>
    <w:p w14:paraId="69CF0810" w14:textId="77777777" w:rsidR="00E1174D" w:rsidRDefault="00E1174D" w:rsidP="00F86BEA">
      <w:pPr>
        <w:pStyle w:val="BodyText"/>
        <w:rPr>
          <w:lang w:val="en-US"/>
        </w:rPr>
      </w:pPr>
      <w:r>
        <w:rPr>
          <w:lang w:val="en-US"/>
        </w:rPr>
        <w:t>TABLE</w:t>
      </w:r>
      <w:r w:rsidR="00F86BEA" w:rsidRPr="003C21B3">
        <w:rPr>
          <w:lang w:val="en-US"/>
        </w:rPr>
        <w:t xml:space="preserve"> </w:t>
      </w:r>
      <w:r>
        <w:rPr>
          <w:lang w:val="en-US"/>
        </w:rPr>
        <w:t>2</w:t>
      </w:r>
      <w:r w:rsidR="00F86BEA" w:rsidRPr="003C21B3">
        <w:rPr>
          <w:lang w:val="en-US"/>
        </w:rPr>
        <w:t xml:space="preserve"> Air composition (density used is at 20℃ at atmosphere)</w:t>
      </w:r>
    </w:p>
    <w:tbl>
      <w:tblPr>
        <w:tblStyle w:val="TableGrid"/>
        <w:tblW w:w="0" w:type="auto"/>
        <w:tblInd w:w="2875" w:type="dxa"/>
        <w:tblLook w:val="04A0" w:firstRow="1" w:lastRow="0" w:firstColumn="1" w:lastColumn="0" w:noHBand="0" w:noVBand="1"/>
      </w:tblPr>
      <w:tblGrid>
        <w:gridCol w:w="1633"/>
        <w:gridCol w:w="1607"/>
      </w:tblGrid>
      <w:tr w:rsidR="00E1174D" w14:paraId="4E189F0A" w14:textId="77777777" w:rsidTr="00E1174D">
        <w:tc>
          <w:tcPr>
            <w:tcW w:w="1633" w:type="dxa"/>
          </w:tcPr>
          <w:p w14:paraId="48A0D392" w14:textId="4B9AC2C0" w:rsidR="00E1174D" w:rsidRDefault="00E1174D" w:rsidP="00F86BEA">
            <w:pPr>
              <w:pStyle w:val="BodyText"/>
              <w:ind w:firstLine="0"/>
              <w:rPr>
                <w:lang w:val="en-US"/>
              </w:rPr>
            </w:pPr>
            <w:r>
              <w:rPr>
                <w:lang w:val="en-US"/>
              </w:rPr>
              <w:t>Isotope</w:t>
            </w:r>
          </w:p>
        </w:tc>
        <w:tc>
          <w:tcPr>
            <w:tcW w:w="1607" w:type="dxa"/>
          </w:tcPr>
          <w:p w14:paraId="5CE16626" w14:textId="200B752A" w:rsidR="00E1174D" w:rsidRDefault="00E1174D" w:rsidP="00F86BEA">
            <w:pPr>
              <w:pStyle w:val="BodyText"/>
              <w:ind w:firstLine="0"/>
              <w:rPr>
                <w:lang w:val="en-US"/>
              </w:rPr>
            </w:pPr>
            <w:r>
              <w:rPr>
                <w:lang w:val="en-US"/>
              </w:rPr>
              <w:t>Atom %</w:t>
            </w:r>
          </w:p>
        </w:tc>
      </w:tr>
      <w:tr w:rsidR="00E1174D" w14:paraId="6126B26C" w14:textId="77777777" w:rsidTr="00E1174D">
        <w:tc>
          <w:tcPr>
            <w:tcW w:w="1633" w:type="dxa"/>
          </w:tcPr>
          <w:p w14:paraId="219A174E" w14:textId="1A4E3DED" w:rsidR="00E1174D" w:rsidRDefault="00E1174D" w:rsidP="00F86BEA">
            <w:pPr>
              <w:pStyle w:val="BodyText"/>
              <w:ind w:firstLine="0"/>
              <w:rPr>
                <w:lang w:val="en-US"/>
              </w:rPr>
            </w:pPr>
            <w:r>
              <w:rPr>
                <w:lang w:val="en-US"/>
              </w:rPr>
              <w:t>O-16</w:t>
            </w:r>
          </w:p>
        </w:tc>
        <w:tc>
          <w:tcPr>
            <w:tcW w:w="1607" w:type="dxa"/>
          </w:tcPr>
          <w:p w14:paraId="2F7CC88E" w14:textId="1F5F3838" w:rsidR="00E1174D" w:rsidRDefault="00E1174D" w:rsidP="00F86BEA">
            <w:pPr>
              <w:pStyle w:val="BodyText"/>
              <w:ind w:firstLine="0"/>
              <w:rPr>
                <w:lang w:val="en-US"/>
              </w:rPr>
            </w:pPr>
            <w:r>
              <w:rPr>
                <w:lang w:val="en-US"/>
              </w:rPr>
              <w:t>2.11E-01</w:t>
            </w:r>
          </w:p>
        </w:tc>
      </w:tr>
      <w:tr w:rsidR="00E1174D" w14:paraId="359F247B" w14:textId="77777777" w:rsidTr="00E1174D">
        <w:tc>
          <w:tcPr>
            <w:tcW w:w="1633" w:type="dxa"/>
          </w:tcPr>
          <w:p w14:paraId="2497B3F9" w14:textId="79E96E5D" w:rsidR="00E1174D" w:rsidRDefault="00E1174D" w:rsidP="00F86BEA">
            <w:pPr>
              <w:pStyle w:val="BodyText"/>
              <w:ind w:firstLine="0"/>
              <w:rPr>
                <w:lang w:val="en-US"/>
              </w:rPr>
            </w:pPr>
            <w:r>
              <w:rPr>
                <w:lang w:val="en-US"/>
              </w:rPr>
              <w:t>O-17</w:t>
            </w:r>
          </w:p>
        </w:tc>
        <w:tc>
          <w:tcPr>
            <w:tcW w:w="1607" w:type="dxa"/>
          </w:tcPr>
          <w:p w14:paraId="6AE03005" w14:textId="22FC8DF2" w:rsidR="00E1174D" w:rsidRDefault="00E1174D" w:rsidP="00F86BEA">
            <w:pPr>
              <w:pStyle w:val="BodyText"/>
              <w:ind w:firstLine="0"/>
              <w:rPr>
                <w:lang w:val="en-US"/>
              </w:rPr>
            </w:pPr>
            <w:r>
              <w:rPr>
                <w:lang w:val="en-US"/>
              </w:rPr>
              <w:t>8.02E-05</w:t>
            </w:r>
          </w:p>
        </w:tc>
      </w:tr>
      <w:tr w:rsidR="00E1174D" w14:paraId="024A3E5E" w14:textId="77777777" w:rsidTr="00E1174D">
        <w:tc>
          <w:tcPr>
            <w:tcW w:w="1633" w:type="dxa"/>
          </w:tcPr>
          <w:p w14:paraId="3547557B" w14:textId="3FAF4727" w:rsidR="00E1174D" w:rsidRDefault="00E1174D" w:rsidP="00F86BEA">
            <w:pPr>
              <w:pStyle w:val="BodyText"/>
              <w:ind w:firstLine="0"/>
              <w:rPr>
                <w:lang w:val="en-US"/>
              </w:rPr>
            </w:pPr>
            <w:r>
              <w:rPr>
                <w:lang w:val="en-US"/>
              </w:rPr>
              <w:t>N-14</w:t>
            </w:r>
          </w:p>
        </w:tc>
        <w:tc>
          <w:tcPr>
            <w:tcW w:w="1607" w:type="dxa"/>
          </w:tcPr>
          <w:p w14:paraId="0CA71E83" w14:textId="23CF0ABA" w:rsidR="00E1174D" w:rsidRDefault="00E1174D" w:rsidP="00F86BEA">
            <w:pPr>
              <w:pStyle w:val="BodyText"/>
              <w:ind w:firstLine="0"/>
              <w:rPr>
                <w:lang w:val="en-US"/>
              </w:rPr>
            </w:pPr>
            <w:r>
              <w:rPr>
                <w:lang w:val="en-US"/>
              </w:rPr>
              <w:t>7.81E-01</w:t>
            </w:r>
          </w:p>
        </w:tc>
      </w:tr>
      <w:tr w:rsidR="00E1174D" w14:paraId="6BE68ADB" w14:textId="77777777" w:rsidTr="00E1174D">
        <w:tc>
          <w:tcPr>
            <w:tcW w:w="1633" w:type="dxa"/>
          </w:tcPr>
          <w:p w14:paraId="75474728" w14:textId="13FAEB88" w:rsidR="00E1174D" w:rsidRDefault="00E1174D" w:rsidP="00F86BEA">
            <w:pPr>
              <w:pStyle w:val="BodyText"/>
              <w:ind w:firstLine="0"/>
              <w:rPr>
                <w:lang w:val="en-US"/>
              </w:rPr>
            </w:pPr>
            <w:r>
              <w:rPr>
                <w:lang w:val="en-US"/>
              </w:rPr>
              <w:t>N-15</w:t>
            </w:r>
          </w:p>
        </w:tc>
        <w:tc>
          <w:tcPr>
            <w:tcW w:w="1607" w:type="dxa"/>
          </w:tcPr>
          <w:p w14:paraId="4A81AD6A" w14:textId="5BF8703A" w:rsidR="00E1174D" w:rsidRDefault="00E1174D" w:rsidP="00F86BEA">
            <w:pPr>
              <w:pStyle w:val="BodyText"/>
              <w:ind w:firstLine="0"/>
              <w:rPr>
                <w:lang w:val="en-US"/>
              </w:rPr>
            </w:pPr>
            <w:r>
              <w:rPr>
                <w:lang w:val="en-US"/>
              </w:rPr>
              <w:t>2.89E-03</w:t>
            </w:r>
          </w:p>
        </w:tc>
      </w:tr>
      <w:tr w:rsidR="00E1174D" w14:paraId="0D0091B2" w14:textId="77777777" w:rsidTr="00E1174D">
        <w:tc>
          <w:tcPr>
            <w:tcW w:w="1633" w:type="dxa"/>
          </w:tcPr>
          <w:p w14:paraId="0669DB1D" w14:textId="6E1657C3" w:rsidR="00E1174D" w:rsidRDefault="00E1174D" w:rsidP="00F86BEA">
            <w:pPr>
              <w:pStyle w:val="BodyText"/>
              <w:ind w:firstLine="0"/>
              <w:rPr>
                <w:lang w:val="en-US"/>
              </w:rPr>
            </w:pPr>
            <w:r>
              <w:rPr>
                <w:lang w:val="en-US"/>
              </w:rPr>
              <w:t>Ar-40</w:t>
            </w:r>
          </w:p>
        </w:tc>
        <w:tc>
          <w:tcPr>
            <w:tcW w:w="1607" w:type="dxa"/>
          </w:tcPr>
          <w:p w14:paraId="26079C36" w14:textId="16F14A56" w:rsidR="00E1174D" w:rsidRDefault="00E1174D" w:rsidP="00F86BEA">
            <w:pPr>
              <w:pStyle w:val="BodyText"/>
              <w:ind w:firstLine="0"/>
              <w:rPr>
                <w:lang w:val="en-US"/>
              </w:rPr>
            </w:pPr>
            <w:r>
              <w:rPr>
                <w:lang w:val="en-US"/>
              </w:rPr>
              <w:t>4.65E-03</w:t>
            </w:r>
          </w:p>
        </w:tc>
      </w:tr>
      <w:tr w:rsidR="00E1174D" w14:paraId="4FD5870D" w14:textId="77777777" w:rsidTr="00E1174D">
        <w:tc>
          <w:tcPr>
            <w:tcW w:w="1633" w:type="dxa"/>
          </w:tcPr>
          <w:p w14:paraId="69E2177A" w14:textId="2A3F2838" w:rsidR="00E1174D" w:rsidRPr="00E1174D" w:rsidRDefault="00E1174D" w:rsidP="00F86BEA">
            <w:pPr>
              <w:pStyle w:val="BodyText"/>
              <w:ind w:firstLine="0"/>
              <w:rPr>
                <w:lang w:val="en-US"/>
              </w:rPr>
            </w:pPr>
            <w:r>
              <w:rPr>
                <w:lang w:val="en-US"/>
              </w:rPr>
              <w:t>Density [kg/m</w:t>
            </w:r>
            <w:r>
              <w:rPr>
                <w:vertAlign w:val="superscript"/>
                <w:lang w:val="en-US"/>
              </w:rPr>
              <w:t>3</w:t>
            </w:r>
            <w:r>
              <w:rPr>
                <w:lang w:val="en-US"/>
              </w:rPr>
              <w:t>]</w:t>
            </w:r>
          </w:p>
        </w:tc>
        <w:tc>
          <w:tcPr>
            <w:tcW w:w="1607" w:type="dxa"/>
          </w:tcPr>
          <w:p w14:paraId="21AB9DE8" w14:textId="5F1884A7" w:rsidR="00E1174D" w:rsidRDefault="00E1174D" w:rsidP="00F86BEA">
            <w:pPr>
              <w:pStyle w:val="BodyText"/>
              <w:ind w:firstLine="0"/>
              <w:rPr>
                <w:lang w:val="en-US"/>
              </w:rPr>
            </w:pPr>
            <w:r>
              <w:rPr>
                <w:lang w:val="en-US"/>
              </w:rPr>
              <w:t>1.22</w:t>
            </w:r>
          </w:p>
        </w:tc>
      </w:tr>
    </w:tbl>
    <w:p w14:paraId="28709F76" w14:textId="5142EF0E" w:rsidR="00F86BEA" w:rsidRPr="003C21B3" w:rsidRDefault="00F86BEA" w:rsidP="00E1174D">
      <w:pPr>
        <w:pStyle w:val="BodyText"/>
        <w:ind w:firstLine="0"/>
        <w:rPr>
          <w:lang w:val="en-US"/>
        </w:rPr>
      </w:pPr>
    </w:p>
    <w:p w14:paraId="655AFBEF" w14:textId="50C6C32A" w:rsidR="00F86BEA" w:rsidRPr="003C21B3" w:rsidRDefault="00DA23C1" w:rsidP="00E1174D">
      <w:pPr>
        <w:pStyle w:val="BodyText"/>
        <w:rPr>
          <w:szCs w:val="24"/>
          <w:lang w:val="en-US"/>
        </w:rPr>
      </w:pPr>
      <w:r>
        <w:rPr>
          <w:szCs w:val="24"/>
          <w:lang w:val="en-US"/>
        </w:rPr>
        <w:t xml:space="preserve">Similar to the secondary sodium case, </w:t>
      </w:r>
      <w:r w:rsidR="008B76D4">
        <w:rPr>
          <w:szCs w:val="24"/>
          <w:lang w:val="en-US"/>
        </w:rPr>
        <w:t xml:space="preserve">Eq. 2 </w:t>
      </w:r>
      <w:r>
        <w:rPr>
          <w:szCs w:val="24"/>
          <w:lang w:val="en-US"/>
        </w:rPr>
        <w:t>was</w:t>
      </w:r>
      <w:r w:rsidR="008B76D4">
        <w:rPr>
          <w:szCs w:val="24"/>
          <w:lang w:val="en-US"/>
        </w:rPr>
        <w:t xml:space="preserve"> solved to calculate the Ar-41 activity at the exist of the RVACS. </w:t>
      </w:r>
      <w:r>
        <w:rPr>
          <w:szCs w:val="24"/>
          <w:lang w:val="en-US"/>
        </w:rPr>
        <w:t xml:space="preserve">The only difference is that the air would not come back to the system, i.e., the system is not closed. </w:t>
      </w:r>
      <m:oMath>
        <m:r>
          <w:rPr>
            <w:rFonts w:ascii="Cambria Math" w:hAnsi="Cambria Math"/>
            <w:szCs w:val="24"/>
            <w:lang w:val="en-US"/>
          </w:rPr>
          <m:t>S</m:t>
        </m:r>
      </m:oMath>
      <w:r w:rsidR="00E1174D">
        <w:rPr>
          <w:szCs w:val="24"/>
          <w:lang w:val="en-US"/>
        </w:rPr>
        <w:t xml:space="preserve"> now</w:t>
      </w:r>
      <w:r w:rsidR="00F86BEA" w:rsidRPr="003C21B3">
        <w:rPr>
          <w:szCs w:val="24"/>
          <w:lang w:val="en-US"/>
        </w:rPr>
        <w:t xml:space="preserve"> is the production rate of Ar-41</w:t>
      </w:r>
      <w:r w:rsidR="00E1174D">
        <w:rPr>
          <w:szCs w:val="24"/>
          <w:lang w:val="en-US"/>
        </w:rPr>
        <w:t>,</w:t>
      </w:r>
      <w:r w:rsidR="00F86BEA" w:rsidRPr="003C21B3">
        <w:rPr>
          <w:szCs w:val="24"/>
          <w:lang w:val="en-US"/>
        </w:rPr>
        <w:t xml:space="preserve"> i.e., the Ar-40 capture reaction rate, and this is function of position along the flow path. It was assumed that this production only occurs from the bottom of the vessel to the top. Production in other areas</w:t>
      </w:r>
      <w:r w:rsidR="00E1174D">
        <w:rPr>
          <w:szCs w:val="24"/>
          <w:lang w:val="en-US"/>
        </w:rPr>
        <w:t xml:space="preserve"> (e.g., in the chimney)</w:t>
      </w:r>
      <w:r w:rsidR="00F86BEA" w:rsidRPr="003C21B3">
        <w:rPr>
          <w:szCs w:val="24"/>
          <w:lang w:val="en-US"/>
        </w:rPr>
        <w:t xml:space="preserve"> is deemed negligible due to their long distance from the neutron source.</w:t>
      </w:r>
    </w:p>
    <w:p w14:paraId="52F2120E" w14:textId="4A67E5B0" w:rsidR="00F86BEA" w:rsidRPr="003C21B3" w:rsidRDefault="00F86BEA" w:rsidP="00F86BEA">
      <w:pPr>
        <w:pStyle w:val="BodyText"/>
        <w:rPr>
          <w:szCs w:val="24"/>
          <w:lang w:val="en-US"/>
        </w:rPr>
      </w:pPr>
      <w:r w:rsidRPr="003C21B3">
        <w:rPr>
          <w:szCs w:val="24"/>
          <w:lang w:val="en-US"/>
        </w:rPr>
        <w:t>Applying the boundary condition (</w:t>
      </w:r>
      <w:r w:rsidR="006B2BF5">
        <w:rPr>
          <w:szCs w:val="24"/>
          <w:lang w:val="en-US"/>
        </w:rPr>
        <w:t>t = 0 corresponds to</w:t>
      </w:r>
      <w:r w:rsidRPr="003C21B3">
        <w:rPr>
          <w:szCs w:val="24"/>
          <w:lang w:val="en-US"/>
        </w:rPr>
        <w:t xml:space="preserve"> the entrance </w:t>
      </w:r>
      <w:r w:rsidR="006B2BF5">
        <w:rPr>
          <w:szCs w:val="24"/>
          <w:lang w:val="en-US"/>
        </w:rPr>
        <w:t>in</w:t>
      </w:r>
      <w:r w:rsidRPr="003C21B3">
        <w:rPr>
          <w:szCs w:val="24"/>
          <w:lang w:val="en-US"/>
        </w:rPr>
        <w:t>to the radiation zone), and solv</w:t>
      </w:r>
      <w:r w:rsidR="006B2BF5">
        <w:rPr>
          <w:szCs w:val="24"/>
          <w:lang w:val="en-US"/>
        </w:rPr>
        <w:t>ing</w:t>
      </w:r>
      <w:r w:rsidRPr="003C21B3">
        <w:rPr>
          <w:szCs w:val="24"/>
          <w:lang w:val="en-US"/>
        </w:rPr>
        <w:t xml:space="preserve"> the equation assuming the production rate is constant over the domain, then the result is</w:t>
      </w:r>
    </w:p>
    <w:p w14:paraId="2BAB78E1" w14:textId="77777777" w:rsidR="00F86BEA" w:rsidRPr="003C21B3" w:rsidRDefault="00F86BEA" w:rsidP="00F86BEA">
      <w:pPr>
        <w:pStyle w:val="BodyText"/>
        <w:rPr>
          <w:szCs w:val="24"/>
          <w:lang w:val="en-US"/>
        </w:rPr>
      </w:pPr>
    </w:p>
    <w:p w14:paraId="6C4928C0" w14:textId="77777777" w:rsidR="00F86BEA" w:rsidRPr="003C21B3" w:rsidRDefault="00F86BEA" w:rsidP="00F86BEA">
      <w:pPr>
        <w:pStyle w:val="BodyText"/>
        <w:rPr>
          <w:szCs w:val="24"/>
          <w:lang w:val="en-US"/>
        </w:rPr>
      </w:pPr>
      <m:oMathPara>
        <m:oMath>
          <m:r>
            <w:rPr>
              <w:rFonts w:ascii="Cambria Math" w:hAnsi="Cambria Math"/>
              <w:szCs w:val="24"/>
              <w:lang w:val="en-US"/>
            </w:rPr>
            <m:t>N(t)=</m:t>
          </m:r>
          <m:d>
            <m:dPr>
              <m:ctrlPr>
                <w:rPr>
                  <w:rFonts w:ascii="Cambria Math" w:hAnsi="Cambria Math"/>
                  <w:i/>
                  <w:szCs w:val="24"/>
                  <w:lang w:val="en-US"/>
                </w:rPr>
              </m:ctrlPr>
            </m:dPr>
            <m:e>
              <m:f>
                <m:fPr>
                  <m:ctrlPr>
                    <w:rPr>
                      <w:rFonts w:ascii="Cambria Math" w:hAnsi="Cambria Math"/>
                      <w:i/>
                      <w:szCs w:val="24"/>
                      <w:lang w:val="en-US"/>
                    </w:rPr>
                  </m:ctrlPr>
                </m:fPr>
                <m:num>
                  <m:r>
                    <w:rPr>
                      <w:rFonts w:ascii="Cambria Math" w:hAnsi="Cambria Math"/>
                      <w:szCs w:val="24"/>
                      <w:lang w:val="en-US"/>
                    </w:rPr>
                    <m:t>S</m:t>
                  </m:r>
                </m:num>
                <m:den>
                  <m:r>
                    <w:rPr>
                      <w:rFonts w:ascii="Cambria Math" w:hAnsi="Cambria Math"/>
                      <w:szCs w:val="24"/>
                      <w:lang w:val="en-US"/>
                    </w:rPr>
                    <m:t>λ</m:t>
                  </m:r>
                </m:den>
              </m:f>
            </m:e>
          </m:d>
          <m:r>
            <w:rPr>
              <w:rFonts w:ascii="Cambria Math" w:hAnsi="Cambria Math"/>
              <w:szCs w:val="24"/>
              <w:lang w:val="en-US"/>
            </w:rPr>
            <m:t>(1-</m:t>
          </m:r>
          <m:sSup>
            <m:sSupPr>
              <m:ctrlPr>
                <w:rPr>
                  <w:rFonts w:ascii="Cambria Math" w:hAnsi="Cambria Math"/>
                  <w:i/>
                  <w:szCs w:val="24"/>
                  <w:lang w:val="en-US"/>
                </w:rPr>
              </m:ctrlPr>
            </m:sSupPr>
            <m:e>
              <m:r>
                <w:rPr>
                  <w:rFonts w:ascii="Cambria Math" w:hAnsi="Cambria Math"/>
                  <w:szCs w:val="24"/>
                  <w:lang w:val="en-US"/>
                </w:rPr>
                <m:t>e</m:t>
              </m:r>
            </m:e>
            <m:sup>
              <m:r>
                <w:rPr>
                  <w:rFonts w:ascii="Cambria Math" w:hAnsi="Cambria Math"/>
                  <w:szCs w:val="24"/>
                  <w:lang w:val="en-US"/>
                </w:rPr>
                <m:t>-λt</m:t>
              </m:r>
            </m:sup>
          </m:sSup>
          <m:r>
            <w:rPr>
              <w:rFonts w:ascii="Cambria Math" w:hAnsi="Cambria Math"/>
              <w:szCs w:val="24"/>
              <w:lang w:val="en-US"/>
            </w:rPr>
            <m:t>),</m:t>
          </m:r>
        </m:oMath>
      </m:oMathPara>
    </w:p>
    <w:p w14:paraId="4DAD45DC" w14:textId="77777777" w:rsidR="00F86BEA" w:rsidRPr="003C21B3" w:rsidRDefault="00F86BEA" w:rsidP="00F86BEA">
      <w:pPr>
        <w:pStyle w:val="BodyText"/>
        <w:rPr>
          <w:szCs w:val="24"/>
          <w:lang w:val="en-US"/>
        </w:rPr>
      </w:pPr>
    </w:p>
    <w:p w14:paraId="0B5DE95C" w14:textId="77777777" w:rsidR="00F86BEA" w:rsidRPr="003C21B3" w:rsidRDefault="00F86BEA" w:rsidP="00F86BEA">
      <w:pPr>
        <w:pStyle w:val="BodyText"/>
        <w:rPr>
          <w:szCs w:val="24"/>
          <w:lang w:val="en-US"/>
        </w:rPr>
      </w:pPr>
      <w:r w:rsidRPr="003C21B3">
        <w:rPr>
          <w:szCs w:val="24"/>
          <w:lang w:val="en-US"/>
        </w:rPr>
        <w:t xml:space="preserve">where </w:t>
      </w:r>
      <m:oMath>
        <m:r>
          <w:rPr>
            <w:rFonts w:ascii="Cambria Math" w:hAnsi="Cambria Math"/>
            <w:szCs w:val="24"/>
            <w:lang w:val="en-US"/>
          </w:rPr>
          <m:t>t</m:t>
        </m:r>
      </m:oMath>
      <w:r w:rsidRPr="003C21B3">
        <w:rPr>
          <w:szCs w:val="24"/>
          <w:lang w:val="en-US"/>
        </w:rPr>
        <w:t xml:space="preserve"> is the time spent by air in the radiation zone (near the reactor), which is usually much smaller than Ar-41 half-life, so at the exit of the radiation zone</w:t>
      </w:r>
    </w:p>
    <w:p w14:paraId="2CCE1922" w14:textId="77777777" w:rsidR="00F86BEA" w:rsidRPr="003C21B3" w:rsidRDefault="00F86BEA" w:rsidP="00F86BEA">
      <w:pPr>
        <w:pStyle w:val="BodyText"/>
        <w:rPr>
          <w:szCs w:val="24"/>
          <w:lang w:val="en-US"/>
        </w:rPr>
      </w:pPr>
    </w:p>
    <w:p w14:paraId="79A6F55B" w14:textId="453F2912" w:rsidR="00F86BEA" w:rsidRPr="003C21B3" w:rsidRDefault="00F86BEA" w:rsidP="00F86BEA">
      <w:pPr>
        <w:pStyle w:val="BodyText"/>
        <w:rPr>
          <w:szCs w:val="24"/>
          <w:lang w:val="en-US"/>
        </w:rPr>
      </w:pPr>
      <m:oMathPara>
        <m:oMath>
          <m:r>
            <w:rPr>
              <w:rFonts w:ascii="Cambria Math" w:hAnsi="Cambria Math"/>
              <w:szCs w:val="24"/>
              <w:lang w:val="en-US"/>
            </w:rPr>
            <m:t>N≈St.</m:t>
          </m:r>
        </m:oMath>
      </m:oMathPara>
    </w:p>
    <w:p w14:paraId="151F9341" w14:textId="77777777" w:rsidR="00F86BEA" w:rsidRPr="003C21B3" w:rsidRDefault="00F86BEA" w:rsidP="00F86BEA">
      <w:pPr>
        <w:pStyle w:val="BodyText"/>
        <w:rPr>
          <w:szCs w:val="24"/>
          <w:lang w:val="en-US"/>
        </w:rPr>
      </w:pPr>
    </w:p>
    <w:p w14:paraId="7AB1BB0C" w14:textId="3883ADE5" w:rsidR="00F86BEA" w:rsidRPr="003C21B3" w:rsidRDefault="00F86BEA" w:rsidP="00F86BEA">
      <w:pPr>
        <w:pStyle w:val="BodyText"/>
        <w:rPr>
          <w:szCs w:val="24"/>
          <w:lang w:val="en-US"/>
        </w:rPr>
      </w:pPr>
      <w:r w:rsidRPr="003C21B3">
        <w:rPr>
          <w:szCs w:val="24"/>
          <w:lang w:val="en-US"/>
        </w:rPr>
        <w:t>It is recognized that the production rate will vary at different positions along the air flow path</w:t>
      </w:r>
      <w:r w:rsidR="001023A7">
        <w:rPr>
          <w:szCs w:val="24"/>
          <w:lang w:val="en-US"/>
        </w:rPr>
        <w:t>.</w:t>
      </w:r>
      <w:r w:rsidRPr="003C21B3">
        <w:rPr>
          <w:szCs w:val="24"/>
          <w:lang w:val="en-US"/>
        </w:rPr>
        <w:t xml:space="preserve"> </w:t>
      </w:r>
      <w:r w:rsidR="001023A7">
        <w:rPr>
          <w:szCs w:val="24"/>
          <w:lang w:val="en-US"/>
        </w:rPr>
        <w:t>This</w:t>
      </w:r>
      <w:r w:rsidRPr="003C21B3">
        <w:rPr>
          <w:szCs w:val="24"/>
          <w:lang w:val="en-US"/>
        </w:rPr>
        <w:t xml:space="preserve"> </w:t>
      </w:r>
      <w:r w:rsidR="001023A7">
        <w:rPr>
          <w:szCs w:val="24"/>
          <w:lang w:val="en-US"/>
        </w:rPr>
        <w:t>was</w:t>
      </w:r>
      <w:r w:rsidRPr="003C21B3">
        <w:rPr>
          <w:szCs w:val="24"/>
          <w:lang w:val="en-US"/>
        </w:rPr>
        <w:t xml:space="preserve"> not considered in the current analysis. </w:t>
      </w:r>
      <w:r w:rsidR="001023A7" w:rsidRPr="003C21B3">
        <w:rPr>
          <w:szCs w:val="24"/>
          <w:lang w:val="en-US"/>
        </w:rPr>
        <w:t xml:space="preserve">It should </w:t>
      </w:r>
      <w:r w:rsidR="001023A7">
        <w:rPr>
          <w:szCs w:val="24"/>
          <w:lang w:val="en-US"/>
        </w:rPr>
        <w:t xml:space="preserve">also </w:t>
      </w:r>
      <w:r w:rsidR="001023A7" w:rsidRPr="003C21B3">
        <w:rPr>
          <w:szCs w:val="24"/>
          <w:lang w:val="en-US"/>
        </w:rPr>
        <w:t>be noted that in practice, the air density would also be changing with temperature and pressure.</w:t>
      </w:r>
      <w:r w:rsidR="001023A7">
        <w:rPr>
          <w:szCs w:val="24"/>
          <w:lang w:val="en-US"/>
        </w:rPr>
        <w:t xml:space="preserve"> More sophisticated model would be required instead of the simple Eq. 2.</w:t>
      </w:r>
      <w:r w:rsidR="00B5615E">
        <w:rPr>
          <w:szCs w:val="24"/>
          <w:lang w:val="en-US"/>
        </w:rPr>
        <w:t xml:space="preserve"> The calculation shows that the Ar-41 activity is </w:t>
      </w:r>
      <w:r w:rsidR="00945675">
        <w:rPr>
          <w:szCs w:val="24"/>
          <w:lang w:val="en-US"/>
        </w:rPr>
        <w:t>on the same order as</w:t>
      </w:r>
      <w:r w:rsidR="00B5615E">
        <w:rPr>
          <w:szCs w:val="24"/>
          <w:lang w:val="en-US"/>
        </w:rPr>
        <w:t xml:space="preserve"> the limit</w:t>
      </w:r>
      <w:r w:rsidR="00A7350E">
        <w:rPr>
          <w:szCs w:val="24"/>
          <w:lang w:val="en-US"/>
        </w:rPr>
        <w:t xml:space="preserve"> (1E-8 µCi/cm</w:t>
      </w:r>
      <w:r w:rsidR="00A7350E">
        <w:rPr>
          <w:szCs w:val="24"/>
          <w:vertAlign w:val="superscript"/>
          <w:lang w:val="en-US"/>
        </w:rPr>
        <w:t>3</w:t>
      </w:r>
      <w:r w:rsidR="00A7350E">
        <w:rPr>
          <w:szCs w:val="24"/>
          <w:lang w:val="en-US"/>
        </w:rPr>
        <w:t>)</w:t>
      </w:r>
      <w:r w:rsidR="009D6CFB">
        <w:rPr>
          <w:szCs w:val="24"/>
          <w:lang w:val="en-US"/>
        </w:rPr>
        <w:t xml:space="preserve"> [</w:t>
      </w:r>
      <w:r w:rsidR="002940CB">
        <w:rPr>
          <w:szCs w:val="24"/>
          <w:lang w:val="en-US"/>
        </w:rPr>
        <w:t>4</w:t>
      </w:r>
      <w:r w:rsidR="009D6CFB">
        <w:rPr>
          <w:szCs w:val="24"/>
          <w:lang w:val="en-US"/>
        </w:rPr>
        <w:t>]</w:t>
      </w:r>
      <w:r w:rsidR="00B5615E">
        <w:rPr>
          <w:szCs w:val="24"/>
          <w:lang w:val="en-US"/>
        </w:rPr>
        <w:t>. More detailed design information would be needed to reduce the uncertainties associated with the model.</w:t>
      </w:r>
    </w:p>
    <w:p w14:paraId="433FE05B" w14:textId="5DBBC3D0" w:rsidR="00E20E70" w:rsidRPr="003C21B3" w:rsidRDefault="00875686" w:rsidP="00537496">
      <w:pPr>
        <w:pStyle w:val="Heading2"/>
        <w:rPr>
          <w:lang w:val="en-US"/>
        </w:rPr>
      </w:pPr>
      <w:r w:rsidRPr="003C21B3">
        <w:rPr>
          <w:lang w:val="en-US"/>
        </w:rPr>
        <w:t>Head access area dose rate</w:t>
      </w:r>
    </w:p>
    <w:p w14:paraId="37F044F1" w14:textId="3FBA1E8D" w:rsidR="00F86BEA" w:rsidRPr="003C21B3" w:rsidRDefault="00F86BEA" w:rsidP="00F86BEA">
      <w:pPr>
        <w:pStyle w:val="BodyText"/>
        <w:rPr>
          <w:lang w:val="en-US"/>
        </w:rPr>
      </w:pPr>
      <w:r w:rsidRPr="003C21B3">
        <w:rPr>
          <w:lang w:val="en-US"/>
        </w:rPr>
        <w:t xml:space="preserve">The objective is to evaluate the dose rate above </w:t>
      </w:r>
      <w:r w:rsidR="000135E9">
        <w:rPr>
          <w:lang w:val="en-US"/>
        </w:rPr>
        <w:t>the HAA</w:t>
      </w:r>
      <w:r w:rsidR="005B16D3">
        <w:rPr>
          <w:lang w:val="en-US"/>
        </w:rPr>
        <w:t xml:space="preserve"> and the operating floor adjacent to the HAA</w:t>
      </w:r>
      <w:r w:rsidRPr="003C21B3">
        <w:rPr>
          <w:lang w:val="en-US"/>
        </w:rPr>
        <w:t>. The MCNP</w:t>
      </w:r>
      <w:r w:rsidR="000135E9">
        <w:rPr>
          <w:lang w:val="en-US"/>
        </w:rPr>
        <w:t>6.2</w:t>
      </w:r>
      <w:r w:rsidRPr="003C21B3">
        <w:rPr>
          <w:lang w:val="en-US"/>
        </w:rPr>
        <w:t xml:space="preserve"> model </w:t>
      </w:r>
      <w:r w:rsidR="000135E9">
        <w:rPr>
          <w:lang w:val="en-US"/>
        </w:rPr>
        <w:t>developed</w:t>
      </w:r>
      <w:r w:rsidRPr="003C21B3">
        <w:rPr>
          <w:lang w:val="en-US"/>
        </w:rPr>
        <w:t xml:space="preserve"> for the IHX secondary sodium activation analysis </w:t>
      </w:r>
      <w:r w:rsidR="000135E9">
        <w:rPr>
          <w:lang w:val="en-US"/>
        </w:rPr>
        <w:t xml:space="preserve">and the RVACS air activation analysis </w:t>
      </w:r>
      <w:r w:rsidRPr="003C21B3">
        <w:rPr>
          <w:lang w:val="en-US"/>
        </w:rPr>
        <w:t>was expanded to include additional features deemed important to this problem. The calculation procedure has two steps. The first step evaluates the primary sodium activation, which is the major source contributing to the dose rate above the operating floor</w:t>
      </w:r>
      <w:r w:rsidR="000135E9">
        <w:rPr>
          <w:lang w:val="en-US"/>
        </w:rPr>
        <w:t xml:space="preserve"> and the HAA</w:t>
      </w:r>
      <w:r w:rsidRPr="003C21B3">
        <w:rPr>
          <w:lang w:val="en-US"/>
        </w:rPr>
        <w:t xml:space="preserve">. The second step used the calculated photon source for a fixed source calculation to evaluate the dose rate above the operating floor. </w:t>
      </w:r>
    </w:p>
    <w:p w14:paraId="45BB25C8" w14:textId="279D38D5" w:rsidR="00F86BEA" w:rsidRPr="003C21B3" w:rsidRDefault="00F86BEA" w:rsidP="00F86BEA">
      <w:pPr>
        <w:pStyle w:val="BodyText"/>
        <w:rPr>
          <w:lang w:val="en-US"/>
        </w:rPr>
      </w:pPr>
      <w:r w:rsidRPr="003C21B3">
        <w:rPr>
          <w:lang w:val="en-US"/>
        </w:rPr>
        <w:t>The Na-23 capture, (</w:t>
      </w:r>
      <w:proofErr w:type="spellStart"/>
      <w:proofErr w:type="gramStart"/>
      <w:r w:rsidRPr="003C21B3">
        <w:rPr>
          <w:lang w:val="en-US"/>
        </w:rPr>
        <w:t>n,p</w:t>
      </w:r>
      <w:proofErr w:type="spellEnd"/>
      <w:proofErr w:type="gramEnd"/>
      <w:r w:rsidRPr="003C21B3">
        <w:rPr>
          <w:lang w:val="en-US"/>
        </w:rPr>
        <w:t>) and (n,2n) rate were evaluated by MCNP</w:t>
      </w:r>
      <w:r w:rsidR="00DE2BB6">
        <w:rPr>
          <w:lang w:val="en-US"/>
        </w:rPr>
        <w:t>6.2</w:t>
      </w:r>
      <w:r w:rsidRPr="003C21B3">
        <w:rPr>
          <w:lang w:val="en-US"/>
        </w:rPr>
        <w:t xml:space="preserve"> for hot and cold pool, and the core region. It was observed that the capture rate is </w:t>
      </w:r>
      <w:r w:rsidR="00DE2BB6">
        <w:rPr>
          <w:lang w:val="en-US"/>
        </w:rPr>
        <w:t>several orders of magnitude larger than the (</w:t>
      </w:r>
      <w:proofErr w:type="gramStart"/>
      <w:r w:rsidR="00DE2BB6">
        <w:rPr>
          <w:lang w:val="en-US"/>
        </w:rPr>
        <w:t>n,p</w:t>
      </w:r>
      <w:proofErr w:type="gramEnd"/>
      <w:r w:rsidR="00DE2BB6">
        <w:rPr>
          <w:lang w:val="en-US"/>
        </w:rPr>
        <w:t>) and (n,2n) reaction</w:t>
      </w:r>
      <w:r w:rsidRPr="003C21B3">
        <w:rPr>
          <w:lang w:val="en-US"/>
        </w:rPr>
        <w:t>, i.e., the Na-24 decay is the major contributor to photon emission</w:t>
      </w:r>
      <w:r w:rsidR="00DE2BB6">
        <w:rPr>
          <w:lang w:val="en-US"/>
        </w:rPr>
        <w:t xml:space="preserve"> during normal reactor operation</w:t>
      </w:r>
      <w:r w:rsidRPr="003C21B3">
        <w:rPr>
          <w:lang w:val="en-US"/>
        </w:rPr>
        <w:t>. This source is</w:t>
      </w:r>
      <w:r w:rsidR="00DE2BB6">
        <w:rPr>
          <w:lang w:val="en-US"/>
        </w:rPr>
        <w:t xml:space="preserve"> assumed to be</w:t>
      </w:r>
      <w:r w:rsidRPr="003C21B3">
        <w:rPr>
          <w:lang w:val="en-US"/>
        </w:rPr>
        <w:t xml:space="preserve"> uniformly distributed in the core, the hot and cold pool. The specific activity of Na-24 was calculated</w:t>
      </w:r>
      <w:r w:rsidR="00DE2BB6">
        <w:rPr>
          <w:lang w:val="en-US"/>
        </w:rPr>
        <w:t xml:space="preserve"> based on the total reaction rate and the sodium volume</w:t>
      </w:r>
      <w:r w:rsidR="00C65E8B">
        <w:rPr>
          <w:lang w:val="en-US"/>
        </w:rPr>
        <w:t>.</w:t>
      </w:r>
      <w:r w:rsidR="00DE2BB6">
        <w:rPr>
          <w:lang w:val="en-US"/>
        </w:rPr>
        <w:t xml:space="preserve"> </w:t>
      </w:r>
    </w:p>
    <w:p w14:paraId="5A4C1A13" w14:textId="66FE4670" w:rsidR="00F86BEA" w:rsidRPr="003C21B3" w:rsidRDefault="00F86BEA" w:rsidP="00DE2BB6">
      <w:pPr>
        <w:pStyle w:val="BodyText"/>
        <w:rPr>
          <w:lang w:val="en-US"/>
        </w:rPr>
      </w:pPr>
      <w:r w:rsidRPr="003C21B3">
        <w:rPr>
          <w:lang w:val="en-US"/>
        </w:rPr>
        <w:t xml:space="preserve">Based on the </w:t>
      </w:r>
      <w:r w:rsidR="00DE2BB6">
        <w:rPr>
          <w:lang w:val="en-US"/>
        </w:rPr>
        <w:t>photon source obtained from the first step</w:t>
      </w:r>
      <w:r w:rsidRPr="003C21B3">
        <w:rPr>
          <w:lang w:val="en-US"/>
        </w:rPr>
        <w:t xml:space="preserve"> calculation, the photon transport calculation was </w:t>
      </w:r>
      <w:r w:rsidR="00DE2BB6">
        <w:rPr>
          <w:lang w:val="en-US"/>
        </w:rPr>
        <w:t>conducted</w:t>
      </w:r>
      <w:r w:rsidRPr="003C21B3">
        <w:rPr>
          <w:lang w:val="en-US"/>
        </w:rPr>
        <w:t xml:space="preserve"> with MCNP6.2. Several cases were calculated with results listed in Table </w:t>
      </w:r>
      <w:r w:rsidR="00B5615E">
        <w:rPr>
          <w:lang w:val="en-US"/>
        </w:rPr>
        <w:t>3</w:t>
      </w:r>
      <w:r w:rsidRPr="003C21B3">
        <w:rPr>
          <w:lang w:val="en-US"/>
        </w:rPr>
        <w:t>.</w:t>
      </w:r>
      <w:r w:rsidR="005B16D3">
        <w:rPr>
          <w:lang w:val="en-US"/>
        </w:rPr>
        <w:t xml:space="preserve"> </w:t>
      </w:r>
      <w:r w:rsidR="00095B56">
        <w:rPr>
          <w:lang w:val="en-US"/>
        </w:rPr>
        <w:t xml:space="preserve">Case 3 – 8 were based on Case 1 assuming no pump closure. </w:t>
      </w:r>
      <w:r w:rsidR="005B16D3">
        <w:rPr>
          <w:lang w:val="en-US"/>
        </w:rPr>
        <w:t xml:space="preserve">The dose rate above the HAA </w:t>
      </w:r>
      <w:r w:rsidR="00DD4224">
        <w:rPr>
          <w:lang w:val="en-US"/>
        </w:rPr>
        <w:t>and the operating floor were investigated separately as different weight windows were needed for all the different cases</w:t>
      </w:r>
      <w:r w:rsidR="005B16D3">
        <w:rPr>
          <w:lang w:val="en-US"/>
        </w:rPr>
        <w:t>.</w:t>
      </w:r>
      <w:r w:rsidR="00AB2175">
        <w:rPr>
          <w:lang w:val="en-US"/>
        </w:rPr>
        <w:t xml:space="preserve"> The statistical error of all the MCNP6.2 calculations was maintained to be lower than 10%.</w:t>
      </w:r>
      <w:r w:rsidRPr="003C21B3">
        <w:rPr>
          <w:lang w:val="en-US"/>
        </w:rPr>
        <w:t xml:space="preserve"> </w:t>
      </w:r>
      <w:r w:rsidR="005B16D3">
        <w:rPr>
          <w:lang w:val="en-US"/>
        </w:rPr>
        <w:t>S</w:t>
      </w:r>
      <w:r w:rsidRPr="003C21B3">
        <w:rPr>
          <w:lang w:val="en-US"/>
        </w:rPr>
        <w:t>everal things</w:t>
      </w:r>
      <w:r w:rsidR="005B16D3">
        <w:rPr>
          <w:lang w:val="en-US"/>
        </w:rPr>
        <w:t xml:space="preserve"> were observed</w:t>
      </w:r>
      <w:r w:rsidRPr="003C21B3">
        <w:rPr>
          <w:lang w:val="en-US"/>
        </w:rPr>
        <w:t xml:space="preserve"> based on th</w:t>
      </w:r>
      <w:r w:rsidR="005B16D3">
        <w:rPr>
          <w:lang w:val="en-US"/>
        </w:rPr>
        <w:t>is sequence of</w:t>
      </w:r>
      <w:r w:rsidRPr="003C21B3">
        <w:rPr>
          <w:lang w:val="en-US"/>
        </w:rPr>
        <w:t xml:space="preserve"> analys</w:t>
      </w:r>
      <w:r w:rsidR="005B16D3">
        <w:rPr>
          <w:lang w:val="en-US"/>
        </w:rPr>
        <w:t>e</w:t>
      </w:r>
      <w:r w:rsidRPr="003C21B3">
        <w:rPr>
          <w:lang w:val="en-US"/>
        </w:rPr>
        <w:t>s:</w:t>
      </w:r>
    </w:p>
    <w:p w14:paraId="349122F2" w14:textId="02181F11" w:rsidR="00F86BEA" w:rsidRPr="003C21B3" w:rsidRDefault="00F86BEA" w:rsidP="00DE2BB6">
      <w:pPr>
        <w:pStyle w:val="ListEmdash"/>
        <w:rPr>
          <w:lang w:val="en-US"/>
        </w:rPr>
      </w:pPr>
      <w:r w:rsidRPr="003C21B3">
        <w:rPr>
          <w:lang w:val="en-US"/>
        </w:rPr>
        <w:t>The streaming paths through the pump</w:t>
      </w:r>
      <w:r w:rsidR="00906224">
        <w:rPr>
          <w:lang w:val="en-US"/>
        </w:rPr>
        <w:t xml:space="preserve"> and IHX openings</w:t>
      </w:r>
      <w:r w:rsidRPr="003C21B3">
        <w:rPr>
          <w:lang w:val="en-US"/>
        </w:rPr>
        <w:t xml:space="preserve"> are important</w:t>
      </w:r>
      <w:r w:rsidR="00906224">
        <w:rPr>
          <w:lang w:val="en-US"/>
        </w:rPr>
        <w:t xml:space="preserve"> above the HAA as illustrated in Fig. 3</w:t>
      </w:r>
      <w:r w:rsidRPr="003C21B3">
        <w:rPr>
          <w:lang w:val="en-US"/>
        </w:rPr>
        <w:t>.</w:t>
      </w:r>
      <w:r w:rsidR="005B16D3">
        <w:rPr>
          <w:lang w:val="en-US"/>
        </w:rPr>
        <w:t xml:space="preserve"> Pump closures and flanges serve the purpose of blocking the streaming path through the pump as shown in Table </w:t>
      </w:r>
      <w:r w:rsidR="00C05A85">
        <w:rPr>
          <w:lang w:val="en-US"/>
        </w:rPr>
        <w:t>3</w:t>
      </w:r>
      <w:r w:rsidR="005B16D3">
        <w:rPr>
          <w:lang w:val="en-US"/>
        </w:rPr>
        <w:t>.</w:t>
      </w:r>
      <w:r w:rsidRPr="003C21B3">
        <w:rPr>
          <w:lang w:val="en-US"/>
        </w:rPr>
        <w:t xml:space="preserve"> </w:t>
      </w:r>
      <w:r w:rsidR="00DD4224" w:rsidRPr="003C21B3">
        <w:rPr>
          <w:lang w:val="en-US"/>
        </w:rPr>
        <w:t>The dose rate near the IHX penetration is also around 1000 mrem/hr.</w:t>
      </w:r>
      <w:r w:rsidR="00DD4224">
        <w:rPr>
          <w:lang w:val="en-US"/>
        </w:rPr>
        <w:t xml:space="preserve"> </w:t>
      </w:r>
      <w:r w:rsidR="005B16D3">
        <w:rPr>
          <w:lang w:val="en-US"/>
        </w:rPr>
        <w:t>Additional 10 – 20 cm steel shield would be needed around the IHX</w:t>
      </w:r>
      <w:r w:rsidR="00AB2175">
        <w:rPr>
          <w:lang w:val="en-US"/>
        </w:rPr>
        <w:t xml:space="preserve"> penetrations</w:t>
      </w:r>
      <w:r w:rsidR="005B16D3">
        <w:rPr>
          <w:lang w:val="en-US"/>
        </w:rPr>
        <w:t xml:space="preserve"> to block these streaming paths depending on the radiation zone classification. Thus, the next round shielding analysis and reactor design iterations are needed to examine these streaming paths.</w:t>
      </w:r>
    </w:p>
    <w:p w14:paraId="0D12BEAE" w14:textId="18C04970" w:rsidR="00F86BEA" w:rsidRPr="003C21B3" w:rsidRDefault="00F86BEA" w:rsidP="00DE2BB6">
      <w:pPr>
        <w:pStyle w:val="ListEmdash"/>
        <w:rPr>
          <w:lang w:val="en-US"/>
        </w:rPr>
      </w:pPr>
      <w:r w:rsidRPr="003C21B3">
        <w:rPr>
          <w:lang w:val="en-US"/>
        </w:rPr>
        <w:t>By comparing Case 3 and 4, we observe</w:t>
      </w:r>
      <w:r w:rsidR="00AB2175">
        <w:rPr>
          <w:lang w:val="en-US"/>
        </w:rPr>
        <w:t>d</w:t>
      </w:r>
      <w:r w:rsidRPr="003C21B3">
        <w:rPr>
          <w:lang w:val="en-US"/>
        </w:rPr>
        <w:t xml:space="preserve"> that the density of the concrete is not an important factor since the major photon streaming path is through the 3-in</w:t>
      </w:r>
      <w:r w:rsidR="00DD4224">
        <w:rPr>
          <w:lang w:val="en-US"/>
        </w:rPr>
        <w:t>ch-</w:t>
      </w:r>
      <w:r w:rsidRPr="003C21B3">
        <w:rPr>
          <w:lang w:val="en-US"/>
        </w:rPr>
        <w:t xml:space="preserve">thick gap between the </w:t>
      </w:r>
      <w:r w:rsidR="00F22BBE">
        <w:rPr>
          <w:lang w:val="en-US"/>
        </w:rPr>
        <w:t>HAA</w:t>
      </w:r>
      <w:r w:rsidRPr="003C21B3">
        <w:rPr>
          <w:lang w:val="en-US"/>
        </w:rPr>
        <w:t xml:space="preserve"> deck and the operating floor as illustrated in </w:t>
      </w:r>
      <w:r w:rsidR="00AB2175">
        <w:rPr>
          <w:lang w:val="en-US"/>
        </w:rPr>
        <w:t>Fig. 4.</w:t>
      </w:r>
      <w:r w:rsidR="00DD4224">
        <w:rPr>
          <w:lang w:val="en-US"/>
        </w:rPr>
        <w:t xml:space="preserve"> The 3-inch-thick gap was reserved to accommodate potential thermal expansion. </w:t>
      </w:r>
      <w:r w:rsidRPr="003C21B3">
        <w:rPr>
          <w:lang w:val="en-US"/>
        </w:rPr>
        <w:t>The maximum dose rate took place directly above the gap is around 80000 mrem/hr.</w:t>
      </w:r>
      <w:r w:rsidR="00DD4224">
        <w:rPr>
          <w:lang w:val="en-US"/>
        </w:rPr>
        <w:t xml:space="preserve"> This means additional iterations between shielding analysis and reactor design would be needed. </w:t>
      </w:r>
      <w:r w:rsidR="009A651B" w:rsidRPr="003C21B3">
        <w:rPr>
          <w:lang w:val="en-US"/>
        </w:rPr>
        <w:t xml:space="preserve">By filling in </w:t>
      </w:r>
      <w:r w:rsidR="009A651B" w:rsidRPr="003C21B3">
        <w:rPr>
          <w:lang w:val="en-US"/>
        </w:rPr>
        <w:lastRenderedPageBreak/>
        <w:t xml:space="preserve">the gap (Case 5 – </w:t>
      </w:r>
      <w:r w:rsidR="009A651B">
        <w:rPr>
          <w:lang w:val="en-US"/>
        </w:rPr>
        <w:t>6</w:t>
      </w:r>
      <w:r w:rsidR="009A651B" w:rsidRPr="003C21B3">
        <w:rPr>
          <w:lang w:val="en-US"/>
        </w:rPr>
        <w:t>), the dose rate on the operation floor is significantly reduced. Fi</w:t>
      </w:r>
      <w:r w:rsidR="009A651B">
        <w:rPr>
          <w:lang w:val="en-US"/>
        </w:rPr>
        <w:t>g. 4</w:t>
      </w:r>
      <w:r w:rsidR="009A651B" w:rsidRPr="003C21B3">
        <w:rPr>
          <w:lang w:val="en-US"/>
        </w:rPr>
        <w:t xml:space="preserve"> compare</w:t>
      </w:r>
      <w:r w:rsidR="009A651B">
        <w:rPr>
          <w:lang w:val="en-US"/>
        </w:rPr>
        <w:t>s</w:t>
      </w:r>
      <w:r w:rsidR="009A651B" w:rsidRPr="003C21B3">
        <w:rPr>
          <w:lang w:val="en-US"/>
        </w:rPr>
        <w:t xml:space="preserve"> the dose rate distribution </w:t>
      </w:r>
      <w:r w:rsidR="009A651B">
        <w:rPr>
          <w:lang w:val="en-US"/>
        </w:rPr>
        <w:t>above the reactor head and the operating floor</w:t>
      </w:r>
      <w:r w:rsidR="009A651B" w:rsidRPr="003C21B3">
        <w:rPr>
          <w:lang w:val="en-US"/>
        </w:rPr>
        <w:t>. Both indicate that the major contribution to the dose rate is from the photons streaming through the gap</w:t>
      </w:r>
      <w:r w:rsidR="009A651B">
        <w:rPr>
          <w:lang w:val="en-US"/>
        </w:rPr>
        <w:t xml:space="preserve"> and the IHX penetration.</w:t>
      </w:r>
    </w:p>
    <w:p w14:paraId="18478EF6" w14:textId="170601E4" w:rsidR="00F86BEA" w:rsidRDefault="009A651B" w:rsidP="00F86BEA">
      <w:pPr>
        <w:pStyle w:val="ListEmdash"/>
        <w:rPr>
          <w:lang w:val="en-US"/>
        </w:rPr>
      </w:pPr>
      <w:r>
        <w:rPr>
          <w:lang w:val="en-US"/>
        </w:rPr>
        <w:t>After proper shielding of all the streaming path, the density of the operating floor has a significant impact on the dose rate. However, if the radiation zone classification for this region requires a 2.5 mrem/</w:t>
      </w:r>
      <w:proofErr w:type="spellStart"/>
      <w:r>
        <w:rPr>
          <w:lang w:val="en-US"/>
        </w:rPr>
        <w:t>hr</w:t>
      </w:r>
      <w:proofErr w:type="spellEnd"/>
      <w:r>
        <w:rPr>
          <w:lang w:val="en-US"/>
        </w:rPr>
        <w:t xml:space="preserve"> limit</w:t>
      </w:r>
      <w:r w:rsidR="002F31C9">
        <w:rPr>
          <w:lang w:val="en-US"/>
        </w:rPr>
        <w:t xml:space="preserve"> (</w:t>
      </w:r>
      <w:r w:rsidR="003763E2">
        <w:rPr>
          <w:lang w:val="en-US"/>
        </w:rPr>
        <w:t>based on considerations of exposure time and minimization of total man-rem in the reactor)</w:t>
      </w:r>
      <w:r>
        <w:rPr>
          <w:lang w:val="en-US"/>
        </w:rPr>
        <w:t xml:space="preserve">, then the use of regular concrete will still satisfy this limit. </w:t>
      </w:r>
    </w:p>
    <w:p w14:paraId="02D310E2" w14:textId="77777777" w:rsidR="009A651B" w:rsidRPr="009A651B" w:rsidRDefault="009A651B" w:rsidP="009A651B">
      <w:pPr>
        <w:pStyle w:val="ListEmdash"/>
        <w:numPr>
          <w:ilvl w:val="0"/>
          <w:numId w:val="0"/>
        </w:numPr>
        <w:rPr>
          <w:lang w:val="en-US"/>
        </w:rPr>
      </w:pPr>
    </w:p>
    <w:p w14:paraId="0C443B27" w14:textId="354CB2EB" w:rsidR="00F86BEA" w:rsidRPr="003C21B3" w:rsidRDefault="005B16D3" w:rsidP="00F86BEA">
      <w:pPr>
        <w:pStyle w:val="BodyText"/>
        <w:rPr>
          <w:lang w:val="en-US"/>
        </w:rPr>
      </w:pPr>
      <w:r>
        <w:rPr>
          <w:lang w:val="en-US"/>
        </w:rPr>
        <w:t xml:space="preserve">TABLE </w:t>
      </w:r>
      <w:r w:rsidR="00B5615E">
        <w:rPr>
          <w:lang w:val="en-US"/>
        </w:rPr>
        <w:t>3</w:t>
      </w:r>
      <w:r w:rsidR="00F86BEA" w:rsidRPr="003C21B3">
        <w:rPr>
          <w:lang w:val="en-US"/>
        </w:rPr>
        <w:t xml:space="preserve"> Dose rate above</w:t>
      </w:r>
      <w:r>
        <w:rPr>
          <w:lang w:val="en-US"/>
        </w:rPr>
        <w:t xml:space="preserve"> the HAA and the</w:t>
      </w:r>
      <w:r w:rsidR="00F86BEA" w:rsidRPr="003C21B3">
        <w:rPr>
          <w:lang w:val="en-US"/>
        </w:rPr>
        <w:t xml:space="preserve"> operating floor.</w:t>
      </w:r>
    </w:p>
    <w:tbl>
      <w:tblPr>
        <w:tblStyle w:val="TableGrid"/>
        <w:tblW w:w="5000" w:type="pct"/>
        <w:tblLook w:val="04A0" w:firstRow="1" w:lastRow="0" w:firstColumn="1" w:lastColumn="0" w:noHBand="0" w:noVBand="1"/>
      </w:tblPr>
      <w:tblGrid>
        <w:gridCol w:w="606"/>
        <w:gridCol w:w="1549"/>
        <w:gridCol w:w="5823"/>
        <w:gridCol w:w="1039"/>
      </w:tblGrid>
      <w:tr w:rsidR="00E92DBE" w:rsidRPr="003C21B3" w14:paraId="280B5EC5" w14:textId="77777777" w:rsidTr="00E92DBE">
        <w:tc>
          <w:tcPr>
            <w:tcW w:w="336" w:type="pct"/>
            <w:vAlign w:val="center"/>
          </w:tcPr>
          <w:p w14:paraId="309DFB18" w14:textId="77777777" w:rsidR="00E92DBE" w:rsidRPr="003C21B3" w:rsidRDefault="00E92DBE" w:rsidP="00E92DBE">
            <w:pPr>
              <w:pStyle w:val="BodyText"/>
              <w:ind w:firstLine="0"/>
              <w:jc w:val="center"/>
              <w:rPr>
                <w:lang w:val="en-US"/>
              </w:rPr>
            </w:pPr>
            <w:r w:rsidRPr="003C21B3">
              <w:rPr>
                <w:lang w:val="en-US"/>
              </w:rPr>
              <w:t>Case</w:t>
            </w:r>
          </w:p>
        </w:tc>
        <w:tc>
          <w:tcPr>
            <w:tcW w:w="859" w:type="pct"/>
            <w:vAlign w:val="center"/>
          </w:tcPr>
          <w:p w14:paraId="2C587C07" w14:textId="14872C91" w:rsidR="00E92DBE" w:rsidRPr="003C21B3" w:rsidRDefault="00E92DBE" w:rsidP="00E92DBE">
            <w:pPr>
              <w:pStyle w:val="BodyText"/>
              <w:ind w:firstLine="0"/>
              <w:jc w:val="center"/>
              <w:rPr>
                <w:lang w:val="en-US"/>
              </w:rPr>
            </w:pPr>
            <w:r>
              <w:rPr>
                <w:lang w:val="en-US"/>
              </w:rPr>
              <w:t>Location</w:t>
            </w:r>
          </w:p>
        </w:tc>
        <w:tc>
          <w:tcPr>
            <w:tcW w:w="3229" w:type="pct"/>
            <w:vAlign w:val="center"/>
          </w:tcPr>
          <w:p w14:paraId="37B69CD7" w14:textId="2B8BC6DB" w:rsidR="00E92DBE" w:rsidRPr="003C21B3" w:rsidRDefault="00E92DBE" w:rsidP="00E92DBE">
            <w:pPr>
              <w:pStyle w:val="BodyText"/>
              <w:ind w:firstLine="0"/>
              <w:jc w:val="center"/>
              <w:rPr>
                <w:lang w:val="en-US"/>
              </w:rPr>
            </w:pPr>
            <w:r w:rsidRPr="003C21B3">
              <w:rPr>
                <w:lang w:val="en-US"/>
              </w:rPr>
              <w:t>Description</w:t>
            </w:r>
          </w:p>
        </w:tc>
        <w:tc>
          <w:tcPr>
            <w:tcW w:w="576" w:type="pct"/>
            <w:vAlign w:val="center"/>
          </w:tcPr>
          <w:p w14:paraId="73ABA4C4" w14:textId="77777777" w:rsidR="00E92DBE" w:rsidRPr="003C21B3" w:rsidRDefault="00E92DBE" w:rsidP="00E92DBE">
            <w:pPr>
              <w:pStyle w:val="BodyText"/>
              <w:ind w:firstLine="0"/>
              <w:jc w:val="center"/>
              <w:rPr>
                <w:lang w:val="en-US"/>
              </w:rPr>
            </w:pPr>
            <w:r w:rsidRPr="003C21B3">
              <w:rPr>
                <w:lang w:val="en-US"/>
              </w:rPr>
              <w:t>Dose rate (mrem/</w:t>
            </w:r>
            <w:proofErr w:type="spellStart"/>
            <w:r w:rsidRPr="003C21B3">
              <w:rPr>
                <w:lang w:val="en-US"/>
              </w:rPr>
              <w:t>hr</w:t>
            </w:r>
            <w:proofErr w:type="spellEnd"/>
            <w:r w:rsidRPr="003C21B3">
              <w:rPr>
                <w:lang w:val="en-US"/>
              </w:rPr>
              <w:t>)</w:t>
            </w:r>
          </w:p>
        </w:tc>
      </w:tr>
      <w:tr w:rsidR="00E92DBE" w:rsidRPr="003C21B3" w14:paraId="1DDDFFE9" w14:textId="77777777" w:rsidTr="00E92DBE">
        <w:tc>
          <w:tcPr>
            <w:tcW w:w="336" w:type="pct"/>
            <w:vAlign w:val="center"/>
          </w:tcPr>
          <w:p w14:paraId="573F7CF0" w14:textId="77777777" w:rsidR="00E92DBE" w:rsidRPr="003C21B3" w:rsidRDefault="00E92DBE" w:rsidP="003C21B3">
            <w:pPr>
              <w:pStyle w:val="BodyText"/>
              <w:ind w:firstLine="0"/>
              <w:rPr>
                <w:lang w:val="en-US"/>
              </w:rPr>
            </w:pPr>
            <w:r w:rsidRPr="003C21B3">
              <w:rPr>
                <w:lang w:val="en-US"/>
              </w:rPr>
              <w:t>1</w:t>
            </w:r>
          </w:p>
        </w:tc>
        <w:tc>
          <w:tcPr>
            <w:tcW w:w="859" w:type="pct"/>
          </w:tcPr>
          <w:p w14:paraId="25ED26D2" w14:textId="6FD847A7" w:rsidR="00E92DBE" w:rsidRDefault="00E92DBE" w:rsidP="003C21B3">
            <w:pPr>
              <w:pStyle w:val="BodyText"/>
              <w:ind w:firstLine="0"/>
              <w:rPr>
                <w:lang w:val="en-US"/>
              </w:rPr>
            </w:pPr>
            <w:r>
              <w:rPr>
                <w:lang w:val="en-US"/>
              </w:rPr>
              <w:t>HAA</w:t>
            </w:r>
          </w:p>
        </w:tc>
        <w:tc>
          <w:tcPr>
            <w:tcW w:w="3229" w:type="pct"/>
            <w:vAlign w:val="center"/>
          </w:tcPr>
          <w:p w14:paraId="39A8E711" w14:textId="044F422F" w:rsidR="00E92DBE" w:rsidRPr="003C21B3" w:rsidRDefault="00E92DBE" w:rsidP="003C21B3">
            <w:pPr>
              <w:pStyle w:val="BodyText"/>
              <w:ind w:firstLine="0"/>
              <w:rPr>
                <w:lang w:val="en-US"/>
              </w:rPr>
            </w:pPr>
            <w:r>
              <w:rPr>
                <w:lang w:val="en-US"/>
              </w:rPr>
              <w:t>Without pump closure and flange</w:t>
            </w:r>
            <w:r w:rsidR="002C3DBE">
              <w:rPr>
                <w:lang w:val="en-US"/>
              </w:rPr>
              <w:t xml:space="preserve"> (base case)</w:t>
            </w:r>
          </w:p>
        </w:tc>
        <w:tc>
          <w:tcPr>
            <w:tcW w:w="576" w:type="pct"/>
            <w:vAlign w:val="center"/>
          </w:tcPr>
          <w:p w14:paraId="1FB555E3" w14:textId="77777777" w:rsidR="00E92DBE" w:rsidRPr="003C21B3" w:rsidRDefault="00E92DBE" w:rsidP="003C21B3">
            <w:pPr>
              <w:pStyle w:val="BodyText"/>
              <w:ind w:firstLine="0"/>
              <w:rPr>
                <w:lang w:val="en-US"/>
              </w:rPr>
            </w:pPr>
            <w:r w:rsidRPr="003C21B3">
              <w:rPr>
                <w:color w:val="000000"/>
                <w:lang w:val="en-US"/>
              </w:rPr>
              <w:t>1412.90</w:t>
            </w:r>
          </w:p>
        </w:tc>
      </w:tr>
      <w:tr w:rsidR="00E92DBE" w:rsidRPr="003C21B3" w14:paraId="1CCAF6BD" w14:textId="77777777" w:rsidTr="00E92DBE">
        <w:tc>
          <w:tcPr>
            <w:tcW w:w="336" w:type="pct"/>
            <w:vAlign w:val="center"/>
          </w:tcPr>
          <w:p w14:paraId="68AF4DDB" w14:textId="77777777" w:rsidR="00E92DBE" w:rsidRPr="003C21B3" w:rsidRDefault="00E92DBE" w:rsidP="003C21B3">
            <w:pPr>
              <w:pStyle w:val="BodyText"/>
              <w:ind w:firstLine="0"/>
              <w:rPr>
                <w:lang w:val="en-US"/>
              </w:rPr>
            </w:pPr>
            <w:r w:rsidRPr="003C21B3">
              <w:rPr>
                <w:lang w:val="en-US"/>
              </w:rPr>
              <w:t>2</w:t>
            </w:r>
          </w:p>
        </w:tc>
        <w:tc>
          <w:tcPr>
            <w:tcW w:w="859" w:type="pct"/>
          </w:tcPr>
          <w:p w14:paraId="43D7CC53" w14:textId="3FE44158" w:rsidR="00E92DBE" w:rsidRDefault="00E92DBE" w:rsidP="003C21B3">
            <w:pPr>
              <w:pStyle w:val="BodyText"/>
              <w:ind w:firstLine="0"/>
              <w:rPr>
                <w:lang w:val="en-US"/>
              </w:rPr>
            </w:pPr>
            <w:r>
              <w:rPr>
                <w:lang w:val="en-US"/>
              </w:rPr>
              <w:t>HAA</w:t>
            </w:r>
          </w:p>
        </w:tc>
        <w:tc>
          <w:tcPr>
            <w:tcW w:w="3229" w:type="pct"/>
            <w:vAlign w:val="center"/>
          </w:tcPr>
          <w:p w14:paraId="284ABDF3" w14:textId="34ACC891" w:rsidR="00E92DBE" w:rsidRPr="003C21B3" w:rsidRDefault="00E92DBE" w:rsidP="003C21B3">
            <w:pPr>
              <w:pStyle w:val="BodyText"/>
              <w:ind w:firstLine="0"/>
              <w:rPr>
                <w:lang w:val="en-US"/>
              </w:rPr>
            </w:pPr>
            <w:r>
              <w:rPr>
                <w:lang w:val="en-US"/>
              </w:rPr>
              <w:t>With pump closure and flange</w:t>
            </w:r>
          </w:p>
        </w:tc>
        <w:tc>
          <w:tcPr>
            <w:tcW w:w="576" w:type="pct"/>
            <w:vAlign w:val="center"/>
          </w:tcPr>
          <w:p w14:paraId="5665E2A0" w14:textId="77777777" w:rsidR="00E92DBE" w:rsidRPr="003C21B3" w:rsidRDefault="00E92DBE" w:rsidP="003C21B3">
            <w:pPr>
              <w:pStyle w:val="BodyText"/>
              <w:ind w:firstLine="0"/>
              <w:rPr>
                <w:lang w:val="en-US"/>
              </w:rPr>
            </w:pPr>
            <w:r w:rsidRPr="003C21B3">
              <w:rPr>
                <w:color w:val="000000"/>
                <w:lang w:val="en-US"/>
              </w:rPr>
              <w:t>0.02</w:t>
            </w:r>
          </w:p>
        </w:tc>
      </w:tr>
      <w:tr w:rsidR="00E92DBE" w:rsidRPr="003C21B3" w14:paraId="34E651A2" w14:textId="77777777" w:rsidTr="00E92DBE">
        <w:tc>
          <w:tcPr>
            <w:tcW w:w="336" w:type="pct"/>
            <w:vAlign w:val="center"/>
          </w:tcPr>
          <w:p w14:paraId="316870CD" w14:textId="77777777" w:rsidR="00E92DBE" w:rsidRPr="003C21B3" w:rsidRDefault="00E92DBE" w:rsidP="003C21B3">
            <w:pPr>
              <w:pStyle w:val="BodyText"/>
              <w:ind w:firstLine="0"/>
              <w:rPr>
                <w:lang w:val="en-US"/>
              </w:rPr>
            </w:pPr>
            <w:r w:rsidRPr="003C21B3">
              <w:rPr>
                <w:lang w:val="en-US"/>
              </w:rPr>
              <w:t>3</w:t>
            </w:r>
          </w:p>
        </w:tc>
        <w:tc>
          <w:tcPr>
            <w:tcW w:w="859" w:type="pct"/>
          </w:tcPr>
          <w:p w14:paraId="7F54A6A8" w14:textId="5F208072" w:rsidR="00E92DBE" w:rsidRDefault="00E92DBE" w:rsidP="003C21B3">
            <w:pPr>
              <w:pStyle w:val="BodyText"/>
              <w:ind w:firstLine="0"/>
              <w:rPr>
                <w:lang w:val="en-US"/>
              </w:rPr>
            </w:pPr>
            <w:r>
              <w:rPr>
                <w:lang w:val="en-US"/>
              </w:rPr>
              <w:t>Operating floor</w:t>
            </w:r>
          </w:p>
        </w:tc>
        <w:tc>
          <w:tcPr>
            <w:tcW w:w="3229" w:type="pct"/>
            <w:vAlign w:val="center"/>
          </w:tcPr>
          <w:p w14:paraId="0EBC2E89" w14:textId="4C59FF0B" w:rsidR="00E92DBE" w:rsidRPr="00AB2175" w:rsidRDefault="00E92DBE" w:rsidP="003C21B3">
            <w:pPr>
              <w:pStyle w:val="BodyText"/>
              <w:ind w:firstLine="0"/>
              <w:rPr>
                <w:lang w:val="en-US"/>
              </w:rPr>
            </w:pPr>
            <w:r>
              <w:rPr>
                <w:lang w:val="en-US"/>
              </w:rPr>
              <w:t>Regular concrete (density = 2.3 g/cm</w:t>
            </w:r>
            <w:r>
              <w:rPr>
                <w:vertAlign w:val="superscript"/>
                <w:lang w:val="en-US"/>
              </w:rPr>
              <w:t>3</w:t>
            </w:r>
            <w:r>
              <w:rPr>
                <w:lang w:val="en-US"/>
              </w:rPr>
              <w:t>)</w:t>
            </w:r>
          </w:p>
        </w:tc>
        <w:tc>
          <w:tcPr>
            <w:tcW w:w="576" w:type="pct"/>
            <w:vAlign w:val="center"/>
          </w:tcPr>
          <w:p w14:paraId="6451EAE0" w14:textId="77777777" w:rsidR="00E92DBE" w:rsidRPr="003C21B3" w:rsidRDefault="00E92DBE" w:rsidP="003C21B3">
            <w:pPr>
              <w:pStyle w:val="BodyText"/>
              <w:ind w:firstLine="0"/>
              <w:rPr>
                <w:lang w:val="en-US"/>
              </w:rPr>
            </w:pPr>
            <w:r w:rsidRPr="003C21B3">
              <w:rPr>
                <w:color w:val="000000"/>
                <w:lang w:val="en-US"/>
              </w:rPr>
              <w:t>56.21</w:t>
            </w:r>
          </w:p>
        </w:tc>
      </w:tr>
      <w:tr w:rsidR="00E92DBE" w:rsidRPr="003C21B3" w14:paraId="2BD97669" w14:textId="77777777" w:rsidTr="00E92DBE">
        <w:tc>
          <w:tcPr>
            <w:tcW w:w="336" w:type="pct"/>
            <w:vAlign w:val="center"/>
          </w:tcPr>
          <w:p w14:paraId="02D68899" w14:textId="77777777" w:rsidR="00E92DBE" w:rsidRPr="003C21B3" w:rsidRDefault="00E92DBE" w:rsidP="00E92DBE">
            <w:pPr>
              <w:pStyle w:val="BodyText"/>
              <w:ind w:firstLine="0"/>
              <w:rPr>
                <w:lang w:val="en-US"/>
              </w:rPr>
            </w:pPr>
            <w:r w:rsidRPr="003C21B3">
              <w:rPr>
                <w:lang w:val="en-US"/>
              </w:rPr>
              <w:t>4</w:t>
            </w:r>
          </w:p>
        </w:tc>
        <w:tc>
          <w:tcPr>
            <w:tcW w:w="859" w:type="pct"/>
          </w:tcPr>
          <w:p w14:paraId="73676CD2" w14:textId="5F49351D" w:rsidR="00E92DBE" w:rsidRDefault="00E92DBE" w:rsidP="00E92DBE">
            <w:pPr>
              <w:pStyle w:val="BodyText"/>
              <w:ind w:firstLine="0"/>
              <w:rPr>
                <w:lang w:val="en-US"/>
              </w:rPr>
            </w:pPr>
            <w:r w:rsidRPr="003468EC">
              <w:rPr>
                <w:lang w:val="en-US"/>
              </w:rPr>
              <w:t>Operating floor</w:t>
            </w:r>
          </w:p>
        </w:tc>
        <w:tc>
          <w:tcPr>
            <w:tcW w:w="3229" w:type="pct"/>
            <w:vAlign w:val="center"/>
          </w:tcPr>
          <w:p w14:paraId="7B4319C3" w14:textId="4923E037" w:rsidR="00E92DBE" w:rsidRPr="003C21B3" w:rsidRDefault="00E92DBE" w:rsidP="00E92DBE">
            <w:pPr>
              <w:pStyle w:val="BodyText"/>
              <w:ind w:firstLine="0"/>
              <w:rPr>
                <w:lang w:val="en-US"/>
              </w:rPr>
            </w:pPr>
            <w:r>
              <w:rPr>
                <w:lang w:val="en-US"/>
              </w:rPr>
              <w:t>High-density concrete (density = 4.0 g/cm</w:t>
            </w:r>
            <w:r>
              <w:rPr>
                <w:vertAlign w:val="superscript"/>
                <w:lang w:val="en-US"/>
              </w:rPr>
              <w:t>3</w:t>
            </w:r>
            <w:r>
              <w:rPr>
                <w:lang w:val="en-US"/>
              </w:rPr>
              <w:t>)</w:t>
            </w:r>
          </w:p>
        </w:tc>
        <w:tc>
          <w:tcPr>
            <w:tcW w:w="576" w:type="pct"/>
            <w:vAlign w:val="center"/>
          </w:tcPr>
          <w:p w14:paraId="58405948" w14:textId="77777777" w:rsidR="00E92DBE" w:rsidRPr="003C21B3" w:rsidRDefault="00E92DBE" w:rsidP="00E92DBE">
            <w:pPr>
              <w:pStyle w:val="BodyText"/>
              <w:ind w:firstLine="0"/>
              <w:rPr>
                <w:lang w:val="en-US"/>
              </w:rPr>
            </w:pPr>
            <w:r w:rsidRPr="003C21B3">
              <w:rPr>
                <w:color w:val="000000"/>
                <w:lang w:val="en-US"/>
              </w:rPr>
              <w:t>54.41</w:t>
            </w:r>
          </w:p>
        </w:tc>
      </w:tr>
      <w:tr w:rsidR="00E92DBE" w:rsidRPr="003C21B3" w14:paraId="4CDDBB57" w14:textId="77777777" w:rsidTr="00E92DBE">
        <w:tc>
          <w:tcPr>
            <w:tcW w:w="336" w:type="pct"/>
            <w:vAlign w:val="center"/>
          </w:tcPr>
          <w:p w14:paraId="50A054AA" w14:textId="77777777" w:rsidR="00E92DBE" w:rsidRPr="003C21B3" w:rsidRDefault="00E92DBE" w:rsidP="00E92DBE">
            <w:pPr>
              <w:pStyle w:val="BodyText"/>
              <w:ind w:firstLine="0"/>
              <w:rPr>
                <w:lang w:val="en-US"/>
              </w:rPr>
            </w:pPr>
            <w:r w:rsidRPr="003C21B3">
              <w:rPr>
                <w:lang w:val="en-US"/>
              </w:rPr>
              <w:t>5</w:t>
            </w:r>
          </w:p>
        </w:tc>
        <w:tc>
          <w:tcPr>
            <w:tcW w:w="859" w:type="pct"/>
          </w:tcPr>
          <w:p w14:paraId="1E889D37" w14:textId="16877D31" w:rsidR="00E92DBE" w:rsidRDefault="00E92DBE" w:rsidP="00E92DBE">
            <w:pPr>
              <w:pStyle w:val="BodyText"/>
              <w:ind w:firstLine="0"/>
              <w:rPr>
                <w:lang w:val="en-US"/>
              </w:rPr>
            </w:pPr>
            <w:r w:rsidRPr="003468EC">
              <w:rPr>
                <w:lang w:val="en-US"/>
              </w:rPr>
              <w:t>Operating floor</w:t>
            </w:r>
          </w:p>
        </w:tc>
        <w:tc>
          <w:tcPr>
            <w:tcW w:w="3229" w:type="pct"/>
            <w:vAlign w:val="center"/>
          </w:tcPr>
          <w:p w14:paraId="31DCD247" w14:textId="73CD00A5" w:rsidR="00E92DBE" w:rsidRPr="003C21B3" w:rsidRDefault="00E92DBE" w:rsidP="00E92DBE">
            <w:pPr>
              <w:pStyle w:val="BodyText"/>
              <w:ind w:firstLine="0"/>
              <w:rPr>
                <w:lang w:val="en-US"/>
              </w:rPr>
            </w:pPr>
            <w:r>
              <w:rPr>
                <w:lang w:val="en-US"/>
              </w:rPr>
              <w:t>Gap filled with 1-m-thick SS314</w:t>
            </w:r>
          </w:p>
        </w:tc>
        <w:tc>
          <w:tcPr>
            <w:tcW w:w="576" w:type="pct"/>
            <w:vAlign w:val="center"/>
          </w:tcPr>
          <w:p w14:paraId="7F7BC36F" w14:textId="77777777" w:rsidR="00E92DBE" w:rsidRPr="003C21B3" w:rsidRDefault="00E92DBE" w:rsidP="00E92DBE">
            <w:pPr>
              <w:pStyle w:val="BodyText"/>
              <w:ind w:firstLine="0"/>
              <w:rPr>
                <w:color w:val="000000"/>
                <w:lang w:val="en-US"/>
              </w:rPr>
            </w:pPr>
            <w:r w:rsidRPr="003C21B3">
              <w:rPr>
                <w:color w:val="000000"/>
                <w:lang w:val="en-US"/>
              </w:rPr>
              <w:t>0.11</w:t>
            </w:r>
          </w:p>
        </w:tc>
      </w:tr>
      <w:tr w:rsidR="00E92DBE" w:rsidRPr="003C21B3" w14:paraId="5857A7B4" w14:textId="77777777" w:rsidTr="00E92DBE">
        <w:tc>
          <w:tcPr>
            <w:tcW w:w="336" w:type="pct"/>
            <w:vAlign w:val="center"/>
          </w:tcPr>
          <w:p w14:paraId="7168E626" w14:textId="77777777" w:rsidR="00E92DBE" w:rsidRPr="003C21B3" w:rsidRDefault="00E92DBE" w:rsidP="00E92DBE">
            <w:pPr>
              <w:pStyle w:val="BodyText"/>
              <w:ind w:firstLine="0"/>
              <w:rPr>
                <w:lang w:val="en-US"/>
              </w:rPr>
            </w:pPr>
            <w:r w:rsidRPr="003C21B3">
              <w:rPr>
                <w:lang w:val="en-US"/>
              </w:rPr>
              <w:t>6</w:t>
            </w:r>
          </w:p>
        </w:tc>
        <w:tc>
          <w:tcPr>
            <w:tcW w:w="859" w:type="pct"/>
          </w:tcPr>
          <w:p w14:paraId="0513D309" w14:textId="66DA8A9A" w:rsidR="00E92DBE" w:rsidRDefault="00E92DBE" w:rsidP="00E92DBE">
            <w:pPr>
              <w:pStyle w:val="BodyText"/>
              <w:ind w:firstLine="0"/>
              <w:rPr>
                <w:lang w:val="en-US"/>
              </w:rPr>
            </w:pPr>
            <w:r w:rsidRPr="003468EC">
              <w:rPr>
                <w:lang w:val="en-US"/>
              </w:rPr>
              <w:t>Operating floor</w:t>
            </w:r>
          </w:p>
        </w:tc>
        <w:tc>
          <w:tcPr>
            <w:tcW w:w="3229" w:type="pct"/>
            <w:vAlign w:val="center"/>
          </w:tcPr>
          <w:p w14:paraId="60522F12" w14:textId="673AB7E5" w:rsidR="00E92DBE" w:rsidRPr="003C21B3" w:rsidRDefault="00E92DBE" w:rsidP="00E92DBE">
            <w:pPr>
              <w:pStyle w:val="BodyText"/>
              <w:ind w:firstLine="0"/>
              <w:rPr>
                <w:lang w:val="en-US"/>
              </w:rPr>
            </w:pPr>
            <w:r>
              <w:rPr>
                <w:lang w:val="en-US"/>
              </w:rPr>
              <w:t xml:space="preserve">Gap filled with 0.5-m-thick SS314 </w:t>
            </w:r>
          </w:p>
        </w:tc>
        <w:tc>
          <w:tcPr>
            <w:tcW w:w="576" w:type="pct"/>
            <w:vAlign w:val="center"/>
          </w:tcPr>
          <w:p w14:paraId="4BE4BBB3" w14:textId="77777777" w:rsidR="00E92DBE" w:rsidRPr="003C21B3" w:rsidRDefault="00E92DBE" w:rsidP="00E92DBE">
            <w:pPr>
              <w:pStyle w:val="BodyText"/>
              <w:ind w:firstLine="0"/>
              <w:rPr>
                <w:color w:val="000000"/>
                <w:lang w:val="en-US"/>
              </w:rPr>
            </w:pPr>
            <w:r w:rsidRPr="003C21B3">
              <w:rPr>
                <w:color w:val="000000"/>
                <w:lang w:val="en-US"/>
              </w:rPr>
              <w:t>0.28</w:t>
            </w:r>
          </w:p>
        </w:tc>
      </w:tr>
      <w:tr w:rsidR="00E92DBE" w:rsidRPr="003C21B3" w14:paraId="2F85844C" w14:textId="77777777" w:rsidTr="00E92DBE">
        <w:tc>
          <w:tcPr>
            <w:tcW w:w="336" w:type="pct"/>
            <w:vAlign w:val="center"/>
          </w:tcPr>
          <w:p w14:paraId="35C98D24" w14:textId="77777777" w:rsidR="00E92DBE" w:rsidRPr="003C21B3" w:rsidRDefault="00E92DBE" w:rsidP="00E92DBE">
            <w:pPr>
              <w:pStyle w:val="BodyText"/>
              <w:ind w:firstLine="0"/>
              <w:rPr>
                <w:lang w:val="en-US"/>
              </w:rPr>
            </w:pPr>
            <w:r w:rsidRPr="003C21B3">
              <w:rPr>
                <w:lang w:val="en-US"/>
              </w:rPr>
              <w:t>7</w:t>
            </w:r>
          </w:p>
        </w:tc>
        <w:tc>
          <w:tcPr>
            <w:tcW w:w="859" w:type="pct"/>
          </w:tcPr>
          <w:p w14:paraId="0F91CD03" w14:textId="690432EC" w:rsidR="00E92DBE" w:rsidRPr="003C21B3" w:rsidRDefault="00E92DBE" w:rsidP="00E92DBE">
            <w:pPr>
              <w:pStyle w:val="BodyText"/>
              <w:ind w:firstLine="0"/>
              <w:rPr>
                <w:lang w:val="en-US"/>
              </w:rPr>
            </w:pPr>
            <w:r w:rsidRPr="003468EC">
              <w:rPr>
                <w:lang w:val="en-US"/>
              </w:rPr>
              <w:t>Operating floor</w:t>
            </w:r>
          </w:p>
        </w:tc>
        <w:tc>
          <w:tcPr>
            <w:tcW w:w="3229" w:type="pct"/>
            <w:vAlign w:val="center"/>
          </w:tcPr>
          <w:p w14:paraId="1038755F" w14:textId="2A0EF0DC" w:rsidR="00E92DBE" w:rsidRPr="003C21B3" w:rsidRDefault="00E92DBE" w:rsidP="00E92DBE">
            <w:pPr>
              <w:pStyle w:val="BodyText"/>
              <w:ind w:firstLine="0"/>
              <w:rPr>
                <w:lang w:val="en-US"/>
              </w:rPr>
            </w:pPr>
            <w:r>
              <w:rPr>
                <w:lang w:val="en-US"/>
              </w:rPr>
              <w:t xml:space="preserve">Shielded streaming path and high-density concrete </w:t>
            </w:r>
          </w:p>
        </w:tc>
        <w:tc>
          <w:tcPr>
            <w:tcW w:w="576" w:type="pct"/>
            <w:vAlign w:val="center"/>
          </w:tcPr>
          <w:p w14:paraId="60FB8870" w14:textId="77777777" w:rsidR="00E92DBE" w:rsidRPr="003C21B3" w:rsidRDefault="00E92DBE" w:rsidP="00E92DBE">
            <w:pPr>
              <w:pStyle w:val="BodyText"/>
              <w:ind w:firstLine="0"/>
              <w:rPr>
                <w:color w:val="000000"/>
                <w:lang w:val="en-US"/>
              </w:rPr>
            </w:pPr>
            <w:r w:rsidRPr="003C21B3">
              <w:rPr>
                <w:color w:val="000000"/>
                <w:lang w:val="en-US"/>
              </w:rPr>
              <w:t>3.84x10</w:t>
            </w:r>
            <w:r w:rsidRPr="003C21B3">
              <w:rPr>
                <w:color w:val="000000"/>
                <w:vertAlign w:val="superscript"/>
                <w:lang w:val="en-US"/>
              </w:rPr>
              <w:t>-3</w:t>
            </w:r>
          </w:p>
        </w:tc>
      </w:tr>
      <w:tr w:rsidR="00E92DBE" w:rsidRPr="003C21B3" w14:paraId="3018F218" w14:textId="77777777" w:rsidTr="00E92DBE">
        <w:tc>
          <w:tcPr>
            <w:tcW w:w="336" w:type="pct"/>
            <w:vAlign w:val="center"/>
          </w:tcPr>
          <w:p w14:paraId="30312802" w14:textId="77777777" w:rsidR="00E92DBE" w:rsidRPr="003C21B3" w:rsidRDefault="00E92DBE" w:rsidP="00E92DBE">
            <w:pPr>
              <w:pStyle w:val="BodyText"/>
              <w:ind w:firstLine="0"/>
              <w:rPr>
                <w:lang w:val="en-US"/>
              </w:rPr>
            </w:pPr>
            <w:r w:rsidRPr="003C21B3">
              <w:rPr>
                <w:lang w:val="en-US"/>
              </w:rPr>
              <w:t>8</w:t>
            </w:r>
          </w:p>
        </w:tc>
        <w:tc>
          <w:tcPr>
            <w:tcW w:w="859" w:type="pct"/>
          </w:tcPr>
          <w:p w14:paraId="359F357C" w14:textId="61228709" w:rsidR="00E92DBE" w:rsidRPr="003C21B3" w:rsidRDefault="00E92DBE" w:rsidP="00E92DBE">
            <w:pPr>
              <w:pStyle w:val="BodyText"/>
              <w:ind w:firstLine="0"/>
              <w:rPr>
                <w:lang w:val="en-US"/>
              </w:rPr>
            </w:pPr>
            <w:r w:rsidRPr="003468EC">
              <w:rPr>
                <w:lang w:val="en-US"/>
              </w:rPr>
              <w:t>Operating floor</w:t>
            </w:r>
          </w:p>
        </w:tc>
        <w:tc>
          <w:tcPr>
            <w:tcW w:w="3229" w:type="pct"/>
            <w:vAlign w:val="center"/>
          </w:tcPr>
          <w:p w14:paraId="68D8AABE" w14:textId="07503B9F" w:rsidR="00E92DBE" w:rsidRPr="003C21B3" w:rsidRDefault="00E92DBE" w:rsidP="00E92DBE">
            <w:pPr>
              <w:pStyle w:val="BodyText"/>
              <w:ind w:firstLine="0"/>
              <w:rPr>
                <w:lang w:val="en-US"/>
              </w:rPr>
            </w:pPr>
            <w:r>
              <w:rPr>
                <w:lang w:val="en-US"/>
              </w:rPr>
              <w:t>Shielded streaming path and regular concrete</w:t>
            </w:r>
          </w:p>
        </w:tc>
        <w:tc>
          <w:tcPr>
            <w:tcW w:w="576" w:type="pct"/>
            <w:vAlign w:val="center"/>
          </w:tcPr>
          <w:p w14:paraId="5B1B28F1" w14:textId="77777777" w:rsidR="00E92DBE" w:rsidRPr="003C21B3" w:rsidRDefault="00E92DBE" w:rsidP="00E92DBE">
            <w:pPr>
              <w:pStyle w:val="BodyText"/>
              <w:ind w:firstLine="0"/>
              <w:rPr>
                <w:color w:val="000000"/>
                <w:lang w:val="en-US"/>
              </w:rPr>
            </w:pPr>
            <w:r w:rsidRPr="003C21B3">
              <w:rPr>
                <w:color w:val="000000"/>
                <w:lang w:val="en-US"/>
              </w:rPr>
              <w:t>0.94</w:t>
            </w:r>
          </w:p>
        </w:tc>
      </w:tr>
    </w:tbl>
    <w:p w14:paraId="480C4242" w14:textId="77777777" w:rsidR="00F86BEA" w:rsidRPr="003C21B3" w:rsidRDefault="00F86BEA" w:rsidP="00F86BEA">
      <w:pPr>
        <w:pStyle w:val="BodyText"/>
        <w:rPr>
          <w:lang w:val="en-US"/>
        </w:rPr>
      </w:pPr>
    </w:p>
    <w:p w14:paraId="1956B904" w14:textId="43370417" w:rsidR="00F86BEA" w:rsidRPr="003C21B3" w:rsidRDefault="00A31362" w:rsidP="00A31362">
      <w:pPr>
        <w:pStyle w:val="FIG-LONG"/>
        <w:rPr>
          <w:lang w:val="en-US"/>
        </w:rPr>
      </w:pPr>
      <w:r>
        <w:rPr>
          <w:noProof/>
          <w:lang w:val="en-US"/>
        </w:rPr>
        <w:drawing>
          <wp:inline distT="0" distB="0" distL="0" distR="0" wp14:anchorId="30A4BB7A" wp14:editId="4DD45545">
            <wp:extent cx="5732145" cy="3234690"/>
            <wp:effectExtent l="0" t="0" r="0" b="381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2145" cy="3234690"/>
                    </a:xfrm>
                    <a:prstGeom prst="rect">
                      <a:avLst/>
                    </a:prstGeom>
                  </pic:spPr>
                </pic:pic>
              </a:graphicData>
            </a:graphic>
          </wp:inline>
        </w:drawing>
      </w:r>
    </w:p>
    <w:p w14:paraId="2F049C88" w14:textId="3548C6DF" w:rsidR="00F86BEA" w:rsidRPr="003C21B3" w:rsidRDefault="00906224" w:rsidP="00906224">
      <w:pPr>
        <w:pStyle w:val="FIG-LONG"/>
        <w:rPr>
          <w:lang w:val="en-US"/>
        </w:rPr>
      </w:pPr>
      <w:r>
        <w:rPr>
          <w:lang w:val="en-US"/>
        </w:rPr>
        <w:t>FIG 3 Axial photon flux distribution</w:t>
      </w:r>
      <w:r w:rsidR="003159C5">
        <w:rPr>
          <w:lang w:val="en-US"/>
        </w:rPr>
        <w:t xml:space="preserve"> [#/cm</w:t>
      </w:r>
      <w:r w:rsidR="003159C5">
        <w:rPr>
          <w:vertAlign w:val="superscript"/>
          <w:lang w:val="en-US"/>
        </w:rPr>
        <w:t>2</w:t>
      </w:r>
      <w:r w:rsidR="003159C5">
        <w:rPr>
          <w:lang w:val="en-US"/>
        </w:rPr>
        <w:t>/source]</w:t>
      </w:r>
      <w:r>
        <w:rPr>
          <w:lang w:val="en-US"/>
        </w:rPr>
        <w:t xml:space="preserve"> (left) and the radial photon flux distribution</w:t>
      </w:r>
      <w:r w:rsidR="003159C5">
        <w:rPr>
          <w:lang w:val="en-US"/>
        </w:rPr>
        <w:t xml:space="preserve"> [#/cm</w:t>
      </w:r>
      <w:r w:rsidR="003159C5">
        <w:rPr>
          <w:vertAlign w:val="superscript"/>
          <w:lang w:val="en-US"/>
        </w:rPr>
        <w:t>2</w:t>
      </w:r>
      <w:r w:rsidR="003159C5">
        <w:rPr>
          <w:lang w:val="en-US"/>
        </w:rPr>
        <w:t>/source]</w:t>
      </w:r>
      <w:r>
        <w:rPr>
          <w:lang w:val="en-US"/>
        </w:rPr>
        <w:t xml:space="preserve"> above the HAA (right).</w:t>
      </w:r>
    </w:p>
    <w:p w14:paraId="5EF5CB38" w14:textId="77777777" w:rsidR="00F86BEA" w:rsidRPr="003C21B3" w:rsidRDefault="00F86BEA" w:rsidP="00F86BEA">
      <w:pPr>
        <w:pStyle w:val="BodyText"/>
        <w:rPr>
          <w:lang w:val="en-US"/>
        </w:rPr>
      </w:pPr>
    </w:p>
    <w:p w14:paraId="16821DEE" w14:textId="4D46FF1C" w:rsidR="00F86BEA" w:rsidRPr="003C21B3" w:rsidRDefault="009A651B" w:rsidP="009A651B">
      <w:pPr>
        <w:pStyle w:val="BodyText"/>
        <w:ind w:firstLine="0"/>
        <w:rPr>
          <w:lang w:val="en-US"/>
        </w:rPr>
      </w:pPr>
      <w:r>
        <w:rPr>
          <w:noProof/>
          <w:lang w:val="en-US"/>
        </w:rPr>
        <w:drawing>
          <wp:inline distT="0" distB="0" distL="0" distR="0" wp14:anchorId="37B5ACB0" wp14:editId="117850C9">
            <wp:extent cx="5732145" cy="1573530"/>
            <wp:effectExtent l="0" t="0" r="0" b="1270"/>
            <wp:docPr id="1" name="Picture 1"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ubble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2145" cy="1573530"/>
                    </a:xfrm>
                    <a:prstGeom prst="rect">
                      <a:avLst/>
                    </a:prstGeom>
                  </pic:spPr>
                </pic:pic>
              </a:graphicData>
            </a:graphic>
          </wp:inline>
        </w:drawing>
      </w:r>
    </w:p>
    <w:p w14:paraId="0753E120" w14:textId="64CEE350" w:rsidR="00F86BEA" w:rsidRPr="003C21B3" w:rsidRDefault="00906224" w:rsidP="009A651B">
      <w:pPr>
        <w:pStyle w:val="FIG-LONG"/>
        <w:rPr>
          <w:lang w:val="en-US"/>
        </w:rPr>
      </w:pPr>
      <w:r>
        <w:rPr>
          <w:lang w:val="en-US"/>
        </w:rPr>
        <w:lastRenderedPageBreak/>
        <w:t>FIG 4</w:t>
      </w:r>
      <w:r w:rsidR="00F86BEA" w:rsidRPr="003C21B3">
        <w:rPr>
          <w:lang w:val="en-US"/>
        </w:rPr>
        <w:t xml:space="preserve"> The radial photon dose rate distribution</w:t>
      </w:r>
      <w:r w:rsidR="006826FB">
        <w:rPr>
          <w:lang w:val="en-US"/>
        </w:rPr>
        <w:t xml:space="preserve"> [rem/</w:t>
      </w:r>
      <w:proofErr w:type="spellStart"/>
      <w:r w:rsidR="006826FB">
        <w:rPr>
          <w:lang w:val="en-US"/>
        </w:rPr>
        <w:t>hr</w:t>
      </w:r>
      <w:proofErr w:type="spellEnd"/>
      <w:r w:rsidR="006826FB">
        <w:rPr>
          <w:lang w:val="en-US"/>
        </w:rPr>
        <w:t>/source]</w:t>
      </w:r>
      <w:r w:rsidR="00F86BEA" w:rsidRPr="003C21B3">
        <w:rPr>
          <w:lang w:val="en-US"/>
        </w:rPr>
        <w:t xml:space="preserve"> above the reactor head for Case 4 (left), 7 (center) and 8 (right).</w:t>
      </w:r>
    </w:p>
    <w:p w14:paraId="433FE06C" w14:textId="3740F7FA" w:rsidR="0058654F" w:rsidRPr="003C21B3" w:rsidRDefault="00875686" w:rsidP="00537496">
      <w:pPr>
        <w:pStyle w:val="Heading2"/>
        <w:rPr>
          <w:lang w:val="en-US"/>
        </w:rPr>
      </w:pPr>
      <w:r w:rsidRPr="003C21B3">
        <w:rPr>
          <w:lang w:val="en-US"/>
        </w:rPr>
        <w:t>Conclusion</w:t>
      </w:r>
    </w:p>
    <w:p w14:paraId="433FE070" w14:textId="241FF32E" w:rsidR="00537496" w:rsidRPr="003C21B3" w:rsidRDefault="008726B5" w:rsidP="00537496">
      <w:pPr>
        <w:pStyle w:val="BodyText"/>
        <w:rPr>
          <w:lang w:val="en-US"/>
        </w:rPr>
      </w:pPr>
      <w:r>
        <w:rPr>
          <w:lang w:val="en-US"/>
        </w:rPr>
        <w:t>The shielding analysis was performed for the “first-round” VTR reactor design. The focus is on the area inside and around the VTR reactor vessel since these will likely affect the in-vessel component locations and shields configuration. Three major areas were investigated including the secondary sodium activation rate in the IHX, the air activation rate in RVACS, and the dose rate in HAA and above the operating floor. Several streaming paths were identified</w:t>
      </w:r>
      <w:r w:rsidR="00143C9A">
        <w:rPr>
          <w:lang w:val="en-US"/>
        </w:rPr>
        <w:t xml:space="preserve">. This provide guidance on future iterations between the shielding analysis and the reactor design for VTR. </w:t>
      </w:r>
    </w:p>
    <w:p w14:paraId="433FE095" w14:textId="77777777" w:rsidR="00285755" w:rsidRPr="003C21B3" w:rsidRDefault="00285755" w:rsidP="00537496">
      <w:pPr>
        <w:pStyle w:val="Otherunnumberedheadings"/>
        <w:rPr>
          <w:lang w:val="en-US"/>
        </w:rPr>
      </w:pPr>
      <w:r w:rsidRPr="003C21B3">
        <w:rPr>
          <w:lang w:val="en-US"/>
        </w:rPr>
        <w:t>ACKNOWLEDGEMENTS</w:t>
      </w:r>
    </w:p>
    <w:p w14:paraId="46EC31FD" w14:textId="73E8B074" w:rsidR="00B256B7" w:rsidRDefault="008512D8" w:rsidP="00035CC2">
      <w:pPr>
        <w:pStyle w:val="BodyText"/>
        <w:rPr>
          <w:lang w:val="en-US"/>
        </w:rPr>
      </w:pPr>
      <w:r w:rsidRPr="003C21B3">
        <w:rPr>
          <w:lang w:val="en-US"/>
        </w:rPr>
        <w:t xml:space="preserve">The submitted manuscript has been created by </w:t>
      </w:r>
      <w:proofErr w:type="spellStart"/>
      <w:r w:rsidRPr="003C21B3">
        <w:rPr>
          <w:lang w:val="en-US"/>
        </w:rPr>
        <w:t>UChicago</w:t>
      </w:r>
      <w:proofErr w:type="spellEnd"/>
      <w:r w:rsidRPr="003C21B3">
        <w:rPr>
          <w:lang w:val="en-US"/>
        </w:rPr>
        <w:t xml:space="preserve"> Argonne, LLC, Operator of Argonne National Laboratory (“Argonne”). Argonne National Laboratory’s work was supported by the U.S. Department of Energy, Office of Nuclear Energy under contract DE-AC02-06CH11357. </w:t>
      </w:r>
      <w:r w:rsidR="00B256B7" w:rsidRPr="00B256B7">
        <w:rPr>
          <w:lang w:val="en-US"/>
        </w:rPr>
        <w:t>The work reported in this summary is the result of ongoing efforts supporting the Versatile Test Reactor</w:t>
      </w:r>
      <w:r w:rsidR="00B256B7">
        <w:rPr>
          <w:lang w:val="en-US"/>
        </w:rPr>
        <w:t>.</w:t>
      </w:r>
    </w:p>
    <w:p w14:paraId="433FE097" w14:textId="77777777" w:rsidR="00D26ADA" w:rsidRPr="003C21B3" w:rsidRDefault="00D26ADA" w:rsidP="00537496">
      <w:pPr>
        <w:pStyle w:val="Otherunnumberedheadings"/>
        <w:rPr>
          <w:lang w:val="en-US"/>
        </w:rPr>
      </w:pPr>
      <w:r w:rsidRPr="003C21B3">
        <w:rPr>
          <w:lang w:val="en-US"/>
        </w:rPr>
        <w:t>References</w:t>
      </w:r>
    </w:p>
    <w:p w14:paraId="433FE098" w14:textId="363688E4" w:rsidR="00285755" w:rsidRDefault="00143C9A" w:rsidP="00537496">
      <w:pPr>
        <w:pStyle w:val="Referencelist"/>
        <w:rPr>
          <w:lang w:val="en-US"/>
        </w:rPr>
      </w:pPr>
      <w:r>
        <w:rPr>
          <w:lang w:val="en-US"/>
        </w:rPr>
        <w:t>WERNER, C.</w:t>
      </w:r>
      <w:r w:rsidRPr="00143C9A">
        <w:rPr>
          <w:lang w:val="en-US"/>
        </w:rPr>
        <w:t xml:space="preserve">, “MCNP </w:t>
      </w:r>
      <w:proofErr w:type="spellStart"/>
      <w:r w:rsidRPr="00143C9A">
        <w:rPr>
          <w:lang w:val="en-US"/>
        </w:rPr>
        <w:t>Users Manual</w:t>
      </w:r>
      <w:proofErr w:type="spellEnd"/>
      <w:r w:rsidRPr="00143C9A">
        <w:rPr>
          <w:lang w:val="en-US"/>
        </w:rPr>
        <w:t xml:space="preserve"> - Code Version 6.2”, LA-UR-17-29981, Los Alamos National Laboratory (2017</w:t>
      </w:r>
      <w:r>
        <w:rPr>
          <w:lang w:val="en-US"/>
        </w:rPr>
        <w:t>).</w:t>
      </w:r>
    </w:p>
    <w:p w14:paraId="652E6792" w14:textId="40472C07" w:rsidR="002940CB" w:rsidRPr="003C21B3" w:rsidRDefault="002940CB" w:rsidP="00537496">
      <w:pPr>
        <w:pStyle w:val="Referencelist"/>
        <w:rPr>
          <w:lang w:val="en-US"/>
        </w:rPr>
      </w:pPr>
      <w:r w:rsidRPr="002940CB">
        <w:rPr>
          <w:lang w:val="en-US"/>
        </w:rPr>
        <w:t>M. B. Chadwick, et al. “ENDF/B-VII.0: Next Generation Evaluated Nuclear Data Library for Nuclear Science and Technology,” Nuclear Data Sheets, 107 (2006), Page 2931 – 3060.</w:t>
      </w:r>
    </w:p>
    <w:p w14:paraId="433FE099" w14:textId="5AB31628" w:rsidR="009E0D5B" w:rsidRPr="003C21B3" w:rsidRDefault="00143C9A" w:rsidP="00537496">
      <w:pPr>
        <w:pStyle w:val="Referencelist"/>
        <w:rPr>
          <w:lang w:val="en-US"/>
        </w:rPr>
      </w:pPr>
      <w:r w:rsidRPr="00143C9A">
        <w:rPr>
          <w:lang w:val="en-US"/>
        </w:rPr>
        <w:t>M</w:t>
      </w:r>
      <w:r>
        <w:rPr>
          <w:lang w:val="en-US"/>
        </w:rPr>
        <w:t>OSHER</w:t>
      </w:r>
      <w:r w:rsidRPr="00143C9A">
        <w:rPr>
          <w:lang w:val="en-US"/>
        </w:rPr>
        <w:t>,</w:t>
      </w:r>
      <w:r>
        <w:rPr>
          <w:lang w:val="en-US"/>
        </w:rPr>
        <w:t xml:space="preserve"> S.</w:t>
      </w:r>
      <w:r w:rsidRPr="00143C9A">
        <w:rPr>
          <w:lang w:val="en-US"/>
        </w:rPr>
        <w:t xml:space="preserve"> et al, “ADVANTG – An Automated Variance Reduction Parameter Generator,” ORNL/TM-2013/416 Rev. 1, Oak Ridge National Laboratory (2015).</w:t>
      </w:r>
    </w:p>
    <w:p w14:paraId="433FE09A" w14:textId="3E5C7698" w:rsidR="009E0D5B" w:rsidRPr="003C21B3" w:rsidRDefault="00143C9A" w:rsidP="00537496">
      <w:pPr>
        <w:pStyle w:val="Referencelist"/>
        <w:rPr>
          <w:lang w:val="en-US"/>
        </w:rPr>
      </w:pPr>
      <w:r>
        <w:rPr>
          <w:lang w:val="en-US"/>
        </w:rPr>
        <w:t xml:space="preserve">10CFR 20 </w:t>
      </w:r>
      <w:r w:rsidRPr="00143C9A">
        <w:rPr>
          <w:lang w:val="en-US"/>
        </w:rPr>
        <w:t>Appendix B—Annual Limits on Intake (ALIs) and Derived Air Concentrations (DACs) of Radionuclides for Occupational Exposure; Effluent Concentrations; Concentrations for Release to Sewerage</w:t>
      </w:r>
    </w:p>
    <w:p w14:paraId="433FE0B6" w14:textId="2FA134DA" w:rsidR="00F45EEE" w:rsidRDefault="00F45EEE" w:rsidP="00537496">
      <w:pPr>
        <w:pStyle w:val="BodyText"/>
        <w:ind w:firstLine="0"/>
        <w:jc w:val="left"/>
        <w:rPr>
          <w:lang w:val="en-US"/>
        </w:rPr>
      </w:pPr>
    </w:p>
    <w:p w14:paraId="56756A28" w14:textId="71766E00" w:rsidR="0033671C" w:rsidRDefault="0033671C" w:rsidP="00537496">
      <w:pPr>
        <w:pStyle w:val="BodyText"/>
        <w:ind w:firstLine="0"/>
        <w:jc w:val="left"/>
        <w:rPr>
          <w:lang w:val="en-US"/>
        </w:rPr>
      </w:pPr>
    </w:p>
    <w:p w14:paraId="6766DE4C" w14:textId="77777777" w:rsidR="0033671C" w:rsidRPr="003C21B3" w:rsidRDefault="0033671C" w:rsidP="00537496">
      <w:pPr>
        <w:pStyle w:val="BodyText"/>
        <w:ind w:firstLine="0"/>
        <w:jc w:val="left"/>
        <w:rPr>
          <w:lang w:val="en-US"/>
        </w:rPr>
      </w:pPr>
    </w:p>
    <w:sectPr w:rsidR="0033671C" w:rsidRPr="003C21B3" w:rsidSect="0026525A">
      <w:headerReference w:type="even" r:id="rId17"/>
      <w:headerReference w:type="default" r:id="rId18"/>
      <w:footerReference w:type="even" r:id="rId19"/>
      <w:footerReference w:type="default" r:id="rId20"/>
      <w:headerReference w:type="first" r:id="rId21"/>
      <w:footerReference w:type="first" r:id="rId22"/>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532DF" w14:textId="77777777" w:rsidR="00A33C1E" w:rsidRDefault="00A33C1E">
      <w:r>
        <w:separator/>
      </w:r>
    </w:p>
  </w:endnote>
  <w:endnote w:type="continuationSeparator" w:id="0">
    <w:p w14:paraId="28319511" w14:textId="77777777" w:rsidR="00A33C1E" w:rsidRDefault="00A33C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Times New Roman Bold">
    <w:altName w:val="Times New Roman"/>
    <w:panose1 w:val="020B06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6" w14:textId="458C1B11" w:rsidR="00703140" w:rsidRDefault="00703140">
    <w:pPr>
      <w:pStyle w:val="zyxClassification1"/>
    </w:pPr>
    <w:r>
      <w:fldChar w:fldCharType="begin"/>
    </w:r>
    <w:r>
      <w:instrText xml:space="preserve"> DOCPROPERTY "IaeaClassification"  \* MERGEFORMAT </w:instrText>
    </w:r>
    <w:r>
      <w:fldChar w:fldCharType="end"/>
    </w:r>
  </w:p>
  <w:p w14:paraId="433FE0C7" w14:textId="6AD333F0" w:rsidR="00703140" w:rsidRDefault="0070314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8" w14:textId="1976FA99" w:rsidR="00703140" w:rsidRDefault="00703140">
    <w:pPr>
      <w:pStyle w:val="zyxClassification1"/>
    </w:pPr>
    <w:r>
      <w:fldChar w:fldCharType="begin"/>
    </w:r>
    <w:r>
      <w:instrText xml:space="preserve"> DOCPROPERTY "IaeaClassification"  \* MERGEFORMAT </w:instrText>
    </w:r>
    <w:r>
      <w:fldChar w:fldCharType="end"/>
    </w:r>
  </w:p>
  <w:p w14:paraId="433FE0C9" w14:textId="1E91D937" w:rsidR="00703140" w:rsidRPr="00037321" w:rsidRDefault="00703140">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Pr>
        <w:rFonts w:ascii="Times New Roman" w:hAnsi="Times New Roman" w:cs="Times New Roman"/>
        <w:noProof/>
        <w:sz w:val="20"/>
      </w:rPr>
      <w:t>1</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703140" w14:paraId="433FE0D8" w14:textId="77777777">
      <w:trPr>
        <w:cantSplit/>
      </w:trPr>
      <w:tc>
        <w:tcPr>
          <w:tcW w:w="4644" w:type="dxa"/>
        </w:tcPr>
        <w:p w14:paraId="433FE0D4" w14:textId="3B882C4B" w:rsidR="00703140" w:rsidRDefault="0070314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1E4DFF70" w:rsidR="00703140" w:rsidRDefault="0070314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1" w:name="DOC_bkmClassification2"/>
      <w:tc>
        <w:tcPr>
          <w:tcW w:w="5670" w:type="dxa"/>
          <w:tcMar>
            <w:right w:w="249" w:type="dxa"/>
          </w:tcMar>
        </w:tcPr>
        <w:p w14:paraId="433FE0D6" w14:textId="77FED0ED" w:rsidR="00703140" w:rsidRDefault="0070314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433FE0D7" w14:textId="3FEF314B" w:rsidR="00703140" w:rsidRDefault="0070314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2" w:name="DOC_bkmFileName"/>
  <w:p w14:paraId="433FE0D9" w14:textId="5F1DF2B2" w:rsidR="00703140" w:rsidRDefault="00703140">
    <w:r>
      <w:rPr>
        <w:sz w:val="16"/>
      </w:rPr>
      <w:fldChar w:fldCharType="begin"/>
    </w:r>
    <w:r>
      <w:rPr>
        <w:sz w:val="16"/>
      </w:rPr>
      <w:instrText xml:space="preserve"> FILENAME \* MERGEFORMAT </w:instrText>
    </w:r>
    <w:r>
      <w:rPr>
        <w:sz w:val="16"/>
      </w:rPr>
      <w:fldChar w:fldCharType="separate"/>
    </w:r>
    <w:r w:rsidR="00803555">
      <w:rPr>
        <w:noProof/>
        <w:sz w:val="16"/>
      </w:rPr>
      <w:t>FR21_VTRShielding_F.docx</w:t>
    </w:r>
    <w:r>
      <w:rPr>
        <w:sz w:val="16"/>
      </w:rPr>
      <w:fldChar w:fldCharType="end"/>
    </w:r>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7EE69" w14:textId="77777777" w:rsidR="00A33C1E" w:rsidRDefault="00A33C1E">
      <w:r>
        <w:t>___________________________________________________________________________</w:t>
      </w:r>
    </w:p>
  </w:footnote>
  <w:footnote w:type="continuationSeparator" w:id="0">
    <w:p w14:paraId="61B6AF0F" w14:textId="77777777" w:rsidR="00A33C1E" w:rsidRDefault="00A33C1E">
      <w:r>
        <w:t>___________________________________________________________________________</w:t>
      </w:r>
    </w:p>
  </w:footnote>
  <w:footnote w:type="continuationNotice" w:id="1">
    <w:p w14:paraId="5AE5CB43" w14:textId="77777777" w:rsidR="00A33C1E" w:rsidRDefault="00A33C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1" w14:textId="493D1ACA" w:rsidR="00703140" w:rsidRPr="009E1558" w:rsidRDefault="00703140" w:rsidP="00F1703C">
    <w:pPr>
      <w:pStyle w:val="Runninghead"/>
      <w:rPr>
        <w:color w:val="BFBFBF" w:themeColor="background1" w:themeShade="BF"/>
      </w:rPr>
    </w:pPr>
    <w:r>
      <w:tab/>
      <w:t>FR21: IAEA-CN-291</w:t>
    </w:r>
    <w:r w:rsidR="00F1703C">
      <w:t>-265</w:t>
    </w:r>
  </w:p>
  <w:p w14:paraId="433FE0C2" w14:textId="0679092E" w:rsidR="00703140" w:rsidRDefault="00703140"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14:paraId="433FE0C3" w14:textId="7EA66C2E" w:rsidR="00703140" w:rsidRDefault="0070314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5" w14:textId="47389B89" w:rsidR="00703140" w:rsidRPr="00A223BB" w:rsidRDefault="00703140" w:rsidP="00A223BB">
    <w:pPr>
      <w:pStyle w:val="Runninghead"/>
    </w:pPr>
    <w:r>
      <w:t>T. Fei, S. Bays, and F. Heidet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703140" w14:paraId="433FE0CE" w14:textId="77777777">
      <w:trPr>
        <w:cantSplit/>
        <w:trHeight w:val="716"/>
      </w:trPr>
      <w:tc>
        <w:tcPr>
          <w:tcW w:w="979" w:type="dxa"/>
          <w:vMerge w:val="restart"/>
        </w:tcPr>
        <w:p w14:paraId="433FE0CA" w14:textId="77777777" w:rsidR="00703140" w:rsidRDefault="00703140">
          <w:pPr>
            <w:spacing w:before="180"/>
            <w:ind w:left="17"/>
          </w:pPr>
        </w:p>
      </w:tc>
      <w:tc>
        <w:tcPr>
          <w:tcW w:w="3638" w:type="dxa"/>
          <w:vAlign w:val="bottom"/>
        </w:tcPr>
        <w:p w14:paraId="433FE0CB" w14:textId="77777777" w:rsidR="00703140" w:rsidRDefault="00703140">
          <w:pPr>
            <w:spacing w:after="20"/>
          </w:pPr>
        </w:p>
      </w:tc>
      <w:bookmarkStart w:id="0" w:name="DOC_bkmClassification1"/>
      <w:tc>
        <w:tcPr>
          <w:tcW w:w="5702" w:type="dxa"/>
          <w:vMerge w:val="restart"/>
          <w:tcMar>
            <w:right w:w="193" w:type="dxa"/>
          </w:tcMar>
        </w:tcPr>
        <w:p w14:paraId="433FE0CC" w14:textId="2407135B" w:rsidR="00703140" w:rsidRDefault="0070314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0"/>
        <w:p w14:paraId="433FE0CD" w14:textId="6F58509F" w:rsidR="00703140" w:rsidRDefault="00703140">
          <w:pPr>
            <w:pStyle w:val="zyxConfid2Red"/>
          </w:pPr>
          <w:r>
            <w:fldChar w:fldCharType="begin"/>
          </w:r>
          <w:r>
            <w:instrText>DOCPROPERTY "IaeaClassification2"  \* MERGEFORMAT</w:instrText>
          </w:r>
          <w:r>
            <w:fldChar w:fldCharType="end"/>
          </w:r>
        </w:p>
      </w:tc>
    </w:tr>
    <w:tr w:rsidR="00703140" w14:paraId="433FE0D2" w14:textId="77777777">
      <w:trPr>
        <w:cantSplit/>
        <w:trHeight w:val="167"/>
      </w:trPr>
      <w:tc>
        <w:tcPr>
          <w:tcW w:w="979" w:type="dxa"/>
          <w:vMerge/>
        </w:tcPr>
        <w:p w14:paraId="433FE0CF" w14:textId="77777777" w:rsidR="00703140" w:rsidRDefault="00703140">
          <w:pPr>
            <w:spacing w:before="57"/>
          </w:pPr>
        </w:p>
      </w:tc>
      <w:tc>
        <w:tcPr>
          <w:tcW w:w="3638" w:type="dxa"/>
          <w:vAlign w:val="bottom"/>
        </w:tcPr>
        <w:p w14:paraId="433FE0D0" w14:textId="77777777" w:rsidR="00703140" w:rsidRDefault="00703140">
          <w:pPr>
            <w:pStyle w:val="Heading9"/>
            <w:spacing w:before="0" w:after="10"/>
          </w:pPr>
        </w:p>
      </w:tc>
      <w:tc>
        <w:tcPr>
          <w:tcW w:w="5702" w:type="dxa"/>
          <w:vMerge/>
          <w:vAlign w:val="bottom"/>
        </w:tcPr>
        <w:p w14:paraId="433FE0D1" w14:textId="77777777" w:rsidR="00703140" w:rsidRDefault="00703140">
          <w:pPr>
            <w:pStyle w:val="Heading9"/>
            <w:spacing w:before="0" w:after="10"/>
          </w:pPr>
        </w:p>
      </w:tc>
    </w:tr>
  </w:tbl>
  <w:p w14:paraId="433FE0D3" w14:textId="77777777" w:rsidR="00703140" w:rsidRDefault="0070314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30F73"/>
    <w:multiLevelType w:val="hybridMultilevel"/>
    <w:tmpl w:val="20C474A2"/>
    <w:lvl w:ilvl="0" w:tplc="652E1A3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3" w15:restartNumberingAfterBreak="0">
    <w:nsid w:val="0FF905C4"/>
    <w:multiLevelType w:val="hybridMultilevel"/>
    <w:tmpl w:val="80608982"/>
    <w:lvl w:ilvl="0" w:tplc="7B9CA0E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190C221C"/>
    <w:multiLevelType w:val="hybridMultilevel"/>
    <w:tmpl w:val="8CD68D98"/>
    <w:lvl w:ilvl="0" w:tplc="F03AA2DC">
      <w:start w:val="1"/>
      <w:numFmt w:val="decimal"/>
      <w:lvlText w:val="%1."/>
      <w:lvlJc w:val="left"/>
      <w:pPr>
        <w:ind w:left="72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DF6D4F"/>
    <w:multiLevelType w:val="hybridMultilevel"/>
    <w:tmpl w:val="69D0D8FA"/>
    <w:lvl w:ilvl="0" w:tplc="F03AA2DC">
      <w:start w:val="1"/>
      <w:numFmt w:val="decimal"/>
      <w:lvlText w:val="%1."/>
      <w:lvlJc w:val="left"/>
      <w:pPr>
        <w:ind w:left="72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10" w15:restartNumberingAfterBreak="0">
    <w:nsid w:val="3A632A8B"/>
    <w:multiLevelType w:val="hybridMultilevel"/>
    <w:tmpl w:val="7B32D158"/>
    <w:lvl w:ilvl="0" w:tplc="B54E07A4">
      <w:start w:val="1"/>
      <w:numFmt w:val="bullet"/>
      <w:lvlText w:val=""/>
      <w:lvlJc w:val="left"/>
      <w:pPr>
        <w:ind w:left="720" w:hanging="360"/>
      </w:pPr>
      <w:rPr>
        <w:rFonts w:ascii="Symbol" w:hAnsi="Symbol" w:hint="default"/>
        <w14:textOutline w14:w="9525" w14:cap="rnd" w14:cmpd="sng" w14:algn="ctr">
          <w14:solidFill>
            <w14:schemeClr w14:val="tx1"/>
          </w14:solidFill>
          <w14:prstDash w14:val="solid"/>
          <w14:bevel/>
        </w14:textOut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B2962F4"/>
    <w:multiLevelType w:val="hybridMultilevel"/>
    <w:tmpl w:val="E67CB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430B67"/>
    <w:multiLevelType w:val="hybridMultilevel"/>
    <w:tmpl w:val="E6F6EA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B07072"/>
    <w:multiLevelType w:val="hybridMultilevel"/>
    <w:tmpl w:val="8A7C3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351A5A"/>
    <w:multiLevelType w:val="hybridMultilevel"/>
    <w:tmpl w:val="5764F5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7"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20"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6"/>
  </w:num>
  <w:num w:numId="2">
    <w:abstractNumId w:val="7"/>
  </w:num>
  <w:num w:numId="3">
    <w:abstractNumId w:val="19"/>
  </w:num>
  <w:num w:numId="4">
    <w:abstractNumId w:val="19"/>
  </w:num>
  <w:num w:numId="5">
    <w:abstractNumId w:val="19"/>
  </w:num>
  <w:num w:numId="6">
    <w:abstractNumId w:val="9"/>
  </w:num>
  <w:num w:numId="7">
    <w:abstractNumId w:val="17"/>
  </w:num>
  <w:num w:numId="8">
    <w:abstractNumId w:val="20"/>
  </w:num>
  <w:num w:numId="9">
    <w:abstractNumId w:val="2"/>
  </w:num>
  <w:num w:numId="10">
    <w:abstractNumId w:val="19"/>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9"/>
  </w:num>
  <w:num w:numId="12">
    <w:abstractNumId w:val="19"/>
  </w:num>
  <w:num w:numId="13">
    <w:abstractNumId w:val="19"/>
  </w:num>
  <w:num w:numId="14">
    <w:abstractNumId w:val="19"/>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9"/>
  </w:num>
  <w:num w:numId="16">
    <w:abstractNumId w:val="19"/>
  </w:num>
  <w:num w:numId="17">
    <w:abstractNumId w:val="19"/>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4"/>
  </w:num>
  <w:num w:numId="21">
    <w:abstractNumId w:val="19"/>
  </w:num>
  <w:num w:numId="22">
    <w:abstractNumId w:val="6"/>
  </w:num>
  <w:num w:numId="23">
    <w:abstractNumId w:val="1"/>
  </w:num>
  <w:num w:numId="24">
    <w:abstractNumId w:val="18"/>
  </w:num>
  <w:num w:numId="25">
    <w:abstractNumId w:val="19"/>
  </w:num>
  <w:num w:numId="26">
    <w:abstractNumId w:val="19"/>
  </w:num>
  <w:num w:numId="27">
    <w:abstractNumId w:val="19"/>
  </w:num>
  <w:num w:numId="28">
    <w:abstractNumId w:val="19"/>
  </w:num>
  <w:num w:numId="29">
    <w:abstractNumId w:val="19"/>
  </w:num>
  <w:num w:numId="30">
    <w:abstractNumId w:val="13"/>
  </w:num>
  <w:num w:numId="31">
    <w:abstractNumId w:val="13"/>
  </w:num>
  <w:num w:numId="32">
    <w:abstractNumId w:val="19"/>
  </w:num>
  <w:num w:numId="33">
    <w:abstractNumId w:val="5"/>
  </w:num>
  <w:num w:numId="34">
    <w:abstractNumId w:val="8"/>
  </w:num>
  <w:num w:numId="35">
    <w:abstractNumId w:val="12"/>
  </w:num>
  <w:num w:numId="36">
    <w:abstractNumId w:val="11"/>
  </w:num>
  <w:num w:numId="37">
    <w:abstractNumId w:val="15"/>
  </w:num>
  <w:num w:numId="38">
    <w:abstractNumId w:val="14"/>
  </w:num>
  <w:num w:numId="39">
    <w:abstractNumId w:val="0"/>
  </w:num>
  <w:num w:numId="40">
    <w:abstractNumId w:val="3"/>
  </w:num>
  <w:num w:numId="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0970"/>
    <w:rsid w:val="000132C3"/>
    <w:rsid w:val="000135E9"/>
    <w:rsid w:val="000229AB"/>
    <w:rsid w:val="0002569A"/>
    <w:rsid w:val="00033B2D"/>
    <w:rsid w:val="00035CC2"/>
    <w:rsid w:val="00037321"/>
    <w:rsid w:val="00043493"/>
    <w:rsid w:val="00093A64"/>
    <w:rsid w:val="00095B56"/>
    <w:rsid w:val="000A0299"/>
    <w:rsid w:val="000A2990"/>
    <w:rsid w:val="000C4332"/>
    <w:rsid w:val="000D5D82"/>
    <w:rsid w:val="000F7E94"/>
    <w:rsid w:val="001023A7"/>
    <w:rsid w:val="001119D6"/>
    <w:rsid w:val="001308F2"/>
    <w:rsid w:val="001313E8"/>
    <w:rsid w:val="00143C9A"/>
    <w:rsid w:val="00146213"/>
    <w:rsid w:val="00183BC4"/>
    <w:rsid w:val="001C2CAA"/>
    <w:rsid w:val="001C58F5"/>
    <w:rsid w:val="001D5CEE"/>
    <w:rsid w:val="002071D9"/>
    <w:rsid w:val="00220AB3"/>
    <w:rsid w:val="00256822"/>
    <w:rsid w:val="0026525A"/>
    <w:rsid w:val="00274790"/>
    <w:rsid w:val="00285755"/>
    <w:rsid w:val="002940CB"/>
    <w:rsid w:val="002A1F9C"/>
    <w:rsid w:val="002B29C2"/>
    <w:rsid w:val="002C29DB"/>
    <w:rsid w:val="002C3DBE"/>
    <w:rsid w:val="002C4208"/>
    <w:rsid w:val="002D042F"/>
    <w:rsid w:val="002D23F8"/>
    <w:rsid w:val="002E769D"/>
    <w:rsid w:val="002F31C9"/>
    <w:rsid w:val="002F43C2"/>
    <w:rsid w:val="003159C5"/>
    <w:rsid w:val="0033671C"/>
    <w:rsid w:val="00352DE1"/>
    <w:rsid w:val="00367F94"/>
    <w:rsid w:val="003728E6"/>
    <w:rsid w:val="003763E2"/>
    <w:rsid w:val="00396310"/>
    <w:rsid w:val="003B5E0E"/>
    <w:rsid w:val="003C21B3"/>
    <w:rsid w:val="003D255A"/>
    <w:rsid w:val="003F4CEA"/>
    <w:rsid w:val="00416949"/>
    <w:rsid w:val="0042383B"/>
    <w:rsid w:val="004370D8"/>
    <w:rsid w:val="00472C43"/>
    <w:rsid w:val="004A42B5"/>
    <w:rsid w:val="004A530D"/>
    <w:rsid w:val="004D3E95"/>
    <w:rsid w:val="00517204"/>
    <w:rsid w:val="005306C0"/>
    <w:rsid w:val="00537496"/>
    <w:rsid w:val="00544ED3"/>
    <w:rsid w:val="0058477B"/>
    <w:rsid w:val="0058654F"/>
    <w:rsid w:val="00591E05"/>
    <w:rsid w:val="00594B4B"/>
    <w:rsid w:val="00596ACA"/>
    <w:rsid w:val="005B16D3"/>
    <w:rsid w:val="005B48B8"/>
    <w:rsid w:val="005D036F"/>
    <w:rsid w:val="005E39BC"/>
    <w:rsid w:val="005F00A0"/>
    <w:rsid w:val="005F75B8"/>
    <w:rsid w:val="006261DF"/>
    <w:rsid w:val="00647F33"/>
    <w:rsid w:val="00657354"/>
    <w:rsid w:val="00662532"/>
    <w:rsid w:val="0067314E"/>
    <w:rsid w:val="006826FB"/>
    <w:rsid w:val="006840A5"/>
    <w:rsid w:val="00686904"/>
    <w:rsid w:val="006B2274"/>
    <w:rsid w:val="006B2BF5"/>
    <w:rsid w:val="006E3574"/>
    <w:rsid w:val="00703140"/>
    <w:rsid w:val="00717C6F"/>
    <w:rsid w:val="007445DA"/>
    <w:rsid w:val="00744A51"/>
    <w:rsid w:val="00756AF8"/>
    <w:rsid w:val="007617AD"/>
    <w:rsid w:val="00761C4D"/>
    <w:rsid w:val="007872EF"/>
    <w:rsid w:val="007B4D9B"/>
    <w:rsid w:val="007B4FD1"/>
    <w:rsid w:val="007C452B"/>
    <w:rsid w:val="007D7FFE"/>
    <w:rsid w:val="00802381"/>
    <w:rsid w:val="00803555"/>
    <w:rsid w:val="00807411"/>
    <w:rsid w:val="00817299"/>
    <w:rsid w:val="0083096A"/>
    <w:rsid w:val="008512D8"/>
    <w:rsid w:val="0086759F"/>
    <w:rsid w:val="00871F40"/>
    <w:rsid w:val="008726B5"/>
    <w:rsid w:val="00875686"/>
    <w:rsid w:val="00883848"/>
    <w:rsid w:val="008970AA"/>
    <w:rsid w:val="00897ED5"/>
    <w:rsid w:val="008B6BB9"/>
    <w:rsid w:val="008B76D4"/>
    <w:rsid w:val="00906224"/>
    <w:rsid w:val="00911543"/>
    <w:rsid w:val="00927B23"/>
    <w:rsid w:val="00945675"/>
    <w:rsid w:val="009519C9"/>
    <w:rsid w:val="00954F30"/>
    <w:rsid w:val="009A651B"/>
    <w:rsid w:val="009D0B86"/>
    <w:rsid w:val="009D6CFB"/>
    <w:rsid w:val="009E0D5B"/>
    <w:rsid w:val="009E1558"/>
    <w:rsid w:val="009E578C"/>
    <w:rsid w:val="009F0164"/>
    <w:rsid w:val="00A223BB"/>
    <w:rsid w:val="00A233D1"/>
    <w:rsid w:val="00A31362"/>
    <w:rsid w:val="00A33C1E"/>
    <w:rsid w:val="00A42898"/>
    <w:rsid w:val="00A57919"/>
    <w:rsid w:val="00A7350E"/>
    <w:rsid w:val="00A93ACA"/>
    <w:rsid w:val="00AB2175"/>
    <w:rsid w:val="00AB6ACE"/>
    <w:rsid w:val="00AC5A3A"/>
    <w:rsid w:val="00AD18E1"/>
    <w:rsid w:val="00AD3635"/>
    <w:rsid w:val="00AE030D"/>
    <w:rsid w:val="00B256B7"/>
    <w:rsid w:val="00B4473D"/>
    <w:rsid w:val="00B5615E"/>
    <w:rsid w:val="00B604BE"/>
    <w:rsid w:val="00B6102C"/>
    <w:rsid w:val="00B81ABF"/>
    <w:rsid w:val="00B82FA5"/>
    <w:rsid w:val="00BA340B"/>
    <w:rsid w:val="00BB7B24"/>
    <w:rsid w:val="00BD1400"/>
    <w:rsid w:val="00BD605C"/>
    <w:rsid w:val="00BE2A76"/>
    <w:rsid w:val="00C05A85"/>
    <w:rsid w:val="00C17C8D"/>
    <w:rsid w:val="00C24FE8"/>
    <w:rsid w:val="00C31A10"/>
    <w:rsid w:val="00C578F3"/>
    <w:rsid w:val="00C65E60"/>
    <w:rsid w:val="00C65E8B"/>
    <w:rsid w:val="00C701F4"/>
    <w:rsid w:val="00C96C60"/>
    <w:rsid w:val="00C97AA5"/>
    <w:rsid w:val="00CA0102"/>
    <w:rsid w:val="00CC6FDE"/>
    <w:rsid w:val="00CD3122"/>
    <w:rsid w:val="00CE5A52"/>
    <w:rsid w:val="00CF02C2"/>
    <w:rsid w:val="00CF7AF3"/>
    <w:rsid w:val="00D202CE"/>
    <w:rsid w:val="00D26ADA"/>
    <w:rsid w:val="00D27456"/>
    <w:rsid w:val="00D30D18"/>
    <w:rsid w:val="00D35A78"/>
    <w:rsid w:val="00D4708A"/>
    <w:rsid w:val="00D555A1"/>
    <w:rsid w:val="00D61A77"/>
    <w:rsid w:val="00D64DC2"/>
    <w:rsid w:val="00DA23C1"/>
    <w:rsid w:val="00DA46CA"/>
    <w:rsid w:val="00DD4224"/>
    <w:rsid w:val="00DE2BB6"/>
    <w:rsid w:val="00DF21EB"/>
    <w:rsid w:val="00E107D2"/>
    <w:rsid w:val="00E1174D"/>
    <w:rsid w:val="00E13931"/>
    <w:rsid w:val="00E20E70"/>
    <w:rsid w:val="00E25B68"/>
    <w:rsid w:val="00E819A8"/>
    <w:rsid w:val="00E84003"/>
    <w:rsid w:val="00E92DBE"/>
    <w:rsid w:val="00EA27B3"/>
    <w:rsid w:val="00EC10FC"/>
    <w:rsid w:val="00ED0A99"/>
    <w:rsid w:val="00EE0041"/>
    <w:rsid w:val="00EE29B9"/>
    <w:rsid w:val="00F004EE"/>
    <w:rsid w:val="00F1703C"/>
    <w:rsid w:val="00F22BBE"/>
    <w:rsid w:val="00F42E23"/>
    <w:rsid w:val="00F45EEE"/>
    <w:rsid w:val="00F51E9C"/>
    <w:rsid w:val="00F523CA"/>
    <w:rsid w:val="00F65694"/>
    <w:rsid w:val="00F71CB3"/>
    <w:rsid w:val="00F74A9D"/>
    <w:rsid w:val="00F86BEA"/>
    <w:rsid w:val="00FB67E0"/>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5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uiPriority w:val="59"/>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NormalWeb">
    <w:name w:val="Normal (Web)"/>
    <w:basedOn w:val="Normal"/>
    <w:uiPriority w:val="49"/>
    <w:semiHidden/>
    <w:unhideWhenUsed/>
    <w:locked/>
    <w:rsid w:val="002C29DB"/>
    <w:rPr>
      <w:sz w:val="24"/>
      <w:szCs w:val="24"/>
    </w:rPr>
  </w:style>
  <w:style w:type="paragraph" w:customStyle="1" w:styleId="FIG-LONG">
    <w:name w:val="FIG-LONG"/>
    <w:basedOn w:val="Normal"/>
    <w:next w:val="Normal"/>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DefaultParagraphFont"/>
    <w:link w:val="FIG-LONG"/>
    <w:rsid w:val="002C29DB"/>
    <w:rPr>
      <w:rFonts w:eastAsiaTheme="minorEastAsia"/>
      <w:i/>
      <w:iCs/>
      <w:sz w:val="18"/>
      <w:szCs w:val="18"/>
      <w:lang w:eastAsia="en-US"/>
    </w:rPr>
  </w:style>
  <w:style w:type="table" w:customStyle="1" w:styleId="TableGrid1">
    <w:name w:val="Table Grid1"/>
    <w:basedOn w:val="TableNormal"/>
    <w:next w:val="TableGrid"/>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49"/>
    <w:semiHidden/>
    <w:unhideWhenUsed/>
    <w:locked/>
    <w:rsid w:val="00A233D1"/>
    <w:rPr>
      <w:sz w:val="16"/>
      <w:szCs w:val="16"/>
    </w:rPr>
  </w:style>
  <w:style w:type="paragraph" w:styleId="CommentText">
    <w:name w:val="annotation text"/>
    <w:basedOn w:val="Normal"/>
    <w:link w:val="CommentTextChar"/>
    <w:uiPriority w:val="49"/>
    <w:semiHidden/>
    <w:unhideWhenUsed/>
    <w:locked/>
    <w:rsid w:val="00A233D1"/>
    <w:rPr>
      <w:sz w:val="20"/>
    </w:rPr>
  </w:style>
  <w:style w:type="character" w:customStyle="1" w:styleId="CommentTextChar">
    <w:name w:val="Comment Text Char"/>
    <w:basedOn w:val="DefaultParagraphFont"/>
    <w:link w:val="CommentText"/>
    <w:uiPriority w:val="49"/>
    <w:semiHidden/>
    <w:rsid w:val="00A233D1"/>
    <w:rPr>
      <w:lang w:eastAsia="en-US"/>
    </w:rPr>
  </w:style>
  <w:style w:type="paragraph" w:styleId="CommentSubject">
    <w:name w:val="annotation subject"/>
    <w:basedOn w:val="CommentText"/>
    <w:next w:val="CommentText"/>
    <w:link w:val="CommentSubjectChar"/>
    <w:uiPriority w:val="49"/>
    <w:semiHidden/>
    <w:unhideWhenUsed/>
    <w:locked/>
    <w:rsid w:val="00A233D1"/>
    <w:rPr>
      <w:b/>
      <w:bCs/>
    </w:rPr>
  </w:style>
  <w:style w:type="character" w:customStyle="1" w:styleId="CommentSubjectChar">
    <w:name w:val="Comment Subject Char"/>
    <w:basedOn w:val="CommentTextChar"/>
    <w:link w:val="CommentSubject"/>
    <w:uiPriority w:val="49"/>
    <w:semiHidden/>
    <w:rsid w:val="00A233D1"/>
    <w:rPr>
      <w:b/>
      <w:bCs/>
      <w:lang w:eastAsia="en-US"/>
    </w:rPr>
  </w:style>
  <w:style w:type="paragraph" w:styleId="ListParagraph">
    <w:name w:val="List Paragraph"/>
    <w:basedOn w:val="Normal"/>
    <w:uiPriority w:val="34"/>
    <w:qFormat/>
    <w:locked/>
    <w:rsid w:val="00A223BB"/>
    <w:pPr>
      <w:ind w:left="720"/>
      <w:contextualSpacing/>
    </w:pPr>
  </w:style>
  <w:style w:type="table" w:styleId="GridTable1Light">
    <w:name w:val="Grid Table 1 Light"/>
    <w:basedOn w:val="TableNormal"/>
    <w:uiPriority w:val="46"/>
    <w:rsid w:val="0068690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locked/>
    <w:rsid w:val="000009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16204">
      <w:bodyDiv w:val="1"/>
      <w:marLeft w:val="0"/>
      <w:marRight w:val="0"/>
      <w:marTop w:val="0"/>
      <w:marBottom w:val="0"/>
      <w:divBdr>
        <w:top w:val="none" w:sz="0" w:space="0" w:color="auto"/>
        <w:left w:val="none" w:sz="0" w:space="0" w:color="auto"/>
        <w:bottom w:val="none" w:sz="0" w:space="0" w:color="auto"/>
        <w:right w:val="none" w:sz="0" w:space="0" w:color="auto"/>
      </w:divBdr>
    </w:div>
    <w:div w:id="161239709">
      <w:bodyDiv w:val="1"/>
      <w:marLeft w:val="0"/>
      <w:marRight w:val="0"/>
      <w:marTop w:val="0"/>
      <w:marBottom w:val="0"/>
      <w:divBdr>
        <w:top w:val="none" w:sz="0" w:space="0" w:color="auto"/>
        <w:left w:val="none" w:sz="0" w:space="0" w:color="auto"/>
        <w:bottom w:val="none" w:sz="0" w:space="0" w:color="auto"/>
        <w:right w:val="none" w:sz="0" w:space="0" w:color="auto"/>
      </w:divBdr>
    </w:div>
    <w:div w:id="421145909">
      <w:bodyDiv w:val="1"/>
      <w:marLeft w:val="0"/>
      <w:marRight w:val="0"/>
      <w:marTop w:val="0"/>
      <w:marBottom w:val="0"/>
      <w:divBdr>
        <w:top w:val="none" w:sz="0" w:space="0" w:color="auto"/>
        <w:left w:val="none" w:sz="0" w:space="0" w:color="auto"/>
        <w:bottom w:val="none" w:sz="0" w:space="0" w:color="auto"/>
        <w:right w:val="none" w:sz="0" w:space="0" w:color="auto"/>
      </w:divBdr>
    </w:div>
    <w:div w:id="437794815">
      <w:bodyDiv w:val="1"/>
      <w:marLeft w:val="0"/>
      <w:marRight w:val="0"/>
      <w:marTop w:val="0"/>
      <w:marBottom w:val="0"/>
      <w:divBdr>
        <w:top w:val="none" w:sz="0" w:space="0" w:color="auto"/>
        <w:left w:val="none" w:sz="0" w:space="0" w:color="auto"/>
        <w:bottom w:val="none" w:sz="0" w:space="0" w:color="auto"/>
        <w:right w:val="none" w:sz="0" w:space="0" w:color="auto"/>
      </w:divBdr>
    </w:div>
    <w:div w:id="623928985">
      <w:bodyDiv w:val="1"/>
      <w:marLeft w:val="0"/>
      <w:marRight w:val="0"/>
      <w:marTop w:val="0"/>
      <w:marBottom w:val="0"/>
      <w:divBdr>
        <w:top w:val="none" w:sz="0" w:space="0" w:color="auto"/>
        <w:left w:val="none" w:sz="0" w:space="0" w:color="auto"/>
        <w:bottom w:val="none" w:sz="0" w:space="0" w:color="auto"/>
        <w:right w:val="none" w:sz="0" w:space="0" w:color="auto"/>
      </w:divBdr>
    </w:div>
    <w:div w:id="1106851912">
      <w:bodyDiv w:val="1"/>
      <w:marLeft w:val="0"/>
      <w:marRight w:val="0"/>
      <w:marTop w:val="0"/>
      <w:marBottom w:val="0"/>
      <w:divBdr>
        <w:top w:val="none" w:sz="0" w:space="0" w:color="auto"/>
        <w:left w:val="none" w:sz="0" w:space="0" w:color="auto"/>
        <w:bottom w:val="none" w:sz="0" w:space="0" w:color="auto"/>
        <w:right w:val="none" w:sz="0" w:space="0" w:color="auto"/>
      </w:divBdr>
    </w:div>
    <w:div w:id="1512261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energy.gov/downloads/doe-public-access-plan"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energy.gov/downloads/doe-public-access-plan"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40506F63AEA9B48A1EA3BD523D5F0DA" ma:contentTypeVersion="11" ma:contentTypeDescription="Create a new document." ma:contentTypeScope="" ma:versionID="c22e2924e7d253c391a8e892a60abda6">
  <xsd:schema xmlns:xsd="http://www.w3.org/2001/XMLSchema" xmlns:xs="http://www.w3.org/2001/XMLSchema" xmlns:p="http://schemas.microsoft.com/office/2006/metadata/properties" xmlns:ns3="4205daa0-f327-4197-9ee8-0dbf2111732f" xmlns:ns4="ee5a38d7-e8f2-4c39-8731-41610417e3a7" targetNamespace="http://schemas.microsoft.com/office/2006/metadata/properties" ma:root="true" ma:fieldsID="c1db1d2f29abe4f3b18cd9d39da00960" ns3:_="" ns4:_="">
    <xsd:import namespace="4205daa0-f327-4197-9ee8-0dbf2111732f"/>
    <xsd:import namespace="ee5a38d7-e8f2-4c39-8731-41610417e3a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05daa0-f327-4197-9ee8-0dbf211173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5a38d7-e8f2-4c39-8731-41610417e3a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2E6F7E8-C907-45D6-87FB-5C439F811E2B}">
  <ds:schemaRefs>
    <ds:schemaRef ds:uri="http://schemas.openxmlformats.org/officeDocument/2006/bibliography"/>
  </ds:schemaRefs>
</ds:datastoreItem>
</file>

<file path=customXml/itemProps2.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3.xml><?xml version="1.0" encoding="utf-8"?>
<ds:datastoreItem xmlns:ds="http://schemas.openxmlformats.org/officeDocument/2006/customXml" ds:itemID="{CE252482-1617-4E76-A7C8-50D8401246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05daa0-f327-4197-9ee8-0dbf2111732f"/>
    <ds:schemaRef ds:uri="ee5a38d7-e8f2-4c39-8731-41610417e3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C:\WINDOWS\IAEA\Templates\O365\IAEA Blank (r01).dotx</Template>
  <TotalTime>50</TotalTime>
  <Pages>8</Pages>
  <Words>2945</Words>
  <Characters>16787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19693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Fei, Tingzhou</cp:lastModifiedBy>
  <cp:revision>10</cp:revision>
  <cp:lastPrinted>2021-02-16T22:41:00Z</cp:lastPrinted>
  <dcterms:created xsi:type="dcterms:W3CDTF">2022-02-24T19:21:00Z</dcterms:created>
  <dcterms:modified xsi:type="dcterms:W3CDTF">2022-02-24T22:05:00Z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0x010100E40506F63AEA9B48A1EA3BD523D5F0DA</vt:lpwstr>
  </property>
  <property fmtid="{D5CDD505-2E9C-101B-9397-08002B2CF9AE}" pid="12" name="_dlc_DocIdItemGuid">
    <vt:lpwstr>624d8e63-e3f6-4681-83c2-57c583c02431</vt:lpwstr>
  </property>
  <property fmtid="{D5CDD505-2E9C-101B-9397-08002B2CF9AE}" pid="13" name="_NewReviewCycle">
    <vt:lpwstr/>
  </property>
</Properties>
</file>