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9BB7" w14:textId="077BEA70" w:rsidR="006C6963" w:rsidRPr="006B7EA4" w:rsidRDefault="00C37E90" w:rsidP="00C37E90">
      <w:pPr>
        <w:pStyle w:val="Standard"/>
        <w:ind w:left="567"/>
        <w:rPr>
          <w:b/>
          <w:lang w:val="en-US"/>
        </w:rPr>
      </w:pPr>
      <w:r w:rsidRPr="006B7EA4">
        <w:rPr>
          <w:b/>
          <w:lang w:val="en-US"/>
        </w:rPr>
        <w:t>CORROSION HYDROGEN MASS TRANSFER IN FAST REACTOR STEAM GENERATORS OF THE SODIUM-WATER TYPE</w:t>
      </w:r>
    </w:p>
    <w:p w14:paraId="1C2F1BEA" w14:textId="77777777" w:rsidR="006C6963" w:rsidRPr="006B7EA4" w:rsidRDefault="006C6963" w:rsidP="00537496">
      <w:pPr>
        <w:pStyle w:val="Authornameandaffiliation"/>
      </w:pPr>
    </w:p>
    <w:p w14:paraId="11F0ADD0" w14:textId="63671B38" w:rsidR="006C6963" w:rsidRPr="006B7EA4" w:rsidRDefault="006C6963" w:rsidP="006C6963">
      <w:pPr>
        <w:pStyle w:val="Standard"/>
        <w:ind w:left="567"/>
        <w:rPr>
          <w:sz w:val="20"/>
          <w:szCs w:val="20"/>
          <w:lang w:val="en-US"/>
        </w:rPr>
      </w:pPr>
      <w:r w:rsidRPr="006B7EA4">
        <w:rPr>
          <w:sz w:val="20"/>
          <w:szCs w:val="20"/>
          <w:lang w:val="en-US"/>
        </w:rPr>
        <w:t xml:space="preserve">V.B. </w:t>
      </w:r>
      <w:proofErr w:type="spellStart"/>
      <w:r w:rsidRPr="006B7EA4">
        <w:rPr>
          <w:sz w:val="20"/>
          <w:szCs w:val="20"/>
          <w:lang w:val="en-US"/>
        </w:rPr>
        <w:t>Smykov</w:t>
      </w:r>
      <w:proofErr w:type="spellEnd"/>
      <w:r w:rsidR="00967608" w:rsidRPr="006B7EA4">
        <w:rPr>
          <w:sz w:val="20"/>
          <w:szCs w:val="20"/>
          <w:lang w:val="en-US"/>
        </w:rPr>
        <w:t>, PhD</w:t>
      </w:r>
    </w:p>
    <w:p w14:paraId="61E80DA6" w14:textId="0C1A4FF4" w:rsidR="006C6963" w:rsidRPr="006B7EA4" w:rsidRDefault="008B5737" w:rsidP="006C6963">
      <w:pPr>
        <w:pStyle w:val="Standard"/>
        <w:ind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IPPE JSC</w:t>
      </w:r>
    </w:p>
    <w:p w14:paraId="5287CA6C" w14:textId="77E24D37" w:rsidR="006C6963" w:rsidRPr="006B7EA4" w:rsidRDefault="006C6963" w:rsidP="006C6963">
      <w:pPr>
        <w:pStyle w:val="Standard"/>
        <w:ind w:left="567"/>
        <w:rPr>
          <w:sz w:val="20"/>
          <w:szCs w:val="20"/>
          <w:lang w:val="en-US"/>
        </w:rPr>
      </w:pPr>
      <w:proofErr w:type="spellStart"/>
      <w:r w:rsidRPr="006B7EA4">
        <w:rPr>
          <w:sz w:val="20"/>
          <w:szCs w:val="20"/>
          <w:lang w:val="en-US"/>
        </w:rPr>
        <w:t>Obninsk</w:t>
      </w:r>
      <w:proofErr w:type="spellEnd"/>
      <w:r w:rsidRPr="006B7EA4">
        <w:rPr>
          <w:sz w:val="20"/>
          <w:szCs w:val="20"/>
          <w:lang w:val="en-US"/>
        </w:rPr>
        <w:t xml:space="preserve">, </w:t>
      </w:r>
      <w:r w:rsidR="0060028A" w:rsidRPr="006B7EA4">
        <w:rPr>
          <w:sz w:val="20"/>
          <w:szCs w:val="20"/>
          <w:lang w:val="en-US"/>
        </w:rPr>
        <w:t>Russian Federation</w:t>
      </w:r>
    </w:p>
    <w:p w14:paraId="2003F4DB" w14:textId="169E4504" w:rsidR="006C6963" w:rsidRPr="006B7EA4" w:rsidRDefault="006C6963" w:rsidP="006C6963">
      <w:pPr>
        <w:pStyle w:val="Standard"/>
        <w:ind w:left="567"/>
        <w:rPr>
          <w:sz w:val="20"/>
          <w:szCs w:val="20"/>
          <w:lang w:val="en-US"/>
        </w:rPr>
      </w:pPr>
      <w:r w:rsidRPr="006B7EA4">
        <w:rPr>
          <w:sz w:val="20"/>
          <w:szCs w:val="20"/>
          <w:lang w:val="en-US"/>
        </w:rPr>
        <w:t>Email</w:t>
      </w:r>
      <w:r w:rsidR="00094EDC" w:rsidRPr="006B7EA4">
        <w:rPr>
          <w:sz w:val="20"/>
          <w:szCs w:val="20"/>
          <w:lang w:val="en-US"/>
        </w:rPr>
        <w:t xml:space="preserve">: </w:t>
      </w:r>
      <w:hyperlink r:id="rId11" w:history="1">
        <w:r w:rsidR="00C37E90" w:rsidRPr="006B7EA4">
          <w:rPr>
            <w:rStyle w:val="af8"/>
            <w:sz w:val="20"/>
            <w:szCs w:val="20"/>
            <w:lang w:val="en-US"/>
          </w:rPr>
          <w:t>smykov@ippe.ru</w:t>
        </w:r>
      </w:hyperlink>
    </w:p>
    <w:p w14:paraId="336529D8" w14:textId="77777777" w:rsidR="00C37E90" w:rsidRPr="006B7EA4" w:rsidRDefault="00C37E90" w:rsidP="006C6963">
      <w:pPr>
        <w:pStyle w:val="Standard"/>
        <w:ind w:left="567"/>
        <w:rPr>
          <w:sz w:val="20"/>
          <w:szCs w:val="20"/>
          <w:lang w:val="en-US"/>
        </w:rPr>
      </w:pPr>
      <w:bookmarkStart w:id="0" w:name="_GoBack"/>
      <w:bookmarkEnd w:id="0"/>
    </w:p>
    <w:p w14:paraId="50CA78C1" w14:textId="14A3E59F" w:rsidR="00C37E90" w:rsidRPr="006B7EA4" w:rsidRDefault="00270E33" w:rsidP="00C37E90">
      <w:pPr>
        <w:pStyle w:val="Authornameandaffiliation"/>
      </w:pPr>
      <w:r w:rsidRPr="006B7EA4">
        <w:t xml:space="preserve">K.G. </w:t>
      </w:r>
      <w:proofErr w:type="spellStart"/>
      <w:r w:rsidRPr="006B7EA4">
        <w:t>Legkikh</w:t>
      </w:r>
      <w:proofErr w:type="spellEnd"/>
    </w:p>
    <w:p w14:paraId="028756D7" w14:textId="77777777" w:rsidR="00C37E90" w:rsidRPr="006B7EA4" w:rsidRDefault="00C37E90" w:rsidP="00C37E90">
      <w:pPr>
        <w:pStyle w:val="Authornameandaffiliation"/>
      </w:pPr>
      <w:r w:rsidRPr="006B7EA4">
        <w:t>IPPE JSC</w:t>
      </w:r>
    </w:p>
    <w:p w14:paraId="1D1B179A" w14:textId="652E74E0" w:rsidR="00C37E90" w:rsidRPr="006B7EA4" w:rsidRDefault="00C37E90" w:rsidP="00C37E90">
      <w:pPr>
        <w:pStyle w:val="Authornameandaffiliation"/>
      </w:pPr>
      <w:proofErr w:type="spellStart"/>
      <w:r w:rsidRPr="006B7EA4">
        <w:t>Obninsk</w:t>
      </w:r>
      <w:proofErr w:type="spellEnd"/>
      <w:r w:rsidRPr="006B7EA4">
        <w:t xml:space="preserve">, </w:t>
      </w:r>
      <w:r w:rsidR="0060028A" w:rsidRPr="006B7EA4">
        <w:t>Russian Federation</w:t>
      </w:r>
    </w:p>
    <w:p w14:paraId="07F09B39" w14:textId="77777777" w:rsidR="006C6963" w:rsidRPr="006B7EA4" w:rsidRDefault="006C6963" w:rsidP="006C6963">
      <w:pPr>
        <w:pStyle w:val="Standard"/>
        <w:ind w:left="567"/>
        <w:rPr>
          <w:sz w:val="20"/>
          <w:szCs w:val="20"/>
          <w:lang w:val="en-US"/>
        </w:rPr>
      </w:pPr>
    </w:p>
    <w:p w14:paraId="7909A385" w14:textId="5AC5E653" w:rsidR="00C37E90" w:rsidRPr="006B7EA4" w:rsidRDefault="00C37E90" w:rsidP="006C6963">
      <w:pPr>
        <w:pStyle w:val="Standard"/>
        <w:ind w:left="567"/>
        <w:rPr>
          <w:sz w:val="20"/>
          <w:szCs w:val="20"/>
          <w:lang w:val="en-US"/>
        </w:rPr>
      </w:pPr>
      <w:r w:rsidRPr="006B7EA4">
        <w:rPr>
          <w:sz w:val="20"/>
          <w:szCs w:val="20"/>
          <w:lang w:val="en-US"/>
        </w:rPr>
        <w:t xml:space="preserve">S.V. </w:t>
      </w:r>
      <w:proofErr w:type="spellStart"/>
      <w:r w:rsidRPr="006B7EA4">
        <w:rPr>
          <w:sz w:val="20"/>
          <w:szCs w:val="20"/>
          <w:lang w:val="en-US"/>
        </w:rPr>
        <w:t>Kanukhina</w:t>
      </w:r>
      <w:proofErr w:type="spellEnd"/>
    </w:p>
    <w:p w14:paraId="3E44E949" w14:textId="4246A6D1" w:rsidR="00C37E90" w:rsidRPr="006B7EA4" w:rsidRDefault="00C37E90" w:rsidP="00C37E90">
      <w:pPr>
        <w:pStyle w:val="Standard"/>
        <w:ind w:left="567"/>
        <w:rPr>
          <w:sz w:val="20"/>
          <w:szCs w:val="20"/>
          <w:lang w:val="en-US"/>
        </w:rPr>
      </w:pPr>
      <w:r w:rsidRPr="006B7EA4">
        <w:rPr>
          <w:sz w:val="20"/>
          <w:szCs w:val="20"/>
          <w:lang w:val="en-US"/>
        </w:rPr>
        <w:t>IPPE JSC</w:t>
      </w:r>
    </w:p>
    <w:p w14:paraId="5EA1ABB9" w14:textId="4018BF89" w:rsidR="00094EDC" w:rsidRPr="006B7EA4" w:rsidRDefault="00C37E90" w:rsidP="006C6963">
      <w:pPr>
        <w:pStyle w:val="Standard"/>
        <w:ind w:left="567"/>
        <w:rPr>
          <w:sz w:val="20"/>
          <w:szCs w:val="20"/>
          <w:lang w:val="en-US"/>
        </w:rPr>
      </w:pPr>
      <w:proofErr w:type="spellStart"/>
      <w:r w:rsidRPr="006B7EA4">
        <w:rPr>
          <w:sz w:val="20"/>
          <w:szCs w:val="20"/>
          <w:lang w:val="en-US"/>
        </w:rPr>
        <w:t>Obninsk</w:t>
      </w:r>
      <w:proofErr w:type="spellEnd"/>
      <w:r w:rsidRPr="006B7EA4">
        <w:rPr>
          <w:sz w:val="20"/>
          <w:szCs w:val="20"/>
          <w:lang w:val="en-US"/>
        </w:rPr>
        <w:t xml:space="preserve">, </w:t>
      </w:r>
      <w:r w:rsidR="0060028A" w:rsidRPr="006B7EA4">
        <w:rPr>
          <w:sz w:val="20"/>
          <w:szCs w:val="20"/>
          <w:lang w:val="en-US"/>
        </w:rPr>
        <w:t>Russian Federation</w:t>
      </w:r>
    </w:p>
    <w:p w14:paraId="433FE048" w14:textId="77777777" w:rsidR="00FF386F" w:rsidRPr="006B7EA4" w:rsidRDefault="00FF386F" w:rsidP="00537496">
      <w:pPr>
        <w:pStyle w:val="Authornameandaffiliation"/>
      </w:pPr>
    </w:p>
    <w:p w14:paraId="433FE049" w14:textId="77777777" w:rsidR="00647F33" w:rsidRPr="006B7EA4" w:rsidRDefault="00647F33" w:rsidP="00537496">
      <w:pPr>
        <w:pStyle w:val="Authornameandaffiliation"/>
        <w:rPr>
          <w:b/>
        </w:rPr>
      </w:pPr>
      <w:r w:rsidRPr="006B7EA4">
        <w:rPr>
          <w:b/>
        </w:rPr>
        <w:t>Abstract</w:t>
      </w:r>
    </w:p>
    <w:p w14:paraId="433FE04A" w14:textId="77777777" w:rsidR="00647F33" w:rsidRPr="006B7EA4" w:rsidRDefault="00647F33" w:rsidP="00333987">
      <w:pPr>
        <w:pStyle w:val="Authornameandaffiliation"/>
      </w:pPr>
    </w:p>
    <w:p w14:paraId="24DBA264" w14:textId="3BD6C5E1" w:rsidR="00B673B1" w:rsidRPr="006B7EA4" w:rsidRDefault="00200498" w:rsidP="00B673B1">
      <w:pPr>
        <w:pStyle w:val="2"/>
        <w:numPr>
          <w:ilvl w:val="0"/>
          <w:numId w:val="0"/>
        </w:numPr>
        <w:spacing w:before="0" w:beforeAutospacing="0" w:after="0" w:afterAutospacing="0" w:line="276" w:lineRule="auto"/>
        <w:ind w:firstLine="567"/>
        <w:jc w:val="both"/>
        <w:rPr>
          <w:caps w:val="0"/>
          <w:lang w:val="en-US"/>
        </w:rPr>
      </w:pPr>
      <w:r w:rsidRPr="006B7EA4">
        <w:rPr>
          <w:caps w:val="0"/>
          <w:lang w:val="en-US"/>
        </w:rPr>
        <w:t xml:space="preserve">The operating experience of sodium-water type steam generators demonstrates that the main source of hydrogen in the secondary circuit </w:t>
      </w:r>
      <w:r w:rsidR="00EE3BFA" w:rsidRPr="006B7EA4">
        <w:rPr>
          <w:caps w:val="0"/>
          <w:lang w:val="en-US"/>
        </w:rPr>
        <w:t>sodium</w:t>
      </w:r>
      <w:r w:rsidRPr="006B7EA4">
        <w:rPr>
          <w:caps w:val="0"/>
          <w:lang w:val="en-US"/>
        </w:rPr>
        <w:t xml:space="preserve"> is the </w:t>
      </w:r>
      <w:r w:rsidR="00EE3BFA" w:rsidRPr="006B7EA4">
        <w:rPr>
          <w:caps w:val="0"/>
          <w:lang w:val="en-US"/>
        </w:rPr>
        <w:t xml:space="preserve">hydrogen depolarization </w:t>
      </w:r>
      <w:r w:rsidRPr="006B7EA4">
        <w:rPr>
          <w:caps w:val="0"/>
          <w:lang w:val="en-US"/>
        </w:rPr>
        <w:t xml:space="preserve">process of the cathodic process of </w:t>
      </w:r>
      <w:r w:rsidR="00EE3BFA" w:rsidRPr="006B7EA4">
        <w:rPr>
          <w:caps w:val="0"/>
          <w:lang w:val="en-US"/>
        </w:rPr>
        <w:t xml:space="preserve">pearlite surfaces’ </w:t>
      </w:r>
      <w:r w:rsidRPr="0014083E">
        <w:rPr>
          <w:caps w:val="0"/>
          <w:lang w:val="en-US"/>
        </w:rPr>
        <w:t xml:space="preserve">electrochemical </w:t>
      </w:r>
      <w:r w:rsidR="007B098A" w:rsidRPr="0014083E">
        <w:rPr>
          <w:caps w:val="0"/>
          <w:lang w:val="en-US"/>
        </w:rPr>
        <w:t xml:space="preserve">waterside </w:t>
      </w:r>
      <w:r w:rsidRPr="0014083E">
        <w:rPr>
          <w:caps w:val="0"/>
          <w:lang w:val="en-US"/>
        </w:rPr>
        <w:t>corrosio</w:t>
      </w:r>
      <w:r w:rsidR="00EE3BFA" w:rsidRPr="0014083E">
        <w:rPr>
          <w:caps w:val="0"/>
          <w:lang w:val="en-US"/>
        </w:rPr>
        <w:t>n</w:t>
      </w:r>
      <w:r w:rsidRPr="0014083E">
        <w:rPr>
          <w:caps w:val="0"/>
          <w:lang w:val="en-US"/>
        </w:rPr>
        <w:t>:</w:t>
      </w:r>
    </w:p>
    <w:p w14:paraId="08095570" w14:textId="62212D0B" w:rsidR="00B673B1" w:rsidRPr="006B7EA4" w:rsidRDefault="00B673B1" w:rsidP="00B673B1">
      <w:pPr>
        <w:pStyle w:val="2"/>
        <w:numPr>
          <w:ilvl w:val="0"/>
          <w:numId w:val="0"/>
        </w:numPr>
        <w:spacing w:before="0" w:beforeAutospacing="0" w:after="0" w:afterAutospacing="0" w:line="276" w:lineRule="auto"/>
        <w:ind w:firstLine="567"/>
        <w:jc w:val="center"/>
        <w:rPr>
          <w:caps w:val="0"/>
          <w:lang w:val="en-US"/>
        </w:rPr>
      </w:pPr>
      <w:r w:rsidRPr="006B7EA4">
        <w:rPr>
          <w:caps w:val="0"/>
          <w:lang w:val="en-US"/>
        </w:rPr>
        <w:t>3Fe + 4H</w:t>
      </w:r>
      <w:r w:rsidRPr="006B7EA4">
        <w:rPr>
          <w:caps w:val="0"/>
          <w:vertAlign w:val="subscript"/>
          <w:lang w:val="en-US"/>
        </w:rPr>
        <w:t>2</w:t>
      </w:r>
      <w:r w:rsidRPr="006B7EA4">
        <w:rPr>
          <w:caps w:val="0"/>
          <w:lang w:val="en-US"/>
        </w:rPr>
        <w:t>O → Fe</w:t>
      </w:r>
      <w:r w:rsidRPr="006B7EA4">
        <w:rPr>
          <w:caps w:val="0"/>
          <w:vertAlign w:val="subscript"/>
          <w:lang w:val="en-US"/>
        </w:rPr>
        <w:t>3</w:t>
      </w:r>
      <w:r w:rsidRPr="006B7EA4">
        <w:rPr>
          <w:caps w:val="0"/>
          <w:lang w:val="en-US"/>
        </w:rPr>
        <w:t>O</w:t>
      </w:r>
      <w:r w:rsidRPr="006B7EA4">
        <w:rPr>
          <w:caps w:val="0"/>
          <w:vertAlign w:val="subscript"/>
          <w:lang w:val="en-US"/>
        </w:rPr>
        <w:t>4</w:t>
      </w:r>
      <w:r w:rsidRPr="006B7EA4">
        <w:rPr>
          <w:caps w:val="0"/>
          <w:lang w:val="en-US"/>
        </w:rPr>
        <w:t xml:space="preserve"> + 4H</w:t>
      </w:r>
      <w:r w:rsidRPr="006B7EA4">
        <w:rPr>
          <w:caps w:val="0"/>
          <w:vertAlign w:val="subscript"/>
          <w:lang w:val="en-US"/>
        </w:rPr>
        <w:t>2</w:t>
      </w:r>
    </w:p>
    <w:p w14:paraId="08885564" w14:textId="23A2EF15" w:rsidR="00B673B1" w:rsidRPr="006B7EA4" w:rsidRDefault="00B673B1" w:rsidP="00B673B1">
      <w:pPr>
        <w:pStyle w:val="a1"/>
        <w:spacing w:line="276" w:lineRule="auto"/>
        <w:jc w:val="center"/>
        <w:rPr>
          <w:vertAlign w:val="superscript"/>
          <w:lang w:val="en-US"/>
        </w:rPr>
      </w:pPr>
      <w:r w:rsidRPr="006B7EA4">
        <w:rPr>
          <w:lang w:val="en-US"/>
        </w:rPr>
        <w:t>2H</w:t>
      </w:r>
      <w:r w:rsidRPr="006B7EA4">
        <w:rPr>
          <w:vertAlign w:val="subscript"/>
          <w:lang w:val="en-US"/>
        </w:rPr>
        <w:t>2</w:t>
      </w:r>
      <w:r w:rsidRPr="006B7EA4">
        <w:rPr>
          <w:lang w:val="en-US"/>
        </w:rPr>
        <w:t>O + 2e</w:t>
      </w:r>
      <w:r w:rsidRPr="006B7EA4">
        <w:rPr>
          <w:vertAlign w:val="superscript"/>
          <w:lang w:val="en-US"/>
        </w:rPr>
        <w:t>-</w:t>
      </w:r>
      <w:r w:rsidRPr="006B7EA4">
        <w:rPr>
          <w:lang w:val="en-US"/>
        </w:rPr>
        <w:t xml:space="preserve"> → H</w:t>
      </w:r>
      <w:r w:rsidRPr="006B7EA4">
        <w:rPr>
          <w:vertAlign w:val="subscript"/>
          <w:lang w:val="en-US"/>
        </w:rPr>
        <w:t>2</w:t>
      </w:r>
      <w:r w:rsidRPr="006B7EA4">
        <w:rPr>
          <w:lang w:val="en-US"/>
        </w:rPr>
        <w:t xml:space="preserve"> + 2OH</w:t>
      </w:r>
      <w:r w:rsidRPr="006B7EA4">
        <w:rPr>
          <w:vertAlign w:val="superscript"/>
          <w:lang w:val="en-US"/>
        </w:rPr>
        <w:t>-</w:t>
      </w:r>
    </w:p>
    <w:p w14:paraId="7821E231" w14:textId="45EFB9FA" w:rsidR="00C37E90" w:rsidRPr="006B7EA4" w:rsidRDefault="00EE3BFA" w:rsidP="00B673B1">
      <w:pPr>
        <w:pStyle w:val="2"/>
        <w:numPr>
          <w:ilvl w:val="0"/>
          <w:numId w:val="0"/>
        </w:numPr>
        <w:spacing w:before="0" w:beforeAutospacing="0" w:line="276" w:lineRule="auto"/>
        <w:ind w:firstLine="567"/>
        <w:jc w:val="both"/>
        <w:rPr>
          <w:caps w:val="0"/>
          <w:lang w:val="en-US"/>
        </w:rPr>
      </w:pPr>
      <w:r w:rsidRPr="006B7EA4">
        <w:rPr>
          <w:caps w:val="0"/>
          <w:lang w:val="en-US"/>
        </w:rPr>
        <w:t xml:space="preserve">The generation of hydrogen and its concentration in water and sodium increases </w:t>
      </w:r>
      <w:r w:rsidR="00EC7E04" w:rsidRPr="006B7EA4">
        <w:rPr>
          <w:caps w:val="0"/>
          <w:lang w:val="en-US"/>
        </w:rPr>
        <w:t xml:space="preserve">in the </w:t>
      </w:r>
      <w:r w:rsidR="00A95256" w:rsidRPr="006B7EA4">
        <w:rPr>
          <w:caps w:val="0"/>
          <w:lang w:val="en-US"/>
        </w:rPr>
        <w:t>course</w:t>
      </w:r>
      <w:r w:rsidR="00EC7E04" w:rsidRPr="006B7EA4">
        <w:rPr>
          <w:caps w:val="0"/>
          <w:lang w:val="en-US"/>
        </w:rPr>
        <w:t xml:space="preserve"> of</w:t>
      </w:r>
      <w:r w:rsidRPr="006B7EA4">
        <w:rPr>
          <w:caps w:val="0"/>
          <w:lang w:val="en-US"/>
        </w:rPr>
        <w:t xml:space="preserve"> chemical washing and steam generator</w:t>
      </w:r>
      <w:r w:rsidR="00EC7E04" w:rsidRPr="006B7EA4">
        <w:rPr>
          <w:caps w:val="0"/>
          <w:lang w:val="en-US"/>
        </w:rPr>
        <w:t xml:space="preserve"> startup</w:t>
      </w:r>
      <w:r w:rsidRPr="006B7EA4">
        <w:rPr>
          <w:caps w:val="0"/>
          <w:lang w:val="en-US"/>
        </w:rPr>
        <w:t xml:space="preserve">, since the metal corrosion rate </w:t>
      </w:r>
      <w:r w:rsidR="00AA6D45" w:rsidRPr="006B7EA4">
        <w:rPr>
          <w:caps w:val="0"/>
          <w:lang w:val="en-US"/>
        </w:rPr>
        <w:t xml:space="preserve">in this case </w:t>
      </w:r>
      <w:r w:rsidRPr="006B7EA4">
        <w:rPr>
          <w:caps w:val="0"/>
          <w:lang w:val="en-US"/>
        </w:rPr>
        <w:t xml:space="preserve">increases significantly. Determination of the predominant direction of hydrogen transport is </w:t>
      </w:r>
      <w:r w:rsidR="00EC7E04" w:rsidRPr="006B7EA4">
        <w:rPr>
          <w:caps w:val="0"/>
          <w:lang w:val="en-US"/>
        </w:rPr>
        <w:t>required for assessment of the hydrogenation in</w:t>
      </w:r>
      <w:r w:rsidRPr="006B7EA4">
        <w:rPr>
          <w:caps w:val="0"/>
          <w:lang w:val="en-US"/>
        </w:rPr>
        <w:t xml:space="preserve"> </w:t>
      </w:r>
      <w:proofErr w:type="gramStart"/>
      <w:r w:rsidR="00EC7E04" w:rsidRPr="006B7EA4">
        <w:rPr>
          <w:caps w:val="0"/>
          <w:lang w:val="en-US"/>
        </w:rPr>
        <w:t xml:space="preserve">steam generator </w:t>
      </w:r>
      <w:r w:rsidR="00C10D7A" w:rsidRPr="006B7EA4">
        <w:rPr>
          <w:caps w:val="0"/>
          <w:lang w:val="en-US"/>
        </w:rPr>
        <w:t xml:space="preserve">tube </w:t>
      </w:r>
      <w:r w:rsidR="00EC7E04" w:rsidRPr="006B7EA4">
        <w:rPr>
          <w:caps w:val="0"/>
          <w:lang w:val="en-US"/>
        </w:rPr>
        <w:t>steel</w:t>
      </w:r>
      <w:proofErr w:type="gramEnd"/>
      <w:r w:rsidRPr="006B7EA4">
        <w:rPr>
          <w:caps w:val="0"/>
          <w:lang w:val="en-US"/>
        </w:rPr>
        <w:t>.</w:t>
      </w:r>
    </w:p>
    <w:p w14:paraId="433FE04C" w14:textId="46EF6291" w:rsidR="00647F33" w:rsidRPr="006B7EA4" w:rsidRDefault="00F523CA" w:rsidP="00C37E90">
      <w:pPr>
        <w:pStyle w:val="2"/>
        <w:numPr>
          <w:ilvl w:val="0"/>
          <w:numId w:val="0"/>
        </w:numPr>
        <w:spacing w:line="276" w:lineRule="auto"/>
        <w:ind w:firstLine="567"/>
        <w:rPr>
          <w:caps w:val="0"/>
          <w:lang w:val="en-US"/>
        </w:rPr>
      </w:pPr>
      <w:r w:rsidRPr="006B7EA4">
        <w:t>INTRODUCTION</w:t>
      </w:r>
    </w:p>
    <w:p w14:paraId="036EF7EF" w14:textId="4EFE21FA" w:rsidR="00B673B1" w:rsidRPr="006B7EA4" w:rsidRDefault="00C1299D" w:rsidP="00B673B1">
      <w:pPr>
        <w:pStyle w:val="a1"/>
        <w:spacing w:line="276" w:lineRule="auto"/>
        <w:rPr>
          <w:position w:val="-10"/>
          <w:lang w:val="en-US"/>
        </w:rPr>
      </w:pPr>
      <w:proofErr w:type="gramStart"/>
      <w:r w:rsidRPr="006B7EA4">
        <w:rPr>
          <w:lang w:val="en-US"/>
        </w:rPr>
        <w:t>On account</w:t>
      </w:r>
      <w:proofErr w:type="gramEnd"/>
      <w:r w:rsidRPr="006B7EA4">
        <w:rPr>
          <w:lang w:val="en-US"/>
        </w:rPr>
        <w:t xml:space="preserve"> of the use of liquid sodium in the intermediate circuit, the main requirement for the steam generator is to ensure the inter-circuit density throughout the life cycle. For timely and prompt detection of steam generator depressurization in the secondary circuit, the hydrogen content </w:t>
      </w:r>
      <w:proofErr w:type="gramStart"/>
      <w:r w:rsidRPr="006B7EA4">
        <w:rPr>
          <w:lang w:val="en-US"/>
        </w:rPr>
        <w:t>is continuously monitored</w:t>
      </w:r>
      <w:proofErr w:type="gramEnd"/>
      <w:r w:rsidRPr="006B7EA4">
        <w:rPr>
          <w:lang w:val="en-US"/>
        </w:rPr>
        <w:t xml:space="preserve"> as a </w:t>
      </w:r>
      <w:r w:rsidR="00D72C78" w:rsidRPr="006B7EA4">
        <w:rPr>
          <w:lang w:val="en-US"/>
        </w:rPr>
        <w:t xml:space="preserve">sodium-water interaction </w:t>
      </w:r>
      <w:r w:rsidRPr="006B7EA4">
        <w:rPr>
          <w:lang w:val="en-US"/>
        </w:rPr>
        <w:t>product:</w:t>
      </w:r>
    </w:p>
    <w:p w14:paraId="7531A530" w14:textId="790B388F" w:rsidR="00B673B1" w:rsidRPr="006B7EA4" w:rsidRDefault="00B673B1" w:rsidP="00B673B1">
      <w:pPr>
        <w:pStyle w:val="a1"/>
        <w:spacing w:line="276" w:lineRule="auto"/>
        <w:jc w:val="center"/>
        <w:rPr>
          <w:lang w:val="en-US"/>
        </w:rPr>
      </w:pPr>
      <w:r w:rsidRPr="006B7EA4">
        <w:rPr>
          <w:position w:val="-10"/>
          <w:lang w:val="en-US"/>
        </w:rPr>
        <w:t>2</w:t>
      </w:r>
      <w:r w:rsidRPr="006B7EA4">
        <w:rPr>
          <w:position w:val="-10"/>
        </w:rPr>
        <w:t>Na</w:t>
      </w:r>
      <w:r w:rsidRPr="006B7EA4">
        <w:rPr>
          <w:position w:val="-10"/>
          <w:lang w:val="en-US"/>
        </w:rPr>
        <w:t xml:space="preserve"> + </w:t>
      </w:r>
      <w:proofErr w:type="gramStart"/>
      <w:r w:rsidRPr="006B7EA4">
        <w:rPr>
          <w:position w:val="-10"/>
          <w:lang w:val="en-US"/>
        </w:rPr>
        <w:t>2</w:t>
      </w:r>
      <w:proofErr w:type="gramEnd"/>
      <w:r w:rsidRPr="006B7EA4">
        <w:rPr>
          <w:position w:val="-10"/>
          <w:lang w:val="en-US"/>
        </w:rPr>
        <w:t xml:space="preserve"> </w:t>
      </w:r>
      <w:r w:rsidRPr="006B7EA4">
        <w:rPr>
          <w:position w:val="-10"/>
        </w:rPr>
        <w:t>H</w:t>
      </w:r>
      <w:r w:rsidRPr="006B7EA4">
        <w:rPr>
          <w:position w:val="-10"/>
          <w:vertAlign w:val="subscript"/>
          <w:lang w:val="en-US"/>
        </w:rPr>
        <w:t>2</w:t>
      </w:r>
      <w:r w:rsidRPr="006B7EA4">
        <w:rPr>
          <w:position w:val="-10"/>
        </w:rPr>
        <w:t>O</w:t>
      </w:r>
      <w:r w:rsidRPr="006B7EA4">
        <w:rPr>
          <w:position w:val="-10"/>
          <w:lang w:val="en-US"/>
        </w:rPr>
        <w:t xml:space="preserve"> → 2</w:t>
      </w:r>
      <w:r w:rsidRPr="006B7EA4">
        <w:rPr>
          <w:position w:val="-10"/>
        </w:rPr>
        <w:t>NaOH</w:t>
      </w:r>
      <w:r w:rsidRPr="006B7EA4">
        <w:rPr>
          <w:position w:val="-10"/>
          <w:lang w:val="en-US"/>
        </w:rPr>
        <w:t xml:space="preserve"> + </w:t>
      </w:r>
      <w:r w:rsidRPr="006B7EA4">
        <w:rPr>
          <w:position w:val="-10"/>
        </w:rPr>
        <w:t>H</w:t>
      </w:r>
      <w:r w:rsidRPr="006B7EA4">
        <w:rPr>
          <w:position w:val="-10"/>
          <w:vertAlign w:val="subscript"/>
          <w:lang w:val="en-US"/>
        </w:rPr>
        <w:t>2</w:t>
      </w:r>
    </w:p>
    <w:p w14:paraId="14A3577A" w14:textId="6C568A22" w:rsidR="00B673B1" w:rsidRPr="006B7EA4" w:rsidRDefault="00D72C78" w:rsidP="00B673B1">
      <w:pPr>
        <w:pStyle w:val="a1"/>
        <w:spacing w:line="276" w:lineRule="auto"/>
        <w:rPr>
          <w:lang w:val="en-US"/>
        </w:rPr>
      </w:pPr>
      <w:proofErr w:type="gramStart"/>
      <w:r w:rsidRPr="006B7EA4">
        <w:rPr>
          <w:lang w:val="en-US"/>
        </w:rPr>
        <w:t>However, it is not only the above process that contributes to the total hydrogen content in sodium.</w:t>
      </w:r>
      <w:proofErr w:type="gramEnd"/>
      <w:r w:rsidRPr="006B7EA4">
        <w:rPr>
          <w:lang w:val="en-US"/>
        </w:rPr>
        <w:t xml:space="preserve"> </w:t>
      </w:r>
      <w:r w:rsidR="00C10D7A" w:rsidRPr="006B7EA4">
        <w:rPr>
          <w:lang w:val="en-US"/>
        </w:rPr>
        <w:t xml:space="preserve">Corrosion processes </w:t>
      </w:r>
      <w:r w:rsidR="00B3030E" w:rsidRPr="006B7EA4">
        <w:rPr>
          <w:lang w:val="en-US"/>
        </w:rPr>
        <w:t xml:space="preserve">occurring on the heat exchange surfaces from the tertiary circuit side, </w:t>
      </w:r>
      <w:r w:rsidR="001B4F20" w:rsidRPr="006B7EA4">
        <w:rPr>
          <w:lang w:val="en-US"/>
        </w:rPr>
        <w:t>are</w:t>
      </w:r>
      <w:r w:rsidR="00C10D7A" w:rsidRPr="006B7EA4">
        <w:rPr>
          <w:lang w:val="en-US"/>
        </w:rPr>
        <w:t xml:space="preserve"> t</w:t>
      </w:r>
      <w:r w:rsidRPr="006B7EA4">
        <w:rPr>
          <w:lang w:val="en-US"/>
        </w:rPr>
        <w:t>he main source of hydroge</w:t>
      </w:r>
      <w:r w:rsidR="00B3030E" w:rsidRPr="006B7EA4">
        <w:rPr>
          <w:lang w:val="en-US"/>
        </w:rPr>
        <w:t>n</w:t>
      </w:r>
      <w:r w:rsidRPr="006B7EA4">
        <w:rPr>
          <w:lang w:val="en-US"/>
        </w:rPr>
        <w:t>:</w:t>
      </w:r>
    </w:p>
    <w:p w14:paraId="63B08CCC" w14:textId="0BEC4F4B" w:rsidR="00C831CC" w:rsidRPr="006B7EA4" w:rsidRDefault="00C831CC" w:rsidP="00C831CC">
      <w:pPr>
        <w:pStyle w:val="2"/>
        <w:numPr>
          <w:ilvl w:val="0"/>
          <w:numId w:val="0"/>
        </w:numPr>
        <w:spacing w:before="0" w:beforeAutospacing="0" w:after="0" w:afterAutospacing="0" w:line="276" w:lineRule="auto"/>
        <w:ind w:firstLine="567"/>
        <w:jc w:val="center"/>
        <w:rPr>
          <w:caps w:val="0"/>
          <w:lang w:val="en-US"/>
        </w:rPr>
      </w:pPr>
      <w:r w:rsidRPr="006B7EA4">
        <w:rPr>
          <w:caps w:val="0"/>
          <w:lang w:val="en-US"/>
        </w:rPr>
        <w:t>3Fe + 4H</w:t>
      </w:r>
      <w:r w:rsidRPr="006B7EA4">
        <w:rPr>
          <w:caps w:val="0"/>
          <w:vertAlign w:val="subscript"/>
          <w:lang w:val="en-US"/>
        </w:rPr>
        <w:t>2</w:t>
      </w:r>
      <w:r w:rsidRPr="006B7EA4">
        <w:rPr>
          <w:caps w:val="0"/>
          <w:lang w:val="en-US"/>
        </w:rPr>
        <w:t>O → Fe</w:t>
      </w:r>
      <w:r w:rsidRPr="006B7EA4">
        <w:rPr>
          <w:caps w:val="0"/>
          <w:vertAlign w:val="subscript"/>
          <w:lang w:val="en-US"/>
        </w:rPr>
        <w:t>3</w:t>
      </w:r>
      <w:r w:rsidRPr="006B7EA4">
        <w:rPr>
          <w:caps w:val="0"/>
          <w:lang w:val="en-US"/>
        </w:rPr>
        <w:t>O</w:t>
      </w:r>
      <w:r w:rsidRPr="006B7EA4">
        <w:rPr>
          <w:caps w:val="0"/>
          <w:vertAlign w:val="subscript"/>
          <w:lang w:val="en-US"/>
        </w:rPr>
        <w:t>4</w:t>
      </w:r>
      <w:r w:rsidRPr="006B7EA4">
        <w:rPr>
          <w:caps w:val="0"/>
          <w:lang w:val="en-US"/>
        </w:rPr>
        <w:t xml:space="preserve"> + 4H</w:t>
      </w:r>
      <w:r w:rsidRPr="006B7EA4">
        <w:rPr>
          <w:caps w:val="0"/>
          <w:vertAlign w:val="subscript"/>
          <w:lang w:val="en-US"/>
        </w:rPr>
        <w:t>2</w:t>
      </w:r>
    </w:p>
    <w:p w14:paraId="12D77A71" w14:textId="074BFBB0" w:rsidR="00F94AD4" w:rsidRPr="006B7EA4" w:rsidRDefault="00191987" w:rsidP="00B673B1">
      <w:pPr>
        <w:pStyle w:val="a1"/>
        <w:spacing w:line="276" w:lineRule="auto"/>
        <w:rPr>
          <w:lang w:val="en-US"/>
        </w:rPr>
      </w:pPr>
      <w:r w:rsidRPr="006B7EA4">
        <w:rPr>
          <w:lang w:val="en-US"/>
        </w:rPr>
        <w:t xml:space="preserve">The rate of hydrogen entry into the aqueous medium and into sodium increases </w:t>
      </w:r>
      <w:r w:rsidR="00691C5D" w:rsidRPr="006B7EA4">
        <w:rPr>
          <w:lang w:val="en-US"/>
        </w:rPr>
        <w:t>in the course of</w:t>
      </w:r>
      <w:r w:rsidRPr="006B7EA4">
        <w:rPr>
          <w:lang w:val="en-US"/>
        </w:rPr>
        <w:t xml:space="preserve"> some </w:t>
      </w:r>
      <w:r w:rsidR="00691C5D" w:rsidRPr="006B7EA4">
        <w:rPr>
          <w:lang w:val="en-US"/>
        </w:rPr>
        <w:t>process</w:t>
      </w:r>
      <w:r w:rsidRPr="006B7EA4">
        <w:rPr>
          <w:lang w:val="en-US"/>
        </w:rPr>
        <w:t xml:space="preserve"> operations and </w:t>
      </w:r>
      <w:r w:rsidR="00691C5D" w:rsidRPr="006B7EA4">
        <w:rPr>
          <w:lang w:val="en-US"/>
        </w:rPr>
        <w:t xml:space="preserve">steam </w:t>
      </w:r>
      <w:proofErr w:type="gramStart"/>
      <w:r w:rsidR="00691C5D" w:rsidRPr="006B7EA4">
        <w:rPr>
          <w:lang w:val="en-US"/>
        </w:rPr>
        <w:t>generator operating</w:t>
      </w:r>
      <w:proofErr w:type="gramEnd"/>
      <w:r w:rsidR="00691C5D" w:rsidRPr="006B7EA4">
        <w:rPr>
          <w:lang w:val="en-US"/>
        </w:rPr>
        <w:t xml:space="preserve"> </w:t>
      </w:r>
      <w:r w:rsidRPr="006B7EA4">
        <w:rPr>
          <w:lang w:val="en-US"/>
        </w:rPr>
        <w:t>modes</w:t>
      </w:r>
      <w:r w:rsidR="00691C5D" w:rsidRPr="006B7EA4">
        <w:rPr>
          <w:lang w:val="en-US"/>
        </w:rPr>
        <w:t xml:space="preserve"> </w:t>
      </w:r>
      <w:r w:rsidRPr="006B7EA4">
        <w:rPr>
          <w:lang w:val="en-US"/>
        </w:rPr>
        <w:t xml:space="preserve">(start-up and </w:t>
      </w:r>
      <w:r w:rsidR="00691C5D" w:rsidRPr="006B7EA4">
        <w:rPr>
          <w:lang w:val="en-US"/>
        </w:rPr>
        <w:t>power ascension</w:t>
      </w:r>
      <w:r w:rsidRPr="006B7EA4">
        <w:rPr>
          <w:lang w:val="en-US"/>
        </w:rPr>
        <w:t xml:space="preserve">, </w:t>
      </w:r>
      <w:r w:rsidR="00B3030E" w:rsidRPr="006B7EA4">
        <w:rPr>
          <w:lang w:val="en-US"/>
        </w:rPr>
        <w:t xml:space="preserve">operational chemical cleaning (OCC)), since in this case </w:t>
      </w:r>
      <w:r w:rsidRPr="006B7EA4">
        <w:rPr>
          <w:lang w:val="en-US"/>
        </w:rPr>
        <w:t>the metal</w:t>
      </w:r>
      <w:r w:rsidR="00B3030E" w:rsidRPr="006B7EA4">
        <w:rPr>
          <w:lang w:val="en-US"/>
        </w:rPr>
        <w:t xml:space="preserve"> corrosion rate</w:t>
      </w:r>
      <w:r w:rsidRPr="006B7EA4">
        <w:rPr>
          <w:lang w:val="en-US"/>
        </w:rPr>
        <w:t xml:space="preserve"> of the </w:t>
      </w:r>
      <w:r w:rsidR="004223AC" w:rsidRPr="006B7EA4">
        <w:rPr>
          <w:lang w:val="en-US"/>
        </w:rPr>
        <w:t>steam-generator</w:t>
      </w:r>
      <w:r w:rsidRPr="006B7EA4">
        <w:rPr>
          <w:lang w:val="en-US"/>
        </w:rPr>
        <w:t xml:space="preserve"> </w:t>
      </w:r>
      <w:r w:rsidR="004223AC" w:rsidRPr="006B7EA4">
        <w:rPr>
          <w:lang w:val="en-US"/>
        </w:rPr>
        <w:t>tubes</w:t>
      </w:r>
      <w:r w:rsidRPr="006B7EA4">
        <w:rPr>
          <w:lang w:val="en-US"/>
        </w:rPr>
        <w:t xml:space="preserve"> increases significantly. Operation requires constant monitoring of hydrogen in the sodium loop of the steam generator [1].</w:t>
      </w:r>
    </w:p>
    <w:p w14:paraId="0716652D" w14:textId="77777777" w:rsidR="00C831CC" w:rsidRPr="006B7EA4" w:rsidRDefault="00C831CC" w:rsidP="00B673B1">
      <w:pPr>
        <w:pStyle w:val="a1"/>
        <w:spacing w:line="276" w:lineRule="auto"/>
        <w:rPr>
          <w:lang w:val="en-US"/>
        </w:rPr>
      </w:pPr>
    </w:p>
    <w:p w14:paraId="01341484" w14:textId="370CE12D" w:rsidR="00C831CC" w:rsidRPr="006B7EA4" w:rsidRDefault="00C831CC" w:rsidP="00F3520F">
      <w:pPr>
        <w:pStyle w:val="a1"/>
        <w:spacing w:line="276" w:lineRule="auto"/>
        <w:ind w:firstLine="0"/>
        <w:rPr>
          <w:caps/>
          <w:lang w:val="en-US"/>
        </w:rPr>
      </w:pPr>
      <w:r w:rsidRPr="006B7EA4">
        <w:rPr>
          <w:lang w:val="en-US"/>
        </w:rPr>
        <w:t>1</w:t>
      </w:r>
      <w:r w:rsidRPr="006B7EA4">
        <w:rPr>
          <w:caps/>
          <w:lang w:val="en-US"/>
        </w:rPr>
        <w:t xml:space="preserve">. </w:t>
      </w:r>
      <w:r w:rsidR="00BB7445" w:rsidRPr="006B7EA4">
        <w:rPr>
          <w:caps/>
          <w:lang w:val="en-US"/>
        </w:rPr>
        <w:t>ME</w:t>
      </w:r>
      <w:r w:rsidR="00D744C6" w:rsidRPr="006B7EA4">
        <w:rPr>
          <w:caps/>
          <w:lang w:val="en-US"/>
        </w:rPr>
        <w:t>CHANISM OF WATER PERMEABILITY in</w:t>
      </w:r>
      <w:r w:rsidR="00BB7445" w:rsidRPr="006B7EA4">
        <w:rPr>
          <w:caps/>
          <w:lang w:val="en-US"/>
        </w:rPr>
        <w:t xml:space="preserve"> METALS</w:t>
      </w:r>
    </w:p>
    <w:p w14:paraId="470542C0" w14:textId="77777777" w:rsidR="00C831CC" w:rsidRPr="006B7EA4" w:rsidRDefault="00C831CC" w:rsidP="00B673B1">
      <w:pPr>
        <w:pStyle w:val="a1"/>
        <w:spacing w:line="276" w:lineRule="auto"/>
        <w:rPr>
          <w:caps/>
          <w:lang w:val="en-US"/>
        </w:rPr>
      </w:pPr>
    </w:p>
    <w:p w14:paraId="7A5538BC" w14:textId="7721FB64" w:rsidR="00C831CC" w:rsidRPr="006B7EA4" w:rsidRDefault="00D744C6" w:rsidP="00C831CC">
      <w:pPr>
        <w:pStyle w:val="a1"/>
        <w:spacing w:line="276" w:lineRule="auto"/>
        <w:rPr>
          <w:lang w:val="en-US"/>
        </w:rPr>
      </w:pPr>
      <w:r w:rsidRPr="006B7EA4">
        <w:rPr>
          <w:lang w:val="en-US"/>
        </w:rPr>
        <w:t xml:space="preserve">The classical permeability scheme proposed </w:t>
      </w:r>
      <w:r w:rsidRPr="0014083E">
        <w:rPr>
          <w:lang w:val="en-US"/>
        </w:rPr>
        <w:t>by Wang</w:t>
      </w:r>
      <w:r w:rsidRPr="006B7EA4">
        <w:rPr>
          <w:lang w:val="en-US"/>
        </w:rPr>
        <w:t xml:space="preserve"> </w:t>
      </w:r>
      <w:proofErr w:type="gramStart"/>
      <w:r w:rsidRPr="006B7EA4">
        <w:rPr>
          <w:lang w:val="en-US"/>
        </w:rPr>
        <w:t>was used</w:t>
      </w:r>
      <w:proofErr w:type="gramEnd"/>
      <w:r w:rsidRPr="006B7EA4">
        <w:rPr>
          <w:lang w:val="en-US"/>
        </w:rPr>
        <w:t xml:space="preserve"> to describe the mechanism of hydrogen permeability for steam generator walls. This scheme consists of five stages:</w:t>
      </w:r>
    </w:p>
    <w:p w14:paraId="326E8579" w14:textId="1AB15F2D" w:rsidR="00C831CC" w:rsidRPr="006B7EA4" w:rsidRDefault="00C831CC" w:rsidP="00C831CC">
      <w:pPr>
        <w:pStyle w:val="a1"/>
        <w:spacing w:line="276" w:lineRule="auto"/>
        <w:rPr>
          <w:lang w:val="en-US"/>
        </w:rPr>
      </w:pPr>
      <w:r w:rsidRPr="006B7EA4">
        <w:rPr>
          <w:lang w:val="en-US"/>
        </w:rPr>
        <w:t xml:space="preserve">1) </w:t>
      </w:r>
      <w:proofErr w:type="gramStart"/>
      <w:r w:rsidR="00D744C6" w:rsidRPr="006B7EA4">
        <w:rPr>
          <w:lang w:val="en-US"/>
        </w:rPr>
        <w:t>dissociation</w:t>
      </w:r>
      <w:proofErr w:type="gramEnd"/>
      <w:r w:rsidR="00D744C6" w:rsidRPr="006B7EA4">
        <w:rPr>
          <w:lang w:val="en-US"/>
        </w:rPr>
        <w:t xml:space="preserve"> of gas molecules and chemical adsorption of atoms on the surface</w:t>
      </w:r>
      <w:r w:rsidR="006B7EA4">
        <w:rPr>
          <w:lang w:val="en-US"/>
        </w:rPr>
        <w:t>,</w:t>
      </w:r>
    </w:p>
    <w:p w14:paraId="5503527D" w14:textId="143AEE2B" w:rsidR="00C831CC" w:rsidRPr="004F74C2" w:rsidRDefault="00C831CC" w:rsidP="00C831CC">
      <w:pPr>
        <w:pStyle w:val="a1"/>
        <w:spacing w:line="276" w:lineRule="auto"/>
        <w:rPr>
          <w:lang w:val="en-US"/>
        </w:rPr>
      </w:pPr>
      <w:r w:rsidRPr="006B7EA4">
        <w:rPr>
          <w:lang w:val="en-US"/>
        </w:rPr>
        <w:t xml:space="preserve">2) </w:t>
      </w:r>
      <w:r w:rsidR="00A25664" w:rsidRPr="00A25664">
        <w:rPr>
          <w:lang w:val="en-US"/>
        </w:rPr>
        <w:t xml:space="preserve">surface-to-subsurface </w:t>
      </w:r>
      <w:r w:rsidR="00B77DDC" w:rsidRPr="004F74C2">
        <w:rPr>
          <w:lang w:val="en-US"/>
        </w:rPr>
        <w:t>transition of gas atoms, i.e., absorption</w:t>
      </w:r>
      <w:r w:rsidR="006B7EA4" w:rsidRPr="004F74C2">
        <w:rPr>
          <w:lang w:val="en-US"/>
        </w:rPr>
        <w:t>,</w:t>
      </w:r>
    </w:p>
    <w:p w14:paraId="7B8075F3" w14:textId="18E16AC8" w:rsidR="00C831CC" w:rsidRPr="004F74C2" w:rsidRDefault="00C831CC" w:rsidP="00C831CC">
      <w:pPr>
        <w:pStyle w:val="a1"/>
        <w:spacing w:line="276" w:lineRule="auto"/>
        <w:rPr>
          <w:lang w:val="en-US"/>
        </w:rPr>
      </w:pPr>
      <w:r w:rsidRPr="004F74C2">
        <w:rPr>
          <w:lang w:val="en-US"/>
        </w:rPr>
        <w:t xml:space="preserve">3) </w:t>
      </w:r>
      <w:r w:rsidR="00E415A2" w:rsidRPr="004F74C2">
        <w:rPr>
          <w:lang w:val="en-US"/>
        </w:rPr>
        <w:t xml:space="preserve">transport of atoms through the </w:t>
      </w:r>
      <w:r w:rsidR="00F95D5B" w:rsidRPr="004F74C2">
        <w:rPr>
          <w:lang w:val="en-US"/>
        </w:rPr>
        <w:t>tube wall</w:t>
      </w:r>
      <w:r w:rsidR="00E415A2" w:rsidRPr="004F74C2">
        <w:rPr>
          <w:lang w:val="en-US"/>
        </w:rPr>
        <w:t xml:space="preserve"> from the </w:t>
      </w:r>
      <w:r w:rsidR="00CE7BFC" w:rsidRPr="004F74C2">
        <w:rPr>
          <w:lang w:val="en-US"/>
        </w:rPr>
        <w:t>inlet side to the outlet</w:t>
      </w:r>
      <w:r w:rsidR="00E415A2" w:rsidRPr="004F74C2">
        <w:rPr>
          <w:lang w:val="en-US"/>
        </w:rPr>
        <w:t xml:space="preserve"> side, which in the simplest case </w:t>
      </w:r>
      <w:proofErr w:type="gramStart"/>
      <w:r w:rsidR="00E415A2" w:rsidRPr="004F74C2">
        <w:rPr>
          <w:lang w:val="en-US"/>
        </w:rPr>
        <w:t>is described</w:t>
      </w:r>
      <w:proofErr w:type="gramEnd"/>
      <w:r w:rsidR="00E415A2" w:rsidRPr="004F74C2">
        <w:rPr>
          <w:lang w:val="en-US"/>
        </w:rPr>
        <w:t xml:space="preserve"> by diffusion,</w:t>
      </w:r>
    </w:p>
    <w:p w14:paraId="0A39E4BD" w14:textId="5A2796B6" w:rsidR="00C831CC" w:rsidRPr="004F74C2" w:rsidRDefault="00C831CC" w:rsidP="00C831CC">
      <w:pPr>
        <w:pStyle w:val="a1"/>
        <w:spacing w:line="276" w:lineRule="auto"/>
        <w:rPr>
          <w:lang w:val="en-US"/>
        </w:rPr>
      </w:pPr>
      <w:r w:rsidRPr="004F74C2">
        <w:rPr>
          <w:lang w:val="en-US"/>
        </w:rPr>
        <w:t xml:space="preserve">4) </w:t>
      </w:r>
      <w:proofErr w:type="gramStart"/>
      <w:r w:rsidR="00CE7BFC" w:rsidRPr="004F74C2">
        <w:rPr>
          <w:lang w:val="en-US"/>
        </w:rPr>
        <w:t>transition</w:t>
      </w:r>
      <w:proofErr w:type="gramEnd"/>
      <w:r w:rsidR="00CE7BFC" w:rsidRPr="004F74C2">
        <w:rPr>
          <w:lang w:val="en-US"/>
        </w:rPr>
        <w:t xml:space="preserve"> of </w:t>
      </w:r>
      <w:r w:rsidR="007874B3" w:rsidRPr="004F74C2">
        <w:rPr>
          <w:lang w:val="en-US"/>
        </w:rPr>
        <w:t xml:space="preserve">subsurface </w:t>
      </w:r>
      <w:r w:rsidR="00CE7BFC" w:rsidRPr="004F74C2">
        <w:rPr>
          <w:lang w:val="en-US"/>
        </w:rPr>
        <w:t>atoms to the surface on the outlet side</w:t>
      </w:r>
      <w:r w:rsidR="00617D24" w:rsidRPr="004F74C2">
        <w:rPr>
          <w:lang w:val="en-US"/>
        </w:rPr>
        <w:t>,</w:t>
      </w:r>
    </w:p>
    <w:p w14:paraId="6A08EB11" w14:textId="5BA740DD" w:rsidR="00C831CC" w:rsidRPr="004F74C2" w:rsidRDefault="00C831CC" w:rsidP="00C831CC">
      <w:pPr>
        <w:pStyle w:val="a1"/>
        <w:spacing w:line="276" w:lineRule="auto"/>
        <w:rPr>
          <w:lang w:val="en-US"/>
        </w:rPr>
      </w:pPr>
      <w:r w:rsidRPr="004F74C2">
        <w:rPr>
          <w:lang w:val="en-US"/>
        </w:rPr>
        <w:lastRenderedPageBreak/>
        <w:t xml:space="preserve">5) </w:t>
      </w:r>
      <w:proofErr w:type="gramStart"/>
      <w:r w:rsidR="00CE7BFC" w:rsidRPr="004F74C2">
        <w:rPr>
          <w:lang w:val="en-US"/>
        </w:rPr>
        <w:t>recombination</w:t>
      </w:r>
      <w:proofErr w:type="gramEnd"/>
      <w:r w:rsidR="00CE7BFC" w:rsidRPr="004F74C2">
        <w:rPr>
          <w:lang w:val="en-US"/>
        </w:rPr>
        <w:t xml:space="preserve"> of atoms on the surface and desorption of molecules from it on the outlet side of the membrane</w:t>
      </w:r>
      <w:r w:rsidR="00617D24" w:rsidRPr="004F74C2">
        <w:rPr>
          <w:lang w:val="en-US"/>
        </w:rPr>
        <w:t>.</w:t>
      </w:r>
    </w:p>
    <w:p w14:paraId="2FDE9BFD" w14:textId="0F5B7CD2" w:rsidR="00C831CC" w:rsidRPr="006B7EA4" w:rsidRDefault="00F95D5B" w:rsidP="00C831CC">
      <w:pPr>
        <w:pStyle w:val="a1"/>
        <w:spacing w:line="276" w:lineRule="auto"/>
        <w:rPr>
          <w:lang w:val="en-US"/>
        </w:rPr>
      </w:pPr>
      <w:r w:rsidRPr="004F74C2">
        <w:rPr>
          <w:lang w:val="en-US"/>
        </w:rPr>
        <w:t>M</w:t>
      </w:r>
      <w:r w:rsidR="00CE7BFC" w:rsidRPr="004F74C2">
        <w:rPr>
          <w:lang w:val="en-US"/>
        </w:rPr>
        <w:t xml:space="preserve">etal </w:t>
      </w:r>
      <w:proofErr w:type="gramStart"/>
      <w:r w:rsidR="00CE7BFC" w:rsidRPr="004F74C2">
        <w:rPr>
          <w:lang w:val="en-US"/>
        </w:rPr>
        <w:t>is considered</w:t>
      </w:r>
      <w:proofErr w:type="gramEnd"/>
      <w:r w:rsidR="00CE7BFC" w:rsidRPr="004F74C2">
        <w:rPr>
          <w:lang w:val="en-US"/>
        </w:rPr>
        <w:t xml:space="preserve"> as a membrane, in our case it is a </w:t>
      </w:r>
      <w:r w:rsidR="005F76D9" w:rsidRPr="004F74C2">
        <w:rPr>
          <w:lang w:val="en-US"/>
        </w:rPr>
        <w:t>tube</w:t>
      </w:r>
      <w:r w:rsidR="00CE7BFC" w:rsidRPr="004F74C2">
        <w:rPr>
          <w:lang w:val="en-US"/>
        </w:rPr>
        <w:t xml:space="preserve"> wall. An</w:t>
      </w:r>
      <w:r w:rsidR="00CE7BFC" w:rsidRPr="006B7EA4">
        <w:rPr>
          <w:lang w:val="en-US"/>
        </w:rPr>
        <w:t xml:space="preserve"> illustration of the Wang scheme in relation to the </w:t>
      </w:r>
      <w:proofErr w:type="gramStart"/>
      <w:r w:rsidR="005F76D9" w:rsidRPr="006B7EA4">
        <w:rPr>
          <w:lang w:val="en-US"/>
        </w:rPr>
        <w:t>task at hand</w:t>
      </w:r>
      <w:proofErr w:type="gramEnd"/>
      <w:r w:rsidR="005F76D9" w:rsidRPr="006B7EA4">
        <w:rPr>
          <w:lang w:val="en-US"/>
        </w:rPr>
        <w:t xml:space="preserve"> </w:t>
      </w:r>
      <w:r w:rsidR="00CE7BFC" w:rsidRPr="006B7EA4">
        <w:rPr>
          <w:lang w:val="en-US"/>
        </w:rPr>
        <w:t>is shown in a simplified form in Figure 1. In addition to the classical process of dissocia</w:t>
      </w:r>
      <w:r w:rsidR="005F76D9" w:rsidRPr="006B7EA4">
        <w:rPr>
          <w:lang w:val="en-US"/>
        </w:rPr>
        <w:t xml:space="preserve">tive adsorption on the surface, sometimes consideration </w:t>
      </w:r>
      <w:proofErr w:type="gramStart"/>
      <w:r w:rsidR="005F76D9" w:rsidRPr="006B7EA4">
        <w:rPr>
          <w:lang w:val="en-US"/>
        </w:rPr>
        <w:t>is given</w:t>
      </w:r>
      <w:proofErr w:type="gramEnd"/>
      <w:r w:rsidR="005F76D9" w:rsidRPr="006B7EA4">
        <w:rPr>
          <w:lang w:val="en-US"/>
        </w:rPr>
        <w:t xml:space="preserve"> to </w:t>
      </w:r>
      <w:r w:rsidR="00CE7BFC" w:rsidRPr="006B7EA4">
        <w:rPr>
          <w:lang w:val="en-US"/>
        </w:rPr>
        <w:t xml:space="preserve">the processes of direct absorption of atoms after dissociation and direct recombination of </w:t>
      </w:r>
      <w:r w:rsidR="008F26FC" w:rsidRPr="006B7EA4">
        <w:rPr>
          <w:lang w:val="en-US"/>
        </w:rPr>
        <w:t xml:space="preserve">subsurface </w:t>
      </w:r>
      <w:r w:rsidR="00CE7BFC" w:rsidRPr="006B7EA4">
        <w:rPr>
          <w:lang w:val="en-US"/>
        </w:rPr>
        <w:t xml:space="preserve">atoms, </w:t>
      </w:r>
      <w:r w:rsidR="00617B36" w:rsidRPr="006B7EA4">
        <w:rPr>
          <w:lang w:val="en-US"/>
        </w:rPr>
        <w:t>avoiding</w:t>
      </w:r>
      <w:r w:rsidR="00CE7BFC" w:rsidRPr="006B7EA4">
        <w:rPr>
          <w:lang w:val="en-US"/>
        </w:rPr>
        <w:t xml:space="preserve"> the chemiso</w:t>
      </w:r>
      <w:r w:rsidR="001B4F20" w:rsidRPr="006B7EA4">
        <w:rPr>
          <w:lang w:val="en-US"/>
        </w:rPr>
        <w:t>rbed state;</w:t>
      </w:r>
      <w:r w:rsidR="00CE7BFC" w:rsidRPr="006B7EA4">
        <w:rPr>
          <w:lang w:val="en-US"/>
        </w:rPr>
        <w:t xml:space="preserve"> </w:t>
      </w:r>
      <w:r w:rsidR="00D53005" w:rsidRPr="006B7EA4">
        <w:rPr>
          <w:lang w:val="en-US"/>
        </w:rPr>
        <w:t>however,</w:t>
      </w:r>
      <w:r w:rsidR="00CE7BFC" w:rsidRPr="006B7EA4">
        <w:rPr>
          <w:lang w:val="en-US"/>
        </w:rPr>
        <w:t xml:space="preserve"> the need to introduce these processes is justified only at extremely high pressures. Under equilibrium conditions, the Wang scheme leads to the well-known Langmuir isotherm for surface adsorption and Sieverts</w:t>
      </w:r>
      <w:r w:rsidR="00617D24">
        <w:rPr>
          <w:lang w:val="en-US"/>
        </w:rPr>
        <w:t>’</w:t>
      </w:r>
      <w:r w:rsidR="00CE7BFC" w:rsidRPr="006B7EA4">
        <w:rPr>
          <w:lang w:val="en-US"/>
        </w:rPr>
        <w:t xml:space="preserve"> law for </w:t>
      </w:r>
      <w:r w:rsidR="006763C7" w:rsidRPr="006B7EA4">
        <w:rPr>
          <w:lang w:val="en-US"/>
        </w:rPr>
        <w:t xml:space="preserve">volume </w:t>
      </w:r>
      <w:r w:rsidR="00CE7BFC" w:rsidRPr="006B7EA4">
        <w:rPr>
          <w:lang w:val="en-US"/>
        </w:rPr>
        <w:t>absorption.</w:t>
      </w:r>
    </w:p>
    <w:p w14:paraId="12F04984" w14:textId="49BA515B" w:rsidR="00AB23D6" w:rsidRPr="006B7EA4" w:rsidRDefault="00530DCA" w:rsidP="00914A6C">
      <w:pPr>
        <w:pStyle w:val="a1"/>
        <w:spacing w:line="276" w:lineRule="auto"/>
        <w:jc w:val="center"/>
        <w:rPr>
          <w:lang w:val="en-US"/>
        </w:rPr>
      </w:pPr>
      <w:r w:rsidRPr="006B7EA4">
        <w:rPr>
          <w:noProof/>
          <w:lang w:val="ru-RU" w:eastAsia="ru-RU"/>
        </w:rPr>
        <w:drawing>
          <wp:inline distT="0" distB="0" distL="0" distR="0" wp14:anchorId="11436631" wp14:editId="0FEA4530">
            <wp:extent cx="5010150" cy="4080081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57" cy="408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0F062" w14:textId="167237D9" w:rsidR="00AB23D6" w:rsidRPr="006B7EA4" w:rsidRDefault="00617D24" w:rsidP="00AB23D6">
      <w:pPr>
        <w:pStyle w:val="Figurecaption"/>
        <w:rPr>
          <w:sz w:val="20"/>
          <w:lang w:val="en-US" w:eastAsia="es-ES"/>
        </w:rPr>
      </w:pPr>
      <w:bookmarkStart w:id="1" w:name="_Ref474425344"/>
      <w:r>
        <w:rPr>
          <w:caps/>
          <w:sz w:val="20"/>
          <w:lang w:eastAsia="es-ES"/>
        </w:rPr>
        <w:t>F</w:t>
      </w:r>
      <w:r>
        <w:rPr>
          <w:sz w:val="20"/>
          <w:lang w:eastAsia="es-ES"/>
        </w:rPr>
        <w:t>igure</w:t>
      </w:r>
      <w:r w:rsidR="00AB23D6" w:rsidRPr="006B7EA4">
        <w:rPr>
          <w:sz w:val="20"/>
          <w:lang w:eastAsia="es-ES"/>
        </w:rPr>
        <w:t> </w:t>
      </w:r>
      <w:r w:rsidR="00AB23D6" w:rsidRPr="006B7EA4">
        <w:rPr>
          <w:b/>
          <w:sz w:val="20"/>
          <w:lang w:eastAsia="es-ES"/>
        </w:rPr>
        <w:fldChar w:fldCharType="begin"/>
      </w:r>
      <w:r w:rsidR="00AB23D6" w:rsidRPr="006B7EA4">
        <w:rPr>
          <w:sz w:val="20"/>
          <w:lang w:val="en-US" w:eastAsia="es-ES"/>
        </w:rPr>
        <w:instrText xml:space="preserve"> </w:instrText>
      </w:r>
      <w:r w:rsidR="00AB23D6" w:rsidRPr="006B7EA4">
        <w:rPr>
          <w:sz w:val="20"/>
          <w:lang w:eastAsia="es-ES"/>
        </w:rPr>
        <w:instrText>SEQ</w:instrText>
      </w:r>
      <w:r w:rsidR="00AB23D6" w:rsidRPr="006B7EA4">
        <w:rPr>
          <w:sz w:val="20"/>
          <w:lang w:val="en-US" w:eastAsia="es-ES"/>
        </w:rPr>
        <w:instrText xml:space="preserve"> </w:instrText>
      </w:r>
      <w:r w:rsidR="00AB23D6" w:rsidRPr="006B7EA4">
        <w:rPr>
          <w:sz w:val="20"/>
          <w:lang w:eastAsia="es-ES"/>
        </w:rPr>
        <w:instrText>Figure</w:instrText>
      </w:r>
      <w:r w:rsidR="00AB23D6" w:rsidRPr="006B7EA4">
        <w:rPr>
          <w:sz w:val="20"/>
          <w:lang w:val="en-US" w:eastAsia="es-ES"/>
        </w:rPr>
        <w:instrText xml:space="preserve"> \* </w:instrText>
      </w:r>
      <w:r w:rsidR="00AB23D6" w:rsidRPr="006B7EA4">
        <w:rPr>
          <w:sz w:val="20"/>
          <w:lang w:eastAsia="es-ES"/>
        </w:rPr>
        <w:instrText>ARABIC</w:instrText>
      </w:r>
      <w:r w:rsidR="00AB23D6" w:rsidRPr="006B7EA4">
        <w:rPr>
          <w:sz w:val="20"/>
          <w:lang w:val="en-US" w:eastAsia="es-ES"/>
        </w:rPr>
        <w:instrText xml:space="preserve"> </w:instrText>
      </w:r>
      <w:r w:rsidR="00AB23D6" w:rsidRPr="006B7EA4">
        <w:rPr>
          <w:b/>
          <w:sz w:val="20"/>
          <w:lang w:eastAsia="es-ES"/>
        </w:rPr>
        <w:fldChar w:fldCharType="separate"/>
      </w:r>
      <w:r w:rsidR="00663664" w:rsidRPr="006B7EA4">
        <w:rPr>
          <w:noProof/>
          <w:sz w:val="20"/>
          <w:lang w:val="en-US" w:eastAsia="es-ES"/>
        </w:rPr>
        <w:t>1</w:t>
      </w:r>
      <w:r w:rsidR="00AB23D6" w:rsidRPr="006B7EA4">
        <w:rPr>
          <w:b/>
          <w:sz w:val="20"/>
          <w:lang w:eastAsia="es-ES"/>
        </w:rPr>
        <w:fldChar w:fldCharType="end"/>
      </w:r>
      <w:bookmarkEnd w:id="1"/>
      <w:r w:rsidR="00AB23D6" w:rsidRPr="006B7EA4">
        <w:rPr>
          <w:sz w:val="20"/>
          <w:lang w:val="en-US" w:eastAsia="es-ES"/>
        </w:rPr>
        <w:t xml:space="preserve">. </w:t>
      </w:r>
      <w:r w:rsidR="006763C7" w:rsidRPr="006B7EA4">
        <w:rPr>
          <w:sz w:val="20"/>
          <w:lang w:val="en-US" w:eastAsia="es-ES"/>
        </w:rPr>
        <w:t>Wang scheme as applied to mass transfer of hydrogen for the BN-600 tertiary circuit to the secondary circuit</w:t>
      </w:r>
      <w:r w:rsidR="00AB23D6" w:rsidRPr="006B7EA4">
        <w:rPr>
          <w:sz w:val="20"/>
          <w:lang w:val="en-US" w:eastAsia="es-ES"/>
        </w:rPr>
        <w:t xml:space="preserve"> (</w:t>
      </w:r>
      <w:r w:rsidR="00AB23D6" w:rsidRPr="006B7EA4">
        <w:rPr>
          <w:sz w:val="20"/>
          <w:lang w:eastAsia="es-ES"/>
        </w:rPr>
        <w:t>adapted</w:t>
      </w:r>
      <w:r w:rsidR="00AB23D6" w:rsidRPr="006B7EA4">
        <w:rPr>
          <w:sz w:val="20"/>
          <w:lang w:val="en-US" w:eastAsia="es-ES"/>
        </w:rPr>
        <w:t xml:space="preserve"> </w:t>
      </w:r>
      <w:r w:rsidR="00AB23D6" w:rsidRPr="006B7EA4">
        <w:rPr>
          <w:sz w:val="20"/>
          <w:lang w:eastAsia="es-ES"/>
        </w:rPr>
        <w:t>from</w:t>
      </w:r>
      <w:r w:rsidR="00161AEE" w:rsidRPr="006B7EA4">
        <w:rPr>
          <w:sz w:val="20"/>
          <w:lang w:val="en-US" w:eastAsia="es-ES"/>
        </w:rPr>
        <w:t xml:space="preserve"> [2]</w:t>
      </w:r>
      <w:r w:rsidR="00F8098E">
        <w:rPr>
          <w:sz w:val="20"/>
          <w:lang w:val="en-US" w:eastAsia="es-ES"/>
        </w:rPr>
        <w:t>)</w:t>
      </w:r>
    </w:p>
    <w:p w14:paraId="2B8A58BA" w14:textId="77777777" w:rsidR="00B65AB5" w:rsidRPr="006B7EA4" w:rsidRDefault="00B65AB5" w:rsidP="00AB23D6">
      <w:pPr>
        <w:pStyle w:val="Figurecaption"/>
        <w:rPr>
          <w:sz w:val="20"/>
          <w:lang w:val="en-US"/>
        </w:rPr>
      </w:pPr>
    </w:p>
    <w:p w14:paraId="6DA3ADB9" w14:textId="595FD771" w:rsidR="000E3668" w:rsidRPr="006B7EA4" w:rsidRDefault="006763C7" w:rsidP="000E3668">
      <w:pPr>
        <w:pStyle w:val="a1"/>
        <w:spacing w:line="276" w:lineRule="auto"/>
        <w:rPr>
          <w:lang w:val="en-US"/>
        </w:rPr>
      </w:pPr>
      <w:r w:rsidRPr="006B7EA4">
        <w:rPr>
          <w:lang w:val="en-US"/>
        </w:rPr>
        <w:t xml:space="preserve">In permeability problems, </w:t>
      </w:r>
      <w:r w:rsidR="007E3FDD" w:rsidRPr="006B7EA4">
        <w:rPr>
          <w:lang w:val="en-US"/>
        </w:rPr>
        <w:t xml:space="preserve">the </w:t>
      </w:r>
      <w:r w:rsidRPr="006B7EA4">
        <w:rPr>
          <w:lang w:val="en-US"/>
        </w:rPr>
        <w:t>particle fluxes are assumed to be thermally activated to a large extent, i.e</w:t>
      </w:r>
      <w:r w:rsidR="007E3FDD" w:rsidRPr="006B7EA4">
        <w:rPr>
          <w:lang w:val="en-US"/>
        </w:rPr>
        <w:t>.</w:t>
      </w:r>
      <w:r w:rsidRPr="006B7EA4">
        <w:rPr>
          <w:lang w:val="en-US"/>
        </w:rPr>
        <w:t xml:space="preserve"> they depend on the size of the energy barriers the particles have to overcome </w:t>
      </w:r>
      <w:r w:rsidR="007E3FDD" w:rsidRPr="006B7EA4">
        <w:rPr>
          <w:lang w:val="en-US"/>
        </w:rPr>
        <w:t>(in the course of steel crystal lattice diffusion)</w:t>
      </w:r>
      <w:r w:rsidRPr="006B7EA4">
        <w:rPr>
          <w:lang w:val="en-US"/>
        </w:rPr>
        <w:t xml:space="preserve">, and </w:t>
      </w:r>
      <w:r w:rsidR="00840C8E" w:rsidRPr="006B7EA4">
        <w:rPr>
          <w:lang w:val="en-US"/>
        </w:rPr>
        <w:t xml:space="preserve">on </w:t>
      </w:r>
      <w:r w:rsidRPr="006B7EA4">
        <w:rPr>
          <w:lang w:val="en-US"/>
        </w:rPr>
        <w:t xml:space="preserve">the temperature. The movement of hydrogen atoms in crystal structures </w:t>
      </w:r>
      <w:proofErr w:type="gramStart"/>
      <w:r w:rsidRPr="006B7EA4">
        <w:rPr>
          <w:lang w:val="en-US"/>
        </w:rPr>
        <w:t>is considered</w:t>
      </w:r>
      <w:proofErr w:type="gramEnd"/>
      <w:r w:rsidRPr="006B7EA4">
        <w:rPr>
          <w:lang w:val="en-US"/>
        </w:rPr>
        <w:t xml:space="preserve"> as random jumps </w:t>
      </w:r>
      <w:r w:rsidR="00ED502F" w:rsidRPr="006B7EA4">
        <w:rPr>
          <w:lang w:val="en-US"/>
        </w:rPr>
        <w:t xml:space="preserve">performed </w:t>
      </w:r>
      <w:r w:rsidRPr="006B7EA4">
        <w:rPr>
          <w:lang w:val="en-US"/>
        </w:rPr>
        <w:t>by an atom from one equilibrium interstitial position</w:t>
      </w:r>
      <w:r w:rsidR="000C4C89" w:rsidRPr="006B7EA4">
        <w:rPr>
          <w:lang w:val="en-US"/>
        </w:rPr>
        <w:t xml:space="preserve"> </w:t>
      </w:r>
      <w:r w:rsidRPr="006B7EA4">
        <w:rPr>
          <w:lang w:val="en-US"/>
        </w:rPr>
        <w:t xml:space="preserve">to </w:t>
      </w:r>
      <w:r w:rsidR="00F56FA7" w:rsidRPr="006B7EA4">
        <w:rPr>
          <w:lang w:val="en-US"/>
        </w:rPr>
        <w:t>another</w:t>
      </w:r>
      <w:r w:rsidR="00ED502F" w:rsidRPr="006B7EA4">
        <w:rPr>
          <w:lang w:val="en-US"/>
        </w:rPr>
        <w:t xml:space="preserve"> </w:t>
      </w:r>
      <w:r w:rsidRPr="006B7EA4">
        <w:rPr>
          <w:lang w:val="en-US"/>
        </w:rPr>
        <w:t>through</w:t>
      </w:r>
      <w:r w:rsidR="00703F11" w:rsidRPr="006B7EA4">
        <w:rPr>
          <w:lang w:val="en-US"/>
        </w:rPr>
        <w:t xml:space="preserve"> </w:t>
      </w:r>
      <w:r w:rsidRPr="006B7EA4">
        <w:rPr>
          <w:lang w:val="en-US"/>
        </w:rPr>
        <w:t>a certain barrier called the activation energy for diffusion Ed.</w:t>
      </w:r>
      <w:r w:rsidR="000E3668" w:rsidRPr="006B7EA4">
        <w:rPr>
          <w:lang w:val="en-US"/>
        </w:rPr>
        <w:t xml:space="preserve"> </w:t>
      </w:r>
    </w:p>
    <w:p w14:paraId="4CEFAFD1" w14:textId="4C235A85" w:rsidR="000E3668" w:rsidRPr="006B7EA4" w:rsidRDefault="00703F11" w:rsidP="000E3668">
      <w:pPr>
        <w:pStyle w:val="a1"/>
        <w:spacing w:line="276" w:lineRule="auto"/>
        <w:rPr>
          <w:lang w:val="en-US"/>
        </w:rPr>
      </w:pPr>
      <w:r w:rsidRPr="006B7EA4">
        <w:rPr>
          <w:lang w:val="en-US"/>
        </w:rPr>
        <w:t xml:space="preserve">A joint mathematical description of the permeability dynamics with regard to these five stages is rather problematic in a number of cases; therefore, it is normal practice to introduce the condition of local equilibrium between the chemisorbed state on the </w:t>
      </w:r>
      <w:r w:rsidRPr="00EA17C7">
        <w:rPr>
          <w:lang w:val="en-US"/>
        </w:rPr>
        <w:t xml:space="preserve">surface and the absorbed state immediately below the surface. This allows the desorption rate </w:t>
      </w:r>
      <w:r w:rsidR="000C4C89" w:rsidRPr="00EA17C7">
        <w:rPr>
          <w:lang w:val="en-US"/>
        </w:rPr>
        <w:t xml:space="preserve">to </w:t>
      </w:r>
      <w:proofErr w:type="gramStart"/>
      <w:r w:rsidR="000C4C89" w:rsidRPr="00EA17C7">
        <w:rPr>
          <w:lang w:val="en-US"/>
        </w:rPr>
        <w:t>be written</w:t>
      </w:r>
      <w:proofErr w:type="gramEnd"/>
      <w:r w:rsidR="000C4C89" w:rsidRPr="00EA17C7">
        <w:rPr>
          <w:lang w:val="en-US"/>
        </w:rPr>
        <w:t xml:space="preserve"> </w:t>
      </w:r>
      <w:r w:rsidRPr="00EA17C7">
        <w:rPr>
          <w:lang w:val="en-US"/>
        </w:rPr>
        <w:t>as a certain effective recombination coefficient (</w:t>
      </w:r>
      <w:proofErr w:type="spellStart"/>
      <w:r w:rsidRPr="00EA17C7">
        <w:rPr>
          <w:lang w:val="en-US"/>
        </w:rPr>
        <w:t>K</w:t>
      </w:r>
      <w:r w:rsidRPr="00EA17C7">
        <w:rPr>
          <w:vertAlign w:val="subscript"/>
          <w:lang w:val="en-US"/>
        </w:rPr>
        <w:t>rec</w:t>
      </w:r>
      <w:proofErr w:type="spellEnd"/>
      <w:r w:rsidRPr="00EA17C7">
        <w:rPr>
          <w:lang w:val="en-US"/>
        </w:rPr>
        <w:t>) of the absorbed atoms</w:t>
      </w:r>
      <w:r w:rsidR="00EA17C7" w:rsidRPr="00EA17C7">
        <w:rPr>
          <w:lang w:val="en-US"/>
        </w:rPr>
        <w:t xml:space="preserve"> multiplied by</w:t>
      </w:r>
      <w:r w:rsidR="006D51BE" w:rsidRPr="00EA17C7">
        <w:rPr>
          <w:lang w:val="en-US"/>
        </w:rPr>
        <w:t xml:space="preserve"> </w:t>
      </w:r>
      <w:r w:rsidRPr="00EA17C7">
        <w:rPr>
          <w:lang w:val="en-US"/>
        </w:rPr>
        <w:t xml:space="preserve">the </w:t>
      </w:r>
      <w:r w:rsidR="006D51BE" w:rsidRPr="00EA17C7">
        <w:rPr>
          <w:lang w:val="en-US"/>
        </w:rPr>
        <w:t xml:space="preserve">subsurface atoms concentration (c) </w:t>
      </w:r>
      <w:r w:rsidRPr="00EA17C7">
        <w:rPr>
          <w:lang w:val="en-US"/>
        </w:rPr>
        <w:t>square</w:t>
      </w:r>
      <w:r w:rsidR="006D51BE" w:rsidRPr="00EA17C7">
        <w:rPr>
          <w:lang w:val="en-US"/>
        </w:rPr>
        <w:t>d</w:t>
      </w:r>
      <w:r w:rsidRPr="00EA17C7">
        <w:rPr>
          <w:lang w:val="en-US"/>
        </w:rPr>
        <w:t>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0E3668" w:rsidRPr="006B7EA4" w14:paraId="1DEBEB6B" w14:textId="77777777" w:rsidTr="00D415AF">
        <w:tc>
          <w:tcPr>
            <w:tcW w:w="4633" w:type="pct"/>
            <w:vAlign w:val="center"/>
          </w:tcPr>
          <w:p w14:paraId="76EF346E" w14:textId="0B13C122" w:rsidR="000E3668" w:rsidRPr="006B7EA4" w:rsidRDefault="00427AE2" w:rsidP="000E3668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67" w:type="pct"/>
            <w:vAlign w:val="center"/>
            <w:hideMark/>
          </w:tcPr>
          <w:p w14:paraId="51BB6A5A" w14:textId="77777777" w:rsidR="000E3668" w:rsidRPr="006B7EA4" w:rsidRDefault="000E3668" w:rsidP="00D415AF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7EA4">
              <w:rPr>
                <w:sz w:val="20"/>
              </w:rPr>
              <w:fldChar w:fldCharType="begin"/>
            </w:r>
            <w:r w:rsidRPr="006B7EA4">
              <w:rPr>
                <w:rFonts w:ascii="Times New Roman" w:hAnsi="Times New Roman" w:cs="Times New Roman"/>
                <w:sz w:val="20"/>
                <w:szCs w:val="20"/>
              </w:rPr>
              <w:instrText xml:space="preserve"> SEQ ( \* ARABIC </w:instrText>
            </w:r>
            <w:r w:rsidRPr="006B7EA4">
              <w:rPr>
                <w:sz w:val="20"/>
              </w:rPr>
              <w:fldChar w:fldCharType="separate"/>
            </w:r>
            <w:r w:rsidR="00663664" w:rsidRPr="006B7EA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B7EA4">
              <w:rPr>
                <w:sz w:val="20"/>
              </w:rPr>
              <w:fldChar w:fldCharType="end"/>
            </w:r>
            <w:r w:rsidRPr="006B7E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A88F089" w14:textId="77777777" w:rsidR="000E3668" w:rsidRPr="006B7EA4" w:rsidRDefault="000E3668" w:rsidP="000E3668">
      <w:pPr>
        <w:pStyle w:val="a1"/>
        <w:spacing w:line="276" w:lineRule="auto"/>
        <w:rPr>
          <w:lang w:val="en-US"/>
        </w:rPr>
      </w:pPr>
    </w:p>
    <w:p w14:paraId="3941BAF6" w14:textId="211715ED" w:rsidR="000E3668" w:rsidRPr="006B7EA4" w:rsidRDefault="00EC5922" w:rsidP="000E3668">
      <w:pPr>
        <w:pStyle w:val="a1"/>
        <w:spacing w:line="276" w:lineRule="auto"/>
        <w:rPr>
          <w:lang w:val="en-US"/>
        </w:rPr>
      </w:pPr>
      <w:r w:rsidRPr="006B7EA4">
        <w:rPr>
          <w:lang w:val="en-US"/>
        </w:rPr>
        <w:t xml:space="preserve">Permeability is often described in </w:t>
      </w:r>
      <w:r w:rsidR="00E66C69" w:rsidRPr="006B7EA4">
        <w:rPr>
          <w:lang w:val="en-US"/>
        </w:rPr>
        <w:t>the</w:t>
      </w:r>
      <w:r w:rsidRPr="006B7EA4">
        <w:rPr>
          <w:lang w:val="en-US"/>
        </w:rPr>
        <w:t xml:space="preserve"> one-dimensional approximation, since it is the </w:t>
      </w:r>
      <w:r w:rsidR="00F56FA7" w:rsidRPr="006B7EA4">
        <w:rPr>
          <w:lang w:val="en-US"/>
        </w:rPr>
        <w:t>simpl</w:t>
      </w:r>
      <w:r w:rsidRPr="006B7EA4">
        <w:rPr>
          <w:lang w:val="en-US"/>
        </w:rPr>
        <w:t xml:space="preserve">est way to analyze the basic regularities, which also remain qualitatively valid for </w:t>
      </w:r>
      <w:proofErr w:type="gramStart"/>
      <w:r w:rsidRPr="006B7EA4">
        <w:rPr>
          <w:lang w:val="en-US"/>
        </w:rPr>
        <w:t>more complex geometries</w:t>
      </w:r>
      <w:proofErr w:type="gramEnd"/>
      <w:r w:rsidRPr="006B7EA4">
        <w:rPr>
          <w:lang w:val="en-US"/>
        </w:rPr>
        <w:t xml:space="preserve">. In this approximation, permeability will depend on solubility, diffusion and surface effects (absorption and desorption). </w:t>
      </w:r>
      <w:r w:rsidRPr="006B7EA4">
        <w:rPr>
          <w:lang w:val="en-US"/>
        </w:rPr>
        <w:lastRenderedPageBreak/>
        <w:t xml:space="preserve">In the steady-state case, when the permeability of a certain </w:t>
      </w:r>
      <w:r w:rsidR="00F56FA7" w:rsidRPr="006B7EA4">
        <w:rPr>
          <w:lang w:val="en-US"/>
        </w:rPr>
        <w:t xml:space="preserve">time </w:t>
      </w:r>
      <w:r w:rsidRPr="006B7EA4">
        <w:rPr>
          <w:lang w:val="en-US"/>
        </w:rPr>
        <w:t xml:space="preserve">transient has reached </w:t>
      </w:r>
      <w:r w:rsidR="00F56FA7" w:rsidRPr="006B7EA4">
        <w:rPr>
          <w:lang w:val="en-US"/>
        </w:rPr>
        <w:t>its maximum</w:t>
      </w:r>
      <w:r w:rsidRPr="006B7EA4">
        <w:rPr>
          <w:lang w:val="en-US"/>
        </w:rPr>
        <w:t xml:space="preserve">, a constant depth gradient of concentration is established in the </w:t>
      </w:r>
      <w:proofErr w:type="gramStart"/>
      <w:r w:rsidRPr="006B7EA4">
        <w:rPr>
          <w:lang w:val="en-US"/>
        </w:rPr>
        <w:t>membrane,</w:t>
      </w:r>
      <w:proofErr w:type="gramEnd"/>
      <w:r w:rsidRPr="006B7EA4">
        <w:rPr>
          <w:lang w:val="en-US"/>
        </w:rPr>
        <w:t xml:space="preserve"> together</w:t>
      </w:r>
      <w:r w:rsidR="00F56FA7" w:rsidRPr="006B7EA4">
        <w:rPr>
          <w:lang w:val="en-US"/>
        </w:rPr>
        <w:t xml:space="preserve"> with the diffusion coefficient it </w:t>
      </w:r>
      <w:r w:rsidRPr="006B7EA4">
        <w:rPr>
          <w:lang w:val="en-US"/>
        </w:rPr>
        <w:t>determines the value of the penetrating flow</w:t>
      </w:r>
      <w:r w:rsidR="00F56FA7" w:rsidRPr="006B7EA4">
        <w:rPr>
          <w:lang w:val="en-US"/>
        </w:rPr>
        <w:t xml:space="preserve"> </w:t>
      </w:r>
      <w:r w:rsidRPr="006B7EA4">
        <w:rPr>
          <w:lang w:val="en-US"/>
        </w:rPr>
        <w:t xml:space="preserve">[2]. With a change in the </w:t>
      </w:r>
      <w:r w:rsidR="00F56FA7" w:rsidRPr="006B7EA4">
        <w:rPr>
          <w:lang w:val="en-US"/>
        </w:rPr>
        <w:t xml:space="preserve">system </w:t>
      </w:r>
      <w:r w:rsidRPr="006B7EA4">
        <w:rPr>
          <w:lang w:val="en-US"/>
        </w:rPr>
        <w:t xml:space="preserve">parameters (temperature, hydrogen concentration </w:t>
      </w:r>
      <w:r w:rsidR="00F56FA7" w:rsidRPr="006B7EA4">
        <w:rPr>
          <w:lang w:val="en-US"/>
        </w:rPr>
        <w:t xml:space="preserve">growth </w:t>
      </w:r>
      <w:r w:rsidRPr="006B7EA4">
        <w:rPr>
          <w:lang w:val="en-US"/>
        </w:rPr>
        <w:t>in the t</w:t>
      </w:r>
      <w:r w:rsidR="00F56FA7" w:rsidRPr="006B7EA4">
        <w:rPr>
          <w:lang w:val="en-US"/>
        </w:rPr>
        <w:t>ertiary</w:t>
      </w:r>
      <w:r w:rsidRPr="006B7EA4">
        <w:rPr>
          <w:lang w:val="en-US"/>
        </w:rPr>
        <w:t xml:space="preserve"> circuit), an increase in the hydrogen content </w:t>
      </w:r>
      <w:proofErr w:type="gramStart"/>
      <w:r w:rsidR="00153BCE" w:rsidRPr="006B7EA4">
        <w:rPr>
          <w:lang w:val="en-US"/>
        </w:rPr>
        <w:t>is observed</w:t>
      </w:r>
      <w:proofErr w:type="gramEnd"/>
      <w:r w:rsidR="00153BCE" w:rsidRPr="006B7EA4">
        <w:rPr>
          <w:lang w:val="en-US"/>
        </w:rPr>
        <w:t xml:space="preserve"> in the medium with its</w:t>
      </w:r>
      <w:r w:rsidRPr="006B7EA4">
        <w:rPr>
          <w:lang w:val="en-US"/>
        </w:rPr>
        <w:t xml:space="preserve"> l</w:t>
      </w:r>
      <w:r w:rsidR="007E0991" w:rsidRPr="006B7EA4">
        <w:rPr>
          <w:lang w:val="en-US"/>
        </w:rPr>
        <w:t>ower concentration (in our case</w:t>
      </w:r>
      <w:r w:rsidRPr="006B7EA4">
        <w:rPr>
          <w:lang w:val="en-US"/>
        </w:rPr>
        <w:t xml:space="preserve"> in sodium):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0E3668" w:rsidRPr="006B7EA4" w14:paraId="70D8C183" w14:textId="77777777" w:rsidTr="00D415AF">
        <w:tc>
          <w:tcPr>
            <w:tcW w:w="4633" w:type="pct"/>
            <w:vAlign w:val="center"/>
          </w:tcPr>
          <w:p w14:paraId="0D5667C9" w14:textId="4A89402D" w:rsidR="000E3668" w:rsidRPr="006B7EA4" w:rsidRDefault="000E3668" w:rsidP="000E3668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wall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</m:t>
                </m:r>
              </m:oMath>
            </m:oMathPara>
          </w:p>
        </w:tc>
        <w:tc>
          <w:tcPr>
            <w:tcW w:w="367" w:type="pct"/>
            <w:vAlign w:val="center"/>
            <w:hideMark/>
          </w:tcPr>
          <w:p w14:paraId="46D83E3F" w14:textId="73B9FBA0" w:rsidR="000E3668" w:rsidRPr="006B7EA4" w:rsidRDefault="000E3668" w:rsidP="000E3668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A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</w:tbl>
    <w:p w14:paraId="6BC84439" w14:textId="317228E4" w:rsidR="000E3668" w:rsidRPr="006B7EA4" w:rsidRDefault="00153BCE" w:rsidP="000E3668">
      <w:pPr>
        <w:pStyle w:val="a1"/>
        <w:spacing w:line="276" w:lineRule="auto"/>
        <w:ind w:firstLine="0"/>
        <w:rPr>
          <w:lang w:val="en-US"/>
        </w:rPr>
      </w:pPr>
      <w:proofErr w:type="gramStart"/>
      <w:r w:rsidRPr="006B7EA4">
        <w:rPr>
          <w:lang w:val="en-US"/>
        </w:rPr>
        <w:t>where</w:t>
      </w:r>
      <w:proofErr w:type="gramEnd"/>
      <w:r w:rsidR="000E3668" w:rsidRPr="006B7EA4">
        <w:rPr>
          <w:lang w:val="en-US"/>
        </w:rPr>
        <w:t xml:space="preserve"> τ –</w:t>
      </w:r>
      <w:r w:rsidRPr="006B7EA4">
        <w:rPr>
          <w:lang w:val="en-US"/>
        </w:rPr>
        <w:t>delay time for the appearance of hydrogen in the secondary sodium</w:t>
      </w:r>
      <w:r w:rsidR="000E3668" w:rsidRPr="006B7EA4">
        <w:rPr>
          <w:lang w:val="en-US"/>
        </w:rPr>
        <w:t>;</w:t>
      </w:r>
    </w:p>
    <w:p w14:paraId="0CC25A52" w14:textId="123BEE7D" w:rsidR="000E3668" w:rsidRPr="006B7EA4" w:rsidRDefault="000E3668" w:rsidP="000E3668">
      <w:pPr>
        <w:pStyle w:val="a1"/>
        <w:spacing w:line="276" w:lineRule="auto"/>
        <w:ind w:firstLine="0"/>
        <w:rPr>
          <w:lang w:val="en-US"/>
        </w:rPr>
      </w:pPr>
      <w:r w:rsidRPr="006B7EA4">
        <w:rPr>
          <w:lang w:val="ru-RU"/>
        </w:rPr>
        <w:t>σ</w:t>
      </w:r>
      <w:r w:rsidRPr="006B7EA4">
        <w:rPr>
          <w:vertAlign w:val="subscript"/>
          <w:lang w:val="en-US"/>
        </w:rPr>
        <w:t>wall</w:t>
      </w:r>
      <w:r w:rsidRPr="006B7EA4">
        <w:rPr>
          <w:lang w:val="en-US"/>
        </w:rPr>
        <w:t xml:space="preserve"> – </w:t>
      </w:r>
      <w:r w:rsidR="00153BCE" w:rsidRPr="006B7EA4">
        <w:rPr>
          <w:lang w:val="en-US"/>
        </w:rPr>
        <w:t>tube wall thickness, m</w:t>
      </w:r>
      <w:r w:rsidRPr="006B7EA4">
        <w:rPr>
          <w:lang w:val="en-US"/>
        </w:rPr>
        <w:t>;</w:t>
      </w:r>
    </w:p>
    <w:p w14:paraId="136691A1" w14:textId="79B721F5" w:rsidR="000E3668" w:rsidRPr="006B7EA4" w:rsidRDefault="000E3668" w:rsidP="000E3668">
      <w:pPr>
        <w:pStyle w:val="a1"/>
        <w:spacing w:line="276" w:lineRule="auto"/>
        <w:ind w:firstLine="0"/>
        <w:rPr>
          <w:lang w:val="en-US"/>
        </w:rPr>
      </w:pPr>
      <w:r w:rsidRPr="006B7EA4">
        <w:rPr>
          <w:lang w:val="en-US"/>
        </w:rPr>
        <w:t>D</w:t>
      </w:r>
      <w:r w:rsidRPr="006B7EA4">
        <w:rPr>
          <w:vertAlign w:val="subscript"/>
          <w:lang w:val="en-US"/>
        </w:rPr>
        <w:t xml:space="preserve">H </w:t>
      </w:r>
      <w:r w:rsidRPr="006B7EA4">
        <w:rPr>
          <w:lang w:val="en-US"/>
        </w:rPr>
        <w:t>–</w:t>
      </w:r>
      <w:r w:rsidR="00153BCE" w:rsidRPr="006B7EA4">
        <w:t xml:space="preserve">temperature-dependent </w:t>
      </w:r>
      <w:r w:rsidR="00153BCE" w:rsidRPr="006B7EA4">
        <w:rPr>
          <w:lang w:val="en-US"/>
        </w:rPr>
        <w:t xml:space="preserve">hydrogen diffusion coefficient in </w:t>
      </w:r>
      <w:r w:rsidR="007E0991" w:rsidRPr="00DD3DAB">
        <w:rPr>
          <w:lang w:val="en-US"/>
        </w:rPr>
        <w:t>10</w:t>
      </w:r>
      <w:r w:rsidR="00DD3DAB" w:rsidRPr="00DD3DAB">
        <w:rPr>
          <w:lang w:val="en-US"/>
        </w:rPr>
        <w:t>Kh</w:t>
      </w:r>
      <w:r w:rsidR="007E0991" w:rsidRPr="00DD3DAB">
        <w:rPr>
          <w:lang w:val="en-US"/>
        </w:rPr>
        <w:t xml:space="preserve">2M </w:t>
      </w:r>
      <w:r w:rsidR="00153BCE" w:rsidRPr="00DD3DAB">
        <w:rPr>
          <w:lang w:val="en-US"/>
        </w:rPr>
        <w:t>steel, m</w:t>
      </w:r>
      <w:r w:rsidR="00153BCE" w:rsidRPr="00DD3DAB">
        <w:rPr>
          <w:vertAlign w:val="superscript"/>
          <w:lang w:val="en-US"/>
        </w:rPr>
        <w:t>2</w:t>
      </w:r>
      <w:r w:rsidR="00153BCE" w:rsidRPr="00DD3DAB">
        <w:rPr>
          <w:lang w:val="en-US"/>
        </w:rPr>
        <w:t>/s</w:t>
      </w:r>
      <w:r w:rsidRPr="00DD3DAB">
        <w:rPr>
          <w:lang w:val="en-US"/>
        </w:rPr>
        <w:t>.</w:t>
      </w:r>
    </w:p>
    <w:p w14:paraId="76F04344" w14:textId="77777777" w:rsidR="000E3668" w:rsidRPr="006B7EA4" w:rsidRDefault="000E3668" w:rsidP="000E3668">
      <w:pPr>
        <w:pStyle w:val="a1"/>
        <w:spacing w:line="276" w:lineRule="auto"/>
        <w:rPr>
          <w:lang w:val="en-US"/>
        </w:rPr>
      </w:pPr>
    </w:p>
    <w:p w14:paraId="30C32677" w14:textId="72C08DA1" w:rsidR="00EA1A61" w:rsidRPr="006B7EA4" w:rsidRDefault="00C42C6D" w:rsidP="00EA1A61">
      <w:pPr>
        <w:spacing w:line="276" w:lineRule="auto"/>
        <w:ind w:firstLine="708"/>
        <w:jc w:val="both"/>
        <w:rPr>
          <w:sz w:val="20"/>
          <w:lang w:val="en-US"/>
        </w:rPr>
      </w:pPr>
      <w:r w:rsidRPr="006B7EA4">
        <w:rPr>
          <w:sz w:val="20"/>
          <w:lang w:val="en-US"/>
        </w:rPr>
        <w:t>In view o</w:t>
      </w:r>
      <w:r w:rsidR="00153BCE" w:rsidRPr="006B7EA4">
        <w:rPr>
          <w:sz w:val="20"/>
          <w:lang w:val="en-US"/>
        </w:rPr>
        <w:t xml:space="preserve">f the fact that the content of free hydrogen in sodium (it </w:t>
      </w:r>
      <w:r w:rsidR="00153BCE" w:rsidRPr="00CC4FF1">
        <w:rPr>
          <w:sz w:val="20"/>
          <w:lang w:val="en-US"/>
        </w:rPr>
        <w:t xml:space="preserve">is </w:t>
      </w:r>
      <w:r w:rsidR="00840C8E" w:rsidRPr="00CC4FF1">
        <w:rPr>
          <w:sz w:val="20"/>
          <w:lang w:val="en-US"/>
        </w:rPr>
        <w:t>chemically bonded</w:t>
      </w:r>
      <w:r w:rsidR="00153BCE" w:rsidRPr="00CC4FF1">
        <w:rPr>
          <w:sz w:val="20"/>
          <w:lang w:val="en-US"/>
        </w:rPr>
        <w:t xml:space="preserve"> to</w:t>
      </w:r>
      <w:r w:rsidR="00E67D37" w:rsidRPr="00CC4FF1">
        <w:rPr>
          <w:sz w:val="20"/>
          <w:lang w:val="en-US"/>
        </w:rPr>
        <w:t xml:space="preserve"> form</w:t>
      </w:r>
      <w:r w:rsidR="00153BCE" w:rsidRPr="00CC4FF1">
        <w:rPr>
          <w:sz w:val="20"/>
          <w:lang w:val="en-US"/>
        </w:rPr>
        <w:t xml:space="preserve"> sodium</w:t>
      </w:r>
      <w:r w:rsidR="00153BCE" w:rsidRPr="006B7EA4">
        <w:rPr>
          <w:sz w:val="20"/>
          <w:lang w:val="en-US"/>
        </w:rPr>
        <w:t xml:space="preserve"> hydride </w:t>
      </w:r>
      <w:proofErr w:type="spellStart"/>
      <w:r w:rsidR="00153BCE" w:rsidRPr="006B7EA4">
        <w:rPr>
          <w:sz w:val="20"/>
          <w:lang w:val="en-US"/>
        </w:rPr>
        <w:t>NaH</w:t>
      </w:r>
      <w:proofErr w:type="spellEnd"/>
      <w:r w:rsidR="00153BCE" w:rsidRPr="006B7EA4">
        <w:rPr>
          <w:sz w:val="20"/>
          <w:lang w:val="en-US"/>
        </w:rPr>
        <w:t xml:space="preserve">) is much less than the </w:t>
      </w:r>
      <w:r w:rsidR="009F74E2" w:rsidRPr="006B7EA4">
        <w:rPr>
          <w:sz w:val="20"/>
          <w:lang w:val="en-US"/>
        </w:rPr>
        <w:t xml:space="preserve">hydrogen </w:t>
      </w:r>
      <w:r w:rsidR="00153BCE" w:rsidRPr="006B7EA4">
        <w:rPr>
          <w:sz w:val="20"/>
          <w:lang w:val="en-US"/>
        </w:rPr>
        <w:t>content in water, the permeability is limited by hydrogen diffusion</w:t>
      </w:r>
      <w:r w:rsidRPr="006B7EA4">
        <w:rPr>
          <w:sz w:val="20"/>
          <w:lang w:val="en-US"/>
        </w:rPr>
        <w:t>,</w:t>
      </w:r>
      <w:r w:rsidR="00153BCE" w:rsidRPr="006B7EA4">
        <w:rPr>
          <w:sz w:val="20"/>
          <w:lang w:val="en-US"/>
        </w:rPr>
        <w:t xml:space="preserve"> and other stages can be neglected. Then the flow of hydrogen into</w:t>
      </w:r>
      <w:r w:rsidR="009F74E2" w:rsidRPr="006B7EA4">
        <w:rPr>
          <w:sz w:val="20"/>
          <w:lang w:val="en-US"/>
        </w:rPr>
        <w:t xml:space="preserve"> the</w:t>
      </w:r>
      <w:r w:rsidR="00153BCE" w:rsidRPr="006B7EA4">
        <w:rPr>
          <w:sz w:val="20"/>
          <w:lang w:val="en-US"/>
        </w:rPr>
        <w:t xml:space="preserve"> </w:t>
      </w:r>
      <w:r w:rsidR="009F74E2" w:rsidRPr="006B7EA4">
        <w:rPr>
          <w:sz w:val="20"/>
          <w:lang w:val="en-US"/>
        </w:rPr>
        <w:t xml:space="preserve">secondary circuit </w:t>
      </w:r>
      <w:r w:rsidR="00153BCE" w:rsidRPr="006B7EA4">
        <w:rPr>
          <w:sz w:val="20"/>
          <w:lang w:val="en-US"/>
        </w:rPr>
        <w:t xml:space="preserve">sodium </w:t>
      </w:r>
      <w:proofErr w:type="gramStart"/>
      <w:r w:rsidR="00153BCE" w:rsidRPr="006B7EA4">
        <w:rPr>
          <w:sz w:val="20"/>
          <w:lang w:val="en-US"/>
        </w:rPr>
        <w:t>can be represented</w:t>
      </w:r>
      <w:proofErr w:type="gramEnd"/>
      <w:r w:rsidR="00153BCE" w:rsidRPr="006B7EA4">
        <w:rPr>
          <w:sz w:val="20"/>
          <w:lang w:val="en-US"/>
        </w:rPr>
        <w:t xml:space="preserve"> as follows: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F3520F" w:rsidRPr="006B7EA4" w14:paraId="3D0FD8BE" w14:textId="77777777" w:rsidTr="00D415AF">
        <w:tc>
          <w:tcPr>
            <w:tcW w:w="4633" w:type="pct"/>
            <w:vAlign w:val="center"/>
          </w:tcPr>
          <w:p w14:paraId="48CA3834" w14:textId="4C96B191" w:rsidR="00F3520F" w:rsidRPr="006B7EA4" w:rsidRDefault="00427AE2" w:rsidP="00F3520F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∙∆C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wall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where ∆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C=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w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Na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367" w:type="pct"/>
            <w:vAlign w:val="center"/>
            <w:hideMark/>
          </w:tcPr>
          <w:p w14:paraId="10DB0307" w14:textId="2256C37A" w:rsidR="00F3520F" w:rsidRPr="006B7EA4" w:rsidRDefault="00F3520F" w:rsidP="00D415AF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A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</w:tbl>
    <w:p w14:paraId="5A0D3C2C" w14:textId="77777777" w:rsidR="00F3520F" w:rsidRPr="006B7EA4" w:rsidRDefault="00F3520F" w:rsidP="00EA1A61">
      <w:pPr>
        <w:spacing w:line="276" w:lineRule="auto"/>
        <w:ind w:firstLine="708"/>
        <w:jc w:val="both"/>
        <w:rPr>
          <w:sz w:val="20"/>
          <w:lang w:val="ru-RU"/>
        </w:rPr>
      </w:pPr>
    </w:p>
    <w:p w14:paraId="370EC8E3" w14:textId="0ACF8146" w:rsidR="00EA1A61" w:rsidRPr="006B7EA4" w:rsidRDefault="009F74E2" w:rsidP="00F3520F">
      <w:pPr>
        <w:spacing w:line="276" w:lineRule="auto"/>
        <w:jc w:val="both"/>
        <w:rPr>
          <w:sz w:val="20"/>
          <w:lang w:val="en-US"/>
        </w:rPr>
      </w:pPr>
      <w:r w:rsidRPr="006B7EA4">
        <w:rPr>
          <w:sz w:val="20"/>
          <w:lang w:val="en-US"/>
        </w:rPr>
        <w:t xml:space="preserve">Then the rate of hydrogen desorption into water </w:t>
      </w:r>
      <w:proofErr w:type="gramStart"/>
      <w:r w:rsidRPr="006B7EA4">
        <w:rPr>
          <w:sz w:val="20"/>
          <w:lang w:val="en-US"/>
        </w:rPr>
        <w:t>can be represented as</w:t>
      </w:r>
      <w:proofErr w:type="gramEnd"/>
      <w:r w:rsidR="00EA1A61" w:rsidRPr="006B7EA4">
        <w:rPr>
          <w:sz w:val="20"/>
          <w:lang w:val="en-US"/>
        </w:rPr>
        <w:t>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F3520F" w:rsidRPr="006B7EA4" w14:paraId="4F298C45" w14:textId="77777777" w:rsidTr="00D415AF">
        <w:tc>
          <w:tcPr>
            <w:tcW w:w="4633" w:type="pct"/>
            <w:vAlign w:val="center"/>
          </w:tcPr>
          <w:p w14:paraId="6B3E3392" w14:textId="33DCA968" w:rsidR="00F3520F" w:rsidRPr="006B7EA4" w:rsidRDefault="00427AE2" w:rsidP="004A50D4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III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67" w:type="pct"/>
            <w:vAlign w:val="center"/>
            <w:hideMark/>
          </w:tcPr>
          <w:p w14:paraId="4C4D5E5A" w14:textId="2B52567B" w:rsidR="00F3520F" w:rsidRPr="006B7EA4" w:rsidRDefault="00F3520F" w:rsidP="00F3520F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A4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</w:tbl>
    <w:p w14:paraId="03298775" w14:textId="77777777" w:rsidR="00F3520F" w:rsidRPr="006B7EA4" w:rsidRDefault="00F3520F" w:rsidP="00F3520F">
      <w:pPr>
        <w:spacing w:line="276" w:lineRule="auto"/>
        <w:jc w:val="both"/>
        <w:rPr>
          <w:sz w:val="20"/>
          <w:lang w:val="en-US"/>
        </w:rPr>
      </w:pPr>
    </w:p>
    <w:p w14:paraId="4C33B18F" w14:textId="47A4E138" w:rsidR="00EA1A61" w:rsidRPr="006B7EA4" w:rsidRDefault="009F74E2" w:rsidP="00EA1A61">
      <w:pPr>
        <w:spacing w:line="360" w:lineRule="auto"/>
        <w:jc w:val="both"/>
        <w:rPr>
          <w:sz w:val="20"/>
          <w:lang w:val="en-US"/>
        </w:rPr>
      </w:pPr>
      <w:proofErr w:type="gramStart"/>
      <w:r w:rsidRPr="006B7EA4">
        <w:rPr>
          <w:sz w:val="20"/>
          <w:lang w:val="en-US"/>
        </w:rPr>
        <w:t>Let the recombination constant be defined</w:t>
      </w:r>
      <w:proofErr w:type="gramEnd"/>
      <w:r w:rsidR="00EA1A61" w:rsidRPr="006B7EA4">
        <w:rPr>
          <w:sz w:val="20"/>
          <w:lang w:val="en-US"/>
        </w:rPr>
        <w:t>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4A50D4" w:rsidRPr="006B7EA4" w14:paraId="0400CEC8" w14:textId="77777777" w:rsidTr="00D415AF">
        <w:tc>
          <w:tcPr>
            <w:tcW w:w="4633" w:type="pct"/>
            <w:vAlign w:val="center"/>
          </w:tcPr>
          <w:p w14:paraId="63A18A79" w14:textId="0B780651" w:rsidR="004A50D4" w:rsidRPr="006B7EA4" w:rsidRDefault="00427AE2" w:rsidP="004A50D4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-E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RT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sup>
                </m:sSup>
              </m:oMath>
            </m:oMathPara>
          </w:p>
        </w:tc>
        <w:tc>
          <w:tcPr>
            <w:tcW w:w="367" w:type="pct"/>
            <w:vAlign w:val="center"/>
            <w:hideMark/>
          </w:tcPr>
          <w:p w14:paraId="474A2F2E" w14:textId="524F3253" w:rsidR="004A50D4" w:rsidRPr="006B7EA4" w:rsidRDefault="004A50D4" w:rsidP="00D415AF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7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B7E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34A8945" w14:textId="54F0A842" w:rsidR="004A50D4" w:rsidRPr="006B7EA4" w:rsidRDefault="009F74E2" w:rsidP="00EA1A61">
      <w:pPr>
        <w:spacing w:line="276" w:lineRule="auto"/>
        <w:jc w:val="both"/>
        <w:rPr>
          <w:sz w:val="20"/>
          <w:lang w:val="ru-RU"/>
        </w:rPr>
      </w:pPr>
      <w:proofErr w:type="gramStart"/>
      <w:r w:rsidRPr="006B7EA4">
        <w:rPr>
          <w:sz w:val="20"/>
          <w:lang w:val="en-US"/>
        </w:rPr>
        <w:t>where</w:t>
      </w:r>
      <w:proofErr w:type="gramEnd"/>
      <w:r w:rsidR="004A50D4" w:rsidRPr="006B7EA4">
        <w:rPr>
          <w:sz w:val="20"/>
          <w:lang w:val="ru-RU"/>
        </w:rPr>
        <w:t xml:space="preserve"> </w:t>
      </w:r>
      <w:r w:rsidR="00EA1A61" w:rsidRPr="006B7EA4">
        <w:rPr>
          <w:sz w:val="20"/>
          <w:lang w:val="ru-RU"/>
        </w:rPr>
        <w:t>К</w:t>
      </w:r>
      <w:r w:rsidR="00EA1A61" w:rsidRPr="006B7EA4">
        <w:rPr>
          <w:sz w:val="20"/>
          <w:vertAlign w:val="superscript"/>
          <w:lang w:val="ru-RU"/>
        </w:rPr>
        <w:t>0</w:t>
      </w:r>
      <w:r w:rsidR="00C42C6D" w:rsidRPr="006B7EA4">
        <w:rPr>
          <w:sz w:val="20"/>
          <w:lang w:val="ru-RU"/>
        </w:rPr>
        <w:t xml:space="preserve"> = 1.</w:t>
      </w:r>
      <w:r w:rsidR="00EA1A61" w:rsidRPr="006B7EA4">
        <w:rPr>
          <w:sz w:val="20"/>
          <w:lang w:val="ru-RU"/>
        </w:rPr>
        <w:t>8∙10</w:t>
      </w:r>
      <w:r w:rsidR="00EA1A61" w:rsidRPr="006B7EA4">
        <w:rPr>
          <w:sz w:val="20"/>
          <w:vertAlign w:val="superscript"/>
          <w:lang w:val="ru-RU"/>
        </w:rPr>
        <w:t>-</w:t>
      </w:r>
      <w:r w:rsidR="007E0991" w:rsidRPr="006B7EA4">
        <w:rPr>
          <w:sz w:val="20"/>
          <w:vertAlign w:val="superscript"/>
          <w:lang w:val="ru-RU"/>
        </w:rPr>
        <w:t>18</w:t>
      </w:r>
      <w:r w:rsidR="007E0991" w:rsidRPr="00C37098">
        <w:rPr>
          <w:sz w:val="20"/>
          <w:lang w:val="ru-RU"/>
        </w:rPr>
        <w:t>;</w:t>
      </w:r>
      <w:r w:rsidR="00161AEE" w:rsidRPr="006B7EA4">
        <w:rPr>
          <w:sz w:val="20"/>
          <w:lang w:val="ru-RU"/>
        </w:rPr>
        <w:t xml:space="preserve"> </w:t>
      </w:r>
      <w:r w:rsidR="00EA1A61" w:rsidRPr="006B7EA4">
        <w:rPr>
          <w:sz w:val="20"/>
          <w:lang w:val="ru-RU"/>
        </w:rPr>
        <w:t>Т</w:t>
      </w:r>
      <w:r w:rsidR="00EA1A61" w:rsidRPr="006B7EA4">
        <w:rPr>
          <w:sz w:val="20"/>
          <w:vertAlign w:val="superscript"/>
          <w:lang w:val="ru-RU"/>
        </w:rPr>
        <w:t>1</w:t>
      </w:r>
      <w:r w:rsidR="00C37098">
        <w:rPr>
          <w:sz w:val="20"/>
          <w:lang w:val="ru-RU"/>
        </w:rPr>
        <w:t xml:space="preserve"> = 500К;</w:t>
      </w:r>
    </w:p>
    <w:p w14:paraId="1C0408B1" w14:textId="064AE22E" w:rsidR="00EA1A61" w:rsidRPr="006B7EA4" w:rsidRDefault="00C42C6D" w:rsidP="00EA1A61">
      <w:pPr>
        <w:spacing w:line="276" w:lineRule="auto"/>
        <w:jc w:val="both"/>
        <w:rPr>
          <w:sz w:val="20"/>
          <w:lang w:val="ru-RU"/>
        </w:rPr>
      </w:pPr>
      <w:r w:rsidRPr="006B7EA4">
        <w:rPr>
          <w:sz w:val="20"/>
          <w:lang w:val="ru-RU"/>
        </w:rPr>
        <w:t>Е = 24.</w:t>
      </w:r>
      <w:r w:rsidR="00EA1A61" w:rsidRPr="006B7EA4">
        <w:rPr>
          <w:sz w:val="20"/>
          <w:lang w:val="ru-RU"/>
        </w:rPr>
        <w:t xml:space="preserve">8 </w:t>
      </w:r>
      <w:proofErr w:type="spellStart"/>
      <w:r w:rsidR="007E0991" w:rsidRPr="006B7EA4">
        <w:rPr>
          <w:sz w:val="20"/>
          <w:lang w:val="ru-RU"/>
        </w:rPr>
        <w:t>kJ</w:t>
      </w:r>
      <w:proofErr w:type="spellEnd"/>
      <w:r w:rsidR="009F74E2" w:rsidRPr="006B7EA4">
        <w:rPr>
          <w:sz w:val="20"/>
          <w:lang w:val="ru-RU"/>
        </w:rPr>
        <w:t>/</w:t>
      </w:r>
      <w:proofErr w:type="spellStart"/>
      <w:r w:rsidR="009F74E2" w:rsidRPr="006B7EA4">
        <w:rPr>
          <w:sz w:val="20"/>
          <w:lang w:val="ru-RU"/>
        </w:rPr>
        <w:t>mol</w:t>
      </w:r>
      <w:proofErr w:type="spellEnd"/>
      <w:r w:rsidR="00C37098">
        <w:rPr>
          <w:sz w:val="20"/>
          <w:lang w:val="ru-RU"/>
        </w:rPr>
        <w:t>;</w:t>
      </w:r>
    </w:p>
    <w:p w14:paraId="61CE3DF3" w14:textId="32DDCD82" w:rsidR="00EA1A61" w:rsidRPr="006B7EA4" w:rsidRDefault="00EA1A61" w:rsidP="00EA1A61">
      <w:pPr>
        <w:spacing w:line="276" w:lineRule="auto"/>
        <w:jc w:val="both"/>
        <w:rPr>
          <w:sz w:val="20"/>
          <w:lang w:val="ru-RU"/>
        </w:rPr>
      </w:pPr>
      <w:r w:rsidRPr="006B7EA4">
        <w:rPr>
          <w:sz w:val="20"/>
          <w:lang w:val="en-US"/>
        </w:rPr>
        <w:t>R</w:t>
      </w:r>
      <w:r w:rsidR="00C42C6D" w:rsidRPr="006B7EA4">
        <w:rPr>
          <w:sz w:val="20"/>
          <w:lang w:val="ru-RU"/>
        </w:rPr>
        <w:t xml:space="preserve"> = 8.</w:t>
      </w:r>
      <w:r w:rsidRPr="006B7EA4">
        <w:rPr>
          <w:sz w:val="20"/>
          <w:lang w:val="ru-RU"/>
        </w:rPr>
        <w:t xml:space="preserve">314 </w:t>
      </w:r>
      <w:r w:rsidR="007E0991" w:rsidRPr="006B7EA4">
        <w:rPr>
          <w:sz w:val="20"/>
          <w:lang w:val="ru-RU"/>
        </w:rPr>
        <w:t>J</w:t>
      </w:r>
      <w:r w:rsidR="009F74E2" w:rsidRPr="006B7EA4">
        <w:rPr>
          <w:sz w:val="20"/>
          <w:lang w:val="ru-RU"/>
        </w:rPr>
        <w:t>/</w:t>
      </w:r>
      <w:proofErr w:type="spellStart"/>
      <w:r w:rsidR="009F74E2" w:rsidRPr="006B7EA4">
        <w:rPr>
          <w:sz w:val="20"/>
          <w:lang w:val="ru-RU"/>
        </w:rPr>
        <w:t>mol</w:t>
      </w:r>
      <w:r w:rsidR="00C42C6D" w:rsidRPr="006B7EA4">
        <w:rPr>
          <w:sz w:val="20"/>
          <w:lang w:val="ru-RU"/>
        </w:rPr>
        <w:t>∙К</w:t>
      </w:r>
      <w:proofErr w:type="spellEnd"/>
      <w:r w:rsidR="00C42C6D" w:rsidRPr="006B7EA4">
        <w:rPr>
          <w:sz w:val="20"/>
          <w:lang w:val="ru-RU"/>
        </w:rPr>
        <w:t xml:space="preserve"> = 0.</w:t>
      </w:r>
      <w:r w:rsidRPr="006B7EA4">
        <w:rPr>
          <w:sz w:val="20"/>
          <w:lang w:val="ru-RU"/>
        </w:rPr>
        <w:t xml:space="preserve">008 </w:t>
      </w:r>
      <w:proofErr w:type="spellStart"/>
      <w:r w:rsidR="007E0991" w:rsidRPr="006B7EA4">
        <w:rPr>
          <w:sz w:val="20"/>
          <w:lang w:val="ru-RU"/>
        </w:rPr>
        <w:t>kJ</w:t>
      </w:r>
      <w:proofErr w:type="spellEnd"/>
      <w:r w:rsidR="009F74E2" w:rsidRPr="006B7EA4">
        <w:rPr>
          <w:sz w:val="20"/>
          <w:lang w:val="ru-RU"/>
        </w:rPr>
        <w:t>/</w:t>
      </w:r>
      <w:proofErr w:type="spellStart"/>
      <w:r w:rsidR="009F74E2" w:rsidRPr="006B7EA4">
        <w:rPr>
          <w:sz w:val="20"/>
          <w:lang w:val="ru-RU"/>
        </w:rPr>
        <w:t>mol</w:t>
      </w:r>
      <w:r w:rsidRPr="006B7EA4">
        <w:rPr>
          <w:sz w:val="20"/>
          <w:lang w:val="ru-RU"/>
        </w:rPr>
        <w:t>∙К</w:t>
      </w:r>
      <w:proofErr w:type="spellEnd"/>
    </w:p>
    <w:p w14:paraId="798B9E40" w14:textId="77777777" w:rsidR="004A50D4" w:rsidRPr="006B7EA4" w:rsidRDefault="004A50D4" w:rsidP="00EA1A61">
      <w:pPr>
        <w:spacing w:line="276" w:lineRule="auto"/>
        <w:jc w:val="both"/>
        <w:rPr>
          <w:sz w:val="20"/>
          <w:lang w:val="ru-RU"/>
        </w:rPr>
      </w:pPr>
    </w:p>
    <w:p w14:paraId="402B7057" w14:textId="7C189F7D" w:rsidR="00EA1A61" w:rsidRPr="006B7EA4" w:rsidRDefault="009F74E2" w:rsidP="00EA1A61">
      <w:pPr>
        <w:spacing w:line="276" w:lineRule="auto"/>
        <w:jc w:val="both"/>
        <w:rPr>
          <w:sz w:val="20"/>
          <w:lang w:val="en-US"/>
        </w:rPr>
      </w:pPr>
      <w:r w:rsidRPr="006B7EA4">
        <w:rPr>
          <w:sz w:val="20"/>
          <w:lang w:val="en-US"/>
        </w:rPr>
        <w:t xml:space="preserve">Taking into account equations </w:t>
      </w:r>
      <w:r w:rsidR="00B87DCB" w:rsidRPr="006B7EA4">
        <w:rPr>
          <w:sz w:val="20"/>
          <w:lang w:val="en-US"/>
        </w:rPr>
        <w:t>(</w:t>
      </w:r>
      <w:r w:rsidRPr="006B7EA4">
        <w:rPr>
          <w:sz w:val="20"/>
          <w:lang w:val="en-US"/>
        </w:rPr>
        <w:t>3</w:t>
      </w:r>
      <w:r w:rsidR="00B87DCB" w:rsidRPr="006B7EA4">
        <w:rPr>
          <w:sz w:val="20"/>
          <w:lang w:val="en-US"/>
        </w:rPr>
        <w:t>)</w:t>
      </w:r>
      <w:r w:rsidRPr="006B7EA4">
        <w:rPr>
          <w:sz w:val="20"/>
          <w:lang w:val="en-US"/>
        </w:rPr>
        <w:t xml:space="preserve"> and </w:t>
      </w:r>
      <w:r w:rsidR="00B87DCB" w:rsidRPr="006B7EA4">
        <w:rPr>
          <w:sz w:val="20"/>
          <w:lang w:val="en-US"/>
        </w:rPr>
        <w:t>(</w:t>
      </w:r>
      <w:r w:rsidRPr="006B7EA4">
        <w:rPr>
          <w:sz w:val="20"/>
          <w:lang w:val="en-US"/>
        </w:rPr>
        <w:t>4</w:t>
      </w:r>
      <w:r w:rsidR="00B87DCB" w:rsidRPr="006B7EA4">
        <w:rPr>
          <w:sz w:val="20"/>
          <w:lang w:val="en-US"/>
        </w:rPr>
        <w:t>)</w:t>
      </w:r>
      <w:r w:rsidRPr="006B7EA4">
        <w:rPr>
          <w:sz w:val="20"/>
          <w:lang w:val="en-US"/>
        </w:rPr>
        <w:t xml:space="preserve">, let the tertiary circuit hydrogen concentration </w:t>
      </w:r>
      <w:proofErr w:type="gramStart"/>
      <w:r w:rsidRPr="006B7EA4">
        <w:rPr>
          <w:sz w:val="20"/>
          <w:lang w:val="en-US"/>
        </w:rPr>
        <w:t>be expressed</w:t>
      </w:r>
      <w:proofErr w:type="gramEnd"/>
      <w:r w:rsidR="00EA1A61" w:rsidRPr="006B7EA4">
        <w:rPr>
          <w:sz w:val="20"/>
          <w:lang w:val="en-US"/>
        </w:rPr>
        <w:t>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4A50D4" w:rsidRPr="00300A1F" w14:paraId="4482D709" w14:textId="77777777" w:rsidTr="00D415AF">
        <w:tc>
          <w:tcPr>
            <w:tcW w:w="4633" w:type="pct"/>
            <w:vAlign w:val="center"/>
          </w:tcPr>
          <w:p w14:paraId="013068A4" w14:textId="0CEBD002" w:rsidR="004A50D4" w:rsidRPr="00300A1F" w:rsidRDefault="00427AE2" w:rsidP="00A716C8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w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III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rec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367" w:type="pct"/>
            <w:vAlign w:val="center"/>
            <w:hideMark/>
          </w:tcPr>
          <w:p w14:paraId="392B12F3" w14:textId="4B922068" w:rsidR="004A50D4" w:rsidRPr="00300A1F" w:rsidRDefault="004A50D4" w:rsidP="00D415AF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A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16C8" w:rsidRPr="00300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00A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4FA4B88" w14:textId="77777777" w:rsidR="004A50D4" w:rsidRPr="00300A1F" w:rsidRDefault="004A50D4" w:rsidP="00EA1A61">
      <w:pPr>
        <w:spacing w:line="276" w:lineRule="auto"/>
        <w:jc w:val="both"/>
        <w:rPr>
          <w:sz w:val="20"/>
          <w:lang w:val="ru-RU"/>
        </w:rPr>
      </w:pPr>
    </w:p>
    <w:p w14:paraId="4CB228BA" w14:textId="7C635ACB" w:rsidR="00EA1A61" w:rsidRPr="00300A1F" w:rsidRDefault="009F74E2" w:rsidP="00EA1A61">
      <w:pPr>
        <w:spacing w:line="276" w:lineRule="auto"/>
        <w:jc w:val="both"/>
        <w:rPr>
          <w:sz w:val="20"/>
          <w:lang w:val="en-US"/>
        </w:rPr>
      </w:pPr>
      <w:r w:rsidRPr="00300A1F">
        <w:rPr>
          <w:sz w:val="20"/>
          <w:lang w:val="en-US"/>
        </w:rPr>
        <w:t xml:space="preserve">Let the hydrogen flow </w:t>
      </w:r>
      <w:proofErr w:type="gramStart"/>
      <w:r w:rsidRPr="00300A1F">
        <w:rPr>
          <w:sz w:val="20"/>
          <w:lang w:val="en-US"/>
        </w:rPr>
        <w:t>be represented as</w:t>
      </w:r>
      <w:proofErr w:type="gramEnd"/>
      <w:r w:rsidR="00A716C8" w:rsidRPr="00300A1F">
        <w:rPr>
          <w:sz w:val="20"/>
          <w:lang w:val="en-US"/>
        </w:rPr>
        <w:t>:</w:t>
      </w:r>
      <w:r w:rsidR="00EA1A61" w:rsidRPr="00300A1F">
        <w:rPr>
          <w:sz w:val="20"/>
          <w:lang w:val="en-US"/>
        </w:rPr>
        <w:t xml:space="preserve">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A716C8" w:rsidRPr="00300A1F" w14:paraId="7AA08C71" w14:textId="77777777" w:rsidTr="00D415AF">
        <w:tc>
          <w:tcPr>
            <w:tcW w:w="4633" w:type="pct"/>
            <w:vAlign w:val="center"/>
          </w:tcPr>
          <w:p w14:paraId="4D77365A" w14:textId="178F53AF" w:rsidR="00A716C8" w:rsidRPr="00300A1F" w:rsidRDefault="00427AE2" w:rsidP="00A716C8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III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cor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Eq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2+</m:t>
                            </m:r>
                          </m:sup>
                        </m:sSup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where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Eq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2+</m:t>
                        </m:r>
                      </m:sup>
                    </m:sSup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z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=28</m:t>
                </m:r>
              </m:oMath>
            </m:oMathPara>
          </w:p>
        </w:tc>
        <w:tc>
          <w:tcPr>
            <w:tcW w:w="367" w:type="pct"/>
            <w:vAlign w:val="center"/>
            <w:hideMark/>
          </w:tcPr>
          <w:p w14:paraId="716CEBD7" w14:textId="7C19096D" w:rsidR="00A716C8" w:rsidRPr="00300A1F" w:rsidRDefault="00A716C8" w:rsidP="00D415AF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A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0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00A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9D145E7" w14:textId="41B07826" w:rsidR="00EA1A61" w:rsidRPr="00300A1F" w:rsidRDefault="00A716C8" w:rsidP="00EA1A61">
      <w:pPr>
        <w:spacing w:line="276" w:lineRule="auto"/>
        <w:rPr>
          <w:sz w:val="20"/>
          <w:lang w:val="en-US"/>
        </w:rPr>
      </w:pPr>
      <w:proofErr w:type="spellStart"/>
      <w:r w:rsidRPr="00300A1F">
        <w:rPr>
          <w:sz w:val="20"/>
          <w:lang w:val="en-US"/>
        </w:rPr>
        <w:t>Eq</w:t>
      </w:r>
      <w:proofErr w:type="spellEnd"/>
      <w:r w:rsidR="00EA1A61" w:rsidRPr="00300A1F">
        <w:rPr>
          <w:sz w:val="20"/>
          <w:lang w:val="en-US"/>
        </w:rPr>
        <w:t xml:space="preserve"> – </w:t>
      </w:r>
      <w:r w:rsidR="009F74E2" w:rsidRPr="00300A1F">
        <w:rPr>
          <w:sz w:val="20"/>
          <w:lang w:val="en-US"/>
        </w:rPr>
        <w:t>chemical equivalent of iron</w:t>
      </w:r>
    </w:p>
    <w:p w14:paraId="1C73A30F" w14:textId="743B61EC" w:rsidR="00EA1A61" w:rsidRPr="00300A1F" w:rsidRDefault="00EA1A61" w:rsidP="00EA1A61">
      <w:pPr>
        <w:spacing w:line="276" w:lineRule="auto"/>
        <w:rPr>
          <w:sz w:val="20"/>
          <w:lang w:val="en-US"/>
        </w:rPr>
      </w:pPr>
      <w:r w:rsidRPr="00300A1F">
        <w:rPr>
          <w:sz w:val="20"/>
          <w:lang w:val="en-US"/>
        </w:rPr>
        <w:t xml:space="preserve">z – </w:t>
      </w:r>
      <w:proofErr w:type="gramStart"/>
      <w:r w:rsidR="00555421" w:rsidRPr="00300A1F">
        <w:rPr>
          <w:sz w:val="20"/>
          <w:lang w:val="en-US"/>
        </w:rPr>
        <w:t>iron</w:t>
      </w:r>
      <w:proofErr w:type="gramEnd"/>
      <w:r w:rsidR="00555421" w:rsidRPr="00300A1F">
        <w:rPr>
          <w:sz w:val="20"/>
          <w:lang w:val="en-US"/>
        </w:rPr>
        <w:t xml:space="preserve"> II valence</w:t>
      </w:r>
      <w:r w:rsidR="00AB23D6" w:rsidRPr="00300A1F">
        <w:rPr>
          <w:sz w:val="20"/>
          <w:lang w:val="en-US"/>
        </w:rPr>
        <w:t>.</w:t>
      </w:r>
    </w:p>
    <w:p w14:paraId="2A879EBA" w14:textId="77777777" w:rsidR="00AB23D6" w:rsidRPr="00300A1F" w:rsidRDefault="00AB23D6" w:rsidP="00EA1A61">
      <w:pPr>
        <w:spacing w:line="276" w:lineRule="auto"/>
        <w:rPr>
          <w:sz w:val="20"/>
          <w:lang w:val="en-US"/>
        </w:rPr>
      </w:pPr>
    </w:p>
    <w:p w14:paraId="44F73360" w14:textId="3A5D765C" w:rsidR="00A716C8" w:rsidRPr="00300A1F" w:rsidRDefault="00C5475B" w:rsidP="00EA1A61">
      <w:pPr>
        <w:spacing w:line="276" w:lineRule="auto"/>
        <w:jc w:val="both"/>
        <w:rPr>
          <w:sz w:val="20"/>
          <w:lang w:val="en-US"/>
        </w:rPr>
      </w:pPr>
      <w:r w:rsidRPr="00300A1F">
        <w:rPr>
          <w:sz w:val="20"/>
          <w:lang w:val="en-US"/>
        </w:rPr>
        <w:t>T</w:t>
      </w:r>
      <w:r w:rsidR="00555421" w:rsidRPr="00300A1F">
        <w:rPr>
          <w:sz w:val="20"/>
          <w:lang w:val="en-US"/>
        </w:rPr>
        <w:t xml:space="preserve">hen, via substitution into equation </w:t>
      </w:r>
      <w:r w:rsidR="00B87DCB" w:rsidRPr="00300A1F">
        <w:rPr>
          <w:sz w:val="20"/>
          <w:lang w:val="en-US"/>
        </w:rPr>
        <w:t>(</w:t>
      </w:r>
      <w:r w:rsidR="00555421" w:rsidRPr="00300A1F">
        <w:rPr>
          <w:sz w:val="20"/>
          <w:lang w:val="en-US"/>
        </w:rPr>
        <w:t>6</w:t>
      </w:r>
      <w:r w:rsidR="00B87DCB" w:rsidRPr="00300A1F">
        <w:rPr>
          <w:sz w:val="20"/>
          <w:lang w:val="en-US"/>
        </w:rPr>
        <w:t>)</w:t>
      </w:r>
      <w:r w:rsidR="00555421" w:rsidRPr="00300A1F">
        <w:rPr>
          <w:sz w:val="20"/>
          <w:lang w:val="en-US"/>
        </w:rPr>
        <w:t>, we obtain the hydrogen concentration in the near-wall region</w:t>
      </w:r>
      <w:r w:rsidR="00EA1A61" w:rsidRPr="00300A1F">
        <w:rPr>
          <w:sz w:val="20"/>
          <w:lang w:val="en-US"/>
        </w:rPr>
        <w:t>:</w:t>
      </w:r>
      <w:r w:rsidR="00EA1A61" w:rsidRPr="00300A1F">
        <w:rPr>
          <w:sz w:val="20"/>
          <w:lang w:val="en-US"/>
        </w:rPr>
        <w:tab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A716C8" w:rsidRPr="00300A1F" w14:paraId="1CB5ACB8" w14:textId="77777777" w:rsidTr="00D415AF">
        <w:tc>
          <w:tcPr>
            <w:tcW w:w="4633" w:type="pct"/>
            <w:vAlign w:val="center"/>
          </w:tcPr>
          <w:p w14:paraId="7833EB63" w14:textId="65A30DFF" w:rsidR="00A716C8" w:rsidRPr="00300A1F" w:rsidRDefault="00427AE2" w:rsidP="00A716C8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w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cor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Eq∙k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rec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367" w:type="pct"/>
            <w:vAlign w:val="center"/>
            <w:hideMark/>
          </w:tcPr>
          <w:p w14:paraId="7ADA1DC9" w14:textId="75B267EF" w:rsidR="00A716C8" w:rsidRPr="00300A1F" w:rsidRDefault="00A716C8" w:rsidP="00D415AF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A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0A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300A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DCB56D0" w14:textId="0D48CDD6" w:rsidR="00EA1A61" w:rsidRPr="006B7EA4" w:rsidRDefault="00555421" w:rsidP="00EA1A61">
      <w:pPr>
        <w:spacing w:line="276" w:lineRule="auto"/>
        <w:jc w:val="both"/>
        <w:rPr>
          <w:sz w:val="20"/>
        </w:rPr>
      </w:pPr>
      <w:r w:rsidRPr="006B7EA4">
        <w:rPr>
          <w:sz w:val="20"/>
        </w:rPr>
        <w:t xml:space="preserve">Since the hydrogen content in the </w:t>
      </w:r>
      <w:r w:rsidR="00C5475B" w:rsidRPr="006B7EA4">
        <w:rPr>
          <w:sz w:val="20"/>
        </w:rPr>
        <w:t>tertiary</w:t>
      </w:r>
      <w:r w:rsidRPr="006B7EA4">
        <w:rPr>
          <w:sz w:val="20"/>
        </w:rPr>
        <w:t xml:space="preserve"> circuit is much higher than the hydrogen content in the secondary circuit, </w:t>
      </w:r>
      <w:r w:rsidR="008D307F" w:rsidRPr="006B7EA4">
        <w:rPr>
          <w:sz w:val="20"/>
        </w:rPr>
        <w:t xml:space="preserve">expression </w:t>
      </w:r>
      <w:r w:rsidR="00B87DCB" w:rsidRPr="006B7EA4">
        <w:rPr>
          <w:sz w:val="20"/>
        </w:rPr>
        <w:t>(</w:t>
      </w:r>
      <w:r w:rsidR="008D307F" w:rsidRPr="006B7EA4">
        <w:rPr>
          <w:sz w:val="20"/>
        </w:rPr>
        <w:t>3</w:t>
      </w:r>
      <w:r w:rsidR="00B87DCB" w:rsidRPr="006B7EA4">
        <w:rPr>
          <w:sz w:val="20"/>
        </w:rPr>
        <w:t>)</w:t>
      </w:r>
      <w:r w:rsidR="008D307F" w:rsidRPr="006B7EA4">
        <w:rPr>
          <w:sz w:val="20"/>
        </w:rPr>
        <w:t xml:space="preserve"> </w:t>
      </w:r>
      <w:proofErr w:type="gramStart"/>
      <w:r w:rsidR="008D307F" w:rsidRPr="006B7EA4">
        <w:rPr>
          <w:sz w:val="20"/>
        </w:rPr>
        <w:t>can be written</w:t>
      </w:r>
      <w:proofErr w:type="gramEnd"/>
      <w:r w:rsidRPr="006B7EA4">
        <w:rPr>
          <w:sz w:val="20"/>
        </w:rPr>
        <w:t xml:space="preserve"> in the form: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A716C8" w:rsidRPr="00300A1F" w14:paraId="446926B6" w14:textId="77777777" w:rsidTr="00D415AF">
        <w:tc>
          <w:tcPr>
            <w:tcW w:w="4633" w:type="pct"/>
            <w:vAlign w:val="center"/>
          </w:tcPr>
          <w:p w14:paraId="6901ECDD" w14:textId="4AF4E65C" w:rsidR="00A716C8" w:rsidRPr="00300A1F" w:rsidRDefault="00427AE2" w:rsidP="00A716C8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wall</m:t>
                        </m:r>
                      </m:sub>
                    </m:sSub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cor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Eq∙k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rec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367" w:type="pct"/>
            <w:vAlign w:val="center"/>
            <w:hideMark/>
          </w:tcPr>
          <w:p w14:paraId="09E8D612" w14:textId="294EF18D" w:rsidR="00A716C8" w:rsidRPr="00300A1F" w:rsidRDefault="00A716C8" w:rsidP="00A716C8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A1F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</w:tr>
    </w:tbl>
    <w:p w14:paraId="4507B236" w14:textId="77777777" w:rsidR="00A716C8" w:rsidRPr="00300A1F" w:rsidRDefault="00A716C8" w:rsidP="00EA1A61">
      <w:pPr>
        <w:spacing w:line="276" w:lineRule="auto"/>
        <w:jc w:val="both"/>
        <w:rPr>
          <w:sz w:val="20"/>
          <w:lang w:val="en-US"/>
        </w:rPr>
      </w:pPr>
    </w:p>
    <w:p w14:paraId="16744DAD" w14:textId="22DEF8B2" w:rsidR="00EA1A61" w:rsidRPr="00300A1F" w:rsidRDefault="00C84F9D" w:rsidP="00EA1A61">
      <w:pPr>
        <w:spacing w:line="276" w:lineRule="auto"/>
        <w:jc w:val="both"/>
        <w:rPr>
          <w:sz w:val="20"/>
          <w:lang w:val="en-US"/>
        </w:rPr>
      </w:pPr>
      <w:r w:rsidRPr="00300A1F">
        <w:rPr>
          <w:sz w:val="20"/>
          <w:lang w:val="en-US"/>
        </w:rPr>
        <w:t>With a knowledge of the hydrogen flows in the tertiary and secondary circuits, let the fraction of hydrogen that has passed into sodium be determined</w:t>
      </w:r>
      <w:r w:rsidR="00EA1A61" w:rsidRPr="00300A1F">
        <w:rPr>
          <w:sz w:val="20"/>
          <w:lang w:val="en-US"/>
        </w:rPr>
        <w:t xml:space="preserve">: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A716C8" w:rsidRPr="00300A1F" w14:paraId="16CEA144" w14:textId="77777777" w:rsidTr="00D415AF">
        <w:tc>
          <w:tcPr>
            <w:tcW w:w="4633" w:type="pct"/>
            <w:vAlign w:val="center"/>
          </w:tcPr>
          <w:p w14:paraId="0D7DC847" w14:textId="52715259" w:rsidR="00A716C8" w:rsidRPr="00300A1F" w:rsidRDefault="00427AE2" w:rsidP="0063101B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1+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cor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∙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wall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Eq∙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H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H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w</m:t>
                                </m:r>
                              </m:sup>
                            </m:sSubSup>
                          </m:den>
                        </m:f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367" w:type="pct"/>
            <w:vAlign w:val="center"/>
            <w:hideMark/>
          </w:tcPr>
          <w:p w14:paraId="2D790557" w14:textId="68658539" w:rsidR="00A716C8" w:rsidRPr="00300A1F" w:rsidRDefault="00A716C8" w:rsidP="00D415AF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A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101B" w:rsidRPr="00300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00A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999D499" w14:textId="77777777" w:rsidR="00A716C8" w:rsidRPr="006B7EA4" w:rsidRDefault="00A716C8" w:rsidP="00EA1A61">
      <w:pPr>
        <w:spacing w:line="276" w:lineRule="auto"/>
        <w:jc w:val="both"/>
        <w:rPr>
          <w:sz w:val="20"/>
          <w:lang w:val="en-US"/>
        </w:rPr>
      </w:pPr>
    </w:p>
    <w:p w14:paraId="549564B2" w14:textId="77777777" w:rsidR="00A716C8" w:rsidRPr="006B7EA4" w:rsidRDefault="00A716C8" w:rsidP="00EA1A61">
      <w:pPr>
        <w:spacing w:line="276" w:lineRule="auto"/>
        <w:jc w:val="both"/>
        <w:rPr>
          <w:sz w:val="20"/>
          <w:lang w:val="ru-RU"/>
        </w:rPr>
      </w:pPr>
    </w:p>
    <w:p w14:paraId="6572C30B" w14:textId="39C7609A" w:rsidR="0063101B" w:rsidRPr="006B7EA4" w:rsidRDefault="0063101B" w:rsidP="0063101B">
      <w:pPr>
        <w:spacing w:line="360" w:lineRule="auto"/>
        <w:jc w:val="both"/>
        <w:rPr>
          <w:color w:val="FF0000"/>
          <w:sz w:val="20"/>
          <w:lang w:val="en-US"/>
        </w:rPr>
      </w:pPr>
      <w:r w:rsidRPr="006B7EA4">
        <w:rPr>
          <w:sz w:val="20"/>
          <w:lang w:val="ru-RU"/>
        </w:rPr>
        <w:t xml:space="preserve">2. </w:t>
      </w:r>
      <w:r w:rsidR="005E0652" w:rsidRPr="006B7EA4">
        <w:rPr>
          <w:caps/>
          <w:sz w:val="20"/>
          <w:lang w:val="en-US"/>
        </w:rPr>
        <w:t>c</w:t>
      </w:r>
      <w:r w:rsidR="00377F40">
        <w:rPr>
          <w:caps/>
          <w:sz w:val="20"/>
          <w:lang w:val="en-US"/>
        </w:rPr>
        <w:t>A</w:t>
      </w:r>
      <w:r w:rsidR="005E0652" w:rsidRPr="006B7EA4">
        <w:rPr>
          <w:caps/>
          <w:sz w:val="20"/>
          <w:lang w:val="en-US"/>
        </w:rPr>
        <w:t>lculation results</w:t>
      </w:r>
    </w:p>
    <w:p w14:paraId="057ABE12" w14:textId="7A47912C" w:rsidR="002837D1" w:rsidRPr="006B7EA4" w:rsidRDefault="005E0652" w:rsidP="002837D1">
      <w:pPr>
        <w:spacing w:line="276" w:lineRule="auto"/>
        <w:ind w:firstLine="708"/>
        <w:jc w:val="both"/>
        <w:rPr>
          <w:sz w:val="20"/>
          <w:lang w:val="en-US"/>
        </w:rPr>
      </w:pPr>
      <w:r w:rsidRPr="006B7EA4">
        <w:rPr>
          <w:sz w:val="20"/>
          <w:lang w:val="en-US"/>
        </w:rPr>
        <w:t xml:space="preserve">The calculation was carried out </w:t>
      </w:r>
      <w:proofErr w:type="gramStart"/>
      <w:r w:rsidRPr="006B7EA4">
        <w:rPr>
          <w:sz w:val="20"/>
          <w:lang w:val="en-US"/>
        </w:rPr>
        <w:t>on the basis of</w:t>
      </w:r>
      <w:proofErr w:type="gramEnd"/>
      <w:r w:rsidRPr="006B7EA4">
        <w:rPr>
          <w:sz w:val="20"/>
          <w:lang w:val="en-US"/>
        </w:rPr>
        <w:t xml:space="preserve"> operational data obtained from the </w:t>
      </w:r>
      <w:proofErr w:type="spellStart"/>
      <w:r w:rsidRPr="006B7EA4">
        <w:rPr>
          <w:sz w:val="20"/>
          <w:lang w:val="en-US"/>
        </w:rPr>
        <w:t>Beloyarsk</w:t>
      </w:r>
      <w:proofErr w:type="spellEnd"/>
      <w:r w:rsidRPr="006B7EA4">
        <w:rPr>
          <w:sz w:val="20"/>
          <w:lang w:val="en-US"/>
        </w:rPr>
        <w:t xml:space="preserve"> NPP over the period of </w:t>
      </w:r>
      <w:r w:rsidR="00F85063" w:rsidRPr="00F8098E">
        <w:rPr>
          <w:sz w:val="20"/>
          <w:lang w:val="en-US"/>
        </w:rPr>
        <w:t>OCC</w:t>
      </w:r>
      <w:r w:rsidRPr="00F8098E">
        <w:rPr>
          <w:sz w:val="20"/>
          <w:lang w:val="en-US"/>
        </w:rPr>
        <w:t xml:space="preserve"> from 1981 to 2020. </w:t>
      </w:r>
      <w:r w:rsidRPr="006B7EA4">
        <w:rPr>
          <w:sz w:val="20"/>
          <w:lang w:val="en-US"/>
        </w:rPr>
        <w:t xml:space="preserve">The general view of the dependences for the coefficient and rate of corrosive hydrogen </w:t>
      </w:r>
      <w:r w:rsidR="00BC543C" w:rsidRPr="006B7EA4">
        <w:rPr>
          <w:sz w:val="20"/>
          <w:lang w:val="en-US"/>
        </w:rPr>
        <w:t>ingress in</w:t>
      </w:r>
      <w:r w:rsidRPr="006B7EA4">
        <w:rPr>
          <w:sz w:val="20"/>
          <w:lang w:val="en-US"/>
        </w:rPr>
        <w:t xml:space="preserve">to </w:t>
      </w:r>
      <w:r w:rsidR="00BC543C" w:rsidRPr="006B7EA4">
        <w:rPr>
          <w:sz w:val="20"/>
          <w:lang w:val="en-US"/>
        </w:rPr>
        <w:t>the secondary circuit sodium</w:t>
      </w:r>
      <w:r w:rsidRPr="006B7EA4">
        <w:rPr>
          <w:sz w:val="20"/>
          <w:lang w:val="en-US"/>
        </w:rPr>
        <w:t xml:space="preserve"> during </w:t>
      </w:r>
      <w:r w:rsidR="00F85063" w:rsidRPr="006B7EA4">
        <w:rPr>
          <w:sz w:val="20"/>
          <w:lang w:val="en-US"/>
        </w:rPr>
        <w:t>OCC</w:t>
      </w:r>
      <w:r w:rsidRPr="006B7EA4">
        <w:rPr>
          <w:sz w:val="20"/>
          <w:lang w:val="en-US"/>
        </w:rPr>
        <w:t xml:space="preserve"> </w:t>
      </w:r>
      <w:proofErr w:type="gramStart"/>
      <w:r w:rsidRPr="006B7EA4">
        <w:rPr>
          <w:sz w:val="20"/>
          <w:lang w:val="en-US"/>
        </w:rPr>
        <w:t>are shown</w:t>
      </w:r>
      <w:proofErr w:type="gramEnd"/>
      <w:r w:rsidRPr="006B7EA4">
        <w:rPr>
          <w:sz w:val="20"/>
          <w:lang w:val="en-US"/>
        </w:rPr>
        <w:t xml:space="preserve"> in Figures 2 and 3.</w:t>
      </w:r>
    </w:p>
    <w:p w14:paraId="22903149" w14:textId="734A9944" w:rsidR="002837D1" w:rsidRPr="006B7EA4" w:rsidRDefault="00530DCA" w:rsidP="002837D1">
      <w:pPr>
        <w:spacing w:line="360" w:lineRule="auto"/>
        <w:jc w:val="center"/>
        <w:rPr>
          <w:sz w:val="20"/>
        </w:rPr>
      </w:pPr>
      <w:r w:rsidRPr="006B7EA4">
        <w:rPr>
          <w:noProof/>
          <w:sz w:val="20"/>
          <w:lang w:val="ru-RU" w:eastAsia="ru-RU"/>
        </w:rPr>
        <w:drawing>
          <wp:inline distT="0" distB="0" distL="0" distR="0" wp14:anchorId="761D91F5" wp14:editId="79C41AF1">
            <wp:extent cx="5041900" cy="4145915"/>
            <wp:effectExtent l="0" t="0" r="6350" b="698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F7D49" w14:textId="4251A1EC" w:rsidR="002837D1" w:rsidRPr="006B7EA4" w:rsidRDefault="00F8098E" w:rsidP="002837D1">
      <w:pPr>
        <w:spacing w:line="360" w:lineRule="auto"/>
        <w:jc w:val="center"/>
        <w:rPr>
          <w:i/>
          <w:sz w:val="20"/>
          <w:lang w:val="en-US"/>
        </w:rPr>
      </w:pPr>
      <w:r w:rsidRPr="00F8098E">
        <w:rPr>
          <w:i/>
          <w:caps/>
          <w:sz w:val="20"/>
          <w:lang w:eastAsia="es-ES"/>
        </w:rPr>
        <w:t>F</w:t>
      </w:r>
      <w:r w:rsidRPr="00F8098E">
        <w:rPr>
          <w:i/>
          <w:sz w:val="20"/>
          <w:lang w:eastAsia="es-ES"/>
        </w:rPr>
        <w:t>igure</w:t>
      </w:r>
      <w:r w:rsidR="00AB23D6" w:rsidRPr="00F8098E">
        <w:rPr>
          <w:i/>
          <w:sz w:val="20"/>
          <w:lang w:eastAsia="es-ES"/>
        </w:rPr>
        <w:t> </w:t>
      </w:r>
      <w:r w:rsidR="00AB23D6" w:rsidRPr="00F8098E">
        <w:rPr>
          <w:i/>
          <w:sz w:val="20"/>
          <w:lang w:val="en-US" w:eastAsia="es-ES"/>
        </w:rPr>
        <w:t xml:space="preserve">2. </w:t>
      </w:r>
      <w:r w:rsidR="00BC543C" w:rsidRPr="006B7EA4">
        <w:rPr>
          <w:i/>
          <w:sz w:val="20"/>
          <w:lang w:val="en-US"/>
        </w:rPr>
        <w:t xml:space="preserve">Dependence of the coefficient of corrosive hydrogen entry into the secondary circuit sodium during </w:t>
      </w:r>
      <w:r w:rsidR="00F85063" w:rsidRPr="006B7EA4">
        <w:rPr>
          <w:i/>
          <w:sz w:val="20"/>
          <w:lang w:val="en-US"/>
        </w:rPr>
        <w:t>OCC</w:t>
      </w:r>
    </w:p>
    <w:p w14:paraId="1D36231A" w14:textId="7DD0FAD7" w:rsidR="002837D1" w:rsidRPr="006B7EA4" w:rsidRDefault="00D415AF" w:rsidP="002837D1">
      <w:pPr>
        <w:spacing w:line="360" w:lineRule="auto"/>
        <w:jc w:val="center"/>
        <w:rPr>
          <w:sz w:val="20"/>
          <w:lang w:val="ru-RU"/>
        </w:rPr>
      </w:pPr>
      <w:r w:rsidRPr="006B7EA4">
        <w:rPr>
          <w:noProof/>
          <w:sz w:val="20"/>
          <w:lang w:val="en-US" w:eastAsia="ru-RU"/>
        </w:rPr>
        <w:lastRenderedPageBreak/>
        <w:t xml:space="preserve"> </w:t>
      </w:r>
      <w:r w:rsidR="00530DCA" w:rsidRPr="006B7EA4">
        <w:rPr>
          <w:noProof/>
          <w:sz w:val="20"/>
          <w:lang w:val="ru-RU" w:eastAsia="ru-RU"/>
        </w:rPr>
        <w:drawing>
          <wp:inline distT="0" distB="0" distL="0" distR="0" wp14:anchorId="774A0FF9" wp14:editId="0AB5DC4C">
            <wp:extent cx="5041900" cy="4078605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D5E28" w14:textId="1572EC23" w:rsidR="002837D1" w:rsidRPr="006B7EA4" w:rsidRDefault="00F8098E" w:rsidP="00AD5103">
      <w:pPr>
        <w:spacing w:line="276" w:lineRule="auto"/>
        <w:jc w:val="center"/>
        <w:rPr>
          <w:b/>
          <w:i/>
          <w:sz w:val="20"/>
          <w:lang w:val="en-US"/>
        </w:rPr>
      </w:pPr>
      <w:r>
        <w:rPr>
          <w:i/>
          <w:caps/>
          <w:sz w:val="20"/>
          <w:lang w:eastAsia="es-ES"/>
        </w:rPr>
        <w:t>F</w:t>
      </w:r>
      <w:r>
        <w:rPr>
          <w:i/>
          <w:sz w:val="20"/>
          <w:lang w:eastAsia="es-ES"/>
        </w:rPr>
        <w:t>igure</w:t>
      </w:r>
      <w:r w:rsidR="00AD5103" w:rsidRPr="00F8098E">
        <w:rPr>
          <w:i/>
          <w:sz w:val="20"/>
          <w:lang w:eastAsia="es-ES"/>
        </w:rPr>
        <w:t> </w:t>
      </w:r>
      <w:r w:rsidR="00AD5103" w:rsidRPr="00F8098E">
        <w:rPr>
          <w:i/>
          <w:sz w:val="20"/>
          <w:lang w:val="en-US" w:eastAsia="es-ES"/>
        </w:rPr>
        <w:t>3.</w:t>
      </w:r>
      <w:r w:rsidR="002837D1" w:rsidRPr="006B7EA4">
        <w:rPr>
          <w:sz w:val="20"/>
          <w:lang w:val="en-US"/>
        </w:rPr>
        <w:t xml:space="preserve"> </w:t>
      </w:r>
      <w:r w:rsidR="00916987" w:rsidRPr="006B7EA4">
        <w:rPr>
          <w:i/>
          <w:sz w:val="20"/>
          <w:lang w:val="en-US"/>
        </w:rPr>
        <w:t xml:space="preserve">Dependence of the rate of corrosive hydrogen entry into the secondary circuit sodium during </w:t>
      </w:r>
      <w:r w:rsidR="00F85063" w:rsidRPr="006B7EA4">
        <w:rPr>
          <w:i/>
          <w:sz w:val="20"/>
          <w:lang w:val="en-US"/>
        </w:rPr>
        <w:t>OCC</w:t>
      </w:r>
    </w:p>
    <w:p w14:paraId="39BB8FD5" w14:textId="77777777" w:rsidR="00AD5103" w:rsidRPr="006B7EA4" w:rsidRDefault="00AD5103" w:rsidP="002837D1">
      <w:pPr>
        <w:spacing w:line="276" w:lineRule="auto"/>
        <w:ind w:firstLine="708"/>
        <w:jc w:val="both"/>
        <w:rPr>
          <w:sz w:val="20"/>
          <w:lang w:val="en-US"/>
        </w:rPr>
      </w:pPr>
    </w:p>
    <w:p w14:paraId="6D4209D5" w14:textId="2712EB81" w:rsidR="002837D1" w:rsidRPr="006B7EA4" w:rsidRDefault="00916987" w:rsidP="002837D1">
      <w:pPr>
        <w:spacing w:line="276" w:lineRule="auto"/>
        <w:ind w:firstLine="708"/>
        <w:jc w:val="both"/>
        <w:rPr>
          <w:sz w:val="20"/>
          <w:lang w:val="en-US"/>
        </w:rPr>
      </w:pPr>
      <w:r w:rsidRPr="006B7EA4">
        <w:rPr>
          <w:sz w:val="20"/>
          <w:lang w:val="en-US"/>
        </w:rPr>
        <w:t xml:space="preserve">The presented diagrams show that the hydrogen flow into the secondary circuit sodium is extremely small, which is indirectly </w:t>
      </w:r>
      <w:r w:rsidR="004425F3" w:rsidRPr="006B7EA4">
        <w:rPr>
          <w:sz w:val="20"/>
          <w:lang w:val="en-US"/>
        </w:rPr>
        <w:t>demonstrated</w:t>
      </w:r>
      <w:r w:rsidRPr="006B7EA4">
        <w:rPr>
          <w:sz w:val="20"/>
          <w:lang w:val="en-US"/>
        </w:rPr>
        <w:t xml:space="preserve"> by </w:t>
      </w:r>
      <w:r w:rsidR="00EB3D64" w:rsidRPr="006B7EA4">
        <w:rPr>
          <w:sz w:val="20"/>
          <w:lang w:val="en-US"/>
        </w:rPr>
        <w:t>a</w:t>
      </w:r>
      <w:r w:rsidRPr="006B7EA4">
        <w:rPr>
          <w:sz w:val="20"/>
          <w:lang w:val="en-US"/>
        </w:rPr>
        <w:t xml:space="preserve"> rather low value o</w:t>
      </w:r>
      <w:r w:rsidR="004425F3" w:rsidRPr="006B7EA4">
        <w:rPr>
          <w:sz w:val="20"/>
          <w:lang w:val="en-US"/>
        </w:rPr>
        <w:t>f the diffusion coe</w:t>
      </w:r>
      <w:r w:rsidR="00882A47">
        <w:rPr>
          <w:sz w:val="20"/>
          <w:lang w:val="en-US"/>
        </w:rPr>
        <w:t xml:space="preserve">fficient ~ </w:t>
      </w:r>
      <w:r w:rsidR="00882A47" w:rsidRPr="00377F40">
        <w:rPr>
          <w:sz w:val="20"/>
          <w:lang w:val="en-US"/>
        </w:rPr>
        <w:t>3∙1</w:t>
      </w:r>
      <w:r w:rsidRPr="00377F40">
        <w:rPr>
          <w:sz w:val="20"/>
          <w:lang w:val="en-US"/>
        </w:rPr>
        <w:t>0</w:t>
      </w:r>
      <w:r w:rsidRPr="00377F40">
        <w:rPr>
          <w:sz w:val="20"/>
          <w:vertAlign w:val="superscript"/>
          <w:lang w:val="en-US"/>
        </w:rPr>
        <w:t>-</w:t>
      </w:r>
      <w:r w:rsidRPr="006B7EA4">
        <w:rPr>
          <w:sz w:val="20"/>
          <w:vertAlign w:val="superscript"/>
          <w:lang w:val="en-US"/>
        </w:rPr>
        <w:t>9</w:t>
      </w:r>
      <w:r w:rsidRPr="006B7EA4">
        <w:rPr>
          <w:sz w:val="20"/>
          <w:lang w:val="en-US"/>
        </w:rPr>
        <w:t xml:space="preserve"> m</w:t>
      </w:r>
      <w:r w:rsidRPr="006B7EA4">
        <w:rPr>
          <w:sz w:val="20"/>
          <w:vertAlign w:val="superscript"/>
          <w:lang w:val="en-US"/>
        </w:rPr>
        <w:t>2</w:t>
      </w:r>
      <w:r w:rsidRPr="006B7EA4">
        <w:rPr>
          <w:sz w:val="20"/>
          <w:lang w:val="en-US"/>
        </w:rPr>
        <w:t xml:space="preserve">/s. On average, about 4% of hydrogen </w:t>
      </w:r>
      <w:proofErr w:type="gramStart"/>
      <w:r w:rsidRPr="006B7EA4">
        <w:rPr>
          <w:sz w:val="20"/>
          <w:lang w:val="en-US"/>
        </w:rPr>
        <w:t>is transferred</w:t>
      </w:r>
      <w:proofErr w:type="gramEnd"/>
      <w:r w:rsidRPr="006B7EA4">
        <w:rPr>
          <w:sz w:val="20"/>
          <w:lang w:val="en-US"/>
        </w:rPr>
        <w:t xml:space="preserve"> to the </w:t>
      </w:r>
      <w:r w:rsidR="00EB3D64" w:rsidRPr="006B7EA4">
        <w:rPr>
          <w:sz w:val="20"/>
          <w:lang w:val="en-US"/>
        </w:rPr>
        <w:t xml:space="preserve">secondary circuit </w:t>
      </w:r>
      <w:r w:rsidRPr="006B7EA4">
        <w:rPr>
          <w:sz w:val="20"/>
          <w:lang w:val="en-US"/>
        </w:rPr>
        <w:t xml:space="preserve">sodium, which is a </w:t>
      </w:r>
      <w:r w:rsidR="004425F3" w:rsidRPr="006B7EA4">
        <w:rPr>
          <w:sz w:val="20"/>
          <w:lang w:val="en-US"/>
        </w:rPr>
        <w:t>low</w:t>
      </w:r>
      <w:r w:rsidRPr="006B7EA4">
        <w:rPr>
          <w:sz w:val="20"/>
          <w:lang w:val="en-US"/>
        </w:rPr>
        <w:t xml:space="preserve"> </w:t>
      </w:r>
      <w:r w:rsidR="00EB3D64" w:rsidRPr="006B7EA4">
        <w:rPr>
          <w:sz w:val="20"/>
          <w:lang w:val="en-US"/>
        </w:rPr>
        <w:t>value</w:t>
      </w:r>
      <w:r w:rsidRPr="006B7EA4">
        <w:rPr>
          <w:sz w:val="20"/>
          <w:lang w:val="en-US"/>
        </w:rPr>
        <w:t xml:space="preserve"> that C</w:t>
      </w:r>
      <w:r w:rsidR="004D46E0" w:rsidRPr="006B7EA4">
        <w:rPr>
          <w:sz w:val="20"/>
          <w:lang w:val="en-US"/>
        </w:rPr>
        <w:t>TO (cold trap of oxides)</w:t>
      </w:r>
      <w:r w:rsidRPr="006B7EA4">
        <w:rPr>
          <w:sz w:val="20"/>
          <w:lang w:val="en-US"/>
        </w:rPr>
        <w:t xml:space="preserve"> can </w:t>
      </w:r>
      <w:r w:rsidRPr="00377F40">
        <w:rPr>
          <w:sz w:val="20"/>
          <w:lang w:val="en-US"/>
        </w:rPr>
        <w:t xml:space="preserve">effectively </w:t>
      </w:r>
      <w:r w:rsidR="004D46E0" w:rsidRPr="00377F40">
        <w:rPr>
          <w:sz w:val="20"/>
          <w:lang w:val="en-US"/>
        </w:rPr>
        <w:t>cope with</w:t>
      </w:r>
      <w:r w:rsidRPr="00377F40">
        <w:rPr>
          <w:sz w:val="20"/>
          <w:lang w:val="en-US"/>
        </w:rPr>
        <w:t>.</w:t>
      </w:r>
    </w:p>
    <w:p w14:paraId="19802066" w14:textId="1D28B837" w:rsidR="002837D1" w:rsidRPr="006B7EA4" w:rsidRDefault="004D46E0" w:rsidP="002837D1">
      <w:pPr>
        <w:spacing w:line="276" w:lineRule="auto"/>
        <w:ind w:firstLine="708"/>
        <w:jc w:val="both"/>
        <w:rPr>
          <w:sz w:val="20"/>
          <w:lang w:val="en-US"/>
        </w:rPr>
      </w:pPr>
      <w:r w:rsidRPr="006B7EA4">
        <w:rPr>
          <w:sz w:val="20"/>
          <w:lang w:val="en-US"/>
        </w:rPr>
        <w:t>For the nominal operating mode of the steam generator evaporator at a temperature of 673K, the hydrogen flow rate into the secondary circuit sodium was 3.72∙10</w:t>
      </w:r>
      <w:r w:rsidRPr="006B7EA4">
        <w:rPr>
          <w:sz w:val="20"/>
          <w:vertAlign w:val="superscript"/>
          <w:lang w:val="en-US"/>
        </w:rPr>
        <w:t>-11</w:t>
      </w:r>
      <w:r w:rsidRPr="006B7EA4">
        <w:rPr>
          <w:sz w:val="20"/>
          <w:lang w:val="en-US"/>
        </w:rPr>
        <w:t xml:space="preserve"> kg/m</w:t>
      </w:r>
      <w:r w:rsidRPr="006B7EA4">
        <w:rPr>
          <w:sz w:val="20"/>
          <w:vertAlign w:val="superscript"/>
          <w:lang w:val="en-US"/>
        </w:rPr>
        <w:t>2</w:t>
      </w:r>
      <w:r w:rsidRPr="006B7EA4">
        <w:rPr>
          <w:sz w:val="20"/>
          <w:lang w:val="en-US"/>
        </w:rPr>
        <w:t xml:space="preserve">∙s; the coefficient of hydrogen entry was 0.65. This difference between the nominal mode and the </w:t>
      </w:r>
      <w:r w:rsidR="00F85063" w:rsidRPr="006B7EA4">
        <w:rPr>
          <w:sz w:val="20"/>
          <w:lang w:val="en-US"/>
        </w:rPr>
        <w:t>OCC</w:t>
      </w:r>
      <w:r w:rsidRPr="006B7EA4">
        <w:rPr>
          <w:sz w:val="20"/>
          <w:lang w:val="en-US"/>
        </w:rPr>
        <w:t xml:space="preserve"> mode (J</w:t>
      </w:r>
      <w:r w:rsidRPr="006B7EA4">
        <w:rPr>
          <w:sz w:val="20"/>
          <w:vertAlign w:val="subscript"/>
          <w:lang w:val="en-US"/>
        </w:rPr>
        <w:t>H</w:t>
      </w:r>
      <w:r w:rsidRPr="006B7EA4">
        <w:rPr>
          <w:sz w:val="20"/>
          <w:vertAlign w:val="superscript"/>
          <w:lang w:val="en-US"/>
        </w:rPr>
        <w:t>II</w:t>
      </w:r>
      <w:r w:rsidRPr="006B7EA4">
        <w:rPr>
          <w:sz w:val="20"/>
          <w:lang w:val="en-US"/>
        </w:rPr>
        <w:t xml:space="preserve"> (max) </w:t>
      </w:r>
      <w:r w:rsidR="00F85063" w:rsidRPr="006B7EA4">
        <w:rPr>
          <w:sz w:val="20"/>
          <w:vertAlign w:val="superscript"/>
          <w:lang w:val="en-US"/>
        </w:rPr>
        <w:t>OCC</w:t>
      </w:r>
      <w:r w:rsidR="008403F7" w:rsidRPr="006B7EA4">
        <w:rPr>
          <w:sz w:val="20"/>
          <w:lang w:val="en-US"/>
        </w:rPr>
        <w:t xml:space="preserve"> = 3.49∙10</w:t>
      </w:r>
      <w:r w:rsidR="008403F7" w:rsidRPr="006B7EA4">
        <w:rPr>
          <w:sz w:val="20"/>
          <w:vertAlign w:val="superscript"/>
          <w:lang w:val="en-US"/>
        </w:rPr>
        <w:t>-9</w:t>
      </w:r>
      <w:r w:rsidR="008403F7" w:rsidRPr="006B7EA4">
        <w:rPr>
          <w:sz w:val="20"/>
          <w:lang w:val="en-US"/>
        </w:rPr>
        <w:t xml:space="preserve"> kg/m</w:t>
      </w:r>
      <w:r w:rsidR="008403F7" w:rsidRPr="006B7EA4">
        <w:rPr>
          <w:sz w:val="20"/>
          <w:vertAlign w:val="superscript"/>
          <w:lang w:val="en-US"/>
        </w:rPr>
        <w:t>2</w:t>
      </w:r>
      <w:r w:rsidR="008403F7" w:rsidRPr="006B7EA4">
        <w:rPr>
          <w:sz w:val="20"/>
          <w:lang w:val="en-US"/>
        </w:rPr>
        <w:t>∙</w:t>
      </w:r>
      <w:r w:rsidRPr="006B7EA4">
        <w:rPr>
          <w:sz w:val="20"/>
          <w:lang w:val="en-US"/>
        </w:rPr>
        <w:t xml:space="preserve">s; </w:t>
      </w:r>
      <w:r w:rsidRPr="006B7EA4">
        <w:rPr>
          <w:sz w:val="20"/>
          <w:lang w:val="ru-RU"/>
        </w:rPr>
        <w:t>ω</w:t>
      </w:r>
      <w:r w:rsidRPr="006B7EA4">
        <w:rPr>
          <w:sz w:val="20"/>
          <w:lang w:val="en-US"/>
        </w:rPr>
        <w:t xml:space="preserve"> (max) </w:t>
      </w:r>
      <w:r w:rsidR="00F85063" w:rsidRPr="006B7EA4">
        <w:rPr>
          <w:sz w:val="20"/>
          <w:vertAlign w:val="superscript"/>
          <w:lang w:val="en-US"/>
        </w:rPr>
        <w:t>OCC</w:t>
      </w:r>
      <w:r w:rsidRPr="006B7EA4">
        <w:rPr>
          <w:sz w:val="20"/>
          <w:lang w:val="en-US"/>
        </w:rPr>
        <w:t xml:space="preserve"> = 0.09) is due to the temperature difference, in other words, the higher the temperature, </w:t>
      </w:r>
      <w:r w:rsidR="008403F7" w:rsidRPr="006B7EA4">
        <w:rPr>
          <w:sz w:val="20"/>
          <w:lang w:val="en-US"/>
        </w:rPr>
        <w:t xml:space="preserve">the </w:t>
      </w:r>
      <w:r w:rsidRPr="006B7EA4">
        <w:rPr>
          <w:sz w:val="20"/>
          <w:lang w:val="en-US"/>
        </w:rPr>
        <w:t>more hydrogen enters the second</w:t>
      </w:r>
      <w:r w:rsidR="008403F7" w:rsidRPr="006B7EA4">
        <w:rPr>
          <w:sz w:val="20"/>
          <w:lang w:val="en-US"/>
        </w:rPr>
        <w:t>ary</w:t>
      </w:r>
      <w:r w:rsidRPr="006B7EA4">
        <w:rPr>
          <w:sz w:val="20"/>
          <w:lang w:val="en-US"/>
        </w:rPr>
        <w:t xml:space="preserve"> </w:t>
      </w:r>
      <w:r w:rsidR="008403F7" w:rsidRPr="006B7EA4">
        <w:rPr>
          <w:sz w:val="20"/>
          <w:lang w:val="en-US"/>
        </w:rPr>
        <w:t>circuit</w:t>
      </w:r>
      <w:r w:rsidRPr="006B7EA4">
        <w:rPr>
          <w:sz w:val="20"/>
          <w:lang w:val="en-US"/>
        </w:rPr>
        <w:t xml:space="preserve">. Consequently, the </w:t>
      </w:r>
      <w:r w:rsidR="00F85063" w:rsidRPr="006B7EA4">
        <w:rPr>
          <w:sz w:val="20"/>
          <w:lang w:val="en-US"/>
        </w:rPr>
        <w:t>OCC</w:t>
      </w:r>
      <w:r w:rsidRPr="006B7EA4">
        <w:rPr>
          <w:sz w:val="20"/>
          <w:lang w:val="en-US"/>
        </w:rPr>
        <w:t xml:space="preserve"> mode does not make a tangible contribution to the total hydrogen flow over the entire operation </w:t>
      </w:r>
      <w:r w:rsidR="00FD3ADD" w:rsidRPr="006B7EA4">
        <w:rPr>
          <w:sz w:val="20"/>
          <w:lang w:val="en-US"/>
        </w:rPr>
        <w:t xml:space="preserve">life </w:t>
      </w:r>
      <w:r w:rsidRPr="006B7EA4">
        <w:rPr>
          <w:sz w:val="20"/>
          <w:lang w:val="en-US"/>
        </w:rPr>
        <w:t xml:space="preserve">of the steam generator. </w:t>
      </w:r>
      <w:proofErr w:type="gramStart"/>
      <w:r w:rsidRPr="006B7EA4">
        <w:rPr>
          <w:sz w:val="20"/>
          <w:lang w:val="en-US"/>
        </w:rPr>
        <w:t>And</w:t>
      </w:r>
      <w:proofErr w:type="gramEnd"/>
      <w:r w:rsidRPr="006B7EA4">
        <w:rPr>
          <w:sz w:val="20"/>
          <w:lang w:val="en-US"/>
        </w:rPr>
        <w:t xml:space="preserve"> the rate of hydrogen </w:t>
      </w:r>
      <w:r w:rsidR="00FD3ADD" w:rsidRPr="006B7EA4">
        <w:rPr>
          <w:sz w:val="20"/>
          <w:lang w:val="en-US"/>
        </w:rPr>
        <w:t>ingress</w:t>
      </w:r>
      <w:r w:rsidRPr="006B7EA4">
        <w:rPr>
          <w:sz w:val="20"/>
          <w:lang w:val="en-US"/>
        </w:rPr>
        <w:t xml:space="preserve"> into sodium corresponds to the natural corrosion process during </w:t>
      </w:r>
      <w:r w:rsidR="00F85063" w:rsidRPr="006B7EA4">
        <w:rPr>
          <w:sz w:val="20"/>
          <w:lang w:val="en-US"/>
        </w:rPr>
        <w:t>OCC</w:t>
      </w:r>
      <w:r w:rsidRPr="006B7EA4">
        <w:rPr>
          <w:sz w:val="20"/>
          <w:lang w:val="en-US"/>
        </w:rPr>
        <w:t xml:space="preserve"> and </w:t>
      </w:r>
      <w:r w:rsidR="00FD3ADD" w:rsidRPr="006B7EA4">
        <w:rPr>
          <w:sz w:val="20"/>
          <w:lang w:val="en-US"/>
        </w:rPr>
        <w:t xml:space="preserve">is indicative of </w:t>
      </w:r>
      <w:r w:rsidRPr="006B7EA4">
        <w:rPr>
          <w:sz w:val="20"/>
          <w:lang w:val="en-US"/>
        </w:rPr>
        <w:t xml:space="preserve">the </w:t>
      </w:r>
      <w:r w:rsidR="00FD3ADD" w:rsidRPr="006B7EA4">
        <w:rPr>
          <w:sz w:val="20"/>
          <w:lang w:val="en-US"/>
        </w:rPr>
        <w:t>steam generator’s safe operation</w:t>
      </w:r>
      <w:r w:rsidRPr="006B7EA4">
        <w:rPr>
          <w:sz w:val="20"/>
          <w:lang w:val="en-US"/>
        </w:rPr>
        <w:t>.</w:t>
      </w:r>
    </w:p>
    <w:p w14:paraId="1F3765B6" w14:textId="7D0F5241" w:rsidR="002837D1" w:rsidRPr="006B7EA4" w:rsidRDefault="00B64646" w:rsidP="002837D1">
      <w:pPr>
        <w:pStyle w:val="2"/>
        <w:numPr>
          <w:ilvl w:val="0"/>
          <w:numId w:val="0"/>
        </w:numPr>
        <w:spacing w:after="240" w:line="276" w:lineRule="auto"/>
        <w:rPr>
          <w:lang w:val="en-US"/>
        </w:rPr>
      </w:pPr>
      <w:bookmarkStart w:id="2" w:name="_Toc55294736"/>
      <w:r w:rsidRPr="006B7EA4">
        <w:rPr>
          <w:lang w:val="en-US"/>
        </w:rPr>
        <w:t>3</w:t>
      </w:r>
      <w:r w:rsidR="002837D1" w:rsidRPr="006B7EA4">
        <w:rPr>
          <w:lang w:val="en-US"/>
        </w:rPr>
        <w:t xml:space="preserve">. </w:t>
      </w:r>
      <w:bookmarkEnd w:id="2"/>
      <w:r w:rsidR="00FD3ADD" w:rsidRPr="006B7EA4">
        <w:rPr>
          <w:lang w:val="en-US"/>
        </w:rPr>
        <w:t>ASSESSMENT OF STEEL hydrogenation</w:t>
      </w:r>
    </w:p>
    <w:p w14:paraId="2B45BC94" w14:textId="39235B7D" w:rsidR="002837D1" w:rsidRPr="006B7EA4" w:rsidRDefault="00FD3ADD" w:rsidP="002837D1">
      <w:pPr>
        <w:spacing w:line="276" w:lineRule="auto"/>
        <w:ind w:firstLine="708"/>
        <w:jc w:val="both"/>
        <w:rPr>
          <w:sz w:val="20"/>
          <w:lang w:val="en-US"/>
        </w:rPr>
      </w:pPr>
      <w:r w:rsidRPr="006B7EA4">
        <w:rPr>
          <w:sz w:val="20"/>
          <w:lang w:val="en-US"/>
        </w:rPr>
        <w:t>Hydrogenation is</w:t>
      </w:r>
      <w:r w:rsidR="003954DC" w:rsidRPr="006B7EA4">
        <w:rPr>
          <w:sz w:val="20"/>
          <w:lang w:val="en-US"/>
        </w:rPr>
        <w:t xml:space="preserve"> introduction of hydrogen into</w:t>
      </w:r>
      <w:r w:rsidRPr="006B7EA4">
        <w:rPr>
          <w:sz w:val="20"/>
          <w:lang w:val="en-US"/>
        </w:rPr>
        <w:t xml:space="preserve"> metal from aqueous solutions or a gas-saturated aqueous medium that contains a hydrogenating agent, </w:t>
      </w:r>
      <w:r w:rsidR="00B2468F" w:rsidRPr="006B7EA4">
        <w:rPr>
          <w:sz w:val="20"/>
          <w:lang w:val="en-US"/>
        </w:rPr>
        <w:t>affected by</w:t>
      </w:r>
      <w:r w:rsidRPr="006B7EA4">
        <w:rPr>
          <w:sz w:val="20"/>
          <w:lang w:val="en-US"/>
        </w:rPr>
        <w:t xml:space="preserve"> direct current (</w:t>
      </w:r>
      <w:proofErr w:type="spellStart"/>
      <w:r w:rsidRPr="006B7EA4">
        <w:rPr>
          <w:sz w:val="20"/>
          <w:lang w:val="en-US"/>
        </w:rPr>
        <w:t>galvanostatic</w:t>
      </w:r>
      <w:proofErr w:type="spellEnd"/>
      <w:r w:rsidRPr="006B7EA4">
        <w:rPr>
          <w:sz w:val="20"/>
          <w:lang w:val="en-US"/>
        </w:rPr>
        <w:t xml:space="preserve"> mode) or constant electrode potential (</w:t>
      </w:r>
      <w:proofErr w:type="spellStart"/>
      <w:r w:rsidRPr="006B7EA4">
        <w:rPr>
          <w:sz w:val="20"/>
          <w:lang w:val="en-US"/>
        </w:rPr>
        <w:t>potentiostatic</w:t>
      </w:r>
      <w:proofErr w:type="spellEnd"/>
      <w:r w:rsidRPr="006B7EA4">
        <w:rPr>
          <w:sz w:val="20"/>
          <w:lang w:val="en-US"/>
        </w:rPr>
        <w:t xml:space="preserve"> mode) or by corrosion processes.</w:t>
      </w:r>
    </w:p>
    <w:p w14:paraId="2D603BDB" w14:textId="5EDD896D" w:rsidR="002837D1" w:rsidRPr="006B7EA4" w:rsidRDefault="00B2468F" w:rsidP="002837D1">
      <w:pPr>
        <w:spacing w:line="276" w:lineRule="auto"/>
        <w:ind w:firstLine="708"/>
        <w:jc w:val="both"/>
        <w:rPr>
          <w:sz w:val="20"/>
          <w:lang w:val="en-US"/>
        </w:rPr>
      </w:pPr>
      <w:r w:rsidRPr="006B7EA4">
        <w:rPr>
          <w:sz w:val="20"/>
          <w:lang w:val="en-US"/>
        </w:rPr>
        <w:t>The overall reaction of hydrogen evolution (1) includes several stages: discharge (2), recombination (3), and electrochemical desorption (4).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0"/>
      </w:tblGrid>
      <w:tr w:rsidR="00994B57" w:rsidRPr="006B7EA4" w14:paraId="6487F6DD" w14:textId="77777777" w:rsidTr="00994B57">
        <w:trPr>
          <w:jc w:val="center"/>
        </w:trPr>
        <w:tc>
          <w:tcPr>
            <w:tcW w:w="3685" w:type="dxa"/>
          </w:tcPr>
          <w:p w14:paraId="21799753" w14:textId="77777777" w:rsidR="00994B57" w:rsidRPr="006B7EA4" w:rsidRDefault="00994B57" w:rsidP="00994B57">
            <w:pPr>
              <w:spacing w:line="276" w:lineRule="auto"/>
              <w:jc w:val="both"/>
              <w:rPr>
                <w:sz w:val="20"/>
                <w:lang w:val="en-US"/>
              </w:rPr>
            </w:pPr>
            <w:r w:rsidRPr="006B7EA4">
              <w:rPr>
                <w:sz w:val="20"/>
                <w:lang w:val="en-US"/>
              </w:rPr>
              <w:t>H</w:t>
            </w:r>
            <w:r w:rsidRPr="006B7EA4">
              <w:rPr>
                <w:sz w:val="20"/>
                <w:vertAlign w:val="subscript"/>
                <w:lang w:val="en-US"/>
              </w:rPr>
              <w:t>3</w:t>
            </w:r>
            <w:r w:rsidRPr="006B7EA4">
              <w:rPr>
                <w:sz w:val="20"/>
                <w:lang w:val="en-US"/>
              </w:rPr>
              <w:t>O</w:t>
            </w:r>
            <w:r w:rsidRPr="006B7EA4">
              <w:rPr>
                <w:sz w:val="20"/>
                <w:vertAlign w:val="superscript"/>
                <w:lang w:val="en-US"/>
              </w:rPr>
              <w:t>+</w:t>
            </w:r>
            <w:r w:rsidRPr="006B7EA4">
              <w:rPr>
                <w:sz w:val="20"/>
                <w:lang w:val="en-US"/>
              </w:rPr>
              <w:t xml:space="preserve"> + e</w:t>
            </w:r>
            <w:r w:rsidRPr="006B7EA4">
              <w:rPr>
                <w:sz w:val="20"/>
                <w:vertAlign w:val="superscript"/>
                <w:lang w:val="en-US"/>
              </w:rPr>
              <w:t>-</w:t>
            </w:r>
            <w:r w:rsidRPr="006B7EA4">
              <w:rPr>
                <w:sz w:val="20"/>
                <w:lang w:val="en-US"/>
              </w:rPr>
              <w:t xml:space="preserve"> → H</w:t>
            </w:r>
            <w:r w:rsidRPr="006B7EA4">
              <w:rPr>
                <w:sz w:val="20"/>
                <w:vertAlign w:val="subscript"/>
                <w:lang w:val="en-US"/>
              </w:rPr>
              <w:t>2</w:t>
            </w:r>
            <w:r w:rsidRPr="006B7EA4">
              <w:rPr>
                <w:sz w:val="20"/>
                <w:lang w:val="en-US"/>
              </w:rPr>
              <w:t xml:space="preserve"> + H</w:t>
            </w:r>
            <w:r w:rsidRPr="006B7EA4">
              <w:rPr>
                <w:sz w:val="20"/>
                <w:vertAlign w:val="subscript"/>
                <w:lang w:val="en-US"/>
              </w:rPr>
              <w:t>2</w:t>
            </w:r>
            <w:r w:rsidRPr="006B7EA4">
              <w:rPr>
                <w:sz w:val="20"/>
                <w:lang w:val="en-US"/>
              </w:rPr>
              <w:t>O</w:t>
            </w:r>
          </w:p>
        </w:tc>
        <w:tc>
          <w:tcPr>
            <w:tcW w:w="600" w:type="dxa"/>
          </w:tcPr>
          <w:p w14:paraId="50AEFF60" w14:textId="77777777" w:rsidR="00994B57" w:rsidRPr="006B7EA4" w:rsidRDefault="00994B57" w:rsidP="00994B57">
            <w:pPr>
              <w:spacing w:line="276" w:lineRule="auto"/>
              <w:rPr>
                <w:sz w:val="20"/>
                <w:lang w:val="en-US"/>
              </w:rPr>
            </w:pPr>
            <w:r w:rsidRPr="006B7EA4">
              <w:rPr>
                <w:sz w:val="20"/>
                <w:lang w:val="en-US"/>
              </w:rPr>
              <w:t>(1)</w:t>
            </w:r>
          </w:p>
        </w:tc>
      </w:tr>
      <w:tr w:rsidR="00994B57" w:rsidRPr="006B7EA4" w14:paraId="668D60D4" w14:textId="77777777" w:rsidTr="00994B57">
        <w:trPr>
          <w:jc w:val="center"/>
        </w:trPr>
        <w:tc>
          <w:tcPr>
            <w:tcW w:w="3685" w:type="dxa"/>
          </w:tcPr>
          <w:p w14:paraId="4F167931" w14:textId="77777777" w:rsidR="00994B57" w:rsidRPr="006B7EA4" w:rsidRDefault="00994B57" w:rsidP="00994B57">
            <w:pPr>
              <w:spacing w:line="276" w:lineRule="auto"/>
              <w:jc w:val="both"/>
              <w:rPr>
                <w:sz w:val="20"/>
                <w:lang w:val="en-US"/>
              </w:rPr>
            </w:pPr>
            <w:r w:rsidRPr="006B7EA4">
              <w:rPr>
                <w:sz w:val="20"/>
                <w:lang w:val="en-US"/>
              </w:rPr>
              <w:t>H</w:t>
            </w:r>
            <w:r w:rsidRPr="006B7EA4">
              <w:rPr>
                <w:sz w:val="20"/>
                <w:vertAlign w:val="subscript"/>
                <w:lang w:val="en-US"/>
              </w:rPr>
              <w:t>3</w:t>
            </w:r>
            <w:r w:rsidRPr="006B7EA4">
              <w:rPr>
                <w:sz w:val="20"/>
                <w:lang w:val="en-US"/>
              </w:rPr>
              <w:t>O</w:t>
            </w:r>
            <w:r w:rsidRPr="006B7EA4">
              <w:rPr>
                <w:sz w:val="20"/>
                <w:vertAlign w:val="superscript"/>
                <w:lang w:val="en-US"/>
              </w:rPr>
              <w:t>+</w:t>
            </w:r>
            <w:r w:rsidRPr="006B7EA4">
              <w:rPr>
                <w:sz w:val="20"/>
                <w:lang w:val="en-US"/>
              </w:rPr>
              <w:t xml:space="preserve"> + e</w:t>
            </w:r>
            <w:r w:rsidRPr="006B7EA4">
              <w:rPr>
                <w:sz w:val="20"/>
                <w:vertAlign w:val="superscript"/>
                <w:lang w:val="en-US"/>
              </w:rPr>
              <w:t>-</w:t>
            </w:r>
            <w:r w:rsidRPr="006B7EA4">
              <w:rPr>
                <w:sz w:val="20"/>
                <w:lang w:val="en-US"/>
              </w:rPr>
              <w:t xml:space="preserve"> → </w:t>
            </w:r>
            <w:proofErr w:type="spellStart"/>
            <w:r w:rsidRPr="006B7EA4">
              <w:rPr>
                <w:sz w:val="20"/>
                <w:lang w:val="en-US"/>
              </w:rPr>
              <w:t>H</w:t>
            </w:r>
            <w:r w:rsidRPr="006B7EA4">
              <w:rPr>
                <w:sz w:val="20"/>
                <w:vertAlign w:val="subscript"/>
                <w:lang w:val="en-US"/>
              </w:rPr>
              <w:t>ads</w:t>
            </w:r>
            <w:proofErr w:type="spellEnd"/>
            <w:r w:rsidRPr="006B7EA4">
              <w:rPr>
                <w:sz w:val="20"/>
                <w:lang w:val="en-US"/>
              </w:rPr>
              <w:t xml:space="preserve"> + H</w:t>
            </w:r>
            <w:r w:rsidRPr="006B7EA4">
              <w:rPr>
                <w:sz w:val="20"/>
                <w:vertAlign w:val="subscript"/>
                <w:lang w:val="en-US"/>
              </w:rPr>
              <w:t>2</w:t>
            </w:r>
            <w:r w:rsidRPr="006B7EA4">
              <w:rPr>
                <w:sz w:val="20"/>
                <w:lang w:val="en-US"/>
              </w:rPr>
              <w:t>O</w:t>
            </w:r>
          </w:p>
        </w:tc>
        <w:tc>
          <w:tcPr>
            <w:tcW w:w="600" w:type="dxa"/>
          </w:tcPr>
          <w:p w14:paraId="2C341EC6" w14:textId="77777777" w:rsidR="00994B57" w:rsidRPr="006B7EA4" w:rsidRDefault="00994B57" w:rsidP="00994B57">
            <w:pPr>
              <w:spacing w:line="276" w:lineRule="auto"/>
              <w:jc w:val="both"/>
              <w:rPr>
                <w:sz w:val="20"/>
                <w:lang w:val="en-US"/>
              </w:rPr>
            </w:pPr>
            <w:r w:rsidRPr="006B7EA4">
              <w:rPr>
                <w:sz w:val="20"/>
                <w:lang w:val="en-US"/>
              </w:rPr>
              <w:t>(2)</w:t>
            </w:r>
          </w:p>
        </w:tc>
      </w:tr>
      <w:tr w:rsidR="00994B57" w:rsidRPr="006B7EA4" w14:paraId="00FB80D9" w14:textId="77777777" w:rsidTr="00994B57">
        <w:trPr>
          <w:jc w:val="center"/>
        </w:trPr>
        <w:tc>
          <w:tcPr>
            <w:tcW w:w="3685" w:type="dxa"/>
          </w:tcPr>
          <w:p w14:paraId="58C8891E" w14:textId="77777777" w:rsidR="00994B57" w:rsidRPr="006B7EA4" w:rsidRDefault="00994B57" w:rsidP="00994B57">
            <w:pPr>
              <w:spacing w:line="276" w:lineRule="auto"/>
              <w:jc w:val="both"/>
              <w:rPr>
                <w:sz w:val="20"/>
                <w:lang w:val="en-US"/>
              </w:rPr>
            </w:pPr>
            <w:proofErr w:type="spellStart"/>
            <w:r w:rsidRPr="006B7EA4">
              <w:rPr>
                <w:sz w:val="20"/>
                <w:lang w:val="en-US"/>
              </w:rPr>
              <w:t>H</w:t>
            </w:r>
            <w:r w:rsidRPr="006B7EA4">
              <w:rPr>
                <w:sz w:val="20"/>
                <w:vertAlign w:val="subscript"/>
                <w:lang w:val="en-US"/>
              </w:rPr>
              <w:t>ads</w:t>
            </w:r>
            <w:proofErr w:type="spellEnd"/>
            <w:r w:rsidRPr="006B7EA4">
              <w:rPr>
                <w:sz w:val="20"/>
                <w:vertAlign w:val="subscript"/>
                <w:lang w:val="en-US"/>
              </w:rPr>
              <w:t xml:space="preserve"> </w:t>
            </w:r>
            <w:r w:rsidRPr="006B7EA4">
              <w:rPr>
                <w:sz w:val="20"/>
                <w:lang w:val="en-US"/>
              </w:rPr>
              <w:t xml:space="preserve">+ </w:t>
            </w:r>
            <w:proofErr w:type="spellStart"/>
            <w:r w:rsidRPr="006B7EA4">
              <w:rPr>
                <w:sz w:val="20"/>
                <w:lang w:val="en-US"/>
              </w:rPr>
              <w:t>H</w:t>
            </w:r>
            <w:r w:rsidRPr="006B7EA4">
              <w:rPr>
                <w:sz w:val="20"/>
                <w:vertAlign w:val="subscript"/>
                <w:lang w:val="en-US"/>
              </w:rPr>
              <w:t>ads</w:t>
            </w:r>
            <w:proofErr w:type="spellEnd"/>
            <w:r w:rsidRPr="006B7EA4">
              <w:rPr>
                <w:sz w:val="20"/>
                <w:vertAlign w:val="subscript"/>
                <w:lang w:val="en-US"/>
              </w:rPr>
              <w:t xml:space="preserve"> </w:t>
            </w:r>
            <w:r w:rsidRPr="006B7EA4">
              <w:rPr>
                <w:sz w:val="20"/>
                <w:lang w:val="en-US"/>
              </w:rPr>
              <w:t>→ H</w:t>
            </w:r>
            <w:r w:rsidRPr="006B7EA4"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</w:tcPr>
          <w:p w14:paraId="20413784" w14:textId="77777777" w:rsidR="00994B57" w:rsidRPr="006B7EA4" w:rsidRDefault="00994B57" w:rsidP="00994B57">
            <w:pPr>
              <w:spacing w:line="276" w:lineRule="auto"/>
              <w:jc w:val="both"/>
              <w:rPr>
                <w:sz w:val="20"/>
                <w:lang w:val="en-US"/>
              </w:rPr>
            </w:pPr>
            <w:r w:rsidRPr="006B7EA4">
              <w:rPr>
                <w:sz w:val="20"/>
                <w:lang w:val="en-US"/>
              </w:rPr>
              <w:t>(3)</w:t>
            </w:r>
          </w:p>
        </w:tc>
      </w:tr>
      <w:tr w:rsidR="00994B57" w:rsidRPr="006B7EA4" w14:paraId="5EB61365" w14:textId="77777777" w:rsidTr="00994B57">
        <w:trPr>
          <w:jc w:val="center"/>
        </w:trPr>
        <w:tc>
          <w:tcPr>
            <w:tcW w:w="3685" w:type="dxa"/>
          </w:tcPr>
          <w:p w14:paraId="4B8AB9A8" w14:textId="77777777" w:rsidR="00994B57" w:rsidRPr="006B7EA4" w:rsidRDefault="00994B57" w:rsidP="00994B57">
            <w:pPr>
              <w:spacing w:line="276" w:lineRule="auto"/>
              <w:jc w:val="both"/>
              <w:rPr>
                <w:sz w:val="20"/>
                <w:lang w:val="en-US"/>
              </w:rPr>
            </w:pPr>
            <w:proofErr w:type="spellStart"/>
            <w:r w:rsidRPr="006B7EA4">
              <w:rPr>
                <w:sz w:val="20"/>
                <w:lang w:val="en-US"/>
              </w:rPr>
              <w:t>H</w:t>
            </w:r>
            <w:r w:rsidRPr="006B7EA4">
              <w:rPr>
                <w:sz w:val="20"/>
                <w:vertAlign w:val="subscript"/>
                <w:lang w:val="en-US"/>
              </w:rPr>
              <w:t>ads</w:t>
            </w:r>
            <w:proofErr w:type="spellEnd"/>
            <w:r w:rsidRPr="006B7EA4">
              <w:rPr>
                <w:sz w:val="20"/>
                <w:vertAlign w:val="subscript"/>
                <w:lang w:val="en-US"/>
              </w:rPr>
              <w:t xml:space="preserve"> </w:t>
            </w:r>
            <w:r w:rsidRPr="006B7EA4">
              <w:rPr>
                <w:sz w:val="20"/>
                <w:lang w:val="en-US"/>
              </w:rPr>
              <w:t>+ H</w:t>
            </w:r>
            <w:r w:rsidRPr="006B7EA4">
              <w:rPr>
                <w:sz w:val="20"/>
                <w:vertAlign w:val="subscript"/>
                <w:lang w:val="en-US"/>
              </w:rPr>
              <w:t>3</w:t>
            </w:r>
            <w:r w:rsidRPr="006B7EA4">
              <w:rPr>
                <w:sz w:val="20"/>
                <w:lang w:val="en-US"/>
              </w:rPr>
              <w:t>O</w:t>
            </w:r>
            <w:r w:rsidRPr="006B7EA4">
              <w:rPr>
                <w:sz w:val="20"/>
                <w:vertAlign w:val="superscript"/>
                <w:lang w:val="en-US"/>
              </w:rPr>
              <w:t xml:space="preserve">+ </w:t>
            </w:r>
            <w:r w:rsidRPr="006B7EA4">
              <w:rPr>
                <w:sz w:val="20"/>
                <w:lang w:val="en-US"/>
              </w:rPr>
              <w:t>+ e</w:t>
            </w:r>
            <w:r w:rsidRPr="006B7EA4">
              <w:rPr>
                <w:sz w:val="20"/>
                <w:vertAlign w:val="superscript"/>
                <w:lang w:val="en-US"/>
              </w:rPr>
              <w:t>-</w:t>
            </w:r>
            <w:r w:rsidRPr="006B7EA4">
              <w:rPr>
                <w:sz w:val="20"/>
                <w:lang w:val="en-US"/>
              </w:rPr>
              <w:t xml:space="preserve"> → H</w:t>
            </w:r>
            <w:r w:rsidRPr="006B7EA4">
              <w:rPr>
                <w:sz w:val="20"/>
                <w:vertAlign w:val="subscript"/>
                <w:lang w:val="en-US"/>
              </w:rPr>
              <w:t>2</w:t>
            </w:r>
            <w:r w:rsidRPr="006B7EA4">
              <w:rPr>
                <w:sz w:val="20"/>
                <w:lang w:val="en-US"/>
              </w:rPr>
              <w:t xml:space="preserve"> + H</w:t>
            </w:r>
            <w:r w:rsidRPr="006B7EA4">
              <w:rPr>
                <w:sz w:val="20"/>
                <w:vertAlign w:val="subscript"/>
                <w:lang w:val="en-US"/>
              </w:rPr>
              <w:t>2</w:t>
            </w:r>
            <w:r w:rsidRPr="006B7EA4">
              <w:rPr>
                <w:sz w:val="20"/>
                <w:lang w:val="en-US"/>
              </w:rPr>
              <w:t>O</w:t>
            </w:r>
          </w:p>
        </w:tc>
        <w:tc>
          <w:tcPr>
            <w:tcW w:w="600" w:type="dxa"/>
          </w:tcPr>
          <w:p w14:paraId="24013E0C" w14:textId="77777777" w:rsidR="00994B57" w:rsidRPr="006B7EA4" w:rsidRDefault="00994B57" w:rsidP="00994B57">
            <w:pPr>
              <w:spacing w:line="276" w:lineRule="auto"/>
              <w:jc w:val="both"/>
              <w:rPr>
                <w:sz w:val="20"/>
                <w:lang w:val="en-US"/>
              </w:rPr>
            </w:pPr>
            <w:r w:rsidRPr="006B7EA4">
              <w:rPr>
                <w:sz w:val="20"/>
                <w:lang w:val="en-US"/>
              </w:rPr>
              <w:t>(4)</w:t>
            </w:r>
          </w:p>
        </w:tc>
      </w:tr>
    </w:tbl>
    <w:p w14:paraId="6EA3813B" w14:textId="3C6343B2" w:rsidR="002837D1" w:rsidRPr="006B7EA4" w:rsidRDefault="00B2468F" w:rsidP="002837D1">
      <w:pPr>
        <w:spacing w:line="276" w:lineRule="auto"/>
        <w:jc w:val="both"/>
        <w:rPr>
          <w:sz w:val="20"/>
          <w:lang w:val="en-US"/>
        </w:rPr>
      </w:pPr>
      <w:proofErr w:type="gramStart"/>
      <w:r w:rsidRPr="006B7EA4">
        <w:rPr>
          <w:sz w:val="20"/>
          <w:lang w:val="en-US"/>
        </w:rPr>
        <w:t xml:space="preserve">Based on numerous studies, hydrogen can be </w:t>
      </w:r>
      <w:r w:rsidR="003954DC" w:rsidRPr="006B7EA4">
        <w:rPr>
          <w:sz w:val="20"/>
          <w:lang w:val="en-US"/>
        </w:rPr>
        <w:t>deemed</w:t>
      </w:r>
      <w:r w:rsidRPr="006B7EA4">
        <w:rPr>
          <w:sz w:val="20"/>
          <w:lang w:val="en-US"/>
        </w:rPr>
        <w:t xml:space="preserve"> to dissolve in </w:t>
      </w:r>
      <w:proofErr w:type="spellStart"/>
      <w:r w:rsidRPr="006B7EA4">
        <w:rPr>
          <w:sz w:val="20"/>
          <w:lang w:val="en-US"/>
        </w:rPr>
        <w:t>octo</w:t>
      </w:r>
      <w:proofErr w:type="spellEnd"/>
      <w:r w:rsidRPr="006B7EA4">
        <w:rPr>
          <w:sz w:val="20"/>
          <w:lang w:val="en-US"/>
        </w:rPr>
        <w:t xml:space="preserve">- and </w:t>
      </w:r>
      <w:proofErr w:type="spellStart"/>
      <w:r w:rsidRPr="006B7EA4">
        <w:rPr>
          <w:sz w:val="20"/>
          <w:lang w:val="en-US"/>
        </w:rPr>
        <w:t>tetrapores</w:t>
      </w:r>
      <w:proofErr w:type="spellEnd"/>
      <w:r w:rsidRPr="006B7EA4">
        <w:rPr>
          <w:sz w:val="20"/>
          <w:lang w:val="en-US"/>
        </w:rPr>
        <w:t xml:space="preserve"> of the crystal lattice</w:t>
      </w:r>
      <w:r w:rsidR="00E722EE" w:rsidRPr="006B7EA4">
        <w:rPr>
          <w:sz w:val="20"/>
          <w:lang w:val="en-US"/>
        </w:rPr>
        <w:t xml:space="preserve"> of metals in the atomic state,</w:t>
      </w:r>
      <w:r w:rsidR="003329C5" w:rsidRPr="006B7EA4">
        <w:rPr>
          <w:sz w:val="20"/>
          <w:lang w:val="en-US"/>
        </w:rPr>
        <w:t xml:space="preserve"> to accumulate</w:t>
      </w:r>
      <w:r w:rsidRPr="006B7EA4">
        <w:rPr>
          <w:sz w:val="20"/>
          <w:lang w:val="en-US"/>
        </w:rPr>
        <w:t xml:space="preserve"> in pores and other </w:t>
      </w:r>
      <w:r w:rsidR="00A237C5" w:rsidRPr="006B7EA4">
        <w:rPr>
          <w:sz w:val="20"/>
          <w:lang w:val="en-US"/>
        </w:rPr>
        <w:t xml:space="preserve">crystal lattice </w:t>
      </w:r>
      <w:r w:rsidRPr="006B7EA4">
        <w:rPr>
          <w:sz w:val="20"/>
          <w:lang w:val="en-US"/>
        </w:rPr>
        <w:t xml:space="preserve">defects in </w:t>
      </w:r>
      <w:r w:rsidR="00A237C5" w:rsidRPr="006B7EA4">
        <w:rPr>
          <w:sz w:val="20"/>
          <w:lang w:val="en-US"/>
        </w:rPr>
        <w:t xml:space="preserve">the </w:t>
      </w:r>
      <w:r w:rsidRPr="006B7EA4">
        <w:rPr>
          <w:sz w:val="20"/>
          <w:lang w:val="en-US"/>
        </w:rPr>
        <w:t xml:space="preserve">molecular form, and </w:t>
      </w:r>
      <w:r w:rsidR="003954DC" w:rsidRPr="006B7EA4">
        <w:rPr>
          <w:sz w:val="20"/>
          <w:lang w:val="en-US"/>
        </w:rPr>
        <w:t>to go</w:t>
      </w:r>
      <w:r w:rsidRPr="006B7EA4">
        <w:rPr>
          <w:sz w:val="20"/>
          <w:lang w:val="en-US"/>
        </w:rPr>
        <w:t xml:space="preserve"> </w:t>
      </w:r>
      <w:r w:rsidRPr="006B7EA4">
        <w:rPr>
          <w:sz w:val="20"/>
          <w:lang w:val="en-US"/>
        </w:rPr>
        <w:lastRenderedPageBreak/>
        <w:t xml:space="preserve">into chemical interaction with various elements and phases present in </w:t>
      </w:r>
      <w:r w:rsidR="00383534" w:rsidRPr="006B7EA4">
        <w:rPr>
          <w:sz w:val="20"/>
          <w:lang w:val="en-US"/>
        </w:rPr>
        <w:t>the metals and alloys</w:t>
      </w:r>
      <w:r w:rsidRPr="006B7EA4">
        <w:rPr>
          <w:sz w:val="20"/>
          <w:lang w:val="en-US"/>
        </w:rPr>
        <w:t xml:space="preserve">, </w:t>
      </w:r>
      <w:r w:rsidR="00061981" w:rsidRPr="006B7EA4">
        <w:rPr>
          <w:sz w:val="20"/>
          <w:lang w:val="en-US"/>
        </w:rPr>
        <w:t>as well as</w:t>
      </w:r>
      <w:r w:rsidRPr="006B7EA4">
        <w:rPr>
          <w:sz w:val="20"/>
          <w:lang w:val="en-US"/>
        </w:rPr>
        <w:t xml:space="preserve"> </w:t>
      </w:r>
      <w:r w:rsidR="003954DC" w:rsidRPr="006B7EA4">
        <w:rPr>
          <w:sz w:val="20"/>
          <w:lang w:val="en-US"/>
        </w:rPr>
        <w:t xml:space="preserve">to be </w:t>
      </w:r>
      <w:r w:rsidRPr="006B7EA4">
        <w:rPr>
          <w:sz w:val="20"/>
          <w:lang w:val="en-US"/>
        </w:rPr>
        <w:t xml:space="preserve">adsorbed inside the metal on the surfaces of </w:t>
      </w:r>
      <w:proofErr w:type="spellStart"/>
      <w:r w:rsidRPr="006B7EA4">
        <w:rPr>
          <w:sz w:val="20"/>
          <w:lang w:val="en-US"/>
        </w:rPr>
        <w:t>microcavities</w:t>
      </w:r>
      <w:proofErr w:type="spellEnd"/>
      <w:r w:rsidRPr="006B7EA4">
        <w:rPr>
          <w:sz w:val="20"/>
          <w:lang w:val="en-US"/>
        </w:rPr>
        <w:t xml:space="preserve">, pores, </w:t>
      </w:r>
      <w:proofErr w:type="spellStart"/>
      <w:r w:rsidRPr="006B7EA4">
        <w:rPr>
          <w:sz w:val="20"/>
          <w:lang w:val="en-US"/>
        </w:rPr>
        <w:t>microcracks</w:t>
      </w:r>
      <w:proofErr w:type="spellEnd"/>
      <w:r w:rsidRPr="006B7EA4">
        <w:rPr>
          <w:sz w:val="20"/>
          <w:lang w:val="en-US"/>
        </w:rPr>
        <w:t xml:space="preserve"> and other imperfections of the crystal lattice.</w:t>
      </w:r>
      <w:proofErr w:type="gramEnd"/>
    </w:p>
    <w:p w14:paraId="11A1A55B" w14:textId="6971F64A" w:rsidR="002837D1" w:rsidRPr="006B7EA4" w:rsidRDefault="00383534" w:rsidP="002837D1">
      <w:pPr>
        <w:spacing w:line="276" w:lineRule="auto"/>
        <w:ind w:firstLine="708"/>
        <w:jc w:val="both"/>
        <w:rPr>
          <w:sz w:val="20"/>
          <w:lang w:val="en-US"/>
        </w:rPr>
      </w:pPr>
      <w:r w:rsidRPr="006B7EA4">
        <w:rPr>
          <w:sz w:val="20"/>
          <w:lang w:val="en-US"/>
        </w:rPr>
        <w:t>Hydrogen embrittlement under conditions of static loading of the metal results in a decrease in its long-term strength</w:t>
      </w:r>
      <w:r w:rsidR="00E722EE" w:rsidRPr="006B7EA4">
        <w:rPr>
          <w:sz w:val="20"/>
          <w:lang w:val="en-US"/>
        </w:rPr>
        <w:t>.</w:t>
      </w:r>
      <w:r w:rsidRPr="006B7EA4">
        <w:rPr>
          <w:sz w:val="20"/>
          <w:lang w:val="en-US"/>
        </w:rPr>
        <w:t xml:space="preserve"> Hydrogenation does not always end in metal destruction. The presence of hydrogen in the crystal lattice leads to the loss of </w:t>
      </w:r>
      <w:r w:rsidR="00B64646" w:rsidRPr="006B7EA4">
        <w:rPr>
          <w:sz w:val="20"/>
          <w:lang w:val="en-US"/>
        </w:rPr>
        <w:t>metal</w:t>
      </w:r>
      <w:r w:rsidRPr="006B7EA4">
        <w:rPr>
          <w:sz w:val="20"/>
          <w:lang w:val="en-US"/>
        </w:rPr>
        <w:t xml:space="preserve"> </w:t>
      </w:r>
      <w:r w:rsidR="00E722EE" w:rsidRPr="006B7EA4">
        <w:rPr>
          <w:sz w:val="20"/>
          <w:lang w:val="en-US"/>
        </w:rPr>
        <w:t>plasticity (i.e.</w:t>
      </w:r>
      <w:r w:rsidRPr="006B7EA4">
        <w:rPr>
          <w:sz w:val="20"/>
          <w:lang w:val="en-US"/>
        </w:rPr>
        <w:t xml:space="preserve"> to brittleness), </w:t>
      </w:r>
      <w:r w:rsidR="00C56AD9" w:rsidRPr="006B7EA4">
        <w:rPr>
          <w:sz w:val="20"/>
          <w:lang w:val="en-US"/>
        </w:rPr>
        <w:t>however,</w:t>
      </w:r>
      <w:r w:rsidRPr="006B7EA4">
        <w:rPr>
          <w:sz w:val="20"/>
          <w:lang w:val="en-US"/>
        </w:rPr>
        <w:t xml:space="preserve"> only sufficiently large tensile loads or significant internal stresses can </w:t>
      </w:r>
      <w:r w:rsidR="00C56AD9" w:rsidRPr="006B7EA4">
        <w:rPr>
          <w:sz w:val="20"/>
          <w:lang w:val="en-US"/>
        </w:rPr>
        <w:t>cause</w:t>
      </w:r>
      <w:r w:rsidRPr="006B7EA4">
        <w:rPr>
          <w:sz w:val="20"/>
          <w:lang w:val="en-US"/>
        </w:rPr>
        <w:t xml:space="preserve"> its cracking, which </w:t>
      </w:r>
      <w:r w:rsidR="00061981" w:rsidRPr="006B7EA4">
        <w:rPr>
          <w:sz w:val="20"/>
          <w:lang w:val="en-US"/>
        </w:rPr>
        <w:t>normally</w:t>
      </w:r>
      <w:r w:rsidRPr="006B7EA4">
        <w:rPr>
          <w:sz w:val="20"/>
          <w:lang w:val="en-US"/>
        </w:rPr>
        <w:t xml:space="preserve"> proceeds as a </w:t>
      </w:r>
      <w:proofErr w:type="spellStart"/>
      <w:r w:rsidRPr="006B7EA4">
        <w:rPr>
          <w:sz w:val="20"/>
          <w:lang w:val="en-US"/>
        </w:rPr>
        <w:t>transcrystalline</w:t>
      </w:r>
      <w:proofErr w:type="spellEnd"/>
      <w:r w:rsidRPr="006B7EA4">
        <w:rPr>
          <w:sz w:val="20"/>
          <w:lang w:val="en-US"/>
        </w:rPr>
        <w:t xml:space="preserve"> process. After </w:t>
      </w:r>
      <w:r w:rsidR="00C56AD9" w:rsidRPr="006B7EA4">
        <w:rPr>
          <w:sz w:val="20"/>
          <w:lang w:val="en-US"/>
        </w:rPr>
        <w:t xml:space="preserve">metallurgical </w:t>
      </w:r>
      <w:proofErr w:type="spellStart"/>
      <w:r w:rsidR="00C56AD9" w:rsidRPr="006B7EA4">
        <w:rPr>
          <w:sz w:val="20"/>
          <w:lang w:val="en-US"/>
        </w:rPr>
        <w:t>remelting</w:t>
      </w:r>
      <w:proofErr w:type="spellEnd"/>
      <w:r w:rsidRPr="006B7EA4">
        <w:rPr>
          <w:sz w:val="20"/>
          <w:lang w:val="en-US"/>
        </w:rPr>
        <w:t xml:space="preserve"> and anti-flake treatment, </w:t>
      </w:r>
      <w:r w:rsidR="00397389" w:rsidRPr="006B7EA4">
        <w:rPr>
          <w:sz w:val="20"/>
          <w:lang w:val="en-US"/>
        </w:rPr>
        <w:t xml:space="preserve">the </w:t>
      </w:r>
      <w:r w:rsidRPr="006B7EA4">
        <w:rPr>
          <w:sz w:val="20"/>
          <w:lang w:val="en-US"/>
        </w:rPr>
        <w:t>pearlite</w:t>
      </w:r>
      <w:r w:rsidR="00061981" w:rsidRPr="006B7EA4">
        <w:rPr>
          <w:sz w:val="20"/>
          <w:lang w:val="en-US"/>
        </w:rPr>
        <w:t xml:space="preserve"> steel contains approximately 1</w:t>
      </w:r>
      <w:r w:rsidRPr="006B7EA4">
        <w:rPr>
          <w:sz w:val="20"/>
          <w:lang w:val="en-US"/>
        </w:rPr>
        <w:t>cm</w:t>
      </w:r>
      <w:r w:rsidRPr="006B7EA4">
        <w:rPr>
          <w:sz w:val="20"/>
          <w:vertAlign w:val="superscript"/>
          <w:lang w:val="en-US"/>
        </w:rPr>
        <w:t>3</w:t>
      </w:r>
      <w:r w:rsidR="00397389" w:rsidRPr="006B7EA4">
        <w:rPr>
          <w:sz w:val="20"/>
          <w:lang w:val="en-US"/>
        </w:rPr>
        <w:t>/</w:t>
      </w:r>
      <w:r w:rsidR="00061981" w:rsidRPr="006B7EA4">
        <w:rPr>
          <w:sz w:val="20"/>
          <w:lang w:val="en-US"/>
        </w:rPr>
        <w:t>100</w:t>
      </w:r>
      <w:r w:rsidRPr="006B7EA4">
        <w:rPr>
          <w:sz w:val="20"/>
          <w:lang w:val="en-US"/>
        </w:rPr>
        <w:t>g of metal dissolved in the metal matrix [3,</w:t>
      </w:r>
      <w:r w:rsidR="00081D20">
        <w:rPr>
          <w:sz w:val="20"/>
          <w:lang w:val="en-US"/>
        </w:rPr>
        <w:t xml:space="preserve"> </w:t>
      </w:r>
      <w:r w:rsidRPr="006B7EA4">
        <w:rPr>
          <w:sz w:val="20"/>
          <w:lang w:val="en-US"/>
        </w:rPr>
        <w:t>4].</w:t>
      </w:r>
    </w:p>
    <w:p w14:paraId="01513D59" w14:textId="0C736C8F" w:rsidR="002837D1" w:rsidRPr="006B7EA4" w:rsidRDefault="00397389" w:rsidP="00994B57">
      <w:pPr>
        <w:spacing w:line="276" w:lineRule="auto"/>
        <w:ind w:firstLine="708"/>
        <w:jc w:val="both"/>
        <w:rPr>
          <w:sz w:val="20"/>
          <w:lang w:val="en-US"/>
        </w:rPr>
      </w:pPr>
      <w:r w:rsidRPr="006B7EA4">
        <w:rPr>
          <w:sz w:val="20"/>
          <w:lang w:val="en-US"/>
        </w:rPr>
        <w:t xml:space="preserve">Hydrogenation of </w:t>
      </w:r>
      <w:r w:rsidRPr="00D53A36">
        <w:rPr>
          <w:sz w:val="20"/>
          <w:lang w:val="en-US"/>
        </w:rPr>
        <w:t>the 10</w:t>
      </w:r>
      <w:r w:rsidR="00D53A36" w:rsidRPr="00D53A36">
        <w:rPr>
          <w:sz w:val="20"/>
          <w:lang w:val="en-US"/>
        </w:rPr>
        <w:t>Kh</w:t>
      </w:r>
      <w:r w:rsidRPr="00D53A36">
        <w:rPr>
          <w:sz w:val="20"/>
          <w:lang w:val="en-US"/>
        </w:rPr>
        <w:t>2M steel</w:t>
      </w:r>
      <w:r w:rsidRPr="006B7EA4">
        <w:rPr>
          <w:sz w:val="20"/>
          <w:lang w:val="en-US"/>
        </w:rPr>
        <w:t xml:space="preserve"> in the PGN-200M BN-600 evaporator tube bundle during </w:t>
      </w:r>
      <w:r w:rsidR="00F85063" w:rsidRPr="006B7EA4">
        <w:rPr>
          <w:sz w:val="20"/>
          <w:lang w:val="en-US"/>
        </w:rPr>
        <w:t>OCC</w:t>
      </w:r>
      <w:r w:rsidRPr="006B7EA4">
        <w:rPr>
          <w:sz w:val="20"/>
          <w:lang w:val="en-US"/>
        </w:rPr>
        <w:t xml:space="preserve"> was determined by the maximum value of the hydrogen</w:t>
      </w:r>
      <w:r w:rsidR="00F85063" w:rsidRPr="006B7EA4">
        <w:rPr>
          <w:sz w:val="20"/>
          <w:lang w:val="en-US"/>
        </w:rPr>
        <w:t xml:space="preserve"> flow</w:t>
      </w:r>
      <w:r w:rsidRPr="006B7EA4">
        <w:rPr>
          <w:sz w:val="20"/>
          <w:lang w:val="en-US"/>
        </w:rPr>
        <w:t xml:space="preserve"> into the secondary sodium J</w:t>
      </w:r>
      <w:r w:rsidRPr="006B7EA4">
        <w:rPr>
          <w:sz w:val="20"/>
          <w:vertAlign w:val="superscript"/>
          <w:lang w:val="en-US"/>
        </w:rPr>
        <w:t>II</w:t>
      </w:r>
      <w:r w:rsidRPr="006B7EA4">
        <w:rPr>
          <w:sz w:val="20"/>
          <w:vertAlign w:val="subscript"/>
          <w:lang w:val="en-US"/>
        </w:rPr>
        <w:t>H</w:t>
      </w:r>
      <w:r w:rsidRPr="006B7EA4">
        <w:rPr>
          <w:sz w:val="20"/>
          <w:lang w:val="en-US"/>
        </w:rPr>
        <w:t xml:space="preserve"> = 3.49∙10</w:t>
      </w:r>
      <w:r w:rsidRPr="006B7EA4">
        <w:rPr>
          <w:sz w:val="20"/>
          <w:vertAlign w:val="superscript"/>
          <w:lang w:val="en-US"/>
        </w:rPr>
        <w:t>-9</w:t>
      </w:r>
      <w:r w:rsidRPr="006B7EA4">
        <w:rPr>
          <w:sz w:val="20"/>
          <w:lang w:val="en-US"/>
        </w:rPr>
        <w:t xml:space="preserve"> kg/m</w:t>
      </w:r>
      <w:r w:rsidRPr="006B7EA4">
        <w:rPr>
          <w:sz w:val="20"/>
          <w:vertAlign w:val="superscript"/>
          <w:lang w:val="en-US"/>
        </w:rPr>
        <w:t>2</w:t>
      </w:r>
      <w:r w:rsidRPr="006B7EA4">
        <w:rPr>
          <w:sz w:val="20"/>
          <w:lang w:val="en-US"/>
        </w:rPr>
        <w:t xml:space="preserve">s. </w:t>
      </w:r>
      <w:proofErr w:type="gramStart"/>
      <w:r w:rsidRPr="006B7EA4">
        <w:rPr>
          <w:sz w:val="20"/>
          <w:lang w:val="en-US"/>
        </w:rPr>
        <w:t xml:space="preserve">Let </w:t>
      </w:r>
      <w:r w:rsidRPr="006B7EA4">
        <w:rPr>
          <w:sz w:val="20"/>
          <w:lang w:val="ru-RU"/>
        </w:rPr>
        <w:t>Δ</w:t>
      </w:r>
      <w:r w:rsidR="00C56AD9" w:rsidRPr="006B7EA4">
        <w:rPr>
          <w:sz w:val="20"/>
          <w:lang w:val="en-US"/>
        </w:rPr>
        <w:t>C</w:t>
      </w:r>
      <w:r w:rsidRPr="006B7EA4">
        <w:rPr>
          <w:sz w:val="20"/>
          <w:lang w:val="en-US"/>
        </w:rPr>
        <w:t xml:space="preserve"> representing the hydrogen concentration in steel be expressed</w:t>
      </w:r>
      <w:proofErr w:type="gramEnd"/>
      <w:r w:rsidRPr="006B7EA4">
        <w:rPr>
          <w:sz w:val="20"/>
          <w:lang w:val="en-US"/>
        </w:rPr>
        <w:t xml:space="preserve"> from the hydrogen permeability equation (2):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994B57" w:rsidRPr="00F417CD" w14:paraId="31798363" w14:textId="77777777" w:rsidTr="00E415A2">
        <w:tc>
          <w:tcPr>
            <w:tcW w:w="4633" w:type="pct"/>
            <w:vAlign w:val="center"/>
          </w:tcPr>
          <w:p w14:paraId="4D4EEBB5" w14:textId="3E83EF04" w:rsidR="00994B57" w:rsidRPr="00F417CD" w:rsidRDefault="00427AE2" w:rsidP="00994B57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steel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II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wall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67" w:type="pct"/>
            <w:vAlign w:val="center"/>
            <w:hideMark/>
          </w:tcPr>
          <w:p w14:paraId="67B54DE0" w14:textId="20690C7B" w:rsidR="00994B57" w:rsidRPr="00F417CD" w:rsidRDefault="00994B57" w:rsidP="00E415A2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7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17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417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AB3608" w14:textId="667543BE" w:rsidR="002837D1" w:rsidRPr="00F417CD" w:rsidRDefault="002837D1" w:rsidP="002837D1">
      <w:pPr>
        <w:spacing w:line="360" w:lineRule="auto"/>
        <w:ind w:firstLine="708"/>
        <w:jc w:val="center"/>
        <w:rPr>
          <w:sz w:val="20"/>
        </w:rPr>
      </w:pPr>
    </w:p>
    <w:p w14:paraId="57449B4F" w14:textId="6D17F641" w:rsidR="002837D1" w:rsidRPr="00F417CD" w:rsidRDefault="00483EF6" w:rsidP="002837D1">
      <w:pPr>
        <w:jc w:val="both"/>
        <w:rPr>
          <w:color w:val="000000"/>
          <w:sz w:val="20"/>
          <w:lang w:val="en-US" w:eastAsia="ru-RU"/>
        </w:rPr>
      </w:pPr>
      <w:r w:rsidRPr="00F417CD">
        <w:rPr>
          <w:sz w:val="20"/>
          <w:lang w:val="en-US"/>
        </w:rPr>
        <w:t>Direct substitution yields 2.</w:t>
      </w:r>
      <w:r w:rsidR="002837D1" w:rsidRPr="00F417CD">
        <w:rPr>
          <w:sz w:val="20"/>
          <w:lang w:val="en-US"/>
        </w:rPr>
        <w:t>57∙10</w:t>
      </w:r>
      <w:r w:rsidR="002837D1" w:rsidRPr="00F417CD">
        <w:rPr>
          <w:sz w:val="20"/>
          <w:vertAlign w:val="superscript"/>
          <w:lang w:val="en-US"/>
        </w:rPr>
        <w:t>-3</w:t>
      </w:r>
      <w:r w:rsidR="002837D1" w:rsidRPr="00F417CD">
        <w:rPr>
          <w:sz w:val="20"/>
          <w:lang w:val="en-US"/>
        </w:rPr>
        <w:t xml:space="preserve"> </w:t>
      </w:r>
      <w:r w:rsidRPr="00F417CD">
        <w:rPr>
          <w:sz w:val="20"/>
          <w:lang w:val="en-US"/>
        </w:rPr>
        <w:t>kg</w:t>
      </w:r>
      <w:r w:rsidR="002837D1" w:rsidRPr="00F417CD">
        <w:rPr>
          <w:sz w:val="20"/>
          <w:lang w:val="en-US"/>
        </w:rPr>
        <w:t>/</w:t>
      </w:r>
      <w:r w:rsidRPr="00F417CD">
        <w:rPr>
          <w:sz w:val="20"/>
          <w:lang w:val="en-US"/>
        </w:rPr>
        <w:t>m</w:t>
      </w:r>
      <w:r w:rsidR="002837D1" w:rsidRPr="00F417CD">
        <w:rPr>
          <w:sz w:val="20"/>
          <w:vertAlign w:val="superscript"/>
          <w:lang w:val="en-US"/>
        </w:rPr>
        <w:t>3</w:t>
      </w:r>
      <w:r w:rsidR="002837D1" w:rsidRPr="00F417CD">
        <w:rPr>
          <w:sz w:val="20"/>
          <w:lang w:val="en-US"/>
        </w:rPr>
        <w:t xml:space="preserve">. </w:t>
      </w:r>
      <w:r w:rsidRPr="00F417CD">
        <w:rPr>
          <w:color w:val="000000"/>
          <w:sz w:val="20"/>
          <w:lang w:val="en-US" w:eastAsia="ru-RU"/>
        </w:rPr>
        <w:t>Now let the mass fraction of hydrogen in steel (</w:t>
      </w:r>
      <w:r w:rsidRPr="00F417CD">
        <w:rPr>
          <w:color w:val="000000"/>
          <w:sz w:val="20"/>
          <w:lang w:val="ru-RU" w:eastAsia="ru-RU"/>
        </w:rPr>
        <w:t>ρ</w:t>
      </w:r>
      <w:r w:rsidRPr="00F417CD">
        <w:rPr>
          <w:color w:val="000000"/>
          <w:sz w:val="20"/>
          <w:vertAlign w:val="subscript"/>
          <w:lang w:val="en-US" w:eastAsia="ru-RU"/>
        </w:rPr>
        <w:t>steel</w:t>
      </w:r>
      <w:r w:rsidRPr="00F417CD">
        <w:rPr>
          <w:color w:val="000000"/>
          <w:sz w:val="20"/>
          <w:lang w:val="en-US" w:eastAsia="ru-RU"/>
        </w:rPr>
        <w:t xml:space="preserve"> = 7800 kg/m</w:t>
      </w:r>
      <w:r w:rsidRPr="00F417CD">
        <w:rPr>
          <w:color w:val="000000"/>
          <w:sz w:val="20"/>
          <w:vertAlign w:val="superscript"/>
          <w:lang w:val="en-US" w:eastAsia="ru-RU"/>
        </w:rPr>
        <w:t>3</w:t>
      </w:r>
      <w:r w:rsidRPr="00F417CD">
        <w:rPr>
          <w:color w:val="000000"/>
          <w:sz w:val="20"/>
          <w:lang w:val="en-US" w:eastAsia="ru-RU"/>
        </w:rPr>
        <w:t>) be determined: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994B57" w:rsidRPr="00F417CD" w14:paraId="669C3030" w14:textId="77777777" w:rsidTr="00E415A2">
        <w:tc>
          <w:tcPr>
            <w:tcW w:w="4633" w:type="pct"/>
            <w:vAlign w:val="center"/>
          </w:tcPr>
          <w:p w14:paraId="0ADE4463" w14:textId="73E32BBA" w:rsidR="00994B57" w:rsidRPr="00F417CD" w:rsidRDefault="00427AE2" w:rsidP="00161AEE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steel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 3.3 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-8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kg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100g(steel)</m:t>
                    </m:r>
                  </m:den>
                </m:f>
              </m:oMath>
            </m:oMathPara>
          </w:p>
        </w:tc>
        <w:tc>
          <w:tcPr>
            <w:tcW w:w="367" w:type="pct"/>
            <w:vAlign w:val="center"/>
            <w:hideMark/>
          </w:tcPr>
          <w:p w14:paraId="0BF239B3" w14:textId="2C5901E6" w:rsidR="00994B57" w:rsidRPr="00F417CD" w:rsidRDefault="00994B57" w:rsidP="00994B57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7CD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</w:tr>
    </w:tbl>
    <w:p w14:paraId="79108C2B" w14:textId="77777777" w:rsidR="00994B57" w:rsidRPr="00F417CD" w:rsidRDefault="00994B57" w:rsidP="002837D1">
      <w:pPr>
        <w:jc w:val="both"/>
        <w:rPr>
          <w:color w:val="000000"/>
          <w:sz w:val="20"/>
          <w:lang w:val="en-US" w:eastAsia="ru-RU"/>
        </w:rPr>
      </w:pPr>
    </w:p>
    <w:p w14:paraId="715EA68C" w14:textId="36502D6E" w:rsidR="002837D1" w:rsidRPr="00F417CD" w:rsidRDefault="009101E0" w:rsidP="002837D1">
      <w:pPr>
        <w:spacing w:line="276" w:lineRule="auto"/>
        <w:jc w:val="both"/>
        <w:rPr>
          <w:color w:val="000000"/>
          <w:sz w:val="20"/>
          <w:lang w:val="en-US" w:eastAsia="ru-RU"/>
        </w:rPr>
      </w:pPr>
      <w:r w:rsidRPr="00F417CD">
        <w:rPr>
          <w:color w:val="000000"/>
          <w:sz w:val="20"/>
          <w:lang w:val="en-US" w:eastAsia="ru-RU"/>
        </w:rPr>
        <w:t>Let us</w:t>
      </w:r>
      <w:r w:rsidR="00483EF6" w:rsidRPr="00F417CD">
        <w:rPr>
          <w:color w:val="000000"/>
          <w:sz w:val="20"/>
          <w:lang w:val="en-US" w:eastAsia="ru-RU"/>
        </w:rPr>
        <w:t xml:space="preserve"> </w:t>
      </w:r>
      <w:r w:rsidRPr="00F417CD">
        <w:rPr>
          <w:color w:val="000000"/>
          <w:sz w:val="20"/>
          <w:lang w:val="en-US" w:eastAsia="ru-RU"/>
        </w:rPr>
        <w:t>pass</w:t>
      </w:r>
      <w:r w:rsidR="00483EF6" w:rsidRPr="00F417CD">
        <w:rPr>
          <w:color w:val="000000"/>
          <w:sz w:val="20"/>
          <w:lang w:val="en-US" w:eastAsia="ru-RU"/>
        </w:rPr>
        <w:t xml:space="preserve"> on to the accepted unit of measurement cm</w:t>
      </w:r>
      <w:r w:rsidR="00483EF6" w:rsidRPr="00F417CD">
        <w:rPr>
          <w:color w:val="000000"/>
          <w:sz w:val="20"/>
          <w:vertAlign w:val="superscript"/>
          <w:lang w:val="en-US" w:eastAsia="ru-RU"/>
        </w:rPr>
        <w:t>3</w:t>
      </w:r>
      <w:r w:rsidRPr="00F417CD">
        <w:rPr>
          <w:color w:val="000000"/>
          <w:sz w:val="20"/>
          <w:lang w:val="en-US" w:eastAsia="ru-RU"/>
        </w:rPr>
        <w:t>/</w:t>
      </w:r>
      <w:r w:rsidR="00483EF6" w:rsidRPr="00F417CD">
        <w:rPr>
          <w:color w:val="000000"/>
          <w:sz w:val="20"/>
          <w:lang w:val="en-US" w:eastAsia="ru-RU"/>
        </w:rPr>
        <w:t>100g (steel):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994B57" w:rsidRPr="00F417CD" w14:paraId="585CE37B" w14:textId="77777777" w:rsidTr="00E415A2">
        <w:tc>
          <w:tcPr>
            <w:tcW w:w="4633" w:type="pct"/>
            <w:vAlign w:val="center"/>
          </w:tcPr>
          <w:p w14:paraId="56BE51B0" w14:textId="6D1161B3" w:rsidR="00994B57" w:rsidRPr="00F417CD" w:rsidRDefault="00427AE2" w:rsidP="00161AEE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∙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 0.4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100g(steel)</m:t>
                    </m:r>
                  </m:den>
                </m:f>
              </m:oMath>
            </m:oMathPara>
          </w:p>
        </w:tc>
        <w:tc>
          <w:tcPr>
            <w:tcW w:w="367" w:type="pct"/>
            <w:vAlign w:val="center"/>
            <w:hideMark/>
          </w:tcPr>
          <w:p w14:paraId="5E50AF2B" w14:textId="307B383D" w:rsidR="00994B57" w:rsidRPr="00F417CD" w:rsidRDefault="00994B57" w:rsidP="00994B57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7CD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</w:tr>
    </w:tbl>
    <w:p w14:paraId="613C05FB" w14:textId="77777777" w:rsidR="00994B57" w:rsidRPr="006B7EA4" w:rsidRDefault="00994B57" w:rsidP="002837D1">
      <w:pPr>
        <w:spacing w:line="276" w:lineRule="auto"/>
        <w:jc w:val="both"/>
        <w:rPr>
          <w:color w:val="000000"/>
          <w:sz w:val="20"/>
          <w:lang w:val="en-US" w:eastAsia="ru-RU"/>
        </w:rPr>
      </w:pPr>
    </w:p>
    <w:p w14:paraId="3B716BA2" w14:textId="0EAA612F" w:rsidR="002837D1" w:rsidRPr="006B7EA4" w:rsidRDefault="009101E0" w:rsidP="002837D1">
      <w:pPr>
        <w:spacing w:line="276" w:lineRule="auto"/>
        <w:jc w:val="both"/>
        <w:rPr>
          <w:color w:val="000000"/>
          <w:sz w:val="20"/>
          <w:lang w:val="en-US" w:eastAsia="ru-RU"/>
        </w:rPr>
      </w:pPr>
      <w:r w:rsidRPr="006B7EA4">
        <w:rPr>
          <w:color w:val="000000"/>
          <w:sz w:val="20"/>
          <w:lang w:val="en-US" w:eastAsia="ru-RU"/>
        </w:rPr>
        <w:t>The permissible range of values for steel hydrogenation is 1-2 cm</w:t>
      </w:r>
      <w:r w:rsidRPr="006B7EA4">
        <w:rPr>
          <w:color w:val="000000"/>
          <w:sz w:val="20"/>
          <w:vertAlign w:val="superscript"/>
          <w:lang w:val="en-US" w:eastAsia="ru-RU"/>
        </w:rPr>
        <w:t>3</w:t>
      </w:r>
      <w:r w:rsidRPr="006B7EA4">
        <w:rPr>
          <w:color w:val="000000"/>
          <w:sz w:val="20"/>
          <w:lang w:val="en-US" w:eastAsia="ru-RU"/>
        </w:rPr>
        <w:t xml:space="preserve">/100g (steel). Consequently, in the </w:t>
      </w:r>
      <w:r w:rsidR="00F85063" w:rsidRPr="006B7EA4">
        <w:rPr>
          <w:color w:val="000000"/>
          <w:sz w:val="20"/>
          <w:lang w:val="en-US" w:eastAsia="ru-RU"/>
        </w:rPr>
        <w:t>OCC</w:t>
      </w:r>
      <w:r w:rsidRPr="006B7EA4">
        <w:rPr>
          <w:color w:val="000000"/>
          <w:sz w:val="20"/>
          <w:lang w:val="en-US" w:eastAsia="ru-RU"/>
        </w:rPr>
        <w:t xml:space="preserve"> mode, no dangerous accumulation of hydrogen in the steel </w:t>
      </w:r>
      <w:r w:rsidR="00604962" w:rsidRPr="006B7EA4">
        <w:rPr>
          <w:color w:val="000000"/>
          <w:sz w:val="20"/>
          <w:lang w:val="en-US" w:eastAsia="ru-RU"/>
        </w:rPr>
        <w:t>occurs</w:t>
      </w:r>
      <w:r w:rsidRPr="006B7EA4">
        <w:rPr>
          <w:color w:val="000000"/>
          <w:sz w:val="20"/>
          <w:lang w:val="en-US" w:eastAsia="ru-RU"/>
        </w:rPr>
        <w:t>.</w:t>
      </w:r>
    </w:p>
    <w:p w14:paraId="433FE097" w14:textId="77777777" w:rsidR="00D26ADA" w:rsidRPr="006B7EA4" w:rsidRDefault="00D26ADA" w:rsidP="00EC44B0">
      <w:pPr>
        <w:pStyle w:val="Otherunnumberedheadings"/>
        <w:spacing w:line="276" w:lineRule="auto"/>
        <w:rPr>
          <w:rFonts w:ascii="Times New Roman" w:hAnsi="Times New Roman"/>
          <w:lang w:val="en-US"/>
        </w:rPr>
      </w:pPr>
      <w:r w:rsidRPr="006B7EA4">
        <w:rPr>
          <w:rFonts w:ascii="Times New Roman" w:hAnsi="Times New Roman"/>
        </w:rPr>
        <w:t>References</w:t>
      </w:r>
    </w:p>
    <w:p w14:paraId="3AD984C5" w14:textId="0ABD55E0" w:rsidR="00DF5D0A" w:rsidRPr="006B7EA4" w:rsidRDefault="00604962" w:rsidP="00604962">
      <w:pPr>
        <w:pStyle w:val="Referencelist"/>
        <w:rPr>
          <w:sz w:val="20"/>
          <w:szCs w:val="20"/>
          <w:lang w:val="en-US"/>
        </w:rPr>
      </w:pPr>
      <w:r w:rsidRPr="006B7EA4">
        <w:rPr>
          <w:sz w:val="20"/>
          <w:szCs w:val="20"/>
          <w:lang w:val="en-US"/>
        </w:rPr>
        <w:t>YERMOLAEV N</w:t>
      </w:r>
      <w:r w:rsidR="00EF6EBF" w:rsidRPr="006B7EA4">
        <w:rPr>
          <w:sz w:val="20"/>
          <w:szCs w:val="20"/>
          <w:lang w:val="en-US"/>
        </w:rPr>
        <w:t xml:space="preserve">., </w:t>
      </w:r>
      <w:r w:rsidRPr="006B7EA4">
        <w:rPr>
          <w:sz w:val="20"/>
          <w:szCs w:val="20"/>
          <w:lang w:val="en-US"/>
        </w:rPr>
        <w:t>SMYKOV V</w:t>
      </w:r>
      <w:r w:rsidR="00EF6EBF" w:rsidRPr="006B7EA4">
        <w:rPr>
          <w:sz w:val="20"/>
          <w:szCs w:val="20"/>
          <w:lang w:val="en-US"/>
        </w:rPr>
        <w:t xml:space="preserve">. </w:t>
      </w:r>
      <w:r w:rsidRPr="006B7EA4">
        <w:rPr>
          <w:sz w:val="20"/>
          <w:szCs w:val="20"/>
          <w:lang w:val="en-US"/>
        </w:rPr>
        <w:t>Mass Transfer of Corrosive Hydrogen in a Sodium-Water Type Steam Generator. VANT, issue 1 (24), 1987, p. 3-13.</w:t>
      </w:r>
    </w:p>
    <w:p w14:paraId="76F19696" w14:textId="2974E094" w:rsidR="00FF7721" w:rsidRPr="006B7EA4" w:rsidRDefault="00604962" w:rsidP="00604962">
      <w:pPr>
        <w:pStyle w:val="Referencelist"/>
        <w:rPr>
          <w:sz w:val="20"/>
          <w:szCs w:val="20"/>
          <w:lang w:val="en-US"/>
        </w:rPr>
      </w:pPr>
      <w:r w:rsidRPr="006B7EA4">
        <w:rPr>
          <w:caps/>
          <w:sz w:val="20"/>
          <w:szCs w:val="20"/>
          <w:lang w:val="en-US"/>
        </w:rPr>
        <w:t>PISAREV A</w:t>
      </w:r>
      <w:r w:rsidR="00FF7721" w:rsidRPr="006B7EA4">
        <w:rPr>
          <w:caps/>
          <w:sz w:val="20"/>
          <w:szCs w:val="20"/>
          <w:lang w:val="en-US"/>
        </w:rPr>
        <w:t xml:space="preserve">., </w:t>
      </w:r>
      <w:r w:rsidRPr="006B7EA4">
        <w:rPr>
          <w:caps/>
          <w:sz w:val="20"/>
          <w:szCs w:val="20"/>
          <w:lang w:val="en-US"/>
        </w:rPr>
        <w:t>TSVETKOV I</w:t>
      </w:r>
      <w:r w:rsidR="00FF7721" w:rsidRPr="006B7EA4">
        <w:rPr>
          <w:caps/>
          <w:sz w:val="20"/>
          <w:szCs w:val="20"/>
          <w:lang w:val="en-US"/>
        </w:rPr>
        <w:t xml:space="preserve">., </w:t>
      </w:r>
      <w:r w:rsidRPr="006B7EA4">
        <w:rPr>
          <w:caps/>
          <w:sz w:val="20"/>
          <w:szCs w:val="20"/>
          <w:lang w:val="en-US"/>
        </w:rPr>
        <w:t>MARENKOV E., YARKO S</w:t>
      </w:r>
      <w:r w:rsidR="00FF7721" w:rsidRPr="006B7EA4">
        <w:rPr>
          <w:caps/>
          <w:sz w:val="20"/>
          <w:szCs w:val="20"/>
          <w:lang w:val="en-US"/>
        </w:rPr>
        <w:t>.</w:t>
      </w:r>
      <w:r w:rsidR="00FF7721" w:rsidRPr="006B7EA4">
        <w:rPr>
          <w:sz w:val="20"/>
          <w:szCs w:val="20"/>
          <w:lang w:val="en-US"/>
        </w:rPr>
        <w:t xml:space="preserve"> </w:t>
      </w:r>
      <w:r w:rsidRPr="006B7EA4">
        <w:rPr>
          <w:sz w:val="20"/>
          <w:szCs w:val="20"/>
          <w:lang w:val="en-US"/>
        </w:rPr>
        <w:t>Hydrogen Permeability through Metals. Moscow MEPhI, 2008.144 p.</w:t>
      </w:r>
    </w:p>
    <w:p w14:paraId="27ECDE1F" w14:textId="3CB531E0" w:rsidR="00FF7721" w:rsidRPr="006B7EA4" w:rsidRDefault="00604962" w:rsidP="00604962">
      <w:pPr>
        <w:pStyle w:val="Referencelist"/>
        <w:rPr>
          <w:sz w:val="20"/>
          <w:szCs w:val="20"/>
          <w:lang w:val="en-US"/>
        </w:rPr>
      </w:pPr>
      <w:r w:rsidRPr="006B7EA4">
        <w:rPr>
          <w:caps/>
          <w:sz w:val="20"/>
          <w:szCs w:val="20"/>
          <w:lang w:val="en-US"/>
        </w:rPr>
        <w:t>VOLGINA N</w:t>
      </w:r>
      <w:r w:rsidR="00FF7721" w:rsidRPr="006B7EA4">
        <w:rPr>
          <w:caps/>
          <w:sz w:val="20"/>
          <w:szCs w:val="20"/>
          <w:lang w:val="en-US"/>
        </w:rPr>
        <w:t xml:space="preserve">., </w:t>
      </w:r>
      <w:r w:rsidRPr="006B7EA4">
        <w:rPr>
          <w:caps/>
          <w:sz w:val="20"/>
          <w:szCs w:val="20"/>
          <w:lang w:val="en-US"/>
        </w:rPr>
        <w:t>ILIUKHINA M</w:t>
      </w:r>
      <w:r w:rsidR="00FF7721" w:rsidRPr="006B7EA4">
        <w:rPr>
          <w:caps/>
          <w:sz w:val="20"/>
          <w:szCs w:val="20"/>
          <w:lang w:val="en-US"/>
        </w:rPr>
        <w:t xml:space="preserve">., </w:t>
      </w:r>
      <w:r w:rsidRPr="006B7EA4">
        <w:rPr>
          <w:caps/>
          <w:sz w:val="20"/>
          <w:szCs w:val="20"/>
          <w:lang w:val="en-US"/>
        </w:rPr>
        <w:t>KOROLEV M</w:t>
      </w:r>
      <w:r w:rsidR="00FF7721" w:rsidRPr="006B7EA4">
        <w:rPr>
          <w:caps/>
          <w:sz w:val="20"/>
          <w:szCs w:val="20"/>
          <w:lang w:val="en-US"/>
        </w:rPr>
        <w:t>.</w:t>
      </w:r>
      <w:r w:rsidR="00FF7721" w:rsidRPr="006B7EA4">
        <w:rPr>
          <w:sz w:val="20"/>
          <w:szCs w:val="20"/>
          <w:lang w:val="en-US"/>
        </w:rPr>
        <w:t xml:space="preserve">, </w:t>
      </w:r>
      <w:r w:rsidRPr="006B7EA4">
        <w:rPr>
          <w:sz w:val="20"/>
          <w:szCs w:val="20"/>
          <w:lang w:val="en-US"/>
        </w:rPr>
        <w:t xml:space="preserve">The Study of Changes in Physical and Mechanical Properties, Hydrogenation and </w:t>
      </w:r>
      <w:r w:rsidR="004737D8" w:rsidRPr="006B7EA4">
        <w:rPr>
          <w:sz w:val="20"/>
          <w:szCs w:val="20"/>
          <w:lang w:val="en-US"/>
        </w:rPr>
        <w:t>Cracking T</w:t>
      </w:r>
      <w:r w:rsidRPr="006B7EA4">
        <w:rPr>
          <w:sz w:val="20"/>
          <w:szCs w:val="20"/>
          <w:lang w:val="en-US"/>
        </w:rPr>
        <w:t xml:space="preserve">opography of </w:t>
      </w:r>
      <w:r w:rsidR="004737D8" w:rsidRPr="006B7EA4">
        <w:rPr>
          <w:sz w:val="20"/>
          <w:szCs w:val="20"/>
          <w:lang w:val="en-US"/>
        </w:rPr>
        <w:t>S</w:t>
      </w:r>
      <w:r w:rsidRPr="006B7EA4">
        <w:rPr>
          <w:sz w:val="20"/>
          <w:szCs w:val="20"/>
          <w:lang w:val="en-US"/>
        </w:rPr>
        <w:t xml:space="preserve">teel </w:t>
      </w:r>
      <w:r w:rsidR="004737D8" w:rsidRPr="006B7EA4">
        <w:rPr>
          <w:sz w:val="20"/>
          <w:szCs w:val="20"/>
          <w:lang w:val="en-US"/>
        </w:rPr>
        <w:t>in the Process of Retesting the Pipelines with Stress-Corrosion Damage. International Scientific-Practical C</w:t>
      </w:r>
      <w:r w:rsidRPr="006B7EA4">
        <w:rPr>
          <w:sz w:val="20"/>
          <w:szCs w:val="20"/>
          <w:lang w:val="en-US"/>
        </w:rPr>
        <w:t xml:space="preserve">onference on </w:t>
      </w:r>
      <w:r w:rsidR="004737D8" w:rsidRPr="006B7EA4">
        <w:rPr>
          <w:sz w:val="20"/>
          <w:szCs w:val="20"/>
          <w:lang w:val="en-US"/>
        </w:rPr>
        <w:t>Pipeline S</w:t>
      </w:r>
      <w:r w:rsidRPr="006B7EA4">
        <w:rPr>
          <w:sz w:val="20"/>
          <w:szCs w:val="20"/>
          <w:lang w:val="en-US"/>
        </w:rPr>
        <w:t>afety. Moscow 1995. p. 165-179.</w:t>
      </w:r>
    </w:p>
    <w:p w14:paraId="15E273C0" w14:textId="4FA1F41B" w:rsidR="002C29DB" w:rsidRPr="006B7EA4" w:rsidRDefault="004737D8" w:rsidP="004737D8">
      <w:pPr>
        <w:pStyle w:val="Referencelist"/>
        <w:rPr>
          <w:color w:val="FF0000"/>
          <w:sz w:val="20"/>
          <w:szCs w:val="20"/>
          <w:lang w:val="en-US"/>
        </w:rPr>
      </w:pPr>
      <w:r w:rsidRPr="006B7EA4">
        <w:rPr>
          <w:sz w:val="20"/>
          <w:szCs w:val="20"/>
          <w:lang w:val="en-US"/>
        </w:rPr>
        <w:t xml:space="preserve">Physical Materials Science: In </w:t>
      </w:r>
      <w:proofErr w:type="gramStart"/>
      <w:r w:rsidRPr="006B7EA4">
        <w:rPr>
          <w:sz w:val="20"/>
          <w:szCs w:val="20"/>
          <w:lang w:val="en-US"/>
        </w:rPr>
        <w:t>6</w:t>
      </w:r>
      <w:proofErr w:type="gramEnd"/>
      <w:r w:rsidRPr="006B7EA4">
        <w:rPr>
          <w:sz w:val="20"/>
          <w:szCs w:val="20"/>
          <w:lang w:val="en-US"/>
        </w:rPr>
        <w:t xml:space="preserve"> volumes / under general editorship of KALINA B. Moscow MEPhI, 2007.</w:t>
      </w:r>
    </w:p>
    <w:p w14:paraId="1913D767" w14:textId="77777777" w:rsidR="00B8657C" w:rsidRPr="006B7EA4" w:rsidRDefault="00B8657C" w:rsidP="00EC44B0">
      <w:pPr>
        <w:pStyle w:val="Referencelist"/>
        <w:numPr>
          <w:ilvl w:val="0"/>
          <w:numId w:val="0"/>
        </w:numPr>
        <w:spacing w:line="276" w:lineRule="auto"/>
        <w:ind w:left="360"/>
        <w:rPr>
          <w:sz w:val="20"/>
          <w:szCs w:val="20"/>
          <w:lang w:val="en-US"/>
        </w:rPr>
      </w:pPr>
    </w:p>
    <w:sectPr w:rsidR="00B8657C" w:rsidRPr="006B7EA4" w:rsidSect="002652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F3D9C" w14:textId="77777777" w:rsidR="00427AE2" w:rsidRDefault="00427AE2">
      <w:r>
        <w:separator/>
      </w:r>
    </w:p>
  </w:endnote>
  <w:endnote w:type="continuationSeparator" w:id="0">
    <w:p w14:paraId="4389490B" w14:textId="77777777" w:rsidR="00427AE2" w:rsidRDefault="0042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E0C6" w14:textId="77777777" w:rsidR="00916987" w:rsidRDefault="00916987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7" w14:textId="77777777" w:rsidR="00916987" w:rsidRDefault="00916987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E0C8" w14:textId="77777777" w:rsidR="00916987" w:rsidRDefault="00916987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9" w14:textId="38454584" w:rsidR="00916987" w:rsidRPr="00037321" w:rsidRDefault="00916987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21604B">
      <w:rPr>
        <w:rFonts w:ascii="Times New Roman" w:hAnsi="Times New Roman" w:cs="Times New Roman"/>
        <w:noProof/>
        <w:sz w:val="20"/>
      </w:rPr>
      <w:t>1</w:t>
    </w:r>
    <w:r w:rsidRPr="00037321">
      <w:rPr>
        <w:rFonts w:ascii="Times New Roman" w:hAnsi="Times New Roman" w:cs="Times New Roman"/>
        <w:sz w:val="20"/>
      </w:rPr>
      <w:fldChar w:fldCharType="end"/>
    </w: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916987" w14:paraId="433FE0D8" w14:textId="77777777">
      <w:trPr>
        <w:cantSplit/>
      </w:trPr>
      <w:tc>
        <w:tcPr>
          <w:tcW w:w="4644" w:type="dxa"/>
        </w:tcPr>
        <w:p w14:paraId="433FE0D4" w14:textId="77777777" w:rsidR="00916987" w:rsidRDefault="00916987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433FE0D5" w14:textId="77777777" w:rsidR="00916987" w:rsidRDefault="00916987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4" w:name="DOC_bkmClassification2"/>
      <w:tc>
        <w:tcPr>
          <w:tcW w:w="5670" w:type="dxa"/>
          <w:tcMar>
            <w:right w:w="249" w:type="dxa"/>
          </w:tcMar>
        </w:tcPr>
        <w:p w14:paraId="433FE0D6" w14:textId="77777777" w:rsidR="00916987" w:rsidRDefault="00916987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4"/>
        <w:p w14:paraId="433FE0D7" w14:textId="77777777" w:rsidR="00916987" w:rsidRDefault="00916987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5" w:name="DOC_bkmFileName"/>
  <w:p w14:paraId="433FE0D9" w14:textId="77777777" w:rsidR="00916987" w:rsidRDefault="00916987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Доклад_массоперенос водорода</w:t>
    </w:r>
    <w:r>
      <w:rPr>
        <w:sz w:val="16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918DD" w14:textId="77777777" w:rsidR="00427AE2" w:rsidRDefault="00427AE2">
      <w:r>
        <w:t>___________________________________________________________________________</w:t>
      </w:r>
    </w:p>
  </w:footnote>
  <w:footnote w:type="continuationSeparator" w:id="0">
    <w:p w14:paraId="4A8880C5" w14:textId="77777777" w:rsidR="00427AE2" w:rsidRDefault="00427AE2">
      <w:r>
        <w:t>___________________________________________________________________________</w:t>
      </w:r>
    </w:p>
  </w:footnote>
  <w:footnote w:type="continuationNotice" w:id="1">
    <w:p w14:paraId="0DCBFB87" w14:textId="77777777" w:rsidR="00427AE2" w:rsidRDefault="00427A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E0C0" w14:textId="36B8DB54" w:rsidR="00916987" w:rsidRDefault="0021604B" w:rsidP="0021604B">
    <w:pPr>
      <w:pStyle w:val="Runninghead"/>
    </w:pPr>
    <w:r>
      <w:t>FR21: IAEA-CN-291/29</w:t>
    </w:r>
  </w:p>
  <w:p w14:paraId="433FE0C3" w14:textId="6CC2F995" w:rsidR="00916987" w:rsidRPr="0021604B" w:rsidRDefault="0021604B" w:rsidP="0021604B">
    <w:pPr>
      <w:pStyle w:val="zyxClassification2"/>
      <w:ind w:firstLine="0"/>
      <w:jc w:val="center"/>
      <w:rPr>
        <w:b/>
      </w:rPr>
    </w:pPr>
    <w:r w:rsidRPr="0021604B">
      <w:rPr>
        <w:rFonts w:ascii="Times New Roman" w:hAnsi="Times New Roman" w:cs="Times New Roman"/>
        <w:b/>
        <w:szCs w:val="16"/>
      </w:rPr>
      <w:t>CORROSION HYDROGEN MASS TRANSFER IN FAST REACTOR STEAM GENERATORS OF THE SODIUM-WATER TYPE</w:t>
    </w:r>
    <w:r w:rsidR="00916987" w:rsidRPr="0021604B">
      <w:rPr>
        <w:b/>
      </w:rPr>
      <w:fldChar w:fldCharType="begin"/>
    </w:r>
    <w:r w:rsidR="00916987" w:rsidRPr="0021604B">
      <w:rPr>
        <w:b/>
      </w:rPr>
      <w:instrText>DOCPROPERTY "IaeaClassification2"  \* MERGEFORMAT</w:instrText>
    </w:r>
    <w:r w:rsidR="00916987" w:rsidRPr="0021604B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E0C5" w14:textId="3C35A326" w:rsidR="00916987" w:rsidRPr="0021604B" w:rsidRDefault="0021604B" w:rsidP="00037321">
    <w:pPr>
      <w:jc w:val="center"/>
      <w:rPr>
        <w:sz w:val="16"/>
        <w:szCs w:val="16"/>
      </w:rPr>
    </w:pPr>
    <w:r w:rsidRPr="0021604B">
      <w:rPr>
        <w:b/>
        <w:sz w:val="16"/>
        <w:szCs w:val="16"/>
      </w:rPr>
      <w:t xml:space="preserve">V.B. SMYKOV </w:t>
    </w:r>
    <w:r w:rsidR="00916987" w:rsidRPr="0021604B">
      <w:rPr>
        <w:b/>
        <w:sz w:val="16"/>
        <w:szCs w:val="16"/>
      </w:rPr>
      <w:t>et al.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916987" w14:paraId="433FE0CE" w14:textId="77777777">
      <w:trPr>
        <w:cantSplit/>
        <w:trHeight w:val="716"/>
      </w:trPr>
      <w:tc>
        <w:tcPr>
          <w:tcW w:w="979" w:type="dxa"/>
          <w:vMerge w:val="restart"/>
        </w:tcPr>
        <w:p w14:paraId="433FE0CA" w14:textId="77777777" w:rsidR="00916987" w:rsidRDefault="00916987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433FE0CB" w14:textId="77777777" w:rsidR="00916987" w:rsidRDefault="00916987">
          <w:pPr>
            <w:spacing w:after="20"/>
          </w:pPr>
        </w:p>
      </w:tc>
      <w:bookmarkStart w:id="3" w:name="DOC_bkmClassification1"/>
      <w:tc>
        <w:tcPr>
          <w:tcW w:w="5702" w:type="dxa"/>
          <w:vMerge w:val="restart"/>
          <w:tcMar>
            <w:right w:w="193" w:type="dxa"/>
          </w:tcMar>
        </w:tcPr>
        <w:p w14:paraId="433FE0CC" w14:textId="77777777" w:rsidR="00916987" w:rsidRDefault="00916987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433FE0CD" w14:textId="77777777" w:rsidR="00916987" w:rsidRDefault="00916987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916987" w14:paraId="433FE0D2" w14:textId="77777777">
      <w:trPr>
        <w:cantSplit/>
        <w:trHeight w:val="167"/>
      </w:trPr>
      <w:tc>
        <w:tcPr>
          <w:tcW w:w="979" w:type="dxa"/>
          <w:vMerge/>
        </w:tcPr>
        <w:p w14:paraId="433FE0CF" w14:textId="77777777" w:rsidR="00916987" w:rsidRDefault="00916987">
          <w:pPr>
            <w:spacing w:before="57"/>
          </w:pPr>
        </w:p>
      </w:tc>
      <w:tc>
        <w:tcPr>
          <w:tcW w:w="3638" w:type="dxa"/>
          <w:vAlign w:val="bottom"/>
        </w:tcPr>
        <w:p w14:paraId="433FE0D0" w14:textId="77777777" w:rsidR="00916987" w:rsidRDefault="00916987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14:paraId="433FE0D1" w14:textId="77777777" w:rsidR="00916987" w:rsidRDefault="00916987">
          <w:pPr>
            <w:pStyle w:val="9"/>
            <w:spacing w:before="0" w:after="10"/>
          </w:pPr>
        </w:p>
      </w:tc>
    </w:tr>
  </w:tbl>
  <w:p w14:paraId="433FE0D3" w14:textId="77777777" w:rsidR="00916987" w:rsidRDefault="009169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4F44"/>
    <w:multiLevelType w:val="hybridMultilevel"/>
    <w:tmpl w:val="7BD0417A"/>
    <w:lvl w:ilvl="0" w:tplc="C4DE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21C5D6E"/>
    <w:multiLevelType w:val="hybridMultilevel"/>
    <w:tmpl w:val="25CA06B8"/>
    <w:lvl w:ilvl="0" w:tplc="0FFC7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78AE"/>
    <w:multiLevelType w:val="hybridMultilevel"/>
    <w:tmpl w:val="309C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D18048A"/>
    <w:multiLevelType w:val="hybridMultilevel"/>
    <w:tmpl w:val="DECA9544"/>
    <w:name w:val="HeadingTemplate222"/>
    <w:lvl w:ilvl="0" w:tplc="E4F42BDE">
      <w:start w:val="1"/>
      <w:numFmt w:val="decimal"/>
      <w:pStyle w:val="Referencelist"/>
      <w:lvlText w:val="[%1]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3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1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3"/>
  </w:num>
  <w:num w:numId="12">
    <w:abstractNumId w:val="13"/>
  </w:num>
  <w:num w:numId="13">
    <w:abstractNumId w:val="13"/>
  </w:num>
  <w:num w:numId="14">
    <w:abstractNumId w:val="1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3"/>
  </w:num>
  <w:num w:numId="22">
    <w:abstractNumId w:val="5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9"/>
  </w:num>
  <w:num w:numId="31">
    <w:abstractNumId w:val="9"/>
  </w:num>
  <w:num w:numId="32">
    <w:abstractNumId w:val="13"/>
  </w:num>
  <w:num w:numId="33">
    <w:abstractNumId w:val="0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229AB"/>
    <w:rsid w:val="0002569A"/>
    <w:rsid w:val="00037321"/>
    <w:rsid w:val="0004446D"/>
    <w:rsid w:val="0005243A"/>
    <w:rsid w:val="00061981"/>
    <w:rsid w:val="000678AF"/>
    <w:rsid w:val="00081D20"/>
    <w:rsid w:val="00093A64"/>
    <w:rsid w:val="00094EDC"/>
    <w:rsid w:val="000A0299"/>
    <w:rsid w:val="000A2990"/>
    <w:rsid w:val="000C29B8"/>
    <w:rsid w:val="000C4332"/>
    <w:rsid w:val="000C4C89"/>
    <w:rsid w:val="000E3487"/>
    <w:rsid w:val="000E3668"/>
    <w:rsid w:val="000F7E94"/>
    <w:rsid w:val="001119D6"/>
    <w:rsid w:val="001308F2"/>
    <w:rsid w:val="001313E8"/>
    <w:rsid w:val="0014083E"/>
    <w:rsid w:val="00153BCE"/>
    <w:rsid w:val="00161AEE"/>
    <w:rsid w:val="00161F86"/>
    <w:rsid w:val="00183BC4"/>
    <w:rsid w:val="00191987"/>
    <w:rsid w:val="001B4F20"/>
    <w:rsid w:val="001C58F5"/>
    <w:rsid w:val="001D5CEE"/>
    <w:rsid w:val="00200498"/>
    <w:rsid w:val="002071D9"/>
    <w:rsid w:val="0021604B"/>
    <w:rsid w:val="00220741"/>
    <w:rsid w:val="00256822"/>
    <w:rsid w:val="002636DB"/>
    <w:rsid w:val="00264A26"/>
    <w:rsid w:val="0026525A"/>
    <w:rsid w:val="00270E33"/>
    <w:rsid w:val="00274790"/>
    <w:rsid w:val="002837D1"/>
    <w:rsid w:val="00285755"/>
    <w:rsid w:val="002A1F9C"/>
    <w:rsid w:val="002B29C2"/>
    <w:rsid w:val="002C29DB"/>
    <w:rsid w:val="002C4208"/>
    <w:rsid w:val="002F4C90"/>
    <w:rsid w:val="00300A1F"/>
    <w:rsid w:val="00306B26"/>
    <w:rsid w:val="003329C5"/>
    <w:rsid w:val="00333987"/>
    <w:rsid w:val="003345F8"/>
    <w:rsid w:val="00352DE1"/>
    <w:rsid w:val="003728E6"/>
    <w:rsid w:val="00377F40"/>
    <w:rsid w:val="00383534"/>
    <w:rsid w:val="003954DC"/>
    <w:rsid w:val="00397389"/>
    <w:rsid w:val="003B339F"/>
    <w:rsid w:val="003B5E0E"/>
    <w:rsid w:val="003C5819"/>
    <w:rsid w:val="003D255A"/>
    <w:rsid w:val="0040742F"/>
    <w:rsid w:val="004078CB"/>
    <w:rsid w:val="00416949"/>
    <w:rsid w:val="00420190"/>
    <w:rsid w:val="004223AC"/>
    <w:rsid w:val="00422A48"/>
    <w:rsid w:val="00427AE2"/>
    <w:rsid w:val="00430D6F"/>
    <w:rsid w:val="004370D8"/>
    <w:rsid w:val="004425F3"/>
    <w:rsid w:val="00467A3E"/>
    <w:rsid w:val="00472C43"/>
    <w:rsid w:val="004737D8"/>
    <w:rsid w:val="00483EF6"/>
    <w:rsid w:val="004A50D4"/>
    <w:rsid w:val="004A64EA"/>
    <w:rsid w:val="004C3A67"/>
    <w:rsid w:val="004D46E0"/>
    <w:rsid w:val="004F74C2"/>
    <w:rsid w:val="00530DCA"/>
    <w:rsid w:val="00537496"/>
    <w:rsid w:val="00544ED3"/>
    <w:rsid w:val="005509E1"/>
    <w:rsid w:val="00555421"/>
    <w:rsid w:val="00564D55"/>
    <w:rsid w:val="0058462B"/>
    <w:rsid w:val="0058477B"/>
    <w:rsid w:val="0058654F"/>
    <w:rsid w:val="00596ACA"/>
    <w:rsid w:val="005D4766"/>
    <w:rsid w:val="005D64C5"/>
    <w:rsid w:val="005E0652"/>
    <w:rsid w:val="005E39BC"/>
    <w:rsid w:val="005F00A0"/>
    <w:rsid w:val="005F76D9"/>
    <w:rsid w:val="0060028A"/>
    <w:rsid w:val="00604962"/>
    <w:rsid w:val="00617B36"/>
    <w:rsid w:val="00617D24"/>
    <w:rsid w:val="0063101B"/>
    <w:rsid w:val="0064717F"/>
    <w:rsid w:val="00647F33"/>
    <w:rsid w:val="006501FE"/>
    <w:rsid w:val="00662532"/>
    <w:rsid w:val="00663664"/>
    <w:rsid w:val="006763C7"/>
    <w:rsid w:val="00691C5D"/>
    <w:rsid w:val="006A1BA3"/>
    <w:rsid w:val="006A25F3"/>
    <w:rsid w:val="006A6E0E"/>
    <w:rsid w:val="006B2274"/>
    <w:rsid w:val="006B610D"/>
    <w:rsid w:val="006B7EA4"/>
    <w:rsid w:val="006C6963"/>
    <w:rsid w:val="006D32F5"/>
    <w:rsid w:val="006D51BE"/>
    <w:rsid w:val="00703F11"/>
    <w:rsid w:val="00717C6F"/>
    <w:rsid w:val="00724F92"/>
    <w:rsid w:val="00725DD6"/>
    <w:rsid w:val="007445DA"/>
    <w:rsid w:val="0074668F"/>
    <w:rsid w:val="007874B3"/>
    <w:rsid w:val="00792265"/>
    <w:rsid w:val="007B098A"/>
    <w:rsid w:val="007B4FD1"/>
    <w:rsid w:val="007E0991"/>
    <w:rsid w:val="007E3FDD"/>
    <w:rsid w:val="00802381"/>
    <w:rsid w:val="0083096A"/>
    <w:rsid w:val="008403F7"/>
    <w:rsid w:val="00840C8E"/>
    <w:rsid w:val="00846046"/>
    <w:rsid w:val="00865557"/>
    <w:rsid w:val="0086759F"/>
    <w:rsid w:val="00871F40"/>
    <w:rsid w:val="00872839"/>
    <w:rsid w:val="00882A47"/>
    <w:rsid w:val="00883848"/>
    <w:rsid w:val="00897ED5"/>
    <w:rsid w:val="008B5737"/>
    <w:rsid w:val="008B6BB9"/>
    <w:rsid w:val="008D307F"/>
    <w:rsid w:val="008F26FC"/>
    <w:rsid w:val="009101E0"/>
    <w:rsid w:val="00911543"/>
    <w:rsid w:val="00914A6C"/>
    <w:rsid w:val="00916987"/>
    <w:rsid w:val="00927271"/>
    <w:rsid w:val="009307A9"/>
    <w:rsid w:val="009519C9"/>
    <w:rsid w:val="00967608"/>
    <w:rsid w:val="00973E21"/>
    <w:rsid w:val="00994B57"/>
    <w:rsid w:val="009C6378"/>
    <w:rsid w:val="009D0B86"/>
    <w:rsid w:val="009E0D5B"/>
    <w:rsid w:val="009E1558"/>
    <w:rsid w:val="009F74E2"/>
    <w:rsid w:val="00A233D1"/>
    <w:rsid w:val="00A237C5"/>
    <w:rsid w:val="00A25664"/>
    <w:rsid w:val="00A35C91"/>
    <w:rsid w:val="00A42898"/>
    <w:rsid w:val="00A509FF"/>
    <w:rsid w:val="00A57919"/>
    <w:rsid w:val="00A716C8"/>
    <w:rsid w:val="00A8365B"/>
    <w:rsid w:val="00A95256"/>
    <w:rsid w:val="00AA6D45"/>
    <w:rsid w:val="00AB23D6"/>
    <w:rsid w:val="00AB6ACE"/>
    <w:rsid w:val="00AC097B"/>
    <w:rsid w:val="00AC5A3A"/>
    <w:rsid w:val="00AD5103"/>
    <w:rsid w:val="00B2468F"/>
    <w:rsid w:val="00B3030E"/>
    <w:rsid w:val="00B3589D"/>
    <w:rsid w:val="00B604BE"/>
    <w:rsid w:val="00B64646"/>
    <w:rsid w:val="00B65AB5"/>
    <w:rsid w:val="00B673B1"/>
    <w:rsid w:val="00B77DDC"/>
    <w:rsid w:val="00B82FA5"/>
    <w:rsid w:val="00B8657C"/>
    <w:rsid w:val="00B87DCB"/>
    <w:rsid w:val="00B920BE"/>
    <w:rsid w:val="00B9362B"/>
    <w:rsid w:val="00BB7445"/>
    <w:rsid w:val="00BC4733"/>
    <w:rsid w:val="00BC543C"/>
    <w:rsid w:val="00BD1400"/>
    <w:rsid w:val="00BD605C"/>
    <w:rsid w:val="00BE2A76"/>
    <w:rsid w:val="00C10D7A"/>
    <w:rsid w:val="00C1299D"/>
    <w:rsid w:val="00C15618"/>
    <w:rsid w:val="00C25D35"/>
    <w:rsid w:val="00C32FD2"/>
    <w:rsid w:val="00C37098"/>
    <w:rsid w:val="00C37E90"/>
    <w:rsid w:val="00C40168"/>
    <w:rsid w:val="00C404FE"/>
    <w:rsid w:val="00C42C6D"/>
    <w:rsid w:val="00C5475B"/>
    <w:rsid w:val="00C56AD9"/>
    <w:rsid w:val="00C65E60"/>
    <w:rsid w:val="00C831CC"/>
    <w:rsid w:val="00C84F9D"/>
    <w:rsid w:val="00C94D6D"/>
    <w:rsid w:val="00C95B85"/>
    <w:rsid w:val="00CA0102"/>
    <w:rsid w:val="00CC4FF1"/>
    <w:rsid w:val="00CE2C3A"/>
    <w:rsid w:val="00CE5A52"/>
    <w:rsid w:val="00CE7BFC"/>
    <w:rsid w:val="00CF1240"/>
    <w:rsid w:val="00CF1FC4"/>
    <w:rsid w:val="00CF7AF3"/>
    <w:rsid w:val="00D26ADA"/>
    <w:rsid w:val="00D35A78"/>
    <w:rsid w:val="00D366F9"/>
    <w:rsid w:val="00D415AF"/>
    <w:rsid w:val="00D53005"/>
    <w:rsid w:val="00D53A36"/>
    <w:rsid w:val="00D555A1"/>
    <w:rsid w:val="00D64DC2"/>
    <w:rsid w:val="00D72C78"/>
    <w:rsid w:val="00D744C6"/>
    <w:rsid w:val="00D91866"/>
    <w:rsid w:val="00DA46CA"/>
    <w:rsid w:val="00DB2DC9"/>
    <w:rsid w:val="00DD3DAB"/>
    <w:rsid w:val="00DF21EB"/>
    <w:rsid w:val="00DF5D0A"/>
    <w:rsid w:val="00E20E70"/>
    <w:rsid w:val="00E25B68"/>
    <w:rsid w:val="00E415A2"/>
    <w:rsid w:val="00E451F9"/>
    <w:rsid w:val="00E66C69"/>
    <w:rsid w:val="00E67D37"/>
    <w:rsid w:val="00E71CBC"/>
    <w:rsid w:val="00E722EE"/>
    <w:rsid w:val="00E84003"/>
    <w:rsid w:val="00E86B6D"/>
    <w:rsid w:val="00E87D43"/>
    <w:rsid w:val="00EA17C7"/>
    <w:rsid w:val="00EA1A61"/>
    <w:rsid w:val="00EB3D64"/>
    <w:rsid w:val="00EC10FC"/>
    <w:rsid w:val="00EC44B0"/>
    <w:rsid w:val="00EC5922"/>
    <w:rsid w:val="00EC7E04"/>
    <w:rsid w:val="00ED0A99"/>
    <w:rsid w:val="00ED502F"/>
    <w:rsid w:val="00EE0041"/>
    <w:rsid w:val="00EE29B9"/>
    <w:rsid w:val="00EE3BFA"/>
    <w:rsid w:val="00EF6EBF"/>
    <w:rsid w:val="00F004EE"/>
    <w:rsid w:val="00F3520F"/>
    <w:rsid w:val="00F417CD"/>
    <w:rsid w:val="00F42E23"/>
    <w:rsid w:val="00F45EEE"/>
    <w:rsid w:val="00F51E9C"/>
    <w:rsid w:val="00F523CA"/>
    <w:rsid w:val="00F56FA7"/>
    <w:rsid w:val="00F74095"/>
    <w:rsid w:val="00F74A9D"/>
    <w:rsid w:val="00F8098E"/>
    <w:rsid w:val="00F85063"/>
    <w:rsid w:val="00F94AD4"/>
    <w:rsid w:val="00F95D5B"/>
    <w:rsid w:val="00FD3ADD"/>
    <w:rsid w:val="00FE0303"/>
    <w:rsid w:val="00FF386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FE039"/>
  <w15:docId w15:val="{EDF393A1-0209-4E3C-B855-DD978EF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1">
    <w:lsdException w:name="Normal" w:locked="0"/>
    <w:lsdException w:name="heading 1" w:locked="0" w:uiPriority="0" w:qFormat="1"/>
    <w:lsdException w:name="heading 2" w:locked="0" w:uiPriority="4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">
    <w:name w:val="heading 1"/>
    <w:aliases w:val="Paper title"/>
    <w:next w:val="a0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">
    <w:name w:val="heading 2"/>
    <w:aliases w:val="1st level paper heading"/>
    <w:next w:val="a1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">
    <w:name w:val="heading 3"/>
    <w:aliases w:val="2nd level paper heading"/>
    <w:next w:val="a1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4">
    <w:name w:val="heading 4"/>
    <w:aliases w:val="3rd level paper heading"/>
    <w:basedOn w:val="a"/>
    <w:next w:val="a1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">
    <w:name w:val="heading 5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link w:val="a5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6">
    <w:name w:val="Body Text Indent"/>
    <w:basedOn w:val="a1"/>
    <w:uiPriority w:val="49"/>
    <w:locked/>
    <w:pPr>
      <w:ind w:left="1134" w:hanging="675"/>
    </w:pPr>
  </w:style>
  <w:style w:type="paragraph" w:customStyle="1" w:styleId="BodyTextMultiline">
    <w:name w:val="Body Text Multiline"/>
    <w:basedOn w:val="a1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7">
    <w:name w:val="caption"/>
    <w:next w:val="a"/>
    <w:uiPriority w:val="49"/>
    <w:pPr>
      <w:spacing w:after="85"/>
    </w:pPr>
    <w:rPr>
      <w:bCs/>
      <w:sz w:val="18"/>
      <w:lang w:val="en-US" w:eastAsia="en-US"/>
    </w:rPr>
  </w:style>
  <w:style w:type="paragraph" w:styleId="a8">
    <w:name w:val="footer"/>
    <w:basedOn w:val="a"/>
    <w:link w:val="a9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b">
    <w:name w:val="header"/>
    <w:next w:val="a1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1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a1"/>
    <w:uiPriority w:val="5"/>
    <w:qFormat/>
    <w:locked/>
    <w:rsid w:val="00717C6F"/>
    <w:pPr>
      <w:numPr>
        <w:numId w:val="22"/>
      </w:numPr>
    </w:pPr>
  </w:style>
  <w:style w:type="paragraph" w:styleId="ac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d">
    <w:name w:val="footnote reference"/>
    <w:basedOn w:val="a2"/>
    <w:semiHidden/>
    <w:locked/>
    <w:rPr>
      <w:vertAlign w:val="superscript"/>
    </w:rPr>
  </w:style>
  <w:style w:type="paragraph" w:styleId="a0">
    <w:name w:val="Subtitle"/>
    <w:next w:val="a1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1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8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9">
    <w:name w:val="Нижний колонтитул Знак"/>
    <w:basedOn w:val="a2"/>
    <w:link w:val="a8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2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5">
    <w:name w:val="Основной текст Знак"/>
    <w:basedOn w:val="a2"/>
    <w:link w:val="a1"/>
    <w:rsid w:val="00647F33"/>
    <w:rPr>
      <w:lang w:eastAsia="en-US"/>
    </w:rPr>
  </w:style>
  <w:style w:type="character" w:customStyle="1" w:styleId="AuthornameandaffiliationChar">
    <w:name w:val="Author name and affiliation Char"/>
    <w:basedOn w:val="a5"/>
    <w:link w:val="Authornameandaffiliation"/>
    <w:uiPriority w:val="49"/>
    <w:rsid w:val="00647F33"/>
    <w:rPr>
      <w:lang w:val="en-US" w:eastAsia="en-US"/>
    </w:rPr>
  </w:style>
  <w:style w:type="table" w:styleId="ae">
    <w:name w:val="Table Grid"/>
    <w:basedOn w:val="a3"/>
    <w:uiPriority w:val="39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">
    <w:name w:val="Balloon Text"/>
    <w:basedOn w:val="a"/>
    <w:link w:val="af0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1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1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5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1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5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5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1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5"/>
    <w:link w:val="Tabletext"/>
    <w:uiPriority w:val="49"/>
    <w:rsid w:val="00883848"/>
    <w:rPr>
      <w:lang w:eastAsia="en-US"/>
    </w:rPr>
  </w:style>
  <w:style w:type="paragraph" w:styleId="af1">
    <w:name w:val="Normal (Web)"/>
    <w:basedOn w:val="a"/>
    <w:uiPriority w:val="49"/>
    <w:semiHidden/>
    <w:unhideWhenUsed/>
    <w:locked/>
    <w:rsid w:val="002C29DB"/>
    <w:rPr>
      <w:sz w:val="24"/>
      <w:szCs w:val="24"/>
    </w:rPr>
  </w:style>
  <w:style w:type="paragraph" w:customStyle="1" w:styleId="FIG-LONG">
    <w:name w:val="FIG-LONG"/>
    <w:basedOn w:val="a"/>
    <w:next w:val="a"/>
    <w:link w:val="FIG-LONGChar"/>
    <w:autoRedefine/>
    <w:qFormat/>
    <w:rsid w:val="002C29DB"/>
    <w:pPr>
      <w:tabs>
        <w:tab w:val="left" w:pos="709"/>
      </w:tabs>
      <w:overflowPunct/>
      <w:autoSpaceDE/>
      <w:autoSpaceDN/>
      <w:adjustRightInd/>
      <w:spacing w:after="120"/>
      <w:ind w:left="709" w:hanging="709"/>
      <w:textAlignment w:val="auto"/>
    </w:pPr>
    <w:rPr>
      <w:rFonts w:eastAsiaTheme="minorEastAsia"/>
      <w:i/>
      <w:iCs/>
      <w:sz w:val="18"/>
      <w:szCs w:val="18"/>
    </w:rPr>
  </w:style>
  <w:style w:type="character" w:customStyle="1" w:styleId="FIG-LONGChar">
    <w:name w:val="FIG-LONG Char"/>
    <w:basedOn w:val="a2"/>
    <w:link w:val="FIG-LONG"/>
    <w:rsid w:val="002C29DB"/>
    <w:rPr>
      <w:rFonts w:eastAsiaTheme="minorEastAsia"/>
      <w:i/>
      <w:iCs/>
      <w:sz w:val="18"/>
      <w:szCs w:val="18"/>
      <w:lang w:eastAsia="en-US"/>
    </w:rPr>
  </w:style>
  <w:style w:type="table" w:customStyle="1" w:styleId="TableGrid1">
    <w:name w:val="Table Grid1"/>
    <w:basedOn w:val="a3"/>
    <w:next w:val="ae"/>
    <w:uiPriority w:val="59"/>
    <w:rsid w:val="002C29DB"/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2"/>
    <w:uiPriority w:val="49"/>
    <w:semiHidden/>
    <w:unhideWhenUsed/>
    <w:locked/>
    <w:rsid w:val="00A233D1"/>
    <w:rPr>
      <w:sz w:val="16"/>
      <w:szCs w:val="16"/>
    </w:rPr>
  </w:style>
  <w:style w:type="paragraph" w:styleId="af3">
    <w:name w:val="annotation text"/>
    <w:basedOn w:val="a"/>
    <w:link w:val="af4"/>
    <w:uiPriority w:val="49"/>
    <w:semiHidden/>
    <w:unhideWhenUsed/>
    <w:locked/>
    <w:rsid w:val="00A233D1"/>
    <w:rPr>
      <w:sz w:val="20"/>
    </w:rPr>
  </w:style>
  <w:style w:type="character" w:customStyle="1" w:styleId="af4">
    <w:name w:val="Текст примечания Знак"/>
    <w:basedOn w:val="a2"/>
    <w:link w:val="af3"/>
    <w:uiPriority w:val="49"/>
    <w:semiHidden/>
    <w:rsid w:val="00A233D1"/>
    <w:rPr>
      <w:lang w:eastAsia="en-US"/>
    </w:rPr>
  </w:style>
  <w:style w:type="paragraph" w:styleId="af5">
    <w:name w:val="annotation subject"/>
    <w:basedOn w:val="af3"/>
    <w:next w:val="af3"/>
    <w:link w:val="af6"/>
    <w:uiPriority w:val="49"/>
    <w:semiHidden/>
    <w:unhideWhenUsed/>
    <w:locked/>
    <w:rsid w:val="00A233D1"/>
    <w:rPr>
      <w:b/>
      <w:bCs/>
    </w:rPr>
  </w:style>
  <w:style w:type="character" w:customStyle="1" w:styleId="af6">
    <w:name w:val="Тема примечания Знак"/>
    <w:basedOn w:val="af4"/>
    <w:link w:val="af5"/>
    <w:uiPriority w:val="49"/>
    <w:semiHidden/>
    <w:rsid w:val="00A233D1"/>
    <w:rPr>
      <w:b/>
      <w:bCs/>
      <w:lang w:eastAsia="en-US"/>
    </w:rPr>
  </w:style>
  <w:style w:type="paragraph" w:customStyle="1" w:styleId="Standard">
    <w:name w:val="Standard"/>
    <w:rsid w:val="006C6963"/>
    <w:pPr>
      <w:suppressAutoHyphens/>
      <w:autoSpaceDN w:val="0"/>
      <w:textAlignment w:val="baseline"/>
    </w:pPr>
    <w:rPr>
      <w:kern w:val="3"/>
      <w:sz w:val="24"/>
      <w:szCs w:val="24"/>
      <w:lang w:val="ru-RU" w:eastAsia="ru-RU"/>
    </w:rPr>
  </w:style>
  <w:style w:type="paragraph" w:styleId="af7">
    <w:name w:val="List Paragraph"/>
    <w:basedOn w:val="a"/>
    <w:uiPriority w:val="34"/>
    <w:qFormat/>
    <w:locked/>
    <w:rsid w:val="00A509F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 w:eastAsia="ru-RU"/>
    </w:rPr>
  </w:style>
  <w:style w:type="character" w:styleId="af8">
    <w:name w:val="Hyperlink"/>
    <w:basedOn w:val="a2"/>
    <w:uiPriority w:val="49"/>
    <w:unhideWhenUsed/>
    <w:locked/>
    <w:rsid w:val="00C37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ykov@ippe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DD521E3D1649B00AC0EC7F7B3842" ma:contentTypeVersion="10" ma:contentTypeDescription="Create a new document." ma:contentTypeScope="" ma:versionID="94b0f74c38da0e5bbc807271e51129ee">
  <xsd:schema xmlns:xsd="http://www.w3.org/2001/XMLSchema" xmlns:xs="http://www.w3.org/2001/XMLSchema" xmlns:p="http://schemas.microsoft.com/office/2006/metadata/properties" xmlns:ns3="62d4e713-4844-4419-ae48-2c18eef7e846" targetNamespace="http://schemas.microsoft.com/office/2006/metadata/properties" ma:root="true" ma:fieldsID="c1153f7212141daa7c6b5de910ecfe95" ns3:_="">
    <xsd:import namespace="62d4e713-4844-4419-ae48-2c18eef7e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e713-4844-4419-ae48-2c18eef7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EC95F-5C71-4726-AD32-B59CE1A9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4e713-4844-4419-ae48-2c18eef7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C4EB34-33B6-4859-BDF1-0AE192AA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1088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subject/>
  <dc:creator>Gemma Anna Ruffino</dc:creator>
  <cp:keywords/>
  <dc:description/>
  <cp:lastModifiedBy>Смыков В.Б.</cp:lastModifiedBy>
  <cp:revision>38</cp:revision>
  <cp:lastPrinted>2021-01-19T12:27:00Z</cp:lastPrinted>
  <dcterms:created xsi:type="dcterms:W3CDTF">2021-02-16T15:04:00Z</dcterms:created>
  <dcterms:modified xsi:type="dcterms:W3CDTF">2021-04-23T09:27:00Z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0x0101008838DD521E3D1649B00AC0EC7F7B3842</vt:lpwstr>
  </property>
  <property fmtid="{D5CDD505-2E9C-101B-9397-08002B2CF9AE}" pid="12" name="_dlc_DocIdItemGuid">
    <vt:lpwstr>624d8e63-e3f6-4681-83c2-57c583c02431</vt:lpwstr>
  </property>
</Properties>
</file>