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6FB46" w14:textId="77777777" w:rsidR="005A5DFE" w:rsidRDefault="00716603" w:rsidP="00537496">
      <w:pPr>
        <w:pStyle w:val="1"/>
      </w:pPr>
      <w:bookmarkStart w:id="0" w:name="_Hlk69130178"/>
      <w:r w:rsidRPr="00716603">
        <w:t xml:space="preserve">NEXT GENERATION NUCLEAR POWER: </w:t>
      </w:r>
    </w:p>
    <w:p w14:paraId="11F7FF1E" w14:textId="77777777" w:rsidR="005A5DFE" w:rsidRDefault="00716603" w:rsidP="00537496">
      <w:pPr>
        <w:pStyle w:val="1"/>
      </w:pPr>
      <w:r w:rsidRPr="00716603">
        <w:t>RADIOLOGICAL</w:t>
      </w:r>
      <w:r w:rsidR="005A5DFE">
        <w:t xml:space="preserve"> </w:t>
      </w:r>
      <w:r w:rsidRPr="00716603">
        <w:t xml:space="preserve">SUSTAINABILITY AND </w:t>
      </w:r>
    </w:p>
    <w:p w14:paraId="46473943" w14:textId="7EF1813D" w:rsidR="00716603" w:rsidRDefault="00716603" w:rsidP="005A5DFE">
      <w:pPr>
        <w:pStyle w:val="1"/>
        <w:spacing w:after="100" w:afterAutospacing="1"/>
      </w:pPr>
      <w:r w:rsidRPr="00716603">
        <w:t>ECOLOGICAL ADVANTAGES</w:t>
      </w:r>
    </w:p>
    <w:p w14:paraId="433FE040" w14:textId="1AB98E4D" w:rsidR="003B5E0E" w:rsidRDefault="005A5DFE" w:rsidP="00537496">
      <w:pPr>
        <w:pStyle w:val="Authornameandaffiliation"/>
      </w:pPr>
      <w:proofErr w:type="spellStart"/>
      <w:r>
        <w:t>V</w:t>
      </w:r>
      <w:r w:rsidR="00FF386F" w:rsidRPr="00FF386F">
        <w:t>.</w:t>
      </w:r>
      <w:r>
        <w:t>K</w:t>
      </w:r>
      <w:proofErr w:type="spellEnd"/>
      <w:r w:rsidR="00537496">
        <w:t>.</w:t>
      </w:r>
      <w:r w:rsidR="00FF386F" w:rsidRPr="00FF386F">
        <w:t xml:space="preserve"> </w:t>
      </w:r>
      <w:r>
        <w:t>IVANOV</w:t>
      </w:r>
    </w:p>
    <w:p w14:paraId="6E037BA7" w14:textId="449DFA69" w:rsidR="005A5DFE" w:rsidRPr="005A5DFE" w:rsidRDefault="005A5DFE" w:rsidP="005A5DFE">
      <w:pPr>
        <w:pStyle w:val="Authornameandaffiliation"/>
      </w:pPr>
      <w:proofErr w:type="spellStart"/>
      <w:r w:rsidRPr="005A5DFE">
        <w:t>JSC</w:t>
      </w:r>
      <w:proofErr w:type="spellEnd"/>
      <w:r w:rsidRPr="005A5DFE">
        <w:t xml:space="preserve"> </w:t>
      </w:r>
      <w:r w:rsidR="00981A5A">
        <w:t>“</w:t>
      </w:r>
      <w:proofErr w:type="spellStart"/>
      <w:r w:rsidRPr="005A5DFE">
        <w:t>Proryv</w:t>
      </w:r>
      <w:proofErr w:type="spellEnd"/>
      <w:r w:rsidRPr="005A5DFE">
        <w:t>” (Breakthrough)</w:t>
      </w:r>
    </w:p>
    <w:p w14:paraId="433FE042" w14:textId="77E6CF73" w:rsidR="00FF386F" w:rsidRDefault="005A5DFE" w:rsidP="00537496">
      <w:pPr>
        <w:pStyle w:val="Authornameandaffiliation"/>
      </w:pPr>
      <w:r w:rsidRPr="005A5DFE">
        <w:t>Moscow, Russia</w:t>
      </w:r>
      <w:r>
        <w:t>n Federation</w:t>
      </w:r>
    </w:p>
    <w:p w14:paraId="433FE043" w14:textId="20E398C6" w:rsidR="00FF386F" w:rsidRDefault="00FF386F" w:rsidP="00537496">
      <w:pPr>
        <w:pStyle w:val="Authornameandaffiliation"/>
      </w:pPr>
      <w:r>
        <w:t xml:space="preserve">Email: </w:t>
      </w:r>
      <w:r w:rsidR="005A5DFE" w:rsidRPr="005A5DFE">
        <w:t>ivk@proryv2020.ru</w:t>
      </w:r>
    </w:p>
    <w:p w14:paraId="433FE044" w14:textId="77777777" w:rsidR="00FF386F" w:rsidRDefault="00FF386F" w:rsidP="00537496">
      <w:pPr>
        <w:pStyle w:val="Authornameandaffiliation"/>
      </w:pPr>
    </w:p>
    <w:p w14:paraId="433FE045" w14:textId="22EE0D07" w:rsidR="00FF386F" w:rsidRPr="00FF386F" w:rsidRDefault="005A5DFE" w:rsidP="00537496">
      <w:pPr>
        <w:pStyle w:val="Authornameandaffiliation"/>
      </w:pPr>
      <w:proofErr w:type="spellStart"/>
      <w:r w:rsidRPr="005A5DFE">
        <w:t>E.O</w:t>
      </w:r>
      <w:proofErr w:type="spellEnd"/>
      <w:r w:rsidRPr="005A5DFE">
        <w:t>.</w:t>
      </w:r>
      <w:r>
        <w:t xml:space="preserve"> </w:t>
      </w:r>
      <w:proofErr w:type="spellStart"/>
      <w:r w:rsidRPr="005A5DFE">
        <w:t>A</w:t>
      </w:r>
      <w:r>
        <w:t>DAMOV</w:t>
      </w:r>
      <w:proofErr w:type="spellEnd"/>
    </w:p>
    <w:p w14:paraId="433FE046" w14:textId="7A1E6B5F" w:rsidR="00FF386F" w:rsidRPr="00FF386F" w:rsidRDefault="005A5DFE" w:rsidP="00537496">
      <w:pPr>
        <w:pStyle w:val="Authornameandaffiliation"/>
      </w:pPr>
      <w:proofErr w:type="spellStart"/>
      <w:r w:rsidRPr="005A5DFE">
        <w:t>JSC</w:t>
      </w:r>
      <w:proofErr w:type="spellEnd"/>
      <w:r w:rsidRPr="005A5DFE">
        <w:t xml:space="preserve"> </w:t>
      </w:r>
      <w:r w:rsidR="00981A5A">
        <w:t>“</w:t>
      </w:r>
      <w:proofErr w:type="spellStart"/>
      <w:r w:rsidRPr="005A5DFE">
        <w:t>Proryv</w:t>
      </w:r>
      <w:proofErr w:type="spellEnd"/>
      <w:r w:rsidRPr="005A5DFE">
        <w:t>” (Breakthrough)</w:t>
      </w:r>
    </w:p>
    <w:p w14:paraId="2FD26E7D" w14:textId="77777777" w:rsidR="005A5DFE" w:rsidRDefault="005A5DFE" w:rsidP="005A5DFE">
      <w:pPr>
        <w:pStyle w:val="Authornameandaffiliation"/>
      </w:pPr>
      <w:r w:rsidRPr="005A5DFE">
        <w:t>Moscow, Russia</w:t>
      </w:r>
      <w:r>
        <w:t>n Federation</w:t>
      </w:r>
    </w:p>
    <w:p w14:paraId="433FE048" w14:textId="1EA60D3A" w:rsidR="00FF386F" w:rsidRDefault="00FF386F" w:rsidP="00537496">
      <w:pPr>
        <w:pStyle w:val="Authornameandaffiliation"/>
      </w:pPr>
    </w:p>
    <w:p w14:paraId="59E0E7D1" w14:textId="5618B7D9" w:rsidR="007F4E38" w:rsidRDefault="007F4E38" w:rsidP="005A5DFE">
      <w:pPr>
        <w:pStyle w:val="Authornameandaffiliation"/>
      </w:pPr>
      <w:r w:rsidRPr="007F4E38">
        <w:t>A.V.</w:t>
      </w:r>
      <w:r>
        <w:t xml:space="preserve"> </w:t>
      </w:r>
      <w:proofErr w:type="spellStart"/>
      <w:r w:rsidRPr="007F4E38">
        <w:t>LOPATKIN</w:t>
      </w:r>
      <w:proofErr w:type="spellEnd"/>
    </w:p>
    <w:p w14:paraId="287A4BB9" w14:textId="77777777" w:rsidR="007F4E38" w:rsidRPr="00FF386F" w:rsidRDefault="007F4E38" w:rsidP="007F4E38">
      <w:pPr>
        <w:pStyle w:val="Authornameandaffiliation"/>
      </w:pPr>
      <w:proofErr w:type="spellStart"/>
      <w:r w:rsidRPr="005A5DFE">
        <w:t>JSC</w:t>
      </w:r>
      <w:proofErr w:type="spellEnd"/>
      <w:r w:rsidRPr="005A5DFE">
        <w:t xml:space="preserve"> </w:t>
      </w:r>
      <w:r>
        <w:t>“</w:t>
      </w:r>
      <w:proofErr w:type="spellStart"/>
      <w:r w:rsidRPr="005A5DFE">
        <w:t>Proryv</w:t>
      </w:r>
      <w:proofErr w:type="spellEnd"/>
      <w:r w:rsidRPr="005A5DFE">
        <w:t>” (Breakthrough)</w:t>
      </w:r>
    </w:p>
    <w:p w14:paraId="76B7B3C6" w14:textId="77777777" w:rsidR="007F4E38" w:rsidRDefault="007F4E38" w:rsidP="007F4E38">
      <w:pPr>
        <w:pStyle w:val="Authornameandaffiliation"/>
      </w:pPr>
      <w:r w:rsidRPr="005A5DFE">
        <w:t>Moscow, Russia</w:t>
      </w:r>
      <w:r>
        <w:t>n Federation</w:t>
      </w:r>
    </w:p>
    <w:p w14:paraId="7D4AF3C9" w14:textId="77777777" w:rsidR="007F4E38" w:rsidRDefault="007F4E38" w:rsidP="005A5DFE">
      <w:pPr>
        <w:pStyle w:val="Authornameandaffiliation"/>
      </w:pPr>
    </w:p>
    <w:p w14:paraId="41AF422C" w14:textId="242A13EB" w:rsidR="005A5DFE" w:rsidRPr="00FF386F" w:rsidRDefault="005A5DFE" w:rsidP="005A5DFE">
      <w:pPr>
        <w:pStyle w:val="Authornameandaffiliation"/>
      </w:pPr>
      <w:proofErr w:type="spellStart"/>
      <w:r w:rsidRPr="005A5DFE">
        <w:t>E.V</w:t>
      </w:r>
      <w:proofErr w:type="spellEnd"/>
      <w:r w:rsidRPr="005A5DFE">
        <w:t>.</w:t>
      </w:r>
      <w:r>
        <w:t xml:space="preserve"> </w:t>
      </w:r>
      <w:proofErr w:type="spellStart"/>
      <w:r w:rsidRPr="005A5DFE">
        <w:t>S</w:t>
      </w:r>
      <w:r w:rsidRPr="005A5DFE">
        <w:t>PIRIN</w:t>
      </w:r>
      <w:proofErr w:type="spellEnd"/>
    </w:p>
    <w:p w14:paraId="7B8A6CB8" w14:textId="55644D93" w:rsidR="005A5DFE" w:rsidRPr="00FF386F" w:rsidRDefault="005A5DFE" w:rsidP="005A5DFE">
      <w:pPr>
        <w:pStyle w:val="Authornameandaffiliation"/>
      </w:pPr>
      <w:proofErr w:type="spellStart"/>
      <w:r w:rsidRPr="005A5DFE">
        <w:t>JSC</w:t>
      </w:r>
      <w:proofErr w:type="spellEnd"/>
      <w:r w:rsidRPr="005A5DFE">
        <w:t xml:space="preserve"> </w:t>
      </w:r>
      <w:r w:rsidR="00981A5A">
        <w:t>“</w:t>
      </w:r>
      <w:proofErr w:type="spellStart"/>
      <w:r w:rsidRPr="005A5DFE">
        <w:t>Proryv</w:t>
      </w:r>
      <w:proofErr w:type="spellEnd"/>
      <w:r w:rsidRPr="005A5DFE">
        <w:t>” (Breakthrough)</w:t>
      </w:r>
    </w:p>
    <w:p w14:paraId="0879CDC7" w14:textId="77777777" w:rsidR="005A5DFE" w:rsidRDefault="005A5DFE" w:rsidP="005A5DFE">
      <w:pPr>
        <w:pStyle w:val="Authornameandaffiliation"/>
      </w:pPr>
      <w:r w:rsidRPr="005A5DFE">
        <w:t>Moscow, Russia</w:t>
      </w:r>
      <w:r>
        <w:t>n Federation</w:t>
      </w:r>
    </w:p>
    <w:p w14:paraId="43D7F361" w14:textId="77777777" w:rsidR="005A5DFE" w:rsidRDefault="005A5DFE" w:rsidP="005A5DFE">
      <w:pPr>
        <w:pStyle w:val="Authornameandaffiliation"/>
      </w:pPr>
    </w:p>
    <w:p w14:paraId="63562C9B" w14:textId="3ADF2034" w:rsidR="005A5DFE" w:rsidRDefault="005A5DFE" w:rsidP="00537496">
      <w:pPr>
        <w:pStyle w:val="Authornameandaffiliation"/>
      </w:pPr>
      <w:proofErr w:type="spellStart"/>
      <w:r w:rsidRPr="005A5DFE">
        <w:t>V.M</w:t>
      </w:r>
      <w:proofErr w:type="spellEnd"/>
      <w:r w:rsidRPr="005A5DFE">
        <w:t xml:space="preserve">. </w:t>
      </w:r>
      <w:proofErr w:type="spellStart"/>
      <w:r w:rsidRPr="005A5DFE">
        <w:t>S</w:t>
      </w:r>
      <w:r w:rsidRPr="005A5DFE">
        <w:t>OLOMATIN</w:t>
      </w:r>
      <w:proofErr w:type="spellEnd"/>
    </w:p>
    <w:p w14:paraId="3033C6F8" w14:textId="75571F79" w:rsidR="005A5DFE" w:rsidRPr="00FF386F" w:rsidRDefault="005A5DFE" w:rsidP="005A5DFE">
      <w:pPr>
        <w:pStyle w:val="Authornameandaffiliation"/>
      </w:pPr>
      <w:proofErr w:type="spellStart"/>
      <w:r w:rsidRPr="005A5DFE">
        <w:t>JSC</w:t>
      </w:r>
      <w:proofErr w:type="spellEnd"/>
      <w:r w:rsidRPr="005A5DFE">
        <w:t xml:space="preserve"> </w:t>
      </w:r>
      <w:r w:rsidR="00981A5A">
        <w:t>“</w:t>
      </w:r>
      <w:proofErr w:type="spellStart"/>
      <w:r w:rsidRPr="005A5DFE">
        <w:t>Proryv</w:t>
      </w:r>
      <w:proofErr w:type="spellEnd"/>
      <w:r w:rsidRPr="005A5DFE">
        <w:t>” (Breakthrough)</w:t>
      </w:r>
    </w:p>
    <w:p w14:paraId="4D64E08D" w14:textId="77777777" w:rsidR="005A5DFE" w:rsidRDefault="005A5DFE" w:rsidP="005A5DFE">
      <w:pPr>
        <w:pStyle w:val="Authornameandaffiliation"/>
      </w:pPr>
      <w:r w:rsidRPr="005A5DFE">
        <w:t>Moscow, Russia</w:t>
      </w:r>
      <w:r>
        <w:t>n Federation</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118C8E4B" w14:textId="5916293F" w:rsidR="006D5C96" w:rsidRPr="006D5C96" w:rsidRDefault="006D5C96" w:rsidP="006D5C96">
      <w:pPr>
        <w:pStyle w:val="Abstracttext"/>
        <w:rPr>
          <w:szCs w:val="18"/>
        </w:rPr>
      </w:pPr>
      <w:r w:rsidRPr="006D5C96">
        <w:rPr>
          <w:szCs w:val="18"/>
        </w:rPr>
        <w:t>Currently the large-scale nuclear power system, based on the two-component technology platform, is developed in Russia in the frames of the scenario of the sustainable development of Russia’s nuclear power in the 21</w:t>
      </w:r>
      <w:r w:rsidRPr="00FF70CC">
        <w:rPr>
          <w:szCs w:val="18"/>
        </w:rPr>
        <w:t>st</w:t>
      </w:r>
      <w:r w:rsidRPr="006D5C96">
        <w:rPr>
          <w:szCs w:val="18"/>
        </w:rPr>
        <w:t xml:space="preserve"> century. The technology implies the spent fuel to be safe to human health if radiotoxic effects of the fuel and natural uranium raw material to be equivalent. We present modeling-based study of the development of Russia’s nuclear energy in the 21</w:t>
      </w:r>
      <w:r w:rsidRPr="00FF70CC">
        <w:rPr>
          <w:szCs w:val="18"/>
        </w:rPr>
        <w:t>st</w:t>
      </w:r>
      <w:r w:rsidRPr="006D5C96">
        <w:rPr>
          <w:szCs w:val="18"/>
        </w:rPr>
        <w:t xml:space="preserve"> century from the year 2100. According to the scenario Russian nuclear energy of the 21</w:t>
      </w:r>
      <w:r w:rsidRPr="00FF70CC">
        <w:rPr>
          <w:szCs w:val="18"/>
        </w:rPr>
        <w:t>st</w:t>
      </w:r>
      <w:r w:rsidRPr="006D5C96">
        <w:rPr>
          <w:szCs w:val="18"/>
        </w:rPr>
        <w:t xml:space="preserve"> century is based on simultaneous operation of fast (FR) and thermal reactors (TR) until depletion of 5.42</w:t>
      </w:r>
      <w:r>
        <w:rPr>
          <w:szCs w:val="18"/>
        </w:rPr>
        <w:sym w:font="Symbol" w:char="F0B4"/>
      </w:r>
      <w:r w:rsidRPr="006D5C96">
        <w:rPr>
          <w:szCs w:val="18"/>
        </w:rPr>
        <w:t>10</w:t>
      </w:r>
      <w:r w:rsidRPr="006D5C96">
        <w:rPr>
          <w:szCs w:val="18"/>
          <w:vertAlign w:val="superscript"/>
        </w:rPr>
        <w:t>5</w:t>
      </w:r>
      <w:r w:rsidRPr="006D5C96">
        <w:rPr>
          <w:szCs w:val="18"/>
        </w:rPr>
        <w:t xml:space="preserve"> </w:t>
      </w:r>
      <w:r w:rsidRPr="006D5C96">
        <w:rPr>
          <w:szCs w:val="18"/>
        </w:rPr>
        <w:t xml:space="preserve">tons of natural uranium; for the period of the reactors </w:t>
      </w:r>
      <w:r w:rsidRPr="00AE738E">
        <w:rPr>
          <w:szCs w:val="18"/>
        </w:rPr>
        <w:t>exploitation 7.52</w:t>
      </w:r>
      <w:r w:rsidRPr="00AE738E">
        <w:rPr>
          <w:szCs w:val="18"/>
        </w:rPr>
        <w:sym w:font="Symbol" w:char="F0B4"/>
      </w:r>
      <w:r w:rsidRPr="00AE738E">
        <w:rPr>
          <w:szCs w:val="18"/>
        </w:rPr>
        <w:t>10</w:t>
      </w:r>
      <w:r w:rsidRPr="00AE738E">
        <w:rPr>
          <w:szCs w:val="18"/>
          <w:vertAlign w:val="superscript"/>
        </w:rPr>
        <w:t>3</w:t>
      </w:r>
      <w:r w:rsidRPr="00AE738E">
        <w:rPr>
          <w:szCs w:val="18"/>
        </w:rPr>
        <w:t xml:space="preserve"> </w:t>
      </w:r>
      <w:r w:rsidRPr="00AE738E">
        <w:rPr>
          <w:szCs w:val="18"/>
        </w:rPr>
        <w:t xml:space="preserve">tons </w:t>
      </w:r>
      <w:r w:rsidRPr="006D5C96">
        <w:rPr>
          <w:szCs w:val="18"/>
        </w:rPr>
        <w:t>of long-lived radioactive waste (</w:t>
      </w:r>
      <w:proofErr w:type="spellStart"/>
      <w:r w:rsidRPr="006D5C96">
        <w:rPr>
          <w:szCs w:val="18"/>
        </w:rPr>
        <w:t>RW</w:t>
      </w:r>
      <w:proofErr w:type="spellEnd"/>
      <w:r w:rsidRPr="006D5C96">
        <w:rPr>
          <w:szCs w:val="18"/>
        </w:rPr>
        <w:t xml:space="preserve">) will be produced. With the account of ratio of natural uranium mass to </w:t>
      </w:r>
      <w:proofErr w:type="spellStart"/>
      <w:r w:rsidRPr="006D5C96">
        <w:rPr>
          <w:szCs w:val="18"/>
        </w:rPr>
        <w:t>RW</w:t>
      </w:r>
      <w:proofErr w:type="spellEnd"/>
      <w:r w:rsidRPr="006D5C96">
        <w:rPr>
          <w:szCs w:val="18"/>
        </w:rPr>
        <w:t xml:space="preserve"> mass the equivalence of committed effective doses to the public from the natural uranium and </w:t>
      </w:r>
      <w:proofErr w:type="spellStart"/>
      <w:r w:rsidRPr="006D5C96">
        <w:rPr>
          <w:szCs w:val="18"/>
        </w:rPr>
        <w:t>RW</w:t>
      </w:r>
      <w:proofErr w:type="spellEnd"/>
      <w:r w:rsidRPr="006D5C96">
        <w:rPr>
          <w:szCs w:val="18"/>
        </w:rPr>
        <w:t xml:space="preserve"> (radiation equivalence) will be achieved in 287 years. After ending </w:t>
      </w:r>
      <w:proofErr w:type="spellStart"/>
      <w:r w:rsidRPr="006D5C96">
        <w:rPr>
          <w:szCs w:val="18"/>
        </w:rPr>
        <w:t>RW</w:t>
      </w:r>
      <w:proofErr w:type="spellEnd"/>
      <w:r w:rsidRPr="006D5C96">
        <w:rPr>
          <w:szCs w:val="18"/>
        </w:rPr>
        <w:t xml:space="preserve"> generation, radiation-associated lifetime attributable risks (LAR) will be equivalent (radiological equivalence) in 99 years after ending </w:t>
      </w:r>
      <w:proofErr w:type="spellStart"/>
      <w:r w:rsidRPr="006D5C96">
        <w:rPr>
          <w:szCs w:val="18"/>
        </w:rPr>
        <w:t>RW</w:t>
      </w:r>
      <w:proofErr w:type="spellEnd"/>
      <w:r w:rsidRPr="006D5C96">
        <w:rPr>
          <w:szCs w:val="18"/>
        </w:rPr>
        <w:t xml:space="preserve"> generation. If the time of </w:t>
      </w:r>
      <w:proofErr w:type="spellStart"/>
      <w:r w:rsidRPr="006D5C96">
        <w:rPr>
          <w:szCs w:val="18"/>
        </w:rPr>
        <w:t>RW</w:t>
      </w:r>
      <w:proofErr w:type="spellEnd"/>
      <w:r w:rsidRPr="006D5C96">
        <w:rPr>
          <w:szCs w:val="18"/>
        </w:rPr>
        <w:t xml:space="preserve"> storage is longer than 100</w:t>
      </w:r>
      <w:r>
        <w:rPr>
          <w:szCs w:val="18"/>
        </w:rPr>
        <w:t>–</w:t>
      </w:r>
      <w:r w:rsidRPr="006D5C96">
        <w:rPr>
          <w:szCs w:val="18"/>
        </w:rPr>
        <w:t xml:space="preserve">150 years </w:t>
      </w:r>
      <w:r w:rsidRPr="006D5C96">
        <w:rPr>
          <w:szCs w:val="18"/>
          <w:vertAlign w:val="superscript"/>
        </w:rPr>
        <w:t>241</w:t>
      </w:r>
      <w:r w:rsidRPr="006D5C96">
        <w:rPr>
          <w:szCs w:val="18"/>
        </w:rPr>
        <w:t xml:space="preserve">Am becomes the dominating contributor to radiation dose and radiation risk. The share of all americium radioisotopes in the </w:t>
      </w:r>
      <w:proofErr w:type="spellStart"/>
      <w:r w:rsidRPr="006D5C96">
        <w:rPr>
          <w:szCs w:val="18"/>
        </w:rPr>
        <w:t>RW</w:t>
      </w:r>
      <w:proofErr w:type="spellEnd"/>
      <w:r w:rsidRPr="006D5C96">
        <w:rPr>
          <w:szCs w:val="18"/>
        </w:rPr>
        <w:t xml:space="preserve"> mass is 0.23%. If the Am fraction in the waste mass increases by 10 times, radiation equivalence will not be achieved even after 1000-year storage, while radiological equivalence will be achieved after 414 years, that is 315 years more than needed to achieve radiological equivalence for the </w:t>
      </w:r>
      <w:proofErr w:type="spellStart"/>
      <w:r w:rsidRPr="006D5C96">
        <w:rPr>
          <w:szCs w:val="18"/>
        </w:rPr>
        <w:t>RW</w:t>
      </w:r>
      <w:proofErr w:type="spellEnd"/>
      <w:r w:rsidRPr="006D5C96">
        <w:rPr>
          <w:szCs w:val="18"/>
        </w:rPr>
        <w:t xml:space="preserve"> of unmodified composition, 99 years. So, sepa</w:t>
      </w:r>
      <w:r w:rsidRPr="006D5C96">
        <w:rPr>
          <w:szCs w:val="18"/>
        </w:rPr>
        <w:softHyphen/>
        <w:t xml:space="preserve">ration of americium from </w:t>
      </w:r>
      <w:proofErr w:type="spellStart"/>
      <w:r w:rsidRPr="006D5C96">
        <w:rPr>
          <w:szCs w:val="18"/>
        </w:rPr>
        <w:t>RW</w:t>
      </w:r>
      <w:proofErr w:type="spellEnd"/>
      <w:r w:rsidRPr="006D5C96">
        <w:rPr>
          <w:szCs w:val="18"/>
        </w:rPr>
        <w:t xml:space="preserve"> will result in the reduction of the time of radiological and radiation equivalence achievement. Radiological equivalence principle may be used to justify substantial reduction of the </w:t>
      </w:r>
      <w:proofErr w:type="spellStart"/>
      <w:r w:rsidRPr="006D5C96">
        <w:rPr>
          <w:szCs w:val="18"/>
        </w:rPr>
        <w:t>RW</w:t>
      </w:r>
      <w:proofErr w:type="spellEnd"/>
      <w:r w:rsidRPr="006D5C96">
        <w:rPr>
          <w:szCs w:val="18"/>
        </w:rPr>
        <w:t xml:space="preserve"> storage time. If nuclear energy system is based on thermal reactors only, radiological equivalence may be achieved after more than 20,000 years of </w:t>
      </w:r>
      <w:proofErr w:type="spellStart"/>
      <w:r w:rsidRPr="006D5C96">
        <w:rPr>
          <w:szCs w:val="18"/>
        </w:rPr>
        <w:t>RW</w:t>
      </w:r>
      <w:proofErr w:type="spellEnd"/>
      <w:r w:rsidRPr="006D5C96">
        <w:rPr>
          <w:szCs w:val="18"/>
        </w:rPr>
        <w:t xml:space="preserve"> storage.</w:t>
      </w:r>
    </w:p>
    <w:p w14:paraId="433FE04C" w14:textId="77777777" w:rsidR="00647F33" w:rsidRDefault="00F523CA" w:rsidP="00537496">
      <w:pPr>
        <w:pStyle w:val="2"/>
        <w:numPr>
          <w:ilvl w:val="1"/>
          <w:numId w:val="10"/>
        </w:numPr>
      </w:pPr>
      <w:r>
        <w:t>INTRODUCTION</w:t>
      </w:r>
    </w:p>
    <w:p w14:paraId="01E62D7E" w14:textId="77777777" w:rsidR="006D5C96" w:rsidRPr="006D5C96" w:rsidRDefault="006D5C96" w:rsidP="006D5C96">
      <w:pPr>
        <w:pStyle w:val="a1"/>
        <w:rPr>
          <w:lang w:val="en-US"/>
        </w:rPr>
      </w:pPr>
      <w:r w:rsidRPr="006D5C96">
        <w:t>Nuclear</w:t>
      </w:r>
      <w:r w:rsidRPr="006D5C96">
        <w:rPr>
          <w:lang w:val="en-US"/>
        </w:rPr>
        <w:t xml:space="preserve"> power is an environmentally friendly technology and does not contribute to air pollution. Despite advantages of nuclear power, among them the highest energy density of all practical fuel sources and high efficiency of energy production, there are challenges and risks associated with irradiated nuclear fuel management and the need to ensure high level nuclear and radiation safety. The technology refinement requires significant investment.</w:t>
      </w:r>
    </w:p>
    <w:p w14:paraId="766BEC99" w14:textId="06497213" w:rsidR="006D5C96" w:rsidRPr="006D5C96" w:rsidRDefault="006D5C96" w:rsidP="006D5C96">
      <w:pPr>
        <w:spacing w:line="276" w:lineRule="auto"/>
        <w:ind w:firstLine="567"/>
        <w:jc w:val="both"/>
        <w:outlineLvl w:val="0"/>
        <w:rPr>
          <w:sz w:val="20"/>
          <w:lang w:val="en-US"/>
        </w:rPr>
      </w:pPr>
      <w:r w:rsidRPr="006D5C96">
        <w:rPr>
          <w:sz w:val="20"/>
          <w:lang w:val="en-US"/>
        </w:rPr>
        <w:t xml:space="preserve">However, it is possible to speed the nuclear power development with advanced, </w:t>
      </w:r>
      <w:r w:rsidRPr="006D5C96">
        <w:rPr>
          <w:sz w:val="20"/>
          <w:shd w:val="clear" w:color="auto" w:fill="FFFFFF"/>
          <w:lang w:val="en-US"/>
        </w:rPr>
        <w:t xml:space="preserve">environmentally sustainable, </w:t>
      </w:r>
      <w:r w:rsidRPr="006D5C96">
        <w:rPr>
          <w:sz w:val="20"/>
          <w:lang w:val="en-US"/>
        </w:rPr>
        <w:t xml:space="preserve">ecologically balanced, </w:t>
      </w:r>
      <w:r w:rsidRPr="006D5C96">
        <w:rPr>
          <w:sz w:val="20"/>
          <w:shd w:val="clear" w:color="auto" w:fill="FFFFFF"/>
          <w:lang w:val="en-US"/>
        </w:rPr>
        <w:t xml:space="preserve">socially acceptable, and cost-effective technology </w:t>
      </w:r>
      <w:r w:rsidRPr="006D5C96">
        <w:rPr>
          <w:sz w:val="20"/>
          <w:lang w:val="en-US"/>
        </w:rPr>
        <w:t>and the improved approach to all stages of management of radioactive waste (</w:t>
      </w:r>
      <w:proofErr w:type="spellStart"/>
      <w:r w:rsidRPr="006D5C96">
        <w:rPr>
          <w:sz w:val="20"/>
          <w:lang w:val="en-US"/>
        </w:rPr>
        <w:t>RW</w:t>
      </w:r>
      <w:proofErr w:type="spellEnd"/>
      <w:r w:rsidRPr="006D5C96">
        <w:rPr>
          <w:sz w:val="20"/>
          <w:lang w:val="en-US"/>
        </w:rPr>
        <w:t xml:space="preserve">) that poses </w:t>
      </w:r>
      <w:r w:rsidRPr="006D5C96">
        <w:rPr>
          <w:sz w:val="20"/>
          <w:shd w:val="clear" w:color="auto" w:fill="FFFFFF"/>
          <w:lang w:val="en-US"/>
        </w:rPr>
        <w:t xml:space="preserve">potential danger to the public health and the </w:t>
      </w:r>
      <w:r w:rsidRPr="006D5C96">
        <w:rPr>
          <w:sz w:val="20"/>
          <w:shd w:val="clear" w:color="auto" w:fill="FFFFFF"/>
          <w:lang w:val="en-US"/>
        </w:rPr>
        <w:lastRenderedPageBreak/>
        <w:t xml:space="preserve">environment development. This work will </w:t>
      </w:r>
      <w:r w:rsidRPr="006D5C96">
        <w:rPr>
          <w:sz w:val="20"/>
          <w:lang w:val="en-US"/>
        </w:rPr>
        <w:t>result in the creating the program of refinement of the Russia’s nuclear power system. Recently the closed nuclear fuel cycle-based technology with simultaneous operation of thermal and fast reactors has been developed in Russia. Application of this approach makes it possible to use plutonium</w:t>
      </w:r>
      <w:r>
        <w:rPr>
          <w:sz w:val="20"/>
          <w:lang w:val="en-US"/>
        </w:rPr>
        <w:t xml:space="preserve"> </w:t>
      </w:r>
      <w:r w:rsidRPr="006D5C96">
        <w:rPr>
          <w:sz w:val="20"/>
          <w:lang w:val="en-US"/>
        </w:rPr>
        <w:t xml:space="preserve">as the fuel for fast reactors and reduce the </w:t>
      </w:r>
      <w:bookmarkStart w:id="1" w:name="_Hlk50710307"/>
      <w:r w:rsidRPr="006D5C96">
        <w:rPr>
          <w:sz w:val="20"/>
          <w:lang w:val="en-US"/>
        </w:rPr>
        <w:t>potential hazardous effects of high-level radioactive waste</w:t>
      </w:r>
      <w:bookmarkEnd w:id="1"/>
      <w:r w:rsidRPr="006D5C96">
        <w:rPr>
          <w:sz w:val="20"/>
          <w:lang w:val="en-US"/>
        </w:rPr>
        <w:t xml:space="preserve"> (</w:t>
      </w:r>
      <w:proofErr w:type="spellStart"/>
      <w:r w:rsidRPr="006D5C96">
        <w:rPr>
          <w:sz w:val="20"/>
          <w:lang w:val="en-US"/>
        </w:rPr>
        <w:t>HLW</w:t>
      </w:r>
      <w:proofErr w:type="spellEnd"/>
      <w:r w:rsidRPr="006D5C96">
        <w:rPr>
          <w:sz w:val="20"/>
          <w:lang w:val="en-US"/>
        </w:rPr>
        <w:t>) on human health and environmental development. The technology implies the spent fuel to be safe to human health provided that radiotoxic effect of the fuel is equivalent to the effect of natural uranium raw material.</w:t>
      </w:r>
    </w:p>
    <w:p w14:paraId="2560A1C5" w14:textId="77777777" w:rsidR="006D5C96" w:rsidRPr="006D5C96" w:rsidRDefault="006D5C96" w:rsidP="006D5C96">
      <w:pPr>
        <w:pStyle w:val="a1"/>
        <w:rPr>
          <w:lang w:val="en-US"/>
        </w:rPr>
      </w:pPr>
      <w:r w:rsidRPr="006D5C96">
        <w:t>Potential</w:t>
      </w:r>
      <w:r w:rsidRPr="006D5C96">
        <w:rPr>
          <w:lang w:val="en-US"/>
        </w:rPr>
        <w:t xml:space="preserve"> risk from radionuclides intake may be evaluated as committed effective dose or as lifetime attributable risks (LAR) of cancer associated with internal radiation. Our purpose is to determine, how much time would be needed to achieve the equivalence of potential radiotoxic effects of </w:t>
      </w:r>
      <w:proofErr w:type="spellStart"/>
      <w:r w:rsidRPr="006D5C96">
        <w:rPr>
          <w:lang w:val="en-US"/>
        </w:rPr>
        <w:t>HLW</w:t>
      </w:r>
      <w:proofErr w:type="spellEnd"/>
      <w:r w:rsidRPr="006D5C96">
        <w:rPr>
          <w:lang w:val="en-US"/>
        </w:rPr>
        <w:t xml:space="preserve"> and natural uranium. There are two ways to do this. The first option is to evaluate the time interval from the ending generation of </w:t>
      </w:r>
      <w:proofErr w:type="spellStart"/>
      <w:r w:rsidRPr="006D5C96">
        <w:rPr>
          <w:lang w:val="en-US"/>
        </w:rPr>
        <w:t>RW</w:t>
      </w:r>
      <w:proofErr w:type="spellEnd"/>
      <w:r w:rsidRPr="006D5C96">
        <w:rPr>
          <w:lang w:val="en-US"/>
        </w:rPr>
        <w:t xml:space="preserve"> in the year 2100 to the time of radiation equivalence achievement, i.e. the equivalence of committed effective doses from </w:t>
      </w:r>
      <w:proofErr w:type="spellStart"/>
      <w:r w:rsidRPr="006D5C96">
        <w:rPr>
          <w:lang w:val="en-US"/>
        </w:rPr>
        <w:t>HLW</w:t>
      </w:r>
      <w:proofErr w:type="spellEnd"/>
      <w:r w:rsidRPr="006D5C96">
        <w:rPr>
          <w:lang w:val="en-US"/>
        </w:rPr>
        <w:t xml:space="preserve"> and natural uranium [1]. The second option is to determine the time interval from ending generation of </w:t>
      </w:r>
      <w:proofErr w:type="spellStart"/>
      <w:r w:rsidRPr="006D5C96">
        <w:rPr>
          <w:lang w:val="en-US"/>
        </w:rPr>
        <w:t>RW</w:t>
      </w:r>
      <w:proofErr w:type="spellEnd"/>
      <w:r w:rsidRPr="006D5C96">
        <w:rPr>
          <w:lang w:val="en-US"/>
        </w:rPr>
        <w:t xml:space="preserve"> to the time of </w:t>
      </w:r>
      <w:r w:rsidRPr="006D5C96">
        <w:rPr>
          <w:iCs/>
          <w:lang w:val="en-US"/>
        </w:rPr>
        <w:t>radiological equivalence</w:t>
      </w:r>
      <w:r w:rsidRPr="006D5C96">
        <w:rPr>
          <w:lang w:val="en-US"/>
        </w:rPr>
        <w:t xml:space="preserve"> achievement, i.e. the equivalence of LAR associated with intake of radionuclides contained in </w:t>
      </w:r>
      <w:proofErr w:type="spellStart"/>
      <w:r w:rsidRPr="006D5C96">
        <w:rPr>
          <w:lang w:val="en-US"/>
        </w:rPr>
        <w:t>HLW</w:t>
      </w:r>
      <w:proofErr w:type="spellEnd"/>
      <w:r w:rsidRPr="006D5C96">
        <w:rPr>
          <w:lang w:val="en-US"/>
        </w:rPr>
        <w:t xml:space="preserve"> and natural uranium.</w:t>
      </w:r>
    </w:p>
    <w:p w14:paraId="072ADA9C" w14:textId="1BE3F233" w:rsidR="006D5C96" w:rsidRPr="006D5C96" w:rsidRDefault="006D5C96" w:rsidP="006D5C96">
      <w:pPr>
        <w:pStyle w:val="a1"/>
        <w:rPr>
          <w:lang w:val="en-US"/>
        </w:rPr>
      </w:pPr>
      <w:r w:rsidRPr="006D5C96">
        <w:rPr>
          <w:lang w:val="en-US"/>
        </w:rPr>
        <w:t xml:space="preserve">To </w:t>
      </w:r>
      <w:r w:rsidRPr="006D5C96">
        <w:t>design</w:t>
      </w:r>
      <w:r w:rsidRPr="006D5C96">
        <w:rPr>
          <w:lang w:val="en-US"/>
        </w:rPr>
        <w:t xml:space="preserve"> the program of Russia’s nuclear power system development in the 21</w:t>
      </w:r>
      <w:r w:rsidRPr="00FF70CC">
        <w:rPr>
          <w:lang w:val="en-US"/>
        </w:rPr>
        <w:t xml:space="preserve">st </w:t>
      </w:r>
      <w:r w:rsidRPr="006D5C96">
        <w:rPr>
          <w:lang w:val="en-US"/>
        </w:rPr>
        <w:t xml:space="preserve">century, Scenario of Sustainable Development of the nuclear power in the next century was designed. Scenario-based simulation approach was used in the study [2]. The model source data are: ending </w:t>
      </w:r>
      <w:proofErr w:type="spellStart"/>
      <w:r w:rsidRPr="006D5C96">
        <w:rPr>
          <w:lang w:val="en-US"/>
        </w:rPr>
        <w:t>RW</w:t>
      </w:r>
      <w:proofErr w:type="spellEnd"/>
      <w:r w:rsidRPr="006D5C96">
        <w:rPr>
          <w:lang w:val="en-US"/>
        </w:rPr>
        <w:t xml:space="preserve"> production up to 2100; calculated uranium resources for nuclear fuel is 5.42</w:t>
      </w:r>
      <w:r w:rsidR="00A00189">
        <w:rPr>
          <w:lang w:val="en-US"/>
        </w:rPr>
        <w:sym w:font="Symbol" w:char="F0B4"/>
      </w:r>
      <w:r w:rsidRPr="006D5C96">
        <w:rPr>
          <w:lang w:val="en-US"/>
        </w:rPr>
        <w:t>10</w:t>
      </w:r>
      <w:r w:rsidRPr="006D5C96">
        <w:rPr>
          <w:vertAlign w:val="superscript"/>
          <w:lang w:val="en-US"/>
        </w:rPr>
        <w:t>5</w:t>
      </w:r>
      <w:r w:rsidR="00A00189" w:rsidRPr="00A00189">
        <w:rPr>
          <w:lang w:val="en-US"/>
        </w:rPr>
        <w:t xml:space="preserve"> </w:t>
      </w:r>
      <w:r w:rsidRPr="006D5C96">
        <w:rPr>
          <w:lang w:val="en-US"/>
        </w:rPr>
        <w:t xml:space="preserve">tons, the amount of </w:t>
      </w:r>
      <w:bookmarkStart w:id="2" w:name="_Hlk51015503"/>
      <w:proofErr w:type="spellStart"/>
      <w:r w:rsidRPr="006D5C96">
        <w:rPr>
          <w:lang w:val="en-US"/>
        </w:rPr>
        <w:t>HLW</w:t>
      </w:r>
      <w:proofErr w:type="spellEnd"/>
      <w:r w:rsidRPr="006D5C96">
        <w:rPr>
          <w:lang w:val="en-US"/>
        </w:rPr>
        <w:t xml:space="preserve">, that will be accumulated before 2100 </w:t>
      </w:r>
      <w:bookmarkEnd w:id="2"/>
      <w:r w:rsidRPr="006D5C96">
        <w:rPr>
          <w:lang w:val="en-US"/>
        </w:rPr>
        <w:t xml:space="preserve">– </w:t>
      </w:r>
      <w:r w:rsidRPr="00AE738E">
        <w:rPr>
          <w:lang w:val="en-US"/>
        </w:rPr>
        <w:t>7.52</w:t>
      </w:r>
      <w:r w:rsidR="00A00189" w:rsidRPr="00AE738E">
        <w:rPr>
          <w:lang w:val="en-US"/>
        </w:rPr>
        <w:sym w:font="Symbol" w:char="F0B4"/>
      </w:r>
      <w:r w:rsidRPr="00AE738E">
        <w:rPr>
          <w:lang w:val="en-US"/>
        </w:rPr>
        <w:t>10</w:t>
      </w:r>
      <w:r w:rsidR="00AE738E" w:rsidRPr="00AE738E">
        <w:rPr>
          <w:vertAlign w:val="superscript"/>
          <w:lang w:val="en-US"/>
        </w:rPr>
        <w:t>3</w:t>
      </w:r>
      <w:r w:rsidRPr="00AE738E">
        <w:rPr>
          <w:lang w:val="en-US"/>
        </w:rPr>
        <w:t xml:space="preserve"> tons; Russian thermal reactors used in the study – </w:t>
      </w:r>
      <w:proofErr w:type="spellStart"/>
      <w:r w:rsidRPr="00AE738E">
        <w:rPr>
          <w:lang w:val="en-US"/>
        </w:rPr>
        <w:t>WWER</w:t>
      </w:r>
      <w:proofErr w:type="spellEnd"/>
      <w:r w:rsidRPr="00AE738E">
        <w:rPr>
          <w:lang w:val="en-US"/>
        </w:rPr>
        <w:t xml:space="preserve">, </w:t>
      </w:r>
      <w:proofErr w:type="spellStart"/>
      <w:r w:rsidRPr="00AE738E">
        <w:rPr>
          <w:lang w:val="en-US"/>
        </w:rPr>
        <w:t>RBMK</w:t>
      </w:r>
      <w:proofErr w:type="spellEnd"/>
      <w:r w:rsidRPr="00AE738E">
        <w:rPr>
          <w:lang w:val="en-US"/>
        </w:rPr>
        <w:t xml:space="preserve">, the reactors operate until modeled </w:t>
      </w:r>
      <w:r w:rsidRPr="006D5C96">
        <w:rPr>
          <w:lang w:val="en-US"/>
        </w:rPr>
        <w:t>uranium resources depletion; Russian fast reactor used in the study – BREST-1200, fast reactors use plutonium separated from the spent uranium nuclear fuel (</w:t>
      </w:r>
      <w:proofErr w:type="spellStart"/>
      <w:r w:rsidRPr="006D5C96">
        <w:rPr>
          <w:lang w:val="en-US"/>
        </w:rPr>
        <w:t>SNF</w:t>
      </w:r>
      <w:proofErr w:type="spellEnd"/>
      <w:r w:rsidRPr="006D5C96">
        <w:rPr>
          <w:lang w:val="en-US"/>
        </w:rPr>
        <w:t xml:space="preserve">); the generating capacity will be 107 </w:t>
      </w:r>
      <w:proofErr w:type="spellStart"/>
      <w:r w:rsidRPr="006D5C96">
        <w:rPr>
          <w:lang w:val="en-US"/>
        </w:rPr>
        <w:t>GWt</w:t>
      </w:r>
      <w:proofErr w:type="spellEnd"/>
      <w:r w:rsidRPr="006D5C96">
        <w:rPr>
          <w:lang w:val="en-US"/>
        </w:rPr>
        <w:t xml:space="preserve"> before 2100 (Fig. 1); annually 1 fast reactor will be put into exploitation, provided that necessary amount of Pu is available; by year 2100 fast reactors only will operate in Russian </w:t>
      </w:r>
      <w:proofErr w:type="spellStart"/>
      <w:r w:rsidRPr="006D5C96">
        <w:rPr>
          <w:lang w:val="en-US"/>
        </w:rPr>
        <w:t>NPPs</w:t>
      </w:r>
      <w:proofErr w:type="spellEnd"/>
      <w:r w:rsidRPr="006D5C96">
        <w:rPr>
          <w:lang w:val="en-US"/>
        </w:rPr>
        <w:t xml:space="preserve">; after reprocessing of used nuclear fuel the waste will contain no more than 0.1% of the original amount of U, Pu, minor actinides, </w:t>
      </w:r>
      <w:r w:rsidRPr="006D5C96">
        <w:rPr>
          <w:lang w:val="en-US" w:bidi="en-US"/>
        </w:rPr>
        <w:t xml:space="preserve">Sr, Cs, Tc </w:t>
      </w:r>
      <w:r w:rsidRPr="006D5C96">
        <w:rPr>
          <w:lang w:val="en-US"/>
        </w:rPr>
        <w:t xml:space="preserve">and </w:t>
      </w:r>
      <w:r w:rsidRPr="006D5C96">
        <w:rPr>
          <w:lang w:val="en-US" w:bidi="en-US"/>
        </w:rPr>
        <w:t>I</w:t>
      </w:r>
      <w:r w:rsidRPr="006D5C96">
        <w:rPr>
          <w:lang w:val="en-US"/>
        </w:rPr>
        <w:t xml:space="preserve"> in the fuel. Change of composition of radionuclides contained in the radioactive waste is </w:t>
      </w:r>
      <w:proofErr w:type="gramStart"/>
      <w:r w:rsidRPr="006D5C96">
        <w:rPr>
          <w:lang w:val="en-US"/>
        </w:rPr>
        <w:t>taken into account</w:t>
      </w:r>
      <w:proofErr w:type="gramEnd"/>
      <w:r w:rsidRPr="006D5C96">
        <w:rPr>
          <w:lang w:val="en-US"/>
        </w:rPr>
        <w:t xml:space="preserve"> [3].</w:t>
      </w:r>
    </w:p>
    <w:p w14:paraId="27550236" w14:textId="77777777" w:rsidR="00A00189" w:rsidRPr="005B27E4" w:rsidRDefault="00A00189" w:rsidP="005B27E4">
      <w:pPr>
        <w:pStyle w:val="a1"/>
        <w:jc w:val="center"/>
        <w:rPr>
          <w:noProof/>
        </w:rPr>
      </w:pPr>
      <w:r w:rsidRPr="005B27E4">
        <w:rPr>
          <w:noProof/>
        </w:rPr>
        <w:drawing>
          <wp:inline distT="0" distB="0" distL="0" distR="0" wp14:anchorId="2A93F469" wp14:editId="09141AD2">
            <wp:extent cx="5085080" cy="20066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428925" w14:textId="27BEDA98" w:rsidR="00A00189" w:rsidRPr="00A00189" w:rsidRDefault="00A00189" w:rsidP="00A00189">
      <w:pPr>
        <w:pStyle w:val="FIG-LONG"/>
      </w:pPr>
      <w:r w:rsidRPr="00A00189">
        <w:t>FIG</w:t>
      </w:r>
      <w:r w:rsidRPr="00A00189">
        <w:t>. 1.</w:t>
      </w:r>
      <w:r>
        <w:tab/>
      </w:r>
      <w:r w:rsidRPr="00A00189">
        <w:t xml:space="preserve">Generating capacity of thermal and fast reactors. According to Strategy of Russia’s nuclear power development [2], its generating capacity will be 43.7 </w:t>
      </w:r>
      <w:proofErr w:type="spellStart"/>
      <w:r w:rsidRPr="00A00189">
        <w:t>GWt</w:t>
      </w:r>
      <w:proofErr w:type="spellEnd"/>
      <w:r w:rsidRPr="00A00189">
        <w:t xml:space="preserve"> in 2030 and 100 </w:t>
      </w:r>
      <w:proofErr w:type="spellStart"/>
      <w:r w:rsidRPr="00A00189">
        <w:t>GWt</w:t>
      </w:r>
      <w:proofErr w:type="spellEnd"/>
      <w:r w:rsidRPr="00A00189">
        <w:t xml:space="preserve"> – up to 2100.</w:t>
      </w:r>
    </w:p>
    <w:p w14:paraId="433FE04F" w14:textId="59664D48" w:rsidR="00E25B68" w:rsidRDefault="005B27E4" w:rsidP="0026525A">
      <w:pPr>
        <w:pStyle w:val="2"/>
        <w:numPr>
          <w:ilvl w:val="1"/>
          <w:numId w:val="10"/>
        </w:numPr>
      </w:pPr>
      <w:r w:rsidRPr="005B27E4">
        <w:t>Radioactive waste management: radiation and radiological equivalence</w:t>
      </w:r>
    </w:p>
    <w:p w14:paraId="1FCE288D" w14:textId="77777777" w:rsidR="005B27E4" w:rsidRPr="005B27E4" w:rsidRDefault="005B27E4" w:rsidP="005B27E4">
      <w:pPr>
        <w:pStyle w:val="a1"/>
        <w:rPr>
          <w:lang w:val="en-US"/>
        </w:rPr>
      </w:pPr>
      <w:r w:rsidRPr="005B27E4">
        <w:rPr>
          <w:lang w:val="en-US"/>
        </w:rPr>
        <w:t xml:space="preserve">It </w:t>
      </w:r>
      <w:r w:rsidRPr="005B27E4">
        <w:t>has</w:t>
      </w:r>
      <w:r w:rsidRPr="005B27E4">
        <w:rPr>
          <w:lang w:val="en-US"/>
        </w:rPr>
        <w:t xml:space="preserve"> been mentioned above that adverse effects of </w:t>
      </w:r>
      <w:proofErr w:type="spellStart"/>
      <w:r w:rsidRPr="005B27E4">
        <w:rPr>
          <w:lang w:val="en-US"/>
        </w:rPr>
        <w:t>RW</w:t>
      </w:r>
      <w:proofErr w:type="spellEnd"/>
      <w:r w:rsidRPr="005B27E4">
        <w:rPr>
          <w:lang w:val="en-US"/>
        </w:rPr>
        <w:t xml:space="preserve"> on human health and the environment sustainable development is possible to measure as committed effective doses and lifetime attributable risk. Committed effective dose is the internal dose to the whole body from radionuclides intake for the whole life. The source data used for radiation equivalence are committed effective doses from dominating radionuclides contained in </w:t>
      </w:r>
      <w:proofErr w:type="spellStart"/>
      <w:r w:rsidRPr="005B27E4">
        <w:rPr>
          <w:lang w:val="en-US"/>
        </w:rPr>
        <w:t>RW</w:t>
      </w:r>
      <w:proofErr w:type="spellEnd"/>
      <w:r w:rsidRPr="005B27E4">
        <w:rPr>
          <w:lang w:val="en-US"/>
        </w:rPr>
        <w:t xml:space="preserve"> and from natural uranium at different times after ending waste production. The data were resulted from the simulation-based study of the development of nuclear power system until year 2100.</w:t>
      </w:r>
    </w:p>
    <w:p w14:paraId="42F660F8" w14:textId="77777777" w:rsidR="005B27E4" w:rsidRPr="005B27E4" w:rsidRDefault="005B27E4" w:rsidP="005B27E4">
      <w:pPr>
        <w:pStyle w:val="a1"/>
        <w:rPr>
          <w:lang w:val="en-US"/>
        </w:rPr>
      </w:pPr>
      <w:r w:rsidRPr="005B27E4">
        <w:t>Radiological</w:t>
      </w:r>
      <w:r w:rsidRPr="005B27E4">
        <w:rPr>
          <w:lang w:val="en-US"/>
        </w:rPr>
        <w:t xml:space="preserve"> equivalence is the equivalence of lifetime attributable risk of cancer occurred for the whole life following radiation exposure and LAR of cancer from natural uranium.</w:t>
      </w:r>
    </w:p>
    <w:p w14:paraId="00F2E955" w14:textId="59EB6078" w:rsidR="005B27E4" w:rsidRPr="005B27E4" w:rsidRDefault="005B27E4" w:rsidP="005B27E4">
      <w:pPr>
        <w:pStyle w:val="a1"/>
        <w:rPr>
          <w:lang w:val="en-US"/>
        </w:rPr>
      </w:pPr>
      <w:r w:rsidRPr="005B27E4">
        <w:rPr>
          <w:lang w:val="en-US"/>
        </w:rPr>
        <w:t>Fig</w:t>
      </w:r>
      <w:r>
        <w:rPr>
          <w:lang w:val="en-US"/>
        </w:rPr>
        <w:t>.</w:t>
      </w:r>
      <w:r w:rsidRPr="005B27E4">
        <w:rPr>
          <w:lang w:val="en-US"/>
        </w:rPr>
        <w:t xml:space="preserve"> 2 presents curves of dynamic changes of impacts of radiological hazards contained in closed nuclear fuel cycle generated </w:t>
      </w:r>
      <w:proofErr w:type="spellStart"/>
      <w:r w:rsidRPr="005B27E4">
        <w:rPr>
          <w:lang w:val="en-US"/>
        </w:rPr>
        <w:t>RW</w:t>
      </w:r>
      <w:proofErr w:type="spellEnd"/>
      <w:r w:rsidRPr="005B27E4">
        <w:rPr>
          <w:lang w:val="en-US"/>
        </w:rPr>
        <w:t xml:space="preserve"> (</w:t>
      </w:r>
      <w:proofErr w:type="spellStart"/>
      <w:r w:rsidRPr="005B27E4">
        <w:rPr>
          <w:lang w:val="en-US"/>
        </w:rPr>
        <w:t>CNFC</w:t>
      </w:r>
      <w:proofErr w:type="spellEnd"/>
      <w:r w:rsidRPr="005B27E4">
        <w:rPr>
          <w:lang w:val="en-US"/>
        </w:rPr>
        <w:t xml:space="preserve"> </w:t>
      </w:r>
      <w:proofErr w:type="spellStart"/>
      <w:r w:rsidRPr="005B27E4">
        <w:rPr>
          <w:lang w:val="en-US"/>
        </w:rPr>
        <w:t>RW</w:t>
      </w:r>
      <w:proofErr w:type="spellEnd"/>
      <w:r w:rsidRPr="005B27E4">
        <w:rPr>
          <w:lang w:val="en-US"/>
        </w:rPr>
        <w:t xml:space="preserve">) and in natural uranium (horizontal curve) over the years after ending </w:t>
      </w:r>
      <w:proofErr w:type="spellStart"/>
      <w:r w:rsidRPr="005B27E4">
        <w:rPr>
          <w:lang w:val="en-US"/>
        </w:rPr>
        <w:t>RW</w:t>
      </w:r>
      <w:proofErr w:type="spellEnd"/>
      <w:r w:rsidRPr="005B27E4">
        <w:rPr>
          <w:lang w:val="en-US"/>
        </w:rPr>
        <w:t xml:space="preserve"> </w:t>
      </w:r>
      <w:r w:rsidRPr="005B27E4">
        <w:rPr>
          <w:lang w:val="en-US"/>
        </w:rPr>
        <w:lastRenderedPageBreak/>
        <w:t xml:space="preserve">generation. The point of curves crossing indicates the time of radiation equivalence achievement. It will be achieved in 287 years after ending </w:t>
      </w:r>
      <w:proofErr w:type="spellStart"/>
      <w:r w:rsidRPr="005B27E4">
        <w:rPr>
          <w:lang w:val="en-US"/>
        </w:rPr>
        <w:t>RW</w:t>
      </w:r>
      <w:proofErr w:type="spellEnd"/>
      <w:r w:rsidRPr="005B27E4">
        <w:rPr>
          <w:lang w:val="en-US"/>
        </w:rPr>
        <w:t xml:space="preserve"> </w:t>
      </w:r>
      <w:r w:rsidRPr="005B27E4">
        <w:t>production</w:t>
      </w:r>
      <w:r w:rsidRPr="005B27E4">
        <w:rPr>
          <w:lang w:val="en-US"/>
        </w:rPr>
        <w:t xml:space="preserve"> in 2100.</w:t>
      </w:r>
    </w:p>
    <w:p w14:paraId="19DE98BA" w14:textId="77777777" w:rsidR="007F4E38" w:rsidRDefault="007F4E38" w:rsidP="005B27E4">
      <w:pPr>
        <w:pStyle w:val="a1"/>
        <w:jc w:val="center"/>
        <w:rPr>
          <w:noProof/>
        </w:rPr>
      </w:pPr>
    </w:p>
    <w:p w14:paraId="15C2993E" w14:textId="0D51E583" w:rsidR="005B27E4" w:rsidRPr="005B27E4" w:rsidRDefault="005B27E4" w:rsidP="005B27E4">
      <w:pPr>
        <w:pStyle w:val="a1"/>
        <w:jc w:val="center"/>
        <w:rPr>
          <w:noProof/>
        </w:rPr>
      </w:pPr>
      <w:r w:rsidRPr="005B27E4">
        <w:rPr>
          <w:noProof/>
        </w:rPr>
        <w:drawing>
          <wp:inline distT="0" distB="0" distL="0" distR="0" wp14:anchorId="1D691994" wp14:editId="640712A3">
            <wp:extent cx="4650377" cy="2596311"/>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666971" cy="2605576"/>
                    </a:xfrm>
                    <a:prstGeom prst="rect">
                      <a:avLst/>
                    </a:prstGeom>
                    <a:noFill/>
                    <a:ln w="9525">
                      <a:noFill/>
                      <a:miter lim="800000"/>
                      <a:headEnd/>
                      <a:tailEnd/>
                    </a:ln>
                  </pic:spPr>
                </pic:pic>
              </a:graphicData>
            </a:graphic>
          </wp:inline>
        </w:drawing>
      </w:r>
    </w:p>
    <w:p w14:paraId="657D9279" w14:textId="6BDEC732" w:rsidR="005B27E4" w:rsidRPr="005B27E4" w:rsidRDefault="005B27E4" w:rsidP="005B27E4">
      <w:pPr>
        <w:pStyle w:val="FIG-LONG"/>
      </w:pPr>
      <w:r w:rsidRPr="005B27E4">
        <w:t>F</w:t>
      </w:r>
      <w:r w:rsidRPr="005B27E4">
        <w:t>IG</w:t>
      </w:r>
      <w:r w:rsidRPr="005B27E4">
        <w:t>. 2.</w:t>
      </w:r>
      <w:r>
        <w:tab/>
      </w:r>
      <w:r w:rsidRPr="005B27E4">
        <w:t>Harmful effects of radiological hazards (</w:t>
      </w:r>
      <w:proofErr w:type="spellStart"/>
      <w:r w:rsidRPr="005B27E4">
        <w:t>Sv</w:t>
      </w:r>
      <w:proofErr w:type="spellEnd"/>
      <w:r w:rsidRPr="005B27E4">
        <w:t xml:space="preserve">) contained in </w:t>
      </w:r>
      <w:proofErr w:type="spellStart"/>
      <w:r w:rsidRPr="005B27E4">
        <w:t>RW</w:t>
      </w:r>
      <w:proofErr w:type="spellEnd"/>
      <w:r w:rsidRPr="005B27E4">
        <w:t xml:space="preserve"> from closed nuclear fuel cycle (</w:t>
      </w:r>
      <w:proofErr w:type="spellStart"/>
      <w:r w:rsidRPr="005B27E4">
        <w:t>CNFC</w:t>
      </w:r>
      <w:proofErr w:type="spellEnd"/>
      <w:r w:rsidRPr="005B27E4">
        <w:t xml:space="preserve"> </w:t>
      </w:r>
      <w:proofErr w:type="spellStart"/>
      <w:r w:rsidRPr="005B27E4">
        <w:t>RW</w:t>
      </w:r>
      <w:proofErr w:type="spellEnd"/>
      <w:r w:rsidRPr="005B27E4">
        <w:t>) and corresponding amount of natural uranium in different calendar years after 2100. The curves will cross in 2387.</w:t>
      </w:r>
    </w:p>
    <w:p w14:paraId="0A1B0646" w14:textId="77777777" w:rsidR="005B27E4" w:rsidRDefault="005B27E4" w:rsidP="005B27E4">
      <w:pPr>
        <w:pStyle w:val="a1"/>
      </w:pPr>
      <w:bookmarkStart w:id="3" w:name="_Hlk83224176"/>
    </w:p>
    <w:p w14:paraId="1FDC6F7C" w14:textId="2BD64981" w:rsidR="005B27E4" w:rsidRPr="005B27E4" w:rsidRDefault="005B27E4" w:rsidP="005B27E4">
      <w:pPr>
        <w:pStyle w:val="a1"/>
        <w:rPr>
          <w:lang w:val="en-US"/>
        </w:rPr>
      </w:pPr>
      <w:r w:rsidRPr="005B27E4">
        <w:t>Fig</w:t>
      </w:r>
      <w:r>
        <w:t>.</w:t>
      </w:r>
      <w:r w:rsidRPr="005B27E4">
        <w:rPr>
          <w:lang w:val="en-US"/>
        </w:rPr>
        <w:t xml:space="preserve"> 3 presents contribution of dominating radionuclides contained in </w:t>
      </w:r>
      <w:proofErr w:type="spellStart"/>
      <w:r w:rsidRPr="005B27E4">
        <w:rPr>
          <w:lang w:val="en-US"/>
        </w:rPr>
        <w:t>CNFC</w:t>
      </w:r>
      <w:proofErr w:type="spellEnd"/>
      <w:r w:rsidRPr="005B27E4">
        <w:rPr>
          <w:lang w:val="en-US"/>
        </w:rPr>
        <w:t xml:space="preserve"> </w:t>
      </w:r>
      <w:proofErr w:type="spellStart"/>
      <w:r w:rsidRPr="005B27E4">
        <w:rPr>
          <w:lang w:val="en-US"/>
        </w:rPr>
        <w:t>RW</w:t>
      </w:r>
      <w:proofErr w:type="spellEnd"/>
      <w:r w:rsidRPr="005B27E4">
        <w:rPr>
          <w:lang w:val="en-US"/>
        </w:rPr>
        <w:t xml:space="preserve"> to radiological harmful effects (</w:t>
      </w:r>
      <w:proofErr w:type="spellStart"/>
      <w:r w:rsidRPr="005B27E4">
        <w:rPr>
          <w:lang w:val="en-US"/>
        </w:rPr>
        <w:t>Sv</w:t>
      </w:r>
      <w:proofErr w:type="spellEnd"/>
      <w:r w:rsidRPr="005B27E4">
        <w:rPr>
          <w:lang w:val="en-US"/>
        </w:rPr>
        <w:t xml:space="preserve">) in different calendar years after ending </w:t>
      </w:r>
      <w:proofErr w:type="spellStart"/>
      <w:r w:rsidRPr="005B27E4">
        <w:rPr>
          <w:lang w:val="en-US"/>
        </w:rPr>
        <w:t>RW</w:t>
      </w:r>
      <w:proofErr w:type="spellEnd"/>
      <w:r w:rsidRPr="005B27E4">
        <w:rPr>
          <w:lang w:val="en-US"/>
        </w:rPr>
        <w:t xml:space="preserve"> production in 2100. </w:t>
      </w:r>
      <w:bookmarkStart w:id="4" w:name="_Hlk83225540"/>
      <w:r w:rsidRPr="005B27E4">
        <w:rPr>
          <w:lang w:val="en-US"/>
        </w:rPr>
        <w:t xml:space="preserve">Of the radionuclides contained in </w:t>
      </w:r>
      <w:proofErr w:type="spellStart"/>
      <w:r w:rsidRPr="005B27E4">
        <w:rPr>
          <w:lang w:val="en-US"/>
        </w:rPr>
        <w:t>RW</w:t>
      </w:r>
      <w:proofErr w:type="spellEnd"/>
      <w:r w:rsidRPr="005B27E4">
        <w:rPr>
          <w:lang w:val="en-US"/>
        </w:rPr>
        <w:t>, each of the dominant radionuclides contributes more than 1% to the total annual effective dose at least once in 1000 years</w:t>
      </w:r>
      <w:bookmarkEnd w:id="4"/>
      <w:r w:rsidRPr="005B27E4">
        <w:rPr>
          <w:lang w:val="en-US"/>
        </w:rPr>
        <w:t xml:space="preserve">. </w:t>
      </w:r>
      <w:bookmarkEnd w:id="3"/>
      <w:r w:rsidRPr="005B27E4">
        <w:rPr>
          <w:lang w:val="en-US"/>
        </w:rPr>
        <w:t xml:space="preserve">Though mass-related fraction of </w:t>
      </w:r>
      <w:r w:rsidRPr="005B27E4">
        <w:rPr>
          <w:vertAlign w:val="superscript"/>
          <w:lang w:val="en-US"/>
        </w:rPr>
        <w:t>241</w:t>
      </w:r>
      <w:r w:rsidRPr="005B27E4">
        <w:rPr>
          <w:lang w:val="en-US"/>
        </w:rPr>
        <w:t xml:space="preserve">Am is </w:t>
      </w:r>
      <w:bookmarkStart w:id="5" w:name="_Hlk83224452"/>
      <w:r w:rsidRPr="005B27E4">
        <w:rPr>
          <w:lang w:val="en-US"/>
        </w:rPr>
        <w:t>0.23% in 2100</w:t>
      </w:r>
      <w:bookmarkEnd w:id="5"/>
      <w:r w:rsidRPr="005B27E4">
        <w:rPr>
          <w:lang w:val="en-US"/>
        </w:rPr>
        <w:t xml:space="preserve">, in about 100 years after ending </w:t>
      </w:r>
      <w:proofErr w:type="spellStart"/>
      <w:r w:rsidRPr="005B27E4">
        <w:rPr>
          <w:lang w:val="en-US"/>
        </w:rPr>
        <w:t>RW</w:t>
      </w:r>
      <w:proofErr w:type="spellEnd"/>
      <w:r w:rsidRPr="005B27E4">
        <w:rPr>
          <w:lang w:val="en-US"/>
        </w:rPr>
        <w:t xml:space="preserve"> production in 2100 the radioisotope will become the dominating radionuclide.</w:t>
      </w:r>
    </w:p>
    <w:p w14:paraId="1F4D27F4" w14:textId="77777777" w:rsidR="00741A91" w:rsidRDefault="00741A91" w:rsidP="005B27E4">
      <w:pPr>
        <w:pStyle w:val="a1"/>
        <w:jc w:val="center"/>
        <w:rPr>
          <w:noProof/>
        </w:rPr>
      </w:pPr>
    </w:p>
    <w:p w14:paraId="179A06F7" w14:textId="1DF37145" w:rsidR="005B27E4" w:rsidRPr="005B27E4" w:rsidRDefault="005B27E4" w:rsidP="005B27E4">
      <w:pPr>
        <w:pStyle w:val="a1"/>
        <w:jc w:val="center"/>
        <w:rPr>
          <w:noProof/>
        </w:rPr>
      </w:pPr>
      <w:r w:rsidRPr="005B27E4">
        <w:rPr>
          <w:noProof/>
        </w:rPr>
        <w:drawing>
          <wp:inline distT="0" distB="0" distL="0" distR="0" wp14:anchorId="15BC3327" wp14:editId="0A6F84A2">
            <wp:extent cx="4739960" cy="2740044"/>
            <wp:effectExtent l="0" t="0" r="3810" b="3175"/>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767463" cy="2755943"/>
                    </a:xfrm>
                    <a:prstGeom prst="rect">
                      <a:avLst/>
                    </a:prstGeom>
                    <a:noFill/>
                    <a:ln w="9525">
                      <a:noFill/>
                      <a:miter lim="800000"/>
                      <a:headEnd/>
                      <a:tailEnd/>
                    </a:ln>
                  </pic:spPr>
                </pic:pic>
              </a:graphicData>
            </a:graphic>
          </wp:inline>
        </w:drawing>
      </w:r>
    </w:p>
    <w:p w14:paraId="0B09E5A9" w14:textId="0A4A6853" w:rsidR="005B27E4" w:rsidRPr="005B27E4" w:rsidRDefault="005B27E4" w:rsidP="005B27E4">
      <w:pPr>
        <w:pStyle w:val="FIG-LONG"/>
      </w:pPr>
      <w:r w:rsidRPr="005B27E4">
        <w:t>F</w:t>
      </w:r>
      <w:r w:rsidRPr="005B27E4">
        <w:t>IG</w:t>
      </w:r>
      <w:r w:rsidRPr="005B27E4">
        <w:t>. 3.</w:t>
      </w:r>
      <w:r>
        <w:tab/>
      </w:r>
      <w:r w:rsidRPr="005B27E4">
        <w:t xml:space="preserve">Contribution (%) of dominating radionuclides contained in </w:t>
      </w:r>
      <w:proofErr w:type="spellStart"/>
      <w:r w:rsidRPr="005B27E4">
        <w:t>CNFC</w:t>
      </w:r>
      <w:proofErr w:type="spellEnd"/>
      <w:r w:rsidRPr="005B27E4">
        <w:t xml:space="preserve"> </w:t>
      </w:r>
      <w:proofErr w:type="spellStart"/>
      <w:r w:rsidRPr="005B27E4">
        <w:t>RW</w:t>
      </w:r>
      <w:proofErr w:type="spellEnd"/>
      <w:r w:rsidRPr="005B27E4">
        <w:t xml:space="preserve"> to potential harmful effects on the public.</w:t>
      </w:r>
    </w:p>
    <w:p w14:paraId="1CF49930" w14:textId="35E0B5F5" w:rsidR="005B27E4" w:rsidRPr="005B27E4" w:rsidRDefault="005B27E4" w:rsidP="000A2990">
      <w:pPr>
        <w:pStyle w:val="a1"/>
      </w:pPr>
    </w:p>
    <w:p w14:paraId="4C753116" w14:textId="102BDB9D" w:rsidR="005B27E4" w:rsidRDefault="005B27E4" w:rsidP="005B27E4">
      <w:pPr>
        <w:pStyle w:val="a1"/>
        <w:rPr>
          <w:lang w:val="en-US"/>
        </w:rPr>
      </w:pPr>
      <w:r w:rsidRPr="005B27E4">
        <w:t>Fig</w:t>
      </w:r>
      <w:r>
        <w:t>.</w:t>
      </w:r>
      <w:r w:rsidRPr="005B27E4">
        <w:rPr>
          <w:lang w:val="en-US"/>
        </w:rPr>
        <w:t xml:space="preserve"> 4 presents curves of dynamic change of LARs from dominating radionuclides contained in </w:t>
      </w:r>
      <w:proofErr w:type="spellStart"/>
      <w:r w:rsidRPr="005B27E4">
        <w:rPr>
          <w:lang w:val="en-US"/>
        </w:rPr>
        <w:t>CNFC</w:t>
      </w:r>
      <w:proofErr w:type="spellEnd"/>
      <w:r w:rsidRPr="005B27E4">
        <w:rPr>
          <w:lang w:val="en-US"/>
        </w:rPr>
        <w:t xml:space="preserve"> </w:t>
      </w:r>
      <w:proofErr w:type="spellStart"/>
      <w:r w:rsidRPr="005B27E4">
        <w:rPr>
          <w:lang w:val="en-US"/>
        </w:rPr>
        <w:t>RW</w:t>
      </w:r>
      <w:proofErr w:type="spellEnd"/>
      <w:r w:rsidRPr="005B27E4">
        <w:rPr>
          <w:lang w:val="en-US"/>
        </w:rPr>
        <w:t xml:space="preserve"> and the permanent LAR from natural uranium. The point of the curves crossing indicates the time of radiological equivalence achievement, it will be in the year 2199, i.e. in 99 years after ending </w:t>
      </w:r>
      <w:proofErr w:type="spellStart"/>
      <w:r w:rsidRPr="005B27E4">
        <w:rPr>
          <w:lang w:val="en-US"/>
        </w:rPr>
        <w:t>RW</w:t>
      </w:r>
      <w:proofErr w:type="spellEnd"/>
      <w:r w:rsidRPr="005B27E4">
        <w:rPr>
          <w:lang w:val="en-US"/>
        </w:rPr>
        <w:t xml:space="preserve"> generation in 2100. Radiological equivalence will be achieved 188 years earlier than radiation equivalence.</w:t>
      </w:r>
    </w:p>
    <w:p w14:paraId="52F1B682" w14:textId="77777777" w:rsidR="00741A91" w:rsidRPr="00FF70CC" w:rsidRDefault="00741A91" w:rsidP="00741A91">
      <w:pPr>
        <w:pStyle w:val="a1"/>
        <w:rPr>
          <w:lang w:val="en-US"/>
        </w:rPr>
      </w:pPr>
      <w:r w:rsidRPr="00FF70CC">
        <w:t>Fig</w:t>
      </w:r>
      <w:r>
        <w:t>.</w:t>
      </w:r>
      <w:r w:rsidRPr="00FF70CC">
        <w:rPr>
          <w:lang w:val="en-US"/>
        </w:rPr>
        <w:t xml:space="preserve"> 5 presents contribution of dominating radionuclides contained in </w:t>
      </w:r>
      <w:proofErr w:type="spellStart"/>
      <w:r w:rsidRPr="00FF70CC">
        <w:rPr>
          <w:lang w:val="en-US"/>
        </w:rPr>
        <w:t>CFNC</w:t>
      </w:r>
      <w:proofErr w:type="spellEnd"/>
      <w:r w:rsidRPr="00FF70CC">
        <w:rPr>
          <w:lang w:val="en-US"/>
        </w:rPr>
        <w:t xml:space="preserve"> </w:t>
      </w:r>
      <w:proofErr w:type="spellStart"/>
      <w:r w:rsidRPr="00FF70CC">
        <w:rPr>
          <w:lang w:val="en-US"/>
        </w:rPr>
        <w:t>RW</w:t>
      </w:r>
      <w:proofErr w:type="spellEnd"/>
      <w:r w:rsidRPr="00FF70CC">
        <w:rPr>
          <w:lang w:val="en-US"/>
        </w:rPr>
        <w:t xml:space="preserve"> to integrated average LAR in different years after 2100. After a certain time </w:t>
      </w:r>
      <w:r w:rsidRPr="00FF70CC">
        <w:rPr>
          <w:vertAlign w:val="superscript"/>
          <w:lang w:val="en-US"/>
        </w:rPr>
        <w:t>241</w:t>
      </w:r>
      <w:r w:rsidRPr="00FF70CC">
        <w:rPr>
          <w:lang w:val="en-US"/>
        </w:rPr>
        <w:t>Am will become the dominating contributor to LAR.</w:t>
      </w:r>
    </w:p>
    <w:p w14:paraId="17546935" w14:textId="77777777" w:rsidR="005B27E4" w:rsidRPr="00741A91" w:rsidRDefault="005B27E4" w:rsidP="00741A91">
      <w:pPr>
        <w:pStyle w:val="a1"/>
        <w:jc w:val="center"/>
        <w:rPr>
          <w:noProof/>
        </w:rPr>
      </w:pPr>
      <w:r w:rsidRPr="00E66426">
        <w:rPr>
          <w:noProof/>
        </w:rPr>
        <w:lastRenderedPageBreak/>
        <w:drawing>
          <wp:inline distT="0" distB="0" distL="0" distR="0" wp14:anchorId="7C5B9623" wp14:editId="32DFBA4C">
            <wp:extent cx="4677711" cy="2701214"/>
            <wp:effectExtent l="0" t="0" r="0" b="4445"/>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685422" cy="2705667"/>
                    </a:xfrm>
                    <a:prstGeom prst="rect">
                      <a:avLst/>
                    </a:prstGeom>
                    <a:noFill/>
                    <a:ln w="9525">
                      <a:noFill/>
                      <a:miter lim="800000"/>
                      <a:headEnd/>
                      <a:tailEnd/>
                    </a:ln>
                  </pic:spPr>
                </pic:pic>
              </a:graphicData>
            </a:graphic>
          </wp:inline>
        </w:drawing>
      </w:r>
    </w:p>
    <w:p w14:paraId="1C54CD7B" w14:textId="17C2740B" w:rsidR="005B27E4" w:rsidRPr="005B27E4" w:rsidRDefault="005B27E4" w:rsidP="005B27E4">
      <w:pPr>
        <w:pStyle w:val="FIG-LONG"/>
      </w:pPr>
      <w:r w:rsidRPr="005B27E4">
        <w:t>F</w:t>
      </w:r>
      <w:r w:rsidRPr="005B27E4">
        <w:t>IG</w:t>
      </w:r>
      <w:r w:rsidRPr="005B27E4">
        <w:t>. 4.</w:t>
      </w:r>
      <w:r>
        <w:tab/>
      </w:r>
      <w:r w:rsidRPr="005B27E4">
        <w:t xml:space="preserve">Lifetime attributable risk from </w:t>
      </w:r>
      <w:proofErr w:type="spellStart"/>
      <w:r w:rsidRPr="005B27E4">
        <w:t>CNFC</w:t>
      </w:r>
      <w:proofErr w:type="spellEnd"/>
      <w:r w:rsidRPr="005B27E4">
        <w:t xml:space="preserve"> </w:t>
      </w:r>
      <w:proofErr w:type="spellStart"/>
      <w:r w:rsidRPr="005B27E4">
        <w:t>RW</w:t>
      </w:r>
      <w:proofErr w:type="spellEnd"/>
      <w:r w:rsidRPr="005B27E4">
        <w:t xml:space="preserve"> and the correspondent amount of the natural uranium (per 1 mSv). The year of the curves crossing is 2199.</w:t>
      </w:r>
    </w:p>
    <w:p w14:paraId="6C3B65D0" w14:textId="3B0554DD" w:rsidR="005B27E4" w:rsidRDefault="005B27E4" w:rsidP="000A2990">
      <w:pPr>
        <w:pStyle w:val="a1"/>
        <w:rPr>
          <w:lang w:val="en-US"/>
        </w:rPr>
      </w:pPr>
    </w:p>
    <w:p w14:paraId="17B55ACD" w14:textId="77777777" w:rsidR="00FF70CC" w:rsidRPr="00741A91" w:rsidRDefault="00FF70CC" w:rsidP="00741A91">
      <w:pPr>
        <w:pStyle w:val="a1"/>
        <w:jc w:val="center"/>
        <w:rPr>
          <w:noProof/>
        </w:rPr>
      </w:pPr>
      <w:r w:rsidRPr="00E66426">
        <w:rPr>
          <w:noProof/>
        </w:rPr>
        <w:drawing>
          <wp:inline distT="0" distB="0" distL="0" distR="0" wp14:anchorId="14F36AD4" wp14:editId="60A76A4F">
            <wp:extent cx="4693568" cy="2725196"/>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704310" cy="2731433"/>
                    </a:xfrm>
                    <a:prstGeom prst="rect">
                      <a:avLst/>
                    </a:prstGeom>
                    <a:noFill/>
                    <a:ln w="9525">
                      <a:noFill/>
                      <a:miter lim="800000"/>
                      <a:headEnd/>
                      <a:tailEnd/>
                    </a:ln>
                  </pic:spPr>
                </pic:pic>
              </a:graphicData>
            </a:graphic>
          </wp:inline>
        </w:drawing>
      </w:r>
    </w:p>
    <w:p w14:paraId="23692D16" w14:textId="7A8B8484" w:rsidR="00FF70CC" w:rsidRPr="00FF70CC" w:rsidRDefault="00FF70CC" w:rsidP="00FF70CC">
      <w:pPr>
        <w:pStyle w:val="FIG-LONG"/>
      </w:pPr>
      <w:r w:rsidRPr="00FF70CC">
        <w:t>F</w:t>
      </w:r>
      <w:r w:rsidRPr="00FF70CC">
        <w:t>IG</w:t>
      </w:r>
      <w:r w:rsidRPr="00FF70CC">
        <w:t>. 5.</w:t>
      </w:r>
      <w:r>
        <w:tab/>
      </w:r>
      <w:r w:rsidRPr="00FF70CC">
        <w:t xml:space="preserve">Contribution (%) of dominating radionuclides contained in </w:t>
      </w:r>
      <w:proofErr w:type="spellStart"/>
      <w:r w:rsidRPr="00FF70CC">
        <w:t>CNFC</w:t>
      </w:r>
      <w:proofErr w:type="spellEnd"/>
      <w:r w:rsidRPr="00FF70CC">
        <w:t xml:space="preserve"> </w:t>
      </w:r>
      <w:proofErr w:type="spellStart"/>
      <w:r w:rsidRPr="00FF70CC">
        <w:t>RW</w:t>
      </w:r>
      <w:proofErr w:type="spellEnd"/>
      <w:r w:rsidRPr="00FF70CC">
        <w:t xml:space="preserve"> in different years after ending of </w:t>
      </w:r>
      <w:proofErr w:type="spellStart"/>
      <w:r w:rsidRPr="00FF70CC">
        <w:t>RW</w:t>
      </w:r>
      <w:proofErr w:type="spellEnd"/>
      <w:r w:rsidRPr="00FF70CC">
        <w:t xml:space="preserve"> generation in 2100.</w:t>
      </w:r>
    </w:p>
    <w:p w14:paraId="5695777A" w14:textId="3F157151" w:rsidR="00FF70CC" w:rsidRDefault="00FF70CC" w:rsidP="000A2990">
      <w:pPr>
        <w:pStyle w:val="a1"/>
        <w:rPr>
          <w:lang w:val="en-US"/>
        </w:rPr>
      </w:pPr>
    </w:p>
    <w:p w14:paraId="046E4187" w14:textId="63F80ADB" w:rsidR="00FF70CC" w:rsidRPr="00FF70CC" w:rsidRDefault="00FF70CC" w:rsidP="00FF70CC">
      <w:pPr>
        <w:pStyle w:val="a1"/>
        <w:rPr>
          <w:lang w:val="en-US"/>
        </w:rPr>
      </w:pPr>
      <w:r w:rsidRPr="00FF70CC">
        <w:t>Fig</w:t>
      </w:r>
      <w:r>
        <w:t>.</w:t>
      </w:r>
      <w:r w:rsidRPr="00FF70CC">
        <w:rPr>
          <w:lang w:val="en-US"/>
        </w:rPr>
        <w:t xml:space="preserve"> 6 illustrates LARs from </w:t>
      </w:r>
      <w:proofErr w:type="spellStart"/>
      <w:r w:rsidRPr="00FF70CC">
        <w:rPr>
          <w:lang w:val="en-US"/>
        </w:rPr>
        <w:t>SNF</w:t>
      </w:r>
      <w:proofErr w:type="spellEnd"/>
      <w:r w:rsidRPr="00FF70CC">
        <w:rPr>
          <w:lang w:val="en-US"/>
        </w:rPr>
        <w:t xml:space="preserve"> generated by thermal reactors in different years after ending </w:t>
      </w:r>
      <w:proofErr w:type="spellStart"/>
      <w:r w:rsidRPr="00FF70CC">
        <w:rPr>
          <w:lang w:val="en-US"/>
        </w:rPr>
        <w:t>SNF</w:t>
      </w:r>
      <w:proofErr w:type="spellEnd"/>
      <w:r w:rsidRPr="00FF70CC">
        <w:rPr>
          <w:lang w:val="en-US"/>
        </w:rPr>
        <w:t xml:space="preserve"> generation and LAR from correspondent amount of natural uranium. Radiological equivalence is achieved in 20,513 years after 2100.</w:t>
      </w:r>
    </w:p>
    <w:p w14:paraId="0CB25C00" w14:textId="77777777" w:rsidR="007F4E38" w:rsidRPr="00FF70CC" w:rsidRDefault="007F4E38" w:rsidP="007F4E38">
      <w:pPr>
        <w:pStyle w:val="a1"/>
        <w:rPr>
          <w:lang w:val="en-US"/>
        </w:rPr>
      </w:pPr>
      <w:r w:rsidRPr="00FF70CC">
        <w:t>Fig</w:t>
      </w:r>
      <w:r>
        <w:t>.</w:t>
      </w:r>
      <w:r w:rsidRPr="00FF70CC">
        <w:rPr>
          <w:lang w:val="en-US"/>
        </w:rPr>
        <w:t xml:space="preserve"> 7 illustrates contribution of dominating radionuclides contained in </w:t>
      </w:r>
      <w:proofErr w:type="spellStart"/>
      <w:r w:rsidRPr="00FF70CC">
        <w:rPr>
          <w:lang w:val="en-US"/>
        </w:rPr>
        <w:t>SNF</w:t>
      </w:r>
      <w:proofErr w:type="spellEnd"/>
      <w:r w:rsidRPr="00FF70CC">
        <w:rPr>
          <w:lang w:val="en-US"/>
        </w:rPr>
        <w:t xml:space="preserve"> to the total averaged LAR in different calendar years after 2100. In the beginning period the highest contribution is made by </w:t>
      </w:r>
      <w:r w:rsidRPr="00FF70CC">
        <w:rPr>
          <w:vertAlign w:val="superscript"/>
          <w:lang w:val="en-US"/>
        </w:rPr>
        <w:t>241</w:t>
      </w:r>
      <w:r w:rsidRPr="00FF70CC">
        <w:rPr>
          <w:lang w:val="en-US"/>
        </w:rPr>
        <w:t xml:space="preserve">Am, later dominating contributors are </w:t>
      </w:r>
      <w:r w:rsidRPr="00FF70CC">
        <w:rPr>
          <w:vertAlign w:val="superscript"/>
          <w:lang w:val="en-US"/>
        </w:rPr>
        <w:t>240</w:t>
      </w:r>
      <w:r w:rsidRPr="00FF70CC">
        <w:rPr>
          <w:lang w:val="en-US"/>
        </w:rPr>
        <w:t xml:space="preserve">Pu and </w:t>
      </w:r>
      <w:r w:rsidRPr="00FF70CC">
        <w:rPr>
          <w:vertAlign w:val="superscript"/>
          <w:lang w:val="en-US"/>
        </w:rPr>
        <w:t>239</w:t>
      </w:r>
      <w:r w:rsidRPr="00FF70CC">
        <w:rPr>
          <w:lang w:val="en-US"/>
        </w:rPr>
        <w:t>Pu.</w:t>
      </w:r>
    </w:p>
    <w:p w14:paraId="34A8FCC7" w14:textId="77777777" w:rsidR="00FF70CC" w:rsidRDefault="00FF70CC" w:rsidP="000A2990">
      <w:pPr>
        <w:pStyle w:val="a1"/>
        <w:rPr>
          <w:lang w:val="en-US"/>
        </w:rPr>
      </w:pPr>
    </w:p>
    <w:p w14:paraId="7954A2E0" w14:textId="77777777" w:rsidR="00FF70CC" w:rsidRPr="00741A91" w:rsidRDefault="00FF70CC" w:rsidP="00741A91">
      <w:pPr>
        <w:pStyle w:val="a1"/>
        <w:jc w:val="center"/>
        <w:rPr>
          <w:noProof/>
        </w:rPr>
      </w:pPr>
      <w:r w:rsidRPr="00741A91">
        <w:rPr>
          <w:noProof/>
        </w:rPr>
        <w:lastRenderedPageBreak/>
        <w:drawing>
          <wp:inline distT="0" distB="0" distL="0" distR="0" wp14:anchorId="02953373" wp14:editId="5926586A">
            <wp:extent cx="4745990" cy="2315071"/>
            <wp:effectExtent l="0" t="0" r="0" b="9525"/>
            <wp:docPr id="21" name="Рисунок 7"/>
            <wp:cNvGraphicFramePr/>
            <a:graphic xmlns:a="http://schemas.openxmlformats.org/drawingml/2006/main">
              <a:graphicData uri="http://schemas.openxmlformats.org/drawingml/2006/picture">
                <pic:pic xmlns:pic="http://schemas.openxmlformats.org/drawingml/2006/picture">
                  <pic:nvPicPr>
                    <pic:cNvPr id="11265" name="Picture 1"/>
                    <pic:cNvPicPr>
                      <a:picLocks noChangeAspect="1" noChangeArrowheads="1"/>
                    </pic:cNvPicPr>
                  </pic:nvPicPr>
                  <pic:blipFill>
                    <a:blip r:embed="rId16" cstate="print"/>
                    <a:srcRect l="22207" t="31080" r="15424" b="7601"/>
                    <a:stretch>
                      <a:fillRect/>
                    </a:stretch>
                  </pic:blipFill>
                  <pic:spPr bwMode="auto">
                    <a:xfrm>
                      <a:off x="0" y="0"/>
                      <a:ext cx="4769124" cy="2326355"/>
                    </a:xfrm>
                    <a:prstGeom prst="rect">
                      <a:avLst/>
                    </a:prstGeom>
                    <a:noFill/>
                    <a:ln w="9525">
                      <a:noFill/>
                      <a:miter lim="800000"/>
                      <a:headEnd/>
                      <a:tailEnd/>
                    </a:ln>
                  </pic:spPr>
                </pic:pic>
              </a:graphicData>
            </a:graphic>
          </wp:inline>
        </w:drawing>
      </w:r>
    </w:p>
    <w:p w14:paraId="3EF971F2" w14:textId="776929AF" w:rsidR="00FF70CC" w:rsidRPr="00FF70CC" w:rsidRDefault="00FF70CC" w:rsidP="00FF70CC">
      <w:pPr>
        <w:pStyle w:val="FIG-LONG"/>
      </w:pPr>
      <w:r w:rsidRPr="00FF70CC">
        <w:t>F</w:t>
      </w:r>
      <w:r w:rsidRPr="00FF70CC">
        <w:t>IG</w:t>
      </w:r>
      <w:r w:rsidRPr="00FF70CC">
        <w:t>. 6.</w:t>
      </w:r>
      <w:r>
        <w:tab/>
      </w:r>
      <w:r w:rsidRPr="00FF70CC">
        <w:t>LARs from spent nuclear fuel generated by thermal reactors and natural uranium, the risk was estimated in relation to normalized to 1 mSv of radiological impact of the uranium ore; the curves will cross, as defined with the use of linear interpolation, in 20,513.</w:t>
      </w:r>
    </w:p>
    <w:p w14:paraId="46FB86F0" w14:textId="1B13F415" w:rsidR="00FF70CC" w:rsidRDefault="00FF70CC" w:rsidP="000A2990">
      <w:pPr>
        <w:pStyle w:val="a1"/>
        <w:rPr>
          <w:lang w:val="en-US"/>
        </w:rPr>
      </w:pPr>
    </w:p>
    <w:p w14:paraId="095F6A4E" w14:textId="77777777" w:rsidR="00FF70CC" w:rsidRPr="00741A91" w:rsidRDefault="00FF70CC" w:rsidP="00741A91">
      <w:pPr>
        <w:pStyle w:val="a1"/>
        <w:jc w:val="center"/>
        <w:rPr>
          <w:noProof/>
        </w:rPr>
      </w:pPr>
      <w:r w:rsidRPr="00E66426">
        <w:rPr>
          <w:noProof/>
        </w:rPr>
        <w:drawing>
          <wp:inline distT="0" distB="0" distL="0" distR="0" wp14:anchorId="72963268" wp14:editId="73F998DF">
            <wp:extent cx="4704139" cy="2728340"/>
            <wp:effectExtent l="0" t="0" r="127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722590" cy="2739041"/>
                    </a:xfrm>
                    <a:prstGeom prst="rect">
                      <a:avLst/>
                    </a:prstGeom>
                    <a:noFill/>
                    <a:ln w="9525">
                      <a:noFill/>
                      <a:miter lim="800000"/>
                      <a:headEnd/>
                      <a:tailEnd/>
                    </a:ln>
                  </pic:spPr>
                </pic:pic>
              </a:graphicData>
            </a:graphic>
          </wp:inline>
        </w:drawing>
      </w:r>
    </w:p>
    <w:p w14:paraId="2C7DEA75" w14:textId="14F7FDAB" w:rsidR="00FF70CC" w:rsidRPr="00FF70CC" w:rsidRDefault="00FF70CC" w:rsidP="00FF70CC">
      <w:pPr>
        <w:pStyle w:val="Figurecaption"/>
      </w:pPr>
      <w:r w:rsidRPr="00FF70CC">
        <w:t>F</w:t>
      </w:r>
      <w:r w:rsidRPr="00FF70CC">
        <w:t>IG</w:t>
      </w:r>
      <w:r w:rsidRPr="00FF70CC">
        <w:t>. 7. Contribution of dominating radionuclides from spent fuel to lifetime attributable risk.</w:t>
      </w:r>
    </w:p>
    <w:p w14:paraId="433FE053" w14:textId="1032FF3A" w:rsidR="00EE0041" w:rsidRDefault="00FF70CC" w:rsidP="0026525A">
      <w:pPr>
        <w:pStyle w:val="2"/>
        <w:numPr>
          <w:ilvl w:val="1"/>
          <w:numId w:val="10"/>
        </w:numPr>
      </w:pPr>
      <w:r w:rsidRPr="00FF70CC">
        <w:t>Conclusions</w:t>
      </w:r>
    </w:p>
    <w:p w14:paraId="30757ADB" w14:textId="384E620E" w:rsidR="00FF70CC" w:rsidRPr="00FF70CC" w:rsidRDefault="00FF70CC" w:rsidP="00FF70CC">
      <w:pPr>
        <w:pStyle w:val="a1"/>
        <w:rPr>
          <w:lang w:val="en-US"/>
        </w:rPr>
      </w:pPr>
      <w:r w:rsidRPr="00FF70CC">
        <w:rPr>
          <w:lang w:val="en-US"/>
        </w:rPr>
        <w:t xml:space="preserve">In </w:t>
      </w:r>
      <w:r w:rsidRPr="00FF70CC">
        <w:t>the</w:t>
      </w:r>
      <w:r w:rsidRPr="00FF70CC">
        <w:rPr>
          <w:lang w:val="en-US"/>
        </w:rPr>
        <w:t xml:space="preserve"> scenario of sustainable development of the large-scale Russia’s nuclear power in the 21st century based on thermal and fast reactors simultaneously operating in the mode of closed nuclear cycle, the results of this work show that, before 2100</w:t>
      </w:r>
      <w:r>
        <w:rPr>
          <w:lang w:val="en-US"/>
        </w:rPr>
        <w:t>,</w:t>
      </w:r>
      <w:r w:rsidRPr="00FF70CC">
        <w:rPr>
          <w:lang w:val="en-US"/>
        </w:rPr>
        <w:t xml:space="preserve"> 5.42</w:t>
      </w:r>
      <w:r>
        <w:rPr>
          <w:lang w:val="en-US"/>
        </w:rPr>
        <w:sym w:font="Symbol" w:char="F0B4"/>
      </w:r>
      <w:r w:rsidRPr="00FF70CC">
        <w:rPr>
          <w:lang w:val="en-US"/>
        </w:rPr>
        <w:t>10</w:t>
      </w:r>
      <w:r w:rsidRPr="00FF70CC">
        <w:rPr>
          <w:vertAlign w:val="superscript"/>
          <w:lang w:val="en-US"/>
        </w:rPr>
        <w:t>5</w:t>
      </w:r>
      <w:r w:rsidRPr="00FF70CC">
        <w:rPr>
          <w:lang w:val="en-US"/>
        </w:rPr>
        <w:t xml:space="preserve"> </w:t>
      </w:r>
      <w:r w:rsidRPr="00FF70CC">
        <w:rPr>
          <w:lang w:val="en-US"/>
        </w:rPr>
        <w:t xml:space="preserve">tons of raw uranium will be used for nuclear fuel fabrication and </w:t>
      </w:r>
      <w:r w:rsidRPr="00AE738E">
        <w:rPr>
          <w:lang w:val="en-US"/>
        </w:rPr>
        <w:t>7.52</w:t>
      </w:r>
      <w:r w:rsidRPr="00AE738E">
        <w:rPr>
          <w:lang w:val="en-US"/>
        </w:rPr>
        <w:sym w:font="Symbol" w:char="F0B4"/>
      </w:r>
      <w:r w:rsidRPr="00AE738E">
        <w:rPr>
          <w:lang w:val="en-US"/>
        </w:rPr>
        <w:t>10</w:t>
      </w:r>
      <w:r w:rsidR="00AE738E" w:rsidRPr="00AE738E">
        <w:rPr>
          <w:vertAlign w:val="superscript"/>
          <w:lang w:val="en-US"/>
        </w:rPr>
        <w:t>3</w:t>
      </w:r>
      <w:r w:rsidRPr="00AE738E">
        <w:rPr>
          <w:lang w:val="en-US"/>
        </w:rPr>
        <w:t xml:space="preserve"> tons of long-lived radioactiv</w:t>
      </w:r>
      <w:bookmarkStart w:id="6" w:name="_GoBack"/>
      <w:bookmarkEnd w:id="6"/>
      <w:r w:rsidRPr="00AE738E">
        <w:rPr>
          <w:lang w:val="en-US"/>
        </w:rPr>
        <w:t xml:space="preserve">e waste will be accumulated. With account of the mass ratio the equivalence </w:t>
      </w:r>
      <w:r w:rsidRPr="00FF70CC">
        <w:rPr>
          <w:lang w:val="en-US"/>
        </w:rPr>
        <w:t>of committed effective doses from the radioactive waste and raw uranium will be achieved after 287-year hold-up, the equivalence of lifetime attributable risks will be achieved after 99-year hold-up. Radiological equivalence will be achieved 188 years earlier than radiation equivalence.</w:t>
      </w:r>
    </w:p>
    <w:p w14:paraId="25F6F78E" w14:textId="3117D968" w:rsidR="00FF70CC" w:rsidRPr="00FF70CC" w:rsidRDefault="00FF70CC" w:rsidP="00FF70CC">
      <w:pPr>
        <w:pStyle w:val="a1"/>
        <w:rPr>
          <w:lang w:val="en-US"/>
        </w:rPr>
      </w:pPr>
      <w:r w:rsidRPr="00FF70CC">
        <w:rPr>
          <w:lang w:val="en-US"/>
        </w:rPr>
        <w:t xml:space="preserve">If a </w:t>
      </w:r>
      <w:r w:rsidRPr="00FF70CC">
        <w:t>hold</w:t>
      </w:r>
      <w:r w:rsidRPr="00FF70CC">
        <w:rPr>
          <w:lang w:val="en-US"/>
        </w:rPr>
        <w:t>-up period exceeds 100</w:t>
      </w:r>
      <w:r>
        <w:rPr>
          <w:lang w:val="en-US"/>
        </w:rPr>
        <w:t>–</w:t>
      </w:r>
      <w:r w:rsidRPr="00FF70CC">
        <w:rPr>
          <w:lang w:val="en-US"/>
        </w:rPr>
        <w:t xml:space="preserve">150 years isotope of </w:t>
      </w:r>
      <w:r w:rsidRPr="00FF70CC">
        <w:rPr>
          <w:vertAlign w:val="superscript"/>
          <w:lang w:val="en-US" w:bidi="en-US"/>
        </w:rPr>
        <w:t>241</w:t>
      </w:r>
      <w:r w:rsidRPr="00FF70CC">
        <w:rPr>
          <w:lang w:val="en-US" w:bidi="en-US"/>
        </w:rPr>
        <w:t xml:space="preserve">Am becomes </w:t>
      </w:r>
      <w:r w:rsidRPr="00FF70CC">
        <w:rPr>
          <w:lang w:val="en-US"/>
        </w:rPr>
        <w:t>the dominating contributor both to dose and radiation risk.</w:t>
      </w:r>
    </w:p>
    <w:p w14:paraId="0E83CDD1" w14:textId="77777777" w:rsidR="00FF70CC" w:rsidRPr="00FF70CC" w:rsidRDefault="00FF70CC" w:rsidP="00FF70CC">
      <w:pPr>
        <w:pStyle w:val="a1"/>
        <w:rPr>
          <w:lang w:val="en-US"/>
        </w:rPr>
      </w:pPr>
      <w:r w:rsidRPr="00FF70CC">
        <w:rPr>
          <w:lang w:val="en-US"/>
        </w:rPr>
        <w:t xml:space="preserve">So, </w:t>
      </w:r>
      <w:r w:rsidRPr="00FF70CC">
        <w:t>due</w:t>
      </w:r>
      <w:r w:rsidRPr="00FF70CC">
        <w:rPr>
          <w:lang w:val="en-US"/>
        </w:rPr>
        <w:t xml:space="preserve"> to separation of americium from the waste the time of radiation and radiological equivalences achievement will be reduced. The principle of radiological equivalence provides stronger argument to justify the need to cut the time of waste hold-up.</w:t>
      </w:r>
    </w:p>
    <w:p w14:paraId="717B8C7C" w14:textId="77777777" w:rsidR="00FF70CC" w:rsidRPr="00FF70CC" w:rsidRDefault="00FF70CC" w:rsidP="00FF70CC">
      <w:pPr>
        <w:pStyle w:val="a1"/>
        <w:rPr>
          <w:lang w:val="en-US"/>
        </w:rPr>
      </w:pPr>
      <w:r w:rsidRPr="00FF70CC">
        <w:rPr>
          <w:lang w:val="en-US"/>
        </w:rPr>
        <w:lastRenderedPageBreak/>
        <w:t xml:space="preserve">In </w:t>
      </w:r>
      <w:r w:rsidRPr="00FF70CC">
        <w:t>the</w:t>
      </w:r>
      <w:r w:rsidRPr="00FF70CC">
        <w:rPr>
          <w:lang w:val="en-US"/>
        </w:rPr>
        <w:t xml:space="preserve"> presented scenario of sustainable development of the nuclear power with the use of thermal reactors only, the radiation equivalence is unachievable and radiological equivalence will be achieved in 20,000-year storage.</w:t>
      </w:r>
    </w:p>
    <w:p w14:paraId="433FE097" w14:textId="77777777" w:rsidR="00D26ADA" w:rsidRPr="00285755" w:rsidRDefault="00D26ADA" w:rsidP="00537496">
      <w:pPr>
        <w:pStyle w:val="Otherunnumberedheadings"/>
      </w:pPr>
      <w:r>
        <w:t>References</w:t>
      </w:r>
    </w:p>
    <w:p w14:paraId="3BA9F762" w14:textId="4370DCA6" w:rsidR="00D14A21" w:rsidRDefault="00D14A21" w:rsidP="00537496">
      <w:pPr>
        <w:pStyle w:val="Referencelist"/>
      </w:pPr>
      <w:r w:rsidRPr="00D14A21">
        <w:t>I</w:t>
      </w:r>
      <w:r w:rsidRPr="00D14A21">
        <w:t>VANOV</w:t>
      </w:r>
      <w:r>
        <w:t>,</w:t>
      </w:r>
      <w:r w:rsidRPr="00D14A21">
        <w:t xml:space="preserve"> </w:t>
      </w:r>
      <w:proofErr w:type="spellStart"/>
      <w:r w:rsidRPr="00D14A21">
        <w:t>V</w:t>
      </w:r>
      <w:r>
        <w:t>.</w:t>
      </w:r>
      <w:r w:rsidRPr="00D14A21">
        <w:t>K</w:t>
      </w:r>
      <w:proofErr w:type="spellEnd"/>
      <w:r>
        <w:t xml:space="preserve">. et al., </w:t>
      </w:r>
      <w:r w:rsidRPr="00D14A21">
        <w:t>Radiation and radiological equivalence of nuclear waste for the dual-component nuclear power</w:t>
      </w:r>
      <w:r>
        <w:t>,</w:t>
      </w:r>
      <w:r w:rsidRPr="00D14A21">
        <w:t xml:space="preserve"> Radiation and Risk </w:t>
      </w:r>
      <w:r w:rsidRPr="00D14A21">
        <w:rPr>
          <w:b/>
        </w:rPr>
        <w:t>28</w:t>
      </w:r>
      <w:r>
        <w:t xml:space="preserve"> </w:t>
      </w:r>
      <w:r w:rsidRPr="00D14A21">
        <w:t>1</w:t>
      </w:r>
      <w:r>
        <w:t xml:space="preserve"> (2019) </w:t>
      </w:r>
      <w:r w:rsidRPr="00D14A21">
        <w:t>5–25 (in Russian).</w:t>
      </w:r>
    </w:p>
    <w:p w14:paraId="234B2B59" w14:textId="5BCD9A74" w:rsidR="00D14A21" w:rsidRDefault="00D14A21" w:rsidP="00537496">
      <w:pPr>
        <w:pStyle w:val="Referencelist"/>
      </w:pPr>
      <w:proofErr w:type="spellStart"/>
      <w:r w:rsidRPr="00D14A21">
        <w:t>A</w:t>
      </w:r>
      <w:r w:rsidRPr="00D14A21">
        <w:t>DAMOV</w:t>
      </w:r>
      <w:proofErr w:type="spellEnd"/>
      <w:r>
        <w:t>,</w:t>
      </w:r>
      <w:r w:rsidRPr="00D14A21">
        <w:t xml:space="preserve"> </w:t>
      </w:r>
      <w:proofErr w:type="spellStart"/>
      <w:r w:rsidRPr="00D14A21">
        <w:t>E</w:t>
      </w:r>
      <w:r>
        <w:t>.</w:t>
      </w:r>
      <w:r w:rsidRPr="00D14A21">
        <w:t>O</w:t>
      </w:r>
      <w:proofErr w:type="spellEnd"/>
      <w:r>
        <w:t>. et al.</w:t>
      </w:r>
      <w:r w:rsidRPr="00D14A21">
        <w:t>, Conceptual framework of a strategy for the development of nuclear power in Russia to 2100</w:t>
      </w:r>
      <w:r>
        <w:t>,</w:t>
      </w:r>
      <w:r w:rsidRPr="00D14A21">
        <w:t xml:space="preserve"> Atomic Energy </w:t>
      </w:r>
      <w:r w:rsidRPr="00D14A21">
        <w:rPr>
          <w:b/>
        </w:rPr>
        <w:t>112</w:t>
      </w:r>
      <w:r>
        <w:t xml:space="preserve"> </w:t>
      </w:r>
      <w:r w:rsidRPr="00D14A21">
        <w:t>6</w:t>
      </w:r>
      <w:r>
        <w:t xml:space="preserve"> (2012) </w:t>
      </w:r>
      <w:r w:rsidRPr="00D14A21">
        <w:t>391–403.</w:t>
      </w:r>
    </w:p>
    <w:p w14:paraId="72A4167B" w14:textId="7B35364B" w:rsidR="00D14A21" w:rsidRDefault="00D14A21" w:rsidP="00537496">
      <w:pPr>
        <w:pStyle w:val="Referencelist"/>
      </w:pPr>
      <w:r w:rsidRPr="00D14A21">
        <w:t>I</w:t>
      </w:r>
      <w:r w:rsidRPr="00D14A21">
        <w:t>VANOV</w:t>
      </w:r>
      <w:r>
        <w:t>,</w:t>
      </w:r>
      <w:r w:rsidRPr="00D14A21">
        <w:t xml:space="preserve"> </w:t>
      </w:r>
      <w:proofErr w:type="spellStart"/>
      <w:r w:rsidRPr="00D14A21">
        <w:t>V.K</w:t>
      </w:r>
      <w:proofErr w:type="spellEnd"/>
      <w:r w:rsidRPr="00D14A21">
        <w:t xml:space="preserve">., </w:t>
      </w:r>
      <w:proofErr w:type="spellStart"/>
      <w:r w:rsidRPr="00D14A21">
        <w:t>ADAMOV</w:t>
      </w:r>
      <w:proofErr w:type="spellEnd"/>
      <w:r>
        <w:t>,</w:t>
      </w:r>
      <w:r w:rsidRPr="00D14A21">
        <w:t xml:space="preserve"> </w:t>
      </w:r>
      <w:proofErr w:type="spellStart"/>
      <w:r w:rsidRPr="00D14A21">
        <w:t>E.O</w:t>
      </w:r>
      <w:proofErr w:type="spellEnd"/>
      <w:r w:rsidRPr="00D14A21">
        <w:t>.</w:t>
      </w:r>
      <w:r>
        <w:t>,</w:t>
      </w:r>
      <w:r w:rsidRPr="00D14A21">
        <w:t xml:space="preserve"> Nuclear power of new generation: radiological sustainability and environmental advantages</w:t>
      </w:r>
      <w:r>
        <w:t>,</w:t>
      </w:r>
      <w:r w:rsidRPr="00D14A21">
        <w:t xml:space="preserve"> Publisher </w:t>
      </w:r>
      <w:r>
        <w:t>“</w:t>
      </w:r>
      <w:r w:rsidRPr="00D14A21">
        <w:t>Pero</w:t>
      </w:r>
      <w:r>
        <w:t xml:space="preserve">”, </w:t>
      </w:r>
      <w:r w:rsidRPr="00D14A21">
        <w:t xml:space="preserve">Moscow </w:t>
      </w:r>
      <w:r>
        <w:t>(</w:t>
      </w:r>
      <w:r w:rsidRPr="00D14A21">
        <w:t>2019</w:t>
      </w:r>
      <w:r>
        <w:t>)</w:t>
      </w:r>
      <w:r w:rsidRPr="00D14A21">
        <w:t xml:space="preserve"> (in Russian).</w:t>
      </w:r>
    </w:p>
    <w:p w14:paraId="433FE0B6" w14:textId="4D4C3307" w:rsidR="00F45EEE" w:rsidRDefault="00F45EEE" w:rsidP="00537496">
      <w:pPr>
        <w:pStyle w:val="a1"/>
        <w:ind w:firstLine="0"/>
        <w:jc w:val="left"/>
      </w:pPr>
    </w:p>
    <w:sectPr w:rsidR="00F45EEE" w:rsidSect="0026525A">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BF214" w14:textId="77777777" w:rsidR="00F73892" w:rsidRDefault="00F73892">
      <w:r>
        <w:separator/>
      </w:r>
    </w:p>
  </w:endnote>
  <w:endnote w:type="continuationSeparator" w:id="0">
    <w:p w14:paraId="0E0D6DF6" w14:textId="77777777" w:rsidR="00F73892" w:rsidRDefault="00F73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8"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8"/>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9"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830A0" w14:textId="77777777" w:rsidR="00F73892" w:rsidRDefault="00F73892">
      <w:r>
        <w:t>___________________________________________________________________________</w:t>
      </w:r>
    </w:p>
  </w:footnote>
  <w:footnote w:type="continuationSeparator" w:id="0">
    <w:p w14:paraId="4EA4E2A9" w14:textId="77777777" w:rsidR="00F73892" w:rsidRDefault="00F73892">
      <w:r>
        <w:t>___________________________________________________________________________</w:t>
      </w:r>
    </w:p>
  </w:footnote>
  <w:footnote w:type="continuationNotice" w:id="1">
    <w:p w14:paraId="3E9D902E" w14:textId="77777777" w:rsidR="00F73892" w:rsidRDefault="00F738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0" w14:textId="2F728B3A" w:rsidR="00CF7AF3" w:rsidRDefault="00CF7AF3" w:rsidP="00CF7AF3">
    <w:pPr>
      <w:pStyle w:val="Runninghead"/>
    </w:pPr>
    <w:r>
      <w:tab/>
    </w:r>
    <w:r w:rsidR="002C29DB">
      <w:t xml:space="preserve">FR21: </w:t>
    </w:r>
    <w:r>
      <w:t>IAEA-CN-</w:t>
    </w:r>
    <w:r w:rsidR="002C29DB">
      <w:t>291</w:t>
    </w:r>
    <w:r>
      <w:t>/</w:t>
    </w:r>
    <w:r w:rsidR="002C29DB">
      <w:t>## (Replace ## with contribution ID Number</w:t>
    </w:r>
    <w:r w:rsidR="00CA0102">
      <w:t>)</w:t>
    </w:r>
  </w:p>
  <w:p w14:paraId="433FE0C1" w14:textId="362ABA6E" w:rsidR="00CF7AF3" w:rsidRPr="00716603" w:rsidRDefault="00716603" w:rsidP="00CF7AF3">
    <w:pPr>
      <w:jc w:val="center"/>
      <w:rPr>
        <w:b/>
        <w:sz w:val="16"/>
        <w:szCs w:val="16"/>
      </w:rPr>
    </w:pPr>
    <w:r w:rsidRPr="00716603">
      <w:rPr>
        <w:b/>
        <w:sz w:val="16"/>
        <w:szCs w:val="16"/>
      </w:rPr>
      <w:t>NEXT GENERATION NUCLEAR POWER</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4" w14:textId="06DC5D8E" w:rsidR="00E20E70" w:rsidRDefault="00716603" w:rsidP="00B82FA5">
    <w:pPr>
      <w:pStyle w:val="Runninghead"/>
    </w:pPr>
    <w:r>
      <w:t>IVANOV et al.</w:t>
    </w:r>
  </w:p>
  <w:p w14:paraId="433FE0C5" w14:textId="4EFDB2C1"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7"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7"/>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9"/>
            <w:spacing w:before="0" w:after="10"/>
          </w:pPr>
        </w:p>
      </w:tc>
      <w:tc>
        <w:tcPr>
          <w:tcW w:w="5702" w:type="dxa"/>
          <w:vMerge/>
          <w:vAlign w:val="bottom"/>
        </w:tcPr>
        <w:p w14:paraId="433FE0D1" w14:textId="77777777" w:rsidR="00E20E70" w:rsidRDefault="00E20E70">
          <w:pPr>
            <w:pStyle w:val="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num>
  <w:num w:numId="34">
    <w:abstractNumId w:val="10"/>
  </w:num>
  <w:num w:numId="35">
    <w:abstractNumId w:val="6"/>
  </w:num>
  <w:num w:numId="36">
    <w:abstractNumId w:val="6"/>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29AB"/>
    <w:rsid w:val="0002569A"/>
    <w:rsid w:val="00037321"/>
    <w:rsid w:val="00093A64"/>
    <w:rsid w:val="000A0299"/>
    <w:rsid w:val="000A2990"/>
    <w:rsid w:val="000C4332"/>
    <w:rsid w:val="000F7E94"/>
    <w:rsid w:val="001119D6"/>
    <w:rsid w:val="001308F2"/>
    <w:rsid w:val="001313E8"/>
    <w:rsid w:val="00183BC4"/>
    <w:rsid w:val="001C58F5"/>
    <w:rsid w:val="001D5CEE"/>
    <w:rsid w:val="002071D9"/>
    <w:rsid w:val="0023450F"/>
    <w:rsid w:val="00256822"/>
    <w:rsid w:val="0026525A"/>
    <w:rsid w:val="00274790"/>
    <w:rsid w:val="00285755"/>
    <w:rsid w:val="002A1F9C"/>
    <w:rsid w:val="002B29C2"/>
    <w:rsid w:val="002C29DB"/>
    <w:rsid w:val="002C4208"/>
    <w:rsid w:val="00352DE1"/>
    <w:rsid w:val="003728E6"/>
    <w:rsid w:val="003B5E0E"/>
    <w:rsid w:val="003D255A"/>
    <w:rsid w:val="00416949"/>
    <w:rsid w:val="004370D8"/>
    <w:rsid w:val="00472C43"/>
    <w:rsid w:val="00537496"/>
    <w:rsid w:val="00544ED3"/>
    <w:rsid w:val="00575C9F"/>
    <w:rsid w:val="0058477B"/>
    <w:rsid w:val="0058654F"/>
    <w:rsid w:val="00596ACA"/>
    <w:rsid w:val="005A5DFE"/>
    <w:rsid w:val="005B27E4"/>
    <w:rsid w:val="005E39BC"/>
    <w:rsid w:val="005F00A0"/>
    <w:rsid w:val="00647F33"/>
    <w:rsid w:val="00662532"/>
    <w:rsid w:val="006B2274"/>
    <w:rsid w:val="006D5C96"/>
    <w:rsid w:val="00716603"/>
    <w:rsid w:val="00717C6F"/>
    <w:rsid w:val="00741A91"/>
    <w:rsid w:val="007445DA"/>
    <w:rsid w:val="007B4FD1"/>
    <w:rsid w:val="007F4E38"/>
    <w:rsid w:val="00802381"/>
    <w:rsid w:val="0083096A"/>
    <w:rsid w:val="0086759F"/>
    <w:rsid w:val="00871F40"/>
    <w:rsid w:val="00883848"/>
    <w:rsid w:val="00897ED5"/>
    <w:rsid w:val="008B6BB9"/>
    <w:rsid w:val="00911543"/>
    <w:rsid w:val="009519C9"/>
    <w:rsid w:val="00981A5A"/>
    <w:rsid w:val="009D0B86"/>
    <w:rsid w:val="009E0D5B"/>
    <w:rsid w:val="009E1558"/>
    <w:rsid w:val="00A00189"/>
    <w:rsid w:val="00A233D1"/>
    <w:rsid w:val="00A42898"/>
    <w:rsid w:val="00A57919"/>
    <w:rsid w:val="00AB6ACE"/>
    <w:rsid w:val="00AC5A3A"/>
    <w:rsid w:val="00AE738E"/>
    <w:rsid w:val="00B604BE"/>
    <w:rsid w:val="00B82FA5"/>
    <w:rsid w:val="00BD1400"/>
    <w:rsid w:val="00BD605C"/>
    <w:rsid w:val="00BE2A76"/>
    <w:rsid w:val="00BF1901"/>
    <w:rsid w:val="00C65E60"/>
    <w:rsid w:val="00CA0102"/>
    <w:rsid w:val="00CC7183"/>
    <w:rsid w:val="00CE5A52"/>
    <w:rsid w:val="00CF7AF3"/>
    <w:rsid w:val="00D14A21"/>
    <w:rsid w:val="00D26ADA"/>
    <w:rsid w:val="00D35A78"/>
    <w:rsid w:val="00D555A1"/>
    <w:rsid w:val="00D64DC2"/>
    <w:rsid w:val="00DA46CA"/>
    <w:rsid w:val="00DF21EB"/>
    <w:rsid w:val="00E20E70"/>
    <w:rsid w:val="00E25B68"/>
    <w:rsid w:val="00E84003"/>
    <w:rsid w:val="00EC10FC"/>
    <w:rsid w:val="00ED0A99"/>
    <w:rsid w:val="00EE0041"/>
    <w:rsid w:val="00EE29B9"/>
    <w:rsid w:val="00F004EE"/>
    <w:rsid w:val="00F42E23"/>
    <w:rsid w:val="00F45EEE"/>
    <w:rsid w:val="00F51E9C"/>
    <w:rsid w:val="00F523CA"/>
    <w:rsid w:val="00F73892"/>
    <w:rsid w:val="00F74A9D"/>
    <w:rsid w:val="00FB1631"/>
    <w:rsid w:val="00FF386F"/>
    <w:rsid w:val="00FF7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4"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3"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Нижний колонтитул Знак"/>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Основной текст Знак"/>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Текст выноски Знак"/>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1">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2"/>
    <w:uiPriority w:val="49"/>
    <w:semiHidden/>
    <w:unhideWhenUsed/>
    <w:locked/>
    <w:rsid w:val="00A233D1"/>
    <w:rPr>
      <w:sz w:val="16"/>
      <w:szCs w:val="16"/>
    </w:rPr>
  </w:style>
  <w:style w:type="paragraph" w:styleId="af3">
    <w:name w:val="annotation text"/>
    <w:basedOn w:val="a"/>
    <w:link w:val="af4"/>
    <w:uiPriority w:val="49"/>
    <w:semiHidden/>
    <w:unhideWhenUsed/>
    <w:locked/>
    <w:rsid w:val="00A233D1"/>
    <w:rPr>
      <w:sz w:val="20"/>
    </w:rPr>
  </w:style>
  <w:style w:type="character" w:customStyle="1" w:styleId="af4">
    <w:name w:val="Текст примечания Знак"/>
    <w:basedOn w:val="a2"/>
    <w:link w:val="af3"/>
    <w:uiPriority w:val="49"/>
    <w:semiHidden/>
    <w:rsid w:val="00A233D1"/>
    <w:rPr>
      <w:lang w:eastAsia="en-US"/>
    </w:rPr>
  </w:style>
  <w:style w:type="paragraph" w:styleId="af5">
    <w:name w:val="annotation subject"/>
    <w:basedOn w:val="af3"/>
    <w:next w:val="af3"/>
    <w:link w:val="af6"/>
    <w:uiPriority w:val="49"/>
    <w:semiHidden/>
    <w:unhideWhenUsed/>
    <w:locked/>
    <w:rsid w:val="00A233D1"/>
    <w:rPr>
      <w:b/>
      <w:bCs/>
    </w:rPr>
  </w:style>
  <w:style w:type="character" w:customStyle="1" w:styleId="af6">
    <w:name w:val="Тема примечания Знак"/>
    <w:basedOn w:val="af4"/>
    <w:link w:val="af5"/>
    <w:uiPriority w:val="49"/>
    <w:semiHidden/>
    <w:rsid w:val="00A233D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195782583406757E-2"/>
          <c:y val="6.1608432396400396E-2"/>
          <c:w val="0.87252307077932789"/>
          <c:h val="0.67771303188534604"/>
        </c:manualLayout>
      </c:layout>
      <c:scatterChart>
        <c:scatterStyle val="lineMarker"/>
        <c:varyColors val="0"/>
        <c:ser>
          <c:idx val="0"/>
          <c:order val="0"/>
          <c:tx>
            <c:v> Thermal-neutron reactors (TNR)</c:v>
          </c:tx>
          <c:marker>
            <c:symbol val="none"/>
          </c:marker>
          <c:xVal>
            <c:numRef>
              <c:f>Sheet1!$A$2:$A$129</c:f>
              <c:numCache>
                <c:formatCode>General</c:formatCode>
                <c:ptCount val="128"/>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pt idx="46">
                  <c:v>2021</c:v>
                </c:pt>
                <c:pt idx="47">
                  <c:v>2022</c:v>
                </c:pt>
                <c:pt idx="48">
                  <c:v>2023</c:v>
                </c:pt>
                <c:pt idx="49">
                  <c:v>2024</c:v>
                </c:pt>
                <c:pt idx="50">
                  <c:v>2025</c:v>
                </c:pt>
                <c:pt idx="51">
                  <c:v>2026</c:v>
                </c:pt>
                <c:pt idx="52">
                  <c:v>2027</c:v>
                </c:pt>
                <c:pt idx="53">
                  <c:v>2028</c:v>
                </c:pt>
                <c:pt idx="54">
                  <c:v>2029</c:v>
                </c:pt>
                <c:pt idx="55">
                  <c:v>2030</c:v>
                </c:pt>
                <c:pt idx="56">
                  <c:v>2031</c:v>
                </c:pt>
                <c:pt idx="57">
                  <c:v>2032</c:v>
                </c:pt>
                <c:pt idx="58">
                  <c:v>2033</c:v>
                </c:pt>
                <c:pt idx="59">
                  <c:v>2034</c:v>
                </c:pt>
                <c:pt idx="60">
                  <c:v>2035</c:v>
                </c:pt>
                <c:pt idx="61">
                  <c:v>2036</c:v>
                </c:pt>
                <c:pt idx="62">
                  <c:v>2037</c:v>
                </c:pt>
                <c:pt idx="63">
                  <c:v>2038</c:v>
                </c:pt>
                <c:pt idx="64">
                  <c:v>2039</c:v>
                </c:pt>
                <c:pt idx="65">
                  <c:v>2040</c:v>
                </c:pt>
                <c:pt idx="66">
                  <c:v>2041</c:v>
                </c:pt>
                <c:pt idx="67">
                  <c:v>2042</c:v>
                </c:pt>
                <c:pt idx="68">
                  <c:v>2043</c:v>
                </c:pt>
                <c:pt idx="69">
                  <c:v>2044</c:v>
                </c:pt>
                <c:pt idx="70">
                  <c:v>2045</c:v>
                </c:pt>
                <c:pt idx="71">
                  <c:v>2046</c:v>
                </c:pt>
                <c:pt idx="72">
                  <c:v>2047</c:v>
                </c:pt>
                <c:pt idx="73">
                  <c:v>2048</c:v>
                </c:pt>
                <c:pt idx="74">
                  <c:v>2049</c:v>
                </c:pt>
                <c:pt idx="75">
                  <c:v>2050</c:v>
                </c:pt>
                <c:pt idx="76">
                  <c:v>2051</c:v>
                </c:pt>
                <c:pt idx="77">
                  <c:v>2052</c:v>
                </c:pt>
                <c:pt idx="78">
                  <c:v>2053</c:v>
                </c:pt>
                <c:pt idx="79">
                  <c:v>2054</c:v>
                </c:pt>
                <c:pt idx="80">
                  <c:v>2055</c:v>
                </c:pt>
                <c:pt idx="81">
                  <c:v>2056</c:v>
                </c:pt>
                <c:pt idx="82">
                  <c:v>2057</c:v>
                </c:pt>
                <c:pt idx="83">
                  <c:v>2058</c:v>
                </c:pt>
                <c:pt idx="84">
                  <c:v>2059</c:v>
                </c:pt>
                <c:pt idx="85">
                  <c:v>2060</c:v>
                </c:pt>
                <c:pt idx="86">
                  <c:v>2061</c:v>
                </c:pt>
                <c:pt idx="87">
                  <c:v>2062</c:v>
                </c:pt>
                <c:pt idx="88">
                  <c:v>2063</c:v>
                </c:pt>
                <c:pt idx="89">
                  <c:v>2064</c:v>
                </c:pt>
                <c:pt idx="90">
                  <c:v>2065</c:v>
                </c:pt>
                <c:pt idx="91">
                  <c:v>2066</c:v>
                </c:pt>
                <c:pt idx="92">
                  <c:v>2067</c:v>
                </c:pt>
                <c:pt idx="93">
                  <c:v>2068</c:v>
                </c:pt>
                <c:pt idx="94">
                  <c:v>2069</c:v>
                </c:pt>
                <c:pt idx="95">
                  <c:v>2070</c:v>
                </c:pt>
                <c:pt idx="96">
                  <c:v>2071</c:v>
                </c:pt>
                <c:pt idx="97">
                  <c:v>2072</c:v>
                </c:pt>
                <c:pt idx="98">
                  <c:v>2073</c:v>
                </c:pt>
                <c:pt idx="99">
                  <c:v>2074</c:v>
                </c:pt>
                <c:pt idx="100">
                  <c:v>2075</c:v>
                </c:pt>
                <c:pt idx="101">
                  <c:v>2076</c:v>
                </c:pt>
                <c:pt idx="102">
                  <c:v>2077</c:v>
                </c:pt>
                <c:pt idx="103">
                  <c:v>2078</c:v>
                </c:pt>
                <c:pt idx="104">
                  <c:v>2079</c:v>
                </c:pt>
                <c:pt idx="105">
                  <c:v>2080</c:v>
                </c:pt>
                <c:pt idx="106">
                  <c:v>2081</c:v>
                </c:pt>
                <c:pt idx="107">
                  <c:v>2082</c:v>
                </c:pt>
                <c:pt idx="108">
                  <c:v>2083</c:v>
                </c:pt>
                <c:pt idx="109">
                  <c:v>2084</c:v>
                </c:pt>
                <c:pt idx="110">
                  <c:v>2085</c:v>
                </c:pt>
                <c:pt idx="111">
                  <c:v>2086</c:v>
                </c:pt>
                <c:pt idx="112">
                  <c:v>2087</c:v>
                </c:pt>
                <c:pt idx="113">
                  <c:v>2088</c:v>
                </c:pt>
                <c:pt idx="114">
                  <c:v>2089</c:v>
                </c:pt>
                <c:pt idx="115">
                  <c:v>2090</c:v>
                </c:pt>
                <c:pt idx="116">
                  <c:v>2091</c:v>
                </c:pt>
                <c:pt idx="117">
                  <c:v>2092</c:v>
                </c:pt>
                <c:pt idx="118">
                  <c:v>2093</c:v>
                </c:pt>
                <c:pt idx="119">
                  <c:v>2094</c:v>
                </c:pt>
                <c:pt idx="120">
                  <c:v>2095</c:v>
                </c:pt>
                <c:pt idx="121">
                  <c:v>2096</c:v>
                </c:pt>
                <c:pt idx="122">
                  <c:v>2097</c:v>
                </c:pt>
                <c:pt idx="123">
                  <c:v>2098</c:v>
                </c:pt>
                <c:pt idx="124">
                  <c:v>2099</c:v>
                </c:pt>
                <c:pt idx="125">
                  <c:v>2100</c:v>
                </c:pt>
              </c:numCache>
            </c:numRef>
          </c:xVal>
          <c:yVal>
            <c:numRef>
              <c:f>Sheet1!$B$2:$B$129</c:f>
              <c:numCache>
                <c:formatCode>0.00E+00</c:formatCode>
                <c:ptCount val="128"/>
                <c:pt idx="0">
                  <c:v>3.6680000000000001</c:v>
                </c:pt>
                <c:pt idx="1">
                  <c:v>3.6680000000000001</c:v>
                </c:pt>
                <c:pt idx="2">
                  <c:v>3.6680000000000001</c:v>
                </c:pt>
                <c:pt idx="3">
                  <c:v>3.6680000000000001</c:v>
                </c:pt>
                <c:pt idx="4">
                  <c:v>3.6680000000000001</c:v>
                </c:pt>
                <c:pt idx="5">
                  <c:v>7.6679999999999806</c:v>
                </c:pt>
                <c:pt idx="6">
                  <c:v>7.6679999999999806</c:v>
                </c:pt>
                <c:pt idx="7">
                  <c:v>7.6679999999999806</c:v>
                </c:pt>
                <c:pt idx="8">
                  <c:v>7.6679999999999806</c:v>
                </c:pt>
                <c:pt idx="9">
                  <c:v>7.6679999999999806</c:v>
                </c:pt>
                <c:pt idx="10">
                  <c:v>15.55</c:v>
                </c:pt>
                <c:pt idx="11">
                  <c:v>15.55</c:v>
                </c:pt>
                <c:pt idx="12">
                  <c:v>15.55</c:v>
                </c:pt>
                <c:pt idx="13">
                  <c:v>15.55</c:v>
                </c:pt>
                <c:pt idx="14">
                  <c:v>15.55</c:v>
                </c:pt>
                <c:pt idx="15">
                  <c:v>19.55</c:v>
                </c:pt>
                <c:pt idx="16">
                  <c:v>19.55</c:v>
                </c:pt>
                <c:pt idx="17">
                  <c:v>19.55</c:v>
                </c:pt>
                <c:pt idx="18">
                  <c:v>19.55</c:v>
                </c:pt>
                <c:pt idx="19">
                  <c:v>19.55</c:v>
                </c:pt>
                <c:pt idx="20">
                  <c:v>20.55</c:v>
                </c:pt>
                <c:pt idx="21">
                  <c:v>20.55</c:v>
                </c:pt>
                <c:pt idx="22">
                  <c:v>20.55</c:v>
                </c:pt>
                <c:pt idx="23">
                  <c:v>20.55</c:v>
                </c:pt>
                <c:pt idx="24">
                  <c:v>20.55</c:v>
                </c:pt>
                <c:pt idx="25">
                  <c:v>20.55</c:v>
                </c:pt>
                <c:pt idx="26">
                  <c:v>20.55</c:v>
                </c:pt>
                <c:pt idx="27">
                  <c:v>20.55</c:v>
                </c:pt>
                <c:pt idx="28">
                  <c:v>20.55</c:v>
                </c:pt>
                <c:pt idx="29">
                  <c:v>20.55</c:v>
                </c:pt>
                <c:pt idx="30">
                  <c:v>22.55</c:v>
                </c:pt>
                <c:pt idx="31">
                  <c:v>22.55</c:v>
                </c:pt>
                <c:pt idx="32">
                  <c:v>22.55</c:v>
                </c:pt>
                <c:pt idx="33">
                  <c:v>22.55</c:v>
                </c:pt>
                <c:pt idx="34">
                  <c:v>22.55</c:v>
                </c:pt>
                <c:pt idx="35">
                  <c:v>23.55</c:v>
                </c:pt>
                <c:pt idx="36">
                  <c:v>23.55</c:v>
                </c:pt>
                <c:pt idx="37">
                  <c:v>23.55</c:v>
                </c:pt>
                <c:pt idx="38">
                  <c:v>23.55</c:v>
                </c:pt>
                <c:pt idx="39">
                  <c:v>23.55</c:v>
                </c:pt>
                <c:pt idx="40">
                  <c:v>25.55</c:v>
                </c:pt>
                <c:pt idx="41">
                  <c:v>25.55</c:v>
                </c:pt>
                <c:pt idx="42">
                  <c:v>25.55</c:v>
                </c:pt>
                <c:pt idx="43">
                  <c:v>25.55</c:v>
                </c:pt>
                <c:pt idx="44">
                  <c:v>25.55</c:v>
                </c:pt>
                <c:pt idx="45">
                  <c:v>30.03</c:v>
                </c:pt>
                <c:pt idx="46">
                  <c:v>30.03</c:v>
                </c:pt>
                <c:pt idx="47">
                  <c:v>30.03</c:v>
                </c:pt>
                <c:pt idx="48">
                  <c:v>30.03</c:v>
                </c:pt>
                <c:pt idx="49">
                  <c:v>30.03</c:v>
                </c:pt>
                <c:pt idx="50">
                  <c:v>30.830000000000005</c:v>
                </c:pt>
                <c:pt idx="51">
                  <c:v>30.830000000000005</c:v>
                </c:pt>
                <c:pt idx="52">
                  <c:v>30.830000000000005</c:v>
                </c:pt>
                <c:pt idx="53">
                  <c:v>30.830000000000005</c:v>
                </c:pt>
                <c:pt idx="54">
                  <c:v>30.830000000000005</c:v>
                </c:pt>
                <c:pt idx="55">
                  <c:v>32.630000000000003</c:v>
                </c:pt>
                <c:pt idx="56">
                  <c:v>32.630000000000003</c:v>
                </c:pt>
                <c:pt idx="57">
                  <c:v>32.630000000000003</c:v>
                </c:pt>
                <c:pt idx="58">
                  <c:v>32.630000000000003</c:v>
                </c:pt>
                <c:pt idx="59">
                  <c:v>32.630000000000003</c:v>
                </c:pt>
                <c:pt idx="60">
                  <c:v>33.08</c:v>
                </c:pt>
                <c:pt idx="61">
                  <c:v>33.08</c:v>
                </c:pt>
                <c:pt idx="62">
                  <c:v>33.08</c:v>
                </c:pt>
                <c:pt idx="63">
                  <c:v>33.08</c:v>
                </c:pt>
                <c:pt idx="64">
                  <c:v>33.08</c:v>
                </c:pt>
                <c:pt idx="65">
                  <c:v>33.6</c:v>
                </c:pt>
                <c:pt idx="66">
                  <c:v>33.6</c:v>
                </c:pt>
                <c:pt idx="67">
                  <c:v>33.6</c:v>
                </c:pt>
                <c:pt idx="68">
                  <c:v>33.6</c:v>
                </c:pt>
                <c:pt idx="69">
                  <c:v>33.6</c:v>
                </c:pt>
                <c:pt idx="70">
                  <c:v>31.6</c:v>
                </c:pt>
                <c:pt idx="71">
                  <c:v>31.6</c:v>
                </c:pt>
                <c:pt idx="72">
                  <c:v>31.6</c:v>
                </c:pt>
                <c:pt idx="73">
                  <c:v>31.6</c:v>
                </c:pt>
                <c:pt idx="74">
                  <c:v>31.6</c:v>
                </c:pt>
                <c:pt idx="75">
                  <c:v>28.6</c:v>
                </c:pt>
                <c:pt idx="76">
                  <c:v>28.6</c:v>
                </c:pt>
                <c:pt idx="77">
                  <c:v>28.6</c:v>
                </c:pt>
                <c:pt idx="78">
                  <c:v>28.6</c:v>
                </c:pt>
                <c:pt idx="79">
                  <c:v>28.6</c:v>
                </c:pt>
                <c:pt idx="80">
                  <c:v>27.6</c:v>
                </c:pt>
                <c:pt idx="81">
                  <c:v>27.6</c:v>
                </c:pt>
                <c:pt idx="82">
                  <c:v>27.6</c:v>
                </c:pt>
                <c:pt idx="83">
                  <c:v>27.6</c:v>
                </c:pt>
                <c:pt idx="84">
                  <c:v>27.6</c:v>
                </c:pt>
                <c:pt idx="85">
                  <c:v>27.6</c:v>
                </c:pt>
                <c:pt idx="86">
                  <c:v>27.6</c:v>
                </c:pt>
                <c:pt idx="87">
                  <c:v>27.6</c:v>
                </c:pt>
                <c:pt idx="88">
                  <c:v>27.6</c:v>
                </c:pt>
                <c:pt idx="89">
                  <c:v>27.6</c:v>
                </c:pt>
                <c:pt idx="90">
                  <c:v>25.6</c:v>
                </c:pt>
                <c:pt idx="91">
                  <c:v>25.6</c:v>
                </c:pt>
                <c:pt idx="92">
                  <c:v>25.6</c:v>
                </c:pt>
                <c:pt idx="93">
                  <c:v>25.6</c:v>
                </c:pt>
                <c:pt idx="94">
                  <c:v>25.6</c:v>
                </c:pt>
                <c:pt idx="95">
                  <c:v>24.6</c:v>
                </c:pt>
                <c:pt idx="96">
                  <c:v>24.6</c:v>
                </c:pt>
                <c:pt idx="97">
                  <c:v>24.6</c:v>
                </c:pt>
                <c:pt idx="98">
                  <c:v>24.6</c:v>
                </c:pt>
                <c:pt idx="99">
                  <c:v>24.6</c:v>
                </c:pt>
                <c:pt idx="100">
                  <c:v>22.6</c:v>
                </c:pt>
                <c:pt idx="101">
                  <c:v>22.6</c:v>
                </c:pt>
                <c:pt idx="102">
                  <c:v>22.6</c:v>
                </c:pt>
                <c:pt idx="103">
                  <c:v>22.6</c:v>
                </c:pt>
                <c:pt idx="104">
                  <c:v>22.6</c:v>
                </c:pt>
                <c:pt idx="105">
                  <c:v>16.7</c:v>
                </c:pt>
                <c:pt idx="106">
                  <c:v>16.7</c:v>
                </c:pt>
                <c:pt idx="107">
                  <c:v>16.7</c:v>
                </c:pt>
                <c:pt idx="108">
                  <c:v>16.7</c:v>
                </c:pt>
                <c:pt idx="109">
                  <c:v>16.7</c:v>
                </c:pt>
                <c:pt idx="110">
                  <c:v>11.9</c:v>
                </c:pt>
                <c:pt idx="111">
                  <c:v>11.9</c:v>
                </c:pt>
                <c:pt idx="112">
                  <c:v>11.9</c:v>
                </c:pt>
                <c:pt idx="113">
                  <c:v>11.9</c:v>
                </c:pt>
                <c:pt idx="114">
                  <c:v>11.9</c:v>
                </c:pt>
                <c:pt idx="115">
                  <c:v>7.1</c:v>
                </c:pt>
                <c:pt idx="116">
                  <c:v>7.1</c:v>
                </c:pt>
                <c:pt idx="117">
                  <c:v>7.1</c:v>
                </c:pt>
                <c:pt idx="118">
                  <c:v>7.1</c:v>
                </c:pt>
                <c:pt idx="119">
                  <c:v>7.1</c:v>
                </c:pt>
                <c:pt idx="120">
                  <c:v>2.4</c:v>
                </c:pt>
                <c:pt idx="121">
                  <c:v>2.4</c:v>
                </c:pt>
                <c:pt idx="122">
                  <c:v>2.4</c:v>
                </c:pt>
                <c:pt idx="123">
                  <c:v>2.4</c:v>
                </c:pt>
                <c:pt idx="124">
                  <c:v>2.4</c:v>
                </c:pt>
                <c:pt idx="125">
                  <c:v>0</c:v>
                </c:pt>
              </c:numCache>
            </c:numRef>
          </c:yVal>
          <c:smooth val="0"/>
          <c:extLst>
            <c:ext xmlns:c16="http://schemas.microsoft.com/office/drawing/2014/chart" uri="{C3380CC4-5D6E-409C-BE32-E72D297353CC}">
              <c16:uniqueId val="{00000000-E305-4556-A2C2-D8FB314F0F45}"/>
            </c:ext>
          </c:extLst>
        </c:ser>
        <c:ser>
          <c:idx val="1"/>
          <c:order val="1"/>
          <c:tx>
            <c:v> Fast-neutron reactors (FNR)</c:v>
          </c:tx>
          <c:marker>
            <c:symbol val="none"/>
          </c:marker>
          <c:xVal>
            <c:numRef>
              <c:f>Sheet1!$A$2:$A$138</c:f>
              <c:numCache>
                <c:formatCode>General</c:formatCode>
                <c:ptCount val="137"/>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pt idx="46">
                  <c:v>2021</c:v>
                </c:pt>
                <c:pt idx="47">
                  <c:v>2022</c:v>
                </c:pt>
                <c:pt idx="48">
                  <c:v>2023</c:v>
                </c:pt>
                <c:pt idx="49">
                  <c:v>2024</c:v>
                </c:pt>
                <c:pt idx="50">
                  <c:v>2025</c:v>
                </c:pt>
                <c:pt idx="51">
                  <c:v>2026</c:v>
                </c:pt>
                <c:pt idx="52">
                  <c:v>2027</c:v>
                </c:pt>
                <c:pt idx="53">
                  <c:v>2028</c:v>
                </c:pt>
                <c:pt idx="54">
                  <c:v>2029</c:v>
                </c:pt>
                <c:pt idx="55">
                  <c:v>2030</c:v>
                </c:pt>
                <c:pt idx="56">
                  <c:v>2031</c:v>
                </c:pt>
                <c:pt idx="57">
                  <c:v>2032</c:v>
                </c:pt>
                <c:pt idx="58">
                  <c:v>2033</c:v>
                </c:pt>
                <c:pt idx="59">
                  <c:v>2034</c:v>
                </c:pt>
                <c:pt idx="60">
                  <c:v>2035</c:v>
                </c:pt>
                <c:pt idx="61">
                  <c:v>2036</c:v>
                </c:pt>
                <c:pt idx="62">
                  <c:v>2037</c:v>
                </c:pt>
                <c:pt idx="63">
                  <c:v>2038</c:v>
                </c:pt>
                <c:pt idx="64">
                  <c:v>2039</c:v>
                </c:pt>
                <c:pt idx="65">
                  <c:v>2040</c:v>
                </c:pt>
                <c:pt idx="66">
                  <c:v>2041</c:v>
                </c:pt>
                <c:pt idx="67">
                  <c:v>2042</c:v>
                </c:pt>
                <c:pt idx="68">
                  <c:v>2043</c:v>
                </c:pt>
                <c:pt idx="69">
                  <c:v>2044</c:v>
                </c:pt>
                <c:pt idx="70">
                  <c:v>2045</c:v>
                </c:pt>
                <c:pt idx="71">
                  <c:v>2046</c:v>
                </c:pt>
                <c:pt idx="72">
                  <c:v>2047</c:v>
                </c:pt>
                <c:pt idx="73">
                  <c:v>2048</c:v>
                </c:pt>
                <c:pt idx="74">
                  <c:v>2049</c:v>
                </c:pt>
                <c:pt idx="75">
                  <c:v>2050</c:v>
                </c:pt>
                <c:pt idx="76">
                  <c:v>2051</c:v>
                </c:pt>
                <c:pt idx="77">
                  <c:v>2052</c:v>
                </c:pt>
                <c:pt idx="78">
                  <c:v>2053</c:v>
                </c:pt>
                <c:pt idx="79">
                  <c:v>2054</c:v>
                </c:pt>
                <c:pt idx="80">
                  <c:v>2055</c:v>
                </c:pt>
                <c:pt idx="81">
                  <c:v>2056</c:v>
                </c:pt>
                <c:pt idx="82">
                  <c:v>2057</c:v>
                </c:pt>
                <c:pt idx="83">
                  <c:v>2058</c:v>
                </c:pt>
                <c:pt idx="84">
                  <c:v>2059</c:v>
                </c:pt>
                <c:pt idx="85">
                  <c:v>2060</c:v>
                </c:pt>
                <c:pt idx="86">
                  <c:v>2061</c:v>
                </c:pt>
                <c:pt idx="87">
                  <c:v>2062</c:v>
                </c:pt>
                <c:pt idx="88">
                  <c:v>2063</c:v>
                </c:pt>
                <c:pt idx="89">
                  <c:v>2064</c:v>
                </c:pt>
                <c:pt idx="90">
                  <c:v>2065</c:v>
                </c:pt>
                <c:pt idx="91">
                  <c:v>2066</c:v>
                </c:pt>
                <c:pt idx="92">
                  <c:v>2067</c:v>
                </c:pt>
                <c:pt idx="93">
                  <c:v>2068</c:v>
                </c:pt>
                <c:pt idx="94">
                  <c:v>2069</c:v>
                </c:pt>
                <c:pt idx="95">
                  <c:v>2070</c:v>
                </c:pt>
                <c:pt idx="96">
                  <c:v>2071</c:v>
                </c:pt>
                <c:pt idx="97">
                  <c:v>2072</c:v>
                </c:pt>
                <c:pt idx="98">
                  <c:v>2073</c:v>
                </c:pt>
                <c:pt idx="99">
                  <c:v>2074</c:v>
                </c:pt>
                <c:pt idx="100">
                  <c:v>2075</c:v>
                </c:pt>
                <c:pt idx="101">
                  <c:v>2076</c:v>
                </c:pt>
                <c:pt idx="102">
                  <c:v>2077</c:v>
                </c:pt>
                <c:pt idx="103">
                  <c:v>2078</c:v>
                </c:pt>
                <c:pt idx="104">
                  <c:v>2079</c:v>
                </c:pt>
                <c:pt idx="105">
                  <c:v>2080</c:v>
                </c:pt>
                <c:pt idx="106">
                  <c:v>2081</c:v>
                </c:pt>
                <c:pt idx="107">
                  <c:v>2082</c:v>
                </c:pt>
                <c:pt idx="108">
                  <c:v>2083</c:v>
                </c:pt>
                <c:pt idx="109">
                  <c:v>2084</c:v>
                </c:pt>
                <c:pt idx="110">
                  <c:v>2085</c:v>
                </c:pt>
                <c:pt idx="111">
                  <c:v>2086</c:v>
                </c:pt>
                <c:pt idx="112">
                  <c:v>2087</c:v>
                </c:pt>
                <c:pt idx="113">
                  <c:v>2088</c:v>
                </c:pt>
                <c:pt idx="114">
                  <c:v>2089</c:v>
                </c:pt>
                <c:pt idx="115">
                  <c:v>2090</c:v>
                </c:pt>
                <c:pt idx="116">
                  <c:v>2091</c:v>
                </c:pt>
                <c:pt idx="117">
                  <c:v>2092</c:v>
                </c:pt>
                <c:pt idx="118">
                  <c:v>2093</c:v>
                </c:pt>
                <c:pt idx="119">
                  <c:v>2094</c:v>
                </c:pt>
                <c:pt idx="120">
                  <c:v>2095</c:v>
                </c:pt>
                <c:pt idx="121">
                  <c:v>2096</c:v>
                </c:pt>
                <c:pt idx="122">
                  <c:v>2097</c:v>
                </c:pt>
                <c:pt idx="123">
                  <c:v>2098</c:v>
                </c:pt>
                <c:pt idx="124">
                  <c:v>2099</c:v>
                </c:pt>
                <c:pt idx="125">
                  <c:v>2100</c:v>
                </c:pt>
              </c:numCache>
            </c:numRef>
          </c:xVal>
          <c:yVal>
            <c:numRef>
              <c:f>Sheet1!$C$2:$C$138</c:f>
              <c:numCache>
                <c:formatCode>General</c:formatCode>
                <c:ptCount val="137"/>
                <c:pt idx="40" formatCode="0.00E+00">
                  <c:v>1.22</c:v>
                </c:pt>
                <c:pt idx="41" formatCode="0.00E+00">
                  <c:v>2.44</c:v>
                </c:pt>
                <c:pt idx="42" formatCode="0.00E+00">
                  <c:v>3.66</c:v>
                </c:pt>
                <c:pt idx="43" formatCode="0.00E+00">
                  <c:v>3.66</c:v>
                </c:pt>
                <c:pt idx="44" formatCode="0.00E+00">
                  <c:v>3.66</c:v>
                </c:pt>
                <c:pt idx="45" formatCode="0.00E+00">
                  <c:v>4.88</c:v>
                </c:pt>
                <c:pt idx="46" formatCode="0.00E+00">
                  <c:v>6.1</c:v>
                </c:pt>
                <c:pt idx="47" formatCode="0.00E+00">
                  <c:v>7.3199999999999985</c:v>
                </c:pt>
                <c:pt idx="48" formatCode="0.00E+00">
                  <c:v>8.5400000000000009</c:v>
                </c:pt>
                <c:pt idx="49" formatCode="0.00E+00">
                  <c:v>9.76</c:v>
                </c:pt>
                <c:pt idx="50" formatCode="0.00E+00">
                  <c:v>9.76</c:v>
                </c:pt>
                <c:pt idx="51" formatCode="0.00E+00">
                  <c:v>10.98</c:v>
                </c:pt>
                <c:pt idx="52" formatCode="0.00E+00">
                  <c:v>12.2</c:v>
                </c:pt>
                <c:pt idx="53" formatCode="0.00E+00">
                  <c:v>13.42</c:v>
                </c:pt>
                <c:pt idx="54" formatCode="0.00E+00">
                  <c:v>14.639999999999999</c:v>
                </c:pt>
                <c:pt idx="55" formatCode="0.00E+00">
                  <c:v>14.639999999999999</c:v>
                </c:pt>
                <c:pt idx="56" formatCode="0.00E+00">
                  <c:v>15.860000000000024</c:v>
                </c:pt>
                <c:pt idx="57" formatCode="0.00E+00">
                  <c:v>15.860000000000024</c:v>
                </c:pt>
                <c:pt idx="58" formatCode="0.00E+00">
                  <c:v>18.3</c:v>
                </c:pt>
                <c:pt idx="59" formatCode="0.00E+00">
                  <c:v>18.3</c:v>
                </c:pt>
                <c:pt idx="60" formatCode="0.00E+00">
                  <c:v>19.52</c:v>
                </c:pt>
                <c:pt idx="61" formatCode="0.00E+00">
                  <c:v>20.74</c:v>
                </c:pt>
                <c:pt idx="62" formatCode="0.00E+00">
                  <c:v>20.74</c:v>
                </c:pt>
                <c:pt idx="63" formatCode="0.00E+00">
                  <c:v>21.959999999999987</c:v>
                </c:pt>
                <c:pt idx="64" formatCode="0.00E+00">
                  <c:v>21.959999999999987</c:v>
                </c:pt>
                <c:pt idx="65" formatCode="0.00E+00">
                  <c:v>24.4</c:v>
                </c:pt>
                <c:pt idx="66" formatCode="0.00E+00">
                  <c:v>25.62</c:v>
                </c:pt>
                <c:pt idx="67" formatCode="0.00E+00">
                  <c:v>26.84</c:v>
                </c:pt>
                <c:pt idx="68" formatCode="0.00E+00">
                  <c:v>28.06</c:v>
                </c:pt>
                <c:pt idx="69" formatCode="0.00E+00">
                  <c:v>29.279999999999987</c:v>
                </c:pt>
                <c:pt idx="70" formatCode="0.00E+00">
                  <c:v>30.5</c:v>
                </c:pt>
                <c:pt idx="71" formatCode="0.00E+00">
                  <c:v>32.94</c:v>
                </c:pt>
                <c:pt idx="72" formatCode="0.00E+00">
                  <c:v>34.160000000000011</c:v>
                </c:pt>
                <c:pt idx="73" formatCode="0.00E+00">
                  <c:v>35.379999999999995</c:v>
                </c:pt>
                <c:pt idx="74" formatCode="0.00E+00">
                  <c:v>36.6</c:v>
                </c:pt>
                <c:pt idx="75" formatCode="0.00E+00">
                  <c:v>39.04</c:v>
                </c:pt>
                <c:pt idx="76" formatCode="0.00E+00">
                  <c:v>40.260000000000012</c:v>
                </c:pt>
                <c:pt idx="77" formatCode="0.00E+00">
                  <c:v>41.48</c:v>
                </c:pt>
                <c:pt idx="78" formatCode="0.00E+00">
                  <c:v>42.7</c:v>
                </c:pt>
                <c:pt idx="79" formatCode="0.00E+00">
                  <c:v>45.14</c:v>
                </c:pt>
                <c:pt idx="80" formatCode="0.00E+00">
                  <c:v>46.36</c:v>
                </c:pt>
                <c:pt idx="81" formatCode="0.00E+00">
                  <c:v>47.58</c:v>
                </c:pt>
                <c:pt idx="82" formatCode="0.00E+00">
                  <c:v>50.02</c:v>
                </c:pt>
                <c:pt idx="83" formatCode="0.00E+00">
                  <c:v>51.24</c:v>
                </c:pt>
                <c:pt idx="84" formatCode="0.00E+00">
                  <c:v>52.46</c:v>
                </c:pt>
                <c:pt idx="85" formatCode="0.00E+00">
                  <c:v>54.9</c:v>
                </c:pt>
                <c:pt idx="86" formatCode="0.00E+00">
                  <c:v>56.120000000000012</c:v>
                </c:pt>
                <c:pt idx="87" formatCode="0.00E+00">
                  <c:v>57.339999999999996</c:v>
                </c:pt>
                <c:pt idx="88" formatCode="0.00E+00">
                  <c:v>59.78</c:v>
                </c:pt>
                <c:pt idx="89" formatCode="0.00E+00">
                  <c:v>61</c:v>
                </c:pt>
                <c:pt idx="90" formatCode="0.00E+00">
                  <c:v>63.44</c:v>
                </c:pt>
                <c:pt idx="91" formatCode="0.00E+00">
                  <c:v>64.66</c:v>
                </c:pt>
                <c:pt idx="92" formatCode="0.00E+00">
                  <c:v>65.88</c:v>
                </c:pt>
                <c:pt idx="93" formatCode="0.00E+00">
                  <c:v>68.319999999999993</c:v>
                </c:pt>
                <c:pt idx="94" formatCode="0.00E+00">
                  <c:v>69.540000000000006</c:v>
                </c:pt>
                <c:pt idx="95" formatCode="0.00E+00">
                  <c:v>71.98</c:v>
                </c:pt>
                <c:pt idx="96" formatCode="0.00E+00">
                  <c:v>73.2</c:v>
                </c:pt>
                <c:pt idx="97" formatCode="0.00E+00">
                  <c:v>74.42</c:v>
                </c:pt>
                <c:pt idx="98" formatCode="0.00E+00">
                  <c:v>75.64</c:v>
                </c:pt>
                <c:pt idx="99" formatCode="0.00E+00">
                  <c:v>76.86</c:v>
                </c:pt>
                <c:pt idx="100" formatCode="0.00E+00">
                  <c:v>78.08</c:v>
                </c:pt>
                <c:pt idx="101" formatCode="0.00E+00">
                  <c:v>79.3</c:v>
                </c:pt>
                <c:pt idx="102" formatCode="0.00E+00">
                  <c:v>80.52</c:v>
                </c:pt>
                <c:pt idx="103" formatCode="0.00E+00">
                  <c:v>81.739999999999995</c:v>
                </c:pt>
                <c:pt idx="104" formatCode="0.00E+00">
                  <c:v>82.960000000000022</c:v>
                </c:pt>
                <c:pt idx="105" formatCode="0.00E+00">
                  <c:v>84.179999999999978</c:v>
                </c:pt>
                <c:pt idx="106" formatCode="0.00E+00">
                  <c:v>86.61999999999999</c:v>
                </c:pt>
                <c:pt idx="107" formatCode="0.00E+00">
                  <c:v>86.61999999999999</c:v>
                </c:pt>
                <c:pt idx="108" formatCode="0.00E+00">
                  <c:v>89.06</c:v>
                </c:pt>
                <c:pt idx="109" formatCode="0.00E+00">
                  <c:v>89.06</c:v>
                </c:pt>
                <c:pt idx="110" formatCode="0.00E+00">
                  <c:v>90.28</c:v>
                </c:pt>
                <c:pt idx="111" formatCode="0.00E+00">
                  <c:v>92.72</c:v>
                </c:pt>
                <c:pt idx="112" formatCode="0.00E+00">
                  <c:v>92.72</c:v>
                </c:pt>
                <c:pt idx="113" formatCode="0.00E+00">
                  <c:v>93.940000000000026</c:v>
                </c:pt>
                <c:pt idx="114" formatCode="0.00E+00">
                  <c:v>95.16</c:v>
                </c:pt>
                <c:pt idx="115" formatCode="0.00E+00">
                  <c:v>96.38</c:v>
                </c:pt>
                <c:pt idx="116" formatCode="0.00E+00">
                  <c:v>97.6</c:v>
                </c:pt>
                <c:pt idx="117" formatCode="0.00E+00">
                  <c:v>98.82</c:v>
                </c:pt>
                <c:pt idx="118" formatCode="0.00E+00">
                  <c:v>100</c:v>
                </c:pt>
                <c:pt idx="119" formatCode="0.00E+00">
                  <c:v>101.3</c:v>
                </c:pt>
                <c:pt idx="120" formatCode="0.00E+00">
                  <c:v>102.5</c:v>
                </c:pt>
                <c:pt idx="121" formatCode="0.00E+00">
                  <c:v>102.5</c:v>
                </c:pt>
                <c:pt idx="122" formatCode="0.00E+00">
                  <c:v>104.9</c:v>
                </c:pt>
                <c:pt idx="123" formatCode="0.00E+00">
                  <c:v>106.1</c:v>
                </c:pt>
                <c:pt idx="124" formatCode="0.00E+00">
                  <c:v>106.1</c:v>
                </c:pt>
                <c:pt idx="125" formatCode="0.00E+00">
                  <c:v>107.4</c:v>
                </c:pt>
              </c:numCache>
            </c:numRef>
          </c:yVal>
          <c:smooth val="0"/>
          <c:extLst>
            <c:ext xmlns:c16="http://schemas.microsoft.com/office/drawing/2014/chart" uri="{C3380CC4-5D6E-409C-BE32-E72D297353CC}">
              <c16:uniqueId val="{00000001-E305-4556-A2C2-D8FB314F0F45}"/>
            </c:ext>
          </c:extLst>
        </c:ser>
        <c:ser>
          <c:idx val="2"/>
          <c:order val="2"/>
          <c:tx>
            <c:v> All reactors</c:v>
          </c:tx>
          <c:spPr>
            <a:ln w="31742">
              <a:solidFill>
                <a:srgbClr val="FF0000"/>
              </a:solidFill>
            </a:ln>
          </c:spPr>
          <c:marker>
            <c:symbol val="none"/>
          </c:marker>
          <c:xVal>
            <c:numRef>
              <c:f>Sheet1!$A$2:$A$138</c:f>
              <c:numCache>
                <c:formatCode>General</c:formatCode>
                <c:ptCount val="137"/>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pt idx="44">
                  <c:v>2019</c:v>
                </c:pt>
                <c:pt idx="45">
                  <c:v>2020</c:v>
                </c:pt>
                <c:pt idx="46">
                  <c:v>2021</c:v>
                </c:pt>
                <c:pt idx="47">
                  <c:v>2022</c:v>
                </c:pt>
                <c:pt idx="48">
                  <c:v>2023</c:v>
                </c:pt>
                <c:pt idx="49">
                  <c:v>2024</c:v>
                </c:pt>
                <c:pt idx="50">
                  <c:v>2025</c:v>
                </c:pt>
                <c:pt idx="51">
                  <c:v>2026</c:v>
                </c:pt>
                <c:pt idx="52">
                  <c:v>2027</c:v>
                </c:pt>
                <c:pt idx="53">
                  <c:v>2028</c:v>
                </c:pt>
                <c:pt idx="54">
                  <c:v>2029</c:v>
                </c:pt>
                <c:pt idx="55">
                  <c:v>2030</c:v>
                </c:pt>
                <c:pt idx="56">
                  <c:v>2031</c:v>
                </c:pt>
                <c:pt idx="57">
                  <c:v>2032</c:v>
                </c:pt>
                <c:pt idx="58">
                  <c:v>2033</c:v>
                </c:pt>
                <c:pt idx="59">
                  <c:v>2034</c:v>
                </c:pt>
                <c:pt idx="60">
                  <c:v>2035</c:v>
                </c:pt>
                <c:pt idx="61">
                  <c:v>2036</c:v>
                </c:pt>
                <c:pt idx="62">
                  <c:v>2037</c:v>
                </c:pt>
                <c:pt idx="63">
                  <c:v>2038</c:v>
                </c:pt>
                <c:pt idx="64">
                  <c:v>2039</c:v>
                </c:pt>
                <c:pt idx="65">
                  <c:v>2040</c:v>
                </c:pt>
                <c:pt idx="66">
                  <c:v>2041</c:v>
                </c:pt>
                <c:pt idx="67">
                  <c:v>2042</c:v>
                </c:pt>
                <c:pt idx="68">
                  <c:v>2043</c:v>
                </c:pt>
                <c:pt idx="69">
                  <c:v>2044</c:v>
                </c:pt>
                <c:pt idx="70">
                  <c:v>2045</c:v>
                </c:pt>
                <c:pt idx="71">
                  <c:v>2046</c:v>
                </c:pt>
                <c:pt idx="72">
                  <c:v>2047</c:v>
                </c:pt>
                <c:pt idx="73">
                  <c:v>2048</c:v>
                </c:pt>
                <c:pt idx="74">
                  <c:v>2049</c:v>
                </c:pt>
                <c:pt idx="75">
                  <c:v>2050</c:v>
                </c:pt>
                <c:pt idx="76">
                  <c:v>2051</c:v>
                </c:pt>
                <c:pt idx="77">
                  <c:v>2052</c:v>
                </c:pt>
                <c:pt idx="78">
                  <c:v>2053</c:v>
                </c:pt>
                <c:pt idx="79">
                  <c:v>2054</c:v>
                </c:pt>
                <c:pt idx="80">
                  <c:v>2055</c:v>
                </c:pt>
                <c:pt idx="81">
                  <c:v>2056</c:v>
                </c:pt>
                <c:pt idx="82">
                  <c:v>2057</c:v>
                </c:pt>
                <c:pt idx="83">
                  <c:v>2058</c:v>
                </c:pt>
                <c:pt idx="84">
                  <c:v>2059</c:v>
                </c:pt>
                <c:pt idx="85">
                  <c:v>2060</c:v>
                </c:pt>
                <c:pt idx="86">
                  <c:v>2061</c:v>
                </c:pt>
                <c:pt idx="87">
                  <c:v>2062</c:v>
                </c:pt>
                <c:pt idx="88">
                  <c:v>2063</c:v>
                </c:pt>
                <c:pt idx="89">
                  <c:v>2064</c:v>
                </c:pt>
                <c:pt idx="90">
                  <c:v>2065</c:v>
                </c:pt>
                <c:pt idx="91">
                  <c:v>2066</c:v>
                </c:pt>
                <c:pt idx="92">
                  <c:v>2067</c:v>
                </c:pt>
                <c:pt idx="93">
                  <c:v>2068</c:v>
                </c:pt>
                <c:pt idx="94">
                  <c:v>2069</c:v>
                </c:pt>
                <c:pt idx="95">
                  <c:v>2070</c:v>
                </c:pt>
                <c:pt idx="96">
                  <c:v>2071</c:v>
                </c:pt>
                <c:pt idx="97">
                  <c:v>2072</c:v>
                </c:pt>
                <c:pt idx="98">
                  <c:v>2073</c:v>
                </c:pt>
                <c:pt idx="99">
                  <c:v>2074</c:v>
                </c:pt>
                <c:pt idx="100">
                  <c:v>2075</c:v>
                </c:pt>
                <c:pt idx="101">
                  <c:v>2076</c:v>
                </c:pt>
                <c:pt idx="102">
                  <c:v>2077</c:v>
                </c:pt>
                <c:pt idx="103">
                  <c:v>2078</c:v>
                </c:pt>
                <c:pt idx="104">
                  <c:v>2079</c:v>
                </c:pt>
                <c:pt idx="105">
                  <c:v>2080</c:v>
                </c:pt>
                <c:pt idx="106">
                  <c:v>2081</c:v>
                </c:pt>
                <c:pt idx="107">
                  <c:v>2082</c:v>
                </c:pt>
                <c:pt idx="108">
                  <c:v>2083</c:v>
                </c:pt>
                <c:pt idx="109">
                  <c:v>2084</c:v>
                </c:pt>
                <c:pt idx="110">
                  <c:v>2085</c:v>
                </c:pt>
                <c:pt idx="111">
                  <c:v>2086</c:v>
                </c:pt>
                <c:pt idx="112">
                  <c:v>2087</c:v>
                </c:pt>
                <c:pt idx="113">
                  <c:v>2088</c:v>
                </c:pt>
                <c:pt idx="114">
                  <c:v>2089</c:v>
                </c:pt>
                <c:pt idx="115">
                  <c:v>2090</c:v>
                </c:pt>
                <c:pt idx="116">
                  <c:v>2091</c:v>
                </c:pt>
                <c:pt idx="117">
                  <c:v>2092</c:v>
                </c:pt>
                <c:pt idx="118">
                  <c:v>2093</c:v>
                </c:pt>
                <c:pt idx="119">
                  <c:v>2094</c:v>
                </c:pt>
                <c:pt idx="120">
                  <c:v>2095</c:v>
                </c:pt>
                <c:pt idx="121">
                  <c:v>2096</c:v>
                </c:pt>
                <c:pt idx="122">
                  <c:v>2097</c:v>
                </c:pt>
                <c:pt idx="123">
                  <c:v>2098</c:v>
                </c:pt>
                <c:pt idx="124">
                  <c:v>2099</c:v>
                </c:pt>
                <c:pt idx="125">
                  <c:v>2100</c:v>
                </c:pt>
              </c:numCache>
            </c:numRef>
          </c:xVal>
          <c:yVal>
            <c:numRef>
              <c:f>Sheet1!$D$2:$D$138</c:f>
              <c:numCache>
                <c:formatCode>0.00E+00</c:formatCode>
                <c:ptCount val="137"/>
                <c:pt idx="0">
                  <c:v>3.6680000000000001</c:v>
                </c:pt>
                <c:pt idx="1">
                  <c:v>3.6680000000000001</c:v>
                </c:pt>
                <c:pt idx="2">
                  <c:v>3.6680000000000001</c:v>
                </c:pt>
                <c:pt idx="3">
                  <c:v>3.6680000000000001</c:v>
                </c:pt>
                <c:pt idx="4">
                  <c:v>3.6680000000000001</c:v>
                </c:pt>
                <c:pt idx="5">
                  <c:v>7.6679999999999806</c:v>
                </c:pt>
                <c:pt idx="6">
                  <c:v>7.6679999999999806</c:v>
                </c:pt>
                <c:pt idx="7">
                  <c:v>7.6679999999999806</c:v>
                </c:pt>
                <c:pt idx="8">
                  <c:v>7.6679999999999806</c:v>
                </c:pt>
                <c:pt idx="9">
                  <c:v>7.6679999999999806</c:v>
                </c:pt>
                <c:pt idx="10">
                  <c:v>15.55</c:v>
                </c:pt>
                <c:pt idx="11">
                  <c:v>15.55</c:v>
                </c:pt>
                <c:pt idx="12">
                  <c:v>15.55</c:v>
                </c:pt>
                <c:pt idx="13">
                  <c:v>15.55</c:v>
                </c:pt>
                <c:pt idx="14">
                  <c:v>15.55</c:v>
                </c:pt>
                <c:pt idx="15">
                  <c:v>19.55</c:v>
                </c:pt>
                <c:pt idx="16">
                  <c:v>19.55</c:v>
                </c:pt>
                <c:pt idx="17">
                  <c:v>19.55</c:v>
                </c:pt>
                <c:pt idx="18">
                  <c:v>19.55</c:v>
                </c:pt>
                <c:pt idx="19">
                  <c:v>19.55</c:v>
                </c:pt>
                <c:pt idx="20">
                  <c:v>20.55</c:v>
                </c:pt>
                <c:pt idx="21">
                  <c:v>20.55</c:v>
                </c:pt>
                <c:pt idx="22">
                  <c:v>20.55</c:v>
                </c:pt>
                <c:pt idx="23">
                  <c:v>20.55</c:v>
                </c:pt>
                <c:pt idx="24">
                  <c:v>20.55</c:v>
                </c:pt>
                <c:pt idx="25">
                  <c:v>20.55</c:v>
                </c:pt>
                <c:pt idx="26">
                  <c:v>20.55</c:v>
                </c:pt>
                <c:pt idx="27">
                  <c:v>20.55</c:v>
                </c:pt>
                <c:pt idx="28">
                  <c:v>20.55</c:v>
                </c:pt>
                <c:pt idx="29">
                  <c:v>20.55</c:v>
                </c:pt>
                <c:pt idx="30">
                  <c:v>22.55</c:v>
                </c:pt>
                <c:pt idx="31">
                  <c:v>22.55</c:v>
                </c:pt>
                <c:pt idx="32">
                  <c:v>22.55</c:v>
                </c:pt>
                <c:pt idx="33">
                  <c:v>22.55</c:v>
                </c:pt>
                <c:pt idx="34">
                  <c:v>22.55</c:v>
                </c:pt>
                <c:pt idx="35">
                  <c:v>23.55</c:v>
                </c:pt>
                <c:pt idx="36">
                  <c:v>23.55</c:v>
                </c:pt>
                <c:pt idx="37">
                  <c:v>23.55</c:v>
                </c:pt>
                <c:pt idx="38">
                  <c:v>23.55</c:v>
                </c:pt>
                <c:pt idx="39">
                  <c:v>23.55</c:v>
                </c:pt>
                <c:pt idx="40">
                  <c:v>26.77</c:v>
                </c:pt>
                <c:pt idx="41">
                  <c:v>27.990000000000002</c:v>
                </c:pt>
                <c:pt idx="42">
                  <c:v>29.21</c:v>
                </c:pt>
                <c:pt idx="43">
                  <c:v>29.21</c:v>
                </c:pt>
                <c:pt idx="44">
                  <c:v>29.21</c:v>
                </c:pt>
                <c:pt idx="45">
                  <c:v>34.910000000000004</c:v>
                </c:pt>
                <c:pt idx="46">
                  <c:v>36.130000000000003</c:v>
                </c:pt>
                <c:pt idx="47">
                  <c:v>37.349999999999994</c:v>
                </c:pt>
                <c:pt idx="48">
                  <c:v>38.57</c:v>
                </c:pt>
                <c:pt idx="49">
                  <c:v>39.790000000000013</c:v>
                </c:pt>
                <c:pt idx="50">
                  <c:v>40.590000000000003</c:v>
                </c:pt>
                <c:pt idx="51">
                  <c:v>41.809999999999995</c:v>
                </c:pt>
                <c:pt idx="52">
                  <c:v>43.03</c:v>
                </c:pt>
                <c:pt idx="53">
                  <c:v>44.25</c:v>
                </c:pt>
                <c:pt idx="54">
                  <c:v>45.47</c:v>
                </c:pt>
                <c:pt idx="55">
                  <c:v>47.27</c:v>
                </c:pt>
                <c:pt idx="56">
                  <c:v>48.49</c:v>
                </c:pt>
                <c:pt idx="57">
                  <c:v>48.49</c:v>
                </c:pt>
                <c:pt idx="58">
                  <c:v>50.930000000000007</c:v>
                </c:pt>
                <c:pt idx="59">
                  <c:v>50.930000000000007</c:v>
                </c:pt>
                <c:pt idx="60">
                  <c:v>52.600000000000009</c:v>
                </c:pt>
                <c:pt idx="61">
                  <c:v>53.819999999999993</c:v>
                </c:pt>
                <c:pt idx="62">
                  <c:v>53.819999999999993</c:v>
                </c:pt>
                <c:pt idx="63">
                  <c:v>55.04</c:v>
                </c:pt>
                <c:pt idx="64">
                  <c:v>55.04</c:v>
                </c:pt>
                <c:pt idx="65">
                  <c:v>58</c:v>
                </c:pt>
                <c:pt idx="66">
                  <c:v>59.220000000000013</c:v>
                </c:pt>
                <c:pt idx="67">
                  <c:v>60.44</c:v>
                </c:pt>
                <c:pt idx="68">
                  <c:v>61.660000000000011</c:v>
                </c:pt>
                <c:pt idx="69">
                  <c:v>62.879999999999995</c:v>
                </c:pt>
                <c:pt idx="70">
                  <c:v>62.1</c:v>
                </c:pt>
                <c:pt idx="71">
                  <c:v>64.539999999999992</c:v>
                </c:pt>
                <c:pt idx="72">
                  <c:v>65.759999999999991</c:v>
                </c:pt>
                <c:pt idx="73">
                  <c:v>66.98</c:v>
                </c:pt>
                <c:pt idx="74">
                  <c:v>68.2</c:v>
                </c:pt>
                <c:pt idx="75">
                  <c:v>67.64</c:v>
                </c:pt>
                <c:pt idx="76">
                  <c:v>68.86</c:v>
                </c:pt>
                <c:pt idx="77">
                  <c:v>70.08</c:v>
                </c:pt>
                <c:pt idx="78">
                  <c:v>71.300000000000011</c:v>
                </c:pt>
                <c:pt idx="79">
                  <c:v>73.740000000000023</c:v>
                </c:pt>
                <c:pt idx="80">
                  <c:v>73.960000000000022</c:v>
                </c:pt>
                <c:pt idx="81">
                  <c:v>75.179999999999978</c:v>
                </c:pt>
                <c:pt idx="82">
                  <c:v>77.61999999999999</c:v>
                </c:pt>
                <c:pt idx="83">
                  <c:v>78.84</c:v>
                </c:pt>
                <c:pt idx="84">
                  <c:v>80.06</c:v>
                </c:pt>
                <c:pt idx="85">
                  <c:v>82.5</c:v>
                </c:pt>
                <c:pt idx="86">
                  <c:v>83.72</c:v>
                </c:pt>
                <c:pt idx="87">
                  <c:v>84.940000000000026</c:v>
                </c:pt>
                <c:pt idx="88">
                  <c:v>87.38</c:v>
                </c:pt>
                <c:pt idx="89">
                  <c:v>88.6</c:v>
                </c:pt>
                <c:pt idx="90">
                  <c:v>89.039999999999992</c:v>
                </c:pt>
                <c:pt idx="91">
                  <c:v>90.259999999999991</c:v>
                </c:pt>
                <c:pt idx="92">
                  <c:v>91.47999999999999</c:v>
                </c:pt>
                <c:pt idx="93">
                  <c:v>93.92</c:v>
                </c:pt>
                <c:pt idx="94">
                  <c:v>95.140000000000015</c:v>
                </c:pt>
                <c:pt idx="95">
                  <c:v>96.580000000000013</c:v>
                </c:pt>
                <c:pt idx="96">
                  <c:v>97.800000000000011</c:v>
                </c:pt>
                <c:pt idx="97">
                  <c:v>99.02000000000001</c:v>
                </c:pt>
                <c:pt idx="98">
                  <c:v>100.24000000000002</c:v>
                </c:pt>
                <c:pt idx="99">
                  <c:v>101.46000000000002</c:v>
                </c:pt>
                <c:pt idx="100">
                  <c:v>100.67999999999998</c:v>
                </c:pt>
                <c:pt idx="101">
                  <c:v>101.9</c:v>
                </c:pt>
                <c:pt idx="102">
                  <c:v>103.11999999999999</c:v>
                </c:pt>
                <c:pt idx="103">
                  <c:v>104.34</c:v>
                </c:pt>
                <c:pt idx="104">
                  <c:v>105.56</c:v>
                </c:pt>
                <c:pt idx="105">
                  <c:v>100.88000000000001</c:v>
                </c:pt>
                <c:pt idx="106">
                  <c:v>103.32000000000001</c:v>
                </c:pt>
                <c:pt idx="107">
                  <c:v>103.32000000000001</c:v>
                </c:pt>
                <c:pt idx="108">
                  <c:v>105.76</c:v>
                </c:pt>
                <c:pt idx="109">
                  <c:v>105.76</c:v>
                </c:pt>
                <c:pt idx="110">
                  <c:v>102.17999999999998</c:v>
                </c:pt>
                <c:pt idx="111">
                  <c:v>104.61999999999999</c:v>
                </c:pt>
                <c:pt idx="112">
                  <c:v>104.61999999999999</c:v>
                </c:pt>
                <c:pt idx="113">
                  <c:v>105.84</c:v>
                </c:pt>
                <c:pt idx="114">
                  <c:v>107.06</c:v>
                </c:pt>
                <c:pt idx="115">
                  <c:v>103.47999999999999</c:v>
                </c:pt>
                <c:pt idx="116">
                  <c:v>104.69999999999999</c:v>
                </c:pt>
                <c:pt idx="117">
                  <c:v>105.92</c:v>
                </c:pt>
                <c:pt idx="118">
                  <c:v>107.1</c:v>
                </c:pt>
                <c:pt idx="119">
                  <c:v>108.39999999999999</c:v>
                </c:pt>
                <c:pt idx="120">
                  <c:v>104.9</c:v>
                </c:pt>
                <c:pt idx="121">
                  <c:v>104.9</c:v>
                </c:pt>
                <c:pt idx="122">
                  <c:v>107.30000000000001</c:v>
                </c:pt>
                <c:pt idx="123">
                  <c:v>108.5</c:v>
                </c:pt>
                <c:pt idx="124">
                  <c:v>108.5</c:v>
                </c:pt>
                <c:pt idx="125">
                  <c:v>107.4</c:v>
                </c:pt>
              </c:numCache>
            </c:numRef>
          </c:yVal>
          <c:smooth val="0"/>
          <c:extLst>
            <c:ext xmlns:c16="http://schemas.microsoft.com/office/drawing/2014/chart" uri="{C3380CC4-5D6E-409C-BE32-E72D297353CC}">
              <c16:uniqueId val="{00000002-E305-4556-A2C2-D8FB314F0F45}"/>
            </c:ext>
          </c:extLst>
        </c:ser>
        <c:dLbls>
          <c:showLegendKey val="0"/>
          <c:showVal val="0"/>
          <c:showCatName val="0"/>
          <c:showSerName val="0"/>
          <c:showPercent val="0"/>
          <c:showBubbleSize val="0"/>
        </c:dLbls>
        <c:axId val="128502400"/>
        <c:axId val="110482176"/>
      </c:scatterChart>
      <c:valAx>
        <c:axId val="128502400"/>
        <c:scaling>
          <c:orientation val="minMax"/>
          <c:max val="2100"/>
          <c:min val="1980"/>
        </c:scaling>
        <c:delete val="0"/>
        <c:axPos val="b"/>
        <c:majorGridlines/>
        <c:title>
          <c:tx>
            <c:rich>
              <a:bodyPr/>
              <a:lstStyle/>
              <a:p>
                <a:pPr>
                  <a:defRPr/>
                </a:pPr>
                <a:r>
                  <a:rPr lang="en-US"/>
                  <a:t>Year</a:t>
                </a:r>
                <a:endParaRPr lang="ru-RU"/>
              </a:p>
            </c:rich>
          </c:tx>
          <c:layout>
            <c:manualLayout>
              <c:xMode val="edge"/>
              <c:yMode val="edge"/>
              <c:x val="0.48472377928827598"/>
              <c:y val="0.8183962893011888"/>
            </c:manualLayout>
          </c:layout>
          <c:overlay val="0"/>
          <c:spPr>
            <a:noFill/>
            <a:ln w="25383">
              <a:noFill/>
            </a:ln>
          </c:spPr>
        </c:title>
        <c:numFmt formatCode="General" sourceLinked="0"/>
        <c:majorTickMark val="out"/>
        <c:minorTickMark val="none"/>
        <c:tickLblPos val="nextTo"/>
        <c:spPr>
          <a:ln w="3173">
            <a:solidFill>
              <a:srgbClr val="000000"/>
            </a:solidFill>
            <a:prstDash val="solid"/>
          </a:ln>
        </c:spPr>
        <c:txPr>
          <a:bodyPr rot="0" vert="horz"/>
          <a:lstStyle/>
          <a:p>
            <a:pPr>
              <a:defRPr/>
            </a:pPr>
            <a:endParaRPr lang="ru-RU"/>
          </a:p>
        </c:txPr>
        <c:crossAx val="110482176"/>
        <c:crossesAt val="0"/>
        <c:crossBetween val="midCat"/>
        <c:majorUnit val="10"/>
      </c:valAx>
      <c:valAx>
        <c:axId val="110482176"/>
        <c:scaling>
          <c:orientation val="minMax"/>
          <c:max val="110"/>
          <c:min val="0"/>
        </c:scaling>
        <c:delete val="0"/>
        <c:axPos val="l"/>
        <c:majorGridlines>
          <c:spPr>
            <a:ln w="3173">
              <a:solidFill>
                <a:srgbClr val="000000"/>
              </a:solidFill>
              <a:prstDash val="solid"/>
            </a:ln>
          </c:spPr>
        </c:majorGridlines>
        <c:title>
          <c:tx>
            <c:rich>
              <a:bodyPr rot="0" vert="horz"/>
              <a:lstStyle/>
              <a:p>
                <a:pPr algn="ctr">
                  <a:defRPr/>
                </a:pPr>
                <a:r>
                  <a:rPr lang="en-US"/>
                  <a:t>GW</a:t>
                </a:r>
                <a:endParaRPr lang="ru-RU"/>
              </a:p>
            </c:rich>
          </c:tx>
          <c:layout>
            <c:manualLayout>
              <c:xMode val="edge"/>
              <c:yMode val="edge"/>
              <c:x val="5.4232338604733865E-2"/>
              <c:y val="1.266309102666546E-3"/>
            </c:manualLayout>
          </c:layout>
          <c:overlay val="0"/>
          <c:spPr>
            <a:noFill/>
            <a:ln w="25383">
              <a:noFill/>
            </a:ln>
          </c:spPr>
        </c:title>
        <c:numFmt formatCode="#,##0" sourceLinked="0"/>
        <c:majorTickMark val="out"/>
        <c:minorTickMark val="none"/>
        <c:tickLblPos val="nextTo"/>
        <c:spPr>
          <a:ln w="3173">
            <a:solidFill>
              <a:srgbClr val="000000"/>
            </a:solidFill>
            <a:prstDash val="solid"/>
          </a:ln>
        </c:spPr>
        <c:txPr>
          <a:bodyPr rot="0" vert="horz"/>
          <a:lstStyle/>
          <a:p>
            <a:pPr>
              <a:defRPr/>
            </a:pPr>
            <a:endParaRPr lang="ru-RU"/>
          </a:p>
        </c:txPr>
        <c:crossAx val="128502400"/>
        <c:crossesAt val="0.1"/>
        <c:crossBetween val="midCat"/>
        <c:majorUnit val="20"/>
      </c:valAx>
      <c:spPr>
        <a:solidFill>
          <a:srgbClr val="FFFFFF"/>
        </a:solidFill>
        <a:ln w="12691">
          <a:solidFill>
            <a:srgbClr val="000000"/>
          </a:solidFill>
          <a:prstDash val="solid"/>
        </a:ln>
      </c:spPr>
    </c:plotArea>
    <c:legend>
      <c:legendPos val="r"/>
      <c:layout>
        <c:manualLayout>
          <c:xMode val="edge"/>
          <c:yMode val="edge"/>
          <c:x val="1.7851921065374289E-2"/>
          <c:y val="0.87807105253413686"/>
          <c:w val="0.97139075742108538"/>
          <c:h val="0.1007646372625271"/>
        </c:manualLayout>
      </c:layout>
      <c:overlay val="0"/>
      <c:spPr>
        <a:noFill/>
        <a:ln w="3173">
          <a:noFill/>
          <a:prstDash val="solid"/>
        </a:ln>
      </c:spPr>
    </c:legend>
    <c:plotVisOnly val="1"/>
    <c:dispBlanksAs val="gap"/>
    <c:showDLblsOverMax val="0"/>
  </c:chart>
  <c:spPr>
    <a:noFill/>
    <a:ln>
      <a:noFill/>
    </a:ln>
  </c:spPr>
  <c:txPr>
    <a:bodyPr/>
    <a:lstStyle/>
    <a:p>
      <a:pPr>
        <a:defRPr sz="700" b="0" i="0" u="none" strike="noStrike" baseline="0">
          <a:solidFill>
            <a:srgbClr val="000000"/>
          </a:solidFill>
          <a:latin typeface="Arial" pitchFamily="34" charset="0"/>
          <a:ea typeface="Arial Cyr"/>
          <a:cs typeface="Arial" pitchFamily="34" charset="0"/>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purl.org/dc/elements/1.1/"/>
    <ds:schemaRef ds:uri="http://purl.org/dc/dcmitype/"/>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62d4e713-4844-4419-ae48-2c18eef7e846"/>
    <ds:schemaRef ds:uri="http://schemas.microsoft.com/office/2006/metadata/propertie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CB89316F-6BCD-4372-A49A-0020011EA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75</TotalTime>
  <Pages>6</Pages>
  <Words>1821</Words>
  <Characters>10096</Characters>
  <Application>Microsoft Office Word</Application>
  <DocSecurity>0</DocSecurity>
  <Lines>84</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Подлещук Валентина Болеславовна</cp:lastModifiedBy>
  <cp:revision>11</cp:revision>
  <cp:lastPrinted>2015-12-01T10:27:00Z</cp:lastPrinted>
  <dcterms:created xsi:type="dcterms:W3CDTF">2020-12-14T08:57:00Z</dcterms:created>
  <dcterms:modified xsi:type="dcterms:W3CDTF">2021-09-23T08:01:00Z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