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3A57D" w14:textId="0F9F4141" w:rsidR="00C94725" w:rsidRDefault="0094488C" w:rsidP="002C0EB0">
      <w:pPr>
        <w:pStyle w:val="ListParagraph"/>
        <w:numPr>
          <w:ilvl w:val="0"/>
          <w:numId w:val="4"/>
        </w:numPr>
        <w:spacing w:after="60" w:line="240" w:lineRule="auto"/>
        <w:ind w:left="714" w:hanging="35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78087B">
        <w:rPr>
          <w:rFonts w:ascii="Times New Roman" w:hAnsi="Times New Roman" w:cs="Times New Roman"/>
          <w:b/>
          <w:bCs/>
          <w:sz w:val="24"/>
          <w:szCs w:val="24"/>
        </w:rPr>
        <w:t xml:space="preserve">Reviewer  </w:t>
      </w:r>
      <w:r w:rsidR="0078087B" w:rsidRPr="0078087B">
        <w:rPr>
          <w:rFonts w:ascii="Times New Roman" w:hAnsi="Times New Roman" w:cs="Times New Roman"/>
          <w:b/>
          <w:bCs/>
          <w:sz w:val="24"/>
          <w:szCs w:val="24"/>
        </w:rPr>
        <w:t>Remark</w:t>
      </w:r>
      <w:r w:rsidR="005247B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8087B" w:rsidRPr="0078087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983F963" w14:textId="77777777" w:rsidR="00615008" w:rsidRPr="00615008" w:rsidRDefault="00615008" w:rsidP="00615008">
      <w:pPr>
        <w:spacing w:after="60" w:line="240" w:lineRule="auto"/>
        <w:ind w:left="35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E23618" w14:paraId="71685A04" w14:textId="77777777" w:rsidTr="00E23618">
        <w:trPr>
          <w:trHeight w:val="287"/>
        </w:trPr>
        <w:tc>
          <w:tcPr>
            <w:tcW w:w="9350" w:type="dxa"/>
            <w:gridSpan w:val="2"/>
          </w:tcPr>
          <w:p w14:paraId="0CE2BC8E" w14:textId="69239AB0" w:rsidR="00E23618" w:rsidRPr="00DC1519" w:rsidRDefault="00E23618" w:rsidP="00E23618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b/>
                <w:bCs/>
                <w:color w:val="1D2228"/>
                <w:sz w:val="32"/>
                <w:szCs w:val="32"/>
              </w:rPr>
            </w:pPr>
            <w:r w:rsidRPr="00DC1519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Reviewer #1</w:t>
            </w:r>
          </w:p>
        </w:tc>
      </w:tr>
      <w:tr w:rsidR="00DC1519" w14:paraId="7DE68CBD" w14:textId="77777777" w:rsidTr="00004672">
        <w:trPr>
          <w:trHeight w:val="4159"/>
        </w:trPr>
        <w:tc>
          <w:tcPr>
            <w:tcW w:w="5035" w:type="dxa"/>
          </w:tcPr>
          <w:p w14:paraId="1035F072" w14:textId="6786B308" w:rsidR="00DC1519" w:rsidRPr="00D96669" w:rsidRDefault="00064AFA" w:rsidP="00064AFA">
            <w:pPr>
              <w:pStyle w:val="ListParagraph"/>
              <w:numPr>
                <w:ilvl w:val="0"/>
                <w:numId w:val="19"/>
              </w:numPr>
              <w:shd w:val="clear" w:color="auto" w:fill="FCFCFC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96669">
              <w:rPr>
                <w:rFonts w:asciiTheme="majorBidi" w:eastAsia="Times New Roman" w:hAnsiTheme="majorBidi" w:cstheme="majorBidi"/>
                <w:sz w:val="24"/>
                <w:szCs w:val="24"/>
              </w:rPr>
              <w:t>Page 1: You propose to add U</w:t>
            </w:r>
            <w:r w:rsidRPr="00D96669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</w:rPr>
              <w:t>238</w:t>
            </w:r>
            <w:r w:rsidRPr="00D9666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with thorium to </w:t>
            </w:r>
            <w:proofErr w:type="spellStart"/>
            <w:r w:rsidRPr="00D96669">
              <w:rPr>
                <w:rFonts w:asciiTheme="majorBidi" w:eastAsia="Times New Roman" w:hAnsiTheme="majorBidi" w:cstheme="majorBidi"/>
                <w:sz w:val="24"/>
                <w:szCs w:val="24"/>
              </w:rPr>
              <w:t>denaturate</w:t>
            </w:r>
            <w:proofErr w:type="spellEnd"/>
            <w:r w:rsidRPr="00D9666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U</w:t>
            </w:r>
            <w:r w:rsidRPr="00D96669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</w:rPr>
              <w:t>233</w:t>
            </w:r>
            <w:r w:rsidRPr="00D9666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and limit the proliferation risks. Yet, this would lead to Pu production, could you comment this please? </w:t>
            </w:r>
          </w:p>
        </w:tc>
        <w:tc>
          <w:tcPr>
            <w:tcW w:w="4315" w:type="dxa"/>
          </w:tcPr>
          <w:p w14:paraId="1ED3DFBB" w14:textId="6B005F2A" w:rsidR="001E45AD" w:rsidRPr="001E45AD" w:rsidRDefault="001E45AD" w:rsidP="00840AB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“A</w:t>
            </w:r>
            <w:r w:rsidRPr="00D96669">
              <w:rPr>
                <w:rFonts w:asciiTheme="majorBidi" w:eastAsia="Times New Roman" w:hAnsiTheme="majorBidi" w:cstheme="majorBidi"/>
                <w:sz w:val="24"/>
                <w:szCs w:val="24"/>
              </w:rPr>
              <w:t>dd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ing</w:t>
            </w:r>
            <w:r w:rsidRPr="00D9666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U</w:t>
            </w:r>
            <w:r w:rsidRPr="00D96669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</w:rPr>
              <w:t>238</w:t>
            </w:r>
            <w:r w:rsidRPr="00D9666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with thorium to </w:t>
            </w:r>
            <w:proofErr w:type="spellStart"/>
            <w:r w:rsidRPr="00D96669">
              <w:rPr>
                <w:rFonts w:asciiTheme="majorBidi" w:eastAsia="Times New Roman" w:hAnsiTheme="majorBidi" w:cstheme="majorBidi"/>
                <w:sz w:val="24"/>
                <w:szCs w:val="24"/>
              </w:rPr>
              <w:t>denaturate</w:t>
            </w:r>
            <w:proofErr w:type="spellEnd"/>
            <w:r w:rsidRPr="00D9666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U</w:t>
            </w:r>
            <w:r w:rsidRPr="00D96669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</w:rPr>
              <w:t>233</w:t>
            </w:r>
            <w:r w:rsidRPr="00D9666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and limit the proliferation risks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” is not proposed by the authors of this paper. This paragraph presents the work done in reference 6.</w:t>
            </w:r>
          </w:p>
          <w:p w14:paraId="084FB01E" w14:textId="061C77B9" w:rsidR="001E45AD" w:rsidRDefault="001E45AD" w:rsidP="001E45AD">
            <w:pPr>
              <w:ind w:left="36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800CC4">
              <w:rPr>
                <w:rFonts w:asciiTheme="majorBidi" w:hAnsiTheme="majorBidi" w:cstheme="majorBidi"/>
                <w:sz w:val="20"/>
                <w:szCs w:val="20"/>
                <w:lang w:val="fr-FR"/>
              </w:rPr>
              <w:t>Kryuchkov</w:t>
            </w:r>
            <w:proofErr w:type="spellEnd"/>
            <w:r w:rsidRPr="00800CC4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E.F., </w:t>
            </w:r>
            <w:r w:rsidRPr="00800CC4">
              <w:rPr>
                <w:rFonts w:asciiTheme="majorBidi" w:hAnsiTheme="majorBidi" w:cstheme="majorBidi"/>
                <w:color w:val="000000"/>
                <w:sz w:val="20"/>
                <w:szCs w:val="20"/>
                <w:lang w:val="fr-FR"/>
              </w:rPr>
              <w:t>et al</w:t>
            </w:r>
            <w:r w:rsidRPr="00800CC4">
              <w:rPr>
                <w:rFonts w:asciiTheme="majorBidi" w:hAnsiTheme="majorBidi" w:cstheme="majorBidi"/>
                <w:sz w:val="20"/>
                <w:szCs w:val="20"/>
                <w:lang w:val="fr-FR"/>
              </w:rPr>
              <w:t>.</w:t>
            </w:r>
            <w:r w:rsidRPr="00800CC4">
              <w:rPr>
                <w:rFonts w:asciiTheme="majorBidi" w:hAnsiTheme="majorBidi" w:cstheme="majorBidi"/>
                <w:color w:val="000000"/>
                <w:sz w:val="20"/>
                <w:szCs w:val="20"/>
                <w:lang w:val="fr-FR"/>
              </w:rPr>
              <w:t xml:space="preserve">  </w:t>
            </w:r>
            <w:r w:rsidRPr="00800CC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Isotopic Uranium and Plutonium Denaturing as an Effective Method for Nuclear Fuel Proliferation Protection in Open and Closed Fuel Cycles. National Research Nuclear University “</w:t>
            </w:r>
            <w:proofErr w:type="spellStart"/>
            <w:r w:rsidRPr="00800CC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MEPhI</w:t>
            </w:r>
            <w:proofErr w:type="spellEnd"/>
            <w:r w:rsidRPr="00800CC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”, Texas A&amp;M University Russia.</w:t>
            </w:r>
          </w:p>
          <w:p w14:paraId="0D29AFDA" w14:textId="77777777" w:rsidR="00004672" w:rsidRPr="00800CC4" w:rsidRDefault="00004672" w:rsidP="001E45AD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0055FD64" w14:textId="17106B3A" w:rsidR="00DC1519" w:rsidRPr="00004672" w:rsidRDefault="00D1294E" w:rsidP="00004672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But in our work, the production of Pu was calculated and </w:t>
            </w:r>
            <w:r w:rsidR="000046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presented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in section 3.5.5 </w:t>
            </w:r>
            <w:r w:rsidR="000046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with a comment in the conclusion.</w:t>
            </w:r>
          </w:p>
        </w:tc>
      </w:tr>
      <w:tr w:rsidR="00DC1519" w14:paraId="53E1D964" w14:textId="77777777" w:rsidTr="001B07E0">
        <w:trPr>
          <w:trHeight w:val="539"/>
        </w:trPr>
        <w:tc>
          <w:tcPr>
            <w:tcW w:w="5035" w:type="dxa"/>
          </w:tcPr>
          <w:p w14:paraId="5E0FB6D3" w14:textId="6D18F2B2" w:rsidR="00DC1519" w:rsidRPr="00D96669" w:rsidRDefault="00064AFA" w:rsidP="00064AFA">
            <w:pPr>
              <w:pStyle w:val="ListParagraph"/>
              <w:numPr>
                <w:ilvl w:val="0"/>
                <w:numId w:val="19"/>
              </w:numPr>
              <w:shd w:val="clear" w:color="auto" w:fill="FCFCFC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96669">
              <w:rPr>
                <w:rFonts w:asciiTheme="majorBidi" w:eastAsia="Times New Roman" w:hAnsiTheme="majorBidi" w:cstheme="majorBidi"/>
                <w:sz w:val="24"/>
                <w:szCs w:val="24"/>
              </w:rPr>
              <w:t>Page 2: The remaining assemblies instead of the rest.</w:t>
            </w:r>
          </w:p>
        </w:tc>
        <w:tc>
          <w:tcPr>
            <w:tcW w:w="4315" w:type="dxa"/>
          </w:tcPr>
          <w:p w14:paraId="1BE5A46E" w14:textId="224E6F09" w:rsidR="00DC1519" w:rsidRPr="00DC1519" w:rsidRDefault="00746468" w:rsidP="005B4968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Done.</w:t>
            </w:r>
          </w:p>
        </w:tc>
      </w:tr>
      <w:tr w:rsidR="00DC1519" w14:paraId="5A0B0244" w14:textId="77777777" w:rsidTr="00DC1519">
        <w:trPr>
          <w:trHeight w:val="530"/>
        </w:trPr>
        <w:tc>
          <w:tcPr>
            <w:tcW w:w="5035" w:type="dxa"/>
          </w:tcPr>
          <w:p w14:paraId="5C9CBCC0" w14:textId="2781CD38" w:rsidR="00DC1519" w:rsidRPr="00D96669" w:rsidRDefault="00064AFA" w:rsidP="00064AFA">
            <w:pPr>
              <w:pStyle w:val="ListParagraph"/>
              <w:numPr>
                <w:ilvl w:val="0"/>
                <w:numId w:val="19"/>
              </w:numPr>
              <w:shd w:val="clear" w:color="auto" w:fill="FCFCFC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9666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Page 4 paragraph 2.2 "only MCNPX is totally capable of treating" </w:t>
            </w:r>
          </w:p>
        </w:tc>
        <w:tc>
          <w:tcPr>
            <w:tcW w:w="4315" w:type="dxa"/>
          </w:tcPr>
          <w:p w14:paraId="0401F46F" w14:textId="65C9BDAF" w:rsidR="000747DC" w:rsidRPr="00233A6A" w:rsidRDefault="00B829A8" w:rsidP="00233A6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color w:val="1D2228"/>
                <w:sz w:val="24"/>
                <w:szCs w:val="24"/>
              </w:rPr>
              <w:t>Done</w:t>
            </w:r>
            <w:bookmarkStart w:id="0" w:name="_GoBack"/>
            <w:bookmarkEnd w:id="0"/>
          </w:p>
        </w:tc>
      </w:tr>
      <w:tr w:rsidR="00DC1519" w14:paraId="7F74D20B" w14:textId="77777777" w:rsidTr="00DC1519">
        <w:trPr>
          <w:trHeight w:val="908"/>
        </w:trPr>
        <w:tc>
          <w:tcPr>
            <w:tcW w:w="5035" w:type="dxa"/>
          </w:tcPr>
          <w:p w14:paraId="6051A9E5" w14:textId="60267296" w:rsidR="00DC1519" w:rsidRPr="00D96669" w:rsidRDefault="00064AFA" w:rsidP="00064AFA">
            <w:pPr>
              <w:pStyle w:val="ListParagraph"/>
              <w:numPr>
                <w:ilvl w:val="0"/>
                <w:numId w:val="19"/>
              </w:numPr>
              <w:shd w:val="clear" w:color="auto" w:fill="FCFCFC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9666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Figure 3: There should be some high energy neutrons in the target zone due to spallation reactions, why are they not visible on the plot. </w:t>
            </w:r>
          </w:p>
        </w:tc>
        <w:tc>
          <w:tcPr>
            <w:tcW w:w="4315" w:type="dxa"/>
          </w:tcPr>
          <w:p w14:paraId="37EFA409" w14:textId="5E708D53" w:rsidR="0077029E" w:rsidRPr="0077029E" w:rsidRDefault="00F1067C" w:rsidP="00F1067C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F1067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The high-energy neutrons in the target zone </w:t>
            </w:r>
            <w:r w:rsidR="006B56A1">
              <w:rPr>
                <w:rFonts w:asciiTheme="majorBidi" w:eastAsia="Times New Roman" w:hAnsiTheme="majorBidi" w:cstheme="majorBidi"/>
                <w:sz w:val="24"/>
                <w:szCs w:val="24"/>
              </w:rPr>
              <w:t>are</w:t>
            </w:r>
            <w:r w:rsidRPr="00F1067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added to the graph in the revised paper.</w:t>
            </w:r>
          </w:p>
        </w:tc>
      </w:tr>
      <w:tr w:rsidR="00512A0A" w14:paraId="6ED57280" w14:textId="77777777" w:rsidTr="00064AFA">
        <w:trPr>
          <w:trHeight w:val="872"/>
        </w:trPr>
        <w:tc>
          <w:tcPr>
            <w:tcW w:w="5035" w:type="dxa"/>
          </w:tcPr>
          <w:p w14:paraId="30BAA8E3" w14:textId="436BB892" w:rsidR="00064AFA" w:rsidRPr="00D96669" w:rsidRDefault="00064AFA" w:rsidP="00064AFA">
            <w:pPr>
              <w:pStyle w:val="ListParagraph"/>
              <w:numPr>
                <w:ilvl w:val="0"/>
                <w:numId w:val="19"/>
              </w:numPr>
              <w:shd w:val="clear" w:color="auto" w:fill="FCFCFC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96669">
              <w:rPr>
                <w:rFonts w:asciiTheme="majorBidi" w:eastAsia="Times New Roman" w:hAnsiTheme="majorBidi" w:cstheme="majorBidi"/>
                <w:sz w:val="24"/>
                <w:szCs w:val="24"/>
              </w:rPr>
              <w:t>Figure 4 and onwards: What are the points and the line on your plot?</w:t>
            </w:r>
          </w:p>
        </w:tc>
        <w:tc>
          <w:tcPr>
            <w:tcW w:w="4315" w:type="dxa"/>
          </w:tcPr>
          <w:p w14:paraId="765D2806" w14:textId="576833A3" w:rsidR="00E23618" w:rsidRPr="005B4968" w:rsidRDefault="00902B23" w:rsidP="00A1191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color w:val="1D2228"/>
                <w:sz w:val="24"/>
                <w:szCs w:val="24"/>
              </w:rPr>
              <w:t>We just added the points as</w:t>
            </w:r>
            <w:r w:rsidR="00746468">
              <w:rPr>
                <w:rFonts w:asciiTheme="majorBidi" w:eastAsia="Times New Roman" w:hAnsiTheme="majorBidi" w:cstheme="majorBidi"/>
                <w:color w:val="1D2228"/>
                <w:sz w:val="24"/>
                <w:szCs w:val="24"/>
              </w:rPr>
              <w:t xml:space="preserve"> </w:t>
            </w:r>
            <w:r w:rsidR="00C86937">
              <w:rPr>
                <w:rFonts w:asciiTheme="majorBidi" w:eastAsia="Times New Roman" w:hAnsiTheme="majorBidi" w:cstheme="majorBidi"/>
                <w:color w:val="1D2228"/>
                <w:sz w:val="24"/>
                <w:szCs w:val="24"/>
              </w:rPr>
              <w:t>markers</w:t>
            </w:r>
            <w:r>
              <w:rPr>
                <w:rFonts w:asciiTheme="majorBidi" w:eastAsia="Times New Roman" w:hAnsiTheme="majorBidi" w:cstheme="majorBidi"/>
                <w:color w:val="1D2228"/>
                <w:sz w:val="24"/>
                <w:szCs w:val="24"/>
              </w:rPr>
              <w:t xml:space="preserve"> </w:t>
            </w:r>
            <w:r w:rsidR="00C86937">
              <w:rPr>
                <w:rFonts w:asciiTheme="majorBidi" w:eastAsia="Times New Roman" w:hAnsiTheme="majorBidi" w:cstheme="majorBidi"/>
                <w:color w:val="1D2228"/>
                <w:sz w:val="24"/>
                <w:szCs w:val="24"/>
              </w:rPr>
              <w:t>on</w:t>
            </w:r>
            <w:r>
              <w:rPr>
                <w:rFonts w:asciiTheme="majorBidi" w:eastAsia="Times New Roman" w:hAnsiTheme="majorBidi" w:cstheme="majorBidi"/>
                <w:color w:val="1D2228"/>
                <w:sz w:val="24"/>
                <w:szCs w:val="24"/>
              </w:rPr>
              <w:t xml:space="preserve"> the lines (lines and points are the same). But we modified it in </w:t>
            </w:r>
            <w:r w:rsidR="00746468">
              <w:rPr>
                <w:rFonts w:asciiTheme="majorBidi" w:eastAsia="Times New Roman" w:hAnsiTheme="majorBidi" w:cstheme="majorBidi"/>
                <w:color w:val="1D2228"/>
                <w:sz w:val="24"/>
                <w:szCs w:val="24"/>
              </w:rPr>
              <w:t xml:space="preserve">the </w:t>
            </w:r>
            <w:r>
              <w:rPr>
                <w:rFonts w:asciiTheme="majorBidi" w:eastAsia="Times New Roman" w:hAnsiTheme="majorBidi" w:cstheme="majorBidi"/>
                <w:color w:val="1D2228"/>
                <w:sz w:val="24"/>
                <w:szCs w:val="24"/>
              </w:rPr>
              <w:t xml:space="preserve">revised </w:t>
            </w:r>
            <w:r w:rsidR="00A1191A">
              <w:rPr>
                <w:rFonts w:asciiTheme="majorBidi" w:eastAsia="Times New Roman" w:hAnsiTheme="majorBidi" w:cstheme="majorBidi"/>
                <w:color w:val="1D2228"/>
                <w:sz w:val="24"/>
                <w:szCs w:val="24"/>
              </w:rPr>
              <w:t>version</w:t>
            </w:r>
            <w:r>
              <w:rPr>
                <w:rFonts w:asciiTheme="majorBidi" w:eastAsia="Times New Roman" w:hAnsiTheme="majorBidi" w:cstheme="majorBidi"/>
                <w:color w:val="1D2228"/>
                <w:sz w:val="24"/>
                <w:szCs w:val="24"/>
              </w:rPr>
              <w:t>.</w:t>
            </w:r>
          </w:p>
        </w:tc>
      </w:tr>
      <w:tr w:rsidR="00DC1519" w14:paraId="16F92481" w14:textId="77777777" w:rsidTr="00DC1519">
        <w:trPr>
          <w:trHeight w:val="314"/>
        </w:trPr>
        <w:tc>
          <w:tcPr>
            <w:tcW w:w="9350" w:type="dxa"/>
            <w:gridSpan w:val="2"/>
          </w:tcPr>
          <w:p w14:paraId="7956EE19" w14:textId="7E4539BF" w:rsidR="00DC1519" w:rsidRPr="00D96669" w:rsidRDefault="00DC1519" w:rsidP="00DC1519">
            <w:pPr>
              <w:keepNext/>
              <w:shd w:val="clear" w:color="auto" w:fill="FFFFFF"/>
              <w:jc w:val="center"/>
              <w:outlineLvl w:val="1"/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</w:rPr>
            </w:pPr>
            <w:r w:rsidRPr="00D96669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Reviewer #2</w:t>
            </w:r>
          </w:p>
        </w:tc>
      </w:tr>
      <w:tr w:rsidR="00DC1519" w14:paraId="3148FA98" w14:textId="77777777" w:rsidTr="00DC1519">
        <w:trPr>
          <w:trHeight w:val="1106"/>
        </w:trPr>
        <w:tc>
          <w:tcPr>
            <w:tcW w:w="5035" w:type="dxa"/>
          </w:tcPr>
          <w:p w14:paraId="1C6C11A0" w14:textId="5AD72913" w:rsidR="00DC1519" w:rsidRPr="00D96669" w:rsidRDefault="00064AFA" w:rsidP="00064AFA">
            <w:pPr>
              <w:pStyle w:val="ListParagraph"/>
              <w:numPr>
                <w:ilvl w:val="0"/>
                <w:numId w:val="19"/>
              </w:numPr>
              <w:shd w:val="clear" w:color="auto" w:fill="FCFCFC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9666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There is no word or reference to the European project EUROTRANS in which exhaustive core conception was conducted and led to reference designs. </w:t>
            </w:r>
          </w:p>
        </w:tc>
        <w:tc>
          <w:tcPr>
            <w:tcW w:w="4315" w:type="dxa"/>
          </w:tcPr>
          <w:p w14:paraId="78ECD8E0" w14:textId="120D973D" w:rsidR="00DC1519" w:rsidRPr="00FA0319" w:rsidRDefault="00FA0319" w:rsidP="00FA0319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shd w:val="clear" w:color="auto" w:fill="FFFFFF"/>
              </w:rPr>
            </w:pPr>
            <w:r w:rsidRPr="00FA0319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Because the European project EUROTRANS is devoted to the transmutation of high-level waste, focusing on transmutation in an ADS. But, we focused on the </w:t>
            </w:r>
            <w:r w:rsidRPr="00FA0319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vertAlign w:val="superscript"/>
              </w:rPr>
              <w:t>233</w:t>
            </w:r>
            <w:r w:rsidRPr="00FA0319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U breeding and energy production from the ADS.</w:t>
            </w:r>
          </w:p>
        </w:tc>
      </w:tr>
      <w:tr w:rsidR="00DC1519" w14:paraId="4E94E700" w14:textId="77777777" w:rsidTr="00DC1519">
        <w:trPr>
          <w:trHeight w:val="1070"/>
        </w:trPr>
        <w:tc>
          <w:tcPr>
            <w:tcW w:w="5035" w:type="dxa"/>
          </w:tcPr>
          <w:p w14:paraId="3405D033" w14:textId="2E8FF2C6" w:rsidR="00DC1519" w:rsidRPr="00D96669" w:rsidRDefault="00894A55" w:rsidP="00DC1519">
            <w:pPr>
              <w:pStyle w:val="ListParagraph"/>
              <w:numPr>
                <w:ilvl w:val="0"/>
                <w:numId w:val="20"/>
              </w:num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In Section 3.2 Table 3</w:t>
            </w:r>
            <w:r w:rsidR="00064AFA" w:rsidRPr="00D9666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: what is the cycle </w:t>
            </w:r>
            <w:proofErr w:type="gramStart"/>
            <w:r w:rsidR="00064AFA" w:rsidRPr="00D96669">
              <w:rPr>
                <w:rFonts w:asciiTheme="majorBidi" w:eastAsia="Times New Roman" w:hAnsiTheme="majorBidi" w:cstheme="majorBidi"/>
                <w:sz w:val="24"/>
                <w:szCs w:val="24"/>
              </w:rPr>
              <w:t>length ?</w:t>
            </w:r>
            <w:proofErr w:type="gramEnd"/>
            <w:r w:rsidR="00064AFA" w:rsidRPr="00D9666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does is correspond to once-through core loading or fractional one ?</w:t>
            </w:r>
          </w:p>
        </w:tc>
        <w:tc>
          <w:tcPr>
            <w:tcW w:w="4315" w:type="dxa"/>
          </w:tcPr>
          <w:p w14:paraId="1200D7F7" w14:textId="2D8625FC" w:rsidR="00030A61" w:rsidRDefault="001C25C3" w:rsidP="00030A61">
            <w:pPr>
              <w:pStyle w:val="ListParagraph"/>
              <w:keepNext/>
              <w:numPr>
                <w:ilvl w:val="0"/>
                <w:numId w:val="20"/>
              </w:num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A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The cycle length is determined as the reference, which is determined by the </w:t>
            </w:r>
            <w:proofErr w:type="spellStart"/>
            <w:r w:rsidRPr="00030A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</w:t>
            </w:r>
            <w:r w:rsidRPr="00030A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eff</w:t>
            </w:r>
            <w:proofErr w:type="spellEnd"/>
            <w:r w:rsidRPr="00030A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values at th</w:t>
            </w:r>
            <w:r w:rsidR="00894A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 BOC (0.960) and the EOC (0.893</w:t>
            </w:r>
            <w:r w:rsidRPr="00030A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  </w:t>
            </w:r>
          </w:p>
          <w:p w14:paraId="5E11090C" w14:textId="65047AFD" w:rsidR="00DC1519" w:rsidRPr="00030A61" w:rsidRDefault="00030A61" w:rsidP="00030A61">
            <w:pPr>
              <w:pStyle w:val="ListParagraph"/>
              <w:keepNext/>
              <w:numPr>
                <w:ilvl w:val="0"/>
                <w:numId w:val="20"/>
              </w:num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A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In our calculation to satisfy this condition, the cycle length is found to be 1200 EFPD, and we mention this point in the revised paper.    </w:t>
            </w:r>
            <w:r w:rsidRPr="00030A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DC1519" w14:paraId="3CE229FE" w14:textId="77777777" w:rsidTr="00064AFA">
        <w:trPr>
          <w:trHeight w:val="1682"/>
        </w:trPr>
        <w:tc>
          <w:tcPr>
            <w:tcW w:w="5035" w:type="dxa"/>
          </w:tcPr>
          <w:p w14:paraId="33B69404" w14:textId="1083B9E6" w:rsidR="00DC1519" w:rsidRPr="00D96669" w:rsidRDefault="00064AFA" w:rsidP="00064AFA">
            <w:pPr>
              <w:pStyle w:val="ListParagraph"/>
              <w:numPr>
                <w:ilvl w:val="0"/>
                <w:numId w:val="20"/>
              </w:numPr>
              <w:shd w:val="clear" w:color="auto" w:fill="FCFCFC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96669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 xml:space="preserve">A </w:t>
            </w:r>
            <w:proofErr w:type="spellStart"/>
            <w:r w:rsidRPr="00D96669">
              <w:rPr>
                <w:rFonts w:asciiTheme="majorBidi" w:eastAsia="Times New Roman" w:hAnsiTheme="majorBidi" w:cstheme="majorBidi"/>
                <w:sz w:val="24"/>
                <w:szCs w:val="24"/>
              </w:rPr>
              <w:t>K</w:t>
            </w:r>
            <w:r w:rsidRPr="00D96669">
              <w:rPr>
                <w:rFonts w:asciiTheme="majorBidi" w:eastAsia="Times New Roman" w:hAnsiTheme="majorBidi" w:cstheme="majorBidi"/>
                <w:sz w:val="24"/>
                <w:szCs w:val="24"/>
                <w:vertAlign w:val="subscript"/>
              </w:rPr>
              <w:t>eff</w:t>
            </w:r>
            <w:proofErr w:type="spellEnd"/>
            <w:r w:rsidRPr="00D9666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as low as 0.88 would be able to sustain </w:t>
            </w:r>
            <w:proofErr w:type="gramStart"/>
            <w:r w:rsidRPr="00D96669">
              <w:rPr>
                <w:rFonts w:asciiTheme="majorBidi" w:eastAsia="Times New Roman" w:hAnsiTheme="majorBidi" w:cstheme="majorBidi"/>
                <w:sz w:val="24"/>
                <w:szCs w:val="24"/>
              </w:rPr>
              <w:t>a</w:t>
            </w:r>
            <w:proofErr w:type="gramEnd"/>
            <w:r w:rsidRPr="00D9666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840 </w:t>
            </w:r>
            <w:proofErr w:type="spellStart"/>
            <w:r w:rsidRPr="00D96669">
              <w:rPr>
                <w:rFonts w:asciiTheme="majorBidi" w:eastAsia="Times New Roman" w:hAnsiTheme="majorBidi" w:cstheme="majorBidi"/>
                <w:sz w:val="24"/>
                <w:szCs w:val="24"/>
              </w:rPr>
              <w:t>MWth</w:t>
            </w:r>
            <w:proofErr w:type="spellEnd"/>
            <w:r w:rsidRPr="00D9666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core production without upgrade in the spallation source?</w:t>
            </w:r>
          </w:p>
        </w:tc>
        <w:tc>
          <w:tcPr>
            <w:tcW w:w="4315" w:type="dxa"/>
          </w:tcPr>
          <w:p w14:paraId="7E5924B5" w14:textId="2292EDC7" w:rsidR="005B4968" w:rsidRPr="005B4968" w:rsidRDefault="00052693" w:rsidP="00052693">
            <w:pPr>
              <w:pStyle w:val="ListParagraph"/>
              <w:keepNext/>
              <w:numPr>
                <w:ilvl w:val="0"/>
                <w:numId w:val="20"/>
              </w:num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2693">
              <w:rPr>
                <w:rFonts w:asciiTheme="majorBidi" w:eastAsia="Times New Roman" w:hAnsiTheme="majorBidi" w:cstheme="majorBidi"/>
                <w:color w:val="1D2228"/>
                <w:sz w:val="24"/>
                <w:szCs w:val="24"/>
              </w:rPr>
              <w:t xml:space="preserve">Yes, the spallation source needs upgrading to sustain the ADS power at this value of  </w:t>
            </w:r>
            <w:proofErr w:type="spellStart"/>
            <w:r w:rsidRPr="00052693">
              <w:rPr>
                <w:rFonts w:asciiTheme="majorBidi" w:eastAsia="Times New Roman" w:hAnsiTheme="majorBidi" w:cstheme="majorBidi"/>
                <w:color w:val="1D2228"/>
                <w:sz w:val="24"/>
                <w:szCs w:val="24"/>
              </w:rPr>
              <w:t>K</w:t>
            </w:r>
            <w:r w:rsidRPr="008B2954">
              <w:rPr>
                <w:rFonts w:asciiTheme="majorBidi" w:eastAsia="Times New Roman" w:hAnsiTheme="majorBidi" w:cstheme="majorBidi"/>
                <w:color w:val="1D2228"/>
                <w:sz w:val="24"/>
                <w:szCs w:val="24"/>
                <w:vertAlign w:val="subscript"/>
              </w:rPr>
              <w:t>eff</w:t>
            </w:r>
            <w:proofErr w:type="spellEnd"/>
            <w:r w:rsidRPr="00052693">
              <w:rPr>
                <w:rFonts w:asciiTheme="majorBidi" w:eastAsia="Times New Roman" w:hAnsiTheme="majorBidi" w:cstheme="majorBidi"/>
                <w:color w:val="1D2228"/>
                <w:sz w:val="24"/>
                <w:szCs w:val="24"/>
              </w:rPr>
              <w:t xml:space="preserve">, but the </w:t>
            </w:r>
            <w:proofErr w:type="spellStart"/>
            <w:r w:rsidRPr="00052693">
              <w:rPr>
                <w:rFonts w:asciiTheme="majorBidi" w:eastAsia="Times New Roman" w:hAnsiTheme="majorBidi" w:cstheme="majorBidi"/>
                <w:color w:val="1D2228"/>
                <w:sz w:val="24"/>
                <w:szCs w:val="24"/>
              </w:rPr>
              <w:t>K</w:t>
            </w:r>
            <w:r w:rsidRPr="008B2954">
              <w:rPr>
                <w:rFonts w:asciiTheme="majorBidi" w:eastAsia="Times New Roman" w:hAnsiTheme="majorBidi" w:cstheme="majorBidi"/>
                <w:color w:val="1D2228"/>
                <w:sz w:val="24"/>
                <w:szCs w:val="24"/>
                <w:vertAlign w:val="subscript"/>
              </w:rPr>
              <w:t>eff</w:t>
            </w:r>
            <w:proofErr w:type="spellEnd"/>
            <w:r w:rsidRPr="00052693">
              <w:rPr>
                <w:rFonts w:asciiTheme="majorBidi" w:eastAsia="Times New Roman" w:hAnsiTheme="majorBidi" w:cstheme="majorBidi"/>
                <w:color w:val="1D2228"/>
                <w:sz w:val="24"/>
                <w:szCs w:val="24"/>
              </w:rPr>
              <w:t xml:space="preserve"> value was adjusted to the reference we mentioned in the revised paper, which ends their ca</w:t>
            </w:r>
            <w:r>
              <w:rPr>
                <w:rFonts w:asciiTheme="majorBidi" w:eastAsia="Times New Roman" w:hAnsiTheme="majorBidi" w:cstheme="majorBidi"/>
                <w:color w:val="1D2228"/>
                <w:sz w:val="24"/>
                <w:szCs w:val="24"/>
              </w:rPr>
              <w:t xml:space="preserve">lculation at a 0.89 </w:t>
            </w:r>
            <w:proofErr w:type="spellStart"/>
            <w:r>
              <w:rPr>
                <w:rFonts w:asciiTheme="majorBidi" w:eastAsia="Times New Roman" w:hAnsiTheme="majorBidi" w:cstheme="majorBidi"/>
                <w:color w:val="1D2228"/>
                <w:sz w:val="24"/>
                <w:szCs w:val="24"/>
              </w:rPr>
              <w:t>K</w:t>
            </w:r>
            <w:r w:rsidRPr="008B2954">
              <w:rPr>
                <w:rFonts w:asciiTheme="majorBidi" w:eastAsia="Times New Roman" w:hAnsiTheme="majorBidi" w:cstheme="majorBidi"/>
                <w:color w:val="1D2228"/>
                <w:sz w:val="24"/>
                <w:szCs w:val="24"/>
                <w:vertAlign w:val="subscript"/>
              </w:rPr>
              <w:t>eff</w:t>
            </w:r>
            <w:proofErr w:type="spellEnd"/>
            <w:r>
              <w:rPr>
                <w:rFonts w:asciiTheme="majorBidi" w:eastAsia="Times New Roman" w:hAnsiTheme="majorBidi" w:cstheme="majorBidi"/>
                <w:color w:val="1D2228"/>
                <w:sz w:val="24"/>
                <w:szCs w:val="24"/>
              </w:rPr>
              <w:t xml:space="preserve"> value</w:t>
            </w:r>
            <w:r w:rsidR="00840AB7">
              <w:rPr>
                <w:rFonts w:asciiTheme="majorBidi" w:eastAsia="Times New Roman" w:hAnsiTheme="majorBidi" w:cstheme="majorBidi"/>
                <w:color w:val="1D2228"/>
                <w:sz w:val="24"/>
                <w:szCs w:val="24"/>
              </w:rPr>
              <w:t>.</w:t>
            </w:r>
          </w:p>
        </w:tc>
      </w:tr>
      <w:tr w:rsidR="00064AFA" w14:paraId="658DEA86" w14:textId="77777777" w:rsidTr="00064AFA">
        <w:trPr>
          <w:trHeight w:val="1160"/>
        </w:trPr>
        <w:tc>
          <w:tcPr>
            <w:tcW w:w="5035" w:type="dxa"/>
          </w:tcPr>
          <w:p w14:paraId="1977295A" w14:textId="106B1251" w:rsidR="00064AFA" w:rsidRPr="00D96669" w:rsidRDefault="00064AFA" w:rsidP="00064AFA">
            <w:pPr>
              <w:pStyle w:val="ListParagraph"/>
              <w:numPr>
                <w:ilvl w:val="0"/>
                <w:numId w:val="20"/>
              </w:numPr>
              <w:shd w:val="clear" w:color="auto" w:fill="FCFCFC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96669">
              <w:rPr>
                <w:rFonts w:asciiTheme="majorBidi" w:eastAsia="Times New Roman" w:hAnsiTheme="majorBidi" w:cstheme="majorBidi"/>
                <w:sz w:val="24"/>
                <w:szCs w:val="24"/>
              </w:rPr>
              <w:t>In conclusions, Pu production by ADS cannot be directly compared to those of the conventional (</w:t>
            </w:r>
            <w:proofErr w:type="spellStart"/>
            <w:r w:rsidRPr="00D96669">
              <w:rPr>
                <w:rFonts w:asciiTheme="majorBidi" w:eastAsia="Times New Roman" w:hAnsiTheme="majorBidi" w:cstheme="majorBidi"/>
                <w:sz w:val="24"/>
                <w:szCs w:val="24"/>
              </w:rPr>
              <w:t>UOx</w:t>
            </w:r>
            <w:proofErr w:type="spellEnd"/>
            <w:r w:rsidRPr="00D96669">
              <w:rPr>
                <w:rFonts w:asciiTheme="majorBidi" w:eastAsia="Times New Roman" w:hAnsiTheme="majorBidi" w:cstheme="majorBidi"/>
                <w:sz w:val="24"/>
                <w:szCs w:val="24"/>
              </w:rPr>
              <w:t>) PWR. Only production by thermal power (kg/</w:t>
            </w:r>
            <w:proofErr w:type="spellStart"/>
            <w:r w:rsidRPr="00D96669">
              <w:rPr>
                <w:rFonts w:asciiTheme="majorBidi" w:eastAsia="Times New Roman" w:hAnsiTheme="majorBidi" w:cstheme="majorBidi"/>
                <w:sz w:val="24"/>
                <w:szCs w:val="24"/>
              </w:rPr>
              <w:t>MW</w:t>
            </w:r>
            <w:r w:rsidRPr="00D96669">
              <w:rPr>
                <w:rFonts w:asciiTheme="majorBidi" w:eastAsia="Times New Roman" w:hAnsiTheme="majorBidi" w:cstheme="majorBidi"/>
                <w:sz w:val="24"/>
                <w:szCs w:val="24"/>
                <w:vertAlign w:val="subscript"/>
              </w:rPr>
              <w:t>th</w:t>
            </w:r>
            <w:proofErr w:type="spellEnd"/>
            <w:r w:rsidRPr="00D96669">
              <w:rPr>
                <w:rFonts w:asciiTheme="majorBidi" w:eastAsia="Times New Roman" w:hAnsiTheme="majorBidi" w:cstheme="majorBidi"/>
                <w:sz w:val="24"/>
                <w:szCs w:val="24"/>
              </w:rPr>
              <w:t>) makes sense here.</w:t>
            </w:r>
          </w:p>
        </w:tc>
        <w:tc>
          <w:tcPr>
            <w:tcW w:w="4315" w:type="dxa"/>
          </w:tcPr>
          <w:p w14:paraId="0B7A1540" w14:textId="4A1F035C" w:rsidR="00CD0A6B" w:rsidRPr="005C26B6" w:rsidRDefault="005C26B6" w:rsidP="005C26B6">
            <w:pPr>
              <w:pStyle w:val="ListParagraph"/>
              <w:keepNext/>
              <w:numPr>
                <w:ilvl w:val="0"/>
                <w:numId w:val="20"/>
              </w:numPr>
              <w:shd w:val="clear" w:color="auto" w:fill="FFFFFF"/>
              <w:jc w:val="both"/>
              <w:outlineLvl w:val="1"/>
              <w:rPr>
                <w:rFonts w:asciiTheme="majorBidi" w:eastAsia="Times New Roman" w:hAnsiTheme="majorBidi" w:cstheme="majorBidi"/>
                <w:color w:val="1D2228"/>
                <w:sz w:val="24"/>
                <w:szCs w:val="24"/>
              </w:rPr>
            </w:pPr>
            <w:r w:rsidRPr="005C26B6">
              <w:rPr>
                <w:rFonts w:asciiTheme="majorBidi" w:eastAsia="Times New Roman" w:hAnsiTheme="majorBidi" w:cstheme="majorBidi"/>
                <w:sz w:val="24"/>
                <w:szCs w:val="24"/>
              </w:rPr>
              <w:t>Yes, you are right, and we compared the plutonium production according to thermal power (kg/</w:t>
            </w:r>
            <w:proofErr w:type="spellStart"/>
            <w:r w:rsidRPr="005C26B6">
              <w:rPr>
                <w:rFonts w:asciiTheme="majorBidi" w:eastAsia="Times New Roman" w:hAnsiTheme="majorBidi" w:cstheme="majorBidi"/>
                <w:sz w:val="24"/>
                <w:szCs w:val="24"/>
              </w:rPr>
              <w:t>MW</w:t>
            </w:r>
            <w:r w:rsidRPr="00A1191A">
              <w:rPr>
                <w:rFonts w:asciiTheme="majorBidi" w:eastAsia="Times New Roman" w:hAnsiTheme="majorBidi" w:cstheme="majorBidi"/>
                <w:sz w:val="24"/>
                <w:szCs w:val="24"/>
                <w:vertAlign w:val="subscript"/>
              </w:rPr>
              <w:t>th</w:t>
            </w:r>
            <w:proofErr w:type="spellEnd"/>
            <w:r w:rsidRPr="005C26B6">
              <w:rPr>
                <w:rFonts w:asciiTheme="majorBidi" w:eastAsia="Times New Roman" w:hAnsiTheme="majorBidi" w:cstheme="majorBidi"/>
                <w:sz w:val="24"/>
                <w:szCs w:val="24"/>
              </w:rPr>
              <w:t>) in the revised version.</w:t>
            </w:r>
          </w:p>
        </w:tc>
      </w:tr>
    </w:tbl>
    <w:p w14:paraId="0D969050" w14:textId="143E7A93" w:rsidR="00512A0A" w:rsidRDefault="00512A0A" w:rsidP="00605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0124B" w14:textId="4D3BF649" w:rsidR="00706054" w:rsidRDefault="00AB0806" w:rsidP="00AB0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06">
        <w:rPr>
          <w:rFonts w:ascii="Times New Roman" w:hAnsi="Times New Roman" w:cs="Times New Roman"/>
          <w:sz w:val="24"/>
          <w:szCs w:val="24"/>
        </w:rPr>
        <w:t>All authors performed their best efforts to reply all the reviewer comments, and they welcome any additional comments.</w:t>
      </w:r>
    </w:p>
    <w:sectPr w:rsidR="00706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B56E3"/>
    <w:multiLevelType w:val="hybridMultilevel"/>
    <w:tmpl w:val="3430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A442F"/>
    <w:multiLevelType w:val="hybridMultilevel"/>
    <w:tmpl w:val="DDBC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0006E"/>
    <w:multiLevelType w:val="hybridMultilevel"/>
    <w:tmpl w:val="185CE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26008"/>
    <w:multiLevelType w:val="hybridMultilevel"/>
    <w:tmpl w:val="02804D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417CC0"/>
    <w:multiLevelType w:val="hybridMultilevel"/>
    <w:tmpl w:val="2E3AD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F84F07"/>
    <w:multiLevelType w:val="hybridMultilevel"/>
    <w:tmpl w:val="0498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87169"/>
    <w:multiLevelType w:val="hybridMultilevel"/>
    <w:tmpl w:val="4EB046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D5ED8"/>
    <w:multiLevelType w:val="hybridMultilevel"/>
    <w:tmpl w:val="BE9CD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8A2A33"/>
    <w:multiLevelType w:val="hybridMultilevel"/>
    <w:tmpl w:val="4EB046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A13EA"/>
    <w:multiLevelType w:val="hybridMultilevel"/>
    <w:tmpl w:val="7C4E5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73D9C"/>
    <w:multiLevelType w:val="hybridMultilevel"/>
    <w:tmpl w:val="60D423A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8E7DBD"/>
    <w:multiLevelType w:val="hybridMultilevel"/>
    <w:tmpl w:val="060650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A976AE"/>
    <w:multiLevelType w:val="hybridMultilevel"/>
    <w:tmpl w:val="CD886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56521"/>
    <w:multiLevelType w:val="hybridMultilevel"/>
    <w:tmpl w:val="9ED8394E"/>
    <w:lvl w:ilvl="0" w:tplc="3AE85E36">
      <w:start w:val="1"/>
      <w:numFmt w:val="decimal"/>
      <w:lvlText w:val="(%1)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64664"/>
    <w:multiLevelType w:val="hybridMultilevel"/>
    <w:tmpl w:val="D5468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C4820"/>
    <w:multiLevelType w:val="hybridMultilevel"/>
    <w:tmpl w:val="73F4E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C840FA"/>
    <w:multiLevelType w:val="hybridMultilevel"/>
    <w:tmpl w:val="FD36CDBE"/>
    <w:lvl w:ilvl="0" w:tplc="ACD8734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307800"/>
    <w:multiLevelType w:val="hybridMultilevel"/>
    <w:tmpl w:val="B998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D5F22"/>
    <w:multiLevelType w:val="hybridMultilevel"/>
    <w:tmpl w:val="DC28658A"/>
    <w:lvl w:ilvl="0" w:tplc="D798A598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AD376F"/>
    <w:multiLevelType w:val="hybridMultilevel"/>
    <w:tmpl w:val="D37029A8"/>
    <w:lvl w:ilvl="0" w:tplc="6E3ED130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5046D1"/>
    <w:multiLevelType w:val="hybridMultilevel"/>
    <w:tmpl w:val="21E46A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0"/>
  </w:num>
  <w:num w:numId="5">
    <w:abstractNumId w:val="20"/>
  </w:num>
  <w:num w:numId="6">
    <w:abstractNumId w:val="17"/>
  </w:num>
  <w:num w:numId="7">
    <w:abstractNumId w:val="15"/>
  </w:num>
  <w:num w:numId="8">
    <w:abstractNumId w:val="3"/>
  </w:num>
  <w:num w:numId="9">
    <w:abstractNumId w:val="9"/>
  </w:num>
  <w:num w:numId="10">
    <w:abstractNumId w:val="4"/>
  </w:num>
  <w:num w:numId="11">
    <w:abstractNumId w:val="13"/>
  </w:num>
  <w:num w:numId="12">
    <w:abstractNumId w:val="10"/>
  </w:num>
  <w:num w:numId="13">
    <w:abstractNumId w:val="8"/>
  </w:num>
  <w:num w:numId="14">
    <w:abstractNumId w:val="6"/>
  </w:num>
  <w:num w:numId="15">
    <w:abstractNumId w:val="7"/>
  </w:num>
  <w:num w:numId="16">
    <w:abstractNumId w:val="2"/>
  </w:num>
  <w:num w:numId="17">
    <w:abstractNumId w:val="12"/>
  </w:num>
  <w:num w:numId="18">
    <w:abstractNumId w:val="14"/>
  </w:num>
  <w:num w:numId="19">
    <w:abstractNumId w:val="18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0C"/>
    <w:rsid w:val="00004672"/>
    <w:rsid w:val="00030A61"/>
    <w:rsid w:val="00033574"/>
    <w:rsid w:val="00052693"/>
    <w:rsid w:val="00064AFA"/>
    <w:rsid w:val="00066F89"/>
    <w:rsid w:val="000747DC"/>
    <w:rsid w:val="00085850"/>
    <w:rsid w:val="000A15A5"/>
    <w:rsid w:val="000A22CE"/>
    <w:rsid w:val="000A5758"/>
    <w:rsid w:val="000C15B5"/>
    <w:rsid w:val="000C2A43"/>
    <w:rsid w:val="000E08CD"/>
    <w:rsid w:val="000F46EE"/>
    <w:rsid w:val="00104AE1"/>
    <w:rsid w:val="00112A48"/>
    <w:rsid w:val="00130CE6"/>
    <w:rsid w:val="001333B8"/>
    <w:rsid w:val="0013441A"/>
    <w:rsid w:val="00146E16"/>
    <w:rsid w:val="00152EF8"/>
    <w:rsid w:val="001608CE"/>
    <w:rsid w:val="001729B7"/>
    <w:rsid w:val="00177BAE"/>
    <w:rsid w:val="00186E95"/>
    <w:rsid w:val="00192922"/>
    <w:rsid w:val="001B07E0"/>
    <w:rsid w:val="001B34C9"/>
    <w:rsid w:val="001C25C3"/>
    <w:rsid w:val="001D3172"/>
    <w:rsid w:val="001D38E9"/>
    <w:rsid w:val="001E45AD"/>
    <w:rsid w:val="00201D07"/>
    <w:rsid w:val="00217F96"/>
    <w:rsid w:val="00233A6A"/>
    <w:rsid w:val="002433DD"/>
    <w:rsid w:val="00260159"/>
    <w:rsid w:val="0029498D"/>
    <w:rsid w:val="002A25ED"/>
    <w:rsid w:val="002B1680"/>
    <w:rsid w:val="002B5A72"/>
    <w:rsid w:val="002C0EB0"/>
    <w:rsid w:val="002F21E2"/>
    <w:rsid w:val="002F4EC1"/>
    <w:rsid w:val="0035125A"/>
    <w:rsid w:val="0035789B"/>
    <w:rsid w:val="003621CC"/>
    <w:rsid w:val="00364CEC"/>
    <w:rsid w:val="00366356"/>
    <w:rsid w:val="00370CC0"/>
    <w:rsid w:val="00370E51"/>
    <w:rsid w:val="003A0133"/>
    <w:rsid w:val="003B0AEA"/>
    <w:rsid w:val="003C005C"/>
    <w:rsid w:val="003E7D6E"/>
    <w:rsid w:val="0041081C"/>
    <w:rsid w:val="00415A17"/>
    <w:rsid w:val="0042058E"/>
    <w:rsid w:val="00425526"/>
    <w:rsid w:val="00442DD2"/>
    <w:rsid w:val="00446043"/>
    <w:rsid w:val="00451282"/>
    <w:rsid w:val="00451E3F"/>
    <w:rsid w:val="00466D2D"/>
    <w:rsid w:val="004728CA"/>
    <w:rsid w:val="00472947"/>
    <w:rsid w:val="004749EA"/>
    <w:rsid w:val="004801D8"/>
    <w:rsid w:val="00492498"/>
    <w:rsid w:val="004B2587"/>
    <w:rsid w:val="004B3802"/>
    <w:rsid w:val="004F4BA0"/>
    <w:rsid w:val="00512A0A"/>
    <w:rsid w:val="005247BE"/>
    <w:rsid w:val="005310E1"/>
    <w:rsid w:val="005437E3"/>
    <w:rsid w:val="005900C4"/>
    <w:rsid w:val="005A3335"/>
    <w:rsid w:val="005A47BF"/>
    <w:rsid w:val="005B4968"/>
    <w:rsid w:val="005B52DD"/>
    <w:rsid w:val="005C00D5"/>
    <w:rsid w:val="005C26B6"/>
    <w:rsid w:val="005C3D93"/>
    <w:rsid w:val="005F6401"/>
    <w:rsid w:val="006059B2"/>
    <w:rsid w:val="00606D0D"/>
    <w:rsid w:val="00615008"/>
    <w:rsid w:val="006171C2"/>
    <w:rsid w:val="00632AF7"/>
    <w:rsid w:val="00637ECA"/>
    <w:rsid w:val="0065288C"/>
    <w:rsid w:val="00665B50"/>
    <w:rsid w:val="006676F4"/>
    <w:rsid w:val="00676DF2"/>
    <w:rsid w:val="00691DFB"/>
    <w:rsid w:val="006A430C"/>
    <w:rsid w:val="006B2893"/>
    <w:rsid w:val="006B5660"/>
    <w:rsid w:val="006B56A1"/>
    <w:rsid w:val="006D00DB"/>
    <w:rsid w:val="00706054"/>
    <w:rsid w:val="00711748"/>
    <w:rsid w:val="00727D61"/>
    <w:rsid w:val="00743250"/>
    <w:rsid w:val="0074484A"/>
    <w:rsid w:val="00746468"/>
    <w:rsid w:val="007533DF"/>
    <w:rsid w:val="00767075"/>
    <w:rsid w:val="0077029E"/>
    <w:rsid w:val="0078087B"/>
    <w:rsid w:val="007828CE"/>
    <w:rsid w:val="00794504"/>
    <w:rsid w:val="007A2B3E"/>
    <w:rsid w:val="007A61AE"/>
    <w:rsid w:val="007B17A7"/>
    <w:rsid w:val="007C140D"/>
    <w:rsid w:val="007C2CCF"/>
    <w:rsid w:val="007D7D0C"/>
    <w:rsid w:val="007E796E"/>
    <w:rsid w:val="007F666C"/>
    <w:rsid w:val="00800CC4"/>
    <w:rsid w:val="008028C8"/>
    <w:rsid w:val="00804CCD"/>
    <w:rsid w:val="00810955"/>
    <w:rsid w:val="00811CAE"/>
    <w:rsid w:val="00815BA5"/>
    <w:rsid w:val="00840AB7"/>
    <w:rsid w:val="00853C46"/>
    <w:rsid w:val="008664A5"/>
    <w:rsid w:val="00875D9A"/>
    <w:rsid w:val="00894A55"/>
    <w:rsid w:val="008B2954"/>
    <w:rsid w:val="008F7B6A"/>
    <w:rsid w:val="00902B23"/>
    <w:rsid w:val="009139FE"/>
    <w:rsid w:val="00917203"/>
    <w:rsid w:val="00923D89"/>
    <w:rsid w:val="009408E6"/>
    <w:rsid w:val="0094488C"/>
    <w:rsid w:val="009717C2"/>
    <w:rsid w:val="009742B9"/>
    <w:rsid w:val="0099495A"/>
    <w:rsid w:val="009972B3"/>
    <w:rsid w:val="009B144F"/>
    <w:rsid w:val="009C0F5B"/>
    <w:rsid w:val="009C7C31"/>
    <w:rsid w:val="009D6A75"/>
    <w:rsid w:val="00A03F71"/>
    <w:rsid w:val="00A1191A"/>
    <w:rsid w:val="00A11A52"/>
    <w:rsid w:val="00A1738D"/>
    <w:rsid w:val="00A24631"/>
    <w:rsid w:val="00A407ED"/>
    <w:rsid w:val="00A506DC"/>
    <w:rsid w:val="00A540AA"/>
    <w:rsid w:val="00A6440C"/>
    <w:rsid w:val="00A97B39"/>
    <w:rsid w:val="00AA166A"/>
    <w:rsid w:val="00AB0806"/>
    <w:rsid w:val="00AB3F80"/>
    <w:rsid w:val="00B24A8C"/>
    <w:rsid w:val="00B30FFD"/>
    <w:rsid w:val="00B52797"/>
    <w:rsid w:val="00B52CD6"/>
    <w:rsid w:val="00B829A8"/>
    <w:rsid w:val="00BA18BF"/>
    <w:rsid w:val="00BA1A2D"/>
    <w:rsid w:val="00BA47D6"/>
    <w:rsid w:val="00BC7644"/>
    <w:rsid w:val="00BD10A3"/>
    <w:rsid w:val="00BE2172"/>
    <w:rsid w:val="00BE74DF"/>
    <w:rsid w:val="00C05B4F"/>
    <w:rsid w:val="00C06649"/>
    <w:rsid w:val="00C07313"/>
    <w:rsid w:val="00C25057"/>
    <w:rsid w:val="00C46A8C"/>
    <w:rsid w:val="00C6231C"/>
    <w:rsid w:val="00C86937"/>
    <w:rsid w:val="00C87490"/>
    <w:rsid w:val="00C92AC5"/>
    <w:rsid w:val="00C94725"/>
    <w:rsid w:val="00C97654"/>
    <w:rsid w:val="00CA16D2"/>
    <w:rsid w:val="00CC025E"/>
    <w:rsid w:val="00CC238D"/>
    <w:rsid w:val="00CD0A6B"/>
    <w:rsid w:val="00CF0AD8"/>
    <w:rsid w:val="00CF30FA"/>
    <w:rsid w:val="00D01ECA"/>
    <w:rsid w:val="00D021CC"/>
    <w:rsid w:val="00D1187A"/>
    <w:rsid w:val="00D1294E"/>
    <w:rsid w:val="00D26D09"/>
    <w:rsid w:val="00D3759C"/>
    <w:rsid w:val="00D46BCD"/>
    <w:rsid w:val="00D5070E"/>
    <w:rsid w:val="00D56450"/>
    <w:rsid w:val="00D60FC7"/>
    <w:rsid w:val="00D92DBF"/>
    <w:rsid w:val="00D96669"/>
    <w:rsid w:val="00DC1519"/>
    <w:rsid w:val="00DC3DE5"/>
    <w:rsid w:val="00DD2493"/>
    <w:rsid w:val="00DD4666"/>
    <w:rsid w:val="00DE134B"/>
    <w:rsid w:val="00DF62C5"/>
    <w:rsid w:val="00E10A99"/>
    <w:rsid w:val="00E12920"/>
    <w:rsid w:val="00E15280"/>
    <w:rsid w:val="00E23618"/>
    <w:rsid w:val="00E3241D"/>
    <w:rsid w:val="00E636CA"/>
    <w:rsid w:val="00E87A46"/>
    <w:rsid w:val="00ED4E21"/>
    <w:rsid w:val="00EE055D"/>
    <w:rsid w:val="00EF2EA6"/>
    <w:rsid w:val="00F1067C"/>
    <w:rsid w:val="00F445B6"/>
    <w:rsid w:val="00F56A9D"/>
    <w:rsid w:val="00F60BDC"/>
    <w:rsid w:val="00F63B46"/>
    <w:rsid w:val="00FA0319"/>
    <w:rsid w:val="00FA6F44"/>
    <w:rsid w:val="00FB0B47"/>
    <w:rsid w:val="00FE126B"/>
    <w:rsid w:val="00FE6A81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C50F4"/>
  <w15:chartTrackingRefBased/>
  <w15:docId w15:val="{361EF836-8E0B-4A8A-BA23-65EA6477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2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F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0F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3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4293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Hanaa Abou Gabal</dc:creator>
  <cp:keywords/>
  <dc:description/>
  <cp:lastModifiedBy>GANAH</cp:lastModifiedBy>
  <cp:revision>278</cp:revision>
  <dcterms:created xsi:type="dcterms:W3CDTF">2019-07-20T19:29:00Z</dcterms:created>
  <dcterms:modified xsi:type="dcterms:W3CDTF">2022-03-26T03:40:00Z</dcterms:modified>
</cp:coreProperties>
</file>