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BA6" w:rsidRDefault="00DD0FA0" w:rsidP="00537496">
      <w:pPr>
        <w:pStyle w:val="1"/>
        <w:rPr>
          <w:szCs w:val="24"/>
          <w:lang w:eastAsia="ru-RU"/>
        </w:rPr>
      </w:pPr>
      <w:r w:rsidRPr="00DD0FA0">
        <w:rPr>
          <w:szCs w:val="24"/>
          <w:lang w:eastAsia="ru-RU"/>
        </w:rPr>
        <w:t xml:space="preserve">COMPARATIVE ANALYSIS OF MINOR ACTINIDES TRANSMUTATION IN A MSR-BURNER BASED ON </w:t>
      </w:r>
    </w:p>
    <w:p w:rsidR="00DD0FA0" w:rsidRPr="00DD0FA0" w:rsidRDefault="00DD0FA0" w:rsidP="00537496">
      <w:pPr>
        <w:pStyle w:val="1"/>
        <w:rPr>
          <w:szCs w:val="24"/>
        </w:rPr>
      </w:pPr>
      <w:proofErr w:type="spellStart"/>
      <w:r w:rsidRPr="00DD0FA0">
        <w:rPr>
          <w:szCs w:val="24"/>
        </w:rPr>
        <w:t>L</w:t>
      </w:r>
      <w:r w:rsidR="00250BF2" w:rsidRPr="00DD0FA0">
        <w:rPr>
          <w:caps w:val="0"/>
          <w:szCs w:val="24"/>
        </w:rPr>
        <w:t>i</w:t>
      </w:r>
      <w:r w:rsidRPr="00DD0FA0">
        <w:rPr>
          <w:szCs w:val="24"/>
        </w:rPr>
        <w:t>F</w:t>
      </w:r>
      <w:proofErr w:type="spellEnd"/>
      <w:r w:rsidRPr="00DD0FA0">
        <w:rPr>
          <w:szCs w:val="24"/>
        </w:rPr>
        <w:t>–</w:t>
      </w:r>
      <w:proofErr w:type="spellStart"/>
      <w:r w:rsidRPr="00DD0FA0">
        <w:rPr>
          <w:szCs w:val="24"/>
        </w:rPr>
        <w:t>N</w:t>
      </w:r>
      <w:r w:rsidR="00250BF2">
        <w:rPr>
          <w:caps w:val="0"/>
          <w:szCs w:val="24"/>
        </w:rPr>
        <w:t>a</w:t>
      </w:r>
      <w:r w:rsidRPr="00DD0FA0">
        <w:rPr>
          <w:szCs w:val="24"/>
        </w:rPr>
        <w:t>F</w:t>
      </w:r>
      <w:proofErr w:type="spellEnd"/>
      <w:r w:rsidRPr="00DD0FA0">
        <w:rPr>
          <w:szCs w:val="24"/>
        </w:rPr>
        <w:t>–KF</w:t>
      </w:r>
      <w:r w:rsidRPr="00DD0FA0">
        <w:rPr>
          <w:szCs w:val="24"/>
          <w:lang w:eastAsia="ru-RU"/>
        </w:rPr>
        <w:t xml:space="preserve"> AND </w:t>
      </w:r>
      <w:proofErr w:type="spellStart"/>
      <w:r w:rsidRPr="00DD0FA0">
        <w:rPr>
          <w:szCs w:val="24"/>
        </w:rPr>
        <w:t>L</w:t>
      </w:r>
      <w:r w:rsidR="00250BF2" w:rsidRPr="00DD0FA0">
        <w:rPr>
          <w:caps w:val="0"/>
          <w:szCs w:val="24"/>
        </w:rPr>
        <w:t>i</w:t>
      </w:r>
      <w:r w:rsidRPr="00DD0FA0">
        <w:rPr>
          <w:szCs w:val="24"/>
        </w:rPr>
        <w:t>F</w:t>
      </w:r>
      <w:proofErr w:type="spellEnd"/>
      <w:r w:rsidRPr="00DD0FA0">
        <w:rPr>
          <w:szCs w:val="24"/>
        </w:rPr>
        <w:t>–B</w:t>
      </w:r>
      <w:r w:rsidR="00250BF2" w:rsidRPr="00DD0FA0">
        <w:rPr>
          <w:caps w:val="0"/>
          <w:szCs w:val="24"/>
        </w:rPr>
        <w:t>e</w:t>
      </w:r>
      <w:r w:rsidRPr="00DD0FA0">
        <w:rPr>
          <w:szCs w:val="24"/>
        </w:rPr>
        <w:t>F</w:t>
      </w:r>
      <w:r w:rsidRPr="00DD0FA0">
        <w:rPr>
          <w:szCs w:val="24"/>
          <w:vertAlign w:val="subscript"/>
        </w:rPr>
        <w:t>2</w:t>
      </w:r>
      <w:r w:rsidRPr="00DD0FA0">
        <w:rPr>
          <w:szCs w:val="24"/>
          <w:lang w:eastAsia="ru-RU"/>
        </w:rPr>
        <w:t xml:space="preserve"> SALTS</w:t>
      </w:r>
    </w:p>
    <w:p w:rsidR="00DD0FA0" w:rsidRDefault="00DD0FA0" w:rsidP="00537496">
      <w:pPr>
        <w:pStyle w:val="1"/>
      </w:pPr>
    </w:p>
    <w:p w:rsidR="003B5E0E" w:rsidRDefault="00250BF2" w:rsidP="00537496">
      <w:pPr>
        <w:pStyle w:val="Authornameandaffiliation"/>
      </w:pPr>
      <w:r>
        <w:t>M.N. BELONOGOV</w:t>
      </w:r>
    </w:p>
    <w:p w:rsidR="00FF386F" w:rsidRDefault="00250BF2" w:rsidP="00537496">
      <w:pPr>
        <w:pStyle w:val="Authornameandaffiliation"/>
      </w:pPr>
      <w:r>
        <w:rPr>
          <w:color w:val="000000"/>
        </w:rPr>
        <w:t xml:space="preserve">Russian Federal Nuclear Center – </w:t>
      </w:r>
      <w:proofErr w:type="spellStart"/>
      <w:r>
        <w:rPr>
          <w:color w:val="000000"/>
        </w:rPr>
        <w:t>Zababakhin</w:t>
      </w:r>
      <w:proofErr w:type="spellEnd"/>
      <w:r>
        <w:rPr>
          <w:color w:val="000000"/>
        </w:rPr>
        <w:t xml:space="preserve"> All-Russian Research Institute of Technical Physics</w:t>
      </w:r>
    </w:p>
    <w:p w:rsidR="00FF386F" w:rsidRDefault="00250BF2" w:rsidP="00537496">
      <w:pPr>
        <w:pStyle w:val="Authornameandaffiliation"/>
      </w:pPr>
      <w:proofErr w:type="spellStart"/>
      <w:r w:rsidRPr="00ED5ADA">
        <w:t>Snezhinsk</w:t>
      </w:r>
      <w:proofErr w:type="spellEnd"/>
      <w:r w:rsidR="00FF386F">
        <w:t xml:space="preserve">, </w:t>
      </w:r>
      <w:r w:rsidRPr="00ED5ADA">
        <w:t>Russia</w:t>
      </w:r>
    </w:p>
    <w:p w:rsidR="00FF386F" w:rsidRDefault="00FF386F" w:rsidP="00537496">
      <w:pPr>
        <w:pStyle w:val="Authornameandaffiliation"/>
      </w:pPr>
      <w:r>
        <w:t xml:space="preserve">Email: </w:t>
      </w:r>
      <w:r w:rsidR="00250BF2" w:rsidRPr="00250BF2">
        <w:t>m.n.belonogov@vniitf.ru</w:t>
      </w:r>
    </w:p>
    <w:p w:rsidR="00FF386F" w:rsidRDefault="00FF386F" w:rsidP="00537496">
      <w:pPr>
        <w:pStyle w:val="Authornameandaffiliation"/>
      </w:pPr>
    </w:p>
    <w:p w:rsidR="00FF386F" w:rsidRPr="00FF386F" w:rsidRDefault="00CB163A" w:rsidP="00537496">
      <w:pPr>
        <w:pStyle w:val="Authornameandaffiliation"/>
      </w:pPr>
      <w:r>
        <w:t xml:space="preserve">D.V. KHMELNITSKY, D.G. MODESTOV, V.A. SIMONENKO, </w:t>
      </w:r>
      <w:r w:rsidR="00250BF2">
        <w:t>I.A. VOLKOV</w:t>
      </w:r>
      <w:r w:rsidR="00250BF2" w:rsidRPr="00561055">
        <w:t xml:space="preserve"> </w:t>
      </w:r>
    </w:p>
    <w:p w:rsidR="00250BF2" w:rsidRDefault="00250BF2" w:rsidP="00250BF2">
      <w:pPr>
        <w:pStyle w:val="Authornameandaffiliation"/>
      </w:pPr>
      <w:r>
        <w:rPr>
          <w:color w:val="000000"/>
        </w:rPr>
        <w:t xml:space="preserve">Russian Federal Nuclear Center – </w:t>
      </w:r>
      <w:proofErr w:type="spellStart"/>
      <w:r>
        <w:rPr>
          <w:color w:val="000000"/>
        </w:rPr>
        <w:t>Zababakhin</w:t>
      </w:r>
      <w:proofErr w:type="spellEnd"/>
      <w:r>
        <w:rPr>
          <w:color w:val="000000"/>
        </w:rPr>
        <w:t xml:space="preserve"> All-Russian Research Institute of Technical Physics</w:t>
      </w:r>
    </w:p>
    <w:p w:rsidR="00250BF2" w:rsidRDefault="00250BF2" w:rsidP="00250BF2">
      <w:pPr>
        <w:pStyle w:val="Authornameandaffiliation"/>
      </w:pPr>
      <w:proofErr w:type="spellStart"/>
      <w:r w:rsidRPr="00ED5ADA">
        <w:t>Snezhinsk</w:t>
      </w:r>
      <w:proofErr w:type="spellEnd"/>
      <w:r>
        <w:t xml:space="preserve">, </w:t>
      </w:r>
      <w:r w:rsidRPr="00ED5ADA">
        <w:t>Russia</w:t>
      </w:r>
    </w:p>
    <w:p w:rsidR="00FF386F" w:rsidRDefault="00FF386F" w:rsidP="00537496">
      <w:pPr>
        <w:pStyle w:val="Authornameandaffiliation"/>
      </w:pPr>
    </w:p>
    <w:p w:rsidR="00647F33" w:rsidRPr="00647F33" w:rsidRDefault="00647F33" w:rsidP="00537496">
      <w:pPr>
        <w:pStyle w:val="Authornameandaffiliation"/>
        <w:rPr>
          <w:b/>
        </w:rPr>
      </w:pPr>
      <w:r w:rsidRPr="00647F33">
        <w:rPr>
          <w:b/>
        </w:rPr>
        <w:t>Abstract</w:t>
      </w:r>
    </w:p>
    <w:p w:rsidR="00647F33" w:rsidRDefault="00647F33" w:rsidP="00537496">
      <w:pPr>
        <w:pStyle w:val="Authornameandaffiliation"/>
      </w:pPr>
    </w:p>
    <w:p w:rsidR="00250BF2" w:rsidRPr="00370087" w:rsidRDefault="00250BF2" w:rsidP="00411851">
      <w:pPr>
        <w:ind w:firstLine="567"/>
        <w:jc w:val="both"/>
        <w:rPr>
          <w:sz w:val="18"/>
          <w:lang w:val="en-US"/>
        </w:rPr>
      </w:pPr>
      <w:r w:rsidRPr="00370087">
        <w:rPr>
          <w:sz w:val="18"/>
          <w:lang w:val="en-US"/>
        </w:rPr>
        <w:t xml:space="preserve">In Russia, research is actively underway to develop a specialized molten-salt burner reactor (MSR-burner) of minor actinides (MA) from spent nuclear fuel of power reactors. Two candidate fluoride salts, </w:t>
      </w:r>
      <w:proofErr w:type="spellStart"/>
      <w:r w:rsidRPr="00370087">
        <w:rPr>
          <w:sz w:val="18"/>
          <w:lang w:val="en-US"/>
        </w:rPr>
        <w:t>LiF</w:t>
      </w:r>
      <w:proofErr w:type="spellEnd"/>
      <w:r w:rsidRPr="00370087">
        <w:rPr>
          <w:sz w:val="18"/>
          <w:lang w:val="en-US"/>
        </w:rPr>
        <w:t>–BeF</w:t>
      </w:r>
      <w:r w:rsidRPr="00DA6F0D">
        <w:rPr>
          <w:sz w:val="18"/>
          <w:vertAlign w:val="subscript"/>
          <w:lang w:val="en-US"/>
        </w:rPr>
        <w:t>2</w:t>
      </w:r>
      <w:r w:rsidRPr="00370087">
        <w:rPr>
          <w:sz w:val="18"/>
          <w:lang w:val="en-US"/>
        </w:rPr>
        <w:t xml:space="preserve"> and </w:t>
      </w:r>
      <w:proofErr w:type="spellStart"/>
      <w:r w:rsidRPr="00370087">
        <w:rPr>
          <w:sz w:val="18"/>
          <w:lang w:val="en-US"/>
        </w:rPr>
        <w:t>LiF</w:t>
      </w:r>
      <w:proofErr w:type="spellEnd"/>
      <w:r w:rsidRPr="00370087">
        <w:rPr>
          <w:sz w:val="18"/>
          <w:lang w:val="en-US"/>
        </w:rPr>
        <w:t>–</w:t>
      </w:r>
      <w:proofErr w:type="spellStart"/>
      <w:r w:rsidRPr="00370087">
        <w:rPr>
          <w:sz w:val="18"/>
          <w:lang w:val="en-US"/>
        </w:rPr>
        <w:t>NaF</w:t>
      </w:r>
      <w:proofErr w:type="spellEnd"/>
      <w:r w:rsidRPr="00370087">
        <w:rPr>
          <w:sz w:val="18"/>
          <w:lang w:val="en-US"/>
        </w:rPr>
        <w:t>–KF, are considered as the solvent of the reactor fuel components.</w:t>
      </w:r>
      <w:r w:rsidR="00370087" w:rsidRPr="00370087">
        <w:rPr>
          <w:sz w:val="18"/>
          <w:lang w:val="en-US"/>
        </w:rPr>
        <w:t xml:space="preserve"> </w:t>
      </w:r>
      <w:r w:rsidRPr="00370087">
        <w:rPr>
          <w:sz w:val="18"/>
          <w:lang w:val="en-US"/>
        </w:rPr>
        <w:t>The purpose of the present paper is to study MA transmutation in the MSR-burner based on selected salts in the equilibrium mode of reactor operation at different volumes of the core. The calculations were performed using the PRISMA+RISK software package developed at the «</w:t>
      </w:r>
      <w:r w:rsidR="00370087" w:rsidRPr="00370087">
        <w:rPr>
          <w:sz w:val="18"/>
          <w:lang w:val="en-US"/>
        </w:rPr>
        <w:t xml:space="preserve">Russian Federal Nuclear Center – </w:t>
      </w:r>
      <w:proofErr w:type="spellStart"/>
      <w:r w:rsidR="00370087" w:rsidRPr="00370087">
        <w:rPr>
          <w:sz w:val="18"/>
          <w:lang w:val="en-US"/>
        </w:rPr>
        <w:t>Zababakhin</w:t>
      </w:r>
      <w:proofErr w:type="spellEnd"/>
      <w:r w:rsidR="00370087" w:rsidRPr="00370087">
        <w:rPr>
          <w:sz w:val="18"/>
          <w:lang w:val="en-US"/>
        </w:rPr>
        <w:t xml:space="preserve"> All-Russian Research Institute of Technical Physics </w:t>
      </w:r>
      <w:r w:rsidRPr="00370087">
        <w:rPr>
          <w:sz w:val="18"/>
          <w:lang w:val="en-US"/>
        </w:rPr>
        <w:t>».</w:t>
      </w:r>
      <w:r w:rsidR="00370087" w:rsidRPr="00370087">
        <w:rPr>
          <w:sz w:val="18"/>
          <w:lang w:val="en-US"/>
        </w:rPr>
        <w:t xml:space="preserve"> </w:t>
      </w:r>
      <w:r w:rsidRPr="00370087">
        <w:rPr>
          <w:sz w:val="18"/>
          <w:lang w:val="en-US"/>
        </w:rPr>
        <w:t xml:space="preserve">The </w:t>
      </w:r>
      <w:proofErr w:type="spellStart"/>
      <w:r w:rsidRPr="00370087">
        <w:rPr>
          <w:sz w:val="18"/>
          <w:lang w:val="en-US"/>
        </w:rPr>
        <w:t>LiF</w:t>
      </w:r>
      <w:proofErr w:type="spellEnd"/>
      <w:r w:rsidRPr="00370087">
        <w:rPr>
          <w:sz w:val="18"/>
          <w:lang w:val="en-US"/>
        </w:rPr>
        <w:t>–BeF</w:t>
      </w:r>
      <w:r w:rsidRPr="00DA6F0D">
        <w:rPr>
          <w:sz w:val="18"/>
          <w:vertAlign w:val="subscript"/>
          <w:lang w:val="en-US"/>
        </w:rPr>
        <w:t>2</w:t>
      </w:r>
      <w:r w:rsidRPr="00370087">
        <w:rPr>
          <w:sz w:val="18"/>
          <w:lang w:val="en-US"/>
        </w:rPr>
        <w:t xml:space="preserve"> salt has a low solubility limit of actinide fluorides, which leads to the need to feed the reactor with a significant amount of Pu and, consequently, to a low efficiency of MA transmutation. By reducing of volume of the active zone increases the consumption of Pu and reduces the efficiency of transmutation. In contrast to </w:t>
      </w:r>
      <w:proofErr w:type="spellStart"/>
      <w:r w:rsidRPr="00370087">
        <w:rPr>
          <w:sz w:val="18"/>
          <w:lang w:val="en-US"/>
        </w:rPr>
        <w:t>LiF</w:t>
      </w:r>
      <w:proofErr w:type="spellEnd"/>
      <w:r w:rsidRPr="00370087">
        <w:rPr>
          <w:sz w:val="18"/>
          <w:lang w:val="en-US"/>
        </w:rPr>
        <w:t>–BeF</w:t>
      </w:r>
      <w:r w:rsidRPr="00DA6F0D">
        <w:rPr>
          <w:sz w:val="18"/>
          <w:vertAlign w:val="subscript"/>
          <w:lang w:val="en-US"/>
        </w:rPr>
        <w:t>2</w:t>
      </w:r>
      <w:r w:rsidRPr="00370087">
        <w:rPr>
          <w:sz w:val="18"/>
          <w:lang w:val="en-US"/>
        </w:rPr>
        <w:t xml:space="preserve">, </w:t>
      </w:r>
      <w:proofErr w:type="spellStart"/>
      <w:r w:rsidRPr="00370087">
        <w:rPr>
          <w:sz w:val="18"/>
          <w:lang w:val="en-US"/>
        </w:rPr>
        <w:t>LiF</w:t>
      </w:r>
      <w:proofErr w:type="spellEnd"/>
      <w:r w:rsidRPr="00370087">
        <w:rPr>
          <w:sz w:val="18"/>
          <w:lang w:val="en-US"/>
        </w:rPr>
        <w:t>–</w:t>
      </w:r>
      <w:proofErr w:type="spellStart"/>
      <w:r w:rsidRPr="00370087">
        <w:rPr>
          <w:sz w:val="18"/>
          <w:lang w:val="en-US"/>
        </w:rPr>
        <w:t>NaF</w:t>
      </w:r>
      <w:proofErr w:type="spellEnd"/>
      <w:r w:rsidRPr="00370087">
        <w:rPr>
          <w:sz w:val="18"/>
          <w:lang w:val="en-US"/>
        </w:rPr>
        <w:t>–KF eutectic is characterized by a relatively high solubility of actinide fluorides. For a MSR-burner based on this salt, plutonium is needed mainly for starting; in the equilibrium mode reactor consumes only MA. In this case, the maximum efficiency of MA transmutation can be achieved in a wide range of core volume: from 2 m</w:t>
      </w:r>
      <w:r w:rsidRPr="00DA6F0D">
        <w:rPr>
          <w:sz w:val="18"/>
          <w:vertAlign w:val="superscript"/>
          <w:lang w:val="en-US"/>
        </w:rPr>
        <w:t>3</w:t>
      </w:r>
      <w:r w:rsidRPr="00370087">
        <w:rPr>
          <w:sz w:val="18"/>
          <w:lang w:val="en-US"/>
        </w:rPr>
        <w:t xml:space="preserve"> to 30 m</w:t>
      </w:r>
      <w:r w:rsidRPr="00DA6F0D">
        <w:rPr>
          <w:sz w:val="18"/>
          <w:vertAlign w:val="superscript"/>
          <w:lang w:val="en-US"/>
        </w:rPr>
        <w:t>3</w:t>
      </w:r>
      <w:r w:rsidRPr="00370087">
        <w:rPr>
          <w:sz w:val="18"/>
          <w:lang w:val="en-US"/>
        </w:rPr>
        <w:t xml:space="preserve"> with a concentration of actinide fluorides from 17 to 10%, mol., respectively.</w:t>
      </w:r>
    </w:p>
    <w:p w:rsidR="00647F33" w:rsidRDefault="00F523CA" w:rsidP="00537496">
      <w:pPr>
        <w:pStyle w:val="2"/>
        <w:numPr>
          <w:ilvl w:val="1"/>
          <w:numId w:val="10"/>
        </w:numPr>
      </w:pPr>
      <w:r>
        <w:t>INTRODUCTION</w:t>
      </w:r>
    </w:p>
    <w:p w:rsidR="00DA6F0D" w:rsidRPr="00DA6F0D" w:rsidRDefault="00DA6F0D" w:rsidP="00DA6F0D">
      <w:pPr>
        <w:pStyle w:val="Default"/>
        <w:ind w:firstLine="567"/>
        <w:jc w:val="both"/>
        <w:rPr>
          <w:sz w:val="20"/>
          <w:szCs w:val="20"/>
          <w:lang w:val="en-US"/>
        </w:rPr>
      </w:pPr>
      <w:r w:rsidRPr="00DA6F0D">
        <w:rPr>
          <w:sz w:val="20"/>
          <w:szCs w:val="20"/>
          <w:lang w:val="en-US"/>
        </w:rPr>
        <w:t xml:space="preserve">Long-lived isotopes of minor actinides (Np, Am, and Cm isotopes) are known to seriously contribute to the long-lived activity and energy release of the spent fuel in light water reactors. IAEA estimations demonstrate that spent fuel in the amount of about 370 thousand tons, including more than 300 tons of minor actinides, was accumulated by 2013 in the world [1]. Many countries (for example, Russia, the USA) are planning to develop nuclear waste storage facilities. However, the half-life for certain isotopes of minor actinides (MA) involves </w:t>
      </w:r>
      <w:proofErr w:type="gramStart"/>
      <w:r w:rsidRPr="00DA6F0D">
        <w:rPr>
          <w:sz w:val="20"/>
          <w:szCs w:val="20"/>
          <w:lang w:val="en-US"/>
        </w:rPr>
        <w:t>thousands</w:t>
      </w:r>
      <w:proofErr w:type="gramEnd"/>
      <w:r w:rsidRPr="00DA6F0D">
        <w:rPr>
          <w:sz w:val="20"/>
          <w:szCs w:val="20"/>
          <w:lang w:val="en-US"/>
        </w:rPr>
        <w:t xml:space="preserve"> and millions years. Therefore, currently there is no scientific justification that would guarantee safe and non-hazardous geological disposal of these isotopes for the time period comparable to their lifetime. Moreover, such storage facilities are expensive to operate and not all nuclear-powered countries can build these repositories for geographical, political, or other reasons. The conversion of MA into fission products in the neutron flux will significantly reduce the amount of radioactive waste intended for disposal and in the future will allow us to do without deep disposal. Currently in Russia transmutation of minor actinides in a specialized molten salt burner reactor (MSR-</w:t>
      </w:r>
      <w:r w:rsidR="00996E06">
        <w:rPr>
          <w:sz w:val="20"/>
          <w:szCs w:val="20"/>
          <w:lang w:val="en-US"/>
        </w:rPr>
        <w:t>burner</w:t>
      </w:r>
      <w:r w:rsidRPr="00DA6F0D">
        <w:rPr>
          <w:sz w:val="20"/>
          <w:szCs w:val="20"/>
          <w:lang w:val="en-US"/>
        </w:rPr>
        <w:t xml:space="preserve">) is proposed as a possible approach to address this challenge [2 – 4]. Absence of necessity to fabricate fuel pellets, possibility to organize continuous (batch) reprocessing of a fuel composition, capability to achieve high-efficiency transmutation of MA can be considered as obvious advantages of this approach [2]. </w:t>
      </w:r>
    </w:p>
    <w:p w:rsidR="00DA6F0D" w:rsidRDefault="00DA6F0D" w:rsidP="00DA6F0D">
      <w:pPr>
        <w:pStyle w:val="a1"/>
      </w:pPr>
      <w:r>
        <w:t>The purpose of the calculations – is to study the basic regularities of MA transmutation and to determine characteristics of the MSR-</w:t>
      </w:r>
      <w:r w:rsidR="00996E06">
        <w:rPr>
          <w:lang w:val="en-US"/>
        </w:rPr>
        <w:t>burner</w:t>
      </w:r>
      <w:r>
        <w:t xml:space="preserve"> operational modes in which: (1) reprocessing of the fuel composition extracts only the fission products and (2) feed fuel contains mostly MA, and, therefore, the mass of their isotopes transmuted in the reactor is close to that of fission products extracted from the reactor. In our understanding, MA transmutation is transformation of MA isotope nuclei into fission products and also actinides formed therefrom due to decays and interaction with neutrons. In the article, these reactor operational modes are called optimal</w:t>
      </w:r>
    </w:p>
    <w:p w:rsidR="00E25B68" w:rsidRDefault="00436142" w:rsidP="00436142">
      <w:pPr>
        <w:pStyle w:val="2"/>
        <w:numPr>
          <w:ilvl w:val="1"/>
          <w:numId w:val="10"/>
        </w:numPr>
      </w:pPr>
      <w:r>
        <w:t xml:space="preserve"> CALCULATION PROCEDURE</w:t>
      </w:r>
    </w:p>
    <w:p w:rsidR="00436142" w:rsidRPr="00436142" w:rsidRDefault="00436142" w:rsidP="00436142">
      <w:pPr>
        <w:pStyle w:val="Default"/>
        <w:ind w:firstLine="567"/>
        <w:jc w:val="both"/>
        <w:rPr>
          <w:sz w:val="20"/>
          <w:szCs w:val="20"/>
          <w:lang w:val="en-US"/>
        </w:rPr>
      </w:pPr>
      <w:r w:rsidRPr="00436142">
        <w:rPr>
          <w:sz w:val="20"/>
          <w:szCs w:val="20"/>
          <w:lang w:val="en-US"/>
        </w:rPr>
        <w:t xml:space="preserve">PRIZMA+RISK code and ENDF/B-VII neutron constants were used to determine </w:t>
      </w:r>
      <w:r w:rsidR="00996E06">
        <w:rPr>
          <w:sz w:val="20"/>
          <w:szCs w:val="20"/>
          <w:lang w:val="en-US"/>
        </w:rPr>
        <w:t xml:space="preserve">basic </w:t>
      </w:r>
      <w:r w:rsidRPr="00436142">
        <w:rPr>
          <w:sz w:val="20"/>
          <w:szCs w:val="20"/>
          <w:lang w:val="en-US"/>
        </w:rPr>
        <w:t>regularities of MA transmutation in the MSR-</w:t>
      </w:r>
      <w:r w:rsidR="00996E06">
        <w:rPr>
          <w:sz w:val="20"/>
          <w:szCs w:val="20"/>
          <w:lang w:val="en-US"/>
        </w:rPr>
        <w:t>burner</w:t>
      </w:r>
      <w:r w:rsidRPr="00436142">
        <w:rPr>
          <w:sz w:val="20"/>
          <w:szCs w:val="20"/>
          <w:lang w:val="en-US"/>
        </w:rPr>
        <w:t xml:space="preserve"> based on the results of multivariate calculations of neutron-physical characteristics and nuclide kinetics [5 – 7]. In order to </w:t>
      </w:r>
      <w:r w:rsidR="008668EB">
        <w:rPr>
          <w:sz w:val="20"/>
          <w:szCs w:val="20"/>
          <w:lang w:val="en-US"/>
        </w:rPr>
        <w:t xml:space="preserve">modeling </w:t>
      </w:r>
      <w:r w:rsidRPr="00436142">
        <w:rPr>
          <w:sz w:val="20"/>
          <w:szCs w:val="20"/>
          <w:lang w:val="en-US"/>
        </w:rPr>
        <w:t xml:space="preserve">reprocessing fuel composition, all fission </w:t>
      </w:r>
      <w:r w:rsidRPr="00436142">
        <w:rPr>
          <w:sz w:val="20"/>
          <w:szCs w:val="20"/>
          <w:lang w:val="en-US"/>
        </w:rPr>
        <w:lastRenderedPageBreak/>
        <w:t>products were extracted therefrom and the equivalent amount of feed fuel consisting</w:t>
      </w:r>
      <w:r w:rsidR="008668EB">
        <w:rPr>
          <w:sz w:val="20"/>
          <w:szCs w:val="20"/>
          <w:lang w:val="en-US"/>
        </w:rPr>
        <w:t xml:space="preserve">, </w:t>
      </w:r>
      <w:r w:rsidR="008668EB">
        <w:rPr>
          <w:rFonts w:ascii="Times New Roman CYR" w:hAnsi="Times New Roman CYR" w:cs="Times New Roman CYR"/>
          <w:sz w:val="20"/>
          <w:lang w:val="en-US"/>
        </w:rPr>
        <w:t>in the general case</w:t>
      </w:r>
      <w:r w:rsidR="008668EB">
        <w:rPr>
          <w:sz w:val="20"/>
          <w:szCs w:val="20"/>
          <w:lang w:val="en-US"/>
        </w:rPr>
        <w:t>,</w:t>
      </w:r>
      <w:r w:rsidRPr="00436142">
        <w:rPr>
          <w:sz w:val="20"/>
          <w:szCs w:val="20"/>
          <w:lang w:val="en-US"/>
        </w:rPr>
        <w:t xml:space="preserve"> of MA</w:t>
      </w:r>
      <w:r w:rsidR="008668EB">
        <w:rPr>
          <w:sz w:val="20"/>
          <w:szCs w:val="20"/>
          <w:lang w:val="en-US"/>
        </w:rPr>
        <w:t xml:space="preserve"> and Pu </w:t>
      </w:r>
      <w:r w:rsidR="008668EB" w:rsidRPr="008668EB">
        <w:rPr>
          <w:sz w:val="20"/>
          <w:szCs w:val="20"/>
          <w:lang w:val="en-US"/>
        </w:rPr>
        <w:t>fluoride</w:t>
      </w:r>
      <w:r w:rsidR="008668EB">
        <w:rPr>
          <w:sz w:val="20"/>
          <w:szCs w:val="20"/>
          <w:lang w:val="en-US"/>
        </w:rPr>
        <w:t>s</w:t>
      </w:r>
      <w:r w:rsidRPr="00436142">
        <w:rPr>
          <w:sz w:val="20"/>
          <w:szCs w:val="20"/>
          <w:lang w:val="en-US"/>
        </w:rPr>
        <w:t xml:space="preserve"> was added thereto (reprocessing time was neglected). In this case, concentration of actinides in the fuel composition was maintained the same at every campaign startup and by </w:t>
      </w:r>
      <w:r w:rsidR="008668EB">
        <w:rPr>
          <w:sz w:val="20"/>
          <w:szCs w:val="20"/>
          <w:lang w:val="en-US"/>
        </w:rPr>
        <w:t>campaig</w:t>
      </w:r>
      <w:r w:rsidRPr="00436142">
        <w:rPr>
          <w:sz w:val="20"/>
          <w:szCs w:val="20"/>
          <w:lang w:val="en-US"/>
        </w:rPr>
        <w:t xml:space="preserve">n we shall understand the system operation period needed to reprocessing the fuel composition volume that is equal to the </w:t>
      </w:r>
      <w:r w:rsidR="008668EB" w:rsidRPr="008668EB">
        <w:rPr>
          <w:sz w:val="20"/>
          <w:szCs w:val="20"/>
          <w:lang w:val="en-US"/>
        </w:rPr>
        <w:t>fuel circuit</w:t>
      </w:r>
      <w:r w:rsidRPr="00436142">
        <w:rPr>
          <w:sz w:val="20"/>
          <w:szCs w:val="20"/>
          <w:lang w:val="en-US"/>
        </w:rPr>
        <w:t xml:space="preserve">. </w:t>
      </w:r>
    </w:p>
    <w:p w:rsidR="00436142" w:rsidRPr="00436142" w:rsidRDefault="00436142" w:rsidP="00436142">
      <w:pPr>
        <w:pStyle w:val="Default"/>
        <w:ind w:firstLine="567"/>
        <w:jc w:val="both"/>
        <w:rPr>
          <w:sz w:val="20"/>
          <w:szCs w:val="20"/>
          <w:lang w:val="en-US"/>
        </w:rPr>
      </w:pPr>
      <w:r w:rsidRPr="00436142">
        <w:rPr>
          <w:sz w:val="20"/>
          <w:szCs w:val="20"/>
          <w:lang w:val="en-US"/>
        </w:rPr>
        <w:t xml:space="preserve">If fuel reprocessing is the same for each campaign, then the system asymptotically reaches the equilibrium operational conditions wherein reactor characteristics, including nuclide composition of the fuel, are similarly changing with time during any two campaigns. Since continuous operation presupposes close-to-equilibrium conditions, </w:t>
      </w:r>
      <w:r w:rsidR="00C54F0C">
        <w:rPr>
          <w:sz w:val="20"/>
          <w:szCs w:val="20"/>
          <w:lang w:val="en-US"/>
        </w:rPr>
        <w:t>the paper</w:t>
      </w:r>
      <w:r w:rsidRPr="00436142">
        <w:rPr>
          <w:sz w:val="20"/>
          <w:szCs w:val="20"/>
          <w:lang w:val="en-US"/>
        </w:rPr>
        <w:t xml:space="preserve"> is mainly focused on reactor characteristics in the equilibrium operational conditions. </w:t>
      </w:r>
    </w:p>
    <w:p w:rsidR="00EE0041" w:rsidRDefault="00085469" w:rsidP="00085469">
      <w:pPr>
        <w:pStyle w:val="2"/>
      </w:pPr>
      <w:r>
        <w:t>O</w:t>
      </w:r>
      <w:r w:rsidRPr="00085469">
        <w:t xml:space="preserve">PTIMAL OPERATIONAL CONDITIONS FOR MINOR ACTINIDES TRANSMUTATION IN THE </w:t>
      </w:r>
      <w:r>
        <w:t>MSR-burner</w:t>
      </w:r>
    </w:p>
    <w:p w:rsidR="007328ED" w:rsidRPr="00085469" w:rsidRDefault="007328ED" w:rsidP="007328ED">
      <w:pPr>
        <w:pStyle w:val="Default"/>
        <w:ind w:firstLine="567"/>
        <w:jc w:val="both"/>
        <w:rPr>
          <w:sz w:val="20"/>
          <w:szCs w:val="20"/>
          <w:lang w:val="en-US"/>
        </w:rPr>
      </w:pPr>
      <w:r>
        <w:rPr>
          <w:sz w:val="20"/>
          <w:szCs w:val="20"/>
          <w:lang w:val="en-US"/>
        </w:rPr>
        <w:t xml:space="preserve">Basic </w:t>
      </w:r>
      <w:r w:rsidRPr="00436142">
        <w:rPr>
          <w:sz w:val="20"/>
          <w:szCs w:val="20"/>
          <w:lang w:val="en-US"/>
        </w:rPr>
        <w:t xml:space="preserve">regularities of MA </w:t>
      </w:r>
      <w:r w:rsidRPr="00085469">
        <w:rPr>
          <w:sz w:val="20"/>
          <w:szCs w:val="20"/>
          <w:lang w:val="en-US"/>
        </w:rPr>
        <w:t>transmutation were determined for the model system representing the infinite medium</w:t>
      </w:r>
      <w:r>
        <w:rPr>
          <w:sz w:val="20"/>
          <w:szCs w:val="20"/>
          <w:lang w:val="en-US"/>
        </w:rPr>
        <w:t xml:space="preserve"> [8]</w:t>
      </w:r>
      <w:r w:rsidRPr="00085469">
        <w:rPr>
          <w:sz w:val="20"/>
          <w:szCs w:val="20"/>
          <w:lang w:val="en-US"/>
        </w:rPr>
        <w:t xml:space="preserve">. This system prevents effect of the geometry of the reactor core and its design elements on the neutron-physical characteristics. This allows identification of common regularities conditioned by the character of neutron-physical and nuclear-physical processes in the core as these regularities are characteristic for different versions of the MSR-burner. </w:t>
      </w:r>
    </w:p>
    <w:p w:rsidR="007328ED" w:rsidRPr="00085469" w:rsidRDefault="007328ED" w:rsidP="007328ED">
      <w:pPr>
        <w:pStyle w:val="Default"/>
        <w:ind w:firstLine="567"/>
        <w:jc w:val="both"/>
        <w:rPr>
          <w:sz w:val="20"/>
          <w:szCs w:val="20"/>
          <w:lang w:val="en-US"/>
        </w:rPr>
      </w:pPr>
      <w:r w:rsidRPr="00085469">
        <w:rPr>
          <w:sz w:val="20"/>
          <w:szCs w:val="20"/>
          <w:lang w:val="en-US"/>
        </w:rPr>
        <w:t>Our computations assumed that temperature of the fuel composition is 650</w:t>
      </w:r>
      <w:r w:rsidRPr="00085469">
        <w:rPr>
          <w:sz w:val="20"/>
          <w:szCs w:val="20"/>
          <w:vertAlign w:val="superscript"/>
          <w:lang w:val="en-US"/>
        </w:rPr>
        <w:t>0</w:t>
      </w:r>
      <w:r w:rsidRPr="00085469">
        <w:rPr>
          <w:sz w:val="20"/>
          <w:szCs w:val="20"/>
        </w:rPr>
        <w:t>С</w:t>
      </w:r>
      <w:r w:rsidRPr="00085469">
        <w:rPr>
          <w:sz w:val="20"/>
          <w:szCs w:val="20"/>
          <w:lang w:val="en-US"/>
        </w:rPr>
        <w:t xml:space="preserve"> [</w:t>
      </w:r>
      <w:r>
        <w:rPr>
          <w:sz w:val="20"/>
          <w:szCs w:val="20"/>
          <w:lang w:val="en-US"/>
        </w:rPr>
        <w:t>9</w:t>
      </w:r>
      <w:r w:rsidRPr="00085469">
        <w:rPr>
          <w:sz w:val="20"/>
          <w:szCs w:val="20"/>
          <w:lang w:val="en-US"/>
        </w:rPr>
        <w:t>], specific thermal power in the system is 100 kW/l [</w:t>
      </w:r>
      <w:r>
        <w:rPr>
          <w:sz w:val="20"/>
          <w:szCs w:val="20"/>
          <w:lang w:val="en-US"/>
        </w:rPr>
        <w:t>10</w:t>
      </w:r>
      <w:r w:rsidRPr="00085469">
        <w:rPr>
          <w:sz w:val="20"/>
          <w:szCs w:val="20"/>
          <w:lang w:val="en-US"/>
        </w:rPr>
        <w:t xml:space="preserve">], and campaign duration is 300 effective days. Isotopic composition of Pu and MA in the startup loading is just the same as their composition in the spent fuel from WWER-1000 reactor with the 35 </w:t>
      </w:r>
      <w:proofErr w:type="spellStart"/>
      <w:r w:rsidRPr="00085469">
        <w:rPr>
          <w:sz w:val="20"/>
          <w:szCs w:val="20"/>
          <w:lang w:val="en-US"/>
        </w:rPr>
        <w:t>GW∙day</w:t>
      </w:r>
      <w:proofErr w:type="spellEnd"/>
      <w:r w:rsidRPr="00085469">
        <w:rPr>
          <w:sz w:val="20"/>
          <w:szCs w:val="20"/>
          <w:lang w:val="en-US"/>
        </w:rPr>
        <w:t xml:space="preserve">/t burnup and 10 years cooling. This composition was calculated with the help of PIZMA+RISK code. Eutectics </w:t>
      </w:r>
      <w:proofErr w:type="spellStart"/>
      <w:r w:rsidRPr="00085469">
        <w:rPr>
          <w:sz w:val="20"/>
          <w:szCs w:val="20"/>
          <w:lang w:val="en-US"/>
        </w:rPr>
        <w:t>LiF</w:t>
      </w:r>
      <w:proofErr w:type="spellEnd"/>
      <w:r w:rsidRPr="00085469">
        <w:rPr>
          <w:sz w:val="20"/>
          <w:szCs w:val="20"/>
          <w:lang w:val="en-US"/>
        </w:rPr>
        <w:t>–</w:t>
      </w:r>
      <w:proofErr w:type="spellStart"/>
      <w:r w:rsidRPr="00085469">
        <w:rPr>
          <w:sz w:val="20"/>
          <w:szCs w:val="20"/>
          <w:lang w:val="en-US"/>
        </w:rPr>
        <w:t>NaF</w:t>
      </w:r>
      <w:proofErr w:type="spellEnd"/>
      <w:r w:rsidRPr="00085469">
        <w:rPr>
          <w:sz w:val="20"/>
          <w:szCs w:val="20"/>
          <w:lang w:val="en-US"/>
        </w:rPr>
        <w:t>–KF (molar composition, %: 46.5LiF–11.5NaF–42KF) stated in [1</w:t>
      </w:r>
      <w:r>
        <w:rPr>
          <w:sz w:val="20"/>
          <w:szCs w:val="20"/>
          <w:lang w:val="en-US"/>
        </w:rPr>
        <w:t>1</w:t>
      </w:r>
      <w:r w:rsidRPr="00085469">
        <w:rPr>
          <w:sz w:val="20"/>
          <w:szCs w:val="20"/>
          <w:lang w:val="en-US"/>
        </w:rPr>
        <w:t>, 1</w:t>
      </w:r>
      <w:r>
        <w:rPr>
          <w:sz w:val="20"/>
          <w:szCs w:val="20"/>
          <w:lang w:val="en-US"/>
        </w:rPr>
        <w:t>2</w:t>
      </w:r>
      <w:r w:rsidRPr="00085469">
        <w:rPr>
          <w:sz w:val="20"/>
          <w:szCs w:val="20"/>
          <w:lang w:val="en-US"/>
        </w:rPr>
        <w:t>] to have a rather high solubility of actinides (more than 20 %, mole PuF3 at 650</w:t>
      </w:r>
      <w:r w:rsidRPr="00085469">
        <w:rPr>
          <w:sz w:val="20"/>
          <w:szCs w:val="20"/>
          <w:vertAlign w:val="superscript"/>
          <w:lang w:val="en-US"/>
        </w:rPr>
        <w:t>0</w:t>
      </w:r>
      <w:r w:rsidRPr="00085469">
        <w:rPr>
          <w:sz w:val="20"/>
          <w:szCs w:val="20"/>
          <w:lang w:val="en-US"/>
        </w:rPr>
        <w:t xml:space="preserve">C) is considered as the salt solvent. </w:t>
      </w:r>
      <w:r w:rsidRPr="004B11F8">
        <w:rPr>
          <w:sz w:val="20"/>
          <w:szCs w:val="20"/>
          <w:lang w:val="en-US"/>
        </w:rPr>
        <w:t xml:space="preserve">Density of the fuel composition was calculated as density of the mechanically mixed salt carrier and actinide fluorides. </w:t>
      </w:r>
      <w:r w:rsidRPr="00085469">
        <w:rPr>
          <w:sz w:val="20"/>
          <w:szCs w:val="20"/>
          <w:lang w:val="en-US"/>
        </w:rPr>
        <w:t xml:space="preserve">Statistical calculation error </w:t>
      </w:r>
      <m:oMath>
        <m:sSub>
          <m:sSubPr>
            <m:ctrlPr>
              <w:rPr>
                <w:rFonts w:ascii="Cambria Math" w:hAnsi="Cambria Math"/>
                <w:i/>
                <w:sz w:val="20"/>
                <w:szCs w:val="20"/>
              </w:rPr>
            </m:ctrlPr>
          </m:sSubPr>
          <m:e>
            <m:r>
              <w:rPr>
                <w:rFonts w:ascii="Cambria Math" w:hAnsi="Cambria Math"/>
                <w:sz w:val="20"/>
                <w:szCs w:val="20"/>
              </w:rPr>
              <m:t>K</m:t>
            </m:r>
          </m:e>
          <m:sub>
            <m:r>
              <w:rPr>
                <w:rFonts w:ascii="Cambria Math" w:hAnsi="Cambria Math"/>
                <w:sz w:val="20"/>
                <w:szCs w:val="20"/>
              </w:rPr>
              <m:t>eff</m:t>
            </m:r>
          </m:sub>
        </m:sSub>
      </m:oMath>
      <w:r w:rsidRPr="00085469">
        <w:rPr>
          <w:i/>
          <w:iCs/>
          <w:sz w:val="20"/>
          <w:szCs w:val="20"/>
          <w:lang w:val="en-US"/>
        </w:rPr>
        <w:t xml:space="preserve"> </w:t>
      </w:r>
      <w:r w:rsidRPr="00085469">
        <w:rPr>
          <w:sz w:val="20"/>
          <w:szCs w:val="20"/>
          <w:lang w:val="en-US"/>
        </w:rPr>
        <w:t xml:space="preserve">is less than 0.4%. </w:t>
      </w:r>
    </w:p>
    <w:p w:rsidR="00085469" w:rsidRPr="00CB163A" w:rsidRDefault="00085469" w:rsidP="00CB163A">
      <w:pPr>
        <w:pStyle w:val="Default"/>
        <w:ind w:firstLine="567"/>
        <w:jc w:val="both"/>
        <w:rPr>
          <w:sz w:val="20"/>
          <w:szCs w:val="20"/>
          <w:lang w:val="en-US"/>
        </w:rPr>
      </w:pPr>
      <w:r w:rsidRPr="00085469">
        <w:rPr>
          <w:sz w:val="20"/>
          <w:szCs w:val="20"/>
          <w:lang w:val="en-US"/>
        </w:rPr>
        <w:t xml:space="preserve">Reactor operational conditions are optimal when: (1) only fission products are extracted from the fuel composition due to reprocessing (idealized variant of reprocessing); (2) feed fuel contains only MA; (3) reactor criticality during the campaign </w:t>
      </w:r>
      <m:oMath>
        <m:sSub>
          <m:sSubPr>
            <m:ctrlPr>
              <w:rPr>
                <w:rFonts w:ascii="Cambria Math" w:hAnsi="Cambria Math"/>
                <w:i/>
                <w:sz w:val="20"/>
                <w:szCs w:val="20"/>
              </w:rPr>
            </m:ctrlPr>
          </m:sSubPr>
          <m:e>
            <m:r>
              <w:rPr>
                <w:rFonts w:ascii="Cambria Math" w:hAnsi="Cambria Math"/>
                <w:sz w:val="20"/>
                <w:szCs w:val="20"/>
              </w:rPr>
              <m:t>K</m:t>
            </m:r>
          </m:e>
          <m:sub>
            <m:r>
              <w:rPr>
                <w:rFonts w:ascii="Cambria Math" w:hAnsi="Cambria Math"/>
                <w:sz w:val="20"/>
                <w:szCs w:val="20"/>
              </w:rPr>
              <m:t>eff</m:t>
            </m:r>
          </m:sub>
        </m:sSub>
        <m:r>
          <w:rPr>
            <w:rFonts w:ascii="Cambria Math" w:hAnsi="Cambria Math"/>
            <w:sz w:val="20"/>
            <w:szCs w:val="20"/>
            <w:lang w:val="en-US"/>
          </w:rPr>
          <m:t>=1.01…1.</m:t>
        </m:r>
        <m:r>
          <m:rPr>
            <m:sty m:val="p"/>
          </m:rPr>
          <w:rPr>
            <w:rFonts w:ascii="Cambria Math" w:hAnsi="Cambria Math"/>
            <w:sz w:val="20"/>
            <w:szCs w:val="20"/>
            <w:lang w:val="en-US"/>
          </w:rPr>
          <m:t>03</m:t>
        </m:r>
      </m:oMath>
      <w:r w:rsidRPr="00085469">
        <w:rPr>
          <w:sz w:val="20"/>
          <w:szCs w:val="20"/>
          <w:lang w:val="en-US"/>
        </w:rPr>
        <w:t xml:space="preserve">. </w:t>
      </w:r>
      <w:r w:rsidRPr="00CB163A">
        <w:rPr>
          <w:sz w:val="20"/>
          <w:szCs w:val="20"/>
          <w:lang w:val="en-US"/>
        </w:rPr>
        <w:t>Optimal operational conditions require a specific concentration of actinides in the fuel composition [</w:t>
      </w:r>
      <w:r w:rsidR="00576248" w:rsidRPr="00CB163A">
        <w:rPr>
          <w:sz w:val="20"/>
          <w:szCs w:val="20"/>
          <w:lang w:val="en-US"/>
        </w:rPr>
        <w:t>8</w:t>
      </w:r>
      <w:r w:rsidRPr="00CB163A">
        <w:rPr>
          <w:sz w:val="20"/>
          <w:szCs w:val="20"/>
          <w:lang w:val="en-US"/>
        </w:rPr>
        <w:t>]. A number of ini</w:t>
      </w:r>
      <w:r w:rsidR="0020244A" w:rsidRPr="00CB163A">
        <w:rPr>
          <w:sz w:val="20"/>
          <w:szCs w:val="20"/>
          <w:lang w:val="en-US"/>
        </w:rPr>
        <w:t>tial concentrations of actinide fluorides</w:t>
      </w:r>
      <w:r w:rsidRPr="00CB163A">
        <w:rPr>
          <w:sz w:val="20"/>
          <w:szCs w:val="20"/>
          <w:lang w:val="en-US"/>
        </w:rPr>
        <w:t xml:space="preserve"> </w:t>
      </w:r>
      <m:oMath>
        <m:sSub>
          <m:sSubPr>
            <m:ctrlPr>
              <w:rPr>
                <w:rFonts w:ascii="Cambria Math" w:hAnsi="Cambria Math"/>
                <w:sz w:val="20"/>
                <w:szCs w:val="20"/>
                <w:lang w:val="en-US"/>
              </w:rPr>
            </m:ctrlPr>
          </m:sSubPr>
          <m:e>
            <m:r>
              <w:rPr>
                <w:rFonts w:ascii="Cambria Math" w:hAnsi="Cambria Math"/>
                <w:sz w:val="20"/>
                <w:szCs w:val="20"/>
                <w:lang w:val="en-US"/>
              </w:rPr>
              <m:t>ν</m:t>
            </m:r>
          </m:e>
          <m:sub>
            <m:r>
              <w:rPr>
                <w:rFonts w:ascii="Cambria Math" w:hAnsi="Cambria Math"/>
                <w:sz w:val="20"/>
                <w:szCs w:val="20"/>
                <w:lang w:val="en-US"/>
              </w:rPr>
              <m:t>A</m:t>
            </m:r>
          </m:sub>
        </m:sSub>
      </m:oMath>
      <w:r w:rsidRPr="00CB163A">
        <w:rPr>
          <w:sz w:val="20"/>
          <w:szCs w:val="20"/>
          <w:lang w:val="en-US"/>
        </w:rPr>
        <w:t xml:space="preserve"> were tried until the optimal concentration was determined (Fig. 1, statistical calculation error </w:t>
      </w:r>
      <m:oMath>
        <m:sSub>
          <m:sSubPr>
            <m:ctrlPr>
              <w:rPr>
                <w:rFonts w:ascii="Cambria Math" w:hAnsi="Cambria Math"/>
                <w:sz w:val="20"/>
                <w:szCs w:val="20"/>
                <w:lang w:val="en-US"/>
              </w:rPr>
            </m:ctrlPr>
          </m:sSubPr>
          <m:e>
            <m:r>
              <w:rPr>
                <w:rFonts w:ascii="Cambria Math" w:hAnsi="Cambria Math"/>
                <w:sz w:val="20"/>
                <w:szCs w:val="20"/>
                <w:lang w:val="en-US"/>
              </w:rPr>
              <m:t>K</m:t>
            </m:r>
          </m:e>
          <m:sub>
            <m:r>
              <w:rPr>
                <w:rFonts w:ascii="Cambria Math" w:hAnsi="Cambria Math"/>
                <w:sz w:val="20"/>
                <w:szCs w:val="20"/>
                <w:lang w:val="en-US"/>
              </w:rPr>
              <m:t>eff</m:t>
            </m:r>
          </m:sub>
        </m:sSub>
      </m:oMath>
      <w:r w:rsidRPr="00CB163A">
        <w:rPr>
          <w:sz w:val="20"/>
          <w:szCs w:val="20"/>
          <w:lang w:val="en-US"/>
        </w:rPr>
        <w:t xml:space="preserve"> is given to be 2σ.). From the figure, it is obvious that the optimal equilibrium conditions of MA transmutation take place at </w:t>
      </w:r>
      <m:oMath>
        <m:sSub>
          <m:sSubPr>
            <m:ctrlPr>
              <w:rPr>
                <w:rFonts w:ascii="Cambria Math" w:hAnsi="Cambria Math"/>
                <w:sz w:val="20"/>
                <w:szCs w:val="20"/>
                <w:lang w:val="en-US"/>
              </w:rPr>
            </m:ctrlPr>
          </m:sSubPr>
          <m:e>
            <m:r>
              <w:rPr>
                <w:rFonts w:ascii="Cambria Math" w:hAnsi="Cambria Math"/>
                <w:sz w:val="20"/>
                <w:szCs w:val="20"/>
                <w:lang w:val="en-US"/>
              </w:rPr>
              <m:t>ν</m:t>
            </m:r>
          </m:e>
          <m:sub>
            <m:r>
              <w:rPr>
                <w:rFonts w:ascii="Cambria Math" w:hAnsi="Cambria Math"/>
                <w:sz w:val="20"/>
                <w:szCs w:val="20"/>
                <w:lang w:val="en-US"/>
              </w:rPr>
              <m:t>A</m:t>
            </m:r>
          </m:sub>
        </m:sSub>
      </m:oMath>
      <w:r w:rsidRPr="00CB163A">
        <w:rPr>
          <w:sz w:val="20"/>
          <w:szCs w:val="20"/>
          <w:lang w:val="en-US"/>
        </w:rPr>
        <w:t xml:space="preserve"> ~8 %, mole. In this case, we have the maximum possible efficiency of MA transmutation, i.e. ~0.31 tons at thermal power of 1 GW per the 300 </w:t>
      </w:r>
      <w:r w:rsidR="0070466D" w:rsidRPr="00CB163A">
        <w:rPr>
          <w:sz w:val="20"/>
          <w:szCs w:val="20"/>
          <w:lang w:val="en-US"/>
        </w:rPr>
        <w:t>effective days campaign (Table 1</w:t>
      </w:r>
      <w:r w:rsidRPr="00CB163A">
        <w:rPr>
          <w:sz w:val="20"/>
          <w:szCs w:val="20"/>
          <w:lang w:val="en-US"/>
        </w:rPr>
        <w:t>).</w:t>
      </w:r>
    </w:p>
    <w:p w:rsidR="00085469" w:rsidRDefault="00085469" w:rsidP="00537496">
      <w:pPr>
        <w:pStyle w:val="a1"/>
      </w:pPr>
    </w:p>
    <w:p w:rsidR="00D900BD" w:rsidRDefault="00D900BD" w:rsidP="00D900BD">
      <w:pPr>
        <w:pStyle w:val="a1"/>
        <w:jc w:val="center"/>
      </w:pPr>
      <w:r>
        <w:rPr>
          <w:noProof/>
          <w:lang w:val="ru-RU" w:eastAsia="ru-RU"/>
        </w:rPr>
        <w:drawing>
          <wp:inline distT="0" distB="0" distL="0" distR="0">
            <wp:extent cx="3299071" cy="271590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7015" cy="2722443"/>
                    </a:xfrm>
                    <a:prstGeom prst="rect">
                      <a:avLst/>
                    </a:prstGeom>
                    <a:noFill/>
                    <a:ln>
                      <a:noFill/>
                    </a:ln>
                  </pic:spPr>
                </pic:pic>
              </a:graphicData>
            </a:graphic>
          </wp:inline>
        </w:drawing>
      </w:r>
    </w:p>
    <w:p w:rsidR="00D900BD" w:rsidRPr="00D900BD" w:rsidRDefault="00D900BD" w:rsidP="00D900BD">
      <w:pPr>
        <w:pStyle w:val="Default"/>
        <w:jc w:val="center"/>
        <w:rPr>
          <w:i/>
          <w:color w:val="auto"/>
          <w:sz w:val="18"/>
          <w:szCs w:val="20"/>
          <w:lang w:val="en-GB" w:eastAsia="en-US"/>
        </w:rPr>
      </w:pPr>
      <w:proofErr w:type="gramStart"/>
      <w:r w:rsidRPr="00D900BD">
        <w:rPr>
          <w:i/>
          <w:color w:val="auto"/>
          <w:sz w:val="18"/>
          <w:szCs w:val="20"/>
          <w:lang w:val="en-GB" w:eastAsia="en-US"/>
        </w:rPr>
        <w:t>F</w:t>
      </w:r>
      <w:r>
        <w:rPr>
          <w:i/>
          <w:color w:val="auto"/>
          <w:sz w:val="18"/>
          <w:szCs w:val="20"/>
          <w:lang w:val="en-GB" w:eastAsia="en-US"/>
        </w:rPr>
        <w:t>IG</w:t>
      </w:r>
      <w:r w:rsidRPr="00D900BD">
        <w:rPr>
          <w:i/>
          <w:color w:val="auto"/>
          <w:sz w:val="18"/>
          <w:szCs w:val="20"/>
          <w:lang w:val="en-GB" w:eastAsia="en-US"/>
        </w:rPr>
        <w:t>.</w:t>
      </w:r>
      <w:proofErr w:type="gramEnd"/>
      <w:r w:rsidRPr="00D900BD">
        <w:rPr>
          <w:i/>
          <w:color w:val="auto"/>
          <w:sz w:val="18"/>
          <w:szCs w:val="20"/>
          <w:lang w:val="en-GB" w:eastAsia="en-US"/>
        </w:rPr>
        <w:t> </w:t>
      </w:r>
      <w:r w:rsidRPr="00D900BD">
        <w:rPr>
          <w:i/>
          <w:color w:val="auto"/>
          <w:sz w:val="18"/>
          <w:szCs w:val="20"/>
          <w:lang w:val="en-GB" w:eastAsia="en-US"/>
        </w:rPr>
        <w:fldChar w:fldCharType="begin"/>
      </w:r>
      <w:r w:rsidRPr="00D900BD">
        <w:rPr>
          <w:i/>
          <w:color w:val="auto"/>
          <w:sz w:val="18"/>
          <w:szCs w:val="20"/>
          <w:lang w:val="en-GB" w:eastAsia="en-US"/>
        </w:rPr>
        <w:instrText xml:space="preserve"> SEQ Figure \* ARABIC </w:instrText>
      </w:r>
      <w:r w:rsidRPr="00D900BD">
        <w:rPr>
          <w:i/>
          <w:color w:val="auto"/>
          <w:sz w:val="18"/>
          <w:szCs w:val="20"/>
          <w:lang w:val="en-GB" w:eastAsia="en-US"/>
        </w:rPr>
        <w:fldChar w:fldCharType="separate"/>
      </w:r>
      <w:r w:rsidRPr="00D900BD">
        <w:rPr>
          <w:i/>
          <w:color w:val="auto"/>
          <w:sz w:val="18"/>
          <w:szCs w:val="20"/>
          <w:lang w:val="en-GB" w:eastAsia="en-US"/>
        </w:rPr>
        <w:t>1</w:t>
      </w:r>
      <w:r w:rsidRPr="00D900BD">
        <w:rPr>
          <w:i/>
          <w:color w:val="auto"/>
          <w:sz w:val="18"/>
          <w:szCs w:val="20"/>
          <w:lang w:val="en-GB" w:eastAsia="en-US"/>
        </w:rPr>
        <w:fldChar w:fldCharType="end"/>
      </w:r>
      <w:r w:rsidRPr="00D900BD">
        <w:rPr>
          <w:i/>
          <w:color w:val="auto"/>
          <w:sz w:val="18"/>
          <w:szCs w:val="20"/>
          <w:lang w:val="en-GB" w:eastAsia="en-US"/>
        </w:rPr>
        <w:t xml:space="preserve">. </w:t>
      </w:r>
      <m:oMath>
        <m:sSub>
          <m:sSubPr>
            <m:ctrlPr>
              <w:rPr>
                <w:rFonts w:ascii="Cambria Math" w:hAnsi="Cambria Math"/>
                <w:i/>
                <w:sz w:val="20"/>
                <w:szCs w:val="20"/>
              </w:rPr>
            </m:ctrlPr>
          </m:sSubPr>
          <m:e>
            <m:r>
              <w:rPr>
                <w:rFonts w:ascii="Cambria Math" w:hAnsi="Cambria Math"/>
                <w:sz w:val="20"/>
                <w:szCs w:val="20"/>
              </w:rPr>
              <m:t>K</m:t>
            </m:r>
          </m:e>
          <m:sub>
            <m:r>
              <w:rPr>
                <w:rFonts w:ascii="Cambria Math" w:hAnsi="Cambria Math"/>
                <w:sz w:val="20"/>
                <w:szCs w:val="20"/>
              </w:rPr>
              <m:t>eff</m:t>
            </m:r>
          </m:sub>
        </m:sSub>
      </m:oMath>
      <w:r w:rsidRPr="00D900BD">
        <w:rPr>
          <w:i/>
          <w:color w:val="auto"/>
          <w:sz w:val="18"/>
          <w:szCs w:val="20"/>
          <w:lang w:val="en-GB" w:eastAsia="en-US"/>
        </w:rPr>
        <w:t xml:space="preserve"> </w:t>
      </w:r>
      <w:proofErr w:type="gramStart"/>
      <w:r w:rsidRPr="00D900BD">
        <w:rPr>
          <w:i/>
          <w:color w:val="auto"/>
          <w:sz w:val="18"/>
          <w:szCs w:val="20"/>
          <w:lang w:val="en-GB" w:eastAsia="en-US"/>
        </w:rPr>
        <w:t>of</w:t>
      </w:r>
      <w:proofErr w:type="gramEnd"/>
      <w:r w:rsidRPr="00D900BD">
        <w:rPr>
          <w:i/>
          <w:color w:val="auto"/>
          <w:sz w:val="18"/>
          <w:szCs w:val="20"/>
          <w:lang w:val="en-GB" w:eastAsia="en-US"/>
        </w:rPr>
        <w:t xml:space="preserve"> the system at the campaign startup versus time at different concentrations of actinides in</w:t>
      </w:r>
      <w:r w:rsidR="0070466D">
        <w:rPr>
          <w:i/>
          <w:color w:val="auto"/>
          <w:sz w:val="18"/>
          <w:szCs w:val="20"/>
          <w:lang w:val="en-GB" w:eastAsia="en-US"/>
        </w:rPr>
        <w:t xml:space="preserve"> the fuel composition (%, mole)</w:t>
      </w:r>
    </w:p>
    <w:p w:rsidR="00D900BD" w:rsidRDefault="00D900BD" w:rsidP="00537496">
      <w:pPr>
        <w:pStyle w:val="a1"/>
      </w:pPr>
    </w:p>
    <w:p w:rsidR="00D900BD" w:rsidRPr="0070466D" w:rsidRDefault="00D900BD" w:rsidP="00D900BD">
      <w:pPr>
        <w:pStyle w:val="Default"/>
        <w:rPr>
          <w:lang w:val="en-US"/>
        </w:rPr>
      </w:pPr>
    </w:p>
    <w:p w:rsidR="00D900BD" w:rsidRDefault="004C6121" w:rsidP="004C6121">
      <w:pPr>
        <w:pStyle w:val="a1"/>
        <w:ind w:firstLine="0"/>
      </w:pPr>
      <w:proofErr w:type="gramStart"/>
      <w:r>
        <w:lastRenderedPageBreak/>
        <w:t>TABLE 1</w:t>
      </w:r>
      <w:r w:rsidR="00D900BD" w:rsidRPr="004C6121">
        <w:t>.</w:t>
      </w:r>
      <w:proofErr w:type="gramEnd"/>
      <w:r w:rsidR="00D900BD" w:rsidRPr="004C6121">
        <w:t xml:space="preserve"> EQUILIBRIUM COMPOSITION OF FUEL AT THE CAMPAIGN STARTUP FOR THE MODEL SYSTEM WITH ACTINIDE CONCENTRATION 8 %, MOLE </w:t>
      </w:r>
    </w:p>
    <w:p w:rsidR="00C1299A" w:rsidRDefault="00C1299A" w:rsidP="004C6121">
      <w:pPr>
        <w:pStyle w:val="a1"/>
        <w:ind w:firstLine="0"/>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7"/>
        <w:gridCol w:w="1064"/>
        <w:gridCol w:w="5554"/>
        <w:gridCol w:w="918"/>
      </w:tblGrid>
      <w:tr w:rsidR="007F768B" w:rsidTr="00703D96">
        <w:tc>
          <w:tcPr>
            <w:tcW w:w="1989" w:type="dxa"/>
            <w:tcBorders>
              <w:top w:val="single" w:sz="4" w:space="0" w:color="auto"/>
              <w:bottom w:val="single" w:sz="4" w:space="0" w:color="auto"/>
            </w:tcBorders>
          </w:tcPr>
          <w:p w:rsidR="007F768B" w:rsidRDefault="007F768B" w:rsidP="00DE1B64">
            <w:pPr>
              <w:pStyle w:val="a1"/>
              <w:ind w:firstLine="0"/>
              <w:jc w:val="left"/>
            </w:pPr>
            <w:r w:rsidRPr="00FA5D57">
              <w:rPr>
                <w:bCs/>
              </w:rPr>
              <w:t>Element (fluoride)</w:t>
            </w:r>
          </w:p>
        </w:tc>
        <w:tc>
          <w:tcPr>
            <w:tcW w:w="1238" w:type="dxa"/>
            <w:tcBorders>
              <w:top w:val="single" w:sz="4" w:space="0" w:color="auto"/>
              <w:bottom w:val="single" w:sz="4" w:space="0" w:color="auto"/>
            </w:tcBorders>
          </w:tcPr>
          <w:p w:rsidR="007F768B" w:rsidRDefault="00F22DAC" w:rsidP="00DE1B64">
            <w:pPr>
              <w:pStyle w:val="a1"/>
              <w:ind w:firstLine="0"/>
              <w:jc w:val="center"/>
            </w:pPr>
            <m:oMath>
              <m:sSub>
                <m:sSubPr>
                  <m:ctrlPr>
                    <w:rPr>
                      <w:rFonts w:ascii="Cambria Math" w:hAnsi="Cambria Math"/>
                      <w:i/>
                      <w:color w:val="000000"/>
                      <w:lang w:val="ru-RU" w:eastAsia="en-GB"/>
                    </w:rPr>
                  </m:ctrlPr>
                </m:sSubPr>
                <m:e>
                  <m:r>
                    <w:rPr>
                      <w:rFonts w:ascii="Cambria Math" w:hAnsi="Cambria Math"/>
                    </w:rPr>
                    <m:t>ν</m:t>
                  </m:r>
                </m:e>
                <m:sub>
                  <m:r>
                    <w:rPr>
                      <w:rFonts w:ascii="Cambria Math" w:hAnsi="Cambria Math"/>
                    </w:rPr>
                    <m:t>i</m:t>
                  </m:r>
                </m:sub>
              </m:sSub>
            </m:oMath>
            <w:r w:rsidR="007F768B" w:rsidRPr="00FA5D57">
              <w:rPr>
                <w:bCs/>
                <w:iCs/>
                <w:lang w:val="en-US"/>
              </w:rPr>
              <w:t>, %, mole</w:t>
            </w:r>
          </w:p>
        </w:tc>
        <w:tc>
          <w:tcPr>
            <w:tcW w:w="4961" w:type="dxa"/>
            <w:tcBorders>
              <w:top w:val="single" w:sz="4" w:space="0" w:color="auto"/>
              <w:bottom w:val="single" w:sz="4" w:space="0" w:color="auto"/>
            </w:tcBorders>
          </w:tcPr>
          <w:p w:rsidR="007F768B" w:rsidRDefault="007F768B" w:rsidP="00DE1B64">
            <w:pPr>
              <w:pStyle w:val="a1"/>
              <w:ind w:firstLine="0"/>
              <w:jc w:val="center"/>
            </w:pPr>
            <w:r w:rsidRPr="00FA5D57">
              <w:rPr>
                <w:bCs/>
                <w:iCs/>
                <w:lang w:val="en-US"/>
              </w:rPr>
              <w:t xml:space="preserve">Isotopic composition, % </w:t>
            </w:r>
            <w:proofErr w:type="spellStart"/>
            <w:r w:rsidRPr="00FA5D57">
              <w:rPr>
                <w:bCs/>
                <w:iCs/>
                <w:lang w:val="en-US"/>
              </w:rPr>
              <w:t>wt</w:t>
            </w:r>
            <w:proofErr w:type="spellEnd"/>
          </w:p>
        </w:tc>
        <w:tc>
          <w:tcPr>
            <w:tcW w:w="1055" w:type="dxa"/>
            <w:tcBorders>
              <w:top w:val="single" w:sz="4" w:space="0" w:color="auto"/>
              <w:bottom w:val="single" w:sz="4" w:space="0" w:color="auto"/>
            </w:tcBorders>
          </w:tcPr>
          <w:p w:rsidR="007F768B" w:rsidRPr="00FA5D57" w:rsidRDefault="00F22DAC" w:rsidP="00DE1B64">
            <w:pPr>
              <w:pStyle w:val="Default"/>
              <w:jc w:val="center"/>
              <w:rPr>
                <w:sz w:val="20"/>
                <w:szCs w:val="20"/>
                <w:lang w:val="en-US"/>
              </w:rPr>
            </w:pPr>
            <m:oMath>
              <m:sSub>
                <m:sSubPr>
                  <m:ctrlPr>
                    <w:rPr>
                      <w:rFonts w:ascii="Cambria Math" w:hAnsi="Cambria Math"/>
                      <w:i/>
                      <w:sz w:val="20"/>
                      <w:szCs w:val="20"/>
                    </w:rPr>
                  </m:ctrlPr>
                </m:sSubPr>
                <m:e>
                  <m:r>
                    <w:rPr>
                      <w:rFonts w:ascii="Cambria Math" w:hAnsi="Cambria Math"/>
                    </w:rPr>
                    <m:t>m</m:t>
                  </m:r>
                </m:e>
                <m:sub>
                  <m:r>
                    <w:rPr>
                      <w:rFonts w:ascii="Cambria Math" w:hAnsi="Cambria Math"/>
                    </w:rPr>
                    <m:t>i</m:t>
                  </m:r>
                </m:sub>
              </m:sSub>
            </m:oMath>
            <w:r w:rsidR="007F768B" w:rsidRPr="00FA5D57">
              <w:rPr>
                <w:bCs/>
                <w:iCs/>
                <w:sz w:val="20"/>
                <w:szCs w:val="20"/>
                <w:lang w:val="en-US"/>
              </w:rPr>
              <w:t>, tons</w:t>
            </w:r>
          </w:p>
        </w:tc>
      </w:tr>
      <w:tr w:rsidR="007F768B" w:rsidTr="00703D96">
        <w:tc>
          <w:tcPr>
            <w:tcW w:w="1989" w:type="dxa"/>
            <w:tcBorders>
              <w:top w:val="single" w:sz="4" w:space="0" w:color="auto"/>
              <w:bottom w:val="single" w:sz="4" w:space="0" w:color="auto"/>
            </w:tcBorders>
          </w:tcPr>
          <w:p w:rsidR="007F768B" w:rsidRPr="00FA5D57" w:rsidRDefault="007F768B" w:rsidP="00DE1B64">
            <w:pPr>
              <w:pStyle w:val="Default"/>
              <w:rPr>
                <w:sz w:val="20"/>
                <w:szCs w:val="20"/>
                <w:lang w:val="en-US"/>
              </w:rPr>
            </w:pPr>
            <w:r w:rsidRPr="00FA5D57">
              <w:rPr>
                <w:sz w:val="20"/>
                <w:szCs w:val="20"/>
                <w:lang w:val="en-US"/>
              </w:rPr>
              <w:t>Pu (PuF</w:t>
            </w:r>
            <w:r w:rsidRPr="0020244A">
              <w:rPr>
                <w:sz w:val="20"/>
                <w:szCs w:val="20"/>
                <w:vertAlign w:val="subscript"/>
                <w:lang w:val="en-US"/>
              </w:rPr>
              <w:t>3</w:t>
            </w:r>
            <w:r w:rsidRPr="00FA5D57">
              <w:rPr>
                <w:sz w:val="20"/>
                <w:szCs w:val="20"/>
                <w:lang w:val="en-US"/>
              </w:rPr>
              <w:t xml:space="preserve">) </w:t>
            </w:r>
          </w:p>
        </w:tc>
        <w:tc>
          <w:tcPr>
            <w:tcW w:w="1238" w:type="dxa"/>
            <w:tcBorders>
              <w:top w:val="single" w:sz="4" w:space="0" w:color="auto"/>
              <w:bottom w:val="single" w:sz="4" w:space="0" w:color="auto"/>
            </w:tcBorders>
          </w:tcPr>
          <w:p w:rsidR="007F768B" w:rsidRPr="00FA5D57" w:rsidRDefault="007F768B" w:rsidP="00DE1B64">
            <w:pPr>
              <w:pStyle w:val="Default"/>
              <w:jc w:val="center"/>
              <w:rPr>
                <w:sz w:val="20"/>
                <w:szCs w:val="20"/>
                <w:lang w:val="en-US"/>
              </w:rPr>
            </w:pPr>
            <w:r w:rsidRPr="00FA5D57">
              <w:rPr>
                <w:sz w:val="20"/>
                <w:szCs w:val="20"/>
                <w:lang w:val="en-US"/>
              </w:rPr>
              <w:t>4.28</w:t>
            </w:r>
          </w:p>
        </w:tc>
        <w:tc>
          <w:tcPr>
            <w:tcW w:w="4961" w:type="dxa"/>
            <w:tcBorders>
              <w:top w:val="single" w:sz="4" w:space="0" w:color="auto"/>
              <w:bottom w:val="single" w:sz="4" w:space="0" w:color="auto"/>
            </w:tcBorders>
          </w:tcPr>
          <w:p w:rsidR="007F768B" w:rsidRPr="004C6121" w:rsidRDefault="007F768B" w:rsidP="00DE1B64">
            <w:pPr>
              <w:pStyle w:val="Default"/>
              <w:jc w:val="center"/>
              <w:rPr>
                <w:sz w:val="20"/>
                <w:szCs w:val="20"/>
                <w:lang w:val="en-US"/>
              </w:rPr>
            </w:pPr>
            <w:r w:rsidRPr="0020244A">
              <w:rPr>
                <w:sz w:val="20"/>
                <w:szCs w:val="20"/>
                <w:vertAlign w:val="superscript"/>
                <w:lang w:val="en-US"/>
              </w:rPr>
              <w:t>238</w:t>
            </w:r>
            <w:r w:rsidRPr="004C6121">
              <w:rPr>
                <w:sz w:val="20"/>
                <w:szCs w:val="20"/>
                <w:lang w:val="en-US"/>
              </w:rPr>
              <w:t>Pu46</w:t>
            </w:r>
            <w:r>
              <w:rPr>
                <w:sz w:val="20"/>
                <w:szCs w:val="20"/>
                <w:lang w:val="en-US"/>
              </w:rPr>
              <w:t>.</w:t>
            </w:r>
            <w:r w:rsidRPr="004C6121">
              <w:rPr>
                <w:sz w:val="20"/>
                <w:szCs w:val="20"/>
                <w:lang w:val="en-US"/>
              </w:rPr>
              <w:t>8</w:t>
            </w:r>
            <w:r w:rsidRPr="0020244A">
              <w:rPr>
                <w:sz w:val="20"/>
                <w:szCs w:val="20"/>
                <w:vertAlign w:val="superscript"/>
                <w:lang w:val="en-US"/>
              </w:rPr>
              <w:t>239</w:t>
            </w:r>
            <w:r w:rsidRPr="004C6121">
              <w:rPr>
                <w:sz w:val="20"/>
                <w:szCs w:val="20"/>
                <w:lang w:val="en-US"/>
              </w:rPr>
              <w:t>Pu16</w:t>
            </w:r>
            <w:r w:rsidRPr="0020244A">
              <w:rPr>
                <w:sz w:val="20"/>
                <w:szCs w:val="20"/>
                <w:vertAlign w:val="superscript"/>
                <w:lang w:val="en-US"/>
              </w:rPr>
              <w:t>240</w:t>
            </w:r>
            <w:r w:rsidRPr="004C6121">
              <w:rPr>
                <w:sz w:val="20"/>
                <w:szCs w:val="20"/>
                <w:lang w:val="en-US"/>
              </w:rPr>
              <w:t>Pu20</w:t>
            </w:r>
            <w:r>
              <w:rPr>
                <w:sz w:val="20"/>
                <w:szCs w:val="20"/>
                <w:lang w:val="en-US"/>
              </w:rPr>
              <w:t>.</w:t>
            </w:r>
            <w:r w:rsidRPr="004C6121">
              <w:rPr>
                <w:sz w:val="20"/>
                <w:szCs w:val="20"/>
                <w:lang w:val="en-US"/>
              </w:rPr>
              <w:t>1</w:t>
            </w:r>
            <w:r w:rsidRPr="0020244A">
              <w:rPr>
                <w:sz w:val="20"/>
                <w:szCs w:val="20"/>
                <w:vertAlign w:val="superscript"/>
                <w:lang w:val="en-US"/>
              </w:rPr>
              <w:t>241</w:t>
            </w:r>
            <w:r w:rsidRPr="004C6121">
              <w:rPr>
                <w:sz w:val="20"/>
                <w:szCs w:val="20"/>
                <w:lang w:val="en-US"/>
              </w:rPr>
              <w:t>Pu3</w:t>
            </w:r>
            <w:r>
              <w:rPr>
                <w:sz w:val="20"/>
                <w:szCs w:val="20"/>
                <w:lang w:val="en-US"/>
              </w:rPr>
              <w:t>.</w:t>
            </w:r>
            <w:r w:rsidRPr="004C6121">
              <w:rPr>
                <w:sz w:val="20"/>
                <w:szCs w:val="20"/>
                <w:lang w:val="en-US"/>
              </w:rPr>
              <w:t>2</w:t>
            </w:r>
            <w:r w:rsidRPr="0020244A">
              <w:rPr>
                <w:sz w:val="20"/>
                <w:szCs w:val="20"/>
                <w:vertAlign w:val="superscript"/>
                <w:lang w:val="en-US"/>
              </w:rPr>
              <w:t>242</w:t>
            </w:r>
            <w:r w:rsidRPr="004C6121">
              <w:rPr>
                <w:sz w:val="20"/>
                <w:szCs w:val="20"/>
                <w:lang w:val="en-US"/>
              </w:rPr>
              <w:t>Pu13</w:t>
            </w:r>
            <w:r>
              <w:rPr>
                <w:sz w:val="20"/>
                <w:szCs w:val="20"/>
                <w:lang w:val="en-US"/>
              </w:rPr>
              <w:t>.</w:t>
            </w:r>
            <w:r w:rsidRPr="004C6121">
              <w:rPr>
                <w:sz w:val="20"/>
                <w:szCs w:val="20"/>
                <w:lang w:val="en-US"/>
              </w:rPr>
              <w:t>9</w:t>
            </w:r>
          </w:p>
        </w:tc>
        <w:tc>
          <w:tcPr>
            <w:tcW w:w="1055" w:type="dxa"/>
            <w:tcBorders>
              <w:top w:val="single" w:sz="4" w:space="0" w:color="auto"/>
              <w:bottom w:val="single" w:sz="4" w:space="0" w:color="auto"/>
            </w:tcBorders>
          </w:tcPr>
          <w:p w:rsidR="007F768B" w:rsidRPr="00FA5D57" w:rsidRDefault="007F768B" w:rsidP="00DE1B64">
            <w:pPr>
              <w:pStyle w:val="Default"/>
              <w:jc w:val="center"/>
              <w:rPr>
                <w:sz w:val="20"/>
                <w:szCs w:val="20"/>
                <w:lang w:val="en-US"/>
              </w:rPr>
            </w:pPr>
            <w:r w:rsidRPr="00FA5D57">
              <w:rPr>
                <w:sz w:val="20"/>
                <w:szCs w:val="20"/>
                <w:lang w:val="en-US"/>
              </w:rPr>
              <w:t>4.69</w:t>
            </w:r>
          </w:p>
        </w:tc>
      </w:tr>
      <w:tr w:rsidR="007F768B" w:rsidTr="00703D96">
        <w:tc>
          <w:tcPr>
            <w:tcW w:w="1989" w:type="dxa"/>
            <w:tcBorders>
              <w:top w:val="single" w:sz="4" w:space="0" w:color="auto"/>
              <w:bottom w:val="single" w:sz="4" w:space="0" w:color="auto"/>
            </w:tcBorders>
          </w:tcPr>
          <w:p w:rsidR="007F768B" w:rsidRPr="00FA5D57" w:rsidRDefault="007F768B" w:rsidP="00DE1B64">
            <w:pPr>
              <w:pStyle w:val="Default"/>
              <w:rPr>
                <w:sz w:val="20"/>
                <w:szCs w:val="20"/>
                <w:lang w:val="en-US"/>
              </w:rPr>
            </w:pPr>
            <w:r w:rsidRPr="00FA5D57">
              <w:rPr>
                <w:sz w:val="20"/>
                <w:szCs w:val="20"/>
                <w:lang w:val="en-US"/>
              </w:rPr>
              <w:t>U (UF</w:t>
            </w:r>
            <w:r w:rsidRPr="0020244A">
              <w:rPr>
                <w:sz w:val="20"/>
                <w:szCs w:val="20"/>
                <w:vertAlign w:val="subscript"/>
                <w:lang w:val="en-US"/>
              </w:rPr>
              <w:t>4</w:t>
            </w:r>
            <w:r w:rsidRPr="00FA5D57">
              <w:rPr>
                <w:sz w:val="20"/>
                <w:szCs w:val="20"/>
                <w:lang w:val="en-US"/>
              </w:rPr>
              <w:t xml:space="preserve">) </w:t>
            </w:r>
          </w:p>
        </w:tc>
        <w:tc>
          <w:tcPr>
            <w:tcW w:w="1238" w:type="dxa"/>
            <w:tcBorders>
              <w:top w:val="single" w:sz="4" w:space="0" w:color="auto"/>
              <w:bottom w:val="single" w:sz="4" w:space="0" w:color="auto"/>
            </w:tcBorders>
          </w:tcPr>
          <w:p w:rsidR="007F768B" w:rsidRPr="004C6121" w:rsidRDefault="007F768B" w:rsidP="00DE1B64">
            <w:pPr>
              <w:pStyle w:val="Default"/>
              <w:jc w:val="center"/>
              <w:rPr>
                <w:sz w:val="20"/>
                <w:szCs w:val="20"/>
              </w:rPr>
            </w:pPr>
            <w:r w:rsidRPr="004C6121">
              <w:rPr>
                <w:sz w:val="20"/>
                <w:szCs w:val="20"/>
              </w:rPr>
              <w:t>0.41</w:t>
            </w:r>
          </w:p>
        </w:tc>
        <w:tc>
          <w:tcPr>
            <w:tcW w:w="4961" w:type="dxa"/>
            <w:tcBorders>
              <w:top w:val="single" w:sz="4" w:space="0" w:color="auto"/>
              <w:bottom w:val="single" w:sz="4" w:space="0" w:color="auto"/>
            </w:tcBorders>
          </w:tcPr>
          <w:p w:rsidR="007F768B" w:rsidRPr="004C6121" w:rsidRDefault="007F768B" w:rsidP="00DE1B64">
            <w:pPr>
              <w:pStyle w:val="Default"/>
              <w:jc w:val="center"/>
              <w:rPr>
                <w:sz w:val="20"/>
                <w:szCs w:val="20"/>
              </w:rPr>
            </w:pPr>
            <w:r w:rsidRPr="0020244A">
              <w:rPr>
                <w:sz w:val="20"/>
                <w:szCs w:val="20"/>
                <w:vertAlign w:val="superscript"/>
              </w:rPr>
              <w:t>234</w:t>
            </w:r>
            <w:r w:rsidRPr="004C6121">
              <w:rPr>
                <w:sz w:val="20"/>
                <w:szCs w:val="20"/>
              </w:rPr>
              <w:t>U68</w:t>
            </w:r>
            <w:r>
              <w:rPr>
                <w:sz w:val="20"/>
                <w:szCs w:val="20"/>
              </w:rPr>
              <w:t>.</w:t>
            </w:r>
            <w:r w:rsidRPr="004C6121">
              <w:rPr>
                <w:sz w:val="20"/>
                <w:szCs w:val="20"/>
              </w:rPr>
              <w:t>1</w:t>
            </w:r>
            <w:r w:rsidRPr="0020244A">
              <w:rPr>
                <w:sz w:val="20"/>
                <w:szCs w:val="20"/>
                <w:vertAlign w:val="superscript"/>
              </w:rPr>
              <w:t>235</w:t>
            </w:r>
            <w:r w:rsidRPr="004C6121">
              <w:rPr>
                <w:sz w:val="20"/>
                <w:szCs w:val="20"/>
              </w:rPr>
              <w:t>U15</w:t>
            </w:r>
            <w:r>
              <w:rPr>
                <w:sz w:val="20"/>
                <w:szCs w:val="20"/>
              </w:rPr>
              <w:t>.</w:t>
            </w:r>
            <w:r w:rsidRPr="004C6121">
              <w:rPr>
                <w:sz w:val="20"/>
                <w:szCs w:val="20"/>
              </w:rPr>
              <w:t>9</w:t>
            </w:r>
            <w:r w:rsidRPr="0020244A">
              <w:rPr>
                <w:sz w:val="20"/>
                <w:szCs w:val="20"/>
                <w:vertAlign w:val="superscript"/>
              </w:rPr>
              <w:t>236</w:t>
            </w:r>
            <w:r w:rsidRPr="004C6121">
              <w:rPr>
                <w:sz w:val="20"/>
                <w:szCs w:val="20"/>
              </w:rPr>
              <w:t>U16</w:t>
            </w:r>
          </w:p>
        </w:tc>
        <w:tc>
          <w:tcPr>
            <w:tcW w:w="1055" w:type="dxa"/>
            <w:tcBorders>
              <w:top w:val="single" w:sz="4" w:space="0" w:color="auto"/>
              <w:bottom w:val="single" w:sz="4" w:space="0" w:color="auto"/>
            </w:tcBorders>
          </w:tcPr>
          <w:p w:rsidR="007F768B" w:rsidRPr="004C6121" w:rsidRDefault="007F768B" w:rsidP="00DE1B64">
            <w:pPr>
              <w:pStyle w:val="Default"/>
              <w:jc w:val="center"/>
              <w:rPr>
                <w:sz w:val="20"/>
                <w:szCs w:val="20"/>
              </w:rPr>
            </w:pPr>
            <w:r w:rsidRPr="004C6121">
              <w:rPr>
                <w:sz w:val="20"/>
                <w:szCs w:val="20"/>
              </w:rPr>
              <w:t>0.44</w:t>
            </w:r>
          </w:p>
        </w:tc>
      </w:tr>
      <w:tr w:rsidR="007F768B" w:rsidTr="00703D96">
        <w:tc>
          <w:tcPr>
            <w:tcW w:w="1989" w:type="dxa"/>
            <w:tcBorders>
              <w:top w:val="single" w:sz="4" w:space="0" w:color="auto"/>
              <w:bottom w:val="single" w:sz="4" w:space="0" w:color="auto"/>
            </w:tcBorders>
          </w:tcPr>
          <w:p w:rsidR="007F768B" w:rsidRPr="004C6121" w:rsidRDefault="007F768B" w:rsidP="00DE1B64">
            <w:pPr>
              <w:pStyle w:val="Default"/>
              <w:rPr>
                <w:sz w:val="20"/>
                <w:szCs w:val="20"/>
              </w:rPr>
            </w:pPr>
            <w:proofErr w:type="spellStart"/>
            <w:r w:rsidRPr="004C6121">
              <w:rPr>
                <w:sz w:val="20"/>
                <w:szCs w:val="20"/>
              </w:rPr>
              <w:t>Np</w:t>
            </w:r>
            <w:proofErr w:type="spellEnd"/>
            <w:r w:rsidRPr="004C6121">
              <w:rPr>
                <w:sz w:val="20"/>
                <w:szCs w:val="20"/>
              </w:rPr>
              <w:t xml:space="preserve"> (NpF</w:t>
            </w:r>
            <w:r w:rsidRPr="0020244A">
              <w:rPr>
                <w:sz w:val="20"/>
                <w:szCs w:val="20"/>
                <w:vertAlign w:val="subscript"/>
              </w:rPr>
              <w:t>4</w:t>
            </w:r>
            <w:r w:rsidRPr="004C6121">
              <w:rPr>
                <w:sz w:val="20"/>
                <w:szCs w:val="20"/>
              </w:rPr>
              <w:t xml:space="preserve">) </w:t>
            </w:r>
          </w:p>
        </w:tc>
        <w:tc>
          <w:tcPr>
            <w:tcW w:w="1238" w:type="dxa"/>
            <w:tcBorders>
              <w:top w:val="single" w:sz="4" w:space="0" w:color="auto"/>
              <w:bottom w:val="single" w:sz="4" w:space="0" w:color="auto"/>
            </w:tcBorders>
          </w:tcPr>
          <w:p w:rsidR="007F768B" w:rsidRPr="004C6121" w:rsidRDefault="007F768B" w:rsidP="00DE1B64">
            <w:pPr>
              <w:pStyle w:val="Default"/>
              <w:jc w:val="center"/>
              <w:rPr>
                <w:sz w:val="20"/>
                <w:szCs w:val="20"/>
              </w:rPr>
            </w:pPr>
            <w:r w:rsidRPr="004C6121">
              <w:rPr>
                <w:sz w:val="20"/>
                <w:szCs w:val="20"/>
              </w:rPr>
              <w:t>0.96</w:t>
            </w:r>
          </w:p>
        </w:tc>
        <w:tc>
          <w:tcPr>
            <w:tcW w:w="4961" w:type="dxa"/>
            <w:tcBorders>
              <w:top w:val="single" w:sz="4" w:space="0" w:color="auto"/>
              <w:bottom w:val="single" w:sz="4" w:space="0" w:color="auto"/>
            </w:tcBorders>
          </w:tcPr>
          <w:p w:rsidR="007F768B" w:rsidRPr="004C6121" w:rsidRDefault="007F768B" w:rsidP="00DE1B64">
            <w:pPr>
              <w:pStyle w:val="Default"/>
              <w:jc w:val="center"/>
              <w:rPr>
                <w:sz w:val="20"/>
                <w:szCs w:val="20"/>
              </w:rPr>
            </w:pPr>
            <w:r w:rsidRPr="0020244A">
              <w:rPr>
                <w:sz w:val="20"/>
                <w:szCs w:val="20"/>
                <w:vertAlign w:val="superscript"/>
              </w:rPr>
              <w:t>237</w:t>
            </w:r>
            <w:r w:rsidRPr="004C6121">
              <w:rPr>
                <w:sz w:val="20"/>
                <w:szCs w:val="20"/>
              </w:rPr>
              <w:t>Np</w:t>
            </w:r>
          </w:p>
        </w:tc>
        <w:tc>
          <w:tcPr>
            <w:tcW w:w="1055" w:type="dxa"/>
            <w:tcBorders>
              <w:top w:val="single" w:sz="4" w:space="0" w:color="auto"/>
              <w:bottom w:val="single" w:sz="4" w:space="0" w:color="auto"/>
            </w:tcBorders>
          </w:tcPr>
          <w:p w:rsidR="007F768B" w:rsidRPr="004C6121" w:rsidRDefault="007F768B" w:rsidP="00DE1B64">
            <w:pPr>
              <w:pStyle w:val="Default"/>
              <w:jc w:val="center"/>
              <w:rPr>
                <w:sz w:val="20"/>
                <w:szCs w:val="20"/>
              </w:rPr>
            </w:pPr>
            <w:r w:rsidRPr="004C6121">
              <w:rPr>
                <w:sz w:val="20"/>
                <w:szCs w:val="20"/>
              </w:rPr>
              <w:t>1.05</w:t>
            </w:r>
          </w:p>
        </w:tc>
      </w:tr>
      <w:tr w:rsidR="007F768B" w:rsidTr="00703D96">
        <w:tc>
          <w:tcPr>
            <w:tcW w:w="1989" w:type="dxa"/>
            <w:tcBorders>
              <w:top w:val="single" w:sz="4" w:space="0" w:color="auto"/>
              <w:bottom w:val="single" w:sz="4" w:space="0" w:color="auto"/>
            </w:tcBorders>
          </w:tcPr>
          <w:p w:rsidR="007F768B" w:rsidRPr="004C6121" w:rsidRDefault="007F768B" w:rsidP="00DE1B64">
            <w:pPr>
              <w:pStyle w:val="Default"/>
              <w:rPr>
                <w:sz w:val="20"/>
                <w:szCs w:val="20"/>
              </w:rPr>
            </w:pPr>
            <w:proofErr w:type="spellStart"/>
            <w:r w:rsidRPr="004C6121">
              <w:rPr>
                <w:sz w:val="20"/>
                <w:szCs w:val="20"/>
              </w:rPr>
              <w:t>Am</w:t>
            </w:r>
            <w:proofErr w:type="spellEnd"/>
            <w:r w:rsidRPr="004C6121">
              <w:rPr>
                <w:sz w:val="20"/>
                <w:szCs w:val="20"/>
              </w:rPr>
              <w:t xml:space="preserve"> (AmF</w:t>
            </w:r>
            <w:r w:rsidRPr="0020244A">
              <w:rPr>
                <w:sz w:val="20"/>
                <w:szCs w:val="20"/>
                <w:vertAlign w:val="subscript"/>
              </w:rPr>
              <w:t>3</w:t>
            </w:r>
            <w:r w:rsidRPr="004C6121">
              <w:rPr>
                <w:sz w:val="20"/>
                <w:szCs w:val="20"/>
              </w:rPr>
              <w:t xml:space="preserve">) </w:t>
            </w:r>
          </w:p>
        </w:tc>
        <w:tc>
          <w:tcPr>
            <w:tcW w:w="1238" w:type="dxa"/>
            <w:tcBorders>
              <w:top w:val="single" w:sz="4" w:space="0" w:color="auto"/>
              <w:bottom w:val="single" w:sz="4" w:space="0" w:color="auto"/>
            </w:tcBorders>
          </w:tcPr>
          <w:p w:rsidR="007F768B" w:rsidRPr="004C6121" w:rsidRDefault="007F768B" w:rsidP="00DE1B64">
            <w:pPr>
              <w:pStyle w:val="Default"/>
              <w:jc w:val="center"/>
              <w:rPr>
                <w:sz w:val="20"/>
                <w:szCs w:val="20"/>
              </w:rPr>
            </w:pPr>
            <w:r w:rsidRPr="004C6121">
              <w:rPr>
                <w:sz w:val="20"/>
                <w:szCs w:val="20"/>
              </w:rPr>
              <w:t>1.62</w:t>
            </w:r>
          </w:p>
        </w:tc>
        <w:tc>
          <w:tcPr>
            <w:tcW w:w="4961" w:type="dxa"/>
            <w:tcBorders>
              <w:top w:val="single" w:sz="4" w:space="0" w:color="auto"/>
              <w:bottom w:val="single" w:sz="4" w:space="0" w:color="auto"/>
            </w:tcBorders>
          </w:tcPr>
          <w:p w:rsidR="007F768B" w:rsidRPr="004C6121" w:rsidRDefault="007F768B" w:rsidP="00DE1B64">
            <w:pPr>
              <w:pStyle w:val="Default"/>
              <w:jc w:val="center"/>
              <w:rPr>
                <w:sz w:val="20"/>
                <w:szCs w:val="20"/>
              </w:rPr>
            </w:pPr>
            <w:r w:rsidRPr="00651FF8">
              <w:rPr>
                <w:sz w:val="20"/>
                <w:szCs w:val="20"/>
                <w:vertAlign w:val="superscript"/>
              </w:rPr>
              <w:t>241</w:t>
            </w:r>
            <w:r w:rsidRPr="004C6121">
              <w:rPr>
                <w:sz w:val="20"/>
                <w:szCs w:val="20"/>
              </w:rPr>
              <w:t>Am73</w:t>
            </w:r>
            <w:r>
              <w:rPr>
                <w:sz w:val="20"/>
                <w:szCs w:val="20"/>
              </w:rPr>
              <w:t>.</w:t>
            </w:r>
            <w:r w:rsidRPr="004C6121">
              <w:rPr>
                <w:sz w:val="20"/>
                <w:szCs w:val="20"/>
              </w:rPr>
              <w:t>3</w:t>
            </w:r>
            <w:r w:rsidRPr="00651FF8">
              <w:rPr>
                <w:sz w:val="20"/>
                <w:szCs w:val="20"/>
                <w:vertAlign w:val="superscript"/>
              </w:rPr>
              <w:t>242m</w:t>
            </w:r>
            <w:r w:rsidRPr="004C6121">
              <w:rPr>
                <w:sz w:val="20"/>
                <w:szCs w:val="20"/>
              </w:rPr>
              <w:t>Am5</w:t>
            </w:r>
            <w:r>
              <w:rPr>
                <w:sz w:val="20"/>
                <w:szCs w:val="20"/>
              </w:rPr>
              <w:t>.</w:t>
            </w:r>
            <w:r w:rsidRPr="004C6121">
              <w:rPr>
                <w:sz w:val="20"/>
                <w:szCs w:val="20"/>
              </w:rPr>
              <w:t>5</w:t>
            </w:r>
            <w:r w:rsidRPr="00651FF8">
              <w:rPr>
                <w:sz w:val="20"/>
                <w:szCs w:val="20"/>
                <w:vertAlign w:val="superscript"/>
              </w:rPr>
              <w:t>243</w:t>
            </w:r>
            <w:r w:rsidRPr="004C6121">
              <w:rPr>
                <w:sz w:val="20"/>
                <w:szCs w:val="20"/>
              </w:rPr>
              <w:t>Am21</w:t>
            </w:r>
            <w:r>
              <w:rPr>
                <w:sz w:val="20"/>
                <w:szCs w:val="20"/>
              </w:rPr>
              <w:t>.</w:t>
            </w:r>
            <w:r w:rsidRPr="004C6121">
              <w:rPr>
                <w:sz w:val="20"/>
                <w:szCs w:val="20"/>
              </w:rPr>
              <w:t>2</w:t>
            </w:r>
          </w:p>
        </w:tc>
        <w:tc>
          <w:tcPr>
            <w:tcW w:w="1055" w:type="dxa"/>
            <w:tcBorders>
              <w:top w:val="single" w:sz="4" w:space="0" w:color="auto"/>
              <w:bottom w:val="single" w:sz="4" w:space="0" w:color="auto"/>
            </w:tcBorders>
          </w:tcPr>
          <w:p w:rsidR="007F768B" w:rsidRPr="004C6121" w:rsidRDefault="007F768B" w:rsidP="00DE1B64">
            <w:pPr>
              <w:pStyle w:val="Default"/>
              <w:jc w:val="center"/>
              <w:rPr>
                <w:sz w:val="20"/>
                <w:szCs w:val="20"/>
              </w:rPr>
            </w:pPr>
            <w:r w:rsidRPr="004C6121">
              <w:rPr>
                <w:sz w:val="20"/>
                <w:szCs w:val="20"/>
              </w:rPr>
              <w:t>1.79</w:t>
            </w:r>
          </w:p>
        </w:tc>
      </w:tr>
      <w:tr w:rsidR="007F768B" w:rsidRPr="007F768B" w:rsidTr="00703D96">
        <w:tc>
          <w:tcPr>
            <w:tcW w:w="1989" w:type="dxa"/>
            <w:tcBorders>
              <w:top w:val="single" w:sz="4" w:space="0" w:color="auto"/>
              <w:bottom w:val="single" w:sz="4" w:space="0" w:color="auto"/>
            </w:tcBorders>
          </w:tcPr>
          <w:p w:rsidR="007F768B" w:rsidRPr="004C6121" w:rsidRDefault="007F768B" w:rsidP="00DE1B64">
            <w:pPr>
              <w:pStyle w:val="Default"/>
              <w:rPr>
                <w:sz w:val="20"/>
                <w:szCs w:val="20"/>
              </w:rPr>
            </w:pPr>
            <w:proofErr w:type="spellStart"/>
            <w:r w:rsidRPr="004C6121">
              <w:rPr>
                <w:sz w:val="20"/>
                <w:szCs w:val="20"/>
              </w:rPr>
              <w:t>Cm</w:t>
            </w:r>
            <w:proofErr w:type="spellEnd"/>
            <w:r w:rsidRPr="004C6121">
              <w:rPr>
                <w:sz w:val="20"/>
                <w:szCs w:val="20"/>
              </w:rPr>
              <w:t xml:space="preserve"> (CmF</w:t>
            </w:r>
            <w:r w:rsidRPr="0020244A">
              <w:rPr>
                <w:sz w:val="20"/>
                <w:szCs w:val="20"/>
                <w:vertAlign w:val="subscript"/>
              </w:rPr>
              <w:t>3</w:t>
            </w:r>
            <w:r w:rsidRPr="004C6121">
              <w:rPr>
                <w:sz w:val="20"/>
                <w:szCs w:val="20"/>
              </w:rPr>
              <w:t xml:space="preserve">) </w:t>
            </w:r>
          </w:p>
        </w:tc>
        <w:tc>
          <w:tcPr>
            <w:tcW w:w="1238" w:type="dxa"/>
            <w:tcBorders>
              <w:top w:val="single" w:sz="4" w:space="0" w:color="auto"/>
              <w:bottom w:val="single" w:sz="4" w:space="0" w:color="auto"/>
            </w:tcBorders>
          </w:tcPr>
          <w:p w:rsidR="007F768B" w:rsidRPr="004C6121" w:rsidRDefault="007F768B" w:rsidP="00DE1B64">
            <w:pPr>
              <w:pStyle w:val="Default"/>
              <w:jc w:val="center"/>
              <w:rPr>
                <w:sz w:val="20"/>
                <w:szCs w:val="20"/>
              </w:rPr>
            </w:pPr>
            <w:r w:rsidRPr="004C6121">
              <w:rPr>
                <w:sz w:val="20"/>
                <w:szCs w:val="20"/>
              </w:rPr>
              <w:t>0.73</w:t>
            </w:r>
          </w:p>
        </w:tc>
        <w:tc>
          <w:tcPr>
            <w:tcW w:w="4961" w:type="dxa"/>
            <w:tcBorders>
              <w:top w:val="single" w:sz="4" w:space="0" w:color="auto"/>
              <w:bottom w:val="single" w:sz="4" w:space="0" w:color="auto"/>
            </w:tcBorders>
          </w:tcPr>
          <w:p w:rsidR="007F768B" w:rsidRPr="004C6121" w:rsidRDefault="007F768B" w:rsidP="00DE1B64">
            <w:pPr>
              <w:pStyle w:val="Default"/>
              <w:jc w:val="center"/>
              <w:rPr>
                <w:sz w:val="20"/>
                <w:szCs w:val="20"/>
              </w:rPr>
            </w:pPr>
            <w:r w:rsidRPr="00651FF8">
              <w:rPr>
                <w:sz w:val="20"/>
                <w:szCs w:val="20"/>
                <w:vertAlign w:val="superscript"/>
              </w:rPr>
              <w:t>242</w:t>
            </w:r>
            <w:r w:rsidRPr="004C6121">
              <w:rPr>
                <w:sz w:val="20"/>
                <w:szCs w:val="20"/>
              </w:rPr>
              <w:t>Cm9</w:t>
            </w:r>
            <w:r w:rsidRPr="00651FF8">
              <w:rPr>
                <w:sz w:val="20"/>
                <w:szCs w:val="20"/>
              </w:rPr>
              <w:t>.</w:t>
            </w:r>
            <w:r w:rsidRPr="004C6121">
              <w:rPr>
                <w:sz w:val="20"/>
                <w:szCs w:val="20"/>
              </w:rPr>
              <w:t>6</w:t>
            </w:r>
            <w:r w:rsidRPr="00651FF8">
              <w:rPr>
                <w:sz w:val="20"/>
                <w:szCs w:val="20"/>
                <w:vertAlign w:val="superscript"/>
              </w:rPr>
              <w:t>243</w:t>
            </w:r>
            <w:r w:rsidRPr="004C6121">
              <w:rPr>
                <w:sz w:val="20"/>
                <w:szCs w:val="20"/>
              </w:rPr>
              <w:t>Cm2</w:t>
            </w:r>
            <w:r w:rsidRPr="00651FF8">
              <w:rPr>
                <w:sz w:val="20"/>
                <w:szCs w:val="20"/>
              </w:rPr>
              <w:t>.</w:t>
            </w:r>
            <w:r>
              <w:rPr>
                <w:sz w:val="20"/>
                <w:szCs w:val="20"/>
              </w:rPr>
              <w:t>4</w:t>
            </w:r>
            <w:r w:rsidRPr="00651FF8">
              <w:rPr>
                <w:sz w:val="20"/>
                <w:szCs w:val="20"/>
                <w:vertAlign w:val="superscript"/>
              </w:rPr>
              <w:t>244</w:t>
            </w:r>
            <w:r w:rsidRPr="004C6121">
              <w:rPr>
                <w:sz w:val="20"/>
                <w:szCs w:val="20"/>
              </w:rPr>
              <w:t>Cm59</w:t>
            </w:r>
            <w:r w:rsidRPr="00651FF8">
              <w:rPr>
                <w:sz w:val="20"/>
                <w:szCs w:val="20"/>
              </w:rPr>
              <w:t>.</w:t>
            </w:r>
            <w:r w:rsidRPr="004C6121">
              <w:rPr>
                <w:sz w:val="20"/>
                <w:szCs w:val="20"/>
              </w:rPr>
              <w:t>9</w:t>
            </w:r>
            <w:r w:rsidRPr="00651FF8">
              <w:rPr>
                <w:sz w:val="20"/>
                <w:szCs w:val="20"/>
                <w:vertAlign w:val="superscript"/>
              </w:rPr>
              <w:t>245</w:t>
            </w:r>
            <w:r w:rsidRPr="004C6121">
              <w:rPr>
                <w:sz w:val="20"/>
                <w:szCs w:val="20"/>
              </w:rPr>
              <w:t>Cm15</w:t>
            </w:r>
            <w:r w:rsidRPr="00651FF8">
              <w:rPr>
                <w:sz w:val="20"/>
                <w:szCs w:val="20"/>
              </w:rPr>
              <w:t>.</w:t>
            </w:r>
            <w:r w:rsidRPr="004C6121">
              <w:rPr>
                <w:sz w:val="20"/>
                <w:szCs w:val="20"/>
              </w:rPr>
              <w:t>5</w:t>
            </w:r>
            <w:r w:rsidRPr="00651FF8">
              <w:rPr>
                <w:sz w:val="20"/>
                <w:szCs w:val="20"/>
                <w:vertAlign w:val="superscript"/>
              </w:rPr>
              <w:t>246</w:t>
            </w:r>
            <w:r w:rsidRPr="004C6121">
              <w:rPr>
                <w:sz w:val="20"/>
                <w:szCs w:val="20"/>
              </w:rPr>
              <w:t>Cm9</w:t>
            </w:r>
            <w:r w:rsidRPr="00651FF8">
              <w:rPr>
                <w:sz w:val="20"/>
                <w:szCs w:val="20"/>
              </w:rPr>
              <w:t>.</w:t>
            </w:r>
            <w:r w:rsidRPr="004C6121">
              <w:rPr>
                <w:sz w:val="20"/>
                <w:szCs w:val="20"/>
              </w:rPr>
              <w:t>8</w:t>
            </w:r>
            <w:r w:rsidRPr="00651FF8">
              <w:rPr>
                <w:sz w:val="20"/>
                <w:szCs w:val="20"/>
                <w:vertAlign w:val="superscript"/>
              </w:rPr>
              <w:t>247</w:t>
            </w:r>
            <w:r w:rsidRPr="004C6121">
              <w:rPr>
                <w:sz w:val="20"/>
                <w:szCs w:val="20"/>
              </w:rPr>
              <w:t>Cm1</w:t>
            </w:r>
            <w:r w:rsidRPr="007F768B">
              <w:rPr>
                <w:sz w:val="20"/>
                <w:szCs w:val="20"/>
              </w:rPr>
              <w:t>.</w:t>
            </w:r>
            <w:r w:rsidRPr="004C6121">
              <w:rPr>
                <w:sz w:val="20"/>
                <w:szCs w:val="20"/>
              </w:rPr>
              <w:t>7</w:t>
            </w:r>
            <w:r w:rsidRPr="00651FF8">
              <w:rPr>
                <w:sz w:val="20"/>
                <w:szCs w:val="20"/>
                <w:vertAlign w:val="superscript"/>
              </w:rPr>
              <w:t>248</w:t>
            </w:r>
            <w:r w:rsidRPr="004C6121">
              <w:rPr>
                <w:sz w:val="20"/>
                <w:szCs w:val="20"/>
              </w:rPr>
              <w:t>Cm1</w:t>
            </w:r>
            <w:r w:rsidRPr="007F768B">
              <w:rPr>
                <w:sz w:val="20"/>
                <w:szCs w:val="20"/>
              </w:rPr>
              <w:t>.</w:t>
            </w:r>
            <w:r w:rsidRPr="004C6121">
              <w:rPr>
                <w:sz w:val="20"/>
                <w:szCs w:val="20"/>
              </w:rPr>
              <w:t>1</w:t>
            </w:r>
          </w:p>
        </w:tc>
        <w:tc>
          <w:tcPr>
            <w:tcW w:w="1055" w:type="dxa"/>
            <w:tcBorders>
              <w:top w:val="single" w:sz="4" w:space="0" w:color="auto"/>
              <w:bottom w:val="single" w:sz="4" w:space="0" w:color="auto"/>
            </w:tcBorders>
          </w:tcPr>
          <w:p w:rsidR="007F768B" w:rsidRPr="004C6121" w:rsidRDefault="007F768B" w:rsidP="00DE1B64">
            <w:pPr>
              <w:pStyle w:val="Default"/>
              <w:jc w:val="center"/>
              <w:rPr>
                <w:sz w:val="20"/>
                <w:szCs w:val="20"/>
              </w:rPr>
            </w:pPr>
            <w:r w:rsidRPr="004C6121">
              <w:rPr>
                <w:sz w:val="20"/>
                <w:szCs w:val="20"/>
              </w:rPr>
              <w:t>0.82</w:t>
            </w:r>
          </w:p>
        </w:tc>
      </w:tr>
      <w:tr w:rsidR="007F768B" w:rsidTr="00703D96">
        <w:tc>
          <w:tcPr>
            <w:tcW w:w="1989" w:type="dxa"/>
            <w:tcBorders>
              <w:top w:val="single" w:sz="4" w:space="0" w:color="auto"/>
              <w:bottom w:val="single" w:sz="4" w:space="0" w:color="auto"/>
            </w:tcBorders>
          </w:tcPr>
          <w:p w:rsidR="007F768B" w:rsidRPr="004C6121" w:rsidRDefault="007F768B" w:rsidP="00DE1B64">
            <w:pPr>
              <w:pStyle w:val="Default"/>
              <w:rPr>
                <w:sz w:val="20"/>
                <w:szCs w:val="20"/>
              </w:rPr>
            </w:pPr>
            <w:r w:rsidRPr="004C6121">
              <w:rPr>
                <w:sz w:val="20"/>
                <w:szCs w:val="20"/>
              </w:rPr>
              <w:t xml:space="preserve">MA </w:t>
            </w:r>
          </w:p>
        </w:tc>
        <w:tc>
          <w:tcPr>
            <w:tcW w:w="1238" w:type="dxa"/>
            <w:tcBorders>
              <w:top w:val="single" w:sz="4" w:space="0" w:color="auto"/>
              <w:bottom w:val="single" w:sz="4" w:space="0" w:color="auto"/>
            </w:tcBorders>
          </w:tcPr>
          <w:p w:rsidR="007F768B" w:rsidRPr="004C6121" w:rsidRDefault="007F768B" w:rsidP="00DE1B64">
            <w:pPr>
              <w:pStyle w:val="Default"/>
              <w:jc w:val="center"/>
              <w:rPr>
                <w:sz w:val="20"/>
                <w:szCs w:val="20"/>
              </w:rPr>
            </w:pPr>
            <w:r w:rsidRPr="004C6121">
              <w:rPr>
                <w:sz w:val="20"/>
                <w:szCs w:val="20"/>
              </w:rPr>
              <w:t>3.31</w:t>
            </w:r>
          </w:p>
        </w:tc>
        <w:tc>
          <w:tcPr>
            <w:tcW w:w="4961" w:type="dxa"/>
            <w:tcBorders>
              <w:top w:val="single" w:sz="4" w:space="0" w:color="auto"/>
              <w:bottom w:val="single" w:sz="4" w:space="0" w:color="auto"/>
            </w:tcBorders>
          </w:tcPr>
          <w:p w:rsidR="007F768B" w:rsidRPr="004C6121" w:rsidRDefault="007F768B" w:rsidP="00DE1B64">
            <w:pPr>
              <w:pStyle w:val="Default"/>
              <w:jc w:val="center"/>
              <w:rPr>
                <w:sz w:val="20"/>
                <w:szCs w:val="20"/>
              </w:rPr>
            </w:pPr>
            <w:r w:rsidRPr="004C6121">
              <w:rPr>
                <w:sz w:val="20"/>
                <w:szCs w:val="20"/>
              </w:rPr>
              <w:t>Np28</w:t>
            </w:r>
            <w:r>
              <w:rPr>
                <w:sz w:val="20"/>
                <w:szCs w:val="20"/>
                <w:lang w:val="en-US"/>
              </w:rPr>
              <w:t>.</w:t>
            </w:r>
            <w:r w:rsidRPr="004C6121">
              <w:rPr>
                <w:sz w:val="20"/>
                <w:szCs w:val="20"/>
              </w:rPr>
              <w:t>6Am49Cm22</w:t>
            </w:r>
            <w:r>
              <w:rPr>
                <w:sz w:val="20"/>
                <w:szCs w:val="20"/>
                <w:lang w:val="en-US"/>
              </w:rPr>
              <w:t>.</w:t>
            </w:r>
            <w:r w:rsidRPr="004C6121">
              <w:rPr>
                <w:sz w:val="20"/>
                <w:szCs w:val="20"/>
              </w:rPr>
              <w:t>4</w:t>
            </w:r>
          </w:p>
        </w:tc>
        <w:tc>
          <w:tcPr>
            <w:tcW w:w="1055" w:type="dxa"/>
            <w:tcBorders>
              <w:top w:val="single" w:sz="4" w:space="0" w:color="auto"/>
              <w:bottom w:val="single" w:sz="4" w:space="0" w:color="auto"/>
            </w:tcBorders>
          </w:tcPr>
          <w:p w:rsidR="007F768B" w:rsidRPr="004C6121" w:rsidRDefault="007F768B" w:rsidP="00DE1B64">
            <w:pPr>
              <w:pStyle w:val="Default"/>
              <w:jc w:val="center"/>
              <w:rPr>
                <w:sz w:val="20"/>
                <w:szCs w:val="20"/>
              </w:rPr>
            </w:pPr>
            <w:r w:rsidRPr="004C6121">
              <w:rPr>
                <w:sz w:val="20"/>
                <w:szCs w:val="20"/>
              </w:rPr>
              <w:t>3.66</w:t>
            </w:r>
          </w:p>
        </w:tc>
      </w:tr>
      <w:tr w:rsidR="007F768B" w:rsidTr="00703D96">
        <w:tc>
          <w:tcPr>
            <w:tcW w:w="1989" w:type="dxa"/>
            <w:tcBorders>
              <w:top w:val="single" w:sz="4" w:space="0" w:color="auto"/>
              <w:bottom w:val="single" w:sz="4" w:space="0" w:color="auto"/>
            </w:tcBorders>
          </w:tcPr>
          <w:p w:rsidR="007F768B" w:rsidRPr="004C6121" w:rsidRDefault="007F768B" w:rsidP="00DE1B64">
            <w:pPr>
              <w:pStyle w:val="Default"/>
              <w:rPr>
                <w:sz w:val="20"/>
                <w:szCs w:val="20"/>
              </w:rPr>
            </w:pPr>
            <w:proofErr w:type="spellStart"/>
            <w:r w:rsidRPr="004C6121">
              <w:rPr>
                <w:sz w:val="20"/>
                <w:szCs w:val="20"/>
              </w:rPr>
              <w:t>Actinides</w:t>
            </w:r>
            <w:proofErr w:type="spellEnd"/>
            <w:r w:rsidRPr="004C6121">
              <w:rPr>
                <w:sz w:val="20"/>
                <w:szCs w:val="20"/>
              </w:rPr>
              <w:t xml:space="preserve"> </w:t>
            </w:r>
          </w:p>
        </w:tc>
        <w:tc>
          <w:tcPr>
            <w:tcW w:w="1238" w:type="dxa"/>
            <w:tcBorders>
              <w:top w:val="single" w:sz="4" w:space="0" w:color="auto"/>
              <w:bottom w:val="single" w:sz="4" w:space="0" w:color="auto"/>
            </w:tcBorders>
          </w:tcPr>
          <w:p w:rsidR="007F768B" w:rsidRPr="004C6121" w:rsidRDefault="007F768B" w:rsidP="00DE1B64">
            <w:pPr>
              <w:pStyle w:val="Default"/>
              <w:jc w:val="center"/>
              <w:rPr>
                <w:sz w:val="20"/>
                <w:szCs w:val="20"/>
              </w:rPr>
            </w:pPr>
            <w:r w:rsidRPr="004C6121">
              <w:rPr>
                <w:sz w:val="20"/>
                <w:szCs w:val="20"/>
              </w:rPr>
              <w:t>8.0</w:t>
            </w:r>
          </w:p>
        </w:tc>
        <w:tc>
          <w:tcPr>
            <w:tcW w:w="4961" w:type="dxa"/>
            <w:tcBorders>
              <w:top w:val="single" w:sz="4" w:space="0" w:color="auto"/>
              <w:bottom w:val="single" w:sz="4" w:space="0" w:color="auto"/>
            </w:tcBorders>
          </w:tcPr>
          <w:p w:rsidR="007F768B" w:rsidRPr="004C6121" w:rsidRDefault="007F768B" w:rsidP="00DE1B64">
            <w:pPr>
              <w:pStyle w:val="Default"/>
              <w:jc w:val="center"/>
              <w:rPr>
                <w:sz w:val="20"/>
                <w:szCs w:val="20"/>
              </w:rPr>
            </w:pPr>
            <w:r w:rsidRPr="004C6121">
              <w:rPr>
                <w:sz w:val="20"/>
                <w:szCs w:val="20"/>
              </w:rPr>
              <w:t>U5Pu53</w:t>
            </w:r>
            <w:r>
              <w:rPr>
                <w:sz w:val="20"/>
                <w:szCs w:val="20"/>
                <w:lang w:val="en-US"/>
              </w:rPr>
              <w:t>.4</w:t>
            </w:r>
            <w:r w:rsidRPr="004C6121">
              <w:rPr>
                <w:sz w:val="20"/>
                <w:szCs w:val="20"/>
              </w:rPr>
              <w:t>MA41</w:t>
            </w:r>
            <w:r>
              <w:rPr>
                <w:sz w:val="20"/>
                <w:szCs w:val="20"/>
                <w:lang w:val="en-US"/>
              </w:rPr>
              <w:t>.</w:t>
            </w:r>
            <w:r w:rsidRPr="004C6121">
              <w:rPr>
                <w:sz w:val="20"/>
                <w:szCs w:val="20"/>
              </w:rPr>
              <w:t>6</w:t>
            </w:r>
          </w:p>
        </w:tc>
        <w:tc>
          <w:tcPr>
            <w:tcW w:w="1055" w:type="dxa"/>
            <w:tcBorders>
              <w:top w:val="single" w:sz="4" w:space="0" w:color="auto"/>
              <w:bottom w:val="single" w:sz="4" w:space="0" w:color="auto"/>
            </w:tcBorders>
          </w:tcPr>
          <w:p w:rsidR="007F768B" w:rsidRPr="004C6121" w:rsidRDefault="007F768B" w:rsidP="00DE1B64">
            <w:pPr>
              <w:pStyle w:val="Default"/>
              <w:jc w:val="center"/>
              <w:rPr>
                <w:sz w:val="20"/>
                <w:szCs w:val="20"/>
              </w:rPr>
            </w:pPr>
            <w:r w:rsidRPr="004C6121">
              <w:rPr>
                <w:sz w:val="20"/>
                <w:szCs w:val="20"/>
              </w:rPr>
              <w:t>8.79</w:t>
            </w:r>
          </w:p>
        </w:tc>
      </w:tr>
    </w:tbl>
    <w:p w:rsidR="0020244A" w:rsidRDefault="007F768B" w:rsidP="004C6121">
      <w:pPr>
        <w:pStyle w:val="a1"/>
        <w:ind w:firstLine="0"/>
      </w:pPr>
      <w:r w:rsidRPr="004C6121">
        <w:rPr>
          <w:lang w:val="en-US"/>
        </w:rPr>
        <w:t xml:space="preserve">In the table: </w:t>
      </w:r>
      <m:oMath>
        <m:sSub>
          <m:sSubPr>
            <m:ctrlPr>
              <w:rPr>
                <w:rFonts w:ascii="Cambria Math" w:hAnsi="Cambria Math"/>
                <w:i/>
                <w:color w:val="000000"/>
                <w:lang w:val="ru-RU" w:eastAsia="en-GB"/>
              </w:rPr>
            </m:ctrlPr>
          </m:sSubPr>
          <m:e>
            <m:r>
              <w:rPr>
                <w:rFonts w:ascii="Cambria Math" w:hAnsi="Cambria Math"/>
              </w:rPr>
              <m:t>m</m:t>
            </m:r>
          </m:e>
          <m:sub>
            <m:r>
              <w:rPr>
                <w:rFonts w:ascii="Cambria Math" w:hAnsi="Cambria Math"/>
              </w:rPr>
              <m:t>i</m:t>
            </m:r>
          </m:sub>
        </m:sSub>
      </m:oMath>
      <w:r w:rsidRPr="004C6121">
        <w:rPr>
          <w:i/>
          <w:iCs/>
          <w:lang w:val="en-US"/>
        </w:rPr>
        <w:t xml:space="preserve"> </w:t>
      </w:r>
      <w:r w:rsidRPr="004C6121">
        <w:rPr>
          <w:lang w:val="en-US"/>
        </w:rPr>
        <w:t xml:space="preserve">– </w:t>
      </w:r>
      <w:r w:rsidRPr="0020244A">
        <w:rPr>
          <w:lang w:val="en-US"/>
        </w:rPr>
        <w:t xml:space="preserve">is mass of the appropriate element, </w:t>
      </w:r>
      <m:oMath>
        <m:sSub>
          <m:sSubPr>
            <m:ctrlPr>
              <w:rPr>
                <w:rFonts w:ascii="Cambria Math" w:hAnsi="Cambria Math"/>
                <w:i/>
                <w:color w:val="000000"/>
                <w:lang w:val="ru-RU" w:eastAsia="en-GB"/>
              </w:rPr>
            </m:ctrlPr>
          </m:sSubPr>
          <m:e>
            <m:r>
              <w:rPr>
                <w:rFonts w:ascii="Cambria Math" w:hAnsi="Cambria Math"/>
              </w:rPr>
              <m:t>ν</m:t>
            </m:r>
          </m:e>
          <m:sub>
            <m:r>
              <w:rPr>
                <w:rFonts w:ascii="Cambria Math" w:hAnsi="Cambria Math"/>
              </w:rPr>
              <m:t>i</m:t>
            </m:r>
          </m:sub>
        </m:sSub>
      </m:oMath>
      <w:r>
        <w:rPr>
          <w:bCs/>
          <w:iCs/>
          <w:lang w:val="en-US"/>
        </w:rPr>
        <w:t xml:space="preserve"> – is </w:t>
      </w:r>
      <w:r w:rsidRPr="0020244A">
        <w:rPr>
          <w:lang w:val="en-US"/>
        </w:rPr>
        <w:t>concentrations of actinide fluorides.</w:t>
      </w:r>
    </w:p>
    <w:p w:rsidR="0070466D" w:rsidRDefault="0070466D" w:rsidP="00C1299A">
      <w:pPr>
        <w:pStyle w:val="2"/>
        <w:numPr>
          <w:ilvl w:val="1"/>
          <w:numId w:val="10"/>
        </w:numPr>
        <w:jc w:val="both"/>
      </w:pPr>
      <w:r w:rsidRPr="0070466D">
        <w:t>critical</w:t>
      </w:r>
      <w:r w:rsidR="00C1299A">
        <w:t xml:space="preserve">ITY </w:t>
      </w:r>
      <w:r w:rsidR="00C1299A" w:rsidRPr="00C1299A">
        <w:t>maintenance</w:t>
      </w:r>
      <w:r w:rsidRPr="0070466D">
        <w:t xml:space="preserve"> when it reaches equilibrium conditions of MA transmutation</w:t>
      </w:r>
    </w:p>
    <w:p w:rsidR="00D900BD" w:rsidRDefault="0070466D" w:rsidP="00537496">
      <w:pPr>
        <w:pStyle w:val="a1"/>
      </w:pPr>
      <w:r>
        <w:t xml:space="preserve">Under actual operating conditions, the MSR-burner can go critical at the stage when it reaches the equilibrium conditions if plutonium salts are added into the fuel composition. In order to estimate how MA transmutation characteristics are changing with the account of time needed to reach the equilibrium conditions, we performed calculations for several variants with different concentrations of actinides </w:t>
      </w:r>
      <m:oMath>
        <m:sSub>
          <m:sSubPr>
            <m:ctrlPr>
              <w:rPr>
                <w:rFonts w:ascii="Cambria Math" w:hAnsi="Cambria Math"/>
                <w:i/>
                <w:color w:val="000000"/>
                <w:lang w:val="ru-RU" w:eastAsia="en-GB"/>
              </w:rPr>
            </m:ctrlPr>
          </m:sSubPr>
          <m:e>
            <m:r>
              <w:rPr>
                <w:rFonts w:ascii="Cambria Math" w:hAnsi="Cambria Math"/>
              </w:rPr>
              <m:t>ν</m:t>
            </m:r>
          </m:e>
          <m:sub>
            <m:r>
              <w:rPr>
                <w:rFonts w:ascii="Cambria Math" w:hAnsi="Cambria Math"/>
              </w:rPr>
              <m:t>A</m:t>
            </m:r>
          </m:sub>
        </m:sSub>
      </m:oMath>
      <w:r>
        <w:rPr>
          <w:i/>
          <w:iCs/>
          <w:sz w:val="13"/>
          <w:szCs w:val="13"/>
        </w:rPr>
        <w:t xml:space="preserve"> </w:t>
      </w:r>
      <w:r>
        <w:t xml:space="preserve">(both higher and lower than the optimal one) needed for the system to reach criticality </w:t>
      </w:r>
      <m:oMath>
        <m:sSub>
          <m:sSubPr>
            <m:ctrlPr>
              <w:rPr>
                <w:rFonts w:ascii="Cambria Math" w:hAnsi="Cambria Math"/>
                <w:i/>
                <w:color w:val="000000"/>
                <w:lang w:val="ru-RU" w:eastAsia="en-GB"/>
              </w:rPr>
            </m:ctrlPr>
          </m:sSubPr>
          <m:e>
            <m:r>
              <w:rPr>
                <w:rFonts w:ascii="Cambria Math" w:hAnsi="Cambria Math"/>
              </w:rPr>
              <m:t>K</m:t>
            </m:r>
          </m:e>
          <m:sub>
            <m:r>
              <w:rPr>
                <w:rFonts w:ascii="Cambria Math" w:hAnsi="Cambria Math"/>
              </w:rPr>
              <m:t>eff</m:t>
            </m:r>
          </m:sub>
        </m:sSub>
      </m:oMath>
      <w:r>
        <w:t>~1.01 (Table 2, Fig. 2 and 3).</w:t>
      </w:r>
    </w:p>
    <w:p w:rsidR="00D900BD" w:rsidRDefault="00D900BD" w:rsidP="00537496">
      <w:pPr>
        <w:pStyle w:val="a1"/>
      </w:pPr>
    </w:p>
    <w:p w:rsidR="00D900BD" w:rsidRDefault="0070466D" w:rsidP="0070466D">
      <w:pPr>
        <w:pStyle w:val="a1"/>
        <w:jc w:val="center"/>
      </w:pPr>
      <w:r>
        <w:rPr>
          <w:noProof/>
          <w:lang w:val="ru-RU" w:eastAsia="ru-RU"/>
        </w:rPr>
        <w:drawing>
          <wp:inline distT="0" distB="0" distL="0" distR="0">
            <wp:extent cx="3951415" cy="201304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72299" cy="2023685"/>
                    </a:xfrm>
                    <a:prstGeom prst="rect">
                      <a:avLst/>
                    </a:prstGeom>
                    <a:noFill/>
                    <a:ln>
                      <a:noFill/>
                    </a:ln>
                  </pic:spPr>
                </pic:pic>
              </a:graphicData>
            </a:graphic>
          </wp:inline>
        </w:drawing>
      </w:r>
    </w:p>
    <w:p w:rsidR="0070466D" w:rsidRPr="0070466D" w:rsidRDefault="0070466D" w:rsidP="0070466D">
      <w:pPr>
        <w:pStyle w:val="Default"/>
        <w:jc w:val="center"/>
        <w:rPr>
          <w:i/>
          <w:color w:val="auto"/>
          <w:sz w:val="18"/>
          <w:szCs w:val="20"/>
          <w:lang w:val="en-GB" w:eastAsia="en-US"/>
        </w:rPr>
      </w:pPr>
      <w:proofErr w:type="gramStart"/>
      <w:r w:rsidRPr="00D900BD">
        <w:rPr>
          <w:i/>
          <w:color w:val="auto"/>
          <w:sz w:val="18"/>
          <w:szCs w:val="20"/>
          <w:lang w:val="en-GB" w:eastAsia="en-US"/>
        </w:rPr>
        <w:t>F</w:t>
      </w:r>
      <w:r>
        <w:rPr>
          <w:i/>
          <w:color w:val="auto"/>
          <w:sz w:val="18"/>
          <w:szCs w:val="20"/>
          <w:lang w:val="en-GB" w:eastAsia="en-US"/>
        </w:rPr>
        <w:t>IG</w:t>
      </w:r>
      <w:r w:rsidRPr="00D900BD">
        <w:rPr>
          <w:i/>
          <w:color w:val="auto"/>
          <w:sz w:val="18"/>
          <w:szCs w:val="20"/>
          <w:lang w:val="en-GB" w:eastAsia="en-US"/>
        </w:rPr>
        <w:t>. </w:t>
      </w:r>
      <w:r>
        <w:rPr>
          <w:i/>
          <w:color w:val="auto"/>
          <w:sz w:val="18"/>
          <w:szCs w:val="20"/>
          <w:lang w:val="en-GB" w:eastAsia="en-US"/>
        </w:rPr>
        <w:t>2</w:t>
      </w:r>
      <w:r w:rsidRPr="00D900BD">
        <w:rPr>
          <w:i/>
          <w:color w:val="auto"/>
          <w:sz w:val="18"/>
          <w:szCs w:val="20"/>
          <w:lang w:val="en-GB" w:eastAsia="en-US"/>
        </w:rPr>
        <w:t>.</w:t>
      </w:r>
      <w:proofErr w:type="gramEnd"/>
      <w:r w:rsidRPr="00D900BD">
        <w:rPr>
          <w:i/>
          <w:color w:val="auto"/>
          <w:sz w:val="18"/>
          <w:szCs w:val="20"/>
          <w:lang w:val="en-GB" w:eastAsia="en-US"/>
        </w:rPr>
        <w:t xml:space="preserve"> </w:t>
      </w:r>
      <w:r w:rsidRPr="0070466D">
        <w:rPr>
          <w:i/>
          <w:color w:val="auto"/>
          <w:sz w:val="18"/>
          <w:szCs w:val="20"/>
          <w:lang w:val="en-GB" w:eastAsia="en-US"/>
        </w:rPr>
        <w:t xml:space="preserve">Variation of plutonium mass in the feed fuel for the 1 GW </w:t>
      </w:r>
      <w:r w:rsidR="00DE1B64">
        <w:rPr>
          <w:i/>
          <w:color w:val="auto"/>
          <w:sz w:val="18"/>
          <w:szCs w:val="20"/>
          <w:lang w:val="en-GB" w:eastAsia="en-US"/>
        </w:rPr>
        <w:t>(</w:t>
      </w:r>
      <w:proofErr w:type="spellStart"/>
      <w:proofErr w:type="gramStart"/>
      <w:r w:rsidR="00DE1B64">
        <w:rPr>
          <w:i/>
          <w:color w:val="auto"/>
          <w:sz w:val="18"/>
          <w:szCs w:val="20"/>
          <w:lang w:val="en-GB" w:eastAsia="en-US"/>
        </w:rPr>
        <w:t>th</w:t>
      </w:r>
      <w:proofErr w:type="spellEnd"/>
      <w:proofErr w:type="gramEnd"/>
      <w:r w:rsidR="00DE1B64">
        <w:rPr>
          <w:i/>
          <w:color w:val="auto"/>
          <w:sz w:val="18"/>
          <w:szCs w:val="20"/>
          <w:lang w:val="en-GB" w:eastAsia="en-US"/>
        </w:rPr>
        <w:t>)</w:t>
      </w:r>
      <w:r w:rsidRPr="0070466D">
        <w:rPr>
          <w:i/>
          <w:color w:val="auto"/>
          <w:sz w:val="18"/>
          <w:szCs w:val="20"/>
          <w:lang w:val="en-GB" w:eastAsia="en-US"/>
        </w:rPr>
        <w:t xml:space="preserve"> of the system</w:t>
      </w:r>
    </w:p>
    <w:p w:rsidR="00215130" w:rsidRDefault="00215130" w:rsidP="0070466D">
      <w:pPr>
        <w:pStyle w:val="Default"/>
        <w:jc w:val="center"/>
        <w:rPr>
          <w:i/>
          <w:color w:val="auto"/>
          <w:sz w:val="18"/>
          <w:szCs w:val="20"/>
          <w:lang w:val="en-US" w:eastAsia="en-US"/>
        </w:rPr>
      </w:pPr>
    </w:p>
    <w:p w:rsidR="00923EC1" w:rsidRDefault="00923EC1" w:rsidP="00C1299A">
      <w:pPr>
        <w:pStyle w:val="Default"/>
        <w:jc w:val="both"/>
        <w:rPr>
          <w:color w:val="auto"/>
          <w:sz w:val="20"/>
          <w:szCs w:val="20"/>
          <w:lang w:val="en-GB" w:eastAsia="en-US"/>
        </w:rPr>
      </w:pPr>
    </w:p>
    <w:p w:rsidR="00215130" w:rsidRPr="00215130" w:rsidRDefault="00C1299A" w:rsidP="00C1299A">
      <w:pPr>
        <w:pStyle w:val="Default"/>
        <w:jc w:val="both"/>
        <w:rPr>
          <w:color w:val="auto"/>
          <w:sz w:val="20"/>
          <w:szCs w:val="20"/>
          <w:lang w:val="en-GB" w:eastAsia="en-US"/>
        </w:rPr>
      </w:pPr>
      <w:proofErr w:type="gramStart"/>
      <w:r w:rsidRPr="00215130">
        <w:rPr>
          <w:color w:val="auto"/>
          <w:sz w:val="20"/>
          <w:szCs w:val="20"/>
          <w:lang w:val="en-GB" w:eastAsia="en-US"/>
        </w:rPr>
        <w:t>TABLE 2.</w:t>
      </w:r>
      <w:proofErr w:type="gramEnd"/>
      <w:r w:rsidRPr="00215130">
        <w:rPr>
          <w:color w:val="auto"/>
          <w:sz w:val="20"/>
          <w:szCs w:val="20"/>
          <w:lang w:val="en-GB" w:eastAsia="en-US"/>
        </w:rPr>
        <w:t xml:space="preserve"> CHARACTERISTICS OF MODEL SYSTEM IN THE EQUILIBRIUM OPERATIONAL CONDI</w:t>
      </w:r>
      <w:r w:rsidR="00CE1A11">
        <w:rPr>
          <w:color w:val="auto"/>
          <w:sz w:val="20"/>
          <w:szCs w:val="20"/>
          <w:lang w:val="en-GB" w:eastAsia="en-US"/>
        </w:rPr>
        <w:t>T</w:t>
      </w:r>
      <w:r w:rsidRPr="00215130">
        <w:rPr>
          <w:color w:val="auto"/>
          <w:sz w:val="20"/>
          <w:szCs w:val="20"/>
          <w:lang w:val="en-GB" w:eastAsia="en-US"/>
        </w:rPr>
        <w:t xml:space="preserve">IONS AT THE CAMPAIGN END </w:t>
      </w:r>
      <w:r w:rsidRPr="00C1299A">
        <w:rPr>
          <w:color w:val="auto"/>
          <w:sz w:val="20"/>
          <w:szCs w:val="20"/>
          <w:lang w:val="en-GB" w:eastAsia="en-US"/>
        </w:rPr>
        <w:t>WITH DIFFERENT CONCENTRATIONS OF ACTINIDE FLUORIDES</w:t>
      </w:r>
      <w:r w:rsidRPr="00215130">
        <w:rPr>
          <w:color w:val="auto"/>
          <w:sz w:val="20"/>
          <w:szCs w:val="20"/>
          <w:lang w:val="en-GB" w:eastAsia="en-US"/>
        </w:rPr>
        <w:t xml:space="preserve"> </w:t>
      </w:r>
    </w:p>
    <w:p w:rsidR="00C1299A" w:rsidRDefault="00215130" w:rsidP="00215130">
      <w:pPr>
        <w:pStyle w:val="a1"/>
        <w:ind w:firstLine="0"/>
      </w:pPr>
      <w:r w:rsidRPr="004C6121">
        <w:t xml:space="preserve"> </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0"/>
        <w:gridCol w:w="1540"/>
        <w:gridCol w:w="1540"/>
        <w:gridCol w:w="1541"/>
        <w:gridCol w:w="1541"/>
        <w:gridCol w:w="1541"/>
      </w:tblGrid>
      <w:tr w:rsidR="00C1299A" w:rsidTr="00703D96">
        <w:tc>
          <w:tcPr>
            <w:tcW w:w="1540" w:type="dxa"/>
            <w:tcBorders>
              <w:top w:val="single" w:sz="4" w:space="0" w:color="auto"/>
              <w:bottom w:val="single" w:sz="4" w:space="0" w:color="auto"/>
            </w:tcBorders>
          </w:tcPr>
          <w:p w:rsidR="00C1299A" w:rsidRPr="0089422E" w:rsidRDefault="00C1299A" w:rsidP="00DE1B64">
            <w:pPr>
              <w:pStyle w:val="a1"/>
              <w:ind w:firstLine="0"/>
              <w:jc w:val="left"/>
            </w:pPr>
            <w:r w:rsidRPr="0089422E">
              <w:rPr>
                <w:bCs/>
              </w:rPr>
              <w:t>Characteristics</w:t>
            </w:r>
          </w:p>
        </w:tc>
        <w:tc>
          <w:tcPr>
            <w:tcW w:w="1540" w:type="dxa"/>
            <w:tcBorders>
              <w:top w:val="single" w:sz="4" w:space="0" w:color="auto"/>
              <w:bottom w:val="single" w:sz="4" w:space="0" w:color="auto"/>
            </w:tcBorders>
          </w:tcPr>
          <w:p w:rsidR="00C1299A" w:rsidRPr="0089422E" w:rsidRDefault="00C1299A" w:rsidP="00DE1B64">
            <w:pPr>
              <w:pStyle w:val="Default"/>
              <w:jc w:val="center"/>
              <w:rPr>
                <w:sz w:val="20"/>
                <w:szCs w:val="20"/>
                <w:lang w:val="en-US"/>
              </w:rPr>
            </w:pPr>
            <w:r w:rsidRPr="0089422E">
              <w:rPr>
                <w:sz w:val="20"/>
                <w:szCs w:val="20"/>
              </w:rPr>
              <w:t>3%</w:t>
            </w:r>
            <w:r w:rsidRPr="0089422E">
              <w:rPr>
                <w:sz w:val="20"/>
                <w:szCs w:val="20"/>
                <w:lang w:val="en-US"/>
              </w:rPr>
              <w:t>, mole</w:t>
            </w:r>
          </w:p>
        </w:tc>
        <w:tc>
          <w:tcPr>
            <w:tcW w:w="1540" w:type="dxa"/>
            <w:tcBorders>
              <w:top w:val="single" w:sz="4" w:space="0" w:color="auto"/>
              <w:bottom w:val="single" w:sz="4" w:space="0" w:color="auto"/>
            </w:tcBorders>
          </w:tcPr>
          <w:p w:rsidR="00C1299A" w:rsidRPr="0089422E" w:rsidRDefault="00C1299A" w:rsidP="00DE1B64">
            <w:pPr>
              <w:pStyle w:val="Default"/>
              <w:jc w:val="center"/>
              <w:rPr>
                <w:sz w:val="20"/>
                <w:szCs w:val="20"/>
              </w:rPr>
            </w:pPr>
            <w:r w:rsidRPr="0089422E">
              <w:rPr>
                <w:sz w:val="20"/>
                <w:szCs w:val="20"/>
              </w:rPr>
              <w:t>5%</w:t>
            </w:r>
            <w:r w:rsidRPr="0089422E">
              <w:rPr>
                <w:sz w:val="20"/>
                <w:szCs w:val="20"/>
                <w:lang w:val="en-US"/>
              </w:rPr>
              <w:t>, mole</w:t>
            </w:r>
          </w:p>
        </w:tc>
        <w:tc>
          <w:tcPr>
            <w:tcW w:w="1541" w:type="dxa"/>
            <w:tcBorders>
              <w:top w:val="single" w:sz="4" w:space="0" w:color="auto"/>
              <w:bottom w:val="single" w:sz="4" w:space="0" w:color="auto"/>
            </w:tcBorders>
          </w:tcPr>
          <w:p w:rsidR="00C1299A" w:rsidRPr="0089422E" w:rsidRDefault="00C1299A" w:rsidP="00DE1B64">
            <w:pPr>
              <w:pStyle w:val="Default"/>
              <w:jc w:val="center"/>
              <w:rPr>
                <w:sz w:val="20"/>
                <w:szCs w:val="20"/>
              </w:rPr>
            </w:pPr>
            <w:r w:rsidRPr="0089422E">
              <w:rPr>
                <w:sz w:val="20"/>
                <w:szCs w:val="20"/>
              </w:rPr>
              <w:t>8%</w:t>
            </w:r>
            <w:r w:rsidRPr="0089422E">
              <w:rPr>
                <w:sz w:val="20"/>
                <w:szCs w:val="20"/>
                <w:lang w:val="en-US"/>
              </w:rPr>
              <w:t>, mole</w:t>
            </w:r>
          </w:p>
        </w:tc>
        <w:tc>
          <w:tcPr>
            <w:tcW w:w="1541" w:type="dxa"/>
            <w:tcBorders>
              <w:top w:val="single" w:sz="4" w:space="0" w:color="auto"/>
              <w:bottom w:val="single" w:sz="4" w:space="0" w:color="auto"/>
            </w:tcBorders>
          </w:tcPr>
          <w:p w:rsidR="00C1299A" w:rsidRPr="0089422E" w:rsidRDefault="00C1299A" w:rsidP="00DE1B64">
            <w:pPr>
              <w:pStyle w:val="Default"/>
              <w:jc w:val="center"/>
              <w:rPr>
                <w:sz w:val="20"/>
                <w:szCs w:val="20"/>
              </w:rPr>
            </w:pPr>
            <w:r w:rsidRPr="0089422E">
              <w:rPr>
                <w:sz w:val="20"/>
                <w:szCs w:val="20"/>
              </w:rPr>
              <w:t>15%</w:t>
            </w:r>
            <w:r w:rsidRPr="0089422E">
              <w:rPr>
                <w:sz w:val="20"/>
                <w:szCs w:val="20"/>
                <w:lang w:val="en-US"/>
              </w:rPr>
              <w:t>, mole</w:t>
            </w:r>
          </w:p>
        </w:tc>
        <w:tc>
          <w:tcPr>
            <w:tcW w:w="1541" w:type="dxa"/>
            <w:tcBorders>
              <w:top w:val="single" w:sz="4" w:space="0" w:color="auto"/>
              <w:bottom w:val="single" w:sz="4" w:space="0" w:color="auto"/>
            </w:tcBorders>
          </w:tcPr>
          <w:p w:rsidR="00C1299A" w:rsidRPr="0089422E" w:rsidRDefault="00C1299A" w:rsidP="00DE1B64">
            <w:pPr>
              <w:pStyle w:val="Default"/>
              <w:jc w:val="center"/>
              <w:rPr>
                <w:sz w:val="20"/>
                <w:szCs w:val="20"/>
              </w:rPr>
            </w:pPr>
            <w:r w:rsidRPr="0089422E">
              <w:rPr>
                <w:sz w:val="20"/>
                <w:szCs w:val="20"/>
              </w:rPr>
              <w:t>30%</w:t>
            </w:r>
            <w:r w:rsidRPr="0089422E">
              <w:rPr>
                <w:sz w:val="20"/>
                <w:szCs w:val="20"/>
                <w:lang w:val="en-US"/>
              </w:rPr>
              <w:t>, mole</w:t>
            </w:r>
          </w:p>
        </w:tc>
      </w:tr>
      <w:tr w:rsidR="00C1299A" w:rsidTr="00703D96">
        <w:tc>
          <w:tcPr>
            <w:tcW w:w="1540" w:type="dxa"/>
            <w:tcBorders>
              <w:top w:val="single" w:sz="4" w:space="0" w:color="auto"/>
              <w:bottom w:val="single" w:sz="4" w:space="0" w:color="auto"/>
            </w:tcBorders>
          </w:tcPr>
          <w:p w:rsidR="00C1299A" w:rsidRPr="0089422E" w:rsidRDefault="00F22DAC" w:rsidP="00DE1B64">
            <w:pPr>
              <w:pStyle w:val="a1"/>
              <w:ind w:firstLine="0"/>
            </w:pPr>
            <m:oMath>
              <m:sSub>
                <m:sSubPr>
                  <m:ctrlPr>
                    <w:rPr>
                      <w:rFonts w:ascii="Cambria Math" w:hAnsi="Cambria Math"/>
                      <w:i/>
                      <w:color w:val="000000"/>
                      <w:lang w:val="ru-RU" w:eastAsia="en-GB"/>
                    </w:rPr>
                  </m:ctrlPr>
                </m:sSubPr>
                <m:e>
                  <m:r>
                    <w:rPr>
                      <w:rFonts w:ascii="Cambria Math" w:hAnsi="Cambria Math"/>
                      <w:lang w:val="en-US"/>
                    </w:rPr>
                    <m:t>&lt;E</m:t>
                  </m:r>
                </m:e>
                <m:sub>
                  <m:r>
                    <w:rPr>
                      <w:rFonts w:ascii="Cambria Math" w:hAnsi="Cambria Math"/>
                      <w:color w:val="000000"/>
                      <w:lang w:val="ru-RU" w:eastAsia="en-GB"/>
                    </w:rPr>
                    <m:t>n</m:t>
                  </m:r>
                </m:sub>
              </m:sSub>
              <m:r>
                <w:rPr>
                  <w:rFonts w:ascii="Cambria Math" w:hAnsi="Cambria Math"/>
                  <w:color w:val="000000"/>
                  <w:lang w:val="en-US" w:eastAsia="en-GB"/>
                </w:rPr>
                <m:t>&gt;</m:t>
              </m:r>
            </m:oMath>
            <w:r w:rsidR="00C1299A" w:rsidRPr="001B191E">
              <w:t>,</w:t>
            </w:r>
            <w:r w:rsidR="00C1299A" w:rsidRPr="0089422E">
              <w:t xml:space="preserve"> MeV</w:t>
            </w:r>
          </w:p>
        </w:tc>
        <w:tc>
          <w:tcPr>
            <w:tcW w:w="1540" w:type="dxa"/>
            <w:tcBorders>
              <w:top w:val="single" w:sz="4" w:space="0" w:color="auto"/>
              <w:bottom w:val="single" w:sz="4" w:space="0" w:color="auto"/>
            </w:tcBorders>
          </w:tcPr>
          <w:p w:rsidR="00C1299A" w:rsidRPr="001B191E" w:rsidRDefault="00C1299A" w:rsidP="00DE1B64">
            <w:pPr>
              <w:pStyle w:val="Default"/>
              <w:jc w:val="center"/>
              <w:rPr>
                <w:sz w:val="20"/>
                <w:szCs w:val="20"/>
                <w:lang w:val="en-US"/>
              </w:rPr>
            </w:pPr>
            <w:r w:rsidRPr="001B191E">
              <w:rPr>
                <w:sz w:val="20"/>
                <w:szCs w:val="20"/>
                <w:lang w:val="en-US"/>
              </w:rPr>
              <w:t>0.29</w:t>
            </w:r>
          </w:p>
        </w:tc>
        <w:tc>
          <w:tcPr>
            <w:tcW w:w="1540" w:type="dxa"/>
            <w:tcBorders>
              <w:top w:val="single" w:sz="4" w:space="0" w:color="auto"/>
              <w:bottom w:val="single" w:sz="4" w:space="0" w:color="auto"/>
            </w:tcBorders>
          </w:tcPr>
          <w:p w:rsidR="00C1299A" w:rsidRPr="001B191E" w:rsidRDefault="00C1299A" w:rsidP="00DE1B64">
            <w:pPr>
              <w:pStyle w:val="Default"/>
              <w:jc w:val="center"/>
              <w:rPr>
                <w:sz w:val="20"/>
                <w:szCs w:val="20"/>
                <w:lang w:val="en-US"/>
              </w:rPr>
            </w:pPr>
            <w:r w:rsidRPr="001B191E">
              <w:rPr>
                <w:sz w:val="20"/>
                <w:szCs w:val="20"/>
                <w:lang w:val="en-US"/>
              </w:rPr>
              <w:t>0.34</w:t>
            </w:r>
          </w:p>
        </w:tc>
        <w:tc>
          <w:tcPr>
            <w:tcW w:w="1541" w:type="dxa"/>
            <w:tcBorders>
              <w:top w:val="single" w:sz="4" w:space="0" w:color="auto"/>
              <w:bottom w:val="single" w:sz="4" w:space="0" w:color="auto"/>
            </w:tcBorders>
          </w:tcPr>
          <w:p w:rsidR="00C1299A" w:rsidRPr="001B191E" w:rsidRDefault="00C1299A" w:rsidP="00DE1B64">
            <w:pPr>
              <w:pStyle w:val="Default"/>
              <w:jc w:val="center"/>
              <w:rPr>
                <w:sz w:val="20"/>
                <w:szCs w:val="20"/>
                <w:lang w:val="en-US"/>
              </w:rPr>
            </w:pPr>
            <w:r w:rsidRPr="001B191E">
              <w:rPr>
                <w:sz w:val="20"/>
                <w:szCs w:val="20"/>
                <w:lang w:val="en-US"/>
              </w:rPr>
              <w:t>0.40</w:t>
            </w:r>
          </w:p>
        </w:tc>
        <w:tc>
          <w:tcPr>
            <w:tcW w:w="1541" w:type="dxa"/>
            <w:tcBorders>
              <w:top w:val="single" w:sz="4" w:space="0" w:color="auto"/>
              <w:bottom w:val="single" w:sz="4" w:space="0" w:color="auto"/>
            </w:tcBorders>
          </w:tcPr>
          <w:p w:rsidR="00C1299A" w:rsidRPr="001B191E" w:rsidRDefault="00C1299A" w:rsidP="00DE1B64">
            <w:pPr>
              <w:pStyle w:val="Default"/>
              <w:jc w:val="center"/>
              <w:rPr>
                <w:sz w:val="20"/>
                <w:szCs w:val="20"/>
                <w:lang w:val="en-US"/>
              </w:rPr>
            </w:pPr>
            <w:r w:rsidRPr="001B191E">
              <w:rPr>
                <w:sz w:val="20"/>
                <w:szCs w:val="20"/>
                <w:lang w:val="en-US"/>
              </w:rPr>
              <w:t>0.52</w:t>
            </w:r>
          </w:p>
        </w:tc>
        <w:tc>
          <w:tcPr>
            <w:tcW w:w="1541" w:type="dxa"/>
            <w:tcBorders>
              <w:top w:val="single" w:sz="4" w:space="0" w:color="auto"/>
              <w:bottom w:val="single" w:sz="4" w:space="0" w:color="auto"/>
            </w:tcBorders>
          </w:tcPr>
          <w:p w:rsidR="00C1299A" w:rsidRPr="001B191E" w:rsidRDefault="00C1299A" w:rsidP="00DE1B64">
            <w:pPr>
              <w:pStyle w:val="Default"/>
              <w:jc w:val="center"/>
              <w:rPr>
                <w:sz w:val="20"/>
                <w:szCs w:val="20"/>
                <w:lang w:val="en-US"/>
              </w:rPr>
            </w:pPr>
            <w:r w:rsidRPr="001B191E">
              <w:rPr>
                <w:sz w:val="20"/>
                <w:szCs w:val="20"/>
                <w:lang w:val="en-US"/>
              </w:rPr>
              <w:t>0.68</w:t>
            </w:r>
          </w:p>
        </w:tc>
      </w:tr>
      <w:tr w:rsidR="001B191E" w:rsidTr="00703D96">
        <w:tc>
          <w:tcPr>
            <w:tcW w:w="1540" w:type="dxa"/>
            <w:tcBorders>
              <w:top w:val="single" w:sz="4" w:space="0" w:color="auto"/>
              <w:bottom w:val="single" w:sz="4" w:space="0" w:color="auto"/>
            </w:tcBorders>
          </w:tcPr>
          <w:p w:rsidR="001B191E" w:rsidRPr="00703D96" w:rsidRDefault="00F22DAC" w:rsidP="00DE1B64">
            <w:pPr>
              <w:rPr>
                <w:sz w:val="20"/>
                <w:vertAlign w:val="subscript"/>
                <w:lang w:val="en-US" w:eastAsia="ru-RU"/>
              </w:rPr>
            </w:pPr>
            <m:oMath>
              <m:sSub>
                <m:sSubPr>
                  <m:ctrlPr>
                    <w:rPr>
                      <w:rFonts w:ascii="Cambria Math" w:hAnsi="Cambria Math"/>
                      <w:i/>
                      <w:color w:val="000000"/>
                      <w:sz w:val="20"/>
                      <w:lang w:val="ru-RU" w:eastAsia="en-GB"/>
                    </w:rPr>
                  </m:ctrlPr>
                </m:sSubPr>
                <m:e>
                  <m:r>
                    <w:rPr>
                      <w:rFonts w:ascii="Cambria Math" w:hAnsi="Cambria Math"/>
                      <w:lang w:val="en-US"/>
                    </w:rPr>
                    <m:t>m</m:t>
                  </m:r>
                </m:e>
                <m:sub>
                  <m:r>
                    <w:rPr>
                      <w:rFonts w:ascii="Cambria Math" w:hAnsi="Cambria Math"/>
                      <w:color w:val="000000"/>
                      <w:sz w:val="20"/>
                      <w:lang w:val="ru-RU" w:eastAsia="en-GB"/>
                    </w:rPr>
                    <m:t>U</m:t>
                  </m:r>
                </m:sub>
              </m:sSub>
            </m:oMath>
            <w:r w:rsidR="00703D96">
              <w:rPr>
                <w:color w:val="000000"/>
                <w:sz w:val="20"/>
                <w:lang w:val="en-US" w:eastAsia="en-GB"/>
              </w:rPr>
              <w:t>,</w:t>
            </w:r>
          </w:p>
        </w:tc>
        <w:tc>
          <w:tcPr>
            <w:tcW w:w="1540" w:type="dxa"/>
            <w:tcBorders>
              <w:top w:val="single" w:sz="4" w:space="0" w:color="auto"/>
              <w:bottom w:val="single" w:sz="4" w:space="0" w:color="auto"/>
            </w:tcBorders>
          </w:tcPr>
          <w:p w:rsidR="001B191E" w:rsidRPr="000737B4" w:rsidRDefault="001B191E" w:rsidP="00DE1B64">
            <w:pPr>
              <w:jc w:val="center"/>
              <w:rPr>
                <w:sz w:val="20"/>
                <w:lang w:eastAsia="ru-RU"/>
              </w:rPr>
            </w:pPr>
            <w:r w:rsidRPr="000737B4">
              <w:rPr>
                <w:sz w:val="20"/>
                <w:lang w:eastAsia="ru-RU"/>
              </w:rPr>
              <w:t>0</w:t>
            </w:r>
            <w:r w:rsidR="003F560E">
              <w:rPr>
                <w:sz w:val="20"/>
                <w:lang w:val="en-US" w:eastAsia="ru-RU"/>
              </w:rPr>
              <w:t>.</w:t>
            </w:r>
            <w:r w:rsidRPr="000737B4">
              <w:rPr>
                <w:sz w:val="20"/>
                <w:lang w:val="en-US" w:eastAsia="ru-RU"/>
              </w:rPr>
              <w:t>0</w:t>
            </w:r>
            <w:r w:rsidRPr="000737B4">
              <w:rPr>
                <w:color w:val="000000"/>
                <w:sz w:val="20"/>
                <w:lang w:eastAsia="ru-RU"/>
              </w:rPr>
              <w:t>3</w:t>
            </w:r>
          </w:p>
        </w:tc>
        <w:tc>
          <w:tcPr>
            <w:tcW w:w="1540" w:type="dxa"/>
            <w:tcBorders>
              <w:top w:val="single" w:sz="4" w:space="0" w:color="auto"/>
              <w:bottom w:val="single" w:sz="4" w:space="0" w:color="auto"/>
            </w:tcBorders>
          </w:tcPr>
          <w:p w:rsidR="001B191E" w:rsidRPr="000737B4" w:rsidRDefault="001B191E" w:rsidP="003F560E">
            <w:pPr>
              <w:jc w:val="center"/>
              <w:rPr>
                <w:sz w:val="20"/>
                <w:lang w:val="en-US" w:eastAsia="ru-RU"/>
              </w:rPr>
            </w:pPr>
            <w:r w:rsidRPr="000737B4">
              <w:rPr>
                <w:sz w:val="20"/>
                <w:lang w:val="en-US" w:eastAsia="ru-RU"/>
              </w:rPr>
              <w:t>0</w:t>
            </w:r>
            <w:r w:rsidR="003F560E">
              <w:rPr>
                <w:sz w:val="20"/>
                <w:lang w:val="en-US" w:eastAsia="ru-RU"/>
              </w:rPr>
              <w:t>.</w:t>
            </w:r>
            <w:r w:rsidRPr="000737B4">
              <w:rPr>
                <w:sz w:val="20"/>
                <w:lang w:eastAsia="ru-RU"/>
              </w:rPr>
              <w:t>1</w:t>
            </w:r>
            <w:r w:rsidRPr="000737B4">
              <w:rPr>
                <w:sz w:val="20"/>
                <w:lang w:val="en-US" w:eastAsia="ru-RU"/>
              </w:rPr>
              <w:t>4</w:t>
            </w:r>
          </w:p>
        </w:tc>
        <w:tc>
          <w:tcPr>
            <w:tcW w:w="1541" w:type="dxa"/>
            <w:tcBorders>
              <w:top w:val="single" w:sz="4" w:space="0" w:color="auto"/>
              <w:bottom w:val="single" w:sz="4" w:space="0" w:color="auto"/>
            </w:tcBorders>
          </w:tcPr>
          <w:p w:rsidR="001B191E" w:rsidRPr="000737B4" w:rsidRDefault="001B191E" w:rsidP="003F560E">
            <w:pPr>
              <w:jc w:val="center"/>
              <w:rPr>
                <w:sz w:val="20"/>
                <w:lang w:val="en-US" w:eastAsia="ru-RU"/>
              </w:rPr>
            </w:pPr>
            <w:r w:rsidRPr="000737B4">
              <w:rPr>
                <w:sz w:val="20"/>
                <w:lang w:val="en-US" w:eastAsia="ru-RU"/>
              </w:rPr>
              <w:t>0</w:t>
            </w:r>
            <w:r w:rsidR="003F560E">
              <w:rPr>
                <w:sz w:val="20"/>
                <w:lang w:val="en-US" w:eastAsia="ru-RU"/>
              </w:rPr>
              <w:t>.</w:t>
            </w:r>
            <w:r w:rsidRPr="000737B4">
              <w:rPr>
                <w:sz w:val="20"/>
                <w:lang w:eastAsia="ru-RU"/>
              </w:rPr>
              <w:t>4</w:t>
            </w:r>
            <w:r w:rsidRPr="000737B4">
              <w:rPr>
                <w:sz w:val="20"/>
                <w:lang w:val="en-US" w:eastAsia="ru-RU"/>
              </w:rPr>
              <w:t>4</w:t>
            </w:r>
          </w:p>
        </w:tc>
        <w:tc>
          <w:tcPr>
            <w:tcW w:w="1541" w:type="dxa"/>
            <w:tcBorders>
              <w:top w:val="single" w:sz="4" w:space="0" w:color="auto"/>
              <w:bottom w:val="single" w:sz="4" w:space="0" w:color="auto"/>
            </w:tcBorders>
          </w:tcPr>
          <w:p w:rsidR="001B191E" w:rsidRPr="000737B4" w:rsidRDefault="001B191E" w:rsidP="003F560E">
            <w:pPr>
              <w:jc w:val="center"/>
              <w:rPr>
                <w:sz w:val="20"/>
                <w:lang w:eastAsia="ru-RU"/>
              </w:rPr>
            </w:pPr>
            <w:r w:rsidRPr="000737B4">
              <w:rPr>
                <w:sz w:val="20"/>
                <w:lang w:val="en-US" w:eastAsia="ru-RU"/>
              </w:rPr>
              <w:t>0</w:t>
            </w:r>
            <w:r w:rsidR="003F560E">
              <w:rPr>
                <w:sz w:val="20"/>
                <w:lang w:val="en-US" w:eastAsia="ru-RU"/>
              </w:rPr>
              <w:t>.</w:t>
            </w:r>
            <w:r w:rsidRPr="000737B4">
              <w:rPr>
                <w:sz w:val="20"/>
                <w:lang w:eastAsia="ru-RU"/>
              </w:rPr>
              <w:t>68</w:t>
            </w:r>
          </w:p>
        </w:tc>
        <w:tc>
          <w:tcPr>
            <w:tcW w:w="1541" w:type="dxa"/>
            <w:tcBorders>
              <w:top w:val="single" w:sz="4" w:space="0" w:color="auto"/>
              <w:bottom w:val="single" w:sz="4" w:space="0" w:color="auto"/>
            </w:tcBorders>
          </w:tcPr>
          <w:p w:rsidR="001B191E" w:rsidRPr="000737B4" w:rsidRDefault="001B191E" w:rsidP="003F560E">
            <w:pPr>
              <w:jc w:val="center"/>
              <w:rPr>
                <w:sz w:val="20"/>
                <w:lang w:val="en-US" w:eastAsia="ru-RU"/>
              </w:rPr>
            </w:pPr>
            <w:r w:rsidRPr="000737B4">
              <w:rPr>
                <w:sz w:val="20"/>
                <w:lang w:val="en-US" w:eastAsia="ru-RU"/>
              </w:rPr>
              <w:t>0</w:t>
            </w:r>
            <w:r w:rsidR="003F560E">
              <w:rPr>
                <w:sz w:val="20"/>
                <w:lang w:val="en-US" w:eastAsia="ru-RU"/>
              </w:rPr>
              <w:t>.</w:t>
            </w:r>
            <w:r w:rsidRPr="000737B4">
              <w:rPr>
                <w:sz w:val="20"/>
                <w:lang w:eastAsia="ru-RU"/>
              </w:rPr>
              <w:t>4</w:t>
            </w:r>
            <w:r w:rsidRPr="000737B4">
              <w:rPr>
                <w:sz w:val="20"/>
                <w:lang w:val="en-US" w:eastAsia="ru-RU"/>
              </w:rPr>
              <w:t>5</w:t>
            </w:r>
          </w:p>
        </w:tc>
      </w:tr>
      <w:tr w:rsidR="001B191E" w:rsidTr="00703D96">
        <w:tc>
          <w:tcPr>
            <w:tcW w:w="1540" w:type="dxa"/>
            <w:tcBorders>
              <w:top w:val="single" w:sz="4" w:space="0" w:color="auto"/>
              <w:bottom w:val="single" w:sz="4" w:space="0" w:color="auto"/>
            </w:tcBorders>
          </w:tcPr>
          <w:p w:rsidR="001B191E" w:rsidRPr="00DE1B64" w:rsidRDefault="00F22DAC" w:rsidP="00DE1B64">
            <w:pPr>
              <w:rPr>
                <w:sz w:val="20"/>
                <w:lang w:eastAsia="ru-RU"/>
              </w:rPr>
            </w:pPr>
            <m:oMathPara>
              <m:oMathParaPr>
                <m:jc m:val="left"/>
              </m:oMathParaPr>
              <m:oMath>
                <m:sSub>
                  <m:sSubPr>
                    <m:ctrlPr>
                      <w:rPr>
                        <w:rFonts w:ascii="Cambria Math" w:hAnsi="Cambria Math"/>
                        <w:i/>
                        <w:color w:val="000000"/>
                        <w:sz w:val="20"/>
                        <w:lang w:val="ru-RU" w:eastAsia="en-GB"/>
                      </w:rPr>
                    </m:ctrlPr>
                  </m:sSubPr>
                  <m:e>
                    <m:r>
                      <w:rPr>
                        <w:rFonts w:ascii="Cambria Math" w:hAnsi="Cambria Math"/>
                        <w:lang w:val="en-US"/>
                      </w:rPr>
                      <m:t>m</m:t>
                    </m:r>
                  </m:e>
                  <m:sub>
                    <m:r>
                      <w:rPr>
                        <w:rFonts w:ascii="Cambria Math" w:hAnsi="Cambria Math"/>
                        <w:color w:val="000000"/>
                        <w:sz w:val="20"/>
                        <w:lang w:val="ru-RU" w:eastAsia="en-GB"/>
                      </w:rPr>
                      <m:t>Pu</m:t>
                    </m:r>
                  </m:sub>
                </m:sSub>
              </m:oMath>
            </m:oMathPara>
          </w:p>
        </w:tc>
        <w:tc>
          <w:tcPr>
            <w:tcW w:w="1540" w:type="dxa"/>
            <w:tcBorders>
              <w:top w:val="single" w:sz="4" w:space="0" w:color="auto"/>
              <w:bottom w:val="single" w:sz="4" w:space="0" w:color="auto"/>
            </w:tcBorders>
          </w:tcPr>
          <w:p w:rsidR="001B191E" w:rsidRPr="000737B4" w:rsidRDefault="001B191E" w:rsidP="00DE1B64">
            <w:pPr>
              <w:jc w:val="center"/>
              <w:rPr>
                <w:sz w:val="20"/>
                <w:lang w:eastAsia="ru-RU"/>
              </w:rPr>
            </w:pPr>
            <w:r w:rsidRPr="000737B4">
              <w:rPr>
                <w:sz w:val="20"/>
                <w:lang w:eastAsia="ru-RU"/>
              </w:rPr>
              <w:t>2</w:t>
            </w:r>
            <w:r w:rsidR="003F560E">
              <w:rPr>
                <w:sz w:val="20"/>
                <w:lang w:val="en-US" w:eastAsia="ru-RU"/>
              </w:rPr>
              <w:t>.</w:t>
            </w:r>
            <w:r w:rsidRPr="000737B4">
              <w:rPr>
                <w:sz w:val="20"/>
                <w:lang w:eastAsia="ru-RU"/>
              </w:rPr>
              <w:t>13</w:t>
            </w:r>
          </w:p>
        </w:tc>
        <w:tc>
          <w:tcPr>
            <w:tcW w:w="1540" w:type="dxa"/>
            <w:tcBorders>
              <w:top w:val="single" w:sz="4" w:space="0" w:color="auto"/>
              <w:bottom w:val="single" w:sz="4" w:space="0" w:color="auto"/>
            </w:tcBorders>
          </w:tcPr>
          <w:p w:rsidR="001B191E" w:rsidRPr="000737B4" w:rsidRDefault="001B191E" w:rsidP="003F560E">
            <w:pPr>
              <w:jc w:val="center"/>
              <w:rPr>
                <w:sz w:val="20"/>
                <w:lang w:eastAsia="ru-RU"/>
              </w:rPr>
            </w:pPr>
            <w:r w:rsidRPr="000737B4">
              <w:rPr>
                <w:sz w:val="20"/>
                <w:lang w:eastAsia="ru-RU"/>
              </w:rPr>
              <w:t>3</w:t>
            </w:r>
            <w:r w:rsidR="003F560E">
              <w:rPr>
                <w:sz w:val="20"/>
                <w:lang w:val="en-US" w:eastAsia="ru-RU"/>
              </w:rPr>
              <w:t>.</w:t>
            </w:r>
            <w:r w:rsidRPr="000737B4">
              <w:rPr>
                <w:sz w:val="20"/>
                <w:lang w:eastAsia="ru-RU"/>
              </w:rPr>
              <w:t>36</w:t>
            </w:r>
          </w:p>
        </w:tc>
        <w:tc>
          <w:tcPr>
            <w:tcW w:w="1541" w:type="dxa"/>
            <w:tcBorders>
              <w:top w:val="single" w:sz="4" w:space="0" w:color="auto"/>
              <w:bottom w:val="single" w:sz="4" w:space="0" w:color="auto"/>
            </w:tcBorders>
          </w:tcPr>
          <w:p w:rsidR="001B191E" w:rsidRPr="000737B4" w:rsidRDefault="001B191E" w:rsidP="003F560E">
            <w:pPr>
              <w:jc w:val="center"/>
              <w:rPr>
                <w:sz w:val="20"/>
                <w:lang w:eastAsia="ru-RU"/>
              </w:rPr>
            </w:pPr>
            <w:r w:rsidRPr="000737B4">
              <w:rPr>
                <w:sz w:val="20"/>
                <w:lang w:eastAsia="ru-RU"/>
              </w:rPr>
              <w:t>4</w:t>
            </w:r>
            <w:r w:rsidR="003F560E">
              <w:rPr>
                <w:sz w:val="20"/>
                <w:lang w:val="en-US" w:eastAsia="ru-RU"/>
              </w:rPr>
              <w:t>.</w:t>
            </w:r>
            <w:r w:rsidRPr="000737B4">
              <w:rPr>
                <w:sz w:val="20"/>
                <w:lang w:eastAsia="ru-RU"/>
              </w:rPr>
              <w:t>69</w:t>
            </w:r>
          </w:p>
        </w:tc>
        <w:tc>
          <w:tcPr>
            <w:tcW w:w="1541" w:type="dxa"/>
            <w:tcBorders>
              <w:top w:val="single" w:sz="4" w:space="0" w:color="auto"/>
              <w:bottom w:val="single" w:sz="4" w:space="0" w:color="auto"/>
            </w:tcBorders>
          </w:tcPr>
          <w:p w:rsidR="001B191E" w:rsidRPr="000737B4" w:rsidRDefault="001B191E" w:rsidP="003F560E">
            <w:pPr>
              <w:jc w:val="center"/>
              <w:rPr>
                <w:sz w:val="20"/>
                <w:lang w:val="en-US" w:eastAsia="ru-RU"/>
              </w:rPr>
            </w:pPr>
            <w:r w:rsidRPr="000737B4">
              <w:rPr>
                <w:sz w:val="20"/>
                <w:lang w:val="en-US" w:eastAsia="ru-RU"/>
              </w:rPr>
              <w:t>5</w:t>
            </w:r>
            <w:r w:rsidR="003F560E">
              <w:rPr>
                <w:sz w:val="20"/>
                <w:lang w:val="en-US" w:eastAsia="ru-RU"/>
              </w:rPr>
              <w:t>.</w:t>
            </w:r>
            <w:r w:rsidRPr="000737B4">
              <w:rPr>
                <w:sz w:val="20"/>
                <w:lang w:val="en-US" w:eastAsia="ru-RU"/>
              </w:rPr>
              <w:t>16</w:t>
            </w:r>
          </w:p>
        </w:tc>
        <w:tc>
          <w:tcPr>
            <w:tcW w:w="1541" w:type="dxa"/>
            <w:tcBorders>
              <w:top w:val="single" w:sz="4" w:space="0" w:color="auto"/>
              <w:bottom w:val="single" w:sz="4" w:space="0" w:color="auto"/>
            </w:tcBorders>
          </w:tcPr>
          <w:p w:rsidR="001B191E" w:rsidRPr="000737B4" w:rsidRDefault="001B191E" w:rsidP="003F560E">
            <w:pPr>
              <w:jc w:val="center"/>
              <w:rPr>
                <w:sz w:val="20"/>
                <w:lang w:val="en-US" w:eastAsia="ru-RU"/>
              </w:rPr>
            </w:pPr>
            <w:r w:rsidRPr="000737B4">
              <w:rPr>
                <w:sz w:val="20"/>
                <w:lang w:eastAsia="ru-RU"/>
              </w:rPr>
              <w:t>2</w:t>
            </w:r>
            <w:r w:rsidR="003F560E">
              <w:rPr>
                <w:sz w:val="20"/>
                <w:lang w:val="en-US" w:eastAsia="ru-RU"/>
              </w:rPr>
              <w:t>.</w:t>
            </w:r>
            <w:r w:rsidRPr="000737B4">
              <w:rPr>
                <w:sz w:val="20"/>
                <w:lang w:eastAsia="ru-RU"/>
              </w:rPr>
              <w:t>4</w:t>
            </w:r>
            <w:r w:rsidRPr="000737B4">
              <w:rPr>
                <w:sz w:val="20"/>
                <w:lang w:val="en-US" w:eastAsia="ru-RU"/>
              </w:rPr>
              <w:t>5</w:t>
            </w:r>
          </w:p>
        </w:tc>
      </w:tr>
      <w:tr w:rsidR="001B191E" w:rsidTr="00703D96">
        <w:tc>
          <w:tcPr>
            <w:tcW w:w="1540" w:type="dxa"/>
            <w:tcBorders>
              <w:top w:val="single" w:sz="4" w:space="0" w:color="auto"/>
              <w:bottom w:val="single" w:sz="4" w:space="0" w:color="auto"/>
            </w:tcBorders>
          </w:tcPr>
          <w:p w:rsidR="001B191E" w:rsidRPr="00DE1B64" w:rsidRDefault="00F22DAC" w:rsidP="00DE1B64">
            <w:pPr>
              <w:rPr>
                <w:sz w:val="20"/>
                <w:lang w:val="en-US" w:eastAsia="ru-RU"/>
              </w:rPr>
            </w:pPr>
            <m:oMathPara>
              <m:oMathParaPr>
                <m:jc m:val="left"/>
              </m:oMathParaPr>
              <m:oMath>
                <m:sSub>
                  <m:sSubPr>
                    <m:ctrlPr>
                      <w:rPr>
                        <w:rFonts w:ascii="Cambria Math" w:hAnsi="Cambria Math"/>
                        <w:i/>
                        <w:color w:val="000000"/>
                        <w:sz w:val="20"/>
                        <w:lang w:val="ru-RU" w:eastAsia="en-GB"/>
                      </w:rPr>
                    </m:ctrlPr>
                  </m:sSubPr>
                  <m:e>
                    <m:r>
                      <w:rPr>
                        <w:rFonts w:ascii="Cambria Math" w:hAnsi="Cambria Math"/>
                        <w:lang w:val="en-US"/>
                      </w:rPr>
                      <m:t>m</m:t>
                    </m:r>
                  </m:e>
                  <m:sub>
                    <m:r>
                      <w:rPr>
                        <w:rFonts w:ascii="Cambria Math" w:hAnsi="Cambria Math"/>
                        <w:color w:val="000000"/>
                        <w:sz w:val="20"/>
                        <w:lang w:val="ru-RU" w:eastAsia="en-GB"/>
                      </w:rPr>
                      <m:t>MA</m:t>
                    </m:r>
                  </m:sub>
                </m:sSub>
              </m:oMath>
            </m:oMathPara>
          </w:p>
        </w:tc>
        <w:tc>
          <w:tcPr>
            <w:tcW w:w="1540" w:type="dxa"/>
            <w:tcBorders>
              <w:top w:val="single" w:sz="4" w:space="0" w:color="auto"/>
              <w:bottom w:val="single" w:sz="4" w:space="0" w:color="auto"/>
            </w:tcBorders>
          </w:tcPr>
          <w:p w:rsidR="001B191E" w:rsidRPr="000737B4" w:rsidRDefault="003F560E" w:rsidP="00DE1B64">
            <w:pPr>
              <w:jc w:val="center"/>
              <w:rPr>
                <w:sz w:val="20"/>
                <w:lang w:val="en-US" w:eastAsia="ru-RU"/>
              </w:rPr>
            </w:pPr>
            <w:r>
              <w:rPr>
                <w:color w:val="000000"/>
                <w:sz w:val="20"/>
                <w:lang w:val="en-US" w:eastAsia="ru-RU"/>
              </w:rPr>
              <w:t>0.</w:t>
            </w:r>
            <w:r w:rsidR="001B191E" w:rsidRPr="000737B4">
              <w:rPr>
                <w:color w:val="000000"/>
                <w:sz w:val="20"/>
                <w:lang w:eastAsia="ru-RU"/>
              </w:rPr>
              <w:t>9</w:t>
            </w:r>
            <w:r w:rsidR="001B191E" w:rsidRPr="000737B4">
              <w:rPr>
                <w:color w:val="000000"/>
                <w:sz w:val="20"/>
                <w:lang w:val="en-US" w:eastAsia="ru-RU"/>
              </w:rPr>
              <w:t>2</w:t>
            </w:r>
          </w:p>
        </w:tc>
        <w:tc>
          <w:tcPr>
            <w:tcW w:w="1540" w:type="dxa"/>
            <w:tcBorders>
              <w:top w:val="single" w:sz="4" w:space="0" w:color="auto"/>
              <w:bottom w:val="single" w:sz="4" w:space="0" w:color="auto"/>
            </w:tcBorders>
          </w:tcPr>
          <w:p w:rsidR="001B191E" w:rsidRPr="000737B4" w:rsidRDefault="001B191E" w:rsidP="003F560E">
            <w:pPr>
              <w:jc w:val="center"/>
              <w:rPr>
                <w:sz w:val="20"/>
                <w:lang w:val="en-US" w:eastAsia="ru-RU"/>
              </w:rPr>
            </w:pPr>
            <w:r w:rsidRPr="000737B4">
              <w:rPr>
                <w:sz w:val="20"/>
                <w:lang w:val="en-US" w:eastAsia="ru-RU"/>
              </w:rPr>
              <w:t>1</w:t>
            </w:r>
            <w:r w:rsidR="003F560E">
              <w:rPr>
                <w:sz w:val="20"/>
                <w:lang w:val="en-US" w:eastAsia="ru-RU"/>
              </w:rPr>
              <w:t>.</w:t>
            </w:r>
            <w:r w:rsidRPr="000737B4">
              <w:rPr>
                <w:sz w:val="20"/>
                <w:lang w:val="en-US" w:eastAsia="ru-RU"/>
              </w:rPr>
              <w:t>78</w:t>
            </w:r>
          </w:p>
        </w:tc>
        <w:tc>
          <w:tcPr>
            <w:tcW w:w="1541" w:type="dxa"/>
            <w:tcBorders>
              <w:top w:val="single" w:sz="4" w:space="0" w:color="auto"/>
              <w:bottom w:val="single" w:sz="4" w:space="0" w:color="auto"/>
            </w:tcBorders>
          </w:tcPr>
          <w:p w:rsidR="001B191E" w:rsidRPr="000737B4" w:rsidRDefault="001B191E" w:rsidP="003F560E">
            <w:pPr>
              <w:jc w:val="center"/>
              <w:rPr>
                <w:sz w:val="20"/>
                <w:lang w:val="en-US" w:eastAsia="ru-RU"/>
              </w:rPr>
            </w:pPr>
            <w:r w:rsidRPr="000737B4">
              <w:rPr>
                <w:sz w:val="20"/>
                <w:lang w:val="en-US" w:eastAsia="ru-RU"/>
              </w:rPr>
              <w:t>3</w:t>
            </w:r>
            <w:r w:rsidR="003F560E">
              <w:rPr>
                <w:sz w:val="20"/>
                <w:lang w:val="en-US" w:eastAsia="ru-RU"/>
              </w:rPr>
              <w:t>.</w:t>
            </w:r>
            <w:r w:rsidRPr="000737B4">
              <w:rPr>
                <w:sz w:val="20"/>
                <w:lang w:val="en-US" w:eastAsia="ru-RU"/>
              </w:rPr>
              <w:t>36</w:t>
            </w:r>
          </w:p>
        </w:tc>
        <w:tc>
          <w:tcPr>
            <w:tcW w:w="1541" w:type="dxa"/>
            <w:tcBorders>
              <w:top w:val="single" w:sz="4" w:space="0" w:color="auto"/>
              <w:bottom w:val="single" w:sz="4" w:space="0" w:color="auto"/>
            </w:tcBorders>
          </w:tcPr>
          <w:p w:rsidR="001B191E" w:rsidRPr="000737B4" w:rsidRDefault="001B191E" w:rsidP="003F560E">
            <w:pPr>
              <w:jc w:val="center"/>
              <w:rPr>
                <w:sz w:val="20"/>
                <w:lang w:val="en-US" w:eastAsia="ru-RU"/>
              </w:rPr>
            </w:pPr>
            <w:r w:rsidRPr="000737B4">
              <w:rPr>
                <w:sz w:val="20"/>
                <w:lang w:val="en-US" w:eastAsia="ru-RU"/>
              </w:rPr>
              <w:t>9</w:t>
            </w:r>
            <w:r w:rsidR="003F560E">
              <w:rPr>
                <w:sz w:val="20"/>
                <w:lang w:val="en-US" w:eastAsia="ru-RU"/>
              </w:rPr>
              <w:t>.</w:t>
            </w:r>
            <w:r w:rsidRPr="000737B4">
              <w:rPr>
                <w:sz w:val="20"/>
                <w:lang w:val="en-US" w:eastAsia="ru-RU"/>
              </w:rPr>
              <w:t>78</w:t>
            </w:r>
          </w:p>
        </w:tc>
        <w:tc>
          <w:tcPr>
            <w:tcW w:w="1541" w:type="dxa"/>
            <w:tcBorders>
              <w:top w:val="single" w:sz="4" w:space="0" w:color="auto"/>
              <w:bottom w:val="single" w:sz="4" w:space="0" w:color="auto"/>
            </w:tcBorders>
          </w:tcPr>
          <w:p w:rsidR="001B191E" w:rsidRPr="000737B4" w:rsidRDefault="001B191E" w:rsidP="003F560E">
            <w:pPr>
              <w:jc w:val="center"/>
              <w:rPr>
                <w:sz w:val="20"/>
                <w:lang w:val="en-US" w:eastAsia="ru-RU"/>
              </w:rPr>
            </w:pPr>
            <w:r w:rsidRPr="000737B4">
              <w:rPr>
                <w:sz w:val="20"/>
                <w:lang w:eastAsia="ru-RU"/>
              </w:rPr>
              <w:t>26</w:t>
            </w:r>
            <w:r w:rsidR="003F560E">
              <w:rPr>
                <w:sz w:val="20"/>
                <w:lang w:val="en-US" w:eastAsia="ru-RU"/>
              </w:rPr>
              <w:t>.</w:t>
            </w:r>
            <w:r w:rsidRPr="000737B4">
              <w:rPr>
                <w:sz w:val="20"/>
                <w:lang w:eastAsia="ru-RU"/>
              </w:rPr>
              <w:t>5</w:t>
            </w:r>
            <w:r w:rsidRPr="000737B4">
              <w:rPr>
                <w:sz w:val="20"/>
                <w:lang w:val="en-US" w:eastAsia="ru-RU"/>
              </w:rPr>
              <w:t>4</w:t>
            </w:r>
          </w:p>
        </w:tc>
      </w:tr>
      <w:tr w:rsidR="001B191E" w:rsidTr="00703D96">
        <w:tc>
          <w:tcPr>
            <w:tcW w:w="1540" w:type="dxa"/>
            <w:tcBorders>
              <w:top w:val="single" w:sz="4" w:space="0" w:color="auto"/>
              <w:bottom w:val="single" w:sz="4" w:space="0" w:color="auto"/>
            </w:tcBorders>
          </w:tcPr>
          <w:p w:rsidR="001B191E" w:rsidRPr="00DE1B64" w:rsidRDefault="00F22DAC" w:rsidP="00DE1B64">
            <w:pPr>
              <w:rPr>
                <w:sz w:val="20"/>
                <w:lang w:val="en-US" w:eastAsia="ru-RU"/>
              </w:rPr>
            </w:pPr>
            <m:oMathPara>
              <m:oMathParaPr>
                <m:jc m:val="left"/>
              </m:oMathParaPr>
              <m:oMath>
                <m:sSub>
                  <m:sSubPr>
                    <m:ctrlPr>
                      <w:rPr>
                        <w:rFonts w:ascii="Cambria Math" w:hAnsi="Cambria Math"/>
                        <w:i/>
                        <w:color w:val="000000"/>
                        <w:sz w:val="20"/>
                        <w:lang w:val="ru-RU" w:eastAsia="en-GB"/>
                      </w:rPr>
                    </m:ctrlPr>
                  </m:sSubPr>
                  <m:e>
                    <m:r>
                      <w:rPr>
                        <w:rFonts w:ascii="Cambria Math" w:hAnsi="Cambria Math"/>
                        <w:lang w:val="en-US"/>
                      </w:rPr>
                      <m:t>m</m:t>
                    </m:r>
                  </m:e>
                  <m:sub>
                    <m:r>
                      <w:rPr>
                        <w:rFonts w:ascii="Cambria Math" w:hAnsi="Cambria Math"/>
                        <w:color w:val="000000"/>
                        <w:sz w:val="20"/>
                        <w:lang w:val="ru-RU" w:eastAsia="en-GB"/>
                      </w:rPr>
                      <m:t>Np</m:t>
                    </m:r>
                  </m:sub>
                </m:sSub>
              </m:oMath>
            </m:oMathPara>
          </w:p>
        </w:tc>
        <w:tc>
          <w:tcPr>
            <w:tcW w:w="1540" w:type="dxa"/>
            <w:tcBorders>
              <w:top w:val="single" w:sz="4" w:space="0" w:color="auto"/>
              <w:bottom w:val="single" w:sz="4" w:space="0" w:color="auto"/>
            </w:tcBorders>
          </w:tcPr>
          <w:p w:rsidR="001B191E" w:rsidRPr="000737B4" w:rsidRDefault="003F560E" w:rsidP="00DE1B64">
            <w:pPr>
              <w:jc w:val="center"/>
              <w:rPr>
                <w:sz w:val="20"/>
                <w:lang w:eastAsia="ru-RU"/>
              </w:rPr>
            </w:pPr>
            <w:r>
              <w:rPr>
                <w:color w:val="000000"/>
                <w:sz w:val="20"/>
                <w:lang w:val="en-US" w:eastAsia="ru-RU"/>
              </w:rPr>
              <w:t>0.</w:t>
            </w:r>
            <w:r w:rsidR="001B191E" w:rsidRPr="000737B4">
              <w:rPr>
                <w:color w:val="000000"/>
                <w:sz w:val="20"/>
                <w:lang w:eastAsia="ru-RU"/>
              </w:rPr>
              <w:t>14</w:t>
            </w:r>
          </w:p>
        </w:tc>
        <w:tc>
          <w:tcPr>
            <w:tcW w:w="1540" w:type="dxa"/>
            <w:tcBorders>
              <w:top w:val="single" w:sz="4" w:space="0" w:color="auto"/>
              <w:bottom w:val="single" w:sz="4" w:space="0" w:color="auto"/>
            </w:tcBorders>
          </w:tcPr>
          <w:p w:rsidR="001B191E" w:rsidRPr="000737B4" w:rsidRDefault="001B191E" w:rsidP="003F560E">
            <w:pPr>
              <w:jc w:val="center"/>
              <w:rPr>
                <w:sz w:val="20"/>
                <w:lang w:eastAsia="ru-RU"/>
              </w:rPr>
            </w:pPr>
            <w:r w:rsidRPr="000737B4">
              <w:rPr>
                <w:color w:val="000000"/>
                <w:sz w:val="20"/>
                <w:lang w:val="en-US" w:eastAsia="ru-RU"/>
              </w:rPr>
              <w:t>0</w:t>
            </w:r>
            <w:r w:rsidR="003F560E">
              <w:rPr>
                <w:color w:val="000000"/>
                <w:sz w:val="20"/>
                <w:lang w:val="en-US" w:eastAsia="ru-RU"/>
              </w:rPr>
              <w:t>.</w:t>
            </w:r>
            <w:r w:rsidRPr="000737B4">
              <w:rPr>
                <w:color w:val="000000"/>
                <w:sz w:val="20"/>
                <w:lang w:eastAsia="ru-RU"/>
              </w:rPr>
              <w:t>3</w:t>
            </w:r>
            <w:r w:rsidRPr="000737B4">
              <w:rPr>
                <w:color w:val="000000"/>
                <w:sz w:val="20"/>
                <w:lang w:val="en-US" w:eastAsia="ru-RU"/>
              </w:rPr>
              <w:t>9</w:t>
            </w:r>
          </w:p>
        </w:tc>
        <w:tc>
          <w:tcPr>
            <w:tcW w:w="1541" w:type="dxa"/>
            <w:tcBorders>
              <w:top w:val="single" w:sz="4" w:space="0" w:color="auto"/>
              <w:bottom w:val="single" w:sz="4" w:space="0" w:color="auto"/>
            </w:tcBorders>
          </w:tcPr>
          <w:p w:rsidR="001B191E" w:rsidRPr="000737B4" w:rsidRDefault="001B191E" w:rsidP="003F560E">
            <w:pPr>
              <w:jc w:val="center"/>
              <w:rPr>
                <w:sz w:val="20"/>
                <w:lang w:eastAsia="ru-RU"/>
              </w:rPr>
            </w:pPr>
            <w:r w:rsidRPr="000737B4">
              <w:rPr>
                <w:color w:val="000000"/>
                <w:sz w:val="20"/>
                <w:lang w:val="en-US" w:eastAsia="ru-RU"/>
              </w:rPr>
              <w:t>0</w:t>
            </w:r>
            <w:r w:rsidR="003F560E">
              <w:rPr>
                <w:color w:val="000000"/>
                <w:sz w:val="20"/>
                <w:lang w:val="en-US" w:eastAsia="ru-RU"/>
              </w:rPr>
              <w:t>.</w:t>
            </w:r>
            <w:r w:rsidRPr="000737B4">
              <w:rPr>
                <w:color w:val="000000"/>
                <w:sz w:val="20"/>
                <w:lang w:eastAsia="ru-RU"/>
              </w:rPr>
              <w:t>9</w:t>
            </w:r>
            <w:r w:rsidRPr="000737B4">
              <w:rPr>
                <w:color w:val="000000"/>
                <w:sz w:val="20"/>
                <w:lang w:val="en-US" w:eastAsia="ru-RU"/>
              </w:rPr>
              <w:t>3</w:t>
            </w:r>
          </w:p>
        </w:tc>
        <w:tc>
          <w:tcPr>
            <w:tcW w:w="1541" w:type="dxa"/>
            <w:tcBorders>
              <w:top w:val="single" w:sz="4" w:space="0" w:color="auto"/>
              <w:bottom w:val="single" w:sz="4" w:space="0" w:color="auto"/>
            </w:tcBorders>
          </w:tcPr>
          <w:p w:rsidR="001B191E" w:rsidRPr="000737B4" w:rsidRDefault="001B191E" w:rsidP="003F560E">
            <w:pPr>
              <w:jc w:val="center"/>
              <w:rPr>
                <w:sz w:val="20"/>
                <w:lang w:val="en-US" w:eastAsia="ru-RU"/>
              </w:rPr>
            </w:pPr>
            <w:r w:rsidRPr="000737B4">
              <w:rPr>
                <w:sz w:val="20"/>
                <w:lang w:val="en-US" w:eastAsia="ru-RU"/>
              </w:rPr>
              <w:t>3</w:t>
            </w:r>
            <w:r w:rsidR="003F560E">
              <w:rPr>
                <w:sz w:val="20"/>
                <w:lang w:val="en-US" w:eastAsia="ru-RU"/>
              </w:rPr>
              <w:t>.</w:t>
            </w:r>
            <w:r w:rsidRPr="000737B4">
              <w:rPr>
                <w:sz w:val="20"/>
                <w:lang w:val="en-US" w:eastAsia="ru-RU"/>
              </w:rPr>
              <w:t>49</w:t>
            </w:r>
          </w:p>
        </w:tc>
        <w:tc>
          <w:tcPr>
            <w:tcW w:w="1541" w:type="dxa"/>
            <w:tcBorders>
              <w:top w:val="single" w:sz="4" w:space="0" w:color="auto"/>
              <w:bottom w:val="single" w:sz="4" w:space="0" w:color="auto"/>
            </w:tcBorders>
          </w:tcPr>
          <w:p w:rsidR="001B191E" w:rsidRPr="000737B4" w:rsidRDefault="001B191E" w:rsidP="003F560E">
            <w:pPr>
              <w:jc w:val="center"/>
              <w:rPr>
                <w:sz w:val="20"/>
                <w:lang w:eastAsia="ru-RU"/>
              </w:rPr>
            </w:pPr>
            <w:r w:rsidRPr="000737B4">
              <w:rPr>
                <w:sz w:val="20"/>
                <w:lang w:eastAsia="ru-RU"/>
              </w:rPr>
              <w:t>10</w:t>
            </w:r>
            <w:r w:rsidR="003F560E">
              <w:rPr>
                <w:sz w:val="20"/>
                <w:lang w:val="en-US" w:eastAsia="ru-RU"/>
              </w:rPr>
              <w:t>.</w:t>
            </w:r>
            <w:r w:rsidRPr="000737B4">
              <w:rPr>
                <w:sz w:val="20"/>
                <w:lang w:eastAsia="ru-RU"/>
              </w:rPr>
              <w:t>52</w:t>
            </w:r>
          </w:p>
        </w:tc>
      </w:tr>
      <w:tr w:rsidR="001B191E" w:rsidTr="00703D96">
        <w:tc>
          <w:tcPr>
            <w:tcW w:w="1540" w:type="dxa"/>
            <w:tcBorders>
              <w:top w:val="single" w:sz="4" w:space="0" w:color="auto"/>
              <w:bottom w:val="single" w:sz="4" w:space="0" w:color="auto"/>
            </w:tcBorders>
          </w:tcPr>
          <w:p w:rsidR="001B191E" w:rsidRPr="00DE1B64" w:rsidRDefault="00F22DAC" w:rsidP="00DE1B64">
            <w:pPr>
              <w:rPr>
                <w:sz w:val="20"/>
                <w:lang w:val="en-US" w:eastAsia="ru-RU"/>
              </w:rPr>
            </w:pPr>
            <m:oMathPara>
              <m:oMathParaPr>
                <m:jc m:val="left"/>
              </m:oMathParaPr>
              <m:oMath>
                <m:sSub>
                  <m:sSubPr>
                    <m:ctrlPr>
                      <w:rPr>
                        <w:rFonts w:ascii="Cambria Math" w:hAnsi="Cambria Math"/>
                        <w:i/>
                        <w:color w:val="000000"/>
                        <w:sz w:val="20"/>
                        <w:lang w:val="ru-RU" w:eastAsia="en-GB"/>
                      </w:rPr>
                    </m:ctrlPr>
                  </m:sSubPr>
                  <m:e>
                    <m:r>
                      <w:rPr>
                        <w:rFonts w:ascii="Cambria Math" w:hAnsi="Cambria Math"/>
                        <w:lang w:val="en-US"/>
                      </w:rPr>
                      <m:t>m</m:t>
                    </m:r>
                  </m:e>
                  <m:sub>
                    <m:r>
                      <w:rPr>
                        <w:rFonts w:ascii="Cambria Math" w:hAnsi="Cambria Math"/>
                        <w:color w:val="000000"/>
                        <w:sz w:val="20"/>
                        <w:lang w:val="ru-RU" w:eastAsia="en-GB"/>
                      </w:rPr>
                      <m:t>Am</m:t>
                    </m:r>
                  </m:sub>
                </m:sSub>
              </m:oMath>
            </m:oMathPara>
          </w:p>
        </w:tc>
        <w:tc>
          <w:tcPr>
            <w:tcW w:w="1540" w:type="dxa"/>
            <w:tcBorders>
              <w:top w:val="single" w:sz="4" w:space="0" w:color="auto"/>
              <w:bottom w:val="single" w:sz="4" w:space="0" w:color="auto"/>
            </w:tcBorders>
          </w:tcPr>
          <w:p w:rsidR="001B191E" w:rsidRPr="000737B4" w:rsidRDefault="003F560E" w:rsidP="00DE1B64">
            <w:pPr>
              <w:jc w:val="center"/>
              <w:rPr>
                <w:color w:val="000000"/>
                <w:sz w:val="20"/>
                <w:lang w:eastAsia="ru-RU"/>
              </w:rPr>
            </w:pPr>
            <w:r>
              <w:rPr>
                <w:color w:val="000000"/>
                <w:sz w:val="20"/>
                <w:lang w:val="en-US" w:eastAsia="ru-RU"/>
              </w:rPr>
              <w:t>0.</w:t>
            </w:r>
            <w:r w:rsidR="001B191E" w:rsidRPr="000737B4">
              <w:rPr>
                <w:color w:val="000000"/>
                <w:sz w:val="20"/>
                <w:lang w:eastAsia="ru-RU"/>
              </w:rPr>
              <w:t>35</w:t>
            </w:r>
          </w:p>
        </w:tc>
        <w:tc>
          <w:tcPr>
            <w:tcW w:w="1540" w:type="dxa"/>
            <w:tcBorders>
              <w:top w:val="single" w:sz="4" w:space="0" w:color="auto"/>
              <w:bottom w:val="single" w:sz="4" w:space="0" w:color="auto"/>
            </w:tcBorders>
          </w:tcPr>
          <w:p w:rsidR="001B191E" w:rsidRPr="000737B4" w:rsidRDefault="001B191E" w:rsidP="003F560E">
            <w:pPr>
              <w:jc w:val="center"/>
              <w:rPr>
                <w:sz w:val="20"/>
                <w:lang w:val="en-US" w:eastAsia="ru-RU"/>
              </w:rPr>
            </w:pPr>
            <w:r w:rsidRPr="000737B4">
              <w:rPr>
                <w:sz w:val="20"/>
                <w:lang w:val="en-US" w:eastAsia="ru-RU"/>
              </w:rPr>
              <w:t>0</w:t>
            </w:r>
            <w:r w:rsidR="003F560E">
              <w:rPr>
                <w:sz w:val="20"/>
                <w:lang w:val="en-US" w:eastAsia="ru-RU"/>
              </w:rPr>
              <w:t>.</w:t>
            </w:r>
            <w:r w:rsidRPr="000737B4">
              <w:rPr>
                <w:sz w:val="20"/>
                <w:lang w:eastAsia="ru-RU"/>
              </w:rPr>
              <w:t>7</w:t>
            </w:r>
            <w:r w:rsidRPr="000737B4">
              <w:rPr>
                <w:sz w:val="20"/>
                <w:lang w:val="en-US" w:eastAsia="ru-RU"/>
              </w:rPr>
              <w:t>8</w:t>
            </w:r>
          </w:p>
        </w:tc>
        <w:tc>
          <w:tcPr>
            <w:tcW w:w="1541" w:type="dxa"/>
            <w:tcBorders>
              <w:top w:val="single" w:sz="4" w:space="0" w:color="auto"/>
              <w:bottom w:val="single" w:sz="4" w:space="0" w:color="auto"/>
            </w:tcBorders>
          </w:tcPr>
          <w:p w:rsidR="001B191E" w:rsidRPr="000737B4" w:rsidRDefault="001B191E" w:rsidP="003F560E">
            <w:pPr>
              <w:jc w:val="center"/>
              <w:rPr>
                <w:sz w:val="20"/>
                <w:lang w:eastAsia="ru-RU"/>
              </w:rPr>
            </w:pPr>
            <w:r w:rsidRPr="000737B4">
              <w:rPr>
                <w:sz w:val="20"/>
                <w:lang w:eastAsia="ru-RU"/>
              </w:rPr>
              <w:t>1</w:t>
            </w:r>
            <w:r w:rsidR="003F560E">
              <w:rPr>
                <w:sz w:val="20"/>
                <w:lang w:val="en-US" w:eastAsia="ru-RU"/>
              </w:rPr>
              <w:t>.</w:t>
            </w:r>
            <w:r w:rsidRPr="000737B4">
              <w:rPr>
                <w:sz w:val="20"/>
                <w:lang w:eastAsia="ru-RU"/>
              </w:rPr>
              <w:t>6</w:t>
            </w:r>
            <w:r w:rsidRPr="000737B4">
              <w:rPr>
                <w:sz w:val="20"/>
                <w:lang w:val="en-US" w:eastAsia="ru-RU"/>
              </w:rPr>
              <w:t>1</w:t>
            </w:r>
          </w:p>
        </w:tc>
        <w:tc>
          <w:tcPr>
            <w:tcW w:w="1541" w:type="dxa"/>
            <w:tcBorders>
              <w:top w:val="single" w:sz="4" w:space="0" w:color="auto"/>
              <w:bottom w:val="single" w:sz="4" w:space="0" w:color="auto"/>
            </w:tcBorders>
          </w:tcPr>
          <w:p w:rsidR="001B191E" w:rsidRPr="000737B4" w:rsidRDefault="001B191E" w:rsidP="003F560E">
            <w:pPr>
              <w:jc w:val="center"/>
              <w:rPr>
                <w:sz w:val="20"/>
                <w:lang w:val="en-US" w:eastAsia="ru-RU"/>
              </w:rPr>
            </w:pPr>
            <w:r w:rsidRPr="000737B4">
              <w:rPr>
                <w:sz w:val="20"/>
                <w:lang w:val="en-US" w:eastAsia="ru-RU"/>
              </w:rPr>
              <w:t>5</w:t>
            </w:r>
            <w:r w:rsidR="003F560E">
              <w:rPr>
                <w:sz w:val="20"/>
                <w:lang w:val="en-US" w:eastAsia="ru-RU"/>
              </w:rPr>
              <w:t>.</w:t>
            </w:r>
            <w:r w:rsidRPr="000737B4">
              <w:rPr>
                <w:sz w:val="20"/>
                <w:lang w:val="en-US" w:eastAsia="ru-RU"/>
              </w:rPr>
              <w:t>21</w:t>
            </w:r>
          </w:p>
        </w:tc>
        <w:tc>
          <w:tcPr>
            <w:tcW w:w="1541" w:type="dxa"/>
            <w:tcBorders>
              <w:top w:val="single" w:sz="4" w:space="0" w:color="auto"/>
              <w:bottom w:val="single" w:sz="4" w:space="0" w:color="auto"/>
            </w:tcBorders>
          </w:tcPr>
          <w:p w:rsidR="001B191E" w:rsidRPr="000737B4" w:rsidRDefault="001B191E" w:rsidP="003F560E">
            <w:pPr>
              <w:jc w:val="center"/>
              <w:rPr>
                <w:sz w:val="20"/>
                <w:lang w:eastAsia="ru-RU"/>
              </w:rPr>
            </w:pPr>
            <w:r w:rsidRPr="000737B4">
              <w:rPr>
                <w:sz w:val="20"/>
                <w:lang w:eastAsia="ru-RU"/>
              </w:rPr>
              <w:t>14</w:t>
            </w:r>
            <w:r w:rsidR="003F560E">
              <w:rPr>
                <w:sz w:val="20"/>
                <w:lang w:val="en-US" w:eastAsia="ru-RU"/>
              </w:rPr>
              <w:t>.</w:t>
            </w:r>
            <w:r w:rsidRPr="000737B4">
              <w:rPr>
                <w:sz w:val="20"/>
                <w:lang w:eastAsia="ru-RU"/>
              </w:rPr>
              <w:t>58</w:t>
            </w:r>
          </w:p>
        </w:tc>
      </w:tr>
      <w:tr w:rsidR="001B191E" w:rsidTr="00703D96">
        <w:tc>
          <w:tcPr>
            <w:tcW w:w="1540" w:type="dxa"/>
            <w:tcBorders>
              <w:top w:val="single" w:sz="4" w:space="0" w:color="auto"/>
              <w:bottom w:val="single" w:sz="4" w:space="0" w:color="auto"/>
            </w:tcBorders>
          </w:tcPr>
          <w:p w:rsidR="001B191E" w:rsidRPr="00DE1B64" w:rsidRDefault="00F22DAC" w:rsidP="00DE1B64">
            <w:pPr>
              <w:rPr>
                <w:sz w:val="20"/>
                <w:lang w:val="en-US" w:eastAsia="ru-RU"/>
              </w:rPr>
            </w:pPr>
            <m:oMathPara>
              <m:oMathParaPr>
                <m:jc m:val="left"/>
              </m:oMathParaPr>
              <m:oMath>
                <m:sSub>
                  <m:sSubPr>
                    <m:ctrlPr>
                      <w:rPr>
                        <w:rFonts w:ascii="Cambria Math" w:hAnsi="Cambria Math"/>
                        <w:i/>
                        <w:color w:val="000000"/>
                        <w:sz w:val="20"/>
                        <w:lang w:val="ru-RU" w:eastAsia="en-GB"/>
                      </w:rPr>
                    </m:ctrlPr>
                  </m:sSubPr>
                  <m:e>
                    <m:r>
                      <w:rPr>
                        <w:rFonts w:ascii="Cambria Math" w:hAnsi="Cambria Math"/>
                        <w:lang w:val="en-US"/>
                      </w:rPr>
                      <m:t>m</m:t>
                    </m:r>
                  </m:e>
                  <m:sub>
                    <m:r>
                      <w:rPr>
                        <w:rFonts w:ascii="Cambria Math" w:hAnsi="Cambria Math"/>
                        <w:color w:val="000000"/>
                        <w:sz w:val="20"/>
                        <w:lang w:val="ru-RU" w:eastAsia="en-GB"/>
                      </w:rPr>
                      <m:t>Cm</m:t>
                    </m:r>
                  </m:sub>
                </m:sSub>
              </m:oMath>
            </m:oMathPara>
          </w:p>
        </w:tc>
        <w:tc>
          <w:tcPr>
            <w:tcW w:w="1540" w:type="dxa"/>
            <w:tcBorders>
              <w:top w:val="single" w:sz="4" w:space="0" w:color="auto"/>
              <w:bottom w:val="single" w:sz="4" w:space="0" w:color="auto"/>
            </w:tcBorders>
          </w:tcPr>
          <w:p w:rsidR="001B191E" w:rsidRPr="000737B4" w:rsidRDefault="003F560E" w:rsidP="00DE1B64">
            <w:pPr>
              <w:jc w:val="center"/>
              <w:rPr>
                <w:color w:val="000000"/>
                <w:sz w:val="20"/>
                <w:lang w:eastAsia="ru-RU"/>
              </w:rPr>
            </w:pPr>
            <w:r>
              <w:rPr>
                <w:color w:val="000000"/>
                <w:sz w:val="20"/>
                <w:lang w:val="en-US" w:eastAsia="ru-RU"/>
              </w:rPr>
              <w:t>0.</w:t>
            </w:r>
            <w:r w:rsidR="001B191E" w:rsidRPr="000737B4">
              <w:rPr>
                <w:color w:val="000000"/>
                <w:sz w:val="20"/>
                <w:lang w:eastAsia="ru-RU"/>
              </w:rPr>
              <w:t>42</w:t>
            </w:r>
          </w:p>
        </w:tc>
        <w:tc>
          <w:tcPr>
            <w:tcW w:w="1540" w:type="dxa"/>
            <w:tcBorders>
              <w:top w:val="single" w:sz="4" w:space="0" w:color="auto"/>
              <w:bottom w:val="single" w:sz="4" w:space="0" w:color="auto"/>
            </w:tcBorders>
          </w:tcPr>
          <w:p w:rsidR="001B191E" w:rsidRPr="000737B4" w:rsidRDefault="001B191E" w:rsidP="003F560E">
            <w:pPr>
              <w:jc w:val="center"/>
              <w:rPr>
                <w:sz w:val="20"/>
                <w:lang w:eastAsia="ru-RU"/>
              </w:rPr>
            </w:pPr>
            <w:r w:rsidRPr="000737B4">
              <w:rPr>
                <w:sz w:val="20"/>
                <w:lang w:val="en-US" w:eastAsia="ru-RU"/>
              </w:rPr>
              <w:t>0</w:t>
            </w:r>
            <w:r w:rsidR="003F560E">
              <w:rPr>
                <w:sz w:val="20"/>
                <w:lang w:val="en-US" w:eastAsia="ru-RU"/>
              </w:rPr>
              <w:t>.</w:t>
            </w:r>
            <w:r w:rsidRPr="000737B4">
              <w:rPr>
                <w:sz w:val="20"/>
                <w:lang w:eastAsia="ru-RU"/>
              </w:rPr>
              <w:t>61</w:t>
            </w:r>
          </w:p>
        </w:tc>
        <w:tc>
          <w:tcPr>
            <w:tcW w:w="1541" w:type="dxa"/>
            <w:tcBorders>
              <w:top w:val="single" w:sz="4" w:space="0" w:color="auto"/>
              <w:bottom w:val="single" w:sz="4" w:space="0" w:color="auto"/>
            </w:tcBorders>
          </w:tcPr>
          <w:p w:rsidR="001B191E" w:rsidRPr="000737B4" w:rsidRDefault="001B191E" w:rsidP="003F560E">
            <w:pPr>
              <w:jc w:val="center"/>
              <w:rPr>
                <w:sz w:val="20"/>
                <w:lang w:val="en-US" w:eastAsia="ru-RU"/>
              </w:rPr>
            </w:pPr>
            <w:r w:rsidRPr="000737B4">
              <w:rPr>
                <w:sz w:val="20"/>
                <w:lang w:val="en-US" w:eastAsia="ru-RU"/>
              </w:rPr>
              <w:t>0</w:t>
            </w:r>
            <w:r w:rsidR="003F560E">
              <w:rPr>
                <w:sz w:val="20"/>
                <w:lang w:val="en-US" w:eastAsia="ru-RU"/>
              </w:rPr>
              <w:t>.</w:t>
            </w:r>
            <w:r w:rsidRPr="000737B4">
              <w:rPr>
                <w:sz w:val="20"/>
                <w:lang w:eastAsia="ru-RU"/>
              </w:rPr>
              <w:t>8</w:t>
            </w:r>
            <w:r w:rsidRPr="000737B4">
              <w:rPr>
                <w:sz w:val="20"/>
                <w:lang w:val="en-US" w:eastAsia="ru-RU"/>
              </w:rPr>
              <w:t>2</w:t>
            </w:r>
          </w:p>
        </w:tc>
        <w:tc>
          <w:tcPr>
            <w:tcW w:w="1541" w:type="dxa"/>
            <w:tcBorders>
              <w:top w:val="single" w:sz="4" w:space="0" w:color="auto"/>
              <w:bottom w:val="single" w:sz="4" w:space="0" w:color="auto"/>
            </w:tcBorders>
          </w:tcPr>
          <w:p w:rsidR="001B191E" w:rsidRPr="000737B4" w:rsidRDefault="001B191E" w:rsidP="003F560E">
            <w:pPr>
              <w:jc w:val="center"/>
              <w:rPr>
                <w:sz w:val="20"/>
                <w:lang w:val="en-US" w:eastAsia="ru-RU"/>
              </w:rPr>
            </w:pPr>
            <w:r w:rsidRPr="000737B4">
              <w:rPr>
                <w:sz w:val="20"/>
                <w:lang w:val="en-US" w:eastAsia="ru-RU"/>
              </w:rPr>
              <w:t>1</w:t>
            </w:r>
            <w:r w:rsidR="003F560E">
              <w:rPr>
                <w:sz w:val="20"/>
                <w:lang w:val="en-US" w:eastAsia="ru-RU"/>
              </w:rPr>
              <w:t>.</w:t>
            </w:r>
            <w:r w:rsidRPr="000737B4">
              <w:rPr>
                <w:sz w:val="20"/>
                <w:lang w:val="en-US" w:eastAsia="ru-RU"/>
              </w:rPr>
              <w:t>08</w:t>
            </w:r>
          </w:p>
        </w:tc>
        <w:tc>
          <w:tcPr>
            <w:tcW w:w="1541" w:type="dxa"/>
            <w:tcBorders>
              <w:top w:val="single" w:sz="4" w:space="0" w:color="auto"/>
              <w:bottom w:val="single" w:sz="4" w:space="0" w:color="auto"/>
            </w:tcBorders>
          </w:tcPr>
          <w:p w:rsidR="001B191E" w:rsidRPr="000737B4" w:rsidRDefault="001B191E" w:rsidP="003F560E">
            <w:pPr>
              <w:jc w:val="center"/>
              <w:rPr>
                <w:sz w:val="20"/>
                <w:lang w:eastAsia="ru-RU"/>
              </w:rPr>
            </w:pPr>
            <w:r w:rsidRPr="000737B4">
              <w:rPr>
                <w:sz w:val="20"/>
                <w:lang w:eastAsia="ru-RU"/>
              </w:rPr>
              <w:t>1</w:t>
            </w:r>
            <w:r w:rsidR="003F560E">
              <w:rPr>
                <w:sz w:val="20"/>
                <w:lang w:val="en-US" w:eastAsia="ru-RU"/>
              </w:rPr>
              <w:t>.</w:t>
            </w:r>
            <w:r w:rsidRPr="000737B4">
              <w:rPr>
                <w:sz w:val="20"/>
                <w:lang w:eastAsia="ru-RU"/>
              </w:rPr>
              <w:t>44</w:t>
            </w:r>
          </w:p>
        </w:tc>
      </w:tr>
    </w:tbl>
    <w:p w:rsidR="001B191E" w:rsidRDefault="001B191E" w:rsidP="001B191E">
      <w:pPr>
        <w:pStyle w:val="Default"/>
        <w:jc w:val="both"/>
        <w:rPr>
          <w:sz w:val="20"/>
          <w:szCs w:val="20"/>
          <w:lang w:val="en-US"/>
        </w:rPr>
      </w:pPr>
      <w:r w:rsidRPr="001B191E">
        <w:rPr>
          <w:sz w:val="20"/>
          <w:szCs w:val="20"/>
          <w:lang w:val="en-US"/>
        </w:rPr>
        <w:t xml:space="preserve">In the table: </w:t>
      </w:r>
      <m:oMath>
        <m:sSub>
          <m:sSubPr>
            <m:ctrlPr>
              <w:rPr>
                <w:rFonts w:ascii="Cambria Math" w:hAnsi="Cambria Math"/>
                <w:i/>
                <w:sz w:val="20"/>
                <w:szCs w:val="20"/>
              </w:rPr>
            </m:ctrlPr>
          </m:sSubPr>
          <m:e>
            <m:r>
              <w:rPr>
                <w:rFonts w:ascii="Cambria Math" w:hAnsi="Cambria Math"/>
                <w:sz w:val="20"/>
                <w:szCs w:val="20"/>
                <w:lang w:val="en-US"/>
              </w:rPr>
              <m:t>&lt;E</m:t>
            </m:r>
          </m:e>
          <m:sub>
            <m:r>
              <w:rPr>
                <w:rFonts w:ascii="Cambria Math" w:hAnsi="Cambria Math"/>
                <w:sz w:val="20"/>
                <w:szCs w:val="20"/>
              </w:rPr>
              <m:t>n</m:t>
            </m:r>
          </m:sub>
        </m:sSub>
        <m:r>
          <w:rPr>
            <w:rFonts w:ascii="Cambria Math" w:hAnsi="Cambria Math"/>
            <w:sz w:val="20"/>
            <w:szCs w:val="20"/>
            <w:lang w:val="en-US"/>
          </w:rPr>
          <m:t>&gt;</m:t>
        </m:r>
      </m:oMath>
      <w:r w:rsidRPr="001B191E">
        <w:rPr>
          <w:sz w:val="20"/>
          <w:szCs w:val="20"/>
          <w:lang w:val="en-US"/>
        </w:rPr>
        <w:t xml:space="preserve"> – is neutron mean energy averaged over the neutron flux density, m – is mass of the appropriate element</w:t>
      </w:r>
      <w:r w:rsidR="00703D96">
        <w:rPr>
          <w:sz w:val="20"/>
          <w:szCs w:val="20"/>
          <w:lang w:val="en-US"/>
        </w:rPr>
        <w:t>, tons</w:t>
      </w:r>
      <w:r w:rsidR="00DE1B64">
        <w:rPr>
          <w:sz w:val="20"/>
          <w:szCs w:val="20"/>
          <w:lang w:val="en-US"/>
        </w:rPr>
        <w:t>.</w:t>
      </w:r>
    </w:p>
    <w:p w:rsidR="00DE1B64" w:rsidRDefault="00DE1B64" w:rsidP="001B191E">
      <w:pPr>
        <w:pStyle w:val="Default"/>
        <w:jc w:val="both"/>
        <w:rPr>
          <w:sz w:val="20"/>
          <w:szCs w:val="20"/>
          <w:lang w:val="en-US"/>
        </w:rPr>
      </w:pPr>
    </w:p>
    <w:p w:rsidR="00DE1B64" w:rsidRPr="001B191E" w:rsidRDefault="00DE1B64" w:rsidP="001B191E">
      <w:pPr>
        <w:pStyle w:val="Default"/>
        <w:jc w:val="both"/>
        <w:rPr>
          <w:sz w:val="20"/>
          <w:szCs w:val="20"/>
          <w:lang w:val="en-US"/>
        </w:rPr>
      </w:pPr>
    </w:p>
    <w:p w:rsidR="00C1299A" w:rsidRDefault="00DE1B64" w:rsidP="00DE1B64">
      <w:pPr>
        <w:pStyle w:val="a1"/>
        <w:ind w:firstLine="0"/>
        <w:jc w:val="center"/>
        <w:rPr>
          <w:lang w:val="en-US"/>
        </w:rPr>
      </w:pPr>
      <w:r>
        <w:rPr>
          <w:noProof/>
          <w:lang w:val="ru-RU" w:eastAsia="ru-RU"/>
        </w:rPr>
        <w:lastRenderedPageBreak/>
        <w:drawing>
          <wp:inline distT="0" distB="0" distL="0" distR="0">
            <wp:extent cx="3992245" cy="21971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92245" cy="2197100"/>
                    </a:xfrm>
                    <a:prstGeom prst="rect">
                      <a:avLst/>
                    </a:prstGeom>
                    <a:noFill/>
                    <a:ln>
                      <a:noFill/>
                    </a:ln>
                  </pic:spPr>
                </pic:pic>
              </a:graphicData>
            </a:graphic>
          </wp:inline>
        </w:drawing>
      </w:r>
    </w:p>
    <w:p w:rsidR="00DE1B64" w:rsidRPr="00DE1B64" w:rsidRDefault="00DE1B64" w:rsidP="00DE1B64">
      <w:pPr>
        <w:pStyle w:val="Default"/>
        <w:jc w:val="center"/>
        <w:rPr>
          <w:lang w:val="en-US"/>
        </w:rPr>
      </w:pPr>
      <w:proofErr w:type="gramStart"/>
      <w:r w:rsidRPr="00D900BD">
        <w:rPr>
          <w:i/>
          <w:color w:val="auto"/>
          <w:sz w:val="18"/>
          <w:szCs w:val="20"/>
          <w:lang w:val="en-GB" w:eastAsia="en-US"/>
        </w:rPr>
        <w:t>F</w:t>
      </w:r>
      <w:r>
        <w:rPr>
          <w:i/>
          <w:color w:val="auto"/>
          <w:sz w:val="18"/>
          <w:szCs w:val="20"/>
          <w:lang w:val="en-GB" w:eastAsia="en-US"/>
        </w:rPr>
        <w:t>IG</w:t>
      </w:r>
      <w:r w:rsidRPr="00D900BD">
        <w:rPr>
          <w:i/>
          <w:color w:val="auto"/>
          <w:sz w:val="18"/>
          <w:szCs w:val="20"/>
          <w:lang w:val="en-GB" w:eastAsia="en-US"/>
        </w:rPr>
        <w:t>. </w:t>
      </w:r>
      <w:r>
        <w:rPr>
          <w:i/>
          <w:color w:val="auto"/>
          <w:sz w:val="18"/>
          <w:szCs w:val="20"/>
          <w:lang w:val="en-GB" w:eastAsia="en-US"/>
        </w:rPr>
        <w:t>3</w:t>
      </w:r>
      <w:r w:rsidRPr="00D900BD">
        <w:rPr>
          <w:i/>
          <w:color w:val="auto"/>
          <w:sz w:val="18"/>
          <w:szCs w:val="20"/>
          <w:lang w:val="en-GB" w:eastAsia="en-US"/>
        </w:rPr>
        <w:t>.</w:t>
      </w:r>
      <w:proofErr w:type="gramEnd"/>
      <w:r w:rsidRPr="00D900BD">
        <w:rPr>
          <w:i/>
          <w:color w:val="auto"/>
          <w:sz w:val="18"/>
          <w:szCs w:val="20"/>
          <w:lang w:val="en-GB" w:eastAsia="en-US"/>
        </w:rPr>
        <w:t xml:space="preserve"> </w:t>
      </w:r>
      <w:r w:rsidRPr="00DE1B64">
        <w:rPr>
          <w:i/>
          <w:color w:val="auto"/>
          <w:sz w:val="18"/>
          <w:szCs w:val="20"/>
          <w:lang w:val="en-GB" w:eastAsia="en-US"/>
        </w:rPr>
        <w:t>Variation of actinides mass at the 1 GW</w:t>
      </w:r>
      <w:r>
        <w:rPr>
          <w:i/>
          <w:color w:val="auto"/>
          <w:sz w:val="18"/>
          <w:szCs w:val="20"/>
          <w:lang w:val="en-GB" w:eastAsia="en-US"/>
        </w:rPr>
        <w:t xml:space="preserve"> </w:t>
      </w:r>
      <w:r w:rsidRPr="00DE1B64">
        <w:rPr>
          <w:i/>
          <w:color w:val="auto"/>
          <w:sz w:val="20"/>
          <w:szCs w:val="20"/>
          <w:lang w:val="en-GB" w:eastAsia="en-US"/>
        </w:rPr>
        <w:t>(</w:t>
      </w:r>
      <w:proofErr w:type="spellStart"/>
      <w:proofErr w:type="gramStart"/>
      <w:r w:rsidRPr="00DE1B64">
        <w:rPr>
          <w:i/>
          <w:sz w:val="20"/>
          <w:szCs w:val="20"/>
          <w:lang w:val="en-US"/>
        </w:rPr>
        <w:t>th</w:t>
      </w:r>
      <w:proofErr w:type="spellEnd"/>
      <w:proofErr w:type="gramEnd"/>
      <w:r w:rsidRPr="00DE1B64">
        <w:rPr>
          <w:i/>
          <w:sz w:val="20"/>
          <w:szCs w:val="20"/>
          <w:lang w:val="en-US"/>
        </w:rPr>
        <w:t>)</w:t>
      </w:r>
      <w:r w:rsidRPr="00DE1B64">
        <w:rPr>
          <w:i/>
          <w:color w:val="auto"/>
          <w:sz w:val="18"/>
          <w:szCs w:val="20"/>
          <w:lang w:val="en-GB" w:eastAsia="en-US"/>
        </w:rPr>
        <w:t xml:space="preserve"> of the system at the campaign </w:t>
      </w:r>
      <w:proofErr w:type="spellStart"/>
      <w:r w:rsidRPr="00DE1B64">
        <w:rPr>
          <w:i/>
          <w:color w:val="auto"/>
          <w:sz w:val="18"/>
          <w:szCs w:val="20"/>
          <w:lang w:val="en-GB" w:eastAsia="en-US"/>
        </w:rPr>
        <w:t>startup</w:t>
      </w:r>
      <w:proofErr w:type="spellEnd"/>
      <w:r w:rsidRPr="00DE1B64">
        <w:rPr>
          <w:i/>
          <w:color w:val="auto"/>
          <w:sz w:val="18"/>
          <w:szCs w:val="20"/>
          <w:lang w:val="en-GB" w:eastAsia="en-US"/>
        </w:rPr>
        <w:t xml:space="preserve"> for </w:t>
      </w:r>
      <m:oMath>
        <m:sSub>
          <m:sSubPr>
            <m:ctrlPr>
              <w:rPr>
                <w:rFonts w:ascii="Cambria Math" w:hAnsi="Cambria Math"/>
                <w:i/>
                <w:sz w:val="20"/>
                <w:szCs w:val="20"/>
              </w:rPr>
            </m:ctrlPr>
          </m:sSubPr>
          <m:e>
            <m:r>
              <w:rPr>
                <w:rFonts w:ascii="Cambria Math" w:hAnsi="Cambria Math"/>
                <w:sz w:val="20"/>
                <w:szCs w:val="20"/>
              </w:rPr>
              <m:t>ν</m:t>
            </m:r>
          </m:e>
          <m:sub>
            <m:r>
              <w:rPr>
                <w:rFonts w:ascii="Cambria Math" w:hAnsi="Cambria Math"/>
                <w:sz w:val="20"/>
                <w:szCs w:val="20"/>
              </w:rPr>
              <m:t>A</m:t>
            </m:r>
          </m:sub>
        </m:sSub>
      </m:oMath>
      <w:r w:rsidRPr="00DE1B64">
        <w:rPr>
          <w:i/>
          <w:color w:val="auto"/>
          <w:sz w:val="18"/>
          <w:szCs w:val="20"/>
          <w:lang w:val="en-GB" w:eastAsia="en-US"/>
        </w:rPr>
        <w:t xml:space="preserve"> = 8 %, mole</w:t>
      </w:r>
    </w:p>
    <w:p w:rsidR="00DE1B64" w:rsidRDefault="00DE1B64" w:rsidP="00DE1B64">
      <w:pPr>
        <w:pStyle w:val="Default"/>
        <w:jc w:val="center"/>
        <w:rPr>
          <w:i/>
          <w:color w:val="auto"/>
          <w:sz w:val="18"/>
          <w:szCs w:val="20"/>
          <w:lang w:val="en-US" w:eastAsia="en-US"/>
        </w:rPr>
      </w:pPr>
    </w:p>
    <w:p w:rsidR="00DE1B64" w:rsidRPr="00DE1B64" w:rsidRDefault="00DE1B64" w:rsidP="00DE1B64">
      <w:pPr>
        <w:pStyle w:val="Default"/>
        <w:ind w:firstLine="567"/>
        <w:jc w:val="both"/>
        <w:rPr>
          <w:sz w:val="20"/>
          <w:szCs w:val="20"/>
          <w:lang w:val="en-US"/>
        </w:rPr>
      </w:pPr>
      <w:r w:rsidRPr="00DE1B64">
        <w:rPr>
          <w:sz w:val="20"/>
          <w:szCs w:val="20"/>
          <w:lang w:val="en-US"/>
        </w:rPr>
        <w:t xml:space="preserve">The above results allow us to estimate the time needed to reach the equilibrium conditions if this time is assumed to be the period between the reactor startup and the instant after which the reactor consumes and produces the same amount of actinides. For the considered variants, the time needed to reach the equilibrium conditions falls within 5…10 year (Fig. 2). </w:t>
      </w:r>
    </w:p>
    <w:p w:rsidR="00DE1B64" w:rsidRDefault="00DE1B64" w:rsidP="00985F65">
      <w:pPr>
        <w:pStyle w:val="Default"/>
        <w:ind w:firstLine="567"/>
        <w:jc w:val="both"/>
        <w:rPr>
          <w:sz w:val="20"/>
          <w:szCs w:val="20"/>
          <w:lang w:val="en-US"/>
        </w:rPr>
      </w:pPr>
      <w:r w:rsidRPr="00DE1B64">
        <w:rPr>
          <w:sz w:val="20"/>
          <w:szCs w:val="20"/>
          <w:lang w:val="en-US"/>
        </w:rPr>
        <w:t>When the actinides concentration is below the optimal one, it is necessary to add reactor-grade plutonium into the feed fuel and this leads to decrease in the mass of MA undergoing transmutation</w:t>
      </w:r>
      <w:r w:rsidR="00AF1CAD">
        <w:rPr>
          <w:sz w:val="20"/>
          <w:szCs w:val="20"/>
          <w:lang w:val="en-US"/>
        </w:rPr>
        <w:t xml:space="preserve"> (Table 3)</w:t>
      </w:r>
      <w:r w:rsidRPr="00DE1B64">
        <w:rPr>
          <w:sz w:val="20"/>
          <w:szCs w:val="20"/>
          <w:lang w:val="en-US"/>
        </w:rPr>
        <w:t xml:space="preserve">. Plutonium consumption decreases with the increase of actinides concentration and when this concentration equals the optimal one, the reactor consumes only MA. When the actinides concentration is above the optimal one, the mass of MA undergoing transmutation is maximal. At the same time part of fuel with a high content of </w:t>
      </w:r>
      <w:r w:rsidRPr="003F4E81">
        <w:rPr>
          <w:sz w:val="20"/>
          <w:szCs w:val="20"/>
          <w:vertAlign w:val="superscript"/>
          <w:lang w:val="en-US"/>
        </w:rPr>
        <w:t>238</w:t>
      </w:r>
      <w:r w:rsidRPr="00DE1B64">
        <w:rPr>
          <w:sz w:val="20"/>
          <w:szCs w:val="20"/>
          <w:lang w:val="en-US"/>
        </w:rPr>
        <w:t>Pu isotope must be extracted. As the MSR-</w:t>
      </w:r>
      <w:r w:rsidR="00985F65">
        <w:rPr>
          <w:sz w:val="20"/>
          <w:szCs w:val="20"/>
          <w:lang w:val="en-US"/>
        </w:rPr>
        <w:t>burner</w:t>
      </w:r>
      <w:r w:rsidRPr="00DE1B64">
        <w:rPr>
          <w:sz w:val="20"/>
          <w:szCs w:val="20"/>
          <w:lang w:val="en-US"/>
        </w:rPr>
        <w:t xml:space="preserve"> functions as a specialized facility for radioactive wastes conversion through MA transmutation, accumulation of significant amounts of highly active isotopes of actinides while in operation seems unacceptable. </w:t>
      </w:r>
    </w:p>
    <w:p w:rsidR="003F4E81" w:rsidRDefault="003F4E81" w:rsidP="00985F65">
      <w:pPr>
        <w:pStyle w:val="Default"/>
        <w:ind w:firstLine="567"/>
        <w:jc w:val="both"/>
        <w:rPr>
          <w:sz w:val="20"/>
          <w:szCs w:val="20"/>
          <w:lang w:val="en-US"/>
        </w:rPr>
      </w:pPr>
    </w:p>
    <w:p w:rsidR="003F4E81" w:rsidRDefault="003F4E81" w:rsidP="003F4E81">
      <w:pPr>
        <w:pStyle w:val="Default"/>
        <w:jc w:val="both"/>
        <w:rPr>
          <w:sz w:val="20"/>
          <w:szCs w:val="20"/>
          <w:lang w:val="en-US"/>
        </w:rPr>
      </w:pPr>
      <w:proofErr w:type="gramStart"/>
      <w:r w:rsidRPr="00215130">
        <w:rPr>
          <w:color w:val="auto"/>
          <w:sz w:val="20"/>
          <w:szCs w:val="20"/>
          <w:lang w:val="en-GB" w:eastAsia="en-US"/>
        </w:rPr>
        <w:t xml:space="preserve">TABLE </w:t>
      </w:r>
      <w:r>
        <w:rPr>
          <w:color w:val="auto"/>
          <w:sz w:val="20"/>
          <w:szCs w:val="20"/>
          <w:lang w:val="en-GB" w:eastAsia="en-US"/>
        </w:rPr>
        <w:t>3</w:t>
      </w:r>
      <w:r w:rsidRPr="00215130">
        <w:rPr>
          <w:color w:val="auto"/>
          <w:sz w:val="20"/>
          <w:szCs w:val="20"/>
          <w:lang w:val="en-GB" w:eastAsia="en-US"/>
        </w:rPr>
        <w:t>.</w:t>
      </w:r>
      <w:proofErr w:type="gramEnd"/>
      <w:r w:rsidRPr="00215130">
        <w:rPr>
          <w:color w:val="auto"/>
          <w:sz w:val="20"/>
          <w:szCs w:val="20"/>
          <w:lang w:val="en-GB" w:eastAsia="en-US"/>
        </w:rPr>
        <w:t xml:space="preserve"> </w:t>
      </w:r>
      <w:r w:rsidR="00703D96" w:rsidRPr="00703D96">
        <w:rPr>
          <w:color w:val="auto"/>
          <w:sz w:val="20"/>
          <w:szCs w:val="20"/>
          <w:lang w:val="en-GB" w:eastAsia="en-US"/>
        </w:rPr>
        <w:t>MASS OF LOADED AND TRANSMUTED ACTINIDES</w:t>
      </w:r>
      <w:r w:rsidR="00703D96">
        <w:rPr>
          <w:color w:val="auto"/>
          <w:sz w:val="20"/>
          <w:szCs w:val="20"/>
          <w:lang w:val="en-GB" w:eastAsia="en-US"/>
        </w:rPr>
        <w:t xml:space="preserve"> (TONS)</w:t>
      </w:r>
      <w:r w:rsidR="00703D96" w:rsidRPr="00703D96">
        <w:rPr>
          <w:color w:val="auto"/>
          <w:sz w:val="20"/>
          <w:szCs w:val="20"/>
          <w:lang w:val="en-GB" w:eastAsia="en-US"/>
        </w:rPr>
        <w:t xml:space="preserve"> IN THE EQUILIBRIUM MODE AT THE 1 GW (</w:t>
      </w:r>
      <w:r w:rsidR="00703D96" w:rsidRPr="00703D96">
        <w:rPr>
          <w:sz w:val="20"/>
          <w:szCs w:val="20"/>
          <w:lang w:val="en-US"/>
        </w:rPr>
        <w:t>TH) FOR CAMPAIGN DURATION 300</w:t>
      </w:r>
      <w:r w:rsidR="00703D96" w:rsidRPr="00085469">
        <w:rPr>
          <w:sz w:val="20"/>
          <w:szCs w:val="20"/>
          <w:lang w:val="en-US"/>
        </w:rPr>
        <w:t xml:space="preserve"> EFFECTIVE DAYS</w:t>
      </w:r>
    </w:p>
    <w:tbl>
      <w:tblPr>
        <w:tblW w:w="9385" w:type="dxa"/>
        <w:tblInd w:w="108" w:type="dxa"/>
        <w:tblLayout w:type="fixed"/>
        <w:tblLook w:val="04A0" w:firstRow="1" w:lastRow="0" w:firstColumn="1" w:lastColumn="0" w:noHBand="0" w:noVBand="1"/>
      </w:tblPr>
      <w:tblGrid>
        <w:gridCol w:w="2014"/>
        <w:gridCol w:w="1446"/>
        <w:gridCol w:w="1475"/>
        <w:gridCol w:w="1475"/>
        <w:gridCol w:w="1475"/>
        <w:gridCol w:w="1500"/>
      </w:tblGrid>
      <w:tr w:rsidR="00703D96" w:rsidRPr="000737B4" w:rsidTr="00E67D7D">
        <w:tc>
          <w:tcPr>
            <w:tcW w:w="2014" w:type="dxa"/>
            <w:tcBorders>
              <w:top w:val="single" w:sz="4" w:space="0" w:color="auto"/>
              <w:bottom w:val="single" w:sz="4" w:space="0" w:color="auto"/>
            </w:tcBorders>
            <w:hideMark/>
          </w:tcPr>
          <w:p w:rsidR="00703D96" w:rsidRPr="000737B4" w:rsidRDefault="00F22DAC" w:rsidP="003E0F98">
            <w:pPr>
              <w:rPr>
                <w:sz w:val="20"/>
              </w:rPr>
            </w:pPr>
            <m:oMath>
              <m:sSub>
                <m:sSubPr>
                  <m:ctrlPr>
                    <w:rPr>
                      <w:rFonts w:ascii="Cambria Math" w:hAnsi="Cambria Math"/>
                      <w:i/>
                      <w:color w:val="000000"/>
                      <w:sz w:val="20"/>
                      <w:lang w:val="ru-RU" w:eastAsia="en-GB"/>
                    </w:rPr>
                  </m:ctrlPr>
                </m:sSubPr>
                <m:e>
                  <m:r>
                    <w:rPr>
                      <w:rFonts w:ascii="Cambria Math" w:hAnsi="Cambria Math"/>
                      <w:sz w:val="20"/>
                    </w:rPr>
                    <m:t>ν</m:t>
                  </m:r>
                </m:e>
                <m:sub>
                  <m:r>
                    <w:rPr>
                      <w:rFonts w:ascii="Cambria Math" w:hAnsi="Cambria Math"/>
                      <w:sz w:val="20"/>
                    </w:rPr>
                    <m:t>A</m:t>
                  </m:r>
                </m:sub>
              </m:sSub>
            </m:oMath>
            <w:r w:rsidR="00703D96" w:rsidRPr="000737B4">
              <w:rPr>
                <w:sz w:val="20"/>
              </w:rPr>
              <w:t>, %</w:t>
            </w:r>
            <w:r w:rsidR="00E67D7D">
              <w:rPr>
                <w:sz w:val="20"/>
              </w:rPr>
              <w:t>, mole</w:t>
            </w:r>
          </w:p>
        </w:tc>
        <w:tc>
          <w:tcPr>
            <w:tcW w:w="1446" w:type="dxa"/>
            <w:tcBorders>
              <w:top w:val="single" w:sz="4" w:space="0" w:color="auto"/>
              <w:bottom w:val="single" w:sz="4" w:space="0" w:color="auto"/>
            </w:tcBorders>
            <w:hideMark/>
          </w:tcPr>
          <w:p w:rsidR="00703D96" w:rsidRPr="000737B4" w:rsidRDefault="00703D96" w:rsidP="00454FB3">
            <w:pPr>
              <w:jc w:val="center"/>
              <w:rPr>
                <w:sz w:val="20"/>
              </w:rPr>
            </w:pPr>
            <w:r w:rsidRPr="000737B4">
              <w:rPr>
                <w:sz w:val="20"/>
              </w:rPr>
              <w:t>3</w:t>
            </w:r>
          </w:p>
        </w:tc>
        <w:tc>
          <w:tcPr>
            <w:tcW w:w="1475" w:type="dxa"/>
            <w:tcBorders>
              <w:top w:val="single" w:sz="4" w:space="0" w:color="auto"/>
              <w:bottom w:val="single" w:sz="4" w:space="0" w:color="auto"/>
            </w:tcBorders>
            <w:hideMark/>
          </w:tcPr>
          <w:p w:rsidR="00703D96" w:rsidRPr="000737B4" w:rsidRDefault="00703D96" w:rsidP="00454FB3">
            <w:pPr>
              <w:jc w:val="center"/>
              <w:rPr>
                <w:sz w:val="20"/>
              </w:rPr>
            </w:pPr>
            <w:r w:rsidRPr="000737B4">
              <w:rPr>
                <w:sz w:val="20"/>
              </w:rPr>
              <w:t>5</w:t>
            </w:r>
          </w:p>
        </w:tc>
        <w:tc>
          <w:tcPr>
            <w:tcW w:w="1475" w:type="dxa"/>
            <w:tcBorders>
              <w:top w:val="single" w:sz="4" w:space="0" w:color="auto"/>
              <w:bottom w:val="single" w:sz="4" w:space="0" w:color="auto"/>
            </w:tcBorders>
            <w:hideMark/>
          </w:tcPr>
          <w:p w:rsidR="00703D96" w:rsidRPr="000737B4" w:rsidRDefault="00703D96" w:rsidP="00454FB3">
            <w:pPr>
              <w:jc w:val="center"/>
              <w:rPr>
                <w:sz w:val="20"/>
              </w:rPr>
            </w:pPr>
            <w:r w:rsidRPr="000737B4">
              <w:rPr>
                <w:sz w:val="20"/>
              </w:rPr>
              <w:t>8</w:t>
            </w:r>
          </w:p>
        </w:tc>
        <w:tc>
          <w:tcPr>
            <w:tcW w:w="1475" w:type="dxa"/>
            <w:tcBorders>
              <w:top w:val="single" w:sz="4" w:space="0" w:color="auto"/>
              <w:bottom w:val="single" w:sz="4" w:space="0" w:color="auto"/>
            </w:tcBorders>
            <w:hideMark/>
          </w:tcPr>
          <w:p w:rsidR="00703D96" w:rsidRPr="000737B4" w:rsidRDefault="00703D96" w:rsidP="00454FB3">
            <w:pPr>
              <w:jc w:val="center"/>
              <w:rPr>
                <w:sz w:val="20"/>
              </w:rPr>
            </w:pPr>
            <w:r w:rsidRPr="000737B4">
              <w:rPr>
                <w:sz w:val="20"/>
              </w:rPr>
              <w:t>15</w:t>
            </w:r>
          </w:p>
        </w:tc>
        <w:tc>
          <w:tcPr>
            <w:tcW w:w="1500" w:type="dxa"/>
            <w:tcBorders>
              <w:top w:val="single" w:sz="4" w:space="0" w:color="auto"/>
              <w:bottom w:val="single" w:sz="4" w:space="0" w:color="auto"/>
            </w:tcBorders>
            <w:hideMark/>
          </w:tcPr>
          <w:p w:rsidR="00703D96" w:rsidRPr="000737B4" w:rsidRDefault="00703D96" w:rsidP="00454FB3">
            <w:pPr>
              <w:jc w:val="center"/>
              <w:rPr>
                <w:sz w:val="20"/>
              </w:rPr>
            </w:pPr>
            <w:r w:rsidRPr="000737B4">
              <w:rPr>
                <w:sz w:val="20"/>
              </w:rPr>
              <w:t>30</w:t>
            </w:r>
          </w:p>
        </w:tc>
      </w:tr>
      <w:tr w:rsidR="00703D96" w:rsidRPr="000737B4" w:rsidTr="003E0F98">
        <w:tc>
          <w:tcPr>
            <w:tcW w:w="2014" w:type="dxa"/>
            <w:tcBorders>
              <w:top w:val="single" w:sz="4" w:space="0" w:color="auto"/>
              <w:bottom w:val="single" w:sz="4" w:space="0" w:color="auto"/>
            </w:tcBorders>
            <w:hideMark/>
          </w:tcPr>
          <w:p w:rsidR="00703D96" w:rsidRPr="003E0F98" w:rsidRDefault="00F22DAC" w:rsidP="003E0F98">
            <w:pPr>
              <w:rPr>
                <w:sz w:val="20"/>
                <w:lang w:val="en-US"/>
              </w:rPr>
            </w:pPr>
            <m:oMathPara>
              <m:oMathParaPr>
                <m:jc m:val="left"/>
              </m:oMathParaPr>
              <m:oMath>
                <m:sSub>
                  <m:sSubPr>
                    <m:ctrlPr>
                      <w:rPr>
                        <w:rFonts w:ascii="Cambria Math" w:hAnsi="Cambria Math"/>
                        <w:i/>
                        <w:color w:val="000000"/>
                        <w:sz w:val="20"/>
                        <w:lang w:val="ru-RU" w:eastAsia="en-GB"/>
                      </w:rPr>
                    </m:ctrlPr>
                  </m:sSubPr>
                  <m:e>
                    <m:r>
                      <w:rPr>
                        <w:rFonts w:ascii="Cambria Math" w:hAnsi="Cambria Math"/>
                        <w:sz w:val="20"/>
                      </w:rPr>
                      <m:t>m</m:t>
                    </m:r>
                  </m:e>
                  <m:sub>
                    <m:r>
                      <w:rPr>
                        <w:rFonts w:ascii="Cambria Math" w:hAnsi="Cambria Math"/>
                        <w:sz w:val="20"/>
                      </w:rPr>
                      <m:t>MA</m:t>
                    </m:r>
                  </m:sub>
                </m:sSub>
              </m:oMath>
            </m:oMathPara>
          </w:p>
        </w:tc>
        <w:tc>
          <w:tcPr>
            <w:tcW w:w="1446" w:type="dxa"/>
            <w:tcBorders>
              <w:top w:val="single" w:sz="4" w:space="0" w:color="auto"/>
              <w:bottom w:val="single" w:sz="4" w:space="0" w:color="auto"/>
            </w:tcBorders>
            <w:hideMark/>
          </w:tcPr>
          <w:p w:rsidR="00703D96" w:rsidRPr="000737B4" w:rsidRDefault="00703D96" w:rsidP="003F560E">
            <w:pPr>
              <w:jc w:val="center"/>
              <w:rPr>
                <w:sz w:val="20"/>
                <w:lang w:val="en-US"/>
              </w:rPr>
            </w:pPr>
            <w:r w:rsidRPr="000737B4">
              <w:rPr>
                <w:sz w:val="20"/>
                <w:lang w:val="en-US"/>
              </w:rPr>
              <w:t>0</w:t>
            </w:r>
            <w:r w:rsidR="003F560E">
              <w:rPr>
                <w:sz w:val="20"/>
                <w:lang w:val="en-US"/>
              </w:rPr>
              <w:t>.</w:t>
            </w:r>
            <w:r w:rsidRPr="000737B4">
              <w:rPr>
                <w:sz w:val="20"/>
              </w:rPr>
              <w:t>1</w:t>
            </w:r>
            <w:r w:rsidRPr="000737B4">
              <w:rPr>
                <w:sz w:val="20"/>
                <w:lang w:val="en-US"/>
              </w:rPr>
              <w:t>6</w:t>
            </w:r>
          </w:p>
        </w:tc>
        <w:tc>
          <w:tcPr>
            <w:tcW w:w="1475" w:type="dxa"/>
            <w:tcBorders>
              <w:top w:val="single" w:sz="4" w:space="0" w:color="auto"/>
              <w:bottom w:val="single" w:sz="4" w:space="0" w:color="auto"/>
            </w:tcBorders>
            <w:hideMark/>
          </w:tcPr>
          <w:p w:rsidR="00703D96" w:rsidRPr="000737B4" w:rsidRDefault="00703D96" w:rsidP="003F560E">
            <w:pPr>
              <w:jc w:val="center"/>
              <w:rPr>
                <w:sz w:val="20"/>
              </w:rPr>
            </w:pPr>
            <w:r w:rsidRPr="000737B4">
              <w:rPr>
                <w:sz w:val="20"/>
                <w:lang w:val="en-US"/>
              </w:rPr>
              <w:t>0</w:t>
            </w:r>
            <w:r w:rsidR="003F560E">
              <w:rPr>
                <w:sz w:val="20"/>
                <w:lang w:val="en-US"/>
              </w:rPr>
              <w:t>.</w:t>
            </w:r>
            <w:r w:rsidRPr="000737B4">
              <w:rPr>
                <w:sz w:val="20"/>
              </w:rPr>
              <w:t>23</w:t>
            </w:r>
          </w:p>
        </w:tc>
        <w:tc>
          <w:tcPr>
            <w:tcW w:w="1475" w:type="dxa"/>
            <w:tcBorders>
              <w:top w:val="single" w:sz="4" w:space="0" w:color="auto"/>
              <w:bottom w:val="single" w:sz="4" w:space="0" w:color="auto"/>
            </w:tcBorders>
            <w:hideMark/>
          </w:tcPr>
          <w:p w:rsidR="00703D96" w:rsidRPr="000737B4" w:rsidRDefault="00703D96" w:rsidP="003F560E">
            <w:pPr>
              <w:jc w:val="center"/>
              <w:rPr>
                <w:sz w:val="20"/>
              </w:rPr>
            </w:pPr>
            <w:r w:rsidRPr="000737B4">
              <w:rPr>
                <w:sz w:val="20"/>
                <w:lang w:val="en-US"/>
              </w:rPr>
              <w:t>0</w:t>
            </w:r>
            <w:r w:rsidR="003F560E">
              <w:rPr>
                <w:sz w:val="20"/>
                <w:lang w:val="en-US"/>
              </w:rPr>
              <w:t>.</w:t>
            </w:r>
            <w:r w:rsidRPr="000737B4">
              <w:rPr>
                <w:sz w:val="20"/>
              </w:rPr>
              <w:t>31</w:t>
            </w:r>
          </w:p>
        </w:tc>
        <w:tc>
          <w:tcPr>
            <w:tcW w:w="1475" w:type="dxa"/>
            <w:tcBorders>
              <w:top w:val="single" w:sz="4" w:space="0" w:color="auto"/>
              <w:bottom w:val="single" w:sz="4" w:space="0" w:color="auto"/>
            </w:tcBorders>
            <w:hideMark/>
          </w:tcPr>
          <w:p w:rsidR="00703D96" w:rsidRPr="000737B4" w:rsidRDefault="00703D96" w:rsidP="003F560E">
            <w:pPr>
              <w:jc w:val="center"/>
              <w:rPr>
                <w:sz w:val="20"/>
                <w:lang w:val="en-US"/>
              </w:rPr>
            </w:pPr>
            <w:r w:rsidRPr="000737B4">
              <w:rPr>
                <w:sz w:val="20"/>
                <w:lang w:val="en-US"/>
              </w:rPr>
              <w:t>0</w:t>
            </w:r>
            <w:r w:rsidR="003F560E">
              <w:rPr>
                <w:sz w:val="20"/>
                <w:lang w:val="en-US"/>
              </w:rPr>
              <w:t>.</w:t>
            </w:r>
            <w:r w:rsidRPr="000737B4">
              <w:rPr>
                <w:sz w:val="20"/>
                <w:lang w:val="en-US"/>
              </w:rPr>
              <w:t>54</w:t>
            </w:r>
          </w:p>
        </w:tc>
        <w:tc>
          <w:tcPr>
            <w:tcW w:w="1500" w:type="dxa"/>
            <w:tcBorders>
              <w:top w:val="single" w:sz="4" w:space="0" w:color="auto"/>
              <w:bottom w:val="single" w:sz="4" w:space="0" w:color="auto"/>
            </w:tcBorders>
            <w:hideMark/>
          </w:tcPr>
          <w:p w:rsidR="00703D96" w:rsidRPr="000737B4" w:rsidRDefault="00703D96" w:rsidP="003F560E">
            <w:pPr>
              <w:jc w:val="center"/>
              <w:rPr>
                <w:sz w:val="20"/>
              </w:rPr>
            </w:pPr>
            <w:r w:rsidRPr="000737B4">
              <w:rPr>
                <w:sz w:val="20"/>
                <w:lang w:val="en-US"/>
              </w:rPr>
              <w:t>0</w:t>
            </w:r>
            <w:r w:rsidR="003F560E">
              <w:rPr>
                <w:sz w:val="20"/>
                <w:lang w:val="en-US"/>
              </w:rPr>
              <w:t>.</w:t>
            </w:r>
            <w:r w:rsidRPr="000737B4">
              <w:rPr>
                <w:sz w:val="20"/>
              </w:rPr>
              <w:t>80</w:t>
            </w:r>
          </w:p>
        </w:tc>
      </w:tr>
      <w:tr w:rsidR="00703D96" w:rsidRPr="00703D96" w:rsidTr="00E67D7D">
        <w:tc>
          <w:tcPr>
            <w:tcW w:w="2014" w:type="dxa"/>
            <w:tcBorders>
              <w:top w:val="single" w:sz="4" w:space="0" w:color="auto"/>
              <w:bottom w:val="single" w:sz="4" w:space="0" w:color="auto"/>
            </w:tcBorders>
            <w:hideMark/>
          </w:tcPr>
          <w:p w:rsidR="00703D96" w:rsidRPr="003E0F98" w:rsidRDefault="00F22DAC" w:rsidP="003E0F98">
            <w:pPr>
              <w:rPr>
                <w:sz w:val="20"/>
                <w:lang w:val="ru-RU"/>
              </w:rPr>
            </w:pPr>
            <m:oMathPara>
              <m:oMathParaPr>
                <m:jc m:val="left"/>
              </m:oMathParaPr>
              <m:oMath>
                <m:sSubSup>
                  <m:sSubSupPr>
                    <m:ctrlPr>
                      <w:rPr>
                        <w:rFonts w:ascii="Cambria Math" w:hAnsi="Cambria Math"/>
                        <w:i/>
                        <w:color w:val="000000"/>
                        <w:sz w:val="20"/>
                        <w:lang w:val="ru-RU" w:eastAsia="en-GB"/>
                      </w:rPr>
                    </m:ctrlPr>
                  </m:sSubSupPr>
                  <m:e>
                    <m:r>
                      <w:rPr>
                        <w:rFonts w:ascii="Cambria Math" w:hAnsi="Cambria Math"/>
                        <w:color w:val="000000"/>
                        <w:sz w:val="20"/>
                        <w:lang w:val="ru-RU" w:eastAsia="en-GB"/>
                      </w:rPr>
                      <m:t>m</m:t>
                    </m:r>
                  </m:e>
                  <m:sub>
                    <m:r>
                      <w:rPr>
                        <w:rFonts w:ascii="Cambria Math" w:hAnsi="Cambria Math"/>
                        <w:color w:val="000000"/>
                        <w:sz w:val="20"/>
                        <w:lang w:val="ru-RU" w:eastAsia="en-GB"/>
                      </w:rPr>
                      <m:t>Pu</m:t>
                    </m:r>
                  </m:sub>
                  <m:sup>
                    <m:r>
                      <w:rPr>
                        <w:rFonts w:ascii="Cambria Math" w:hAnsi="Cambria Math"/>
                        <w:color w:val="000000"/>
                        <w:sz w:val="20"/>
                        <w:lang w:val="ru-RU" w:eastAsia="en-GB"/>
                      </w:rPr>
                      <m:t>load</m:t>
                    </m:r>
                  </m:sup>
                </m:sSubSup>
              </m:oMath>
            </m:oMathPara>
          </w:p>
        </w:tc>
        <w:tc>
          <w:tcPr>
            <w:tcW w:w="1446" w:type="dxa"/>
            <w:tcBorders>
              <w:top w:val="single" w:sz="4" w:space="0" w:color="auto"/>
              <w:bottom w:val="single" w:sz="4" w:space="0" w:color="auto"/>
            </w:tcBorders>
            <w:hideMark/>
          </w:tcPr>
          <w:p w:rsidR="00703D96" w:rsidRPr="00703D96" w:rsidRDefault="00703D96" w:rsidP="003F560E">
            <w:pPr>
              <w:jc w:val="center"/>
              <w:rPr>
                <w:sz w:val="20"/>
                <w:lang w:val="ru-RU"/>
              </w:rPr>
            </w:pPr>
            <w:r w:rsidRPr="00703D96">
              <w:rPr>
                <w:sz w:val="20"/>
                <w:lang w:val="ru-RU"/>
              </w:rPr>
              <w:t>0</w:t>
            </w:r>
            <w:r w:rsidR="003F560E">
              <w:rPr>
                <w:sz w:val="20"/>
                <w:lang w:val="en-US"/>
              </w:rPr>
              <w:t>.</w:t>
            </w:r>
            <w:r w:rsidRPr="00703D96">
              <w:rPr>
                <w:sz w:val="20"/>
                <w:lang w:val="ru-RU"/>
              </w:rPr>
              <w:t>15</w:t>
            </w:r>
          </w:p>
        </w:tc>
        <w:tc>
          <w:tcPr>
            <w:tcW w:w="1475" w:type="dxa"/>
            <w:tcBorders>
              <w:top w:val="single" w:sz="4" w:space="0" w:color="auto"/>
              <w:bottom w:val="single" w:sz="4" w:space="0" w:color="auto"/>
            </w:tcBorders>
            <w:hideMark/>
          </w:tcPr>
          <w:p w:rsidR="00703D96" w:rsidRPr="00703D96" w:rsidRDefault="00703D96" w:rsidP="003F560E">
            <w:pPr>
              <w:jc w:val="center"/>
              <w:rPr>
                <w:sz w:val="20"/>
                <w:lang w:val="ru-RU"/>
              </w:rPr>
            </w:pPr>
            <w:r w:rsidRPr="00703D96">
              <w:rPr>
                <w:sz w:val="20"/>
                <w:lang w:val="ru-RU"/>
              </w:rPr>
              <w:t>0</w:t>
            </w:r>
            <w:r w:rsidR="003F560E">
              <w:rPr>
                <w:sz w:val="20"/>
                <w:lang w:val="en-US"/>
              </w:rPr>
              <w:t>.</w:t>
            </w:r>
            <w:r w:rsidRPr="00703D96">
              <w:rPr>
                <w:sz w:val="20"/>
                <w:lang w:val="ru-RU"/>
              </w:rPr>
              <w:t>08</w:t>
            </w:r>
          </w:p>
        </w:tc>
        <w:tc>
          <w:tcPr>
            <w:tcW w:w="1475" w:type="dxa"/>
            <w:tcBorders>
              <w:top w:val="single" w:sz="4" w:space="0" w:color="auto"/>
              <w:bottom w:val="single" w:sz="4" w:space="0" w:color="auto"/>
            </w:tcBorders>
            <w:hideMark/>
          </w:tcPr>
          <w:p w:rsidR="00703D96" w:rsidRPr="00703D96" w:rsidRDefault="00703D96" w:rsidP="00454FB3">
            <w:pPr>
              <w:jc w:val="center"/>
              <w:rPr>
                <w:sz w:val="20"/>
                <w:lang w:val="ru-RU"/>
              </w:rPr>
            </w:pPr>
            <w:r w:rsidRPr="00703D96">
              <w:rPr>
                <w:sz w:val="20"/>
                <w:lang w:val="ru-RU"/>
              </w:rPr>
              <w:t>0</w:t>
            </w:r>
          </w:p>
        </w:tc>
        <w:tc>
          <w:tcPr>
            <w:tcW w:w="1475" w:type="dxa"/>
            <w:tcBorders>
              <w:top w:val="single" w:sz="4" w:space="0" w:color="auto"/>
              <w:bottom w:val="single" w:sz="4" w:space="0" w:color="auto"/>
            </w:tcBorders>
            <w:hideMark/>
          </w:tcPr>
          <w:p w:rsidR="00703D96" w:rsidRPr="00703D96" w:rsidRDefault="00703D96" w:rsidP="00454FB3">
            <w:pPr>
              <w:jc w:val="center"/>
              <w:rPr>
                <w:sz w:val="20"/>
                <w:lang w:val="ru-RU"/>
              </w:rPr>
            </w:pPr>
            <w:r w:rsidRPr="00703D96">
              <w:rPr>
                <w:sz w:val="20"/>
                <w:lang w:val="ru-RU"/>
              </w:rPr>
              <w:t>0</w:t>
            </w:r>
          </w:p>
        </w:tc>
        <w:tc>
          <w:tcPr>
            <w:tcW w:w="1500" w:type="dxa"/>
            <w:tcBorders>
              <w:top w:val="single" w:sz="4" w:space="0" w:color="auto"/>
              <w:bottom w:val="single" w:sz="4" w:space="0" w:color="auto"/>
            </w:tcBorders>
            <w:hideMark/>
          </w:tcPr>
          <w:p w:rsidR="00703D96" w:rsidRPr="00703D96" w:rsidRDefault="00703D96" w:rsidP="00454FB3">
            <w:pPr>
              <w:jc w:val="center"/>
              <w:rPr>
                <w:sz w:val="20"/>
                <w:lang w:val="ru-RU"/>
              </w:rPr>
            </w:pPr>
            <w:r w:rsidRPr="00703D96">
              <w:rPr>
                <w:sz w:val="20"/>
                <w:lang w:val="ru-RU"/>
              </w:rPr>
              <w:t>0</w:t>
            </w:r>
          </w:p>
        </w:tc>
      </w:tr>
      <w:tr w:rsidR="00703D96" w:rsidRPr="00703D96" w:rsidTr="00E67D7D">
        <w:tc>
          <w:tcPr>
            <w:tcW w:w="2014" w:type="dxa"/>
            <w:tcBorders>
              <w:top w:val="single" w:sz="4" w:space="0" w:color="auto"/>
              <w:bottom w:val="single" w:sz="4" w:space="0" w:color="auto"/>
            </w:tcBorders>
          </w:tcPr>
          <w:p w:rsidR="00703D96" w:rsidRPr="003E0F98" w:rsidRDefault="00F22DAC" w:rsidP="003E0F98">
            <w:pPr>
              <w:rPr>
                <w:sz w:val="20"/>
                <w:lang w:val="ru-RU"/>
              </w:rPr>
            </w:pPr>
            <m:oMathPara>
              <m:oMathParaPr>
                <m:jc m:val="left"/>
              </m:oMathParaPr>
              <m:oMath>
                <m:sSubSup>
                  <m:sSubSupPr>
                    <m:ctrlPr>
                      <w:rPr>
                        <w:rFonts w:ascii="Cambria Math" w:hAnsi="Cambria Math"/>
                        <w:i/>
                        <w:color w:val="000000"/>
                        <w:sz w:val="20"/>
                        <w:lang w:val="ru-RU" w:eastAsia="en-GB"/>
                      </w:rPr>
                    </m:ctrlPr>
                  </m:sSubSupPr>
                  <m:e>
                    <m:r>
                      <w:rPr>
                        <w:rFonts w:ascii="Cambria Math" w:hAnsi="Cambria Math"/>
                        <w:color w:val="000000"/>
                        <w:sz w:val="20"/>
                        <w:lang w:val="ru-RU" w:eastAsia="en-GB"/>
                      </w:rPr>
                      <m:t>m</m:t>
                    </m:r>
                  </m:e>
                  <m:sub>
                    <m:r>
                      <w:rPr>
                        <w:rFonts w:ascii="Cambria Math" w:hAnsi="Cambria Math"/>
                        <w:color w:val="000000"/>
                        <w:sz w:val="20"/>
                        <w:lang w:val="ru-RU" w:eastAsia="en-GB"/>
                      </w:rPr>
                      <m:t>Pu</m:t>
                    </m:r>
                  </m:sub>
                  <m:sup>
                    <m:r>
                      <w:rPr>
                        <w:rFonts w:ascii="Cambria Math" w:hAnsi="Cambria Math"/>
                        <w:color w:val="000000"/>
                        <w:sz w:val="20"/>
                        <w:lang w:val="ru-RU" w:eastAsia="en-GB"/>
                      </w:rPr>
                      <m:t>unload</m:t>
                    </m:r>
                  </m:sup>
                </m:sSubSup>
              </m:oMath>
            </m:oMathPara>
          </w:p>
        </w:tc>
        <w:tc>
          <w:tcPr>
            <w:tcW w:w="1446" w:type="dxa"/>
            <w:tcBorders>
              <w:top w:val="single" w:sz="4" w:space="0" w:color="auto"/>
              <w:bottom w:val="single" w:sz="4" w:space="0" w:color="auto"/>
            </w:tcBorders>
          </w:tcPr>
          <w:p w:rsidR="00703D96" w:rsidRPr="00703D96" w:rsidRDefault="00703D96" w:rsidP="00454FB3">
            <w:pPr>
              <w:jc w:val="center"/>
              <w:rPr>
                <w:sz w:val="20"/>
                <w:lang w:val="ru-RU"/>
              </w:rPr>
            </w:pPr>
            <w:r w:rsidRPr="00703D96">
              <w:rPr>
                <w:sz w:val="20"/>
                <w:lang w:val="ru-RU"/>
              </w:rPr>
              <w:t>0</w:t>
            </w:r>
          </w:p>
        </w:tc>
        <w:tc>
          <w:tcPr>
            <w:tcW w:w="1475" w:type="dxa"/>
            <w:tcBorders>
              <w:top w:val="single" w:sz="4" w:space="0" w:color="auto"/>
              <w:bottom w:val="single" w:sz="4" w:space="0" w:color="auto"/>
            </w:tcBorders>
          </w:tcPr>
          <w:p w:rsidR="00703D96" w:rsidRPr="00703D96" w:rsidRDefault="00703D96" w:rsidP="00454FB3">
            <w:pPr>
              <w:jc w:val="center"/>
              <w:rPr>
                <w:sz w:val="20"/>
                <w:lang w:val="ru-RU"/>
              </w:rPr>
            </w:pPr>
            <w:r w:rsidRPr="00703D96">
              <w:rPr>
                <w:sz w:val="20"/>
                <w:lang w:val="ru-RU"/>
              </w:rPr>
              <w:t>0</w:t>
            </w:r>
          </w:p>
        </w:tc>
        <w:tc>
          <w:tcPr>
            <w:tcW w:w="1475" w:type="dxa"/>
            <w:tcBorders>
              <w:top w:val="single" w:sz="4" w:space="0" w:color="auto"/>
              <w:bottom w:val="single" w:sz="4" w:space="0" w:color="auto"/>
            </w:tcBorders>
          </w:tcPr>
          <w:p w:rsidR="00703D96" w:rsidRPr="00703D96" w:rsidRDefault="00703D96" w:rsidP="00454FB3">
            <w:pPr>
              <w:jc w:val="center"/>
              <w:rPr>
                <w:sz w:val="20"/>
                <w:lang w:val="ru-RU"/>
              </w:rPr>
            </w:pPr>
            <w:r w:rsidRPr="00703D96">
              <w:rPr>
                <w:sz w:val="20"/>
                <w:lang w:val="ru-RU"/>
              </w:rPr>
              <w:t>0</w:t>
            </w:r>
          </w:p>
        </w:tc>
        <w:tc>
          <w:tcPr>
            <w:tcW w:w="1475" w:type="dxa"/>
            <w:tcBorders>
              <w:top w:val="single" w:sz="4" w:space="0" w:color="auto"/>
              <w:bottom w:val="single" w:sz="4" w:space="0" w:color="auto"/>
            </w:tcBorders>
          </w:tcPr>
          <w:p w:rsidR="00703D96" w:rsidRPr="00703D96" w:rsidRDefault="00703D96" w:rsidP="003F560E">
            <w:pPr>
              <w:jc w:val="center"/>
              <w:rPr>
                <w:sz w:val="20"/>
                <w:lang w:val="ru-RU"/>
              </w:rPr>
            </w:pPr>
            <w:r w:rsidRPr="00703D96">
              <w:rPr>
                <w:sz w:val="20"/>
                <w:lang w:val="ru-RU"/>
              </w:rPr>
              <w:t>0</w:t>
            </w:r>
            <w:r w:rsidR="003F560E">
              <w:rPr>
                <w:sz w:val="20"/>
                <w:lang w:val="en-US"/>
              </w:rPr>
              <w:t>.</w:t>
            </w:r>
            <w:r w:rsidRPr="00703D96">
              <w:rPr>
                <w:sz w:val="20"/>
                <w:lang w:val="ru-RU"/>
              </w:rPr>
              <w:t>23</w:t>
            </w:r>
          </w:p>
        </w:tc>
        <w:tc>
          <w:tcPr>
            <w:tcW w:w="1500" w:type="dxa"/>
            <w:tcBorders>
              <w:top w:val="single" w:sz="4" w:space="0" w:color="auto"/>
              <w:bottom w:val="single" w:sz="4" w:space="0" w:color="auto"/>
            </w:tcBorders>
          </w:tcPr>
          <w:p w:rsidR="00703D96" w:rsidRPr="00703D96" w:rsidRDefault="00703D96" w:rsidP="003F560E">
            <w:pPr>
              <w:jc w:val="center"/>
              <w:rPr>
                <w:sz w:val="20"/>
                <w:lang w:val="ru-RU"/>
              </w:rPr>
            </w:pPr>
            <w:r w:rsidRPr="00703D96">
              <w:rPr>
                <w:sz w:val="20"/>
                <w:lang w:val="ru-RU"/>
              </w:rPr>
              <w:t>0</w:t>
            </w:r>
            <w:r w:rsidR="003F560E">
              <w:rPr>
                <w:sz w:val="20"/>
                <w:lang w:val="en-US"/>
              </w:rPr>
              <w:t>.</w:t>
            </w:r>
            <w:r w:rsidRPr="00703D96">
              <w:rPr>
                <w:sz w:val="20"/>
                <w:lang w:val="ru-RU"/>
              </w:rPr>
              <w:t>49</w:t>
            </w:r>
          </w:p>
        </w:tc>
      </w:tr>
      <w:tr w:rsidR="00703D96" w:rsidRPr="00703D96" w:rsidTr="00E67D7D">
        <w:tc>
          <w:tcPr>
            <w:tcW w:w="2014" w:type="dxa"/>
            <w:tcBorders>
              <w:top w:val="single" w:sz="4" w:space="0" w:color="auto"/>
              <w:bottom w:val="single" w:sz="4" w:space="0" w:color="auto"/>
            </w:tcBorders>
          </w:tcPr>
          <w:p w:rsidR="00703D96" w:rsidRPr="003E0F98" w:rsidRDefault="003E0F98" w:rsidP="003E0F98">
            <w:pPr>
              <w:rPr>
                <w:sz w:val="20"/>
                <w:lang w:val="ru-RU"/>
              </w:rPr>
            </w:pPr>
            <m:oMathPara>
              <m:oMathParaPr>
                <m:jc m:val="left"/>
              </m:oMathParaPr>
              <m:oMath>
                <m:r>
                  <w:rPr>
                    <w:rFonts w:ascii="Cambria Math" w:hAnsi="Cambria Math"/>
                    <w:sz w:val="20"/>
                    <w:lang w:val="en-US"/>
                  </w:rPr>
                  <m:t>Δ</m:t>
                </m:r>
                <m:sSub>
                  <m:sSubPr>
                    <m:ctrlPr>
                      <w:rPr>
                        <w:rFonts w:ascii="Cambria Math" w:hAnsi="Cambria Math"/>
                        <w:i/>
                        <w:sz w:val="20"/>
                        <w:lang w:val="en-US"/>
                      </w:rPr>
                    </m:ctrlPr>
                  </m:sSubPr>
                  <m:e>
                    <m:r>
                      <w:rPr>
                        <w:rFonts w:ascii="Cambria Math" w:hAnsi="Cambria Math"/>
                        <w:sz w:val="20"/>
                        <w:lang w:val="en-US"/>
                      </w:rPr>
                      <m:t>m</m:t>
                    </m:r>
                  </m:e>
                  <m:sub>
                    <m:r>
                      <w:rPr>
                        <w:rFonts w:ascii="Cambria Math" w:hAnsi="Cambria Math"/>
                        <w:sz w:val="20"/>
                        <w:lang w:val="en-US"/>
                      </w:rPr>
                      <m:t>TMA</m:t>
                    </m:r>
                  </m:sub>
                </m:sSub>
              </m:oMath>
            </m:oMathPara>
          </w:p>
        </w:tc>
        <w:tc>
          <w:tcPr>
            <w:tcW w:w="1446" w:type="dxa"/>
            <w:tcBorders>
              <w:top w:val="single" w:sz="4" w:space="0" w:color="auto"/>
              <w:bottom w:val="single" w:sz="4" w:space="0" w:color="auto"/>
            </w:tcBorders>
          </w:tcPr>
          <w:p w:rsidR="00703D96" w:rsidRPr="00703D96" w:rsidRDefault="00703D96" w:rsidP="003F560E">
            <w:pPr>
              <w:jc w:val="center"/>
              <w:rPr>
                <w:sz w:val="20"/>
                <w:lang w:val="ru-RU"/>
              </w:rPr>
            </w:pPr>
            <w:r w:rsidRPr="00703D96">
              <w:rPr>
                <w:sz w:val="20"/>
                <w:lang w:val="ru-RU"/>
              </w:rPr>
              <w:t>0</w:t>
            </w:r>
            <w:r w:rsidR="003F560E">
              <w:rPr>
                <w:sz w:val="20"/>
                <w:lang w:val="en-US"/>
              </w:rPr>
              <w:t>.</w:t>
            </w:r>
            <w:r w:rsidRPr="00703D96">
              <w:rPr>
                <w:sz w:val="20"/>
                <w:lang w:val="ru-RU"/>
              </w:rPr>
              <w:t>16</w:t>
            </w:r>
          </w:p>
        </w:tc>
        <w:tc>
          <w:tcPr>
            <w:tcW w:w="1475" w:type="dxa"/>
            <w:tcBorders>
              <w:top w:val="single" w:sz="4" w:space="0" w:color="auto"/>
              <w:bottom w:val="single" w:sz="4" w:space="0" w:color="auto"/>
            </w:tcBorders>
          </w:tcPr>
          <w:p w:rsidR="00703D96" w:rsidRPr="00703D96" w:rsidRDefault="00703D96" w:rsidP="003F560E">
            <w:pPr>
              <w:jc w:val="center"/>
              <w:rPr>
                <w:sz w:val="20"/>
                <w:lang w:val="ru-RU"/>
              </w:rPr>
            </w:pPr>
            <w:r w:rsidRPr="00703D96">
              <w:rPr>
                <w:sz w:val="20"/>
                <w:lang w:val="ru-RU"/>
              </w:rPr>
              <w:t>0</w:t>
            </w:r>
            <w:r w:rsidR="003F560E">
              <w:rPr>
                <w:sz w:val="20"/>
                <w:lang w:val="en-US"/>
              </w:rPr>
              <w:t>.</w:t>
            </w:r>
            <w:r w:rsidRPr="00703D96">
              <w:rPr>
                <w:sz w:val="20"/>
                <w:lang w:val="ru-RU"/>
              </w:rPr>
              <w:t>23</w:t>
            </w:r>
          </w:p>
        </w:tc>
        <w:tc>
          <w:tcPr>
            <w:tcW w:w="1475" w:type="dxa"/>
            <w:tcBorders>
              <w:top w:val="single" w:sz="4" w:space="0" w:color="auto"/>
              <w:bottom w:val="single" w:sz="4" w:space="0" w:color="auto"/>
            </w:tcBorders>
          </w:tcPr>
          <w:p w:rsidR="00703D96" w:rsidRPr="00703D96" w:rsidRDefault="00703D96" w:rsidP="003F560E">
            <w:pPr>
              <w:jc w:val="center"/>
              <w:rPr>
                <w:sz w:val="20"/>
                <w:lang w:val="ru-RU"/>
              </w:rPr>
            </w:pPr>
            <w:r w:rsidRPr="00703D96">
              <w:rPr>
                <w:sz w:val="20"/>
                <w:lang w:val="ru-RU"/>
              </w:rPr>
              <w:t>0</w:t>
            </w:r>
            <w:r w:rsidR="003F560E">
              <w:rPr>
                <w:sz w:val="20"/>
                <w:lang w:val="en-US"/>
              </w:rPr>
              <w:t>.</w:t>
            </w:r>
            <w:r w:rsidRPr="00703D96">
              <w:rPr>
                <w:sz w:val="20"/>
                <w:lang w:val="ru-RU"/>
              </w:rPr>
              <w:t>31</w:t>
            </w:r>
          </w:p>
        </w:tc>
        <w:tc>
          <w:tcPr>
            <w:tcW w:w="1475" w:type="dxa"/>
            <w:tcBorders>
              <w:top w:val="single" w:sz="4" w:space="0" w:color="auto"/>
              <w:bottom w:val="single" w:sz="4" w:space="0" w:color="auto"/>
            </w:tcBorders>
          </w:tcPr>
          <w:p w:rsidR="00703D96" w:rsidRPr="00703D96" w:rsidRDefault="00703D96" w:rsidP="003F560E">
            <w:pPr>
              <w:jc w:val="center"/>
              <w:rPr>
                <w:sz w:val="20"/>
                <w:lang w:val="ru-RU"/>
              </w:rPr>
            </w:pPr>
            <w:r w:rsidRPr="00703D96">
              <w:rPr>
                <w:sz w:val="20"/>
                <w:lang w:val="ru-RU"/>
              </w:rPr>
              <w:t>0</w:t>
            </w:r>
            <w:r w:rsidR="003F560E">
              <w:rPr>
                <w:sz w:val="20"/>
                <w:lang w:val="en-US"/>
              </w:rPr>
              <w:t>.</w:t>
            </w:r>
            <w:r w:rsidRPr="00703D96">
              <w:rPr>
                <w:sz w:val="20"/>
                <w:lang w:val="ru-RU"/>
              </w:rPr>
              <w:t>31</w:t>
            </w:r>
          </w:p>
        </w:tc>
        <w:tc>
          <w:tcPr>
            <w:tcW w:w="1500" w:type="dxa"/>
            <w:tcBorders>
              <w:top w:val="single" w:sz="4" w:space="0" w:color="auto"/>
              <w:bottom w:val="single" w:sz="4" w:space="0" w:color="auto"/>
            </w:tcBorders>
          </w:tcPr>
          <w:p w:rsidR="00703D96" w:rsidRPr="00703D96" w:rsidRDefault="00703D96" w:rsidP="003F560E">
            <w:pPr>
              <w:jc w:val="center"/>
              <w:rPr>
                <w:sz w:val="20"/>
                <w:lang w:val="ru-RU"/>
              </w:rPr>
            </w:pPr>
            <w:r w:rsidRPr="00703D96">
              <w:rPr>
                <w:sz w:val="20"/>
                <w:lang w:val="ru-RU"/>
              </w:rPr>
              <w:t>0</w:t>
            </w:r>
            <w:r w:rsidR="003F560E">
              <w:rPr>
                <w:sz w:val="20"/>
                <w:lang w:val="en-US"/>
              </w:rPr>
              <w:t>.</w:t>
            </w:r>
            <w:r w:rsidRPr="00703D96">
              <w:rPr>
                <w:sz w:val="20"/>
                <w:lang w:val="ru-RU"/>
              </w:rPr>
              <w:t>31</w:t>
            </w:r>
          </w:p>
        </w:tc>
      </w:tr>
    </w:tbl>
    <w:p w:rsidR="003F4E81" w:rsidRPr="00434857" w:rsidRDefault="00434857" w:rsidP="00434857">
      <w:pPr>
        <w:jc w:val="both"/>
        <w:rPr>
          <w:sz w:val="20"/>
          <w:lang w:val="en-US"/>
        </w:rPr>
      </w:pPr>
      <w:r w:rsidRPr="00434857">
        <w:rPr>
          <w:sz w:val="20"/>
          <w:lang w:val="en-US"/>
        </w:rPr>
        <w:t>In the table:</w:t>
      </w:r>
      <w:r>
        <w:rPr>
          <w:sz w:val="20"/>
          <w:lang w:val="en-US"/>
        </w:rPr>
        <w:t xml:space="preserve"> </w:t>
      </w:r>
      <m:oMath>
        <m:sSub>
          <m:sSubPr>
            <m:ctrlPr>
              <w:rPr>
                <w:rFonts w:ascii="Cambria Math" w:hAnsi="Cambria Math"/>
                <w:color w:val="000000"/>
                <w:sz w:val="20"/>
                <w:lang w:val="ru-RU" w:eastAsia="en-GB"/>
              </w:rPr>
            </m:ctrlPr>
          </m:sSubPr>
          <m:e>
            <m:r>
              <m:rPr>
                <m:sty m:val="p"/>
              </m:rPr>
              <w:rPr>
                <w:rFonts w:ascii="Cambria Math" w:hAnsi="Cambria Math"/>
                <w:sz w:val="20"/>
              </w:rPr>
              <m:t>m</m:t>
            </m:r>
          </m:e>
          <m:sub>
            <m:r>
              <m:rPr>
                <m:sty m:val="p"/>
              </m:rPr>
              <w:rPr>
                <w:rFonts w:ascii="Cambria Math" w:hAnsi="Cambria Math"/>
                <w:sz w:val="20"/>
              </w:rPr>
              <m:t>MA</m:t>
            </m:r>
          </m:sub>
        </m:sSub>
      </m:oMath>
      <w:r w:rsidRPr="00434857">
        <w:rPr>
          <w:color w:val="000000"/>
          <w:sz w:val="20"/>
          <w:lang w:val="en-US" w:eastAsia="en-GB"/>
        </w:rPr>
        <w:t xml:space="preserve"> </w:t>
      </w:r>
      <w:r w:rsidRPr="00434857">
        <w:rPr>
          <w:sz w:val="20"/>
          <w:lang w:val="ru-RU"/>
        </w:rPr>
        <w:t>и</w:t>
      </w:r>
      <w:r w:rsidRPr="00434857">
        <w:rPr>
          <w:sz w:val="20"/>
          <w:lang w:val="en-US"/>
        </w:rPr>
        <w:t xml:space="preserve"> </w:t>
      </w:r>
      <m:oMath>
        <m:sSubSup>
          <m:sSubSupPr>
            <m:ctrlPr>
              <w:rPr>
                <w:rFonts w:ascii="Cambria Math" w:hAnsi="Cambria Math"/>
                <w:i/>
                <w:color w:val="000000"/>
                <w:sz w:val="20"/>
                <w:lang w:val="ru-RU" w:eastAsia="en-GB"/>
              </w:rPr>
            </m:ctrlPr>
          </m:sSubSupPr>
          <m:e>
            <m:r>
              <w:rPr>
                <w:rFonts w:ascii="Cambria Math" w:hAnsi="Cambria Math"/>
                <w:color w:val="000000"/>
                <w:sz w:val="20"/>
                <w:lang w:val="en-US" w:eastAsia="en-GB"/>
              </w:rPr>
              <m:t>m</m:t>
            </m:r>
          </m:e>
          <m:sub>
            <m:r>
              <w:rPr>
                <w:rFonts w:ascii="Cambria Math" w:hAnsi="Cambria Math"/>
                <w:color w:val="000000"/>
                <w:sz w:val="20"/>
                <w:lang w:val="en-US" w:eastAsia="en-GB"/>
              </w:rPr>
              <m:t>Pu</m:t>
            </m:r>
          </m:sub>
          <m:sup>
            <m:r>
              <w:rPr>
                <w:rFonts w:ascii="Cambria Math" w:hAnsi="Cambria Math"/>
                <w:color w:val="000000"/>
                <w:sz w:val="20"/>
                <w:lang w:val="en-US" w:eastAsia="en-GB"/>
              </w:rPr>
              <m:t>load</m:t>
            </m:r>
          </m:sup>
        </m:sSubSup>
      </m:oMath>
      <w:r>
        <w:rPr>
          <w:color w:val="000000"/>
          <w:sz w:val="20"/>
          <w:lang w:val="en-US" w:eastAsia="en-GB"/>
        </w:rPr>
        <w:t xml:space="preserve"> </w:t>
      </w:r>
      <w:r w:rsidRPr="00434857">
        <w:rPr>
          <w:sz w:val="20"/>
          <w:lang w:val="en-US"/>
        </w:rPr>
        <w:t xml:space="preserve">– MA and Pu </w:t>
      </w:r>
      <w:r w:rsidRPr="00434857">
        <w:rPr>
          <w:sz w:val="20"/>
        </w:rPr>
        <w:t>mass</w:t>
      </w:r>
      <w:r w:rsidRPr="00434857">
        <w:rPr>
          <w:sz w:val="20"/>
          <w:lang w:val="en-US"/>
        </w:rPr>
        <w:t xml:space="preserve"> </w:t>
      </w:r>
      <w:r w:rsidRPr="00434857">
        <w:rPr>
          <w:sz w:val="20"/>
        </w:rPr>
        <w:t>in</w:t>
      </w:r>
      <w:r w:rsidRPr="00434857">
        <w:rPr>
          <w:sz w:val="20"/>
          <w:lang w:val="en-US"/>
        </w:rPr>
        <w:t xml:space="preserve"> </w:t>
      </w:r>
      <w:r w:rsidRPr="00434857">
        <w:rPr>
          <w:sz w:val="20"/>
        </w:rPr>
        <w:t>the</w:t>
      </w:r>
      <w:r w:rsidRPr="00434857">
        <w:rPr>
          <w:sz w:val="20"/>
          <w:lang w:val="en-US"/>
        </w:rPr>
        <w:t xml:space="preserve"> </w:t>
      </w:r>
      <w:r w:rsidRPr="00434857">
        <w:rPr>
          <w:sz w:val="20"/>
        </w:rPr>
        <w:t>feed</w:t>
      </w:r>
      <w:r w:rsidRPr="00434857">
        <w:rPr>
          <w:sz w:val="20"/>
          <w:lang w:val="en-US"/>
        </w:rPr>
        <w:t xml:space="preserve"> </w:t>
      </w:r>
      <w:r w:rsidRPr="00434857">
        <w:rPr>
          <w:sz w:val="20"/>
        </w:rPr>
        <w:t>fuel</w:t>
      </w:r>
      <w:r w:rsidRPr="00434857">
        <w:rPr>
          <w:sz w:val="20"/>
          <w:lang w:val="en-US"/>
        </w:rPr>
        <w:t>, respectively</w:t>
      </w:r>
      <w:r>
        <w:rPr>
          <w:sz w:val="20"/>
          <w:lang w:val="en-US"/>
        </w:rPr>
        <w:t xml:space="preserve">; </w:t>
      </w:r>
      <m:oMath>
        <m:sSubSup>
          <m:sSubSupPr>
            <m:ctrlPr>
              <w:rPr>
                <w:rFonts w:ascii="Cambria Math" w:hAnsi="Cambria Math"/>
                <w:i/>
                <w:color w:val="000000"/>
                <w:sz w:val="20"/>
                <w:lang w:val="ru-RU" w:eastAsia="en-GB"/>
              </w:rPr>
            </m:ctrlPr>
          </m:sSubSupPr>
          <m:e>
            <m:r>
              <w:rPr>
                <w:rFonts w:ascii="Cambria Math" w:hAnsi="Cambria Math"/>
                <w:color w:val="000000"/>
                <w:sz w:val="20"/>
                <w:lang w:val="ru-RU" w:eastAsia="en-GB"/>
              </w:rPr>
              <m:t>m</m:t>
            </m:r>
          </m:e>
          <m:sub>
            <m:r>
              <w:rPr>
                <w:rFonts w:ascii="Cambria Math" w:hAnsi="Cambria Math"/>
                <w:color w:val="000000"/>
                <w:sz w:val="20"/>
                <w:lang w:val="ru-RU" w:eastAsia="en-GB"/>
              </w:rPr>
              <m:t>Pu</m:t>
            </m:r>
          </m:sub>
          <m:sup>
            <m:r>
              <w:rPr>
                <w:rFonts w:ascii="Cambria Math" w:hAnsi="Cambria Math"/>
                <w:color w:val="000000"/>
                <w:sz w:val="20"/>
                <w:lang w:val="ru-RU" w:eastAsia="en-GB"/>
              </w:rPr>
              <m:t>unload</m:t>
            </m:r>
          </m:sup>
        </m:sSubSup>
      </m:oMath>
      <w:r w:rsidRPr="00434857">
        <w:rPr>
          <w:color w:val="000000"/>
          <w:sz w:val="20"/>
          <w:lang w:val="en-US" w:eastAsia="en-GB"/>
        </w:rPr>
        <w:t xml:space="preserve"> </w:t>
      </w:r>
      <w:r w:rsidRPr="00434857">
        <w:rPr>
          <w:sz w:val="20"/>
          <w:lang w:val="en-US"/>
        </w:rPr>
        <w:t xml:space="preserve">– </w:t>
      </w:r>
      <w:r>
        <w:rPr>
          <w:sz w:val="20"/>
          <w:lang w:val="en-US"/>
        </w:rPr>
        <w:t>mass</w:t>
      </w:r>
      <w:r w:rsidRPr="00434857">
        <w:rPr>
          <w:sz w:val="20"/>
          <w:lang w:val="en-US"/>
        </w:rPr>
        <w:t xml:space="preserve"> </w:t>
      </w:r>
      <w:r>
        <w:rPr>
          <w:sz w:val="20"/>
          <w:lang w:val="en-US"/>
        </w:rPr>
        <w:t>of</w:t>
      </w:r>
      <w:r w:rsidRPr="00434857">
        <w:rPr>
          <w:sz w:val="20"/>
          <w:lang w:val="en-US"/>
        </w:rPr>
        <w:t xml:space="preserve"> </w:t>
      </w:r>
      <w:r>
        <w:rPr>
          <w:sz w:val="20"/>
          <w:lang w:val="en-US"/>
        </w:rPr>
        <w:t>unloading</w:t>
      </w:r>
      <w:r w:rsidRPr="00434857">
        <w:rPr>
          <w:sz w:val="20"/>
          <w:lang w:val="en-US"/>
        </w:rPr>
        <w:t xml:space="preserve"> </w:t>
      </w:r>
      <w:r>
        <w:rPr>
          <w:sz w:val="20"/>
          <w:lang w:val="en-US"/>
        </w:rPr>
        <w:t xml:space="preserve">Pu; </w:t>
      </w:r>
      <m:oMath>
        <m:r>
          <w:rPr>
            <w:rFonts w:ascii="Cambria Math" w:hAnsi="Cambria Math"/>
            <w:sz w:val="20"/>
            <w:lang w:val="en-US"/>
          </w:rPr>
          <m:t>Δ</m:t>
        </m:r>
        <m:sSub>
          <m:sSubPr>
            <m:ctrlPr>
              <w:rPr>
                <w:rFonts w:ascii="Cambria Math" w:hAnsi="Cambria Math"/>
                <w:i/>
                <w:sz w:val="20"/>
                <w:lang w:val="en-US"/>
              </w:rPr>
            </m:ctrlPr>
          </m:sSubPr>
          <m:e>
            <m:r>
              <w:rPr>
                <w:rFonts w:ascii="Cambria Math" w:hAnsi="Cambria Math"/>
                <w:sz w:val="20"/>
                <w:lang w:val="en-US"/>
              </w:rPr>
              <m:t>m</m:t>
            </m:r>
          </m:e>
          <m:sub>
            <m:r>
              <w:rPr>
                <w:rFonts w:ascii="Cambria Math" w:hAnsi="Cambria Math"/>
                <w:sz w:val="20"/>
                <w:lang w:val="en-US"/>
              </w:rPr>
              <m:t>TMA</m:t>
            </m:r>
          </m:sub>
        </m:sSub>
      </m:oMath>
      <w:r w:rsidRPr="00434857">
        <w:rPr>
          <w:sz w:val="20"/>
          <w:lang w:val="en-US"/>
        </w:rPr>
        <w:t xml:space="preserve"> – </w:t>
      </w:r>
      <w:r>
        <w:rPr>
          <w:sz w:val="20"/>
          <w:lang w:val="en-US"/>
        </w:rPr>
        <w:t>mass</w:t>
      </w:r>
      <w:r w:rsidRPr="00434857">
        <w:rPr>
          <w:sz w:val="20"/>
          <w:lang w:val="en-US"/>
        </w:rPr>
        <w:t xml:space="preserve"> </w:t>
      </w:r>
      <w:r>
        <w:rPr>
          <w:sz w:val="20"/>
          <w:lang w:val="en-US"/>
        </w:rPr>
        <w:t>of</w:t>
      </w:r>
      <w:r w:rsidRPr="00434857">
        <w:rPr>
          <w:sz w:val="20"/>
          <w:lang w:val="en-US"/>
        </w:rPr>
        <w:t xml:space="preserve"> </w:t>
      </w:r>
      <w:r w:rsidRPr="00DE1B64">
        <w:rPr>
          <w:sz w:val="20"/>
          <w:lang w:val="en-US"/>
        </w:rPr>
        <w:t>transmuted MA</w:t>
      </w:r>
      <w:r>
        <w:rPr>
          <w:sz w:val="20"/>
          <w:lang w:val="en-US"/>
        </w:rPr>
        <w:t>.</w:t>
      </w:r>
    </w:p>
    <w:p w:rsidR="00AF1CAD" w:rsidRPr="00434857" w:rsidRDefault="00AF1CAD" w:rsidP="00985F65">
      <w:pPr>
        <w:pStyle w:val="Default"/>
        <w:ind w:firstLine="567"/>
        <w:jc w:val="both"/>
        <w:rPr>
          <w:sz w:val="20"/>
          <w:szCs w:val="20"/>
          <w:lang w:val="en-US"/>
        </w:rPr>
      </w:pPr>
    </w:p>
    <w:p w:rsidR="00DE1B64" w:rsidRPr="00DE1B64" w:rsidRDefault="00DE1B64" w:rsidP="00434857">
      <w:pPr>
        <w:pStyle w:val="Default"/>
        <w:ind w:firstLine="567"/>
        <w:jc w:val="both"/>
        <w:rPr>
          <w:i/>
          <w:color w:val="auto"/>
          <w:sz w:val="18"/>
          <w:szCs w:val="20"/>
          <w:lang w:val="en-US" w:eastAsia="en-US"/>
        </w:rPr>
      </w:pPr>
      <w:r w:rsidRPr="00DE1B64">
        <w:rPr>
          <w:sz w:val="20"/>
          <w:szCs w:val="20"/>
          <w:lang w:val="en-US"/>
        </w:rPr>
        <w:t xml:space="preserve">If the reactor operation amounts to 50 campaigns, then for the variant with </w:t>
      </w:r>
      <m:oMath>
        <m:sSub>
          <m:sSubPr>
            <m:ctrlPr>
              <w:rPr>
                <w:rFonts w:ascii="Cambria Math" w:hAnsi="Cambria Math"/>
                <w:i/>
                <w:sz w:val="20"/>
                <w:szCs w:val="20"/>
              </w:rPr>
            </m:ctrlPr>
          </m:sSubPr>
          <m:e>
            <m:r>
              <w:rPr>
                <w:rFonts w:ascii="Cambria Math" w:hAnsi="Cambria Math"/>
                <w:sz w:val="20"/>
                <w:szCs w:val="20"/>
              </w:rPr>
              <m:t>ν</m:t>
            </m:r>
          </m:e>
          <m:sub>
            <m:r>
              <w:rPr>
                <w:rFonts w:ascii="Cambria Math" w:hAnsi="Cambria Math"/>
                <w:sz w:val="20"/>
                <w:szCs w:val="20"/>
              </w:rPr>
              <m:t>A</m:t>
            </m:r>
          </m:sub>
        </m:sSub>
      </m:oMath>
      <w:r w:rsidRPr="00DE1B64">
        <w:rPr>
          <w:i/>
          <w:iCs/>
          <w:sz w:val="13"/>
          <w:szCs w:val="13"/>
          <w:lang w:val="en-US"/>
        </w:rPr>
        <w:t xml:space="preserve"> </w:t>
      </w:r>
      <w:r w:rsidRPr="00DE1B64">
        <w:rPr>
          <w:sz w:val="20"/>
          <w:szCs w:val="20"/>
          <w:lang w:val="en-US"/>
        </w:rPr>
        <w:t xml:space="preserve">= 3 %, mole, the total loading, including the startup one, is ~8.9 t of MA, ~9.5 t of reactor-grade plutonium. In this case, ~8 t of MA undergoes transmutation. In the case of the optimal concentration </w:t>
      </w:r>
      <m:oMath>
        <m:sSub>
          <m:sSubPr>
            <m:ctrlPr>
              <w:rPr>
                <w:rFonts w:ascii="Cambria Math" w:hAnsi="Cambria Math"/>
                <w:i/>
                <w:sz w:val="20"/>
                <w:szCs w:val="20"/>
              </w:rPr>
            </m:ctrlPr>
          </m:sSubPr>
          <m:e>
            <m:r>
              <w:rPr>
                <w:rFonts w:ascii="Cambria Math" w:hAnsi="Cambria Math"/>
                <w:sz w:val="20"/>
                <w:szCs w:val="20"/>
              </w:rPr>
              <m:t>ν</m:t>
            </m:r>
          </m:e>
          <m:sub>
            <m:r>
              <w:rPr>
                <w:rFonts w:ascii="Cambria Math" w:hAnsi="Cambria Math"/>
                <w:sz w:val="20"/>
                <w:szCs w:val="20"/>
              </w:rPr>
              <m:t>A</m:t>
            </m:r>
          </m:sub>
        </m:sSub>
      </m:oMath>
      <w:r w:rsidRPr="00DE1B64">
        <w:rPr>
          <w:i/>
          <w:iCs/>
          <w:sz w:val="13"/>
          <w:szCs w:val="13"/>
          <w:lang w:val="en-US"/>
        </w:rPr>
        <w:t xml:space="preserve"> </w:t>
      </w:r>
      <w:r w:rsidRPr="00DE1B64">
        <w:rPr>
          <w:sz w:val="20"/>
          <w:szCs w:val="20"/>
          <w:lang w:val="en-US"/>
        </w:rPr>
        <w:t xml:space="preserve">= 8%, twice as large MA undergo transmutation, i.e. ~16 t when their total loading is 20 t and plutonium consumption is ~4.3 t. For the variant with </w:t>
      </w:r>
      <m:oMath>
        <m:sSub>
          <m:sSubPr>
            <m:ctrlPr>
              <w:rPr>
                <w:rFonts w:ascii="Cambria Math" w:hAnsi="Cambria Math"/>
                <w:i/>
                <w:sz w:val="20"/>
                <w:szCs w:val="20"/>
              </w:rPr>
            </m:ctrlPr>
          </m:sSubPr>
          <m:e>
            <m:r>
              <w:rPr>
                <w:rFonts w:ascii="Cambria Math" w:hAnsi="Cambria Math"/>
                <w:sz w:val="20"/>
                <w:szCs w:val="20"/>
              </w:rPr>
              <m:t>ν</m:t>
            </m:r>
          </m:e>
          <m:sub>
            <m:r>
              <w:rPr>
                <w:rFonts w:ascii="Cambria Math" w:hAnsi="Cambria Math"/>
                <w:sz w:val="20"/>
                <w:szCs w:val="20"/>
              </w:rPr>
              <m:t>A</m:t>
            </m:r>
          </m:sub>
        </m:sSub>
      </m:oMath>
      <w:r w:rsidRPr="00DE1B64">
        <w:rPr>
          <w:i/>
          <w:iCs/>
          <w:sz w:val="13"/>
          <w:szCs w:val="13"/>
          <w:lang w:val="en-US"/>
        </w:rPr>
        <w:t xml:space="preserve"> </w:t>
      </w:r>
      <w:r w:rsidRPr="00DE1B64">
        <w:rPr>
          <w:sz w:val="20"/>
          <w:szCs w:val="20"/>
          <w:lang w:val="en-US"/>
        </w:rPr>
        <w:t xml:space="preserve">= 15%, during the same operation time with the same amount of transmuted MA as in conditions with the optimal concentration of actinides (~16 t), it will be necessary to load ~5 t of plutonium and ~36 t of MA. In this case, ~10 t of plutonium containing ~6 t of </w:t>
      </w:r>
      <w:r w:rsidRPr="00FB7FFB">
        <w:rPr>
          <w:sz w:val="20"/>
          <w:szCs w:val="20"/>
          <w:vertAlign w:val="superscript"/>
          <w:lang w:val="en-US"/>
        </w:rPr>
        <w:t>238</w:t>
      </w:r>
      <w:r w:rsidRPr="00DE1B64">
        <w:rPr>
          <w:sz w:val="20"/>
          <w:szCs w:val="20"/>
          <w:lang w:val="en-US"/>
        </w:rPr>
        <w:t xml:space="preserve">Pu will be accumulated as a result of fuel composition recycling. Even greater amount of this plutonium will be accumulated in the variant with </w:t>
      </w:r>
      <m:oMath>
        <m:sSub>
          <m:sSubPr>
            <m:ctrlPr>
              <w:rPr>
                <w:rFonts w:ascii="Cambria Math" w:hAnsi="Cambria Math"/>
                <w:i/>
                <w:sz w:val="20"/>
                <w:szCs w:val="20"/>
              </w:rPr>
            </m:ctrlPr>
          </m:sSubPr>
          <m:e>
            <m:r>
              <w:rPr>
                <w:rFonts w:ascii="Cambria Math" w:hAnsi="Cambria Math"/>
                <w:sz w:val="20"/>
                <w:szCs w:val="20"/>
              </w:rPr>
              <m:t>ν</m:t>
            </m:r>
          </m:e>
          <m:sub>
            <m:r>
              <w:rPr>
                <w:rFonts w:ascii="Cambria Math" w:hAnsi="Cambria Math"/>
                <w:sz w:val="20"/>
                <w:szCs w:val="20"/>
              </w:rPr>
              <m:t>A</m:t>
            </m:r>
          </m:sub>
        </m:sSub>
      </m:oMath>
      <w:r w:rsidRPr="00DE1B64">
        <w:rPr>
          <w:i/>
          <w:iCs/>
          <w:sz w:val="13"/>
          <w:szCs w:val="13"/>
          <w:lang w:val="en-US"/>
        </w:rPr>
        <w:t xml:space="preserve"> </w:t>
      </w:r>
      <w:r w:rsidRPr="00DE1B64">
        <w:rPr>
          <w:sz w:val="20"/>
          <w:szCs w:val="20"/>
          <w:lang w:val="en-US"/>
        </w:rPr>
        <w:t>= 30%.</w:t>
      </w:r>
    </w:p>
    <w:p w:rsidR="00FB7FFB" w:rsidRDefault="00FB7FFB" w:rsidP="00FB7FFB">
      <w:pPr>
        <w:pStyle w:val="2"/>
        <w:numPr>
          <w:ilvl w:val="1"/>
          <w:numId w:val="10"/>
        </w:numPr>
        <w:jc w:val="both"/>
        <w:rPr>
          <w:szCs w:val="24"/>
          <w:lang w:eastAsia="ru-RU"/>
        </w:rPr>
      </w:pPr>
      <w:r w:rsidRPr="0089422E">
        <w:rPr>
          <w:bCs/>
        </w:rPr>
        <w:t>Characteristics</w:t>
      </w:r>
      <w:r w:rsidRPr="0070466D">
        <w:t xml:space="preserve"> </w:t>
      </w:r>
      <w:r>
        <w:t xml:space="preserve">of MA </w:t>
      </w:r>
      <w:r w:rsidRPr="00DD0FA0">
        <w:rPr>
          <w:szCs w:val="24"/>
          <w:lang w:eastAsia="ru-RU"/>
        </w:rPr>
        <w:t xml:space="preserve">TRANSMUTATION IN A MSR-BURNER BASED ON </w:t>
      </w:r>
      <w:proofErr w:type="spellStart"/>
      <w:r w:rsidRPr="00DD0FA0">
        <w:rPr>
          <w:szCs w:val="24"/>
        </w:rPr>
        <w:t>L</w:t>
      </w:r>
      <w:r w:rsidRPr="00DD0FA0">
        <w:rPr>
          <w:caps w:val="0"/>
          <w:szCs w:val="24"/>
        </w:rPr>
        <w:t>i</w:t>
      </w:r>
      <w:r w:rsidRPr="00DD0FA0">
        <w:rPr>
          <w:szCs w:val="24"/>
        </w:rPr>
        <w:t>F</w:t>
      </w:r>
      <w:proofErr w:type="spellEnd"/>
      <w:r w:rsidRPr="00DD0FA0">
        <w:rPr>
          <w:szCs w:val="24"/>
        </w:rPr>
        <w:t>–</w:t>
      </w:r>
      <w:proofErr w:type="spellStart"/>
      <w:r w:rsidRPr="00DD0FA0">
        <w:rPr>
          <w:szCs w:val="24"/>
        </w:rPr>
        <w:t>N</w:t>
      </w:r>
      <w:r>
        <w:rPr>
          <w:caps w:val="0"/>
          <w:szCs w:val="24"/>
        </w:rPr>
        <w:t>a</w:t>
      </w:r>
      <w:r w:rsidRPr="00DD0FA0">
        <w:rPr>
          <w:szCs w:val="24"/>
        </w:rPr>
        <w:t>F</w:t>
      </w:r>
      <w:proofErr w:type="spellEnd"/>
      <w:r w:rsidRPr="00DD0FA0">
        <w:rPr>
          <w:szCs w:val="24"/>
        </w:rPr>
        <w:t>–KF</w:t>
      </w:r>
      <w:r w:rsidRPr="00DD0FA0">
        <w:rPr>
          <w:szCs w:val="24"/>
          <w:lang w:eastAsia="ru-RU"/>
        </w:rPr>
        <w:t xml:space="preserve"> AND </w:t>
      </w:r>
      <w:proofErr w:type="spellStart"/>
      <w:r w:rsidRPr="00DD0FA0">
        <w:rPr>
          <w:szCs w:val="24"/>
        </w:rPr>
        <w:t>L</w:t>
      </w:r>
      <w:r w:rsidRPr="00DD0FA0">
        <w:rPr>
          <w:caps w:val="0"/>
          <w:szCs w:val="24"/>
        </w:rPr>
        <w:t>i</w:t>
      </w:r>
      <w:r w:rsidRPr="00DD0FA0">
        <w:rPr>
          <w:szCs w:val="24"/>
        </w:rPr>
        <w:t>F</w:t>
      </w:r>
      <w:proofErr w:type="spellEnd"/>
      <w:r w:rsidRPr="00DD0FA0">
        <w:rPr>
          <w:szCs w:val="24"/>
        </w:rPr>
        <w:t>–B</w:t>
      </w:r>
      <w:r w:rsidRPr="00DD0FA0">
        <w:rPr>
          <w:caps w:val="0"/>
          <w:szCs w:val="24"/>
        </w:rPr>
        <w:t>e</w:t>
      </w:r>
      <w:r w:rsidRPr="00DD0FA0">
        <w:rPr>
          <w:szCs w:val="24"/>
        </w:rPr>
        <w:t>F</w:t>
      </w:r>
      <w:r w:rsidRPr="00DD0FA0">
        <w:rPr>
          <w:szCs w:val="24"/>
          <w:vertAlign w:val="subscript"/>
        </w:rPr>
        <w:t>2</w:t>
      </w:r>
      <w:r w:rsidRPr="00DD0FA0">
        <w:rPr>
          <w:szCs w:val="24"/>
          <w:lang w:eastAsia="ru-RU"/>
        </w:rPr>
        <w:t xml:space="preserve"> SALTS</w:t>
      </w:r>
    </w:p>
    <w:p w:rsidR="00E81DAB" w:rsidRDefault="00FB7FFB" w:rsidP="00FB7FFB">
      <w:pPr>
        <w:pStyle w:val="a1"/>
        <w:rPr>
          <w:lang w:val="en-US"/>
        </w:rPr>
      </w:pPr>
      <w:r w:rsidRPr="00FB7FFB">
        <w:rPr>
          <w:lang w:val="en-US" w:eastAsia="en-GB"/>
        </w:rPr>
        <w:t xml:space="preserve">At the comparative analysis of a transmutation </w:t>
      </w:r>
      <w:r>
        <w:rPr>
          <w:lang w:val="en-US" w:eastAsia="en-GB"/>
        </w:rPr>
        <w:t>MA</w:t>
      </w:r>
      <w:r w:rsidRPr="00FB7FFB">
        <w:rPr>
          <w:lang w:val="en-US" w:eastAsia="en-GB"/>
        </w:rPr>
        <w:t xml:space="preserve"> in </w:t>
      </w:r>
      <w:r>
        <w:rPr>
          <w:lang w:val="en-US" w:eastAsia="en-GB"/>
        </w:rPr>
        <w:t>MSR-burner</w:t>
      </w:r>
      <w:r w:rsidRPr="00FB7FFB">
        <w:rPr>
          <w:lang w:val="en-US" w:eastAsia="en-GB"/>
        </w:rPr>
        <w:t xml:space="preserve"> </w:t>
      </w:r>
      <w:r w:rsidR="00275B5A">
        <w:rPr>
          <w:lang w:val="en-US" w:eastAsia="en-GB"/>
        </w:rPr>
        <w:t xml:space="preserve">based </w:t>
      </w:r>
      <w:r w:rsidRPr="00FB7FFB">
        <w:rPr>
          <w:lang w:val="en-US" w:eastAsia="en-GB"/>
        </w:rPr>
        <w:t xml:space="preserve">on </w:t>
      </w:r>
      <w:proofErr w:type="spellStart"/>
      <w:r w:rsidRPr="00FB7FFB">
        <w:rPr>
          <w:lang w:val="en-US" w:eastAsia="en-GB"/>
        </w:rPr>
        <w:t>LiF</w:t>
      </w:r>
      <w:proofErr w:type="spellEnd"/>
      <w:r w:rsidRPr="00FB7FFB">
        <w:rPr>
          <w:lang w:val="en-US" w:eastAsia="en-GB"/>
        </w:rPr>
        <w:t>-</w:t>
      </w:r>
      <w:proofErr w:type="spellStart"/>
      <w:r w:rsidRPr="00FB7FFB">
        <w:rPr>
          <w:lang w:val="en-US" w:eastAsia="en-GB"/>
        </w:rPr>
        <w:t>NaF</w:t>
      </w:r>
      <w:proofErr w:type="spellEnd"/>
      <w:r w:rsidRPr="00FB7FFB">
        <w:rPr>
          <w:lang w:val="en-US" w:eastAsia="en-GB"/>
        </w:rPr>
        <w:t>-KF and LiF-BeF</w:t>
      </w:r>
      <w:r w:rsidRPr="00275B5A">
        <w:rPr>
          <w:vertAlign w:val="subscript"/>
          <w:lang w:val="en-US" w:eastAsia="en-GB"/>
        </w:rPr>
        <w:t>2</w:t>
      </w:r>
      <w:r w:rsidRPr="00FB7FFB">
        <w:rPr>
          <w:lang w:val="en-US" w:eastAsia="en-GB"/>
        </w:rPr>
        <w:t xml:space="preserve"> </w:t>
      </w:r>
      <w:r w:rsidR="00275B5A">
        <w:rPr>
          <w:lang w:val="en-US" w:eastAsia="en-GB"/>
        </w:rPr>
        <w:t xml:space="preserve"> salts </w:t>
      </w:r>
      <w:r w:rsidRPr="00FB7FFB">
        <w:rPr>
          <w:lang w:val="en-US" w:eastAsia="en-GB"/>
        </w:rPr>
        <w:t>the system representing a fuel composition</w:t>
      </w:r>
      <w:r w:rsidR="005D0E15" w:rsidRPr="005D0E15">
        <w:rPr>
          <w:lang w:val="en-US" w:eastAsia="en-GB"/>
        </w:rPr>
        <w:t xml:space="preserve"> </w:t>
      </w:r>
      <w:r w:rsidR="005D0E15">
        <w:rPr>
          <w:lang w:val="en-US" w:eastAsia="ru-RU"/>
        </w:rPr>
        <w:t>enclosed in a metal casing made of the</w:t>
      </w:r>
      <w:r w:rsidR="005D0E15" w:rsidRPr="005D0E15">
        <w:rPr>
          <w:lang w:val="en-US" w:eastAsia="ru-RU"/>
        </w:rPr>
        <w:t xml:space="preserve"> </w:t>
      </w:r>
      <w:r w:rsidRPr="00FB7FFB">
        <w:rPr>
          <w:lang w:val="en-US" w:eastAsia="en-GB"/>
        </w:rPr>
        <w:t xml:space="preserve">in the metal case from alloy </w:t>
      </w:r>
      <w:r w:rsidR="005D0E15" w:rsidRPr="005D0E15">
        <w:rPr>
          <w:rFonts w:ascii="Times-Roman" w:hAnsi="Times-Roman" w:cs="Times-Roman"/>
          <w:color w:val="231F20"/>
          <w:sz w:val="19"/>
          <w:szCs w:val="19"/>
          <w:lang w:val="en-US" w:eastAsia="en-GB"/>
        </w:rPr>
        <w:t>HN80MTY</w:t>
      </w:r>
      <w:r w:rsidRPr="00FB7FFB">
        <w:rPr>
          <w:lang w:val="en-US" w:eastAsia="en-GB"/>
        </w:rPr>
        <w:t xml:space="preserve"> [1</w:t>
      </w:r>
      <w:r w:rsidR="00576248">
        <w:rPr>
          <w:lang w:val="en-US" w:eastAsia="en-GB"/>
        </w:rPr>
        <w:t>3</w:t>
      </w:r>
      <w:r w:rsidRPr="00FB7FFB">
        <w:rPr>
          <w:lang w:val="en-US" w:eastAsia="en-GB"/>
        </w:rPr>
        <w:t>] was considered</w:t>
      </w:r>
      <w:r w:rsidR="005D0E15" w:rsidRPr="005D0E15">
        <w:rPr>
          <w:lang w:val="en-US" w:eastAsia="en-GB"/>
        </w:rPr>
        <w:t xml:space="preserve">. </w:t>
      </w:r>
      <w:r w:rsidR="00F64824">
        <w:rPr>
          <w:lang w:val="en-US"/>
        </w:rPr>
        <w:t>The</w:t>
      </w:r>
      <w:r w:rsidR="00F64824" w:rsidRPr="00FA0FB8">
        <w:rPr>
          <w:lang w:val="en-US"/>
        </w:rPr>
        <w:t xml:space="preserve"> </w:t>
      </w:r>
      <w:r w:rsidR="00F64824">
        <w:rPr>
          <w:lang w:val="en-US"/>
        </w:rPr>
        <w:t>core</w:t>
      </w:r>
      <w:r w:rsidR="00F64824" w:rsidRPr="00FA0FB8">
        <w:rPr>
          <w:lang w:val="en-US"/>
        </w:rPr>
        <w:t xml:space="preserve"> </w:t>
      </w:r>
      <w:r w:rsidR="00F64824">
        <w:rPr>
          <w:lang w:val="en-US"/>
        </w:rPr>
        <w:t>volume</w:t>
      </w:r>
      <w:r w:rsidR="00F64824" w:rsidRPr="00FA0FB8">
        <w:rPr>
          <w:lang w:val="en-US"/>
        </w:rPr>
        <w:t xml:space="preserve"> </w:t>
      </w:r>
      <w:r w:rsidR="00F64824">
        <w:rPr>
          <w:lang w:val="en-US"/>
        </w:rPr>
        <w:t>varied</w:t>
      </w:r>
      <w:r w:rsidR="00F64824" w:rsidRPr="00FA0FB8">
        <w:rPr>
          <w:lang w:val="en-US"/>
        </w:rPr>
        <w:t xml:space="preserve"> </w:t>
      </w:r>
      <w:r w:rsidR="00F64824">
        <w:rPr>
          <w:lang w:val="en-US"/>
        </w:rPr>
        <w:t>from</w:t>
      </w:r>
      <w:r w:rsidR="00F64824" w:rsidRPr="00FA0FB8">
        <w:rPr>
          <w:lang w:val="en-US"/>
        </w:rPr>
        <w:t xml:space="preserve"> </w:t>
      </w:r>
      <w:r w:rsidR="00F64824">
        <w:rPr>
          <w:lang w:val="en-US"/>
        </w:rPr>
        <w:t xml:space="preserve">that of the research (experimental) molten-salt burner reactor, i.e. </w:t>
      </w:r>
      <w:r w:rsidR="00F64824" w:rsidRPr="00FA0FB8">
        <w:rPr>
          <w:lang w:val="en-US"/>
        </w:rPr>
        <w:t>0</w:t>
      </w:r>
      <w:r w:rsidR="00F64824">
        <w:rPr>
          <w:lang w:val="en-US"/>
        </w:rPr>
        <w:t>.</w:t>
      </w:r>
      <w:r w:rsidR="00F64824" w:rsidRPr="00FA0FB8">
        <w:rPr>
          <w:lang w:val="en-US"/>
        </w:rPr>
        <w:t xml:space="preserve">5 </w:t>
      </w:r>
      <w:r w:rsidR="00F64824">
        <w:rPr>
          <w:lang w:val="en-US"/>
        </w:rPr>
        <w:t>m</w:t>
      </w:r>
      <w:r w:rsidR="00F64824" w:rsidRPr="00FA0FB8">
        <w:rPr>
          <w:vertAlign w:val="superscript"/>
          <w:lang w:val="en-US"/>
        </w:rPr>
        <w:t>3</w:t>
      </w:r>
      <w:r w:rsidR="00F64824" w:rsidRPr="00FA0FB8">
        <w:rPr>
          <w:lang w:val="en-US"/>
        </w:rPr>
        <w:t xml:space="preserve"> </w:t>
      </w:r>
      <w:r w:rsidR="00F64824">
        <w:rPr>
          <w:lang w:val="en-US"/>
        </w:rPr>
        <w:t xml:space="preserve">up to </w:t>
      </w:r>
      <w:r w:rsidR="00F64824" w:rsidRPr="00FA0FB8">
        <w:rPr>
          <w:lang w:val="en-US"/>
        </w:rPr>
        <w:t xml:space="preserve">30 </w:t>
      </w:r>
      <w:r w:rsidR="00F64824">
        <w:rPr>
          <w:lang w:val="en-US"/>
        </w:rPr>
        <w:t>m</w:t>
      </w:r>
      <w:r w:rsidR="00F64824" w:rsidRPr="00FA0FB8">
        <w:rPr>
          <w:vertAlign w:val="superscript"/>
          <w:lang w:val="en-US"/>
        </w:rPr>
        <w:t>3</w:t>
      </w:r>
      <w:r w:rsidR="00F64824">
        <w:rPr>
          <w:lang w:val="en-US"/>
        </w:rPr>
        <w:t xml:space="preserve">, i.e. </w:t>
      </w:r>
      <w:r w:rsidR="00F64824" w:rsidRPr="005D426B">
        <w:rPr>
          <w:lang w:val="en-US"/>
        </w:rPr>
        <w:t>MOSART</w:t>
      </w:r>
      <w:r w:rsidR="00F64824">
        <w:rPr>
          <w:lang w:val="en-US"/>
        </w:rPr>
        <w:t xml:space="preserve"> reactor</w:t>
      </w:r>
      <w:r w:rsidR="00F64824" w:rsidRPr="00FA0FB8">
        <w:rPr>
          <w:lang w:val="en-US"/>
        </w:rPr>
        <w:t xml:space="preserve"> </w:t>
      </w:r>
      <w:r w:rsidR="00F64824">
        <w:rPr>
          <w:lang w:val="en-US"/>
        </w:rPr>
        <w:t xml:space="preserve">core volume </w:t>
      </w:r>
      <w:r w:rsidR="00F64824" w:rsidRPr="00FA0FB8">
        <w:rPr>
          <w:lang w:val="en-US"/>
        </w:rPr>
        <w:t xml:space="preserve">[3]. </w:t>
      </w:r>
      <w:r w:rsidR="00F64824">
        <w:rPr>
          <w:lang w:val="en-US"/>
        </w:rPr>
        <w:t>Our</w:t>
      </w:r>
      <w:r w:rsidR="00F64824" w:rsidRPr="008478F1">
        <w:rPr>
          <w:lang w:val="en-US"/>
        </w:rPr>
        <w:t xml:space="preserve"> </w:t>
      </w:r>
      <w:r w:rsidR="00F64824">
        <w:rPr>
          <w:lang w:val="en-US"/>
        </w:rPr>
        <w:t>calculations</w:t>
      </w:r>
      <w:r w:rsidR="00F64824" w:rsidRPr="008478F1">
        <w:rPr>
          <w:lang w:val="en-US"/>
        </w:rPr>
        <w:t xml:space="preserve"> </w:t>
      </w:r>
      <w:r w:rsidR="00F64824">
        <w:rPr>
          <w:lang w:val="en-US"/>
        </w:rPr>
        <w:t>used</w:t>
      </w:r>
      <w:r w:rsidR="00F64824" w:rsidRPr="008478F1">
        <w:rPr>
          <w:lang w:val="en-US"/>
        </w:rPr>
        <w:t xml:space="preserve"> </w:t>
      </w:r>
      <w:r w:rsidR="00F64824">
        <w:rPr>
          <w:lang w:val="en-US"/>
        </w:rPr>
        <w:t>the</w:t>
      </w:r>
      <w:r w:rsidR="00F64824" w:rsidRPr="008478F1">
        <w:rPr>
          <w:lang w:val="en-US"/>
        </w:rPr>
        <w:t xml:space="preserve"> </w:t>
      </w:r>
      <w:r w:rsidR="00F64824">
        <w:rPr>
          <w:lang w:val="en-US"/>
        </w:rPr>
        <w:t>following</w:t>
      </w:r>
      <w:r w:rsidR="00F64824" w:rsidRPr="008478F1">
        <w:rPr>
          <w:lang w:val="en-US"/>
        </w:rPr>
        <w:t xml:space="preserve"> </w:t>
      </w:r>
      <w:r w:rsidR="00F64824">
        <w:rPr>
          <w:lang w:val="en-US"/>
        </w:rPr>
        <w:t>input</w:t>
      </w:r>
      <w:r w:rsidR="00F64824" w:rsidRPr="008478F1">
        <w:rPr>
          <w:lang w:val="en-US"/>
        </w:rPr>
        <w:t xml:space="preserve"> </w:t>
      </w:r>
      <w:r w:rsidR="00F64824">
        <w:rPr>
          <w:lang w:val="en-US"/>
        </w:rPr>
        <w:t>data</w:t>
      </w:r>
      <w:r w:rsidR="00F64824" w:rsidRPr="008478F1">
        <w:rPr>
          <w:lang w:val="en-US"/>
        </w:rPr>
        <w:t xml:space="preserve">: (1) </w:t>
      </w:r>
      <w:r w:rsidR="00F64824">
        <w:rPr>
          <w:lang w:val="en-US"/>
        </w:rPr>
        <w:t>thickness</w:t>
      </w:r>
      <w:r w:rsidR="00F64824" w:rsidRPr="008478F1">
        <w:rPr>
          <w:lang w:val="en-US"/>
        </w:rPr>
        <w:t xml:space="preserve"> </w:t>
      </w:r>
      <w:r w:rsidR="00F64824">
        <w:rPr>
          <w:lang w:val="en-US"/>
        </w:rPr>
        <w:t>of</w:t>
      </w:r>
      <w:r w:rsidR="00F64824" w:rsidRPr="008478F1">
        <w:rPr>
          <w:lang w:val="en-US"/>
        </w:rPr>
        <w:t xml:space="preserve"> </w:t>
      </w:r>
      <w:r w:rsidR="00F64824">
        <w:rPr>
          <w:lang w:val="en-US"/>
        </w:rPr>
        <w:t>the</w:t>
      </w:r>
      <w:r w:rsidR="00F64824" w:rsidRPr="008478F1">
        <w:rPr>
          <w:lang w:val="en-US"/>
        </w:rPr>
        <w:t xml:space="preserve"> </w:t>
      </w:r>
      <w:r w:rsidR="00F64824">
        <w:rPr>
          <w:lang w:val="en-US"/>
        </w:rPr>
        <w:t>reactor</w:t>
      </w:r>
      <w:r w:rsidR="00F64824" w:rsidRPr="008478F1">
        <w:rPr>
          <w:lang w:val="en-US"/>
        </w:rPr>
        <w:t xml:space="preserve"> </w:t>
      </w:r>
      <w:r w:rsidR="00F64824">
        <w:rPr>
          <w:lang w:val="en-US"/>
        </w:rPr>
        <w:t>vessel</w:t>
      </w:r>
      <w:r w:rsidR="00F64824" w:rsidRPr="008478F1">
        <w:rPr>
          <w:lang w:val="en-US"/>
        </w:rPr>
        <w:t xml:space="preserve"> </w:t>
      </w:r>
      <w:r w:rsidR="00F64824">
        <w:rPr>
          <w:lang w:val="en-US"/>
        </w:rPr>
        <w:t>walls</w:t>
      </w:r>
      <w:r w:rsidR="00F64824" w:rsidRPr="008478F1">
        <w:rPr>
          <w:lang w:val="en-US"/>
        </w:rPr>
        <w:t xml:space="preserve"> </w:t>
      </w:r>
      <w:r w:rsidR="00F64824">
        <w:rPr>
          <w:lang w:val="en-US"/>
        </w:rPr>
        <w:t>is</w:t>
      </w:r>
      <w:r w:rsidR="00F64824" w:rsidRPr="008478F1">
        <w:rPr>
          <w:lang w:val="en-US"/>
        </w:rPr>
        <w:t xml:space="preserve"> 5.5 </w:t>
      </w:r>
      <w:r w:rsidR="00F64824">
        <w:rPr>
          <w:lang w:val="en-US"/>
        </w:rPr>
        <w:t>cm</w:t>
      </w:r>
      <w:r w:rsidR="00F64824" w:rsidRPr="008478F1">
        <w:rPr>
          <w:lang w:val="en-US"/>
        </w:rPr>
        <w:t xml:space="preserve">, (2) </w:t>
      </w:r>
      <w:r w:rsidR="00F64824">
        <w:rPr>
          <w:lang w:val="en-US"/>
        </w:rPr>
        <w:t xml:space="preserve">vessel density is </w:t>
      </w:r>
      <w:r w:rsidR="00F64824" w:rsidRPr="008478F1">
        <w:rPr>
          <w:lang w:val="en-US"/>
        </w:rPr>
        <w:t xml:space="preserve">8000 </w:t>
      </w:r>
      <w:r w:rsidR="00F64824">
        <w:rPr>
          <w:lang w:val="en-US"/>
        </w:rPr>
        <w:t>kg</w:t>
      </w:r>
      <w:r w:rsidR="00F64824" w:rsidRPr="008478F1">
        <w:rPr>
          <w:lang w:val="en-US"/>
        </w:rPr>
        <w:t>/</w:t>
      </w:r>
      <w:r w:rsidR="00F64824">
        <w:rPr>
          <w:lang w:val="en-US"/>
        </w:rPr>
        <w:t>m</w:t>
      </w:r>
      <w:r w:rsidR="00F64824" w:rsidRPr="008478F1">
        <w:rPr>
          <w:vertAlign w:val="superscript"/>
          <w:lang w:val="en-US"/>
        </w:rPr>
        <w:t>3</w:t>
      </w:r>
      <w:r w:rsidR="00F64824" w:rsidRPr="008478F1">
        <w:rPr>
          <w:lang w:val="en-US"/>
        </w:rPr>
        <w:t xml:space="preserve">, (3) </w:t>
      </w:r>
      <w:r w:rsidR="00F64824">
        <w:rPr>
          <w:lang w:val="en-US"/>
        </w:rPr>
        <w:t xml:space="preserve">the vessel diameter – height ratio is </w:t>
      </w:r>
      <w:r w:rsidR="00F64824" w:rsidRPr="008478F1">
        <w:rPr>
          <w:lang w:val="en-US"/>
        </w:rPr>
        <w:t xml:space="preserve">1, (4) </w:t>
      </w:r>
      <w:r w:rsidR="00F64824">
        <w:rPr>
          <w:lang w:val="en-US"/>
        </w:rPr>
        <w:t xml:space="preserve">salt solvent is </w:t>
      </w:r>
      <w:r w:rsidR="00F64824" w:rsidRPr="008478F1">
        <w:rPr>
          <w:lang w:val="en-US"/>
        </w:rPr>
        <w:t xml:space="preserve">eutectic </w:t>
      </w:r>
      <w:proofErr w:type="spellStart"/>
      <w:r w:rsidR="00F64824" w:rsidRPr="005D426B">
        <w:rPr>
          <w:lang w:val="en-US"/>
        </w:rPr>
        <w:t>LiF</w:t>
      </w:r>
      <w:proofErr w:type="spellEnd"/>
      <w:r w:rsidR="00F64824" w:rsidRPr="008478F1">
        <w:rPr>
          <w:lang w:val="en-US"/>
        </w:rPr>
        <w:t>–</w:t>
      </w:r>
      <w:proofErr w:type="spellStart"/>
      <w:r w:rsidR="00F64824" w:rsidRPr="005D426B">
        <w:rPr>
          <w:lang w:val="en-US"/>
        </w:rPr>
        <w:t>NaF</w:t>
      </w:r>
      <w:proofErr w:type="spellEnd"/>
      <w:r w:rsidR="00F64824" w:rsidRPr="008478F1">
        <w:rPr>
          <w:lang w:val="en-US"/>
        </w:rPr>
        <w:t>–</w:t>
      </w:r>
      <w:r w:rsidR="00F64824" w:rsidRPr="005D426B">
        <w:rPr>
          <w:lang w:val="en-US"/>
        </w:rPr>
        <w:t>KF</w:t>
      </w:r>
      <w:r w:rsidR="00F64824" w:rsidRPr="008478F1">
        <w:rPr>
          <w:lang w:val="en-US"/>
        </w:rPr>
        <w:t xml:space="preserve">, (5) </w:t>
      </w:r>
      <w:r w:rsidR="00F64824">
        <w:rPr>
          <w:lang w:val="en-US"/>
        </w:rPr>
        <w:t xml:space="preserve">nuclide compositions of </w:t>
      </w:r>
      <w:r w:rsidR="00F64824">
        <w:rPr>
          <w:lang w:val="en-US"/>
        </w:rPr>
        <w:lastRenderedPageBreak/>
        <w:t>actinides correspond to the calculated compositions of spent fuel from VVER-1000</w:t>
      </w:r>
      <w:r w:rsidR="00F64824" w:rsidRPr="008478F1">
        <w:rPr>
          <w:lang w:val="en-US"/>
        </w:rPr>
        <w:t xml:space="preserve"> </w:t>
      </w:r>
      <w:r w:rsidR="00F64824">
        <w:rPr>
          <w:lang w:val="en-US"/>
        </w:rPr>
        <w:t xml:space="preserve">with the </w:t>
      </w:r>
      <w:r w:rsidR="00F64824" w:rsidRPr="008478F1">
        <w:rPr>
          <w:lang w:val="en-US"/>
        </w:rPr>
        <w:t xml:space="preserve">50 </w:t>
      </w:r>
      <w:proofErr w:type="spellStart"/>
      <w:r w:rsidR="00F64824">
        <w:rPr>
          <w:lang w:val="en-US"/>
        </w:rPr>
        <w:t>GW</w:t>
      </w:r>
      <w:r w:rsidR="00F64824" w:rsidRPr="008478F1">
        <w:rPr>
          <w:lang w:val="en-US"/>
        </w:rPr>
        <w:t>∙</w:t>
      </w:r>
      <w:r w:rsidR="00F64824">
        <w:rPr>
          <w:lang w:val="en-US"/>
        </w:rPr>
        <w:t>day</w:t>
      </w:r>
      <w:proofErr w:type="spellEnd"/>
      <w:r w:rsidR="00F64824" w:rsidRPr="008478F1">
        <w:rPr>
          <w:lang w:val="en-US"/>
        </w:rPr>
        <w:t>/</w:t>
      </w:r>
      <w:r w:rsidR="00F64824">
        <w:rPr>
          <w:lang w:val="en-US"/>
        </w:rPr>
        <w:t>t</w:t>
      </w:r>
      <w:r w:rsidR="00F64824" w:rsidRPr="008478F1">
        <w:rPr>
          <w:lang w:val="en-US"/>
        </w:rPr>
        <w:t xml:space="preserve"> </w:t>
      </w:r>
      <w:r w:rsidR="00F64824">
        <w:rPr>
          <w:lang w:val="en-US"/>
        </w:rPr>
        <w:t xml:space="preserve">burnup </w:t>
      </w:r>
      <w:r w:rsidR="00F64824" w:rsidRPr="00E81DAB">
        <w:rPr>
          <w:lang w:val="en-US"/>
        </w:rPr>
        <w:t>and the 9 years cooling [12], (6) temperature of the fuel composition and the vessel is 650</w:t>
      </w:r>
      <w:r w:rsidR="00F64824" w:rsidRPr="00E81DAB">
        <w:rPr>
          <w:vertAlign w:val="superscript"/>
          <w:lang w:val="en-US"/>
        </w:rPr>
        <w:t>0</w:t>
      </w:r>
      <w:r w:rsidR="00F64824" w:rsidRPr="00E81DAB">
        <w:t>С</w:t>
      </w:r>
      <w:r w:rsidR="00F64824" w:rsidRPr="00E81DAB">
        <w:rPr>
          <w:lang w:val="en-US"/>
        </w:rPr>
        <w:t xml:space="preserve">, (7) specific thermal power is 100 kW/l. </w:t>
      </w:r>
    </w:p>
    <w:p w:rsidR="00E81DAB" w:rsidRDefault="00E81DAB" w:rsidP="00FB7FFB">
      <w:pPr>
        <w:pStyle w:val="a1"/>
        <w:rPr>
          <w:lang w:val="en-US" w:eastAsia="en-GB"/>
        </w:rPr>
      </w:pPr>
      <w:r w:rsidRPr="00E81DAB">
        <w:rPr>
          <w:lang w:val="en-US" w:eastAsia="en-GB"/>
        </w:rPr>
        <w:t xml:space="preserve">For a </w:t>
      </w:r>
      <w:r w:rsidR="001657C8" w:rsidRPr="001657C8">
        <w:rPr>
          <w:lang w:val="en-US" w:eastAsia="en-GB"/>
        </w:rPr>
        <w:t>quantitative assessment</w:t>
      </w:r>
      <w:r w:rsidRPr="00E81DAB">
        <w:rPr>
          <w:lang w:val="en-US" w:eastAsia="en-GB"/>
        </w:rPr>
        <w:t xml:space="preserve"> of transmutation </w:t>
      </w:r>
      <w:r w:rsidRPr="00E81DAB">
        <w:rPr>
          <w:lang w:val="ru-RU" w:eastAsia="en-GB"/>
        </w:rPr>
        <w:t>МА</w:t>
      </w:r>
      <w:r w:rsidRPr="00E81DAB">
        <w:rPr>
          <w:lang w:val="en-US" w:eastAsia="en-GB"/>
        </w:rPr>
        <w:t xml:space="preserve"> in </w:t>
      </w:r>
      <w:r>
        <w:rPr>
          <w:lang w:val="en-US" w:eastAsia="en-GB"/>
        </w:rPr>
        <w:t>MSR-burner</w:t>
      </w:r>
      <w:r w:rsidRPr="00E81DAB">
        <w:rPr>
          <w:lang w:val="en-US" w:eastAsia="en-GB"/>
        </w:rPr>
        <w:t xml:space="preserve"> expedient to </w:t>
      </w:r>
      <w:r w:rsidR="00166F7D">
        <w:rPr>
          <w:lang w:val="en-US" w:eastAsia="en-GB"/>
        </w:rPr>
        <w:t>introduce</w:t>
      </w:r>
      <w:r w:rsidRPr="00E81DAB">
        <w:rPr>
          <w:lang w:val="en-US" w:eastAsia="en-GB"/>
        </w:rPr>
        <w:t xml:space="preserve"> concept of efficiency of transmutation </w:t>
      </w:r>
      <w:r w:rsidRPr="00E81DAB">
        <w:rPr>
          <w:lang w:val="ru-RU" w:eastAsia="en-GB"/>
        </w:rPr>
        <w:t>МА</w:t>
      </w:r>
      <w:r w:rsidRPr="00E81DAB">
        <w:rPr>
          <w:lang w:val="en-US" w:eastAsia="en-GB"/>
        </w:rPr>
        <w:t xml:space="preserve"> as the </w:t>
      </w:r>
      <w:r w:rsidR="00166F7D" w:rsidRPr="00166F7D">
        <w:rPr>
          <w:lang w:val="en-US" w:eastAsia="en-GB"/>
        </w:rPr>
        <w:t>coefficient</w:t>
      </w:r>
      <w:r w:rsidRPr="00E81DAB">
        <w:rPr>
          <w:lang w:val="en-US" w:eastAsia="en-GB"/>
        </w:rPr>
        <w:t xml:space="preserve"> </w:t>
      </w:r>
      <w:r w:rsidR="00166F7D" w:rsidRPr="00E81DAB">
        <w:rPr>
          <w:lang w:val="en-US" w:eastAsia="en-GB"/>
        </w:rPr>
        <w:t>characterizing</w:t>
      </w:r>
      <w:r w:rsidRPr="00E81DAB">
        <w:rPr>
          <w:lang w:val="en-US" w:eastAsia="en-GB"/>
        </w:rPr>
        <w:t xml:space="preserve"> balance between burning </w:t>
      </w:r>
      <w:r w:rsidRPr="00E81DAB">
        <w:rPr>
          <w:lang w:val="ru-RU" w:eastAsia="en-GB"/>
        </w:rPr>
        <w:t>МА</w:t>
      </w:r>
      <w:r w:rsidRPr="00E81DAB">
        <w:rPr>
          <w:lang w:val="en-US" w:eastAsia="en-GB"/>
        </w:rPr>
        <w:t xml:space="preserve">, </w:t>
      </w:r>
      <w:r w:rsidR="00CE1A11">
        <w:rPr>
          <w:lang w:val="en-US" w:eastAsia="en-GB"/>
        </w:rPr>
        <w:t xml:space="preserve">Pu </w:t>
      </w:r>
      <w:r w:rsidRPr="00E81DAB">
        <w:rPr>
          <w:lang w:val="en-US" w:eastAsia="en-GB"/>
        </w:rPr>
        <w:t xml:space="preserve">consumption and </w:t>
      </w:r>
      <w:r w:rsidR="00166F7D" w:rsidRPr="00166F7D">
        <w:rPr>
          <w:lang w:val="en-US" w:eastAsia="en-GB"/>
        </w:rPr>
        <w:t>accumulatio</w:t>
      </w:r>
      <w:r w:rsidR="00166F7D">
        <w:rPr>
          <w:lang w:val="en-US" w:eastAsia="en-GB"/>
        </w:rPr>
        <w:t>n</w:t>
      </w:r>
      <w:r w:rsidRPr="00E81DAB">
        <w:rPr>
          <w:lang w:val="en-US" w:eastAsia="en-GB"/>
        </w:rPr>
        <w:t xml:space="preserve"> of a radioactive waste (except fission products)</w:t>
      </w:r>
      <w:r w:rsidR="00166F7D">
        <w:rPr>
          <w:lang w:val="en-US" w:eastAsia="en-GB"/>
        </w:rPr>
        <w:t>:</w:t>
      </w:r>
    </w:p>
    <w:p w:rsidR="00166F7D" w:rsidRDefault="00166F7D" w:rsidP="00FB7FFB">
      <w:pPr>
        <w:pStyle w:val="a1"/>
        <w:rPr>
          <w:lang w:val="en-US" w:eastAsia="ru-RU"/>
        </w:rPr>
      </w:pPr>
    </w:p>
    <w:p w:rsidR="00166F7D" w:rsidRDefault="00F22DAC" w:rsidP="00166F7D">
      <w:pPr>
        <w:pStyle w:val="a1"/>
        <w:jc w:val="right"/>
        <w:rPr>
          <w:lang w:val="en-US" w:eastAsia="ru-RU"/>
        </w:rPr>
      </w:pPr>
      <m:oMath>
        <m:sSub>
          <m:sSubPr>
            <m:ctrlPr>
              <w:rPr>
                <w:rFonts w:ascii="Cambria Math" w:hAnsi="Cambria Math"/>
                <w:i/>
                <w:lang w:val="en-US" w:eastAsia="ru-RU"/>
              </w:rPr>
            </m:ctrlPr>
          </m:sSubPr>
          <m:e>
            <m:r>
              <w:rPr>
                <w:rFonts w:ascii="Cambria Math" w:hAnsi="Cambria Math"/>
                <w:lang w:val="en-US" w:eastAsia="ru-RU"/>
              </w:rPr>
              <m:t>K</m:t>
            </m:r>
          </m:e>
          <m:sub>
            <m:r>
              <w:rPr>
                <w:rFonts w:ascii="Cambria Math" w:hAnsi="Cambria Math"/>
                <w:lang w:val="en-US" w:eastAsia="ru-RU"/>
              </w:rPr>
              <m:t>MA</m:t>
            </m:r>
          </m:sub>
        </m:sSub>
        <m:r>
          <w:rPr>
            <w:rFonts w:ascii="Cambria Math" w:hAnsi="Cambria Math"/>
            <w:lang w:val="en-US" w:eastAsia="ru-RU"/>
          </w:rPr>
          <m:t>=</m:t>
        </m:r>
        <m:f>
          <m:fPr>
            <m:ctrlPr>
              <w:rPr>
                <w:rFonts w:ascii="Cambria Math" w:hAnsi="Cambria Math"/>
                <w:i/>
                <w:lang w:val="en-US" w:eastAsia="ru-RU"/>
              </w:rPr>
            </m:ctrlPr>
          </m:fPr>
          <m:num>
            <m:sSub>
              <m:sSubPr>
                <m:ctrlPr>
                  <w:rPr>
                    <w:rFonts w:ascii="Cambria Math" w:hAnsi="Cambria Math"/>
                    <w:i/>
                    <w:lang w:val="en-US" w:eastAsia="ru-RU"/>
                  </w:rPr>
                </m:ctrlPr>
              </m:sSubPr>
              <m:e>
                <m:r>
                  <w:rPr>
                    <w:rFonts w:ascii="Cambria Math" w:hAnsi="Cambria Math"/>
                    <w:lang w:val="en-US" w:eastAsia="ru-RU"/>
                  </w:rPr>
                  <m:t>M</m:t>
                </m:r>
              </m:e>
              <m:sub>
                <m:r>
                  <w:rPr>
                    <w:rFonts w:ascii="Cambria Math" w:hAnsi="Cambria Math"/>
                    <w:lang w:val="en-US" w:eastAsia="ru-RU"/>
                  </w:rPr>
                  <m:t>MA</m:t>
                </m:r>
              </m:sub>
            </m:sSub>
            <m:d>
              <m:dPr>
                <m:ctrlPr>
                  <w:rPr>
                    <w:rFonts w:ascii="Cambria Math" w:hAnsi="Cambria Math"/>
                    <w:i/>
                    <w:lang w:val="en-US" w:eastAsia="ru-RU"/>
                  </w:rPr>
                </m:ctrlPr>
              </m:dPr>
              <m:e>
                <m:r>
                  <w:rPr>
                    <w:rFonts w:ascii="Cambria Math" w:hAnsi="Cambria Math"/>
                    <w:lang w:val="en-US" w:eastAsia="ru-RU"/>
                  </w:rPr>
                  <m:t>load</m:t>
                </m:r>
              </m:e>
            </m:d>
            <m:r>
              <w:rPr>
                <w:rFonts w:ascii="Cambria Math" w:hAnsi="Cambria Math"/>
                <w:lang w:val="en-US" w:eastAsia="ru-RU"/>
              </w:rPr>
              <m:t>-</m:t>
            </m:r>
            <m:sSub>
              <m:sSubPr>
                <m:ctrlPr>
                  <w:rPr>
                    <w:rFonts w:ascii="Cambria Math" w:hAnsi="Cambria Math"/>
                    <w:i/>
                    <w:lang w:val="en-US" w:eastAsia="ru-RU"/>
                  </w:rPr>
                </m:ctrlPr>
              </m:sSubPr>
              <m:e>
                <m:r>
                  <w:rPr>
                    <w:rFonts w:ascii="Cambria Math" w:hAnsi="Cambria Math"/>
                    <w:lang w:val="en-US" w:eastAsia="ru-RU"/>
                  </w:rPr>
                  <m:t>M</m:t>
                </m:r>
              </m:e>
              <m:sub>
                <m:r>
                  <w:rPr>
                    <w:rFonts w:ascii="Cambria Math" w:hAnsi="Cambria Math"/>
                    <w:lang w:val="en-US" w:eastAsia="ru-RU"/>
                  </w:rPr>
                  <m:t>A</m:t>
                </m:r>
              </m:sub>
            </m:sSub>
            <m:r>
              <w:rPr>
                <w:rFonts w:ascii="Cambria Math" w:hAnsi="Cambria Math"/>
                <w:lang w:val="en-US" w:eastAsia="ru-RU"/>
              </w:rPr>
              <m:t>(unload)</m:t>
            </m:r>
          </m:num>
          <m:den>
            <m:sSub>
              <m:sSubPr>
                <m:ctrlPr>
                  <w:rPr>
                    <w:rFonts w:ascii="Cambria Math" w:hAnsi="Cambria Math"/>
                    <w:i/>
                    <w:lang w:val="en-US" w:eastAsia="ru-RU"/>
                  </w:rPr>
                </m:ctrlPr>
              </m:sSubPr>
              <m:e>
                <m:r>
                  <w:rPr>
                    <w:rFonts w:ascii="Cambria Math" w:hAnsi="Cambria Math"/>
                    <w:lang w:val="en-US" w:eastAsia="ru-RU"/>
                  </w:rPr>
                  <m:t>M</m:t>
                </m:r>
              </m:e>
              <m:sub>
                <m:r>
                  <w:rPr>
                    <w:rFonts w:ascii="Cambria Math" w:hAnsi="Cambria Math"/>
                    <w:lang w:val="en-US" w:eastAsia="ru-RU"/>
                  </w:rPr>
                  <m:t>A</m:t>
                </m:r>
              </m:sub>
            </m:sSub>
            <m:r>
              <w:rPr>
                <w:rFonts w:ascii="Cambria Math" w:hAnsi="Cambria Math"/>
                <w:lang w:val="en-US" w:eastAsia="ru-RU"/>
              </w:rPr>
              <m:t>(load)</m:t>
            </m:r>
          </m:den>
        </m:f>
        <m:r>
          <w:rPr>
            <w:rFonts w:ascii="Cambria Math" w:hAnsi="Cambria Math"/>
            <w:lang w:val="en-US" w:eastAsia="ru-RU"/>
          </w:rPr>
          <m:t xml:space="preserve"> ,</m:t>
        </m:r>
      </m:oMath>
      <w:r w:rsidR="00166F7D">
        <w:rPr>
          <w:lang w:val="en-US" w:eastAsia="ru-RU"/>
        </w:rPr>
        <w:t xml:space="preserve">                                                             (1) </w:t>
      </w:r>
    </w:p>
    <w:p w:rsidR="004B11F8" w:rsidRDefault="004B11F8" w:rsidP="00166F7D">
      <w:pPr>
        <w:pStyle w:val="a1"/>
        <w:jc w:val="right"/>
        <w:rPr>
          <w:lang w:val="en-US" w:eastAsia="ru-RU"/>
        </w:rPr>
      </w:pPr>
    </w:p>
    <w:p w:rsidR="00166F7D" w:rsidRPr="00225690" w:rsidRDefault="00166F7D" w:rsidP="00166F7D">
      <w:pPr>
        <w:pStyle w:val="a1"/>
        <w:ind w:firstLine="0"/>
        <w:rPr>
          <w:lang w:val="en-US" w:eastAsia="en-GB"/>
        </w:rPr>
      </w:pPr>
      <w:proofErr w:type="gramStart"/>
      <w:r>
        <w:rPr>
          <w:lang w:val="en-US" w:eastAsia="ru-RU"/>
        </w:rPr>
        <w:t>where</w:t>
      </w:r>
      <w:proofErr w:type="gramEnd"/>
      <w:r>
        <w:rPr>
          <w:lang w:val="en-US" w:eastAsia="ru-RU"/>
        </w:rPr>
        <w:t xml:space="preserve"> </w:t>
      </w:r>
      <m:oMath>
        <m:sSub>
          <m:sSubPr>
            <m:ctrlPr>
              <w:rPr>
                <w:rFonts w:ascii="Cambria Math" w:hAnsi="Cambria Math"/>
                <w:i/>
                <w:lang w:val="en-US" w:eastAsia="ru-RU"/>
              </w:rPr>
            </m:ctrlPr>
          </m:sSubPr>
          <m:e>
            <m:r>
              <w:rPr>
                <w:rFonts w:ascii="Cambria Math" w:hAnsi="Cambria Math"/>
                <w:lang w:val="en-US" w:eastAsia="ru-RU"/>
              </w:rPr>
              <m:t>M</m:t>
            </m:r>
          </m:e>
          <m:sub>
            <m:r>
              <w:rPr>
                <w:rFonts w:ascii="Cambria Math" w:hAnsi="Cambria Math"/>
                <w:lang w:val="en-US" w:eastAsia="ru-RU"/>
              </w:rPr>
              <m:t>A</m:t>
            </m:r>
          </m:sub>
        </m:sSub>
        <m:r>
          <w:rPr>
            <w:rFonts w:ascii="Cambria Math" w:hAnsi="Cambria Math"/>
            <w:lang w:val="en-US" w:eastAsia="ru-RU"/>
          </w:rPr>
          <m:t>(load)</m:t>
        </m:r>
      </m:oMath>
      <w:r>
        <w:rPr>
          <w:lang w:val="en-US" w:eastAsia="ru-RU"/>
        </w:rPr>
        <w:t xml:space="preserve"> – mass of loading actinides, </w:t>
      </w:r>
      <m:oMath>
        <m:sSub>
          <m:sSubPr>
            <m:ctrlPr>
              <w:rPr>
                <w:rFonts w:ascii="Cambria Math" w:hAnsi="Cambria Math"/>
                <w:i/>
                <w:lang w:val="en-US" w:eastAsia="ru-RU"/>
              </w:rPr>
            </m:ctrlPr>
          </m:sSubPr>
          <m:e>
            <m:r>
              <w:rPr>
                <w:rFonts w:ascii="Cambria Math" w:hAnsi="Cambria Math"/>
                <w:lang w:val="en-US" w:eastAsia="ru-RU"/>
              </w:rPr>
              <m:t>M</m:t>
            </m:r>
          </m:e>
          <m:sub>
            <m:r>
              <w:rPr>
                <w:rFonts w:ascii="Cambria Math" w:hAnsi="Cambria Math"/>
                <w:lang w:val="en-US" w:eastAsia="ru-RU"/>
              </w:rPr>
              <m:t>MA</m:t>
            </m:r>
          </m:sub>
        </m:sSub>
        <m:d>
          <m:dPr>
            <m:ctrlPr>
              <w:rPr>
                <w:rFonts w:ascii="Cambria Math" w:hAnsi="Cambria Math"/>
                <w:i/>
                <w:lang w:val="en-US" w:eastAsia="ru-RU"/>
              </w:rPr>
            </m:ctrlPr>
          </m:dPr>
          <m:e>
            <m:r>
              <w:rPr>
                <w:rFonts w:ascii="Cambria Math" w:hAnsi="Cambria Math"/>
                <w:lang w:val="en-US" w:eastAsia="ru-RU"/>
              </w:rPr>
              <m:t>load</m:t>
            </m:r>
          </m:e>
        </m:d>
      </m:oMath>
      <w:r>
        <w:rPr>
          <w:lang w:val="en-US" w:eastAsia="ru-RU"/>
        </w:rPr>
        <w:t xml:space="preserve"> – mass of loading MA, </w:t>
      </w:r>
      <m:oMath>
        <m:sSub>
          <m:sSubPr>
            <m:ctrlPr>
              <w:rPr>
                <w:rFonts w:ascii="Cambria Math" w:hAnsi="Cambria Math"/>
                <w:i/>
                <w:lang w:val="en-US" w:eastAsia="ru-RU"/>
              </w:rPr>
            </m:ctrlPr>
          </m:sSubPr>
          <m:e>
            <m:r>
              <w:rPr>
                <w:rFonts w:ascii="Cambria Math" w:hAnsi="Cambria Math"/>
                <w:lang w:val="en-US" w:eastAsia="ru-RU"/>
              </w:rPr>
              <m:t>M</m:t>
            </m:r>
          </m:e>
          <m:sub>
            <m:r>
              <w:rPr>
                <w:rFonts w:ascii="Cambria Math" w:hAnsi="Cambria Math"/>
                <w:lang w:val="en-US" w:eastAsia="ru-RU"/>
              </w:rPr>
              <m:t>A</m:t>
            </m:r>
          </m:sub>
        </m:sSub>
        <m:r>
          <w:rPr>
            <w:rFonts w:ascii="Cambria Math" w:hAnsi="Cambria Math"/>
            <w:lang w:val="en-US" w:eastAsia="ru-RU"/>
          </w:rPr>
          <m:t>(unload)</m:t>
        </m:r>
      </m:oMath>
      <w:r>
        <w:rPr>
          <w:lang w:val="en-US" w:eastAsia="ru-RU"/>
        </w:rPr>
        <w:t xml:space="preserve"> – mass of unloading actinides, </w:t>
      </w:r>
      <w:r w:rsidR="00225690" w:rsidRPr="00166F7D">
        <w:rPr>
          <w:lang w:val="en-US" w:eastAsia="en-GB"/>
        </w:rPr>
        <w:t xml:space="preserve">not returned subsequently in a </w:t>
      </w:r>
      <w:r w:rsidR="00225690" w:rsidRPr="00225690">
        <w:rPr>
          <w:lang w:val="en-US" w:eastAsia="en-GB"/>
        </w:rPr>
        <w:t>fuel circuit</w:t>
      </w:r>
      <w:r w:rsidR="00225690" w:rsidRPr="00166F7D">
        <w:rPr>
          <w:lang w:val="en-US" w:eastAsia="en-GB"/>
        </w:rPr>
        <w:t xml:space="preserve"> of the reactor, including losses at </w:t>
      </w:r>
      <w:r w:rsidR="00225690">
        <w:rPr>
          <w:lang w:val="en-US" w:eastAsia="en-GB"/>
        </w:rPr>
        <w:t>re</w:t>
      </w:r>
      <w:r w:rsidR="00225690" w:rsidRPr="00166F7D">
        <w:rPr>
          <w:lang w:val="en-US" w:eastAsia="en-GB"/>
        </w:rPr>
        <w:t xml:space="preserve">processing and a </w:t>
      </w:r>
      <w:r w:rsidR="00225690" w:rsidRPr="00225690">
        <w:rPr>
          <w:lang w:val="en-US" w:eastAsia="en-GB"/>
        </w:rPr>
        <w:t xml:space="preserve">fabrication.  The numerator (1) represents </w:t>
      </w:r>
      <w:proofErr w:type="gramStart"/>
      <w:r w:rsidR="00225690" w:rsidRPr="00225690">
        <w:rPr>
          <w:lang w:val="en-US" w:eastAsia="en-GB"/>
        </w:rPr>
        <w:t>a decrease</w:t>
      </w:r>
      <w:proofErr w:type="gramEnd"/>
      <w:r w:rsidR="00225690" w:rsidRPr="00225690">
        <w:rPr>
          <w:lang w:val="en-US" w:eastAsia="en-GB"/>
        </w:rPr>
        <w:t xml:space="preserve"> actinides, not suitable to use in solid-fuel power reactors. In </w:t>
      </w:r>
      <w:r w:rsidR="00225690">
        <w:rPr>
          <w:lang w:val="en-US" w:eastAsia="en-GB"/>
        </w:rPr>
        <w:t xml:space="preserve">the </w:t>
      </w:r>
      <w:r w:rsidR="00225690" w:rsidRPr="00225690">
        <w:rPr>
          <w:lang w:val="en-US" w:eastAsia="en-GB"/>
        </w:rPr>
        <w:t xml:space="preserve">absence </w:t>
      </w:r>
      <w:proofErr w:type="gramStart"/>
      <w:r w:rsidR="00225690" w:rsidRPr="00225690">
        <w:rPr>
          <w:lang w:val="en-US" w:eastAsia="en-GB"/>
        </w:rPr>
        <w:t>of an</w:t>
      </w:r>
      <w:proofErr w:type="gramEnd"/>
      <w:r w:rsidR="00225690" w:rsidRPr="00225690">
        <w:rPr>
          <w:lang w:val="en-US" w:eastAsia="en-GB"/>
        </w:rPr>
        <w:t xml:space="preserve"> unloading actinides </w:t>
      </w:r>
      <m:oMath>
        <m:sSub>
          <m:sSubPr>
            <m:ctrlPr>
              <w:rPr>
                <w:rFonts w:ascii="Cambria Math" w:hAnsi="Cambria Math"/>
                <w:i/>
                <w:lang w:val="en-US" w:eastAsia="ru-RU"/>
              </w:rPr>
            </m:ctrlPr>
          </m:sSubPr>
          <m:e>
            <m:r>
              <w:rPr>
                <w:rFonts w:ascii="Cambria Math" w:hAnsi="Cambria Math"/>
                <w:lang w:val="en-US" w:eastAsia="ru-RU"/>
              </w:rPr>
              <m:t>K</m:t>
            </m:r>
          </m:e>
          <m:sub>
            <m:r>
              <w:rPr>
                <w:rFonts w:ascii="Cambria Math" w:hAnsi="Cambria Math"/>
                <w:lang w:val="en-US" w:eastAsia="ru-RU"/>
              </w:rPr>
              <m:t>MA</m:t>
            </m:r>
          </m:sub>
        </m:sSub>
      </m:oMath>
      <w:r w:rsidR="00225690" w:rsidRPr="00225690">
        <w:rPr>
          <w:lang w:val="en-US" w:eastAsia="ru-RU"/>
        </w:rPr>
        <w:t xml:space="preserve"> </w:t>
      </w:r>
      <w:r w:rsidR="00225690" w:rsidRPr="00225690">
        <w:rPr>
          <w:lang w:val="en-US" w:eastAsia="en-GB"/>
        </w:rPr>
        <w:t xml:space="preserve">defines fraction </w:t>
      </w:r>
      <w:r w:rsidR="00225690" w:rsidRPr="00225690">
        <w:rPr>
          <w:lang w:val="ru-RU" w:eastAsia="en-GB"/>
        </w:rPr>
        <w:t>МА</w:t>
      </w:r>
      <w:r w:rsidR="00225690" w:rsidRPr="00225690">
        <w:rPr>
          <w:lang w:val="en-US" w:eastAsia="en-GB"/>
        </w:rPr>
        <w:t xml:space="preserve"> from total loaded actinides, including plutonium. In an optimum mode of transmutation </w:t>
      </w:r>
      <w:r w:rsidR="00225690" w:rsidRPr="00225690">
        <w:rPr>
          <w:lang w:val="ru-RU" w:eastAsia="en-GB"/>
        </w:rPr>
        <w:t>МА</w:t>
      </w:r>
      <w:r w:rsidR="00225690" w:rsidRPr="00225690">
        <w:rPr>
          <w:lang w:val="en-US" w:eastAsia="en-GB"/>
        </w:rPr>
        <w:t xml:space="preserve"> and operation in this mode long time efficiency of a transmutation </w:t>
      </w:r>
      <m:oMath>
        <m:sSub>
          <m:sSubPr>
            <m:ctrlPr>
              <w:rPr>
                <w:rFonts w:ascii="Cambria Math" w:hAnsi="Cambria Math"/>
                <w:i/>
                <w:lang w:val="en-US" w:eastAsia="ru-RU"/>
              </w:rPr>
            </m:ctrlPr>
          </m:sSubPr>
          <m:e>
            <m:r>
              <w:rPr>
                <w:rFonts w:ascii="Cambria Math" w:hAnsi="Cambria Math"/>
                <w:lang w:val="en-US" w:eastAsia="ru-RU"/>
              </w:rPr>
              <m:t>K</m:t>
            </m:r>
          </m:e>
          <m:sub>
            <m:r>
              <w:rPr>
                <w:rFonts w:ascii="Cambria Math" w:hAnsi="Cambria Math"/>
                <w:lang w:val="en-US" w:eastAsia="ru-RU"/>
              </w:rPr>
              <m:t>MA</m:t>
            </m:r>
          </m:sub>
        </m:sSub>
        <m:r>
          <w:rPr>
            <w:rFonts w:ascii="Cambria Math" w:hAnsi="Cambria Math"/>
            <w:lang w:val="en-US" w:eastAsia="ru-RU"/>
          </w:rPr>
          <m:t xml:space="preserve"> (t→∞)</m:t>
        </m:r>
      </m:oMath>
      <w:r w:rsidR="00D93690">
        <w:rPr>
          <w:lang w:val="en-US" w:eastAsia="ru-RU"/>
        </w:rPr>
        <w:t xml:space="preserve"> </w:t>
      </w:r>
      <w:r w:rsidR="00225690" w:rsidRPr="00225690">
        <w:rPr>
          <w:lang w:val="en-US" w:eastAsia="en-GB"/>
        </w:rPr>
        <w:t xml:space="preserve">asymptotically </w:t>
      </w:r>
      <w:r w:rsidR="009975EC" w:rsidRPr="009975EC">
        <w:rPr>
          <w:lang w:val="en-US" w:eastAsia="en-GB"/>
        </w:rPr>
        <w:t>converge</w:t>
      </w:r>
      <w:r w:rsidR="00225690" w:rsidRPr="00225690">
        <w:rPr>
          <w:lang w:val="en-US" w:eastAsia="en-GB"/>
        </w:rPr>
        <w:t xml:space="preserve"> to </w:t>
      </w:r>
      <w:r w:rsidR="00D93690">
        <w:rPr>
          <w:lang w:val="en-US" w:eastAsia="en-GB"/>
        </w:rPr>
        <w:t xml:space="preserve">one. </w:t>
      </w:r>
    </w:p>
    <w:p w:rsidR="00D93690" w:rsidRPr="00D93690" w:rsidRDefault="001E6C29" w:rsidP="001A2BE0">
      <w:pPr>
        <w:overflowPunct/>
        <w:ind w:firstLine="567"/>
        <w:jc w:val="both"/>
        <w:textAlignment w:val="auto"/>
        <w:rPr>
          <w:sz w:val="20"/>
          <w:lang w:val="en-US"/>
        </w:rPr>
      </w:pPr>
      <w:r w:rsidRPr="00E67D7D">
        <w:rPr>
          <w:sz w:val="20"/>
          <w:lang w:val="en-US"/>
        </w:rPr>
        <w:t xml:space="preserve">Concentration of </w:t>
      </w:r>
      <w:r>
        <w:rPr>
          <w:sz w:val="20"/>
          <w:lang w:val="en-US"/>
        </w:rPr>
        <w:t xml:space="preserve">actinide </w:t>
      </w:r>
      <w:r w:rsidRPr="00E67D7D">
        <w:rPr>
          <w:sz w:val="20"/>
          <w:lang w:val="en-US"/>
        </w:rPr>
        <w:t xml:space="preserve">fluorides in fuel </w:t>
      </w:r>
      <w:r w:rsidRPr="001E6C29">
        <w:rPr>
          <w:sz w:val="20"/>
          <w:lang w:val="en-US"/>
        </w:rPr>
        <w:t>composition for the chosen volume of an active zone (</w:t>
      </w:r>
      <m:oMath>
        <m:sSub>
          <m:sSubPr>
            <m:ctrlPr>
              <w:rPr>
                <w:rFonts w:ascii="Cambria Math" w:hAnsi="Cambria Math"/>
                <w:sz w:val="20"/>
                <w:lang w:val="en-US"/>
              </w:rPr>
            </m:ctrlPr>
          </m:sSubPr>
          <m:e>
            <m:r>
              <w:rPr>
                <w:rFonts w:ascii="Cambria Math" w:hAnsi="Cambria Math"/>
                <w:sz w:val="20"/>
                <w:lang w:val="en-US"/>
              </w:rPr>
              <m:t>V</m:t>
            </m:r>
          </m:e>
          <m:sub>
            <m:r>
              <w:rPr>
                <w:rFonts w:ascii="Cambria Math" w:hAnsi="Cambria Math"/>
                <w:sz w:val="20"/>
                <w:lang w:val="en-US"/>
              </w:rPr>
              <m:t>az</m:t>
            </m:r>
          </m:sub>
        </m:sSub>
      </m:oMath>
      <w:r w:rsidRPr="001E6C29">
        <w:rPr>
          <w:sz w:val="20"/>
          <w:lang w:val="en-US"/>
        </w:rPr>
        <w:t xml:space="preserve">) was defined in view of their limiting solubility </w:t>
      </w:r>
      <w:r w:rsidR="003E0F98" w:rsidRPr="003E0F98">
        <w:rPr>
          <w:sz w:val="20"/>
          <w:lang w:val="en-US"/>
        </w:rPr>
        <w:t xml:space="preserve">such that </w:t>
      </w:r>
      <w:r w:rsidR="003E217D">
        <w:rPr>
          <w:sz w:val="20"/>
          <w:lang w:val="en-US"/>
        </w:rPr>
        <w:t>t</w:t>
      </w:r>
      <w:r w:rsidR="003E217D" w:rsidRPr="003E217D">
        <w:rPr>
          <w:sz w:val="20"/>
          <w:lang w:val="en-US"/>
        </w:rPr>
        <w:t>o provide</w:t>
      </w:r>
      <w:r w:rsidRPr="00E67D7D">
        <w:rPr>
          <w:sz w:val="20"/>
          <w:lang w:val="en-US"/>
        </w:rPr>
        <w:t xml:space="preserve"> maximum </w:t>
      </w:r>
      <w:r w:rsidRPr="00394223">
        <w:rPr>
          <w:sz w:val="20"/>
          <w:lang w:val="en-US"/>
        </w:rPr>
        <w:t>asymptotically</w:t>
      </w:r>
      <w:r w:rsidRPr="00E67D7D">
        <w:rPr>
          <w:sz w:val="20"/>
          <w:lang w:val="en-US"/>
        </w:rPr>
        <w:t xml:space="preserve"> value of efficiency of transmutation МА. </w:t>
      </w:r>
      <w:r w:rsidR="001A2BE0" w:rsidRPr="001A2BE0">
        <w:rPr>
          <w:sz w:val="20"/>
          <w:lang w:val="en-US"/>
        </w:rPr>
        <w:t>Variants with unloading actinides from the reactor were not considered (</w:t>
      </w:r>
      <m:oMath>
        <m:sSub>
          <m:sSubPr>
            <m:ctrlPr>
              <w:rPr>
                <w:rFonts w:ascii="Cambria Math" w:hAnsi="Cambria Math"/>
                <w:sz w:val="20"/>
                <w:lang w:val="en-US"/>
              </w:rPr>
            </m:ctrlPr>
          </m:sSubPr>
          <m:e>
            <m:r>
              <w:rPr>
                <w:rFonts w:ascii="Cambria Math" w:hAnsi="Cambria Math"/>
                <w:sz w:val="20"/>
                <w:lang w:val="en-US"/>
              </w:rPr>
              <m:t>M</m:t>
            </m:r>
          </m:e>
          <m:sub>
            <m:r>
              <w:rPr>
                <w:rFonts w:ascii="Cambria Math" w:hAnsi="Cambria Math"/>
                <w:sz w:val="20"/>
                <w:lang w:val="en-US"/>
              </w:rPr>
              <m:t>A</m:t>
            </m:r>
          </m:sub>
        </m:sSub>
        <m:d>
          <m:dPr>
            <m:ctrlPr>
              <w:rPr>
                <w:rFonts w:ascii="Cambria Math" w:hAnsi="Cambria Math"/>
                <w:sz w:val="20"/>
                <w:lang w:val="en-US"/>
              </w:rPr>
            </m:ctrlPr>
          </m:dPr>
          <m:e>
            <m:r>
              <w:rPr>
                <w:rFonts w:ascii="Cambria Math" w:hAnsi="Cambria Math"/>
                <w:sz w:val="20"/>
                <w:lang w:val="en-US"/>
              </w:rPr>
              <m:t>unload</m:t>
            </m:r>
          </m:e>
        </m:d>
        <m:r>
          <m:rPr>
            <m:sty m:val="p"/>
          </m:rPr>
          <w:rPr>
            <w:rFonts w:ascii="Cambria Math" w:hAnsi="Cambria Math"/>
            <w:sz w:val="20"/>
            <w:lang w:val="en-US"/>
          </w:rPr>
          <m:t>=0</m:t>
        </m:r>
      </m:oMath>
      <w:r w:rsidR="001A2BE0" w:rsidRPr="001A2BE0">
        <w:rPr>
          <w:sz w:val="20"/>
          <w:lang w:val="en-US"/>
        </w:rPr>
        <w:t xml:space="preserve">). </w:t>
      </w:r>
      <w:r w:rsidR="00D93690" w:rsidRPr="00D93690">
        <w:rPr>
          <w:sz w:val="20"/>
          <w:lang w:val="en-US"/>
        </w:rPr>
        <w:t>Calcu</w:t>
      </w:r>
      <w:r w:rsidR="00660E41">
        <w:rPr>
          <w:sz w:val="20"/>
          <w:lang w:val="en-US"/>
        </w:rPr>
        <w:t>lation data are given in Table 4 and Fig. 4</w:t>
      </w:r>
      <w:r w:rsidR="00D93690" w:rsidRPr="00D93690">
        <w:rPr>
          <w:sz w:val="20"/>
          <w:lang w:val="en-US"/>
        </w:rPr>
        <w:t>.</w:t>
      </w:r>
    </w:p>
    <w:p w:rsidR="00D93690" w:rsidRDefault="00D93690" w:rsidP="00D93690">
      <w:pPr>
        <w:pStyle w:val="Default"/>
        <w:jc w:val="both"/>
        <w:rPr>
          <w:color w:val="auto"/>
          <w:sz w:val="20"/>
          <w:szCs w:val="20"/>
          <w:lang w:val="en-GB" w:eastAsia="en-US"/>
        </w:rPr>
      </w:pPr>
    </w:p>
    <w:p w:rsidR="00D93690" w:rsidRPr="00543563" w:rsidRDefault="00D93690" w:rsidP="00D93690">
      <w:pPr>
        <w:pStyle w:val="Default"/>
        <w:jc w:val="both"/>
        <w:rPr>
          <w:bCs/>
          <w:caps/>
          <w:color w:val="auto"/>
          <w:sz w:val="20"/>
          <w:szCs w:val="20"/>
          <w:lang w:val="en-GB" w:eastAsia="en-US"/>
        </w:rPr>
      </w:pPr>
      <w:proofErr w:type="gramStart"/>
      <w:r w:rsidRPr="00543563">
        <w:rPr>
          <w:bCs/>
          <w:caps/>
          <w:color w:val="auto"/>
          <w:sz w:val="20"/>
          <w:szCs w:val="20"/>
          <w:lang w:val="en-GB" w:eastAsia="en-US"/>
        </w:rPr>
        <w:t xml:space="preserve">TABLE </w:t>
      </w:r>
      <w:r w:rsidR="004B11F8" w:rsidRPr="00543563">
        <w:rPr>
          <w:bCs/>
          <w:caps/>
          <w:color w:val="auto"/>
          <w:sz w:val="20"/>
          <w:szCs w:val="20"/>
          <w:lang w:val="en-GB" w:eastAsia="en-US"/>
        </w:rPr>
        <w:t>4</w:t>
      </w:r>
      <w:r w:rsidRPr="00543563">
        <w:rPr>
          <w:bCs/>
          <w:caps/>
          <w:color w:val="auto"/>
          <w:sz w:val="20"/>
          <w:szCs w:val="20"/>
          <w:lang w:val="en-GB" w:eastAsia="en-US"/>
        </w:rPr>
        <w:t>.</w:t>
      </w:r>
      <w:proofErr w:type="gramEnd"/>
      <w:r w:rsidRPr="00543563">
        <w:rPr>
          <w:bCs/>
          <w:caps/>
          <w:color w:val="auto"/>
          <w:sz w:val="20"/>
          <w:szCs w:val="20"/>
          <w:lang w:val="en-GB" w:eastAsia="en-US"/>
        </w:rPr>
        <w:t xml:space="preserve"> </w:t>
      </w:r>
      <w:r w:rsidR="00660E41" w:rsidRPr="00543563">
        <w:rPr>
          <w:bCs/>
          <w:caps/>
          <w:color w:val="auto"/>
          <w:sz w:val="20"/>
          <w:szCs w:val="20"/>
          <w:lang w:val="en-GB" w:eastAsia="en-US"/>
        </w:rPr>
        <w:t xml:space="preserve">Characteristics of MA TRANSMUTATION IN A MSR-BURNER BASED ON </w:t>
      </w:r>
      <w:proofErr w:type="spellStart"/>
      <w:r w:rsidR="00660E41" w:rsidRPr="00543563">
        <w:rPr>
          <w:bCs/>
          <w:caps/>
          <w:color w:val="auto"/>
          <w:sz w:val="20"/>
          <w:szCs w:val="20"/>
          <w:lang w:val="en-GB" w:eastAsia="en-US"/>
        </w:rPr>
        <w:t>L</w:t>
      </w:r>
      <w:r w:rsidR="00543563" w:rsidRPr="00543563">
        <w:rPr>
          <w:bCs/>
          <w:color w:val="auto"/>
          <w:sz w:val="20"/>
          <w:szCs w:val="20"/>
          <w:lang w:val="en-GB" w:eastAsia="en-US"/>
        </w:rPr>
        <w:t>i</w:t>
      </w:r>
      <w:r w:rsidR="00660E41" w:rsidRPr="00543563">
        <w:rPr>
          <w:bCs/>
          <w:caps/>
          <w:color w:val="auto"/>
          <w:sz w:val="20"/>
          <w:szCs w:val="20"/>
          <w:lang w:val="en-GB" w:eastAsia="en-US"/>
        </w:rPr>
        <w:t>F</w:t>
      </w:r>
      <w:proofErr w:type="spellEnd"/>
      <w:r w:rsidR="00660E41" w:rsidRPr="00543563">
        <w:rPr>
          <w:bCs/>
          <w:caps/>
          <w:color w:val="auto"/>
          <w:sz w:val="20"/>
          <w:szCs w:val="20"/>
          <w:lang w:val="en-GB" w:eastAsia="en-US"/>
        </w:rPr>
        <w:t>–</w:t>
      </w:r>
      <w:proofErr w:type="spellStart"/>
      <w:r w:rsidR="00660E41" w:rsidRPr="00543563">
        <w:rPr>
          <w:bCs/>
          <w:caps/>
          <w:color w:val="auto"/>
          <w:sz w:val="20"/>
          <w:szCs w:val="20"/>
          <w:lang w:val="en-GB" w:eastAsia="en-US"/>
        </w:rPr>
        <w:t>N</w:t>
      </w:r>
      <w:r w:rsidR="00543563" w:rsidRPr="00543563">
        <w:rPr>
          <w:bCs/>
          <w:color w:val="auto"/>
          <w:sz w:val="20"/>
          <w:szCs w:val="20"/>
          <w:lang w:val="en-GB" w:eastAsia="en-US"/>
        </w:rPr>
        <w:t>a</w:t>
      </w:r>
      <w:r w:rsidR="00660E41" w:rsidRPr="00543563">
        <w:rPr>
          <w:bCs/>
          <w:caps/>
          <w:color w:val="auto"/>
          <w:sz w:val="20"/>
          <w:szCs w:val="20"/>
          <w:lang w:val="en-GB" w:eastAsia="en-US"/>
        </w:rPr>
        <w:t>F</w:t>
      </w:r>
      <w:proofErr w:type="spellEnd"/>
      <w:r w:rsidR="00660E41" w:rsidRPr="00543563">
        <w:rPr>
          <w:bCs/>
          <w:caps/>
          <w:color w:val="auto"/>
          <w:sz w:val="20"/>
          <w:szCs w:val="20"/>
          <w:lang w:val="en-GB" w:eastAsia="en-US"/>
        </w:rPr>
        <w:t xml:space="preserve">–KF AND </w:t>
      </w:r>
      <w:proofErr w:type="spellStart"/>
      <w:r w:rsidR="00660E41" w:rsidRPr="00543563">
        <w:rPr>
          <w:bCs/>
          <w:caps/>
          <w:color w:val="auto"/>
          <w:sz w:val="20"/>
          <w:szCs w:val="20"/>
          <w:lang w:val="en-GB" w:eastAsia="en-US"/>
        </w:rPr>
        <w:t>L</w:t>
      </w:r>
      <w:r w:rsidR="00543563" w:rsidRPr="00543563">
        <w:rPr>
          <w:bCs/>
          <w:color w:val="auto"/>
          <w:sz w:val="20"/>
          <w:szCs w:val="20"/>
          <w:lang w:val="en-GB" w:eastAsia="en-US"/>
        </w:rPr>
        <w:t>i</w:t>
      </w:r>
      <w:r w:rsidR="00660E41" w:rsidRPr="00543563">
        <w:rPr>
          <w:bCs/>
          <w:caps/>
          <w:color w:val="auto"/>
          <w:sz w:val="20"/>
          <w:szCs w:val="20"/>
          <w:lang w:val="en-GB" w:eastAsia="en-US"/>
        </w:rPr>
        <w:t>F</w:t>
      </w:r>
      <w:proofErr w:type="spellEnd"/>
      <w:r w:rsidR="00660E41" w:rsidRPr="00543563">
        <w:rPr>
          <w:bCs/>
          <w:caps/>
          <w:color w:val="auto"/>
          <w:sz w:val="20"/>
          <w:szCs w:val="20"/>
          <w:lang w:val="en-GB" w:eastAsia="en-US"/>
        </w:rPr>
        <w:t>–B</w:t>
      </w:r>
      <w:r w:rsidR="00543563" w:rsidRPr="00543563">
        <w:rPr>
          <w:bCs/>
          <w:color w:val="auto"/>
          <w:sz w:val="20"/>
          <w:szCs w:val="20"/>
          <w:lang w:val="en-GB" w:eastAsia="en-US"/>
        </w:rPr>
        <w:t>e</w:t>
      </w:r>
      <w:r w:rsidR="00660E41" w:rsidRPr="00543563">
        <w:rPr>
          <w:bCs/>
          <w:caps/>
          <w:color w:val="auto"/>
          <w:sz w:val="20"/>
          <w:szCs w:val="20"/>
          <w:lang w:val="en-GB" w:eastAsia="en-US"/>
        </w:rPr>
        <w:t>F</w:t>
      </w:r>
      <w:r w:rsidR="00660E41" w:rsidRPr="00543563">
        <w:rPr>
          <w:bCs/>
          <w:caps/>
          <w:color w:val="auto"/>
          <w:sz w:val="20"/>
          <w:szCs w:val="20"/>
          <w:vertAlign w:val="subscript"/>
          <w:lang w:val="en-GB" w:eastAsia="en-US"/>
        </w:rPr>
        <w:t>2</w:t>
      </w:r>
      <w:r w:rsidR="00660E41" w:rsidRPr="00543563">
        <w:rPr>
          <w:bCs/>
          <w:caps/>
          <w:color w:val="auto"/>
          <w:sz w:val="20"/>
          <w:szCs w:val="20"/>
          <w:lang w:val="en-GB" w:eastAsia="en-US"/>
        </w:rPr>
        <w:t xml:space="preserve"> SALTS</w:t>
      </w:r>
    </w:p>
    <w:p w:rsidR="00D93690" w:rsidRDefault="00D93690" w:rsidP="00FB7FFB">
      <w:pPr>
        <w:pStyle w:val="a1"/>
        <w:rPr>
          <w:lang w:val="en-US" w:eastAsia="ru-RU"/>
        </w:rPr>
      </w:pPr>
    </w:p>
    <w:tbl>
      <w:tblPr>
        <w:tblW w:w="4816" w:type="pct"/>
        <w:tblInd w:w="137" w:type="dxa"/>
        <w:tblLayout w:type="fixed"/>
        <w:tblLook w:val="00A0" w:firstRow="1" w:lastRow="0" w:firstColumn="1" w:lastColumn="0" w:noHBand="0" w:noVBand="0"/>
      </w:tblPr>
      <w:tblGrid>
        <w:gridCol w:w="3269"/>
        <w:gridCol w:w="817"/>
        <w:gridCol w:w="817"/>
        <w:gridCol w:w="823"/>
        <w:gridCol w:w="817"/>
        <w:gridCol w:w="1165"/>
        <w:gridCol w:w="1195"/>
      </w:tblGrid>
      <w:tr w:rsidR="00D93690" w:rsidRPr="000737B4" w:rsidTr="0055211B">
        <w:tc>
          <w:tcPr>
            <w:tcW w:w="1836" w:type="pct"/>
            <w:tcBorders>
              <w:top w:val="single" w:sz="4" w:space="0" w:color="auto"/>
              <w:bottom w:val="single" w:sz="4" w:space="0" w:color="auto"/>
            </w:tcBorders>
            <w:vAlign w:val="center"/>
          </w:tcPr>
          <w:p w:rsidR="00D93690" w:rsidRPr="00E67D7D" w:rsidRDefault="00454FB3" w:rsidP="00454FB3">
            <w:pPr>
              <w:contextualSpacing/>
              <w:jc w:val="center"/>
              <w:rPr>
                <w:sz w:val="20"/>
              </w:rPr>
            </w:pPr>
            <w:r w:rsidRPr="00E67D7D">
              <w:rPr>
                <w:bCs/>
                <w:sz w:val="20"/>
              </w:rPr>
              <w:t>Characteristics</w:t>
            </w:r>
          </w:p>
        </w:tc>
        <w:tc>
          <w:tcPr>
            <w:tcW w:w="3164" w:type="pct"/>
            <w:gridSpan w:val="6"/>
            <w:tcBorders>
              <w:top w:val="single" w:sz="4" w:space="0" w:color="auto"/>
              <w:bottom w:val="single" w:sz="4" w:space="0" w:color="auto"/>
            </w:tcBorders>
            <w:vAlign w:val="center"/>
          </w:tcPr>
          <w:p w:rsidR="00D93690" w:rsidRPr="00E67D7D" w:rsidRDefault="00E67D7D" w:rsidP="00454FB3">
            <w:pPr>
              <w:contextualSpacing/>
              <w:jc w:val="center"/>
              <w:rPr>
                <w:sz w:val="20"/>
              </w:rPr>
            </w:pPr>
            <w:r w:rsidRPr="00E67D7D">
              <w:rPr>
                <w:sz w:val="20"/>
              </w:rPr>
              <w:t>Variant</w:t>
            </w:r>
          </w:p>
        </w:tc>
      </w:tr>
      <w:tr w:rsidR="00D93690" w:rsidRPr="000737B4" w:rsidTr="0055211B">
        <w:tc>
          <w:tcPr>
            <w:tcW w:w="1836" w:type="pct"/>
            <w:tcBorders>
              <w:top w:val="single" w:sz="4" w:space="0" w:color="auto"/>
              <w:bottom w:val="single" w:sz="4" w:space="0" w:color="auto"/>
            </w:tcBorders>
            <w:vAlign w:val="center"/>
          </w:tcPr>
          <w:p w:rsidR="00D93690" w:rsidRPr="00E67D7D" w:rsidRDefault="00F22DAC" w:rsidP="00E67D7D">
            <w:pPr>
              <w:contextualSpacing/>
              <w:jc w:val="center"/>
              <w:rPr>
                <w:sz w:val="20"/>
                <w:vertAlign w:val="superscript"/>
              </w:rPr>
            </w:pPr>
            <m:oMath>
              <m:sSub>
                <m:sSubPr>
                  <m:ctrlPr>
                    <w:rPr>
                      <w:rFonts w:ascii="Cambria Math" w:hAnsi="Cambria Math"/>
                      <w:i/>
                      <w:sz w:val="20"/>
                      <w:lang w:val="en-US"/>
                    </w:rPr>
                  </m:ctrlPr>
                </m:sSubPr>
                <m:e>
                  <m:r>
                    <w:rPr>
                      <w:rFonts w:ascii="Cambria Math" w:hAnsi="Cambria Math"/>
                      <w:sz w:val="20"/>
                      <w:lang w:val="en-US"/>
                    </w:rPr>
                    <m:t>V</m:t>
                  </m:r>
                </m:e>
                <m:sub>
                  <m:r>
                    <w:rPr>
                      <w:rFonts w:ascii="Cambria Math" w:hAnsi="Cambria Math"/>
                      <w:sz w:val="20"/>
                      <w:lang w:val="en-US"/>
                    </w:rPr>
                    <m:t>az</m:t>
                  </m:r>
                </m:sub>
              </m:sSub>
            </m:oMath>
            <w:r w:rsidR="00D93690" w:rsidRPr="00E67D7D">
              <w:rPr>
                <w:sz w:val="20"/>
              </w:rPr>
              <w:t xml:space="preserve">, </w:t>
            </w:r>
            <w:r w:rsidR="00E67D7D" w:rsidRPr="00E67D7D">
              <w:rPr>
                <w:sz w:val="20"/>
                <w:lang w:val="en-US"/>
              </w:rPr>
              <w:t>m</w:t>
            </w:r>
            <w:r w:rsidR="00E67D7D" w:rsidRPr="00E67D7D">
              <w:rPr>
                <w:sz w:val="20"/>
                <w:vertAlign w:val="superscript"/>
                <w:lang w:val="en-US"/>
              </w:rPr>
              <w:t>3</w:t>
            </w:r>
          </w:p>
        </w:tc>
        <w:tc>
          <w:tcPr>
            <w:tcW w:w="459" w:type="pct"/>
            <w:tcBorders>
              <w:top w:val="single" w:sz="4" w:space="0" w:color="auto"/>
              <w:bottom w:val="single" w:sz="4" w:space="0" w:color="auto"/>
            </w:tcBorders>
            <w:vAlign w:val="center"/>
          </w:tcPr>
          <w:p w:rsidR="00D93690" w:rsidRPr="00E67D7D" w:rsidRDefault="00D93690" w:rsidP="00454FB3">
            <w:pPr>
              <w:contextualSpacing/>
              <w:jc w:val="center"/>
              <w:rPr>
                <w:sz w:val="20"/>
              </w:rPr>
            </w:pPr>
            <w:r w:rsidRPr="00E67D7D">
              <w:rPr>
                <w:sz w:val="20"/>
              </w:rPr>
              <w:t>30</w:t>
            </w:r>
          </w:p>
        </w:tc>
        <w:tc>
          <w:tcPr>
            <w:tcW w:w="459" w:type="pct"/>
            <w:tcBorders>
              <w:top w:val="single" w:sz="4" w:space="0" w:color="auto"/>
              <w:bottom w:val="single" w:sz="4" w:space="0" w:color="auto"/>
            </w:tcBorders>
            <w:vAlign w:val="center"/>
          </w:tcPr>
          <w:p w:rsidR="00D93690" w:rsidRPr="00E67D7D" w:rsidRDefault="00D93690" w:rsidP="00454FB3">
            <w:pPr>
              <w:contextualSpacing/>
              <w:jc w:val="center"/>
              <w:rPr>
                <w:sz w:val="20"/>
              </w:rPr>
            </w:pPr>
            <w:r w:rsidRPr="00E67D7D">
              <w:rPr>
                <w:sz w:val="20"/>
              </w:rPr>
              <w:t>15</w:t>
            </w:r>
          </w:p>
        </w:tc>
        <w:tc>
          <w:tcPr>
            <w:tcW w:w="462" w:type="pct"/>
            <w:tcBorders>
              <w:top w:val="single" w:sz="4" w:space="0" w:color="auto"/>
              <w:bottom w:val="single" w:sz="4" w:space="0" w:color="auto"/>
            </w:tcBorders>
            <w:vAlign w:val="center"/>
          </w:tcPr>
          <w:p w:rsidR="00D93690" w:rsidRPr="00E67D7D" w:rsidRDefault="00D93690" w:rsidP="00454FB3">
            <w:pPr>
              <w:contextualSpacing/>
              <w:jc w:val="center"/>
              <w:rPr>
                <w:sz w:val="20"/>
              </w:rPr>
            </w:pPr>
            <w:r w:rsidRPr="00E67D7D">
              <w:rPr>
                <w:sz w:val="20"/>
              </w:rPr>
              <w:t>8</w:t>
            </w:r>
          </w:p>
        </w:tc>
        <w:tc>
          <w:tcPr>
            <w:tcW w:w="459" w:type="pct"/>
            <w:tcBorders>
              <w:top w:val="single" w:sz="4" w:space="0" w:color="auto"/>
              <w:bottom w:val="single" w:sz="4" w:space="0" w:color="auto"/>
            </w:tcBorders>
            <w:vAlign w:val="center"/>
          </w:tcPr>
          <w:p w:rsidR="00D93690" w:rsidRPr="00E67D7D" w:rsidRDefault="00D93690" w:rsidP="00454FB3">
            <w:pPr>
              <w:contextualSpacing/>
              <w:jc w:val="center"/>
              <w:rPr>
                <w:sz w:val="20"/>
                <w:lang w:val="en-US"/>
              </w:rPr>
            </w:pPr>
            <w:r w:rsidRPr="00E67D7D">
              <w:rPr>
                <w:sz w:val="20"/>
                <w:lang w:val="en-US"/>
              </w:rPr>
              <w:t>4</w:t>
            </w:r>
          </w:p>
        </w:tc>
        <w:tc>
          <w:tcPr>
            <w:tcW w:w="654" w:type="pct"/>
            <w:tcBorders>
              <w:top w:val="single" w:sz="4" w:space="0" w:color="auto"/>
              <w:bottom w:val="single" w:sz="4" w:space="0" w:color="auto"/>
            </w:tcBorders>
            <w:vAlign w:val="center"/>
          </w:tcPr>
          <w:p w:rsidR="00D93690" w:rsidRPr="00E67D7D" w:rsidRDefault="00D93690" w:rsidP="00454FB3">
            <w:pPr>
              <w:contextualSpacing/>
              <w:jc w:val="center"/>
              <w:rPr>
                <w:sz w:val="20"/>
                <w:lang w:val="en-US"/>
              </w:rPr>
            </w:pPr>
            <w:r w:rsidRPr="00E67D7D">
              <w:rPr>
                <w:sz w:val="20"/>
                <w:lang w:val="en-US"/>
              </w:rPr>
              <w:t>2</w:t>
            </w:r>
          </w:p>
        </w:tc>
        <w:tc>
          <w:tcPr>
            <w:tcW w:w="671" w:type="pct"/>
            <w:tcBorders>
              <w:top w:val="single" w:sz="4" w:space="0" w:color="auto"/>
              <w:bottom w:val="single" w:sz="4" w:space="0" w:color="auto"/>
            </w:tcBorders>
            <w:vAlign w:val="center"/>
          </w:tcPr>
          <w:p w:rsidR="00D93690" w:rsidRPr="00E67D7D" w:rsidRDefault="00D93690" w:rsidP="00454FB3">
            <w:pPr>
              <w:contextualSpacing/>
              <w:jc w:val="center"/>
              <w:rPr>
                <w:sz w:val="20"/>
                <w:lang w:val="en-US"/>
              </w:rPr>
            </w:pPr>
            <w:r w:rsidRPr="00E67D7D">
              <w:rPr>
                <w:sz w:val="20"/>
                <w:lang w:val="en-US"/>
              </w:rPr>
              <w:t>1</w:t>
            </w:r>
          </w:p>
        </w:tc>
      </w:tr>
      <w:tr w:rsidR="00D93690" w:rsidRPr="000737B4" w:rsidTr="0055211B">
        <w:tc>
          <w:tcPr>
            <w:tcW w:w="1836" w:type="pct"/>
            <w:tcBorders>
              <w:top w:val="single" w:sz="4" w:space="0" w:color="auto"/>
              <w:bottom w:val="single" w:sz="4" w:space="0" w:color="auto"/>
            </w:tcBorders>
            <w:vAlign w:val="center"/>
          </w:tcPr>
          <w:p w:rsidR="00D93690" w:rsidRPr="00E67D7D" w:rsidRDefault="00F22DAC" w:rsidP="00454FB3">
            <w:pPr>
              <w:contextualSpacing/>
              <w:jc w:val="center"/>
              <w:rPr>
                <w:sz w:val="20"/>
              </w:rPr>
            </w:pPr>
            <m:oMath>
              <m:sSub>
                <m:sSubPr>
                  <m:ctrlPr>
                    <w:rPr>
                      <w:rFonts w:ascii="Cambria Math" w:hAnsi="Cambria Math"/>
                      <w:i/>
                      <w:sz w:val="20"/>
                      <w:lang w:val="en-US" w:eastAsia="ru-RU"/>
                    </w:rPr>
                  </m:ctrlPr>
                </m:sSubPr>
                <m:e>
                  <m:r>
                    <w:rPr>
                      <w:rFonts w:ascii="Cambria Math" w:hAnsi="Cambria Math"/>
                      <w:sz w:val="20"/>
                      <w:lang w:val="en-US" w:eastAsia="ru-RU"/>
                    </w:rPr>
                    <m:t>M</m:t>
                  </m:r>
                </m:e>
                <m:sub>
                  <m:r>
                    <w:rPr>
                      <w:rFonts w:ascii="Cambria Math" w:hAnsi="Cambria Math"/>
                      <w:sz w:val="20"/>
                      <w:lang w:val="en-US" w:eastAsia="ru-RU"/>
                    </w:rPr>
                    <m:t>A</m:t>
                  </m:r>
                </m:sub>
              </m:sSub>
              <m:r>
                <w:rPr>
                  <w:rFonts w:ascii="Cambria Math" w:hAnsi="Cambria Math"/>
                  <w:sz w:val="20"/>
                  <w:lang w:val="en-US" w:eastAsia="ru-RU"/>
                </w:rPr>
                <m:t>(load)</m:t>
              </m:r>
            </m:oMath>
            <w:r w:rsidR="00D93690" w:rsidRPr="00E67D7D">
              <w:rPr>
                <w:sz w:val="20"/>
              </w:rPr>
              <w:t xml:space="preserve">, </w:t>
            </w:r>
            <w:r w:rsidR="00E67D7D" w:rsidRPr="00E67D7D">
              <w:rPr>
                <w:sz w:val="20"/>
                <w:lang w:val="en-US"/>
              </w:rPr>
              <w:t>kg</w:t>
            </w:r>
          </w:p>
        </w:tc>
        <w:tc>
          <w:tcPr>
            <w:tcW w:w="459" w:type="pct"/>
            <w:tcBorders>
              <w:top w:val="single" w:sz="4" w:space="0" w:color="auto"/>
              <w:bottom w:val="single" w:sz="4" w:space="0" w:color="auto"/>
            </w:tcBorders>
            <w:vAlign w:val="center"/>
          </w:tcPr>
          <w:p w:rsidR="00D93690" w:rsidRPr="00E67D7D" w:rsidRDefault="00D93690" w:rsidP="00454FB3">
            <w:pPr>
              <w:contextualSpacing/>
              <w:jc w:val="center"/>
              <w:rPr>
                <w:sz w:val="20"/>
              </w:rPr>
            </w:pPr>
            <w:r w:rsidRPr="00E67D7D">
              <w:rPr>
                <w:sz w:val="20"/>
              </w:rPr>
              <w:t>935</w:t>
            </w:r>
          </w:p>
        </w:tc>
        <w:tc>
          <w:tcPr>
            <w:tcW w:w="459" w:type="pct"/>
            <w:tcBorders>
              <w:top w:val="single" w:sz="4" w:space="0" w:color="auto"/>
              <w:bottom w:val="single" w:sz="4" w:space="0" w:color="auto"/>
            </w:tcBorders>
            <w:vAlign w:val="center"/>
          </w:tcPr>
          <w:p w:rsidR="00D93690" w:rsidRPr="00E67D7D" w:rsidRDefault="00D93690" w:rsidP="00454FB3">
            <w:pPr>
              <w:contextualSpacing/>
              <w:jc w:val="center"/>
              <w:rPr>
                <w:sz w:val="20"/>
              </w:rPr>
            </w:pPr>
            <w:r w:rsidRPr="00E67D7D">
              <w:rPr>
                <w:sz w:val="20"/>
              </w:rPr>
              <w:t>468</w:t>
            </w:r>
          </w:p>
        </w:tc>
        <w:tc>
          <w:tcPr>
            <w:tcW w:w="462" w:type="pct"/>
            <w:tcBorders>
              <w:top w:val="single" w:sz="4" w:space="0" w:color="auto"/>
              <w:bottom w:val="single" w:sz="4" w:space="0" w:color="auto"/>
            </w:tcBorders>
            <w:vAlign w:val="center"/>
          </w:tcPr>
          <w:p w:rsidR="00D93690" w:rsidRPr="00E67D7D" w:rsidRDefault="00D93690" w:rsidP="00454FB3">
            <w:pPr>
              <w:contextualSpacing/>
              <w:jc w:val="center"/>
              <w:rPr>
                <w:sz w:val="20"/>
              </w:rPr>
            </w:pPr>
            <w:r w:rsidRPr="00E67D7D">
              <w:rPr>
                <w:sz w:val="20"/>
              </w:rPr>
              <w:t>250</w:t>
            </w:r>
          </w:p>
        </w:tc>
        <w:tc>
          <w:tcPr>
            <w:tcW w:w="459" w:type="pct"/>
            <w:tcBorders>
              <w:top w:val="single" w:sz="4" w:space="0" w:color="auto"/>
              <w:bottom w:val="single" w:sz="4" w:space="0" w:color="auto"/>
            </w:tcBorders>
            <w:vAlign w:val="center"/>
          </w:tcPr>
          <w:p w:rsidR="00D93690" w:rsidRPr="00E67D7D" w:rsidRDefault="00D93690" w:rsidP="00454FB3">
            <w:pPr>
              <w:contextualSpacing/>
              <w:jc w:val="center"/>
              <w:rPr>
                <w:sz w:val="20"/>
              </w:rPr>
            </w:pPr>
            <w:r w:rsidRPr="00E67D7D">
              <w:rPr>
                <w:sz w:val="20"/>
              </w:rPr>
              <w:t>126</w:t>
            </w:r>
          </w:p>
        </w:tc>
        <w:tc>
          <w:tcPr>
            <w:tcW w:w="654" w:type="pct"/>
            <w:tcBorders>
              <w:top w:val="single" w:sz="4" w:space="0" w:color="auto"/>
              <w:bottom w:val="single" w:sz="4" w:space="0" w:color="auto"/>
            </w:tcBorders>
            <w:vAlign w:val="center"/>
          </w:tcPr>
          <w:p w:rsidR="00D93690" w:rsidRPr="00E67D7D" w:rsidRDefault="00D93690" w:rsidP="00454FB3">
            <w:pPr>
              <w:contextualSpacing/>
              <w:jc w:val="center"/>
              <w:rPr>
                <w:sz w:val="20"/>
              </w:rPr>
            </w:pPr>
            <w:r w:rsidRPr="00E67D7D">
              <w:rPr>
                <w:sz w:val="20"/>
              </w:rPr>
              <w:t>63</w:t>
            </w:r>
          </w:p>
        </w:tc>
        <w:tc>
          <w:tcPr>
            <w:tcW w:w="671" w:type="pct"/>
            <w:tcBorders>
              <w:top w:val="single" w:sz="4" w:space="0" w:color="auto"/>
              <w:bottom w:val="single" w:sz="4" w:space="0" w:color="auto"/>
            </w:tcBorders>
            <w:vAlign w:val="center"/>
          </w:tcPr>
          <w:p w:rsidR="00D93690" w:rsidRPr="00E67D7D" w:rsidRDefault="00D93690" w:rsidP="00454FB3">
            <w:pPr>
              <w:contextualSpacing/>
              <w:jc w:val="center"/>
              <w:rPr>
                <w:sz w:val="20"/>
              </w:rPr>
            </w:pPr>
            <w:r w:rsidRPr="00E67D7D">
              <w:rPr>
                <w:sz w:val="20"/>
              </w:rPr>
              <w:t>32</w:t>
            </w:r>
          </w:p>
        </w:tc>
      </w:tr>
      <w:tr w:rsidR="00D93690" w:rsidRPr="000737B4" w:rsidTr="0055211B">
        <w:tc>
          <w:tcPr>
            <w:tcW w:w="5000" w:type="pct"/>
            <w:gridSpan w:val="7"/>
            <w:tcBorders>
              <w:top w:val="single" w:sz="4" w:space="0" w:color="auto"/>
              <w:bottom w:val="single" w:sz="4" w:space="0" w:color="auto"/>
            </w:tcBorders>
            <w:vAlign w:val="center"/>
          </w:tcPr>
          <w:p w:rsidR="00D93690" w:rsidRPr="00E67D7D" w:rsidRDefault="00D93690" w:rsidP="00454FB3">
            <w:pPr>
              <w:contextualSpacing/>
              <w:jc w:val="center"/>
              <w:rPr>
                <w:sz w:val="20"/>
                <w:lang w:val="en-US"/>
              </w:rPr>
            </w:pPr>
            <w:proofErr w:type="spellStart"/>
            <w:r w:rsidRPr="00E67D7D">
              <w:rPr>
                <w:sz w:val="20"/>
                <w:lang w:val="en-US"/>
              </w:rPr>
              <w:t>LiF</w:t>
            </w:r>
            <w:proofErr w:type="spellEnd"/>
            <w:r w:rsidRPr="00E67D7D">
              <w:rPr>
                <w:sz w:val="20"/>
              </w:rPr>
              <w:t>–</w:t>
            </w:r>
            <w:proofErr w:type="spellStart"/>
            <w:r w:rsidRPr="00E67D7D">
              <w:rPr>
                <w:sz w:val="20"/>
                <w:lang w:val="en-US"/>
              </w:rPr>
              <w:t>NaF</w:t>
            </w:r>
            <w:proofErr w:type="spellEnd"/>
            <w:r w:rsidRPr="00E67D7D">
              <w:rPr>
                <w:sz w:val="20"/>
              </w:rPr>
              <w:t>–</w:t>
            </w:r>
            <w:r w:rsidRPr="00E67D7D">
              <w:rPr>
                <w:sz w:val="20"/>
                <w:lang w:val="en-US"/>
              </w:rPr>
              <w:t>KF</w:t>
            </w:r>
          </w:p>
        </w:tc>
      </w:tr>
      <w:tr w:rsidR="00D93690" w:rsidRPr="000737B4" w:rsidTr="0055211B">
        <w:tc>
          <w:tcPr>
            <w:tcW w:w="1836" w:type="pct"/>
            <w:tcBorders>
              <w:top w:val="single" w:sz="4" w:space="0" w:color="auto"/>
              <w:bottom w:val="single" w:sz="4" w:space="0" w:color="auto"/>
            </w:tcBorders>
            <w:vAlign w:val="center"/>
          </w:tcPr>
          <w:p w:rsidR="00D93690" w:rsidRPr="00E67D7D" w:rsidRDefault="00F22DAC" w:rsidP="00454FB3">
            <w:pPr>
              <w:contextualSpacing/>
              <w:jc w:val="center"/>
              <w:rPr>
                <w:sz w:val="20"/>
              </w:rPr>
            </w:pPr>
            <m:oMath>
              <m:sSub>
                <m:sSubPr>
                  <m:ctrlPr>
                    <w:rPr>
                      <w:rFonts w:ascii="Cambria Math" w:hAnsi="Cambria Math"/>
                      <w:i/>
                      <w:color w:val="000000"/>
                      <w:sz w:val="20"/>
                      <w:lang w:val="ru-RU" w:eastAsia="en-GB"/>
                    </w:rPr>
                  </m:ctrlPr>
                </m:sSubPr>
                <m:e>
                  <m:r>
                    <w:rPr>
                      <w:rFonts w:ascii="Cambria Math" w:hAnsi="Cambria Math"/>
                      <w:sz w:val="20"/>
                    </w:rPr>
                    <m:t>ν</m:t>
                  </m:r>
                </m:e>
                <m:sub>
                  <m:r>
                    <w:rPr>
                      <w:rFonts w:ascii="Cambria Math" w:hAnsi="Cambria Math"/>
                      <w:sz w:val="20"/>
                    </w:rPr>
                    <m:t>A</m:t>
                  </m:r>
                </m:sub>
              </m:sSub>
            </m:oMath>
            <w:r w:rsidR="00D93690" w:rsidRPr="00E67D7D">
              <w:rPr>
                <w:sz w:val="20"/>
              </w:rPr>
              <w:t xml:space="preserve">, %, </w:t>
            </w:r>
            <w:r w:rsidR="00E67D7D" w:rsidRPr="0089422E">
              <w:rPr>
                <w:sz w:val="20"/>
                <w:lang w:val="en-US"/>
              </w:rPr>
              <w:t>mole</w:t>
            </w:r>
          </w:p>
        </w:tc>
        <w:tc>
          <w:tcPr>
            <w:tcW w:w="459" w:type="pct"/>
            <w:tcBorders>
              <w:top w:val="single" w:sz="4" w:space="0" w:color="auto"/>
              <w:bottom w:val="single" w:sz="4" w:space="0" w:color="auto"/>
            </w:tcBorders>
            <w:vAlign w:val="center"/>
          </w:tcPr>
          <w:p w:rsidR="00D93690" w:rsidRPr="00E67D7D" w:rsidRDefault="00D93690" w:rsidP="00454FB3">
            <w:pPr>
              <w:contextualSpacing/>
              <w:jc w:val="center"/>
              <w:rPr>
                <w:sz w:val="20"/>
              </w:rPr>
            </w:pPr>
            <w:r w:rsidRPr="00E67D7D">
              <w:rPr>
                <w:sz w:val="20"/>
              </w:rPr>
              <w:t>10</w:t>
            </w:r>
          </w:p>
        </w:tc>
        <w:tc>
          <w:tcPr>
            <w:tcW w:w="459" w:type="pct"/>
            <w:tcBorders>
              <w:top w:val="single" w:sz="4" w:space="0" w:color="auto"/>
              <w:bottom w:val="single" w:sz="4" w:space="0" w:color="auto"/>
            </w:tcBorders>
            <w:vAlign w:val="center"/>
          </w:tcPr>
          <w:p w:rsidR="00D93690" w:rsidRPr="00E67D7D" w:rsidRDefault="00D93690" w:rsidP="00454FB3">
            <w:pPr>
              <w:contextualSpacing/>
              <w:jc w:val="center"/>
              <w:rPr>
                <w:sz w:val="20"/>
              </w:rPr>
            </w:pPr>
            <w:r w:rsidRPr="00E67D7D">
              <w:rPr>
                <w:sz w:val="20"/>
              </w:rPr>
              <w:t>11</w:t>
            </w:r>
          </w:p>
        </w:tc>
        <w:tc>
          <w:tcPr>
            <w:tcW w:w="462" w:type="pct"/>
            <w:tcBorders>
              <w:top w:val="single" w:sz="4" w:space="0" w:color="auto"/>
              <w:bottom w:val="single" w:sz="4" w:space="0" w:color="auto"/>
            </w:tcBorders>
            <w:vAlign w:val="center"/>
          </w:tcPr>
          <w:p w:rsidR="00D93690" w:rsidRPr="00E67D7D" w:rsidRDefault="00D93690" w:rsidP="00454FB3">
            <w:pPr>
              <w:contextualSpacing/>
              <w:jc w:val="center"/>
              <w:rPr>
                <w:sz w:val="20"/>
              </w:rPr>
            </w:pPr>
            <w:r w:rsidRPr="00E67D7D">
              <w:rPr>
                <w:sz w:val="20"/>
              </w:rPr>
              <w:t>12</w:t>
            </w:r>
          </w:p>
        </w:tc>
        <w:tc>
          <w:tcPr>
            <w:tcW w:w="459" w:type="pct"/>
            <w:tcBorders>
              <w:top w:val="single" w:sz="4" w:space="0" w:color="auto"/>
              <w:bottom w:val="single" w:sz="4" w:space="0" w:color="auto"/>
            </w:tcBorders>
            <w:vAlign w:val="center"/>
          </w:tcPr>
          <w:p w:rsidR="00D93690" w:rsidRPr="00E67D7D" w:rsidRDefault="00D93690" w:rsidP="00454FB3">
            <w:pPr>
              <w:contextualSpacing/>
              <w:jc w:val="center"/>
              <w:rPr>
                <w:sz w:val="20"/>
                <w:lang w:val="en-US"/>
              </w:rPr>
            </w:pPr>
            <w:r w:rsidRPr="00E67D7D">
              <w:rPr>
                <w:sz w:val="20"/>
                <w:lang w:val="en-US"/>
              </w:rPr>
              <w:t>14</w:t>
            </w:r>
          </w:p>
        </w:tc>
        <w:tc>
          <w:tcPr>
            <w:tcW w:w="654" w:type="pct"/>
            <w:tcBorders>
              <w:top w:val="single" w:sz="4" w:space="0" w:color="auto"/>
              <w:bottom w:val="single" w:sz="4" w:space="0" w:color="auto"/>
            </w:tcBorders>
            <w:vAlign w:val="center"/>
          </w:tcPr>
          <w:p w:rsidR="00D93690" w:rsidRPr="00E67D7D" w:rsidRDefault="00D93690" w:rsidP="00454FB3">
            <w:pPr>
              <w:contextualSpacing/>
              <w:jc w:val="center"/>
              <w:rPr>
                <w:sz w:val="20"/>
                <w:lang w:val="en-US"/>
              </w:rPr>
            </w:pPr>
            <w:r w:rsidRPr="00E67D7D">
              <w:rPr>
                <w:sz w:val="20"/>
                <w:lang w:val="en-US"/>
              </w:rPr>
              <w:t>17</w:t>
            </w:r>
          </w:p>
        </w:tc>
        <w:tc>
          <w:tcPr>
            <w:tcW w:w="671" w:type="pct"/>
            <w:tcBorders>
              <w:top w:val="single" w:sz="4" w:space="0" w:color="auto"/>
              <w:bottom w:val="single" w:sz="4" w:space="0" w:color="auto"/>
            </w:tcBorders>
            <w:vAlign w:val="center"/>
          </w:tcPr>
          <w:p w:rsidR="00D93690" w:rsidRPr="00E67D7D" w:rsidRDefault="00D93690" w:rsidP="00454FB3">
            <w:pPr>
              <w:contextualSpacing/>
              <w:jc w:val="center"/>
              <w:rPr>
                <w:sz w:val="20"/>
                <w:lang w:val="en-US"/>
              </w:rPr>
            </w:pPr>
            <w:r w:rsidRPr="00E67D7D">
              <w:rPr>
                <w:sz w:val="20"/>
                <w:lang w:val="en-US"/>
              </w:rPr>
              <w:t>20</w:t>
            </w:r>
          </w:p>
        </w:tc>
      </w:tr>
      <w:tr w:rsidR="00D93690" w:rsidRPr="000737B4" w:rsidTr="0055211B">
        <w:tc>
          <w:tcPr>
            <w:tcW w:w="1836" w:type="pct"/>
            <w:tcBorders>
              <w:top w:val="single" w:sz="4" w:space="0" w:color="auto"/>
              <w:bottom w:val="single" w:sz="4" w:space="0" w:color="auto"/>
            </w:tcBorders>
            <w:vAlign w:val="center"/>
          </w:tcPr>
          <w:p w:rsidR="00D93690" w:rsidRPr="00E67D7D" w:rsidRDefault="00F22DAC" w:rsidP="003E0F98">
            <w:pPr>
              <w:contextualSpacing/>
              <w:jc w:val="center"/>
              <w:rPr>
                <w:rFonts w:eastAsia="Calibri"/>
                <w:position w:val="-12"/>
                <w:sz w:val="20"/>
                <w:lang w:eastAsia="ru-RU"/>
              </w:rPr>
            </w:pPr>
            <m:oMath>
              <m:sSub>
                <m:sSubPr>
                  <m:ctrlPr>
                    <w:rPr>
                      <w:rFonts w:ascii="Cambria Math" w:hAnsi="Cambria Math"/>
                      <w:i/>
                      <w:sz w:val="20"/>
                      <w:lang w:val="en-US" w:eastAsia="ru-RU"/>
                    </w:rPr>
                  </m:ctrlPr>
                </m:sSubPr>
                <m:e>
                  <m:r>
                    <w:rPr>
                      <w:rFonts w:ascii="Cambria Math" w:hAnsi="Cambria Math"/>
                      <w:sz w:val="20"/>
                      <w:lang w:val="en-US" w:eastAsia="ru-RU"/>
                    </w:rPr>
                    <m:t>K</m:t>
                  </m:r>
                </m:e>
                <m:sub>
                  <m:r>
                    <w:rPr>
                      <w:rFonts w:ascii="Cambria Math" w:hAnsi="Cambria Math"/>
                      <w:sz w:val="20"/>
                      <w:lang w:val="en-US" w:eastAsia="ru-RU"/>
                    </w:rPr>
                    <m:t>MA</m:t>
                  </m:r>
                </m:sub>
              </m:sSub>
            </m:oMath>
            <w:r w:rsidR="00D93690" w:rsidRPr="00E67D7D">
              <w:rPr>
                <w:sz w:val="20"/>
              </w:rPr>
              <w:t>(1)</w:t>
            </w:r>
          </w:p>
        </w:tc>
        <w:tc>
          <w:tcPr>
            <w:tcW w:w="459" w:type="pct"/>
            <w:tcBorders>
              <w:top w:val="single" w:sz="4" w:space="0" w:color="auto"/>
              <w:bottom w:val="single" w:sz="4" w:space="0" w:color="auto"/>
            </w:tcBorders>
            <w:vAlign w:val="bottom"/>
          </w:tcPr>
          <w:p w:rsidR="00D93690" w:rsidRPr="00E67D7D" w:rsidRDefault="00D93690" w:rsidP="00127E32">
            <w:pPr>
              <w:contextualSpacing/>
              <w:jc w:val="center"/>
              <w:rPr>
                <w:color w:val="000000"/>
                <w:sz w:val="20"/>
              </w:rPr>
            </w:pPr>
            <w:r w:rsidRPr="00E67D7D">
              <w:rPr>
                <w:color w:val="000000"/>
                <w:sz w:val="20"/>
              </w:rPr>
              <w:t>0</w:t>
            </w:r>
            <w:r w:rsidR="00127E32">
              <w:rPr>
                <w:color w:val="000000"/>
                <w:sz w:val="20"/>
              </w:rPr>
              <w:t>.</w:t>
            </w:r>
            <w:r w:rsidRPr="00E67D7D">
              <w:rPr>
                <w:color w:val="000000"/>
                <w:sz w:val="20"/>
              </w:rPr>
              <w:t>53</w:t>
            </w:r>
          </w:p>
        </w:tc>
        <w:tc>
          <w:tcPr>
            <w:tcW w:w="459" w:type="pct"/>
            <w:tcBorders>
              <w:top w:val="single" w:sz="4" w:space="0" w:color="auto"/>
              <w:bottom w:val="single" w:sz="4" w:space="0" w:color="auto"/>
            </w:tcBorders>
            <w:vAlign w:val="bottom"/>
          </w:tcPr>
          <w:p w:rsidR="00D93690" w:rsidRPr="00E67D7D" w:rsidRDefault="00127E32" w:rsidP="00454FB3">
            <w:pPr>
              <w:contextualSpacing/>
              <w:jc w:val="center"/>
              <w:rPr>
                <w:color w:val="000000"/>
                <w:sz w:val="20"/>
              </w:rPr>
            </w:pPr>
            <w:r>
              <w:rPr>
                <w:color w:val="000000"/>
                <w:sz w:val="20"/>
              </w:rPr>
              <w:t>0.</w:t>
            </w:r>
            <w:r w:rsidR="00D93690" w:rsidRPr="00E67D7D">
              <w:rPr>
                <w:color w:val="000000"/>
                <w:sz w:val="20"/>
              </w:rPr>
              <w:t>53</w:t>
            </w:r>
          </w:p>
        </w:tc>
        <w:tc>
          <w:tcPr>
            <w:tcW w:w="462" w:type="pct"/>
            <w:tcBorders>
              <w:top w:val="single" w:sz="4" w:space="0" w:color="auto"/>
              <w:bottom w:val="single" w:sz="4" w:space="0" w:color="auto"/>
            </w:tcBorders>
            <w:vAlign w:val="bottom"/>
          </w:tcPr>
          <w:p w:rsidR="00D93690" w:rsidRPr="00E67D7D" w:rsidRDefault="00127E32" w:rsidP="00454FB3">
            <w:pPr>
              <w:contextualSpacing/>
              <w:jc w:val="center"/>
              <w:rPr>
                <w:color w:val="000000"/>
                <w:sz w:val="20"/>
              </w:rPr>
            </w:pPr>
            <w:r>
              <w:rPr>
                <w:color w:val="000000"/>
                <w:sz w:val="20"/>
              </w:rPr>
              <w:t>0.</w:t>
            </w:r>
            <w:r w:rsidR="00D93690" w:rsidRPr="00E67D7D">
              <w:rPr>
                <w:color w:val="000000"/>
                <w:sz w:val="20"/>
              </w:rPr>
              <w:t>53</w:t>
            </w:r>
          </w:p>
        </w:tc>
        <w:tc>
          <w:tcPr>
            <w:tcW w:w="459" w:type="pct"/>
            <w:tcBorders>
              <w:top w:val="single" w:sz="4" w:space="0" w:color="auto"/>
              <w:bottom w:val="single" w:sz="4" w:space="0" w:color="auto"/>
            </w:tcBorders>
            <w:vAlign w:val="bottom"/>
          </w:tcPr>
          <w:p w:rsidR="00D93690" w:rsidRPr="00E67D7D" w:rsidRDefault="00D93690" w:rsidP="00454FB3">
            <w:pPr>
              <w:contextualSpacing/>
              <w:jc w:val="center"/>
              <w:rPr>
                <w:color w:val="000000"/>
                <w:sz w:val="20"/>
              </w:rPr>
            </w:pPr>
            <w:r w:rsidRPr="00E67D7D">
              <w:rPr>
                <w:color w:val="000000"/>
                <w:sz w:val="20"/>
              </w:rPr>
              <w:t>0</w:t>
            </w:r>
            <w:r w:rsidR="00127E32">
              <w:rPr>
                <w:color w:val="000000"/>
                <w:sz w:val="20"/>
              </w:rPr>
              <w:t>.</w:t>
            </w:r>
            <w:r w:rsidRPr="00E67D7D">
              <w:rPr>
                <w:color w:val="000000"/>
                <w:sz w:val="20"/>
              </w:rPr>
              <w:t>56</w:t>
            </w:r>
          </w:p>
        </w:tc>
        <w:tc>
          <w:tcPr>
            <w:tcW w:w="654" w:type="pct"/>
            <w:tcBorders>
              <w:top w:val="single" w:sz="4" w:space="0" w:color="auto"/>
              <w:bottom w:val="single" w:sz="4" w:space="0" w:color="auto"/>
            </w:tcBorders>
            <w:vAlign w:val="bottom"/>
          </w:tcPr>
          <w:p w:rsidR="00D93690" w:rsidRPr="00E67D7D" w:rsidRDefault="00127E32" w:rsidP="00454FB3">
            <w:pPr>
              <w:contextualSpacing/>
              <w:jc w:val="center"/>
              <w:rPr>
                <w:color w:val="000000"/>
                <w:sz w:val="20"/>
              </w:rPr>
            </w:pPr>
            <w:r>
              <w:rPr>
                <w:color w:val="000000"/>
                <w:sz w:val="20"/>
              </w:rPr>
              <w:t>0.</w:t>
            </w:r>
            <w:r w:rsidR="00D93690" w:rsidRPr="00E67D7D">
              <w:rPr>
                <w:color w:val="000000"/>
                <w:sz w:val="20"/>
              </w:rPr>
              <w:t>6</w:t>
            </w:r>
          </w:p>
        </w:tc>
        <w:tc>
          <w:tcPr>
            <w:tcW w:w="671" w:type="pct"/>
            <w:tcBorders>
              <w:top w:val="single" w:sz="4" w:space="0" w:color="auto"/>
              <w:bottom w:val="single" w:sz="4" w:space="0" w:color="auto"/>
            </w:tcBorders>
            <w:vAlign w:val="bottom"/>
          </w:tcPr>
          <w:p w:rsidR="00D93690" w:rsidRPr="00E67D7D" w:rsidRDefault="00127E32" w:rsidP="00454FB3">
            <w:pPr>
              <w:contextualSpacing/>
              <w:jc w:val="center"/>
              <w:rPr>
                <w:color w:val="000000"/>
                <w:sz w:val="20"/>
              </w:rPr>
            </w:pPr>
            <w:r>
              <w:rPr>
                <w:color w:val="000000"/>
                <w:sz w:val="20"/>
              </w:rPr>
              <w:t>0.</w:t>
            </w:r>
            <w:r w:rsidR="00D93690" w:rsidRPr="00E67D7D">
              <w:rPr>
                <w:color w:val="000000"/>
                <w:sz w:val="20"/>
              </w:rPr>
              <w:t>6</w:t>
            </w:r>
          </w:p>
        </w:tc>
      </w:tr>
      <w:tr w:rsidR="00D93690" w:rsidRPr="000737B4" w:rsidTr="0055211B">
        <w:tc>
          <w:tcPr>
            <w:tcW w:w="1836" w:type="pct"/>
            <w:tcBorders>
              <w:top w:val="single" w:sz="4" w:space="0" w:color="auto"/>
              <w:bottom w:val="single" w:sz="4" w:space="0" w:color="auto"/>
            </w:tcBorders>
            <w:vAlign w:val="center"/>
          </w:tcPr>
          <w:p w:rsidR="00D93690" w:rsidRPr="00E67D7D" w:rsidRDefault="00F22DAC" w:rsidP="00454FB3">
            <w:pPr>
              <w:contextualSpacing/>
              <w:jc w:val="center"/>
              <w:rPr>
                <w:rFonts w:eastAsia="Calibri"/>
                <w:position w:val="-12"/>
                <w:sz w:val="20"/>
                <w:lang w:eastAsia="ru-RU"/>
              </w:rPr>
            </w:pPr>
            <m:oMath>
              <m:sSub>
                <m:sSubPr>
                  <m:ctrlPr>
                    <w:rPr>
                      <w:rFonts w:ascii="Cambria Math" w:hAnsi="Cambria Math"/>
                      <w:i/>
                      <w:sz w:val="20"/>
                      <w:lang w:val="en-US" w:eastAsia="ru-RU"/>
                    </w:rPr>
                  </m:ctrlPr>
                </m:sSubPr>
                <m:e>
                  <m:r>
                    <w:rPr>
                      <w:rFonts w:ascii="Cambria Math" w:hAnsi="Cambria Math"/>
                      <w:sz w:val="20"/>
                      <w:lang w:val="en-US" w:eastAsia="ru-RU"/>
                    </w:rPr>
                    <m:t>K</m:t>
                  </m:r>
                </m:e>
                <m:sub>
                  <m:r>
                    <w:rPr>
                      <w:rFonts w:ascii="Cambria Math" w:hAnsi="Cambria Math"/>
                      <w:sz w:val="20"/>
                      <w:lang w:val="en-US" w:eastAsia="ru-RU"/>
                    </w:rPr>
                    <m:t>MA</m:t>
                  </m:r>
                </m:sub>
              </m:sSub>
            </m:oMath>
            <w:r w:rsidR="00D93690" w:rsidRPr="00E67D7D">
              <w:rPr>
                <w:sz w:val="20"/>
              </w:rPr>
              <w:t>(10)</w:t>
            </w:r>
          </w:p>
        </w:tc>
        <w:tc>
          <w:tcPr>
            <w:tcW w:w="459" w:type="pct"/>
            <w:tcBorders>
              <w:top w:val="single" w:sz="4" w:space="0" w:color="auto"/>
              <w:bottom w:val="single" w:sz="4" w:space="0" w:color="auto"/>
            </w:tcBorders>
            <w:vAlign w:val="bottom"/>
          </w:tcPr>
          <w:p w:rsidR="00D93690" w:rsidRPr="00E67D7D" w:rsidRDefault="00127E32" w:rsidP="00454FB3">
            <w:pPr>
              <w:contextualSpacing/>
              <w:jc w:val="center"/>
              <w:rPr>
                <w:sz w:val="20"/>
              </w:rPr>
            </w:pPr>
            <w:r>
              <w:rPr>
                <w:color w:val="000000"/>
                <w:sz w:val="20"/>
              </w:rPr>
              <w:t>0.</w:t>
            </w:r>
            <w:r w:rsidR="00D93690" w:rsidRPr="00E67D7D">
              <w:rPr>
                <w:color w:val="000000"/>
                <w:sz w:val="20"/>
              </w:rPr>
              <w:t>59</w:t>
            </w:r>
          </w:p>
        </w:tc>
        <w:tc>
          <w:tcPr>
            <w:tcW w:w="459" w:type="pct"/>
            <w:tcBorders>
              <w:top w:val="single" w:sz="4" w:space="0" w:color="auto"/>
              <w:bottom w:val="single" w:sz="4" w:space="0" w:color="auto"/>
            </w:tcBorders>
            <w:vAlign w:val="bottom"/>
          </w:tcPr>
          <w:p w:rsidR="00D93690" w:rsidRPr="00E67D7D" w:rsidRDefault="00127E32" w:rsidP="00454FB3">
            <w:pPr>
              <w:contextualSpacing/>
              <w:jc w:val="center"/>
              <w:rPr>
                <w:sz w:val="20"/>
              </w:rPr>
            </w:pPr>
            <w:r>
              <w:rPr>
                <w:color w:val="000000"/>
                <w:sz w:val="20"/>
              </w:rPr>
              <w:t>0.</w:t>
            </w:r>
            <w:r w:rsidR="00D93690" w:rsidRPr="00E67D7D">
              <w:rPr>
                <w:color w:val="000000"/>
                <w:sz w:val="20"/>
              </w:rPr>
              <w:t>59</w:t>
            </w:r>
          </w:p>
        </w:tc>
        <w:tc>
          <w:tcPr>
            <w:tcW w:w="462" w:type="pct"/>
            <w:tcBorders>
              <w:top w:val="single" w:sz="4" w:space="0" w:color="auto"/>
              <w:bottom w:val="single" w:sz="4" w:space="0" w:color="auto"/>
            </w:tcBorders>
            <w:vAlign w:val="bottom"/>
          </w:tcPr>
          <w:p w:rsidR="00D93690" w:rsidRPr="00E67D7D" w:rsidRDefault="00127E32" w:rsidP="00454FB3">
            <w:pPr>
              <w:contextualSpacing/>
              <w:jc w:val="center"/>
              <w:rPr>
                <w:sz w:val="20"/>
              </w:rPr>
            </w:pPr>
            <w:r>
              <w:rPr>
                <w:color w:val="000000"/>
                <w:sz w:val="20"/>
              </w:rPr>
              <w:t>0.</w:t>
            </w:r>
            <w:r w:rsidR="00D93690" w:rsidRPr="00E67D7D">
              <w:rPr>
                <w:color w:val="000000"/>
                <w:sz w:val="20"/>
              </w:rPr>
              <w:t>59</w:t>
            </w:r>
          </w:p>
        </w:tc>
        <w:tc>
          <w:tcPr>
            <w:tcW w:w="459" w:type="pct"/>
            <w:tcBorders>
              <w:top w:val="single" w:sz="4" w:space="0" w:color="auto"/>
              <w:bottom w:val="single" w:sz="4" w:space="0" w:color="auto"/>
            </w:tcBorders>
            <w:vAlign w:val="bottom"/>
          </w:tcPr>
          <w:p w:rsidR="00D93690" w:rsidRPr="00E67D7D" w:rsidRDefault="00127E32" w:rsidP="00454FB3">
            <w:pPr>
              <w:contextualSpacing/>
              <w:jc w:val="center"/>
              <w:rPr>
                <w:sz w:val="20"/>
              </w:rPr>
            </w:pPr>
            <w:r>
              <w:rPr>
                <w:color w:val="000000"/>
                <w:sz w:val="20"/>
              </w:rPr>
              <w:t>0.</w:t>
            </w:r>
            <w:r w:rsidR="00D93690" w:rsidRPr="00E67D7D">
              <w:rPr>
                <w:color w:val="000000"/>
                <w:sz w:val="20"/>
              </w:rPr>
              <w:t>60</w:t>
            </w:r>
          </w:p>
        </w:tc>
        <w:tc>
          <w:tcPr>
            <w:tcW w:w="654" w:type="pct"/>
            <w:tcBorders>
              <w:top w:val="single" w:sz="4" w:space="0" w:color="auto"/>
              <w:bottom w:val="single" w:sz="4" w:space="0" w:color="auto"/>
            </w:tcBorders>
            <w:vAlign w:val="bottom"/>
          </w:tcPr>
          <w:p w:rsidR="00D93690" w:rsidRPr="00E67D7D" w:rsidRDefault="00127E32" w:rsidP="00454FB3">
            <w:pPr>
              <w:contextualSpacing/>
              <w:jc w:val="center"/>
              <w:rPr>
                <w:sz w:val="20"/>
              </w:rPr>
            </w:pPr>
            <w:r>
              <w:rPr>
                <w:color w:val="000000"/>
                <w:sz w:val="20"/>
              </w:rPr>
              <w:t>0.</w:t>
            </w:r>
            <w:r w:rsidR="00D93690" w:rsidRPr="00E67D7D">
              <w:rPr>
                <w:color w:val="000000"/>
                <w:sz w:val="20"/>
              </w:rPr>
              <w:t>63</w:t>
            </w:r>
          </w:p>
        </w:tc>
        <w:tc>
          <w:tcPr>
            <w:tcW w:w="671" w:type="pct"/>
            <w:tcBorders>
              <w:top w:val="single" w:sz="4" w:space="0" w:color="auto"/>
              <w:bottom w:val="single" w:sz="4" w:space="0" w:color="auto"/>
            </w:tcBorders>
            <w:vAlign w:val="bottom"/>
          </w:tcPr>
          <w:p w:rsidR="00D93690" w:rsidRPr="00E67D7D" w:rsidRDefault="00127E32" w:rsidP="00454FB3">
            <w:pPr>
              <w:contextualSpacing/>
              <w:jc w:val="center"/>
              <w:rPr>
                <w:sz w:val="20"/>
              </w:rPr>
            </w:pPr>
            <w:r>
              <w:rPr>
                <w:color w:val="000000"/>
                <w:sz w:val="20"/>
              </w:rPr>
              <w:t>0.</w:t>
            </w:r>
            <w:r w:rsidR="00D93690" w:rsidRPr="00E67D7D">
              <w:rPr>
                <w:color w:val="000000"/>
                <w:sz w:val="20"/>
              </w:rPr>
              <w:t>63</w:t>
            </w:r>
          </w:p>
        </w:tc>
      </w:tr>
      <w:tr w:rsidR="00D93690" w:rsidRPr="000737B4" w:rsidTr="0055211B">
        <w:tc>
          <w:tcPr>
            <w:tcW w:w="1836" w:type="pct"/>
            <w:tcBorders>
              <w:top w:val="single" w:sz="4" w:space="0" w:color="auto"/>
              <w:bottom w:val="single" w:sz="4" w:space="0" w:color="auto"/>
            </w:tcBorders>
            <w:vAlign w:val="center"/>
          </w:tcPr>
          <w:p w:rsidR="00D93690" w:rsidRPr="00E67D7D" w:rsidRDefault="00F22DAC" w:rsidP="00454FB3">
            <w:pPr>
              <w:contextualSpacing/>
              <w:jc w:val="center"/>
              <w:rPr>
                <w:rFonts w:eastAsia="Calibri"/>
                <w:position w:val="-12"/>
                <w:sz w:val="20"/>
                <w:lang w:eastAsia="ru-RU"/>
              </w:rPr>
            </w:pPr>
            <m:oMath>
              <m:sSub>
                <m:sSubPr>
                  <m:ctrlPr>
                    <w:rPr>
                      <w:rFonts w:ascii="Cambria Math" w:hAnsi="Cambria Math"/>
                      <w:i/>
                      <w:sz w:val="20"/>
                      <w:lang w:val="en-US" w:eastAsia="ru-RU"/>
                    </w:rPr>
                  </m:ctrlPr>
                </m:sSubPr>
                <m:e>
                  <m:r>
                    <w:rPr>
                      <w:rFonts w:ascii="Cambria Math" w:hAnsi="Cambria Math"/>
                      <w:sz w:val="20"/>
                      <w:lang w:val="en-US" w:eastAsia="ru-RU"/>
                    </w:rPr>
                    <m:t>K</m:t>
                  </m:r>
                </m:e>
                <m:sub>
                  <m:r>
                    <w:rPr>
                      <w:rFonts w:ascii="Cambria Math" w:hAnsi="Cambria Math"/>
                      <w:sz w:val="20"/>
                      <w:lang w:val="en-US" w:eastAsia="ru-RU"/>
                    </w:rPr>
                    <m:t>MA</m:t>
                  </m:r>
                </m:sub>
              </m:sSub>
            </m:oMath>
            <w:r w:rsidR="00D93690" w:rsidRPr="00E67D7D">
              <w:rPr>
                <w:sz w:val="20"/>
              </w:rPr>
              <w:t xml:space="preserve"> (20)</w:t>
            </w:r>
          </w:p>
        </w:tc>
        <w:tc>
          <w:tcPr>
            <w:tcW w:w="459" w:type="pct"/>
            <w:tcBorders>
              <w:top w:val="single" w:sz="4" w:space="0" w:color="auto"/>
              <w:bottom w:val="single" w:sz="4" w:space="0" w:color="auto"/>
            </w:tcBorders>
            <w:vAlign w:val="bottom"/>
          </w:tcPr>
          <w:p w:rsidR="00D93690" w:rsidRPr="00E67D7D" w:rsidRDefault="00127E32" w:rsidP="00454FB3">
            <w:pPr>
              <w:contextualSpacing/>
              <w:jc w:val="center"/>
              <w:rPr>
                <w:sz w:val="20"/>
              </w:rPr>
            </w:pPr>
            <w:r>
              <w:rPr>
                <w:color w:val="000000"/>
                <w:sz w:val="20"/>
              </w:rPr>
              <w:t>0.</w:t>
            </w:r>
            <w:r w:rsidR="00D93690" w:rsidRPr="00E67D7D">
              <w:rPr>
                <w:color w:val="000000"/>
                <w:sz w:val="20"/>
              </w:rPr>
              <w:t>66</w:t>
            </w:r>
          </w:p>
        </w:tc>
        <w:tc>
          <w:tcPr>
            <w:tcW w:w="459" w:type="pct"/>
            <w:tcBorders>
              <w:top w:val="single" w:sz="4" w:space="0" w:color="auto"/>
              <w:bottom w:val="single" w:sz="4" w:space="0" w:color="auto"/>
            </w:tcBorders>
            <w:vAlign w:val="bottom"/>
          </w:tcPr>
          <w:p w:rsidR="00D93690" w:rsidRPr="00E67D7D" w:rsidRDefault="00127E32" w:rsidP="00454FB3">
            <w:pPr>
              <w:contextualSpacing/>
              <w:jc w:val="center"/>
              <w:rPr>
                <w:sz w:val="20"/>
              </w:rPr>
            </w:pPr>
            <w:r>
              <w:rPr>
                <w:color w:val="000000"/>
                <w:sz w:val="20"/>
              </w:rPr>
              <w:t>0.</w:t>
            </w:r>
            <w:r w:rsidR="00D93690" w:rsidRPr="00E67D7D">
              <w:rPr>
                <w:color w:val="000000"/>
                <w:sz w:val="20"/>
              </w:rPr>
              <w:t>65</w:t>
            </w:r>
          </w:p>
        </w:tc>
        <w:tc>
          <w:tcPr>
            <w:tcW w:w="462" w:type="pct"/>
            <w:tcBorders>
              <w:top w:val="single" w:sz="4" w:space="0" w:color="auto"/>
              <w:bottom w:val="single" w:sz="4" w:space="0" w:color="auto"/>
            </w:tcBorders>
            <w:vAlign w:val="bottom"/>
          </w:tcPr>
          <w:p w:rsidR="00D93690" w:rsidRPr="00E67D7D" w:rsidRDefault="00127E32" w:rsidP="00454FB3">
            <w:pPr>
              <w:contextualSpacing/>
              <w:jc w:val="center"/>
              <w:rPr>
                <w:sz w:val="20"/>
              </w:rPr>
            </w:pPr>
            <w:r>
              <w:rPr>
                <w:color w:val="000000"/>
                <w:sz w:val="20"/>
              </w:rPr>
              <w:t>0.</w:t>
            </w:r>
            <w:r w:rsidR="00D93690" w:rsidRPr="00E67D7D">
              <w:rPr>
                <w:color w:val="000000"/>
                <w:sz w:val="20"/>
              </w:rPr>
              <w:t>65</w:t>
            </w:r>
          </w:p>
        </w:tc>
        <w:tc>
          <w:tcPr>
            <w:tcW w:w="459" w:type="pct"/>
            <w:tcBorders>
              <w:top w:val="single" w:sz="4" w:space="0" w:color="auto"/>
              <w:bottom w:val="single" w:sz="4" w:space="0" w:color="auto"/>
            </w:tcBorders>
            <w:vAlign w:val="bottom"/>
          </w:tcPr>
          <w:p w:rsidR="00D93690" w:rsidRPr="00E67D7D" w:rsidRDefault="00127E32" w:rsidP="00454FB3">
            <w:pPr>
              <w:contextualSpacing/>
              <w:jc w:val="center"/>
              <w:rPr>
                <w:sz w:val="20"/>
              </w:rPr>
            </w:pPr>
            <w:r>
              <w:rPr>
                <w:color w:val="000000"/>
                <w:sz w:val="20"/>
              </w:rPr>
              <w:t>0.</w:t>
            </w:r>
            <w:r w:rsidR="00D93690" w:rsidRPr="00E67D7D">
              <w:rPr>
                <w:color w:val="000000"/>
                <w:sz w:val="20"/>
              </w:rPr>
              <w:t>65</w:t>
            </w:r>
          </w:p>
        </w:tc>
        <w:tc>
          <w:tcPr>
            <w:tcW w:w="654" w:type="pct"/>
            <w:tcBorders>
              <w:top w:val="single" w:sz="4" w:space="0" w:color="auto"/>
              <w:bottom w:val="single" w:sz="4" w:space="0" w:color="auto"/>
            </w:tcBorders>
            <w:vAlign w:val="bottom"/>
          </w:tcPr>
          <w:p w:rsidR="00D93690" w:rsidRPr="00E67D7D" w:rsidRDefault="00127E32" w:rsidP="00454FB3">
            <w:pPr>
              <w:contextualSpacing/>
              <w:jc w:val="center"/>
              <w:rPr>
                <w:sz w:val="20"/>
              </w:rPr>
            </w:pPr>
            <w:r>
              <w:rPr>
                <w:color w:val="000000"/>
                <w:sz w:val="20"/>
              </w:rPr>
              <w:t>0.</w:t>
            </w:r>
            <w:r w:rsidR="00D93690" w:rsidRPr="00E67D7D">
              <w:rPr>
                <w:color w:val="000000"/>
                <w:sz w:val="20"/>
              </w:rPr>
              <w:t>67</w:t>
            </w:r>
          </w:p>
        </w:tc>
        <w:tc>
          <w:tcPr>
            <w:tcW w:w="671" w:type="pct"/>
            <w:tcBorders>
              <w:top w:val="single" w:sz="4" w:space="0" w:color="auto"/>
              <w:bottom w:val="single" w:sz="4" w:space="0" w:color="auto"/>
            </w:tcBorders>
            <w:vAlign w:val="bottom"/>
          </w:tcPr>
          <w:p w:rsidR="00D93690" w:rsidRPr="00E67D7D" w:rsidRDefault="00127E32" w:rsidP="00454FB3">
            <w:pPr>
              <w:contextualSpacing/>
              <w:jc w:val="center"/>
              <w:rPr>
                <w:sz w:val="20"/>
              </w:rPr>
            </w:pPr>
            <w:r>
              <w:rPr>
                <w:color w:val="000000"/>
                <w:sz w:val="20"/>
              </w:rPr>
              <w:t>0.</w:t>
            </w:r>
            <w:r w:rsidR="00D93690" w:rsidRPr="00E67D7D">
              <w:rPr>
                <w:color w:val="000000"/>
                <w:sz w:val="20"/>
              </w:rPr>
              <w:t>66</w:t>
            </w:r>
          </w:p>
        </w:tc>
      </w:tr>
      <w:tr w:rsidR="00D93690" w:rsidRPr="000737B4" w:rsidTr="0055211B">
        <w:tc>
          <w:tcPr>
            <w:tcW w:w="1836" w:type="pct"/>
            <w:tcBorders>
              <w:top w:val="single" w:sz="4" w:space="0" w:color="auto"/>
              <w:bottom w:val="single" w:sz="4" w:space="0" w:color="auto"/>
            </w:tcBorders>
            <w:vAlign w:val="center"/>
          </w:tcPr>
          <w:p w:rsidR="00D93690" w:rsidRPr="00E67D7D" w:rsidRDefault="00F22DAC" w:rsidP="00454FB3">
            <w:pPr>
              <w:contextualSpacing/>
              <w:jc w:val="center"/>
              <w:rPr>
                <w:rFonts w:eastAsia="Calibri"/>
                <w:position w:val="-12"/>
                <w:sz w:val="20"/>
                <w:lang w:eastAsia="ru-RU"/>
              </w:rPr>
            </w:pPr>
            <m:oMath>
              <m:sSub>
                <m:sSubPr>
                  <m:ctrlPr>
                    <w:rPr>
                      <w:rFonts w:ascii="Cambria Math" w:hAnsi="Cambria Math"/>
                      <w:i/>
                      <w:sz w:val="20"/>
                      <w:lang w:val="en-US" w:eastAsia="ru-RU"/>
                    </w:rPr>
                  </m:ctrlPr>
                </m:sSubPr>
                <m:e>
                  <m:r>
                    <w:rPr>
                      <w:rFonts w:ascii="Cambria Math" w:hAnsi="Cambria Math"/>
                      <w:sz w:val="20"/>
                      <w:lang w:val="en-US" w:eastAsia="ru-RU"/>
                    </w:rPr>
                    <m:t>K</m:t>
                  </m:r>
                </m:e>
                <m:sub>
                  <m:r>
                    <w:rPr>
                      <w:rFonts w:ascii="Cambria Math" w:hAnsi="Cambria Math"/>
                      <w:sz w:val="20"/>
                      <w:lang w:val="en-US" w:eastAsia="ru-RU"/>
                    </w:rPr>
                    <m:t>MA</m:t>
                  </m:r>
                </m:sub>
              </m:sSub>
            </m:oMath>
            <w:r w:rsidR="00D93690" w:rsidRPr="00E67D7D">
              <w:rPr>
                <w:sz w:val="20"/>
              </w:rPr>
              <w:t xml:space="preserve"> (50)</w:t>
            </w:r>
          </w:p>
        </w:tc>
        <w:tc>
          <w:tcPr>
            <w:tcW w:w="459" w:type="pct"/>
            <w:tcBorders>
              <w:top w:val="single" w:sz="4" w:space="0" w:color="auto"/>
              <w:bottom w:val="single" w:sz="4" w:space="0" w:color="auto"/>
            </w:tcBorders>
            <w:vAlign w:val="bottom"/>
          </w:tcPr>
          <w:p w:rsidR="00D93690" w:rsidRPr="00E67D7D" w:rsidRDefault="00127E32" w:rsidP="00454FB3">
            <w:pPr>
              <w:contextualSpacing/>
              <w:jc w:val="center"/>
              <w:rPr>
                <w:sz w:val="20"/>
              </w:rPr>
            </w:pPr>
            <w:r>
              <w:rPr>
                <w:color w:val="000000"/>
                <w:sz w:val="20"/>
              </w:rPr>
              <w:t>0.</w:t>
            </w:r>
            <w:r w:rsidR="00D93690" w:rsidRPr="00E67D7D">
              <w:rPr>
                <w:color w:val="000000"/>
                <w:sz w:val="20"/>
              </w:rPr>
              <w:t>78</w:t>
            </w:r>
          </w:p>
        </w:tc>
        <w:tc>
          <w:tcPr>
            <w:tcW w:w="459" w:type="pct"/>
            <w:tcBorders>
              <w:top w:val="single" w:sz="4" w:space="0" w:color="auto"/>
              <w:bottom w:val="single" w:sz="4" w:space="0" w:color="auto"/>
            </w:tcBorders>
            <w:vAlign w:val="bottom"/>
          </w:tcPr>
          <w:p w:rsidR="00D93690" w:rsidRPr="00E67D7D" w:rsidRDefault="00127E32" w:rsidP="00454FB3">
            <w:pPr>
              <w:contextualSpacing/>
              <w:jc w:val="center"/>
              <w:rPr>
                <w:sz w:val="20"/>
              </w:rPr>
            </w:pPr>
            <w:r>
              <w:rPr>
                <w:color w:val="000000"/>
                <w:sz w:val="20"/>
              </w:rPr>
              <w:t>0.</w:t>
            </w:r>
            <w:r w:rsidR="00D93690" w:rsidRPr="00E67D7D">
              <w:rPr>
                <w:color w:val="000000"/>
                <w:sz w:val="20"/>
              </w:rPr>
              <w:t>77</w:t>
            </w:r>
          </w:p>
        </w:tc>
        <w:tc>
          <w:tcPr>
            <w:tcW w:w="462" w:type="pct"/>
            <w:tcBorders>
              <w:top w:val="single" w:sz="4" w:space="0" w:color="auto"/>
              <w:bottom w:val="single" w:sz="4" w:space="0" w:color="auto"/>
            </w:tcBorders>
            <w:vAlign w:val="bottom"/>
          </w:tcPr>
          <w:p w:rsidR="00D93690" w:rsidRPr="00E67D7D" w:rsidRDefault="00127E32" w:rsidP="00454FB3">
            <w:pPr>
              <w:contextualSpacing/>
              <w:jc w:val="center"/>
              <w:rPr>
                <w:sz w:val="20"/>
              </w:rPr>
            </w:pPr>
            <w:r>
              <w:rPr>
                <w:color w:val="000000"/>
                <w:sz w:val="20"/>
              </w:rPr>
              <w:t>0.</w:t>
            </w:r>
            <w:r w:rsidR="00D93690" w:rsidRPr="00E67D7D">
              <w:rPr>
                <w:color w:val="000000"/>
                <w:sz w:val="20"/>
              </w:rPr>
              <w:t>75</w:t>
            </w:r>
          </w:p>
        </w:tc>
        <w:tc>
          <w:tcPr>
            <w:tcW w:w="459" w:type="pct"/>
            <w:tcBorders>
              <w:top w:val="single" w:sz="4" w:space="0" w:color="auto"/>
              <w:bottom w:val="single" w:sz="4" w:space="0" w:color="auto"/>
            </w:tcBorders>
            <w:vAlign w:val="bottom"/>
          </w:tcPr>
          <w:p w:rsidR="00D93690" w:rsidRPr="00E67D7D" w:rsidRDefault="00127E32" w:rsidP="00454FB3">
            <w:pPr>
              <w:contextualSpacing/>
              <w:jc w:val="center"/>
              <w:rPr>
                <w:sz w:val="20"/>
              </w:rPr>
            </w:pPr>
            <w:r>
              <w:rPr>
                <w:color w:val="000000"/>
                <w:sz w:val="20"/>
              </w:rPr>
              <w:t>0.</w:t>
            </w:r>
            <w:r w:rsidR="00D93690" w:rsidRPr="00E67D7D">
              <w:rPr>
                <w:color w:val="000000"/>
                <w:sz w:val="20"/>
              </w:rPr>
              <w:t>75</w:t>
            </w:r>
          </w:p>
        </w:tc>
        <w:tc>
          <w:tcPr>
            <w:tcW w:w="654" w:type="pct"/>
            <w:tcBorders>
              <w:top w:val="single" w:sz="4" w:space="0" w:color="auto"/>
              <w:bottom w:val="single" w:sz="4" w:space="0" w:color="auto"/>
            </w:tcBorders>
            <w:vAlign w:val="bottom"/>
          </w:tcPr>
          <w:p w:rsidR="00D93690" w:rsidRPr="00E67D7D" w:rsidRDefault="00127E32" w:rsidP="00454FB3">
            <w:pPr>
              <w:contextualSpacing/>
              <w:jc w:val="center"/>
              <w:rPr>
                <w:sz w:val="20"/>
              </w:rPr>
            </w:pPr>
            <w:r>
              <w:rPr>
                <w:color w:val="000000"/>
                <w:sz w:val="20"/>
              </w:rPr>
              <w:t>0.</w:t>
            </w:r>
            <w:r w:rsidR="00D93690" w:rsidRPr="00E67D7D">
              <w:rPr>
                <w:color w:val="000000"/>
                <w:sz w:val="20"/>
              </w:rPr>
              <w:t>76</w:t>
            </w:r>
          </w:p>
        </w:tc>
        <w:tc>
          <w:tcPr>
            <w:tcW w:w="671" w:type="pct"/>
            <w:tcBorders>
              <w:top w:val="single" w:sz="4" w:space="0" w:color="auto"/>
              <w:bottom w:val="single" w:sz="4" w:space="0" w:color="auto"/>
            </w:tcBorders>
            <w:vAlign w:val="bottom"/>
          </w:tcPr>
          <w:p w:rsidR="00D93690" w:rsidRPr="00E67D7D" w:rsidRDefault="00127E32" w:rsidP="00454FB3">
            <w:pPr>
              <w:contextualSpacing/>
              <w:jc w:val="center"/>
              <w:rPr>
                <w:sz w:val="20"/>
              </w:rPr>
            </w:pPr>
            <w:r>
              <w:rPr>
                <w:color w:val="000000"/>
                <w:sz w:val="20"/>
              </w:rPr>
              <w:t>0.</w:t>
            </w:r>
            <w:r w:rsidR="00D93690" w:rsidRPr="00E67D7D">
              <w:rPr>
                <w:color w:val="000000"/>
                <w:sz w:val="20"/>
              </w:rPr>
              <w:t>74</w:t>
            </w:r>
          </w:p>
        </w:tc>
      </w:tr>
      <w:tr w:rsidR="00D93690" w:rsidRPr="000737B4" w:rsidTr="00401456">
        <w:tc>
          <w:tcPr>
            <w:tcW w:w="1836" w:type="pct"/>
            <w:tcBorders>
              <w:top w:val="single" w:sz="4" w:space="0" w:color="auto"/>
              <w:bottom w:val="single" w:sz="4" w:space="0" w:color="auto"/>
            </w:tcBorders>
            <w:vAlign w:val="center"/>
          </w:tcPr>
          <w:p w:rsidR="00D93690" w:rsidRPr="00E67D7D" w:rsidRDefault="00F22DAC" w:rsidP="00454FB3">
            <w:pPr>
              <w:contextualSpacing/>
              <w:jc w:val="center"/>
              <w:rPr>
                <w:rFonts w:eastAsia="Calibri"/>
                <w:position w:val="-12"/>
                <w:sz w:val="20"/>
                <w:lang w:eastAsia="ru-RU"/>
              </w:rPr>
            </w:pPr>
            <m:oMath>
              <m:sSub>
                <m:sSubPr>
                  <m:ctrlPr>
                    <w:rPr>
                      <w:rFonts w:ascii="Cambria Math" w:hAnsi="Cambria Math"/>
                      <w:i/>
                      <w:sz w:val="20"/>
                      <w:lang w:val="en-US" w:eastAsia="ru-RU"/>
                    </w:rPr>
                  </m:ctrlPr>
                </m:sSubPr>
                <m:e>
                  <m:r>
                    <w:rPr>
                      <w:rFonts w:ascii="Cambria Math" w:hAnsi="Cambria Math"/>
                      <w:sz w:val="20"/>
                      <w:lang w:val="en-US" w:eastAsia="ru-RU"/>
                    </w:rPr>
                    <m:t>K</m:t>
                  </m:r>
                </m:e>
                <m:sub>
                  <m:r>
                    <w:rPr>
                      <w:rFonts w:ascii="Cambria Math" w:hAnsi="Cambria Math"/>
                      <w:sz w:val="20"/>
                      <w:lang w:val="en-US" w:eastAsia="ru-RU"/>
                    </w:rPr>
                    <m:t>MA</m:t>
                  </m:r>
                </m:sub>
              </m:sSub>
            </m:oMath>
            <w:r w:rsidR="00D93690" w:rsidRPr="00E67D7D">
              <w:rPr>
                <w:sz w:val="20"/>
              </w:rPr>
              <w:t xml:space="preserve"> (100)</w:t>
            </w:r>
          </w:p>
        </w:tc>
        <w:tc>
          <w:tcPr>
            <w:tcW w:w="459" w:type="pct"/>
            <w:tcBorders>
              <w:top w:val="single" w:sz="4" w:space="0" w:color="auto"/>
              <w:bottom w:val="single" w:sz="4" w:space="0" w:color="auto"/>
            </w:tcBorders>
            <w:vAlign w:val="bottom"/>
          </w:tcPr>
          <w:p w:rsidR="00D93690" w:rsidRPr="00E67D7D" w:rsidRDefault="00127E32" w:rsidP="00454FB3">
            <w:pPr>
              <w:contextualSpacing/>
              <w:jc w:val="center"/>
              <w:rPr>
                <w:color w:val="000000"/>
                <w:sz w:val="20"/>
              </w:rPr>
            </w:pPr>
            <w:r>
              <w:rPr>
                <w:color w:val="000000"/>
                <w:sz w:val="20"/>
              </w:rPr>
              <w:t>0.</w:t>
            </w:r>
            <w:r w:rsidR="00D93690" w:rsidRPr="00E67D7D">
              <w:rPr>
                <w:color w:val="000000"/>
                <w:sz w:val="20"/>
              </w:rPr>
              <w:t>86</w:t>
            </w:r>
          </w:p>
        </w:tc>
        <w:tc>
          <w:tcPr>
            <w:tcW w:w="459" w:type="pct"/>
            <w:tcBorders>
              <w:top w:val="single" w:sz="4" w:space="0" w:color="auto"/>
              <w:bottom w:val="single" w:sz="4" w:space="0" w:color="auto"/>
            </w:tcBorders>
            <w:vAlign w:val="bottom"/>
          </w:tcPr>
          <w:p w:rsidR="00D93690" w:rsidRPr="00E67D7D" w:rsidRDefault="00127E32" w:rsidP="00454FB3">
            <w:pPr>
              <w:contextualSpacing/>
              <w:jc w:val="center"/>
              <w:rPr>
                <w:color w:val="000000"/>
                <w:sz w:val="20"/>
              </w:rPr>
            </w:pPr>
            <w:r>
              <w:rPr>
                <w:color w:val="000000"/>
                <w:sz w:val="20"/>
              </w:rPr>
              <w:t>0.</w:t>
            </w:r>
            <w:r w:rsidR="00D93690" w:rsidRPr="00E67D7D">
              <w:rPr>
                <w:color w:val="000000"/>
                <w:sz w:val="20"/>
              </w:rPr>
              <w:t>85</w:t>
            </w:r>
          </w:p>
        </w:tc>
        <w:tc>
          <w:tcPr>
            <w:tcW w:w="462" w:type="pct"/>
            <w:tcBorders>
              <w:top w:val="single" w:sz="4" w:space="0" w:color="auto"/>
              <w:bottom w:val="single" w:sz="4" w:space="0" w:color="auto"/>
            </w:tcBorders>
            <w:vAlign w:val="bottom"/>
          </w:tcPr>
          <w:p w:rsidR="00D93690" w:rsidRPr="00E67D7D" w:rsidRDefault="00127E32" w:rsidP="00454FB3">
            <w:pPr>
              <w:contextualSpacing/>
              <w:jc w:val="center"/>
              <w:rPr>
                <w:color w:val="000000"/>
                <w:sz w:val="20"/>
              </w:rPr>
            </w:pPr>
            <w:r>
              <w:rPr>
                <w:color w:val="000000"/>
                <w:sz w:val="20"/>
              </w:rPr>
              <w:t>0.</w:t>
            </w:r>
            <w:r w:rsidR="00D93690" w:rsidRPr="00E67D7D">
              <w:rPr>
                <w:color w:val="000000"/>
                <w:sz w:val="20"/>
              </w:rPr>
              <w:t>83</w:t>
            </w:r>
          </w:p>
        </w:tc>
        <w:tc>
          <w:tcPr>
            <w:tcW w:w="459" w:type="pct"/>
            <w:tcBorders>
              <w:top w:val="single" w:sz="4" w:space="0" w:color="auto"/>
              <w:bottom w:val="single" w:sz="4" w:space="0" w:color="auto"/>
            </w:tcBorders>
            <w:vAlign w:val="bottom"/>
          </w:tcPr>
          <w:p w:rsidR="00D93690" w:rsidRPr="00E67D7D" w:rsidRDefault="00127E32" w:rsidP="00454FB3">
            <w:pPr>
              <w:contextualSpacing/>
              <w:jc w:val="center"/>
              <w:rPr>
                <w:color w:val="000000"/>
                <w:sz w:val="20"/>
              </w:rPr>
            </w:pPr>
            <w:r>
              <w:rPr>
                <w:color w:val="000000"/>
                <w:sz w:val="20"/>
              </w:rPr>
              <w:t>0.</w:t>
            </w:r>
            <w:r w:rsidR="00D93690" w:rsidRPr="00E67D7D">
              <w:rPr>
                <w:color w:val="000000"/>
                <w:sz w:val="20"/>
              </w:rPr>
              <w:t>83</w:t>
            </w:r>
          </w:p>
        </w:tc>
        <w:tc>
          <w:tcPr>
            <w:tcW w:w="654" w:type="pct"/>
            <w:tcBorders>
              <w:top w:val="single" w:sz="4" w:space="0" w:color="auto"/>
              <w:bottom w:val="single" w:sz="4" w:space="0" w:color="auto"/>
            </w:tcBorders>
            <w:vAlign w:val="bottom"/>
          </w:tcPr>
          <w:p w:rsidR="00D93690" w:rsidRPr="00E67D7D" w:rsidRDefault="00D93690" w:rsidP="00454FB3">
            <w:pPr>
              <w:contextualSpacing/>
              <w:jc w:val="center"/>
              <w:rPr>
                <w:color w:val="000000"/>
                <w:sz w:val="20"/>
              </w:rPr>
            </w:pPr>
            <w:r w:rsidRPr="00E67D7D">
              <w:rPr>
                <w:color w:val="000000"/>
                <w:sz w:val="20"/>
              </w:rPr>
              <w:t>0</w:t>
            </w:r>
            <w:r w:rsidR="00127E32">
              <w:rPr>
                <w:color w:val="000000"/>
                <w:sz w:val="20"/>
              </w:rPr>
              <w:t>.</w:t>
            </w:r>
            <w:r w:rsidRPr="00E67D7D">
              <w:rPr>
                <w:color w:val="000000"/>
                <w:sz w:val="20"/>
              </w:rPr>
              <w:t>84</w:t>
            </w:r>
          </w:p>
        </w:tc>
        <w:tc>
          <w:tcPr>
            <w:tcW w:w="671" w:type="pct"/>
            <w:tcBorders>
              <w:top w:val="single" w:sz="4" w:space="0" w:color="auto"/>
              <w:bottom w:val="single" w:sz="4" w:space="0" w:color="auto"/>
            </w:tcBorders>
            <w:vAlign w:val="bottom"/>
          </w:tcPr>
          <w:p w:rsidR="00D93690" w:rsidRPr="00E67D7D" w:rsidRDefault="00127E32" w:rsidP="00454FB3">
            <w:pPr>
              <w:contextualSpacing/>
              <w:jc w:val="center"/>
              <w:rPr>
                <w:color w:val="000000"/>
                <w:sz w:val="20"/>
              </w:rPr>
            </w:pPr>
            <w:r>
              <w:rPr>
                <w:color w:val="000000"/>
                <w:sz w:val="20"/>
              </w:rPr>
              <w:t>0.</w:t>
            </w:r>
            <w:r w:rsidR="00D93690" w:rsidRPr="00E67D7D">
              <w:rPr>
                <w:color w:val="000000"/>
                <w:sz w:val="20"/>
              </w:rPr>
              <w:t>81</w:t>
            </w:r>
          </w:p>
        </w:tc>
      </w:tr>
      <w:tr w:rsidR="00D93690" w:rsidRPr="000737B4" w:rsidTr="00401456">
        <w:tc>
          <w:tcPr>
            <w:tcW w:w="1836" w:type="pct"/>
            <w:tcBorders>
              <w:top w:val="single" w:sz="4" w:space="0" w:color="auto"/>
              <w:bottom w:val="single" w:sz="4" w:space="0" w:color="auto"/>
            </w:tcBorders>
            <w:vAlign w:val="center"/>
          </w:tcPr>
          <w:p w:rsidR="00D93690" w:rsidRPr="00E67D7D" w:rsidRDefault="00F22DAC" w:rsidP="00454FB3">
            <w:pPr>
              <w:contextualSpacing/>
              <w:jc w:val="center"/>
              <w:rPr>
                <w:sz w:val="20"/>
              </w:rPr>
            </w:pPr>
            <m:oMathPara>
              <m:oMath>
                <m:sSub>
                  <m:sSubPr>
                    <m:ctrlPr>
                      <w:rPr>
                        <w:rFonts w:ascii="Cambria Math" w:hAnsi="Cambria Math"/>
                        <w:i/>
                        <w:sz w:val="20"/>
                        <w:lang w:val="en-US" w:eastAsia="ru-RU"/>
                      </w:rPr>
                    </m:ctrlPr>
                  </m:sSubPr>
                  <m:e>
                    <m:r>
                      <w:rPr>
                        <w:rFonts w:ascii="Cambria Math" w:hAnsi="Cambria Math"/>
                        <w:sz w:val="20"/>
                        <w:lang w:val="en-US" w:eastAsia="ru-RU"/>
                      </w:rPr>
                      <m:t>K</m:t>
                    </m:r>
                  </m:e>
                  <m:sub>
                    <m:r>
                      <w:rPr>
                        <w:rFonts w:ascii="Cambria Math" w:hAnsi="Cambria Math"/>
                        <w:sz w:val="20"/>
                        <w:lang w:val="en-US" w:eastAsia="ru-RU"/>
                      </w:rPr>
                      <m:t>MA</m:t>
                    </m:r>
                  </m:sub>
                </m:sSub>
                <m:r>
                  <w:rPr>
                    <w:rFonts w:ascii="Cambria Math" w:hAnsi="Cambria Math"/>
                    <w:sz w:val="20"/>
                    <w:lang w:val="en-US" w:eastAsia="ru-RU"/>
                  </w:rPr>
                  <m:t xml:space="preserve"> (t→∞)</m:t>
                </m:r>
              </m:oMath>
            </m:oMathPara>
          </w:p>
        </w:tc>
        <w:tc>
          <w:tcPr>
            <w:tcW w:w="459" w:type="pct"/>
            <w:tcBorders>
              <w:top w:val="single" w:sz="4" w:space="0" w:color="auto"/>
              <w:bottom w:val="single" w:sz="4" w:space="0" w:color="auto"/>
            </w:tcBorders>
          </w:tcPr>
          <w:p w:rsidR="00D93690" w:rsidRPr="00E67D7D" w:rsidRDefault="00D93690" w:rsidP="00454FB3">
            <w:pPr>
              <w:contextualSpacing/>
              <w:jc w:val="center"/>
              <w:rPr>
                <w:sz w:val="20"/>
              </w:rPr>
            </w:pPr>
            <w:r w:rsidRPr="00E67D7D">
              <w:rPr>
                <w:sz w:val="20"/>
              </w:rPr>
              <w:t>1</w:t>
            </w:r>
          </w:p>
        </w:tc>
        <w:tc>
          <w:tcPr>
            <w:tcW w:w="459" w:type="pct"/>
            <w:tcBorders>
              <w:top w:val="single" w:sz="4" w:space="0" w:color="auto"/>
              <w:bottom w:val="single" w:sz="4" w:space="0" w:color="auto"/>
            </w:tcBorders>
          </w:tcPr>
          <w:p w:rsidR="00D93690" w:rsidRPr="00E67D7D" w:rsidRDefault="00D93690" w:rsidP="00454FB3">
            <w:pPr>
              <w:contextualSpacing/>
              <w:jc w:val="center"/>
              <w:rPr>
                <w:sz w:val="20"/>
              </w:rPr>
            </w:pPr>
            <w:r w:rsidRPr="00E67D7D">
              <w:rPr>
                <w:sz w:val="20"/>
              </w:rPr>
              <w:t>1</w:t>
            </w:r>
          </w:p>
        </w:tc>
        <w:tc>
          <w:tcPr>
            <w:tcW w:w="462" w:type="pct"/>
            <w:tcBorders>
              <w:top w:val="single" w:sz="4" w:space="0" w:color="auto"/>
              <w:bottom w:val="single" w:sz="4" w:space="0" w:color="auto"/>
            </w:tcBorders>
          </w:tcPr>
          <w:p w:rsidR="00D93690" w:rsidRPr="00E67D7D" w:rsidRDefault="00D93690" w:rsidP="00454FB3">
            <w:pPr>
              <w:contextualSpacing/>
              <w:jc w:val="center"/>
              <w:rPr>
                <w:sz w:val="20"/>
              </w:rPr>
            </w:pPr>
            <w:r w:rsidRPr="00E67D7D">
              <w:rPr>
                <w:sz w:val="20"/>
              </w:rPr>
              <w:t>1</w:t>
            </w:r>
          </w:p>
        </w:tc>
        <w:tc>
          <w:tcPr>
            <w:tcW w:w="459" w:type="pct"/>
            <w:tcBorders>
              <w:top w:val="single" w:sz="4" w:space="0" w:color="auto"/>
              <w:bottom w:val="single" w:sz="4" w:space="0" w:color="auto"/>
            </w:tcBorders>
          </w:tcPr>
          <w:p w:rsidR="00D93690" w:rsidRPr="00E67D7D" w:rsidRDefault="00D93690" w:rsidP="00454FB3">
            <w:pPr>
              <w:contextualSpacing/>
              <w:jc w:val="center"/>
              <w:rPr>
                <w:sz w:val="20"/>
              </w:rPr>
            </w:pPr>
            <w:r w:rsidRPr="00E67D7D">
              <w:rPr>
                <w:sz w:val="20"/>
              </w:rPr>
              <w:t>1</w:t>
            </w:r>
          </w:p>
        </w:tc>
        <w:tc>
          <w:tcPr>
            <w:tcW w:w="654" w:type="pct"/>
            <w:tcBorders>
              <w:top w:val="single" w:sz="4" w:space="0" w:color="auto"/>
              <w:bottom w:val="single" w:sz="4" w:space="0" w:color="auto"/>
            </w:tcBorders>
          </w:tcPr>
          <w:p w:rsidR="00D93690" w:rsidRPr="00E67D7D" w:rsidRDefault="00D93690" w:rsidP="00454FB3">
            <w:pPr>
              <w:contextualSpacing/>
              <w:jc w:val="center"/>
              <w:rPr>
                <w:sz w:val="20"/>
              </w:rPr>
            </w:pPr>
            <w:r w:rsidRPr="00E67D7D">
              <w:rPr>
                <w:sz w:val="20"/>
              </w:rPr>
              <w:t>1</w:t>
            </w:r>
          </w:p>
        </w:tc>
        <w:tc>
          <w:tcPr>
            <w:tcW w:w="671" w:type="pct"/>
            <w:tcBorders>
              <w:top w:val="single" w:sz="4" w:space="0" w:color="auto"/>
              <w:bottom w:val="single" w:sz="4" w:space="0" w:color="auto"/>
            </w:tcBorders>
          </w:tcPr>
          <w:p w:rsidR="00D93690" w:rsidRPr="00E67D7D" w:rsidRDefault="00D93690" w:rsidP="00454FB3">
            <w:pPr>
              <w:contextualSpacing/>
              <w:jc w:val="center"/>
              <w:rPr>
                <w:sz w:val="20"/>
              </w:rPr>
            </w:pPr>
            <w:r w:rsidRPr="00E67D7D">
              <w:rPr>
                <w:sz w:val="20"/>
              </w:rPr>
              <w:t>1</w:t>
            </w:r>
          </w:p>
        </w:tc>
      </w:tr>
      <w:tr w:rsidR="00D93690" w:rsidRPr="000737B4" w:rsidTr="00401456">
        <w:trPr>
          <w:trHeight w:val="56"/>
        </w:trPr>
        <w:tc>
          <w:tcPr>
            <w:tcW w:w="5000" w:type="pct"/>
            <w:gridSpan w:val="7"/>
            <w:tcBorders>
              <w:top w:val="single" w:sz="4" w:space="0" w:color="auto"/>
              <w:bottom w:val="single" w:sz="4" w:space="0" w:color="auto"/>
            </w:tcBorders>
            <w:vAlign w:val="center"/>
          </w:tcPr>
          <w:p w:rsidR="00D93690" w:rsidRPr="00E67D7D" w:rsidRDefault="00D93690" w:rsidP="00454FB3">
            <w:pPr>
              <w:jc w:val="center"/>
              <w:rPr>
                <w:color w:val="000000"/>
                <w:sz w:val="20"/>
              </w:rPr>
            </w:pPr>
            <w:proofErr w:type="spellStart"/>
            <w:r w:rsidRPr="00E67D7D">
              <w:rPr>
                <w:sz w:val="20"/>
                <w:lang w:val="en-US" w:eastAsia="ru-RU"/>
              </w:rPr>
              <w:t>LiF</w:t>
            </w:r>
            <w:proofErr w:type="spellEnd"/>
            <w:r w:rsidRPr="00E67D7D">
              <w:rPr>
                <w:sz w:val="20"/>
                <w:lang w:eastAsia="ru-RU"/>
              </w:rPr>
              <w:t>–</w:t>
            </w:r>
            <w:proofErr w:type="spellStart"/>
            <w:r w:rsidRPr="00E67D7D">
              <w:rPr>
                <w:sz w:val="20"/>
                <w:lang w:val="en-US" w:eastAsia="ru-RU"/>
              </w:rPr>
              <w:t>BeF</w:t>
            </w:r>
            <w:proofErr w:type="spellEnd"/>
            <w:r w:rsidRPr="00E67D7D">
              <w:rPr>
                <w:sz w:val="20"/>
                <w:vertAlign w:val="subscript"/>
                <w:lang w:eastAsia="ru-RU"/>
              </w:rPr>
              <w:t>2</w:t>
            </w:r>
          </w:p>
        </w:tc>
      </w:tr>
      <w:tr w:rsidR="00D93690" w:rsidRPr="000737B4" w:rsidTr="00401456">
        <w:trPr>
          <w:trHeight w:val="340"/>
        </w:trPr>
        <w:tc>
          <w:tcPr>
            <w:tcW w:w="1836" w:type="pct"/>
            <w:tcBorders>
              <w:top w:val="single" w:sz="4" w:space="0" w:color="auto"/>
              <w:bottom w:val="single" w:sz="4" w:space="0" w:color="auto"/>
            </w:tcBorders>
            <w:vAlign w:val="center"/>
          </w:tcPr>
          <w:p w:rsidR="00D93690" w:rsidRPr="00E67D7D" w:rsidRDefault="00F22DAC" w:rsidP="001A2BE0">
            <w:pPr>
              <w:contextualSpacing/>
              <w:jc w:val="center"/>
              <w:rPr>
                <w:sz w:val="20"/>
              </w:rPr>
            </w:pPr>
            <m:oMath>
              <m:sSub>
                <m:sSubPr>
                  <m:ctrlPr>
                    <w:rPr>
                      <w:rFonts w:ascii="Cambria Math" w:hAnsi="Cambria Math"/>
                      <w:i/>
                      <w:color w:val="000000"/>
                      <w:sz w:val="20"/>
                      <w:lang w:val="ru-RU" w:eastAsia="en-GB"/>
                    </w:rPr>
                  </m:ctrlPr>
                </m:sSubPr>
                <m:e>
                  <m:r>
                    <w:rPr>
                      <w:rFonts w:ascii="Cambria Math" w:hAnsi="Cambria Math"/>
                      <w:sz w:val="20"/>
                    </w:rPr>
                    <m:t>ν</m:t>
                  </m:r>
                </m:e>
                <m:sub>
                  <m:r>
                    <w:rPr>
                      <w:rFonts w:ascii="Cambria Math" w:hAnsi="Cambria Math"/>
                      <w:sz w:val="20"/>
                    </w:rPr>
                    <m:t>A</m:t>
                  </m:r>
                </m:sub>
              </m:sSub>
            </m:oMath>
            <w:r w:rsidR="00D93690" w:rsidRPr="00E67D7D">
              <w:rPr>
                <w:sz w:val="20"/>
              </w:rPr>
              <w:t xml:space="preserve">, %, </w:t>
            </w:r>
            <w:r w:rsidR="00E67D7D" w:rsidRPr="0089422E">
              <w:rPr>
                <w:sz w:val="20"/>
                <w:lang w:val="en-US"/>
              </w:rPr>
              <w:t>mole</w:t>
            </w:r>
          </w:p>
        </w:tc>
        <w:tc>
          <w:tcPr>
            <w:tcW w:w="459" w:type="pct"/>
            <w:tcBorders>
              <w:top w:val="single" w:sz="4" w:space="0" w:color="auto"/>
              <w:bottom w:val="single" w:sz="4" w:space="0" w:color="auto"/>
            </w:tcBorders>
            <w:vAlign w:val="center"/>
          </w:tcPr>
          <w:p w:rsidR="00D93690" w:rsidRPr="00E67D7D" w:rsidRDefault="00D93690" w:rsidP="00454FB3">
            <w:pPr>
              <w:jc w:val="center"/>
              <w:rPr>
                <w:color w:val="000000"/>
                <w:sz w:val="20"/>
              </w:rPr>
            </w:pPr>
            <w:r w:rsidRPr="00E67D7D">
              <w:rPr>
                <w:color w:val="000000"/>
                <w:sz w:val="20"/>
              </w:rPr>
              <w:t>3</w:t>
            </w:r>
          </w:p>
        </w:tc>
        <w:tc>
          <w:tcPr>
            <w:tcW w:w="459" w:type="pct"/>
            <w:tcBorders>
              <w:top w:val="single" w:sz="4" w:space="0" w:color="auto"/>
              <w:bottom w:val="single" w:sz="4" w:space="0" w:color="auto"/>
            </w:tcBorders>
            <w:vAlign w:val="center"/>
          </w:tcPr>
          <w:p w:rsidR="00D93690" w:rsidRPr="00E67D7D" w:rsidRDefault="00D93690" w:rsidP="00454FB3">
            <w:pPr>
              <w:jc w:val="center"/>
              <w:rPr>
                <w:color w:val="000000"/>
                <w:sz w:val="20"/>
              </w:rPr>
            </w:pPr>
            <w:r w:rsidRPr="00E67D7D">
              <w:rPr>
                <w:color w:val="000000"/>
                <w:sz w:val="20"/>
              </w:rPr>
              <w:t>3</w:t>
            </w:r>
          </w:p>
        </w:tc>
        <w:tc>
          <w:tcPr>
            <w:tcW w:w="462" w:type="pct"/>
            <w:tcBorders>
              <w:top w:val="single" w:sz="4" w:space="0" w:color="auto"/>
              <w:bottom w:val="single" w:sz="4" w:space="0" w:color="auto"/>
            </w:tcBorders>
            <w:vAlign w:val="center"/>
          </w:tcPr>
          <w:p w:rsidR="00D93690" w:rsidRPr="00E67D7D" w:rsidRDefault="00D93690" w:rsidP="00454FB3">
            <w:pPr>
              <w:jc w:val="center"/>
              <w:rPr>
                <w:color w:val="000000"/>
                <w:sz w:val="20"/>
              </w:rPr>
            </w:pPr>
            <w:r w:rsidRPr="00E67D7D">
              <w:rPr>
                <w:color w:val="000000"/>
                <w:sz w:val="20"/>
              </w:rPr>
              <w:t>3</w:t>
            </w:r>
          </w:p>
        </w:tc>
        <w:tc>
          <w:tcPr>
            <w:tcW w:w="459" w:type="pct"/>
            <w:tcBorders>
              <w:top w:val="single" w:sz="4" w:space="0" w:color="auto"/>
              <w:bottom w:val="single" w:sz="4" w:space="0" w:color="auto"/>
            </w:tcBorders>
            <w:vAlign w:val="center"/>
          </w:tcPr>
          <w:p w:rsidR="00D93690" w:rsidRPr="00E67D7D" w:rsidRDefault="00D93690" w:rsidP="00454FB3">
            <w:pPr>
              <w:jc w:val="center"/>
              <w:rPr>
                <w:color w:val="000000"/>
                <w:sz w:val="20"/>
              </w:rPr>
            </w:pPr>
            <w:r w:rsidRPr="00E67D7D">
              <w:rPr>
                <w:color w:val="000000"/>
                <w:sz w:val="20"/>
              </w:rPr>
              <w:t>3</w:t>
            </w:r>
          </w:p>
        </w:tc>
        <w:tc>
          <w:tcPr>
            <w:tcW w:w="654" w:type="pct"/>
            <w:tcBorders>
              <w:top w:val="single" w:sz="4" w:space="0" w:color="auto"/>
              <w:bottom w:val="single" w:sz="4" w:space="0" w:color="auto"/>
            </w:tcBorders>
            <w:vAlign w:val="center"/>
          </w:tcPr>
          <w:p w:rsidR="00D93690" w:rsidRPr="00E67D7D" w:rsidRDefault="00D93690" w:rsidP="00454FB3">
            <w:pPr>
              <w:jc w:val="center"/>
              <w:rPr>
                <w:color w:val="000000"/>
                <w:sz w:val="20"/>
              </w:rPr>
            </w:pPr>
            <w:r w:rsidRPr="00E67D7D">
              <w:rPr>
                <w:color w:val="000000"/>
                <w:sz w:val="20"/>
              </w:rPr>
              <w:t>3</w:t>
            </w:r>
          </w:p>
        </w:tc>
        <w:tc>
          <w:tcPr>
            <w:tcW w:w="671" w:type="pct"/>
            <w:tcBorders>
              <w:top w:val="single" w:sz="4" w:space="0" w:color="auto"/>
              <w:bottom w:val="single" w:sz="4" w:space="0" w:color="auto"/>
            </w:tcBorders>
            <w:vAlign w:val="center"/>
          </w:tcPr>
          <w:p w:rsidR="00D93690" w:rsidRPr="00E67D7D" w:rsidRDefault="00D93690" w:rsidP="00454FB3">
            <w:pPr>
              <w:jc w:val="center"/>
              <w:rPr>
                <w:color w:val="000000"/>
                <w:sz w:val="20"/>
              </w:rPr>
            </w:pPr>
            <w:r w:rsidRPr="00E67D7D">
              <w:rPr>
                <w:color w:val="000000"/>
                <w:sz w:val="20"/>
              </w:rPr>
              <w:t>3</w:t>
            </w:r>
          </w:p>
        </w:tc>
      </w:tr>
      <w:tr w:rsidR="00D93690" w:rsidRPr="000737B4" w:rsidTr="00401456">
        <w:trPr>
          <w:trHeight w:val="56"/>
        </w:trPr>
        <w:tc>
          <w:tcPr>
            <w:tcW w:w="1836" w:type="pct"/>
            <w:tcBorders>
              <w:top w:val="single" w:sz="4" w:space="0" w:color="auto"/>
              <w:bottom w:val="single" w:sz="4" w:space="0" w:color="auto"/>
            </w:tcBorders>
          </w:tcPr>
          <w:p w:rsidR="00D93690" w:rsidRPr="00E67D7D" w:rsidRDefault="00F22DAC" w:rsidP="00454FB3">
            <w:pPr>
              <w:contextualSpacing/>
              <w:jc w:val="center"/>
              <w:rPr>
                <w:sz w:val="20"/>
              </w:rPr>
            </w:pPr>
            <m:oMath>
              <m:sSub>
                <m:sSubPr>
                  <m:ctrlPr>
                    <w:rPr>
                      <w:rFonts w:ascii="Cambria Math" w:hAnsi="Cambria Math"/>
                      <w:i/>
                      <w:sz w:val="20"/>
                      <w:lang w:val="en-US" w:eastAsia="ru-RU"/>
                    </w:rPr>
                  </m:ctrlPr>
                </m:sSubPr>
                <m:e>
                  <m:r>
                    <w:rPr>
                      <w:rFonts w:ascii="Cambria Math" w:hAnsi="Cambria Math"/>
                      <w:sz w:val="20"/>
                      <w:lang w:val="en-US" w:eastAsia="ru-RU"/>
                    </w:rPr>
                    <m:t>K</m:t>
                  </m:r>
                </m:e>
                <m:sub>
                  <m:r>
                    <w:rPr>
                      <w:rFonts w:ascii="Cambria Math" w:hAnsi="Cambria Math"/>
                      <w:sz w:val="20"/>
                      <w:lang w:val="en-US" w:eastAsia="ru-RU"/>
                    </w:rPr>
                    <m:t>MA</m:t>
                  </m:r>
                </m:sub>
              </m:sSub>
            </m:oMath>
            <w:r w:rsidR="00D93690" w:rsidRPr="00E67D7D">
              <w:rPr>
                <w:sz w:val="20"/>
              </w:rPr>
              <w:t xml:space="preserve"> (1)</w:t>
            </w:r>
          </w:p>
        </w:tc>
        <w:tc>
          <w:tcPr>
            <w:tcW w:w="459" w:type="pct"/>
            <w:tcBorders>
              <w:top w:val="single" w:sz="4" w:space="0" w:color="auto"/>
              <w:bottom w:val="single" w:sz="4" w:space="0" w:color="auto"/>
            </w:tcBorders>
          </w:tcPr>
          <w:p w:rsidR="00D93690" w:rsidRPr="00E67D7D" w:rsidRDefault="00D93690" w:rsidP="00127E32">
            <w:pPr>
              <w:jc w:val="center"/>
              <w:rPr>
                <w:color w:val="000000"/>
                <w:sz w:val="20"/>
              </w:rPr>
            </w:pPr>
            <w:r w:rsidRPr="00E67D7D">
              <w:rPr>
                <w:color w:val="000000"/>
                <w:sz w:val="20"/>
              </w:rPr>
              <w:t>0</w:t>
            </w:r>
            <w:r w:rsidR="00127E32">
              <w:rPr>
                <w:color w:val="000000"/>
                <w:sz w:val="20"/>
              </w:rPr>
              <w:t>.</w:t>
            </w:r>
            <w:r w:rsidRPr="00E67D7D">
              <w:rPr>
                <w:color w:val="000000"/>
                <w:sz w:val="20"/>
              </w:rPr>
              <w:t>35</w:t>
            </w:r>
          </w:p>
        </w:tc>
        <w:tc>
          <w:tcPr>
            <w:tcW w:w="459" w:type="pct"/>
            <w:tcBorders>
              <w:top w:val="single" w:sz="4" w:space="0" w:color="auto"/>
              <w:bottom w:val="single" w:sz="4" w:space="0" w:color="auto"/>
            </w:tcBorders>
          </w:tcPr>
          <w:p w:rsidR="00D93690" w:rsidRPr="00E67D7D" w:rsidRDefault="00D93690" w:rsidP="00127E32">
            <w:pPr>
              <w:jc w:val="center"/>
              <w:rPr>
                <w:color w:val="000000"/>
                <w:sz w:val="20"/>
              </w:rPr>
            </w:pPr>
            <w:r w:rsidRPr="00E67D7D">
              <w:rPr>
                <w:color w:val="000000"/>
                <w:sz w:val="20"/>
              </w:rPr>
              <w:t>0</w:t>
            </w:r>
            <w:r w:rsidR="00127E32">
              <w:rPr>
                <w:color w:val="000000"/>
                <w:sz w:val="20"/>
              </w:rPr>
              <w:t>.</w:t>
            </w:r>
            <w:r w:rsidRPr="00E67D7D">
              <w:rPr>
                <w:color w:val="000000"/>
                <w:sz w:val="20"/>
              </w:rPr>
              <w:t>34</w:t>
            </w:r>
          </w:p>
        </w:tc>
        <w:tc>
          <w:tcPr>
            <w:tcW w:w="462" w:type="pct"/>
            <w:tcBorders>
              <w:top w:val="single" w:sz="4" w:space="0" w:color="auto"/>
              <w:bottom w:val="single" w:sz="4" w:space="0" w:color="auto"/>
            </w:tcBorders>
          </w:tcPr>
          <w:p w:rsidR="00D93690" w:rsidRPr="00E67D7D" w:rsidRDefault="00127E32" w:rsidP="00454FB3">
            <w:pPr>
              <w:jc w:val="center"/>
              <w:rPr>
                <w:color w:val="000000"/>
                <w:sz w:val="20"/>
              </w:rPr>
            </w:pPr>
            <w:r>
              <w:rPr>
                <w:color w:val="000000"/>
                <w:sz w:val="20"/>
              </w:rPr>
              <w:t>0.</w:t>
            </w:r>
            <w:r w:rsidR="00D93690" w:rsidRPr="00E67D7D">
              <w:rPr>
                <w:color w:val="000000"/>
                <w:sz w:val="20"/>
              </w:rPr>
              <w:t>32</w:t>
            </w:r>
          </w:p>
        </w:tc>
        <w:tc>
          <w:tcPr>
            <w:tcW w:w="459" w:type="pct"/>
            <w:tcBorders>
              <w:top w:val="single" w:sz="4" w:space="0" w:color="auto"/>
              <w:bottom w:val="single" w:sz="4" w:space="0" w:color="auto"/>
            </w:tcBorders>
          </w:tcPr>
          <w:p w:rsidR="00D93690" w:rsidRPr="00E67D7D" w:rsidRDefault="00D93690" w:rsidP="00127E32">
            <w:pPr>
              <w:jc w:val="center"/>
              <w:rPr>
                <w:color w:val="000000"/>
                <w:sz w:val="20"/>
              </w:rPr>
            </w:pPr>
            <w:r w:rsidRPr="00E67D7D">
              <w:rPr>
                <w:color w:val="000000"/>
                <w:sz w:val="20"/>
              </w:rPr>
              <w:t>0</w:t>
            </w:r>
            <w:r w:rsidR="00127E32">
              <w:rPr>
                <w:color w:val="000000"/>
                <w:sz w:val="20"/>
              </w:rPr>
              <w:t>.</w:t>
            </w:r>
            <w:r w:rsidRPr="00E67D7D">
              <w:rPr>
                <w:color w:val="000000"/>
                <w:sz w:val="20"/>
              </w:rPr>
              <w:t>29</w:t>
            </w:r>
          </w:p>
        </w:tc>
        <w:tc>
          <w:tcPr>
            <w:tcW w:w="654" w:type="pct"/>
            <w:tcBorders>
              <w:top w:val="single" w:sz="4" w:space="0" w:color="auto"/>
              <w:bottom w:val="single" w:sz="4" w:space="0" w:color="auto"/>
            </w:tcBorders>
          </w:tcPr>
          <w:p w:rsidR="00D93690" w:rsidRPr="00E67D7D" w:rsidRDefault="00127E32" w:rsidP="00454FB3">
            <w:pPr>
              <w:jc w:val="center"/>
              <w:rPr>
                <w:color w:val="000000"/>
                <w:sz w:val="20"/>
              </w:rPr>
            </w:pPr>
            <w:r>
              <w:rPr>
                <w:color w:val="000000"/>
                <w:sz w:val="20"/>
              </w:rPr>
              <w:t>0.</w:t>
            </w:r>
            <w:r w:rsidR="00D93690" w:rsidRPr="00E67D7D">
              <w:rPr>
                <w:color w:val="000000"/>
                <w:sz w:val="20"/>
              </w:rPr>
              <w:t>24</w:t>
            </w:r>
          </w:p>
        </w:tc>
        <w:tc>
          <w:tcPr>
            <w:tcW w:w="671" w:type="pct"/>
            <w:tcBorders>
              <w:top w:val="single" w:sz="4" w:space="0" w:color="auto"/>
              <w:bottom w:val="single" w:sz="4" w:space="0" w:color="auto"/>
            </w:tcBorders>
          </w:tcPr>
          <w:p w:rsidR="00D93690" w:rsidRPr="00E67D7D" w:rsidRDefault="00D93690" w:rsidP="00127E32">
            <w:pPr>
              <w:jc w:val="center"/>
              <w:rPr>
                <w:color w:val="000000"/>
                <w:sz w:val="20"/>
              </w:rPr>
            </w:pPr>
            <w:r w:rsidRPr="00E67D7D">
              <w:rPr>
                <w:color w:val="000000"/>
                <w:sz w:val="20"/>
              </w:rPr>
              <w:t>0</w:t>
            </w:r>
            <w:r w:rsidR="00127E32">
              <w:rPr>
                <w:color w:val="000000"/>
                <w:sz w:val="20"/>
              </w:rPr>
              <w:t>.</w:t>
            </w:r>
            <w:r w:rsidRPr="00E67D7D">
              <w:rPr>
                <w:color w:val="000000"/>
                <w:sz w:val="20"/>
              </w:rPr>
              <w:t>16</w:t>
            </w:r>
          </w:p>
        </w:tc>
      </w:tr>
      <w:tr w:rsidR="00D93690" w:rsidRPr="000737B4" w:rsidTr="00401456">
        <w:trPr>
          <w:trHeight w:val="56"/>
        </w:trPr>
        <w:tc>
          <w:tcPr>
            <w:tcW w:w="1836" w:type="pct"/>
            <w:tcBorders>
              <w:top w:val="single" w:sz="4" w:space="0" w:color="auto"/>
              <w:bottom w:val="single" w:sz="4" w:space="0" w:color="auto"/>
            </w:tcBorders>
            <w:vAlign w:val="center"/>
          </w:tcPr>
          <w:p w:rsidR="00D93690" w:rsidRPr="00E67D7D" w:rsidRDefault="00F22DAC" w:rsidP="00454FB3">
            <w:pPr>
              <w:contextualSpacing/>
              <w:jc w:val="center"/>
              <w:rPr>
                <w:rFonts w:eastAsia="Calibri"/>
                <w:position w:val="-12"/>
                <w:sz w:val="20"/>
                <w:lang w:eastAsia="ru-RU"/>
              </w:rPr>
            </w:pPr>
            <m:oMath>
              <m:sSub>
                <m:sSubPr>
                  <m:ctrlPr>
                    <w:rPr>
                      <w:rFonts w:ascii="Cambria Math" w:hAnsi="Cambria Math"/>
                      <w:i/>
                      <w:sz w:val="20"/>
                      <w:lang w:val="en-US" w:eastAsia="ru-RU"/>
                    </w:rPr>
                  </m:ctrlPr>
                </m:sSubPr>
                <m:e>
                  <m:r>
                    <w:rPr>
                      <w:rFonts w:ascii="Cambria Math" w:hAnsi="Cambria Math"/>
                      <w:sz w:val="20"/>
                      <w:lang w:val="en-US" w:eastAsia="ru-RU"/>
                    </w:rPr>
                    <m:t>K</m:t>
                  </m:r>
                </m:e>
                <m:sub>
                  <m:r>
                    <w:rPr>
                      <w:rFonts w:ascii="Cambria Math" w:hAnsi="Cambria Math"/>
                      <w:sz w:val="20"/>
                      <w:lang w:val="en-US" w:eastAsia="ru-RU"/>
                    </w:rPr>
                    <m:t>MA</m:t>
                  </m:r>
                </m:sub>
              </m:sSub>
            </m:oMath>
            <w:r w:rsidR="00D93690" w:rsidRPr="00E67D7D">
              <w:rPr>
                <w:sz w:val="20"/>
              </w:rPr>
              <w:t xml:space="preserve"> (10)</w:t>
            </w:r>
          </w:p>
        </w:tc>
        <w:tc>
          <w:tcPr>
            <w:tcW w:w="459" w:type="pct"/>
            <w:tcBorders>
              <w:top w:val="single" w:sz="4" w:space="0" w:color="auto"/>
              <w:bottom w:val="single" w:sz="4" w:space="0" w:color="auto"/>
            </w:tcBorders>
            <w:vAlign w:val="center"/>
          </w:tcPr>
          <w:p w:rsidR="00D93690" w:rsidRPr="00E67D7D" w:rsidRDefault="00127E32" w:rsidP="00454FB3">
            <w:pPr>
              <w:jc w:val="center"/>
              <w:rPr>
                <w:sz w:val="20"/>
              </w:rPr>
            </w:pPr>
            <w:r>
              <w:rPr>
                <w:color w:val="000000"/>
                <w:sz w:val="20"/>
              </w:rPr>
              <w:t>0.</w:t>
            </w:r>
            <w:r w:rsidR="00D93690" w:rsidRPr="00E67D7D">
              <w:rPr>
                <w:color w:val="000000"/>
                <w:sz w:val="20"/>
              </w:rPr>
              <w:t>37</w:t>
            </w:r>
          </w:p>
        </w:tc>
        <w:tc>
          <w:tcPr>
            <w:tcW w:w="459" w:type="pct"/>
            <w:tcBorders>
              <w:top w:val="single" w:sz="4" w:space="0" w:color="auto"/>
              <w:bottom w:val="single" w:sz="4" w:space="0" w:color="auto"/>
            </w:tcBorders>
            <w:vAlign w:val="center"/>
          </w:tcPr>
          <w:p w:rsidR="00D93690" w:rsidRPr="00E67D7D" w:rsidRDefault="00127E32" w:rsidP="00454FB3">
            <w:pPr>
              <w:jc w:val="center"/>
              <w:rPr>
                <w:sz w:val="20"/>
                <w:lang w:val="en-US"/>
              </w:rPr>
            </w:pPr>
            <w:r>
              <w:rPr>
                <w:color w:val="000000"/>
                <w:sz w:val="20"/>
              </w:rPr>
              <w:t>0.</w:t>
            </w:r>
            <w:r w:rsidR="00D93690" w:rsidRPr="00E67D7D">
              <w:rPr>
                <w:color w:val="000000"/>
                <w:sz w:val="20"/>
              </w:rPr>
              <w:t>34</w:t>
            </w:r>
          </w:p>
        </w:tc>
        <w:tc>
          <w:tcPr>
            <w:tcW w:w="462" w:type="pct"/>
            <w:tcBorders>
              <w:top w:val="single" w:sz="4" w:space="0" w:color="auto"/>
              <w:bottom w:val="single" w:sz="4" w:space="0" w:color="auto"/>
            </w:tcBorders>
            <w:vAlign w:val="center"/>
          </w:tcPr>
          <w:p w:rsidR="00D93690" w:rsidRPr="00E67D7D" w:rsidRDefault="00127E32" w:rsidP="00454FB3">
            <w:pPr>
              <w:jc w:val="center"/>
              <w:rPr>
                <w:sz w:val="20"/>
                <w:lang w:val="en-US"/>
              </w:rPr>
            </w:pPr>
            <w:r>
              <w:rPr>
                <w:color w:val="000000"/>
                <w:sz w:val="20"/>
              </w:rPr>
              <w:t>0.</w:t>
            </w:r>
            <w:r w:rsidR="00D93690" w:rsidRPr="00E67D7D">
              <w:rPr>
                <w:color w:val="000000"/>
                <w:sz w:val="20"/>
              </w:rPr>
              <w:t>31</w:t>
            </w:r>
          </w:p>
        </w:tc>
        <w:tc>
          <w:tcPr>
            <w:tcW w:w="459" w:type="pct"/>
            <w:tcBorders>
              <w:top w:val="single" w:sz="4" w:space="0" w:color="auto"/>
              <w:bottom w:val="single" w:sz="4" w:space="0" w:color="auto"/>
            </w:tcBorders>
            <w:vAlign w:val="center"/>
          </w:tcPr>
          <w:p w:rsidR="00D93690" w:rsidRPr="00E67D7D" w:rsidRDefault="00127E32" w:rsidP="00454FB3">
            <w:pPr>
              <w:jc w:val="center"/>
              <w:rPr>
                <w:sz w:val="20"/>
                <w:lang w:val="en-US"/>
              </w:rPr>
            </w:pPr>
            <w:r>
              <w:rPr>
                <w:color w:val="000000"/>
                <w:sz w:val="20"/>
              </w:rPr>
              <w:t>0.</w:t>
            </w:r>
            <w:r w:rsidR="00D93690" w:rsidRPr="00E67D7D">
              <w:rPr>
                <w:color w:val="000000"/>
                <w:sz w:val="20"/>
              </w:rPr>
              <w:t>25</w:t>
            </w:r>
          </w:p>
        </w:tc>
        <w:tc>
          <w:tcPr>
            <w:tcW w:w="654" w:type="pct"/>
            <w:tcBorders>
              <w:top w:val="single" w:sz="4" w:space="0" w:color="auto"/>
              <w:bottom w:val="single" w:sz="4" w:space="0" w:color="auto"/>
            </w:tcBorders>
            <w:vAlign w:val="center"/>
          </w:tcPr>
          <w:p w:rsidR="00D93690" w:rsidRPr="00E67D7D" w:rsidRDefault="00127E32" w:rsidP="00454FB3">
            <w:pPr>
              <w:jc w:val="center"/>
              <w:rPr>
                <w:sz w:val="20"/>
                <w:lang w:val="en-US"/>
              </w:rPr>
            </w:pPr>
            <w:r>
              <w:rPr>
                <w:color w:val="000000"/>
                <w:sz w:val="20"/>
              </w:rPr>
              <w:t>0.</w:t>
            </w:r>
            <w:r w:rsidR="00D93690" w:rsidRPr="00E67D7D">
              <w:rPr>
                <w:color w:val="000000"/>
                <w:sz w:val="20"/>
              </w:rPr>
              <w:t>16</w:t>
            </w:r>
          </w:p>
        </w:tc>
        <w:tc>
          <w:tcPr>
            <w:tcW w:w="671" w:type="pct"/>
            <w:tcBorders>
              <w:top w:val="single" w:sz="4" w:space="0" w:color="auto"/>
              <w:bottom w:val="single" w:sz="4" w:space="0" w:color="auto"/>
            </w:tcBorders>
            <w:vAlign w:val="center"/>
          </w:tcPr>
          <w:p w:rsidR="00D93690" w:rsidRPr="00E67D7D" w:rsidRDefault="00D93690" w:rsidP="00454FB3">
            <w:pPr>
              <w:jc w:val="center"/>
              <w:rPr>
                <w:color w:val="000000"/>
                <w:sz w:val="20"/>
              </w:rPr>
            </w:pPr>
            <w:r w:rsidRPr="00E67D7D">
              <w:rPr>
                <w:color w:val="000000"/>
                <w:sz w:val="20"/>
              </w:rPr>
              <w:t>–*</w:t>
            </w:r>
          </w:p>
        </w:tc>
      </w:tr>
      <w:tr w:rsidR="00D93690" w:rsidRPr="000737B4" w:rsidTr="00401456">
        <w:trPr>
          <w:trHeight w:val="56"/>
        </w:trPr>
        <w:tc>
          <w:tcPr>
            <w:tcW w:w="1836" w:type="pct"/>
            <w:tcBorders>
              <w:top w:val="single" w:sz="4" w:space="0" w:color="auto"/>
              <w:bottom w:val="single" w:sz="4" w:space="0" w:color="auto"/>
            </w:tcBorders>
            <w:vAlign w:val="center"/>
          </w:tcPr>
          <w:p w:rsidR="00D93690" w:rsidRPr="00E67D7D" w:rsidRDefault="00F22DAC" w:rsidP="00454FB3">
            <w:pPr>
              <w:contextualSpacing/>
              <w:jc w:val="center"/>
              <w:rPr>
                <w:rFonts w:eastAsia="Calibri"/>
                <w:position w:val="-12"/>
                <w:sz w:val="20"/>
                <w:lang w:eastAsia="ru-RU"/>
              </w:rPr>
            </w:pPr>
            <m:oMath>
              <m:sSub>
                <m:sSubPr>
                  <m:ctrlPr>
                    <w:rPr>
                      <w:rFonts w:ascii="Cambria Math" w:hAnsi="Cambria Math"/>
                      <w:i/>
                      <w:sz w:val="20"/>
                      <w:lang w:val="en-US" w:eastAsia="ru-RU"/>
                    </w:rPr>
                  </m:ctrlPr>
                </m:sSubPr>
                <m:e>
                  <m:r>
                    <w:rPr>
                      <w:rFonts w:ascii="Cambria Math" w:hAnsi="Cambria Math"/>
                      <w:sz w:val="20"/>
                      <w:lang w:val="en-US" w:eastAsia="ru-RU"/>
                    </w:rPr>
                    <m:t>K</m:t>
                  </m:r>
                </m:e>
                <m:sub>
                  <m:r>
                    <w:rPr>
                      <w:rFonts w:ascii="Cambria Math" w:hAnsi="Cambria Math"/>
                      <w:sz w:val="20"/>
                      <w:lang w:val="en-US" w:eastAsia="ru-RU"/>
                    </w:rPr>
                    <m:t>MA</m:t>
                  </m:r>
                </m:sub>
              </m:sSub>
            </m:oMath>
            <w:r w:rsidR="00D93690" w:rsidRPr="00E67D7D">
              <w:rPr>
                <w:sz w:val="20"/>
              </w:rPr>
              <w:t xml:space="preserve"> (20)</w:t>
            </w:r>
          </w:p>
        </w:tc>
        <w:tc>
          <w:tcPr>
            <w:tcW w:w="459" w:type="pct"/>
            <w:tcBorders>
              <w:top w:val="single" w:sz="4" w:space="0" w:color="auto"/>
              <w:bottom w:val="single" w:sz="4" w:space="0" w:color="auto"/>
            </w:tcBorders>
            <w:vAlign w:val="center"/>
          </w:tcPr>
          <w:p w:rsidR="00D93690" w:rsidRPr="00E67D7D" w:rsidRDefault="00127E32" w:rsidP="00454FB3">
            <w:pPr>
              <w:jc w:val="center"/>
              <w:rPr>
                <w:sz w:val="20"/>
              </w:rPr>
            </w:pPr>
            <w:r>
              <w:rPr>
                <w:color w:val="000000"/>
                <w:sz w:val="20"/>
              </w:rPr>
              <w:t>0.</w:t>
            </w:r>
            <w:r w:rsidR="00D93690" w:rsidRPr="00E67D7D">
              <w:rPr>
                <w:color w:val="000000"/>
                <w:sz w:val="20"/>
              </w:rPr>
              <w:t>39</w:t>
            </w:r>
          </w:p>
        </w:tc>
        <w:tc>
          <w:tcPr>
            <w:tcW w:w="459" w:type="pct"/>
            <w:tcBorders>
              <w:top w:val="single" w:sz="4" w:space="0" w:color="auto"/>
              <w:bottom w:val="single" w:sz="4" w:space="0" w:color="auto"/>
            </w:tcBorders>
            <w:vAlign w:val="center"/>
          </w:tcPr>
          <w:p w:rsidR="00D93690" w:rsidRPr="00E67D7D" w:rsidRDefault="00127E32" w:rsidP="00454FB3">
            <w:pPr>
              <w:jc w:val="center"/>
              <w:rPr>
                <w:sz w:val="20"/>
                <w:lang w:val="en-US"/>
              </w:rPr>
            </w:pPr>
            <w:r>
              <w:rPr>
                <w:color w:val="000000"/>
                <w:sz w:val="20"/>
              </w:rPr>
              <w:t>0.</w:t>
            </w:r>
            <w:r w:rsidR="00D93690" w:rsidRPr="00E67D7D">
              <w:rPr>
                <w:color w:val="000000"/>
                <w:sz w:val="20"/>
              </w:rPr>
              <w:t>36</w:t>
            </w:r>
          </w:p>
        </w:tc>
        <w:tc>
          <w:tcPr>
            <w:tcW w:w="462" w:type="pct"/>
            <w:tcBorders>
              <w:top w:val="single" w:sz="4" w:space="0" w:color="auto"/>
              <w:bottom w:val="single" w:sz="4" w:space="0" w:color="auto"/>
            </w:tcBorders>
            <w:vAlign w:val="center"/>
          </w:tcPr>
          <w:p w:rsidR="00D93690" w:rsidRPr="00E67D7D" w:rsidRDefault="00127E32" w:rsidP="00454FB3">
            <w:pPr>
              <w:jc w:val="center"/>
              <w:rPr>
                <w:sz w:val="20"/>
                <w:lang w:val="en-US"/>
              </w:rPr>
            </w:pPr>
            <w:r>
              <w:rPr>
                <w:color w:val="000000"/>
                <w:sz w:val="20"/>
              </w:rPr>
              <w:t>0.</w:t>
            </w:r>
            <w:r w:rsidR="00D93690" w:rsidRPr="00E67D7D">
              <w:rPr>
                <w:color w:val="000000"/>
                <w:sz w:val="20"/>
              </w:rPr>
              <w:t>31</w:t>
            </w:r>
          </w:p>
        </w:tc>
        <w:tc>
          <w:tcPr>
            <w:tcW w:w="459" w:type="pct"/>
            <w:tcBorders>
              <w:top w:val="single" w:sz="4" w:space="0" w:color="auto"/>
              <w:bottom w:val="single" w:sz="4" w:space="0" w:color="auto"/>
            </w:tcBorders>
            <w:vAlign w:val="center"/>
          </w:tcPr>
          <w:p w:rsidR="00D93690" w:rsidRPr="00E67D7D" w:rsidRDefault="00127E32" w:rsidP="00454FB3">
            <w:pPr>
              <w:jc w:val="center"/>
              <w:rPr>
                <w:sz w:val="20"/>
                <w:lang w:val="en-US"/>
              </w:rPr>
            </w:pPr>
            <w:r>
              <w:rPr>
                <w:color w:val="000000"/>
                <w:sz w:val="20"/>
              </w:rPr>
              <w:t>0.</w:t>
            </w:r>
            <w:r w:rsidR="00D93690" w:rsidRPr="00E67D7D">
              <w:rPr>
                <w:color w:val="000000"/>
                <w:sz w:val="20"/>
              </w:rPr>
              <w:t>23</w:t>
            </w:r>
          </w:p>
        </w:tc>
        <w:tc>
          <w:tcPr>
            <w:tcW w:w="654" w:type="pct"/>
            <w:tcBorders>
              <w:top w:val="single" w:sz="4" w:space="0" w:color="auto"/>
              <w:bottom w:val="single" w:sz="4" w:space="0" w:color="auto"/>
            </w:tcBorders>
            <w:vAlign w:val="center"/>
          </w:tcPr>
          <w:p w:rsidR="00D93690" w:rsidRPr="00E67D7D" w:rsidRDefault="00127E32" w:rsidP="00454FB3">
            <w:pPr>
              <w:jc w:val="center"/>
              <w:rPr>
                <w:sz w:val="20"/>
                <w:lang w:val="en-US"/>
              </w:rPr>
            </w:pPr>
            <w:r>
              <w:rPr>
                <w:color w:val="000000"/>
                <w:sz w:val="20"/>
              </w:rPr>
              <w:t>0.</w:t>
            </w:r>
            <w:r w:rsidR="00D93690" w:rsidRPr="00E67D7D">
              <w:rPr>
                <w:color w:val="000000"/>
                <w:sz w:val="20"/>
              </w:rPr>
              <w:t>13</w:t>
            </w:r>
          </w:p>
        </w:tc>
        <w:tc>
          <w:tcPr>
            <w:tcW w:w="671" w:type="pct"/>
            <w:tcBorders>
              <w:top w:val="single" w:sz="4" w:space="0" w:color="auto"/>
              <w:bottom w:val="single" w:sz="4" w:space="0" w:color="auto"/>
            </w:tcBorders>
            <w:vAlign w:val="center"/>
          </w:tcPr>
          <w:p w:rsidR="00D93690" w:rsidRPr="00E67D7D" w:rsidRDefault="00D93690" w:rsidP="00454FB3">
            <w:pPr>
              <w:jc w:val="center"/>
              <w:rPr>
                <w:color w:val="000000"/>
                <w:sz w:val="20"/>
              </w:rPr>
            </w:pPr>
            <w:r w:rsidRPr="00E67D7D">
              <w:rPr>
                <w:color w:val="000000"/>
                <w:sz w:val="20"/>
              </w:rPr>
              <w:t>–*</w:t>
            </w:r>
          </w:p>
        </w:tc>
      </w:tr>
      <w:tr w:rsidR="00D93690" w:rsidRPr="000737B4" w:rsidTr="00401456">
        <w:trPr>
          <w:trHeight w:val="56"/>
        </w:trPr>
        <w:tc>
          <w:tcPr>
            <w:tcW w:w="1836" w:type="pct"/>
            <w:tcBorders>
              <w:top w:val="single" w:sz="4" w:space="0" w:color="auto"/>
              <w:bottom w:val="single" w:sz="4" w:space="0" w:color="auto"/>
            </w:tcBorders>
            <w:vAlign w:val="center"/>
          </w:tcPr>
          <w:p w:rsidR="00D93690" w:rsidRPr="00E67D7D" w:rsidRDefault="00F22DAC" w:rsidP="00454FB3">
            <w:pPr>
              <w:contextualSpacing/>
              <w:jc w:val="center"/>
              <w:rPr>
                <w:rFonts w:eastAsia="Calibri"/>
                <w:position w:val="-12"/>
                <w:sz w:val="20"/>
                <w:lang w:eastAsia="ru-RU"/>
              </w:rPr>
            </w:pPr>
            <m:oMath>
              <m:sSub>
                <m:sSubPr>
                  <m:ctrlPr>
                    <w:rPr>
                      <w:rFonts w:ascii="Cambria Math" w:hAnsi="Cambria Math"/>
                      <w:i/>
                      <w:sz w:val="20"/>
                      <w:lang w:val="en-US" w:eastAsia="ru-RU"/>
                    </w:rPr>
                  </m:ctrlPr>
                </m:sSubPr>
                <m:e>
                  <m:r>
                    <w:rPr>
                      <w:rFonts w:ascii="Cambria Math" w:hAnsi="Cambria Math"/>
                      <w:sz w:val="20"/>
                      <w:lang w:val="en-US" w:eastAsia="ru-RU"/>
                    </w:rPr>
                    <m:t>K</m:t>
                  </m:r>
                </m:e>
                <m:sub>
                  <m:r>
                    <w:rPr>
                      <w:rFonts w:ascii="Cambria Math" w:hAnsi="Cambria Math"/>
                      <w:sz w:val="20"/>
                      <w:lang w:val="en-US" w:eastAsia="ru-RU"/>
                    </w:rPr>
                    <m:t>MA</m:t>
                  </m:r>
                </m:sub>
              </m:sSub>
            </m:oMath>
            <w:r w:rsidR="00D93690" w:rsidRPr="00E67D7D">
              <w:rPr>
                <w:sz w:val="20"/>
              </w:rPr>
              <w:t xml:space="preserve"> (50)</w:t>
            </w:r>
          </w:p>
        </w:tc>
        <w:tc>
          <w:tcPr>
            <w:tcW w:w="459" w:type="pct"/>
            <w:tcBorders>
              <w:top w:val="single" w:sz="4" w:space="0" w:color="auto"/>
              <w:bottom w:val="single" w:sz="4" w:space="0" w:color="auto"/>
            </w:tcBorders>
            <w:vAlign w:val="center"/>
          </w:tcPr>
          <w:p w:rsidR="00D93690" w:rsidRPr="00E67D7D" w:rsidRDefault="00127E32" w:rsidP="00454FB3">
            <w:pPr>
              <w:jc w:val="center"/>
              <w:rPr>
                <w:sz w:val="20"/>
              </w:rPr>
            </w:pPr>
            <w:r>
              <w:rPr>
                <w:color w:val="000000"/>
                <w:sz w:val="20"/>
              </w:rPr>
              <w:t>0.</w:t>
            </w:r>
            <w:r w:rsidR="00D93690" w:rsidRPr="00E67D7D">
              <w:rPr>
                <w:color w:val="000000"/>
                <w:sz w:val="20"/>
              </w:rPr>
              <w:t>42</w:t>
            </w:r>
          </w:p>
        </w:tc>
        <w:tc>
          <w:tcPr>
            <w:tcW w:w="459" w:type="pct"/>
            <w:tcBorders>
              <w:top w:val="single" w:sz="4" w:space="0" w:color="auto"/>
              <w:bottom w:val="single" w:sz="4" w:space="0" w:color="auto"/>
            </w:tcBorders>
            <w:vAlign w:val="center"/>
          </w:tcPr>
          <w:p w:rsidR="00D93690" w:rsidRPr="00E67D7D" w:rsidRDefault="00127E32" w:rsidP="00454FB3">
            <w:pPr>
              <w:jc w:val="center"/>
              <w:rPr>
                <w:sz w:val="20"/>
                <w:lang w:val="en-US"/>
              </w:rPr>
            </w:pPr>
            <w:r>
              <w:rPr>
                <w:color w:val="000000"/>
                <w:sz w:val="20"/>
              </w:rPr>
              <w:t>0.</w:t>
            </w:r>
            <w:r w:rsidR="00D93690" w:rsidRPr="00E67D7D">
              <w:rPr>
                <w:color w:val="000000"/>
                <w:sz w:val="20"/>
              </w:rPr>
              <w:t>37</w:t>
            </w:r>
          </w:p>
        </w:tc>
        <w:tc>
          <w:tcPr>
            <w:tcW w:w="462" w:type="pct"/>
            <w:tcBorders>
              <w:top w:val="single" w:sz="4" w:space="0" w:color="auto"/>
              <w:bottom w:val="single" w:sz="4" w:space="0" w:color="auto"/>
            </w:tcBorders>
            <w:vAlign w:val="center"/>
          </w:tcPr>
          <w:p w:rsidR="00D93690" w:rsidRPr="00E67D7D" w:rsidRDefault="00127E32" w:rsidP="00454FB3">
            <w:pPr>
              <w:jc w:val="center"/>
              <w:rPr>
                <w:sz w:val="20"/>
                <w:lang w:val="en-US"/>
              </w:rPr>
            </w:pPr>
            <w:r>
              <w:rPr>
                <w:color w:val="000000"/>
                <w:sz w:val="20"/>
              </w:rPr>
              <w:t>0.</w:t>
            </w:r>
            <w:r w:rsidR="00D93690" w:rsidRPr="00E67D7D">
              <w:rPr>
                <w:color w:val="000000"/>
                <w:sz w:val="20"/>
              </w:rPr>
              <w:t>30</w:t>
            </w:r>
          </w:p>
        </w:tc>
        <w:tc>
          <w:tcPr>
            <w:tcW w:w="459" w:type="pct"/>
            <w:tcBorders>
              <w:top w:val="single" w:sz="4" w:space="0" w:color="auto"/>
              <w:bottom w:val="single" w:sz="4" w:space="0" w:color="auto"/>
            </w:tcBorders>
            <w:vAlign w:val="center"/>
          </w:tcPr>
          <w:p w:rsidR="00D93690" w:rsidRPr="00E67D7D" w:rsidRDefault="00127E32" w:rsidP="00454FB3">
            <w:pPr>
              <w:jc w:val="center"/>
              <w:rPr>
                <w:sz w:val="20"/>
                <w:lang w:val="en-US"/>
              </w:rPr>
            </w:pPr>
            <w:r>
              <w:rPr>
                <w:color w:val="000000"/>
                <w:sz w:val="20"/>
              </w:rPr>
              <w:t>0.</w:t>
            </w:r>
            <w:r w:rsidR="00D93690" w:rsidRPr="00E67D7D">
              <w:rPr>
                <w:color w:val="000000"/>
                <w:sz w:val="20"/>
              </w:rPr>
              <w:t>20</w:t>
            </w:r>
          </w:p>
        </w:tc>
        <w:tc>
          <w:tcPr>
            <w:tcW w:w="654" w:type="pct"/>
            <w:tcBorders>
              <w:top w:val="single" w:sz="4" w:space="0" w:color="auto"/>
              <w:bottom w:val="single" w:sz="4" w:space="0" w:color="auto"/>
            </w:tcBorders>
            <w:vAlign w:val="center"/>
          </w:tcPr>
          <w:p w:rsidR="00D93690" w:rsidRPr="00E67D7D" w:rsidRDefault="00127E32" w:rsidP="00454FB3">
            <w:pPr>
              <w:jc w:val="center"/>
              <w:rPr>
                <w:sz w:val="20"/>
                <w:lang w:val="en-US"/>
              </w:rPr>
            </w:pPr>
            <w:r>
              <w:rPr>
                <w:color w:val="000000"/>
                <w:sz w:val="20"/>
              </w:rPr>
              <w:t>0.</w:t>
            </w:r>
            <w:r w:rsidR="00D93690" w:rsidRPr="00E67D7D">
              <w:rPr>
                <w:color w:val="000000"/>
                <w:sz w:val="20"/>
              </w:rPr>
              <w:t>07</w:t>
            </w:r>
          </w:p>
        </w:tc>
        <w:tc>
          <w:tcPr>
            <w:tcW w:w="671" w:type="pct"/>
            <w:tcBorders>
              <w:top w:val="single" w:sz="4" w:space="0" w:color="auto"/>
              <w:bottom w:val="single" w:sz="4" w:space="0" w:color="auto"/>
            </w:tcBorders>
            <w:vAlign w:val="center"/>
          </w:tcPr>
          <w:p w:rsidR="00D93690" w:rsidRPr="00E67D7D" w:rsidRDefault="00D93690" w:rsidP="00454FB3">
            <w:pPr>
              <w:jc w:val="center"/>
              <w:rPr>
                <w:color w:val="000000"/>
                <w:sz w:val="20"/>
              </w:rPr>
            </w:pPr>
            <w:r w:rsidRPr="00E67D7D">
              <w:rPr>
                <w:color w:val="000000"/>
                <w:sz w:val="20"/>
              </w:rPr>
              <w:t>–*</w:t>
            </w:r>
          </w:p>
        </w:tc>
      </w:tr>
      <w:tr w:rsidR="00D93690" w:rsidRPr="000737B4" w:rsidTr="00401456">
        <w:trPr>
          <w:trHeight w:val="56"/>
        </w:trPr>
        <w:tc>
          <w:tcPr>
            <w:tcW w:w="1836" w:type="pct"/>
            <w:tcBorders>
              <w:top w:val="single" w:sz="4" w:space="0" w:color="auto"/>
              <w:bottom w:val="single" w:sz="4" w:space="0" w:color="auto"/>
            </w:tcBorders>
            <w:vAlign w:val="center"/>
          </w:tcPr>
          <w:p w:rsidR="00D93690" w:rsidRPr="00E67D7D" w:rsidRDefault="00F22DAC" w:rsidP="00454FB3">
            <w:pPr>
              <w:contextualSpacing/>
              <w:jc w:val="center"/>
              <w:rPr>
                <w:rFonts w:eastAsia="Calibri"/>
                <w:position w:val="-12"/>
                <w:sz w:val="20"/>
                <w:lang w:eastAsia="ru-RU"/>
              </w:rPr>
            </w:pPr>
            <m:oMath>
              <m:sSub>
                <m:sSubPr>
                  <m:ctrlPr>
                    <w:rPr>
                      <w:rFonts w:ascii="Cambria Math" w:hAnsi="Cambria Math"/>
                      <w:i/>
                      <w:sz w:val="20"/>
                      <w:lang w:val="en-US" w:eastAsia="ru-RU"/>
                    </w:rPr>
                  </m:ctrlPr>
                </m:sSubPr>
                <m:e>
                  <m:r>
                    <w:rPr>
                      <w:rFonts w:ascii="Cambria Math" w:hAnsi="Cambria Math"/>
                      <w:sz w:val="20"/>
                      <w:lang w:val="en-US" w:eastAsia="ru-RU"/>
                    </w:rPr>
                    <m:t>K</m:t>
                  </m:r>
                </m:e>
                <m:sub>
                  <m:r>
                    <w:rPr>
                      <w:rFonts w:ascii="Cambria Math" w:hAnsi="Cambria Math"/>
                      <w:sz w:val="20"/>
                      <w:lang w:val="en-US" w:eastAsia="ru-RU"/>
                    </w:rPr>
                    <m:t>MA</m:t>
                  </m:r>
                </m:sub>
              </m:sSub>
            </m:oMath>
            <w:r w:rsidR="00D93690" w:rsidRPr="00E67D7D">
              <w:rPr>
                <w:sz w:val="20"/>
              </w:rPr>
              <w:t xml:space="preserve"> (100)</w:t>
            </w:r>
          </w:p>
        </w:tc>
        <w:tc>
          <w:tcPr>
            <w:tcW w:w="459" w:type="pct"/>
            <w:tcBorders>
              <w:top w:val="single" w:sz="4" w:space="0" w:color="auto"/>
              <w:bottom w:val="single" w:sz="4" w:space="0" w:color="auto"/>
            </w:tcBorders>
            <w:vAlign w:val="center"/>
          </w:tcPr>
          <w:p w:rsidR="00D93690" w:rsidRPr="00E67D7D" w:rsidRDefault="00127E32" w:rsidP="00454FB3">
            <w:pPr>
              <w:jc w:val="center"/>
              <w:rPr>
                <w:color w:val="000000"/>
                <w:sz w:val="20"/>
              </w:rPr>
            </w:pPr>
            <w:r>
              <w:rPr>
                <w:color w:val="000000"/>
                <w:sz w:val="20"/>
              </w:rPr>
              <w:t>0.</w:t>
            </w:r>
            <w:r w:rsidR="00D93690" w:rsidRPr="00E67D7D">
              <w:rPr>
                <w:color w:val="000000"/>
                <w:sz w:val="20"/>
              </w:rPr>
              <w:t>43</w:t>
            </w:r>
          </w:p>
        </w:tc>
        <w:tc>
          <w:tcPr>
            <w:tcW w:w="459" w:type="pct"/>
            <w:tcBorders>
              <w:top w:val="single" w:sz="4" w:space="0" w:color="auto"/>
              <w:bottom w:val="single" w:sz="4" w:space="0" w:color="auto"/>
            </w:tcBorders>
            <w:vAlign w:val="center"/>
          </w:tcPr>
          <w:p w:rsidR="00D93690" w:rsidRPr="00E67D7D" w:rsidRDefault="00127E32" w:rsidP="00454FB3">
            <w:pPr>
              <w:jc w:val="center"/>
              <w:rPr>
                <w:color w:val="000000"/>
                <w:sz w:val="20"/>
              </w:rPr>
            </w:pPr>
            <w:r>
              <w:rPr>
                <w:color w:val="000000"/>
                <w:sz w:val="20"/>
              </w:rPr>
              <w:t>0.</w:t>
            </w:r>
            <w:r w:rsidR="00D93690" w:rsidRPr="00E67D7D">
              <w:rPr>
                <w:color w:val="000000"/>
                <w:sz w:val="20"/>
              </w:rPr>
              <w:t>37</w:t>
            </w:r>
          </w:p>
        </w:tc>
        <w:tc>
          <w:tcPr>
            <w:tcW w:w="462" w:type="pct"/>
            <w:tcBorders>
              <w:top w:val="single" w:sz="4" w:space="0" w:color="auto"/>
              <w:bottom w:val="single" w:sz="4" w:space="0" w:color="auto"/>
            </w:tcBorders>
            <w:vAlign w:val="center"/>
          </w:tcPr>
          <w:p w:rsidR="00D93690" w:rsidRPr="00E67D7D" w:rsidRDefault="00127E32" w:rsidP="00454FB3">
            <w:pPr>
              <w:jc w:val="center"/>
              <w:rPr>
                <w:color w:val="000000"/>
                <w:sz w:val="20"/>
              </w:rPr>
            </w:pPr>
            <w:r>
              <w:rPr>
                <w:color w:val="000000"/>
                <w:sz w:val="20"/>
              </w:rPr>
              <w:t>0.</w:t>
            </w:r>
            <w:r w:rsidR="00D93690" w:rsidRPr="00E67D7D">
              <w:rPr>
                <w:color w:val="000000"/>
                <w:sz w:val="20"/>
              </w:rPr>
              <w:t>30</w:t>
            </w:r>
          </w:p>
        </w:tc>
        <w:tc>
          <w:tcPr>
            <w:tcW w:w="459" w:type="pct"/>
            <w:tcBorders>
              <w:top w:val="single" w:sz="4" w:space="0" w:color="auto"/>
              <w:bottom w:val="single" w:sz="4" w:space="0" w:color="auto"/>
            </w:tcBorders>
            <w:vAlign w:val="center"/>
          </w:tcPr>
          <w:p w:rsidR="00D93690" w:rsidRPr="00E67D7D" w:rsidRDefault="00127E32" w:rsidP="00454FB3">
            <w:pPr>
              <w:jc w:val="center"/>
              <w:rPr>
                <w:color w:val="000000"/>
                <w:sz w:val="20"/>
              </w:rPr>
            </w:pPr>
            <w:r>
              <w:rPr>
                <w:color w:val="000000"/>
                <w:sz w:val="20"/>
              </w:rPr>
              <w:t>0.</w:t>
            </w:r>
            <w:r w:rsidR="00D93690" w:rsidRPr="00E67D7D">
              <w:rPr>
                <w:color w:val="000000"/>
                <w:sz w:val="20"/>
              </w:rPr>
              <w:t>18</w:t>
            </w:r>
          </w:p>
        </w:tc>
        <w:tc>
          <w:tcPr>
            <w:tcW w:w="654" w:type="pct"/>
            <w:tcBorders>
              <w:top w:val="single" w:sz="4" w:space="0" w:color="auto"/>
              <w:bottom w:val="single" w:sz="4" w:space="0" w:color="auto"/>
            </w:tcBorders>
            <w:vAlign w:val="center"/>
          </w:tcPr>
          <w:p w:rsidR="00D93690" w:rsidRPr="00E67D7D" w:rsidRDefault="00127E32" w:rsidP="00454FB3">
            <w:pPr>
              <w:jc w:val="center"/>
              <w:rPr>
                <w:color w:val="000000"/>
                <w:sz w:val="20"/>
              </w:rPr>
            </w:pPr>
            <w:r>
              <w:rPr>
                <w:color w:val="000000"/>
                <w:sz w:val="20"/>
              </w:rPr>
              <w:t>0.</w:t>
            </w:r>
            <w:r w:rsidR="00D93690" w:rsidRPr="00E67D7D">
              <w:rPr>
                <w:color w:val="000000"/>
                <w:sz w:val="20"/>
              </w:rPr>
              <w:t>04</w:t>
            </w:r>
          </w:p>
        </w:tc>
        <w:tc>
          <w:tcPr>
            <w:tcW w:w="671" w:type="pct"/>
            <w:tcBorders>
              <w:top w:val="single" w:sz="4" w:space="0" w:color="auto"/>
              <w:bottom w:val="single" w:sz="4" w:space="0" w:color="auto"/>
            </w:tcBorders>
            <w:vAlign w:val="center"/>
          </w:tcPr>
          <w:p w:rsidR="00D93690" w:rsidRPr="00E67D7D" w:rsidRDefault="00D93690" w:rsidP="00454FB3">
            <w:pPr>
              <w:jc w:val="center"/>
              <w:rPr>
                <w:color w:val="000000"/>
                <w:sz w:val="20"/>
              </w:rPr>
            </w:pPr>
            <w:r w:rsidRPr="00E67D7D">
              <w:rPr>
                <w:color w:val="000000"/>
                <w:sz w:val="20"/>
              </w:rPr>
              <w:t>–*</w:t>
            </w:r>
          </w:p>
        </w:tc>
      </w:tr>
      <w:tr w:rsidR="00D93690" w:rsidRPr="000737B4" w:rsidTr="00401456">
        <w:trPr>
          <w:trHeight w:val="56"/>
        </w:trPr>
        <w:tc>
          <w:tcPr>
            <w:tcW w:w="1836" w:type="pct"/>
            <w:tcBorders>
              <w:top w:val="single" w:sz="4" w:space="0" w:color="auto"/>
              <w:bottom w:val="single" w:sz="4" w:space="0" w:color="auto"/>
            </w:tcBorders>
            <w:vAlign w:val="center"/>
          </w:tcPr>
          <w:p w:rsidR="00D93690" w:rsidRPr="00E67D7D" w:rsidRDefault="00F22DAC" w:rsidP="00454FB3">
            <w:pPr>
              <w:contextualSpacing/>
              <w:jc w:val="center"/>
              <w:rPr>
                <w:sz w:val="20"/>
              </w:rPr>
            </w:pPr>
            <m:oMathPara>
              <m:oMath>
                <m:sSub>
                  <m:sSubPr>
                    <m:ctrlPr>
                      <w:rPr>
                        <w:rFonts w:ascii="Cambria Math" w:hAnsi="Cambria Math"/>
                        <w:i/>
                        <w:sz w:val="20"/>
                        <w:lang w:val="en-US" w:eastAsia="ru-RU"/>
                      </w:rPr>
                    </m:ctrlPr>
                  </m:sSubPr>
                  <m:e>
                    <m:r>
                      <w:rPr>
                        <w:rFonts w:ascii="Cambria Math" w:hAnsi="Cambria Math"/>
                        <w:sz w:val="20"/>
                        <w:lang w:val="en-US" w:eastAsia="ru-RU"/>
                      </w:rPr>
                      <m:t>K</m:t>
                    </m:r>
                  </m:e>
                  <m:sub>
                    <m:r>
                      <w:rPr>
                        <w:rFonts w:ascii="Cambria Math" w:hAnsi="Cambria Math"/>
                        <w:sz w:val="20"/>
                        <w:lang w:val="en-US" w:eastAsia="ru-RU"/>
                      </w:rPr>
                      <m:t>MA</m:t>
                    </m:r>
                  </m:sub>
                </m:sSub>
                <m:r>
                  <w:rPr>
                    <w:rFonts w:ascii="Cambria Math" w:hAnsi="Cambria Math"/>
                    <w:sz w:val="20"/>
                    <w:lang w:val="en-US" w:eastAsia="ru-RU"/>
                  </w:rPr>
                  <m:t xml:space="preserve"> (t→∞)</m:t>
                </m:r>
              </m:oMath>
            </m:oMathPara>
          </w:p>
        </w:tc>
        <w:tc>
          <w:tcPr>
            <w:tcW w:w="459" w:type="pct"/>
            <w:tcBorders>
              <w:top w:val="single" w:sz="4" w:space="0" w:color="auto"/>
              <w:bottom w:val="single" w:sz="4" w:space="0" w:color="auto"/>
            </w:tcBorders>
            <w:vAlign w:val="center"/>
          </w:tcPr>
          <w:p w:rsidR="00D93690" w:rsidRPr="00E67D7D" w:rsidRDefault="00D93690" w:rsidP="00454FB3">
            <w:pPr>
              <w:jc w:val="center"/>
              <w:rPr>
                <w:sz w:val="20"/>
                <w:lang w:val="en-US"/>
              </w:rPr>
            </w:pPr>
            <w:r w:rsidRPr="00E67D7D">
              <w:rPr>
                <w:sz w:val="20"/>
              </w:rPr>
              <w:t>0</w:t>
            </w:r>
            <w:r w:rsidR="00127E32">
              <w:rPr>
                <w:sz w:val="20"/>
                <w:lang w:val="en-US"/>
              </w:rPr>
              <w:t>.</w:t>
            </w:r>
            <w:r w:rsidRPr="00E67D7D">
              <w:rPr>
                <w:sz w:val="20"/>
              </w:rPr>
              <w:t>4</w:t>
            </w:r>
            <w:r w:rsidRPr="00E67D7D">
              <w:rPr>
                <w:sz w:val="20"/>
                <w:lang w:val="en-US"/>
              </w:rPr>
              <w:t>5</w:t>
            </w:r>
          </w:p>
        </w:tc>
        <w:tc>
          <w:tcPr>
            <w:tcW w:w="459" w:type="pct"/>
            <w:tcBorders>
              <w:top w:val="single" w:sz="4" w:space="0" w:color="auto"/>
              <w:bottom w:val="single" w:sz="4" w:space="0" w:color="auto"/>
            </w:tcBorders>
            <w:vAlign w:val="center"/>
          </w:tcPr>
          <w:p w:rsidR="00D93690" w:rsidRPr="00E67D7D" w:rsidRDefault="00127E32" w:rsidP="00454FB3">
            <w:pPr>
              <w:jc w:val="center"/>
              <w:rPr>
                <w:sz w:val="20"/>
                <w:lang w:val="en-US"/>
              </w:rPr>
            </w:pPr>
            <w:r>
              <w:rPr>
                <w:sz w:val="20"/>
                <w:lang w:val="en-US"/>
              </w:rPr>
              <w:t>0.</w:t>
            </w:r>
            <w:r w:rsidR="00D93690" w:rsidRPr="00E67D7D">
              <w:rPr>
                <w:sz w:val="20"/>
                <w:lang w:val="en-US"/>
              </w:rPr>
              <w:t>38</w:t>
            </w:r>
          </w:p>
        </w:tc>
        <w:tc>
          <w:tcPr>
            <w:tcW w:w="462" w:type="pct"/>
            <w:tcBorders>
              <w:top w:val="single" w:sz="4" w:space="0" w:color="auto"/>
              <w:bottom w:val="single" w:sz="4" w:space="0" w:color="auto"/>
            </w:tcBorders>
            <w:vAlign w:val="center"/>
          </w:tcPr>
          <w:p w:rsidR="00D93690" w:rsidRPr="00E67D7D" w:rsidRDefault="00127E32" w:rsidP="00454FB3">
            <w:pPr>
              <w:jc w:val="center"/>
              <w:rPr>
                <w:sz w:val="20"/>
                <w:lang w:val="en-US"/>
              </w:rPr>
            </w:pPr>
            <w:r>
              <w:rPr>
                <w:sz w:val="20"/>
                <w:lang w:val="en-US"/>
              </w:rPr>
              <w:t>0.</w:t>
            </w:r>
            <w:r w:rsidR="00D93690" w:rsidRPr="00E67D7D">
              <w:rPr>
                <w:sz w:val="20"/>
                <w:lang w:val="en-US"/>
              </w:rPr>
              <w:t>30</w:t>
            </w:r>
          </w:p>
        </w:tc>
        <w:tc>
          <w:tcPr>
            <w:tcW w:w="459" w:type="pct"/>
            <w:tcBorders>
              <w:top w:val="single" w:sz="4" w:space="0" w:color="auto"/>
              <w:bottom w:val="single" w:sz="4" w:space="0" w:color="auto"/>
            </w:tcBorders>
            <w:vAlign w:val="center"/>
          </w:tcPr>
          <w:p w:rsidR="00D93690" w:rsidRPr="00E67D7D" w:rsidRDefault="00127E32" w:rsidP="00454FB3">
            <w:pPr>
              <w:jc w:val="center"/>
              <w:rPr>
                <w:sz w:val="20"/>
                <w:lang w:val="en-US"/>
              </w:rPr>
            </w:pPr>
            <w:r>
              <w:rPr>
                <w:sz w:val="20"/>
                <w:lang w:val="en-US"/>
              </w:rPr>
              <w:t>0.</w:t>
            </w:r>
            <w:r w:rsidR="00D93690" w:rsidRPr="00E67D7D">
              <w:rPr>
                <w:sz w:val="20"/>
                <w:lang w:val="en-US"/>
              </w:rPr>
              <w:t>17</w:t>
            </w:r>
          </w:p>
        </w:tc>
        <w:tc>
          <w:tcPr>
            <w:tcW w:w="654" w:type="pct"/>
            <w:tcBorders>
              <w:top w:val="single" w:sz="4" w:space="0" w:color="auto"/>
              <w:bottom w:val="single" w:sz="4" w:space="0" w:color="auto"/>
            </w:tcBorders>
            <w:vAlign w:val="center"/>
          </w:tcPr>
          <w:p w:rsidR="00D93690" w:rsidRPr="00E67D7D" w:rsidRDefault="00D93690" w:rsidP="00454FB3">
            <w:pPr>
              <w:jc w:val="center"/>
              <w:rPr>
                <w:sz w:val="20"/>
                <w:lang w:val="en-US"/>
              </w:rPr>
            </w:pPr>
            <w:r w:rsidRPr="00E67D7D">
              <w:rPr>
                <w:sz w:val="20"/>
                <w:lang w:val="en-US"/>
              </w:rPr>
              <w:t>0</w:t>
            </w:r>
          </w:p>
        </w:tc>
        <w:tc>
          <w:tcPr>
            <w:tcW w:w="671" w:type="pct"/>
            <w:tcBorders>
              <w:top w:val="single" w:sz="4" w:space="0" w:color="auto"/>
              <w:bottom w:val="single" w:sz="4" w:space="0" w:color="auto"/>
            </w:tcBorders>
            <w:vAlign w:val="center"/>
          </w:tcPr>
          <w:p w:rsidR="00D93690" w:rsidRPr="00E67D7D" w:rsidRDefault="00D93690" w:rsidP="00454FB3">
            <w:pPr>
              <w:jc w:val="center"/>
              <w:rPr>
                <w:color w:val="000000"/>
                <w:sz w:val="20"/>
              </w:rPr>
            </w:pPr>
            <w:r w:rsidRPr="00E67D7D">
              <w:rPr>
                <w:color w:val="000000"/>
                <w:sz w:val="20"/>
                <w:lang w:val="en-US"/>
              </w:rPr>
              <w:t>–</w:t>
            </w:r>
            <w:r w:rsidRPr="00E67D7D">
              <w:rPr>
                <w:color w:val="000000"/>
                <w:sz w:val="20"/>
              </w:rPr>
              <w:t>*</w:t>
            </w:r>
          </w:p>
        </w:tc>
      </w:tr>
      <w:tr w:rsidR="00D93690" w:rsidRPr="001A2BE0" w:rsidTr="00401456">
        <w:trPr>
          <w:trHeight w:val="333"/>
        </w:trPr>
        <w:tc>
          <w:tcPr>
            <w:tcW w:w="5000" w:type="pct"/>
            <w:gridSpan w:val="7"/>
            <w:tcBorders>
              <w:top w:val="single" w:sz="4" w:space="0" w:color="auto"/>
              <w:bottom w:val="single" w:sz="4" w:space="0" w:color="auto"/>
            </w:tcBorders>
            <w:vAlign w:val="center"/>
          </w:tcPr>
          <w:p w:rsidR="00D93690" w:rsidRPr="001A2BE0" w:rsidRDefault="00D93690" w:rsidP="00AC58FE">
            <w:pPr>
              <w:jc w:val="both"/>
              <w:rPr>
                <w:color w:val="000000"/>
                <w:sz w:val="20"/>
              </w:rPr>
            </w:pPr>
            <w:r w:rsidRPr="001A2BE0">
              <w:rPr>
                <w:color w:val="000000"/>
                <w:sz w:val="20"/>
              </w:rPr>
              <w:t>*</w:t>
            </w:r>
            <w:r w:rsidR="001A2BE0">
              <w:rPr>
                <w:color w:val="000000"/>
                <w:sz w:val="20"/>
                <w:lang w:val="en-US"/>
              </w:rPr>
              <w:t>at</w:t>
            </w:r>
            <w:r w:rsidRPr="001A2BE0">
              <w:rPr>
                <w:color w:val="000000"/>
                <w:sz w:val="20"/>
              </w:rPr>
              <w:t xml:space="preserve"> </w:t>
            </w:r>
            <m:oMath>
              <m:sSub>
                <m:sSubPr>
                  <m:ctrlPr>
                    <w:rPr>
                      <w:rFonts w:ascii="Cambria Math" w:hAnsi="Cambria Math"/>
                      <w:i/>
                      <w:color w:val="000000"/>
                      <w:sz w:val="20"/>
                      <w:lang w:val="ru-RU" w:eastAsia="en-GB"/>
                    </w:rPr>
                  </m:ctrlPr>
                </m:sSubPr>
                <m:e>
                  <m:r>
                    <w:rPr>
                      <w:rFonts w:ascii="Cambria Math" w:hAnsi="Cambria Math"/>
                      <w:sz w:val="20"/>
                    </w:rPr>
                    <m:t>ν</m:t>
                  </m:r>
                </m:e>
                <m:sub>
                  <m:r>
                    <w:rPr>
                      <w:rFonts w:ascii="Cambria Math" w:hAnsi="Cambria Math"/>
                      <w:sz w:val="20"/>
                    </w:rPr>
                    <m:t>A</m:t>
                  </m:r>
                </m:sub>
              </m:sSub>
            </m:oMath>
            <w:r w:rsidRPr="001A2BE0">
              <w:rPr>
                <w:color w:val="000000"/>
                <w:sz w:val="20"/>
              </w:rPr>
              <w:t xml:space="preserve"> = 3%</w:t>
            </w:r>
            <w:r w:rsidR="001A2BE0" w:rsidRPr="001A2BE0">
              <w:rPr>
                <w:color w:val="000000"/>
                <w:sz w:val="20"/>
              </w:rPr>
              <w:t xml:space="preserve">, </w:t>
            </w:r>
            <w:r w:rsidR="001A2BE0" w:rsidRPr="001A2BE0">
              <w:rPr>
                <w:color w:val="000000"/>
                <w:sz w:val="20"/>
                <w:lang w:val="en-US"/>
              </w:rPr>
              <w:t>mole</w:t>
            </w:r>
            <w:r w:rsidRPr="001A2BE0">
              <w:rPr>
                <w:color w:val="000000"/>
                <w:sz w:val="20"/>
              </w:rPr>
              <w:t xml:space="preserve"> </w:t>
            </w:r>
            <w:r w:rsidR="001A2BE0" w:rsidRPr="001A2BE0">
              <w:rPr>
                <w:color w:val="000000"/>
                <w:sz w:val="20"/>
                <w:lang w:val="en-US"/>
              </w:rPr>
              <w:t>in</w:t>
            </w:r>
            <w:r w:rsidR="001A2BE0" w:rsidRPr="001A2BE0">
              <w:rPr>
                <w:color w:val="000000"/>
                <w:sz w:val="20"/>
              </w:rPr>
              <w:t xml:space="preserve"> </w:t>
            </w:r>
            <w:r w:rsidR="00AC58FE">
              <w:rPr>
                <w:color w:val="000000"/>
                <w:sz w:val="20"/>
              </w:rPr>
              <w:t xml:space="preserve">the </w:t>
            </w:r>
            <w:r w:rsidR="001A2BE0" w:rsidRPr="001A2BE0">
              <w:rPr>
                <w:color w:val="000000"/>
                <w:sz w:val="20"/>
                <w:lang w:val="en-US"/>
              </w:rPr>
              <w:t>fuel composition based on</w:t>
            </w:r>
            <w:r w:rsidRPr="001A2BE0">
              <w:rPr>
                <w:color w:val="000000"/>
                <w:sz w:val="20"/>
              </w:rPr>
              <w:t xml:space="preserve"> </w:t>
            </w:r>
            <w:proofErr w:type="spellStart"/>
            <w:r w:rsidRPr="001A2BE0">
              <w:rPr>
                <w:sz w:val="20"/>
                <w:lang w:val="en-US" w:eastAsia="ru-RU"/>
              </w:rPr>
              <w:t>LiF</w:t>
            </w:r>
            <w:proofErr w:type="spellEnd"/>
            <w:r w:rsidRPr="001A2BE0">
              <w:rPr>
                <w:sz w:val="20"/>
                <w:lang w:eastAsia="ru-RU"/>
              </w:rPr>
              <w:t>–</w:t>
            </w:r>
            <w:proofErr w:type="spellStart"/>
            <w:r w:rsidRPr="001A2BE0">
              <w:rPr>
                <w:sz w:val="20"/>
                <w:lang w:val="en-US" w:eastAsia="ru-RU"/>
              </w:rPr>
              <w:t>BeF</w:t>
            </w:r>
            <w:proofErr w:type="spellEnd"/>
            <w:r w:rsidRPr="001A2BE0">
              <w:rPr>
                <w:sz w:val="20"/>
                <w:vertAlign w:val="subscript"/>
                <w:lang w:eastAsia="ru-RU"/>
              </w:rPr>
              <w:t>2</w:t>
            </w:r>
            <w:r w:rsidRPr="001A2BE0">
              <w:rPr>
                <w:sz w:val="20"/>
                <w:lang w:eastAsia="ru-RU"/>
              </w:rPr>
              <w:t xml:space="preserve">, </w:t>
            </w:r>
            <m:oMath>
              <m:sSub>
                <m:sSubPr>
                  <m:ctrlPr>
                    <w:rPr>
                      <w:rFonts w:ascii="Cambria Math" w:hAnsi="Cambria Math"/>
                      <w:i/>
                      <w:sz w:val="20"/>
                      <w:lang w:val="en-US"/>
                    </w:rPr>
                  </m:ctrlPr>
                </m:sSubPr>
                <m:e>
                  <m:r>
                    <w:rPr>
                      <w:rFonts w:ascii="Cambria Math" w:hAnsi="Cambria Math"/>
                      <w:sz w:val="20"/>
                      <w:lang w:val="en-US"/>
                    </w:rPr>
                    <m:t>V</m:t>
                  </m:r>
                </m:e>
                <m:sub>
                  <m:r>
                    <w:rPr>
                      <w:rFonts w:ascii="Cambria Math" w:hAnsi="Cambria Math"/>
                      <w:sz w:val="20"/>
                      <w:lang w:val="en-US"/>
                    </w:rPr>
                    <m:t>az</m:t>
                  </m:r>
                </m:sub>
              </m:sSub>
            </m:oMath>
            <w:r w:rsidRPr="001A2BE0">
              <w:rPr>
                <w:sz w:val="20"/>
                <w:lang w:eastAsia="ru-RU"/>
              </w:rPr>
              <w:t xml:space="preserve"> = 1 </w:t>
            </w:r>
            <w:r w:rsidRPr="001A2BE0">
              <w:rPr>
                <w:sz w:val="20"/>
                <w:lang w:val="ru-RU" w:eastAsia="ru-RU"/>
              </w:rPr>
              <w:t>м</w:t>
            </w:r>
            <w:r w:rsidRPr="001A2BE0">
              <w:rPr>
                <w:sz w:val="20"/>
                <w:vertAlign w:val="superscript"/>
                <w:lang w:eastAsia="ru-RU"/>
              </w:rPr>
              <w:t>3</w:t>
            </w:r>
            <w:r w:rsidRPr="001A2BE0">
              <w:rPr>
                <w:sz w:val="20"/>
                <w:lang w:eastAsia="ru-RU"/>
              </w:rPr>
              <w:t xml:space="preserve"> </w:t>
            </w:r>
            <w:r w:rsidR="00AC58FE">
              <w:rPr>
                <w:sz w:val="20"/>
                <w:lang w:val="en-US" w:eastAsia="ru-RU"/>
              </w:rPr>
              <w:t>and</w:t>
            </w:r>
            <w:r w:rsidRPr="001A2BE0">
              <w:rPr>
                <w:sz w:val="20"/>
                <w:lang w:eastAsia="ru-RU"/>
              </w:rPr>
              <w:t xml:space="preserve"> </w:t>
            </w:r>
            <w:r w:rsidR="001A2BE0" w:rsidRPr="001A2BE0">
              <w:rPr>
                <w:sz w:val="20"/>
                <w:lang w:val="en-US"/>
              </w:rPr>
              <w:t>specific thermal power</w:t>
            </w:r>
            <w:r w:rsidRPr="001A2BE0">
              <w:rPr>
                <w:sz w:val="20"/>
                <w:lang w:eastAsia="ru-RU"/>
              </w:rPr>
              <w:t xml:space="preserve"> </w:t>
            </w:r>
            <w:r w:rsidR="001A2BE0" w:rsidRPr="001A2BE0">
              <w:rPr>
                <w:sz w:val="20"/>
                <w:lang w:val="en-US"/>
              </w:rPr>
              <w:t>100 kW/l</w:t>
            </w:r>
            <w:r w:rsidR="001A2BE0" w:rsidRPr="001A2BE0">
              <w:rPr>
                <w:sz w:val="20"/>
                <w:lang w:val="en-US" w:eastAsia="ru-RU"/>
              </w:rPr>
              <w:t xml:space="preserve"> a</w:t>
            </w:r>
            <w:r w:rsidR="001A2BE0" w:rsidRPr="001A2BE0">
              <w:rPr>
                <w:sz w:val="20"/>
                <w:lang w:val="en-US" w:eastAsia="en-GB"/>
              </w:rPr>
              <w:t xml:space="preserve">fter the first campaign at feed only </w:t>
            </w:r>
            <w:proofErr w:type="gramStart"/>
            <w:r w:rsidR="00AC58FE" w:rsidRPr="001A2BE0">
              <w:rPr>
                <w:sz w:val="20"/>
                <w:lang w:val="en-US" w:eastAsia="en-GB"/>
              </w:rPr>
              <w:t>Pu</w:t>
            </w:r>
            <w:r w:rsidR="00AC58FE">
              <w:rPr>
                <w:sz w:val="20"/>
                <w:lang w:val="en-US" w:eastAsia="en-GB"/>
              </w:rPr>
              <w:t xml:space="preserve"> </w:t>
            </w:r>
            <w:proofErr w:type="gramEnd"/>
            <m:oMath>
              <m:sSub>
                <m:sSubPr>
                  <m:ctrlPr>
                    <w:rPr>
                      <w:rFonts w:ascii="Cambria Math" w:hAnsi="Cambria Math"/>
                      <w:i/>
                      <w:color w:val="000000"/>
                      <w:sz w:val="20"/>
                      <w:lang w:val="ru-RU" w:eastAsia="en-GB"/>
                    </w:rPr>
                  </m:ctrlPr>
                </m:sSubPr>
                <m:e>
                  <m:r>
                    <w:rPr>
                      <w:rFonts w:ascii="Cambria Math" w:hAnsi="Cambria Math"/>
                      <w:sz w:val="20"/>
                    </w:rPr>
                    <m:t>K</m:t>
                  </m:r>
                </m:e>
                <m:sub>
                  <m:r>
                    <w:rPr>
                      <w:rFonts w:ascii="Cambria Math" w:hAnsi="Cambria Math"/>
                      <w:sz w:val="20"/>
                    </w:rPr>
                    <m:t>eff</m:t>
                  </m:r>
                </m:sub>
              </m:sSub>
              <m:r>
                <w:rPr>
                  <w:rFonts w:ascii="Cambria Math" w:hAnsi="Cambria Math"/>
                  <w:color w:val="000000"/>
                  <w:sz w:val="20"/>
                  <w:lang w:val="en-US" w:eastAsia="en-GB"/>
                </w:rPr>
                <m:t>&lt;1</m:t>
              </m:r>
            </m:oMath>
            <w:r w:rsidRPr="001A2BE0">
              <w:rPr>
                <w:sz w:val="20"/>
                <w:lang w:eastAsia="ru-RU"/>
              </w:rPr>
              <w:t>.</w:t>
            </w:r>
          </w:p>
        </w:tc>
      </w:tr>
    </w:tbl>
    <w:p w:rsidR="00C1299A" w:rsidRPr="00127E32" w:rsidRDefault="00127E32" w:rsidP="00215130">
      <w:pPr>
        <w:pStyle w:val="a1"/>
        <w:ind w:firstLine="0"/>
        <w:rPr>
          <w:lang w:val="en-US"/>
        </w:rPr>
      </w:pPr>
      <w:r w:rsidRPr="00434857">
        <w:rPr>
          <w:lang w:val="en-US"/>
        </w:rPr>
        <w:t>In the table</w:t>
      </w:r>
      <w:proofErr w:type="gramStart"/>
      <w:r w:rsidRPr="00434857">
        <w:rPr>
          <w:lang w:val="en-US"/>
        </w:rPr>
        <w:t>:</w:t>
      </w:r>
      <w:r>
        <w:rPr>
          <w:lang w:val="en-US"/>
        </w:rPr>
        <w:t xml:space="preserve"> </w:t>
      </w:r>
      <w:proofErr w:type="gramEnd"/>
      <m:oMath>
        <m:sSub>
          <m:sSubPr>
            <m:ctrlPr>
              <w:rPr>
                <w:rFonts w:ascii="Cambria Math" w:hAnsi="Cambria Math"/>
                <w:lang w:val="en-US"/>
              </w:rPr>
            </m:ctrlPr>
          </m:sSubPr>
          <m:e>
            <m:r>
              <w:rPr>
                <w:rFonts w:ascii="Cambria Math" w:hAnsi="Cambria Math"/>
                <w:lang w:val="en-US"/>
              </w:rPr>
              <m:t>K</m:t>
            </m:r>
          </m:e>
          <m:sub>
            <m:r>
              <w:rPr>
                <w:rFonts w:ascii="Cambria Math" w:hAnsi="Cambria Math"/>
                <w:lang w:val="en-US"/>
              </w:rPr>
              <m:t>MA</m:t>
            </m:r>
          </m:sub>
        </m:sSub>
        <m:r>
          <m:rPr>
            <m:sty m:val="p"/>
          </m:rPr>
          <w:rPr>
            <w:rFonts w:ascii="Cambria Math" w:hAnsi="Cambria Math"/>
            <w:lang w:val="en-US"/>
          </w:rPr>
          <m:t>(</m:t>
        </m:r>
        <m:r>
          <w:rPr>
            <w:rFonts w:ascii="Cambria Math" w:hAnsi="Cambria Math"/>
            <w:lang w:val="en-US"/>
          </w:rPr>
          <m:t>N</m:t>
        </m:r>
        <m:r>
          <m:rPr>
            <m:sty m:val="p"/>
          </m:rPr>
          <w:rPr>
            <w:rFonts w:ascii="Cambria Math" w:hAnsi="Cambria Math"/>
            <w:lang w:val="en-US"/>
          </w:rPr>
          <m:t>)</m:t>
        </m:r>
      </m:oMath>
      <w:r>
        <w:rPr>
          <w:lang w:val="en-US"/>
        </w:rPr>
        <w:t xml:space="preserve">, where N – is </w:t>
      </w:r>
      <w:r w:rsidRPr="00127E32">
        <w:rPr>
          <w:lang w:val="en-US"/>
        </w:rPr>
        <w:t>campaign number</w:t>
      </w:r>
    </w:p>
    <w:p w:rsidR="00AC58FE" w:rsidRPr="00AC58FE" w:rsidRDefault="00AC58FE" w:rsidP="00215130">
      <w:pPr>
        <w:pStyle w:val="a1"/>
        <w:ind w:firstLine="0"/>
        <w:rPr>
          <w:lang w:val="en-US"/>
        </w:rPr>
      </w:pPr>
    </w:p>
    <w:p w:rsidR="0059281C" w:rsidRDefault="0059281C" w:rsidP="0070466D">
      <w:pPr>
        <w:pStyle w:val="Default"/>
        <w:jc w:val="center"/>
        <w:rPr>
          <w:lang w:val="en-US" w:eastAsia="ru-RU"/>
        </w:rPr>
      </w:pPr>
      <w:r>
        <w:rPr>
          <w:noProof/>
          <w:lang w:eastAsia="ru-RU"/>
        </w:rPr>
        <w:lastRenderedPageBreak/>
        <w:drawing>
          <wp:inline distT="0" distB="0" distL="0" distR="0">
            <wp:extent cx="3446628" cy="266273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48317" cy="2664038"/>
                    </a:xfrm>
                    <a:prstGeom prst="rect">
                      <a:avLst/>
                    </a:prstGeom>
                    <a:noFill/>
                    <a:ln>
                      <a:noFill/>
                    </a:ln>
                  </pic:spPr>
                </pic:pic>
              </a:graphicData>
            </a:graphic>
          </wp:inline>
        </w:drawing>
      </w:r>
    </w:p>
    <w:p w:rsidR="004220BD" w:rsidRPr="004220BD" w:rsidRDefault="004220BD" w:rsidP="004220BD">
      <w:pPr>
        <w:pStyle w:val="Default"/>
        <w:jc w:val="center"/>
        <w:rPr>
          <w:i/>
          <w:color w:val="auto"/>
          <w:sz w:val="18"/>
          <w:szCs w:val="20"/>
          <w:lang w:val="en-GB" w:eastAsia="en-US"/>
        </w:rPr>
      </w:pPr>
      <w:proofErr w:type="gramStart"/>
      <w:r w:rsidRPr="00D900BD">
        <w:rPr>
          <w:i/>
          <w:color w:val="auto"/>
          <w:sz w:val="18"/>
          <w:szCs w:val="20"/>
          <w:lang w:val="en-GB" w:eastAsia="en-US"/>
        </w:rPr>
        <w:t>F</w:t>
      </w:r>
      <w:r>
        <w:rPr>
          <w:i/>
          <w:color w:val="auto"/>
          <w:sz w:val="18"/>
          <w:szCs w:val="20"/>
          <w:lang w:val="en-GB" w:eastAsia="en-US"/>
        </w:rPr>
        <w:t>IG</w:t>
      </w:r>
      <w:r w:rsidRPr="00D900BD">
        <w:rPr>
          <w:i/>
          <w:color w:val="auto"/>
          <w:sz w:val="18"/>
          <w:szCs w:val="20"/>
          <w:lang w:val="en-GB" w:eastAsia="en-US"/>
        </w:rPr>
        <w:t>. </w:t>
      </w:r>
      <w:r>
        <w:rPr>
          <w:i/>
          <w:color w:val="auto"/>
          <w:sz w:val="18"/>
          <w:szCs w:val="20"/>
          <w:lang w:val="en-GB" w:eastAsia="en-US"/>
        </w:rPr>
        <w:t>4</w:t>
      </w:r>
      <w:r w:rsidRPr="00D900BD">
        <w:rPr>
          <w:i/>
          <w:color w:val="auto"/>
          <w:sz w:val="18"/>
          <w:szCs w:val="20"/>
          <w:lang w:val="en-GB" w:eastAsia="en-US"/>
        </w:rPr>
        <w:t>.</w:t>
      </w:r>
      <w:proofErr w:type="gramEnd"/>
      <w:r w:rsidRPr="00D900BD">
        <w:rPr>
          <w:i/>
          <w:color w:val="auto"/>
          <w:sz w:val="18"/>
          <w:szCs w:val="20"/>
          <w:lang w:val="en-GB" w:eastAsia="en-US"/>
        </w:rPr>
        <w:t xml:space="preserve"> </w:t>
      </w:r>
      <w:r w:rsidRPr="004220BD">
        <w:rPr>
          <w:i/>
          <w:color w:val="auto"/>
          <w:sz w:val="18"/>
          <w:szCs w:val="20"/>
          <w:lang w:val="en-GB" w:eastAsia="en-US"/>
        </w:rPr>
        <w:t xml:space="preserve"> </w:t>
      </w:r>
      <w:r w:rsidR="0059281C" w:rsidRPr="004220BD">
        <w:rPr>
          <w:i/>
          <w:color w:val="auto"/>
          <w:sz w:val="18"/>
          <w:szCs w:val="20"/>
          <w:lang w:val="en-GB" w:eastAsia="en-US"/>
        </w:rPr>
        <w:t>Variation of</w:t>
      </w:r>
      <w:r w:rsidRPr="004220BD">
        <w:rPr>
          <w:i/>
          <w:color w:val="auto"/>
          <w:sz w:val="18"/>
          <w:szCs w:val="20"/>
          <w:lang w:val="en-GB" w:eastAsia="en-US"/>
        </w:rPr>
        <w:t xml:space="preserve"> </w:t>
      </w:r>
      <m:oMath>
        <m:sSub>
          <m:sSubPr>
            <m:ctrlPr>
              <w:rPr>
                <w:rFonts w:ascii="Cambria Math" w:hAnsi="Cambria Math"/>
                <w:i/>
                <w:color w:val="auto"/>
                <w:sz w:val="18"/>
                <w:szCs w:val="20"/>
                <w:lang w:val="en-GB" w:eastAsia="en-US"/>
              </w:rPr>
            </m:ctrlPr>
          </m:sSubPr>
          <m:e>
            <m:r>
              <w:rPr>
                <w:rFonts w:ascii="Cambria Math" w:hAnsi="Cambria Math"/>
                <w:color w:val="auto"/>
                <w:sz w:val="18"/>
                <w:szCs w:val="20"/>
                <w:lang w:val="en-GB" w:eastAsia="en-US"/>
              </w:rPr>
              <m:t>K</m:t>
            </m:r>
          </m:e>
          <m:sub>
            <m:r>
              <w:rPr>
                <w:rFonts w:ascii="Cambria Math" w:hAnsi="Cambria Math"/>
                <w:color w:val="auto"/>
                <w:sz w:val="18"/>
                <w:szCs w:val="20"/>
                <w:lang w:val="en-GB" w:eastAsia="en-US"/>
              </w:rPr>
              <m:t>MA</m:t>
            </m:r>
          </m:sub>
        </m:sSub>
      </m:oMath>
      <w:r w:rsidR="0059281C" w:rsidRPr="004220BD">
        <w:rPr>
          <w:i/>
          <w:color w:val="auto"/>
          <w:sz w:val="18"/>
          <w:szCs w:val="20"/>
          <w:lang w:val="en-GB" w:eastAsia="en-US"/>
        </w:rPr>
        <w:t xml:space="preserve"> </w:t>
      </w:r>
      <w:r>
        <w:rPr>
          <w:i/>
          <w:color w:val="auto"/>
          <w:sz w:val="18"/>
          <w:szCs w:val="20"/>
          <w:lang w:val="en-GB" w:eastAsia="en-US"/>
        </w:rPr>
        <w:t>for MSR-b</w:t>
      </w:r>
      <w:r w:rsidRPr="004220BD">
        <w:rPr>
          <w:i/>
          <w:color w:val="auto"/>
          <w:sz w:val="18"/>
          <w:szCs w:val="20"/>
          <w:lang w:val="en-GB" w:eastAsia="en-US"/>
        </w:rPr>
        <w:t xml:space="preserve">urner based on </w:t>
      </w:r>
      <w:proofErr w:type="spellStart"/>
      <w:r w:rsidRPr="004220BD">
        <w:rPr>
          <w:i/>
          <w:color w:val="auto"/>
          <w:sz w:val="18"/>
          <w:szCs w:val="20"/>
          <w:lang w:val="en-GB" w:eastAsia="en-US"/>
        </w:rPr>
        <w:t>LiF</w:t>
      </w:r>
      <w:proofErr w:type="spellEnd"/>
      <w:r w:rsidRPr="004220BD">
        <w:rPr>
          <w:i/>
          <w:color w:val="auto"/>
          <w:sz w:val="18"/>
          <w:szCs w:val="20"/>
          <w:lang w:val="en-GB" w:eastAsia="en-US"/>
        </w:rPr>
        <w:t>-</w:t>
      </w:r>
      <w:proofErr w:type="spellStart"/>
      <w:r w:rsidRPr="004220BD">
        <w:rPr>
          <w:i/>
          <w:color w:val="auto"/>
          <w:sz w:val="18"/>
          <w:szCs w:val="20"/>
          <w:lang w:val="en-GB" w:eastAsia="en-US"/>
        </w:rPr>
        <w:t>NaF</w:t>
      </w:r>
      <w:proofErr w:type="spellEnd"/>
      <w:r w:rsidRPr="004220BD">
        <w:rPr>
          <w:i/>
          <w:color w:val="auto"/>
          <w:sz w:val="18"/>
          <w:szCs w:val="20"/>
          <w:lang w:val="en-GB" w:eastAsia="en-US"/>
        </w:rPr>
        <w:t>-KF with volume of an active zone 30 m</w:t>
      </w:r>
      <w:r w:rsidRPr="004220BD">
        <w:rPr>
          <w:i/>
          <w:color w:val="auto"/>
          <w:sz w:val="18"/>
          <w:szCs w:val="20"/>
          <w:vertAlign w:val="superscript"/>
          <w:lang w:val="en-GB" w:eastAsia="en-US"/>
        </w:rPr>
        <w:t>3</w:t>
      </w:r>
      <w:r w:rsidRPr="004220BD">
        <w:rPr>
          <w:i/>
          <w:color w:val="auto"/>
          <w:sz w:val="18"/>
          <w:szCs w:val="20"/>
          <w:lang w:val="en-GB" w:eastAsia="en-US"/>
        </w:rPr>
        <w:t xml:space="preserve"> (1) and LiF-BeF</w:t>
      </w:r>
      <w:r w:rsidRPr="004220BD">
        <w:rPr>
          <w:i/>
          <w:color w:val="auto"/>
          <w:sz w:val="18"/>
          <w:szCs w:val="20"/>
          <w:vertAlign w:val="subscript"/>
          <w:lang w:val="en-GB" w:eastAsia="en-US"/>
        </w:rPr>
        <w:t>2</w:t>
      </w:r>
      <w:r w:rsidRPr="004220BD">
        <w:rPr>
          <w:i/>
          <w:color w:val="auto"/>
          <w:sz w:val="18"/>
          <w:szCs w:val="20"/>
          <w:lang w:val="en-GB" w:eastAsia="en-US"/>
        </w:rPr>
        <w:t xml:space="preserve"> with volumes 30 (2), 8 (3) and 2 м</w:t>
      </w:r>
      <w:r w:rsidRPr="004220BD">
        <w:rPr>
          <w:i/>
          <w:color w:val="auto"/>
          <w:sz w:val="18"/>
          <w:szCs w:val="20"/>
          <w:vertAlign w:val="superscript"/>
          <w:lang w:val="en-GB" w:eastAsia="en-US"/>
        </w:rPr>
        <w:t>3</w:t>
      </w:r>
      <w:r w:rsidRPr="004220BD">
        <w:rPr>
          <w:i/>
          <w:color w:val="auto"/>
          <w:sz w:val="18"/>
          <w:szCs w:val="20"/>
          <w:lang w:val="en-GB" w:eastAsia="en-US"/>
        </w:rPr>
        <w:t xml:space="preserve"> (4)</w:t>
      </w:r>
    </w:p>
    <w:p w:rsidR="004220BD" w:rsidRDefault="004220BD" w:rsidP="0059281C">
      <w:pPr>
        <w:overflowPunct/>
        <w:textAlignment w:val="auto"/>
        <w:rPr>
          <w:rFonts w:ascii="Lucida Console" w:hAnsi="Lucida Console" w:cs="Lucida Console"/>
          <w:sz w:val="21"/>
          <w:szCs w:val="21"/>
          <w:lang w:val="en-US" w:eastAsia="en-GB"/>
        </w:rPr>
      </w:pPr>
    </w:p>
    <w:p w:rsidR="004220BD" w:rsidRDefault="0082597D" w:rsidP="0082597D">
      <w:pPr>
        <w:overflowPunct/>
        <w:ind w:firstLine="567"/>
        <w:jc w:val="both"/>
        <w:textAlignment w:val="auto"/>
        <w:rPr>
          <w:sz w:val="20"/>
        </w:rPr>
      </w:pPr>
      <w:r w:rsidRPr="0082597D">
        <w:rPr>
          <w:sz w:val="20"/>
        </w:rPr>
        <w:t>The above results allow us to draw following conclusions:</w:t>
      </w:r>
    </w:p>
    <w:p w:rsidR="0082597D" w:rsidRPr="00ED65A1" w:rsidRDefault="0082597D" w:rsidP="0082597D">
      <w:pPr>
        <w:pStyle w:val="af9"/>
        <w:numPr>
          <w:ilvl w:val="0"/>
          <w:numId w:val="35"/>
        </w:numPr>
        <w:overflowPunct/>
        <w:jc w:val="both"/>
        <w:textAlignment w:val="auto"/>
        <w:rPr>
          <w:sz w:val="20"/>
          <w:lang w:val="en-US"/>
        </w:rPr>
      </w:pPr>
      <w:proofErr w:type="gramStart"/>
      <w:r>
        <w:rPr>
          <w:sz w:val="20"/>
        </w:rPr>
        <w:t>r</w:t>
      </w:r>
      <w:r w:rsidRPr="0082597D">
        <w:rPr>
          <w:sz w:val="20"/>
        </w:rPr>
        <w:t>ealization</w:t>
      </w:r>
      <w:proofErr w:type="gramEnd"/>
      <w:r w:rsidRPr="0082597D">
        <w:rPr>
          <w:sz w:val="20"/>
        </w:rPr>
        <w:t xml:space="preserve"> of an optimum mode of transmutation МА in </w:t>
      </w:r>
      <w:r>
        <w:rPr>
          <w:sz w:val="20"/>
        </w:rPr>
        <w:t>MSR-burner</w:t>
      </w:r>
      <w:r w:rsidRPr="0082597D">
        <w:rPr>
          <w:sz w:val="20"/>
        </w:rPr>
        <w:t xml:space="preserve"> </w:t>
      </w:r>
      <w:r>
        <w:rPr>
          <w:sz w:val="20"/>
        </w:rPr>
        <w:t>based on</w:t>
      </w:r>
      <w:r w:rsidRPr="0082597D">
        <w:rPr>
          <w:sz w:val="20"/>
        </w:rPr>
        <w:t xml:space="preserve"> of </w:t>
      </w:r>
      <w:proofErr w:type="spellStart"/>
      <w:r w:rsidRPr="0082597D">
        <w:rPr>
          <w:sz w:val="20"/>
        </w:rPr>
        <w:t>LiF</w:t>
      </w:r>
      <w:proofErr w:type="spellEnd"/>
      <w:r w:rsidRPr="0082597D">
        <w:rPr>
          <w:sz w:val="20"/>
        </w:rPr>
        <w:t>-</w:t>
      </w:r>
      <w:proofErr w:type="spellStart"/>
      <w:r w:rsidRPr="0082597D">
        <w:rPr>
          <w:sz w:val="20"/>
        </w:rPr>
        <w:t>NaF</w:t>
      </w:r>
      <w:proofErr w:type="spellEnd"/>
      <w:r w:rsidRPr="0082597D">
        <w:rPr>
          <w:sz w:val="20"/>
        </w:rPr>
        <w:t xml:space="preserve">-KF is possible at concentration of </w:t>
      </w:r>
      <w:r>
        <w:rPr>
          <w:sz w:val="20"/>
        </w:rPr>
        <w:t xml:space="preserve">actinide </w:t>
      </w:r>
      <w:r w:rsidRPr="0082597D">
        <w:rPr>
          <w:sz w:val="20"/>
        </w:rPr>
        <w:t>fluorides in a fuel composition in a range 10 … 17%</w:t>
      </w:r>
      <w:r>
        <w:rPr>
          <w:sz w:val="20"/>
        </w:rPr>
        <w:t>, mole.</w:t>
      </w:r>
      <w:r w:rsidR="00ED65A1">
        <w:rPr>
          <w:sz w:val="20"/>
        </w:rPr>
        <w:t xml:space="preserve"> </w:t>
      </w:r>
      <w:r w:rsidR="00ED65A1" w:rsidRPr="00ED65A1">
        <w:rPr>
          <w:sz w:val="20"/>
        </w:rPr>
        <w:t xml:space="preserve">This concentration below their solubility </w:t>
      </w:r>
      <w:r w:rsidR="00DC4464">
        <w:rPr>
          <w:sz w:val="20"/>
        </w:rPr>
        <w:t xml:space="preserve">limit </w:t>
      </w:r>
      <w:r w:rsidR="00ED65A1" w:rsidRPr="00ED65A1">
        <w:rPr>
          <w:sz w:val="20"/>
        </w:rPr>
        <w:t xml:space="preserve">in </w:t>
      </w:r>
      <w:proofErr w:type="spellStart"/>
      <w:r w:rsidR="00ED65A1" w:rsidRPr="0082597D">
        <w:rPr>
          <w:sz w:val="20"/>
        </w:rPr>
        <w:t>LiF</w:t>
      </w:r>
      <w:proofErr w:type="spellEnd"/>
      <w:r w:rsidR="00ED65A1" w:rsidRPr="0082597D">
        <w:rPr>
          <w:sz w:val="20"/>
        </w:rPr>
        <w:t>-</w:t>
      </w:r>
      <w:proofErr w:type="spellStart"/>
      <w:r w:rsidR="00ED65A1" w:rsidRPr="0082597D">
        <w:rPr>
          <w:sz w:val="20"/>
        </w:rPr>
        <w:t>NaF</w:t>
      </w:r>
      <w:proofErr w:type="spellEnd"/>
      <w:r w:rsidR="00ED65A1" w:rsidRPr="0082597D">
        <w:rPr>
          <w:sz w:val="20"/>
        </w:rPr>
        <w:t>-KF</w:t>
      </w:r>
      <w:r w:rsidR="00ED65A1" w:rsidRPr="00ED65A1">
        <w:rPr>
          <w:sz w:val="20"/>
        </w:rPr>
        <w:t xml:space="preserve"> at temperatures above 650</w:t>
      </w:r>
      <w:r w:rsidR="00ED65A1" w:rsidRPr="00ED65A1">
        <w:rPr>
          <w:sz w:val="20"/>
          <w:vertAlign w:val="superscript"/>
        </w:rPr>
        <w:t>0</w:t>
      </w:r>
      <w:r w:rsidR="00ED65A1" w:rsidRPr="00ED65A1">
        <w:rPr>
          <w:sz w:val="20"/>
        </w:rPr>
        <w:t>С</w:t>
      </w:r>
      <w:r w:rsidR="00130EF5" w:rsidRPr="00130EF5">
        <w:rPr>
          <w:sz w:val="20"/>
          <w:lang w:val="en-US"/>
        </w:rPr>
        <w:t>;</w:t>
      </w:r>
    </w:p>
    <w:p w:rsidR="00ED65A1" w:rsidRDefault="00130EF5" w:rsidP="0082597D">
      <w:pPr>
        <w:pStyle w:val="af9"/>
        <w:numPr>
          <w:ilvl w:val="0"/>
          <w:numId w:val="35"/>
        </w:numPr>
        <w:overflowPunct/>
        <w:jc w:val="both"/>
        <w:textAlignment w:val="auto"/>
        <w:rPr>
          <w:sz w:val="20"/>
        </w:rPr>
      </w:pPr>
      <w:proofErr w:type="gramStart"/>
      <w:r>
        <w:rPr>
          <w:sz w:val="20"/>
          <w:lang w:val="en-US"/>
        </w:rPr>
        <w:t>f</w:t>
      </w:r>
      <w:r w:rsidR="00ED65A1" w:rsidRPr="00ED65A1">
        <w:rPr>
          <w:sz w:val="20"/>
        </w:rPr>
        <w:t>or</w:t>
      </w:r>
      <w:proofErr w:type="gramEnd"/>
      <w:r w:rsidR="00ED65A1" w:rsidRPr="00ED65A1">
        <w:rPr>
          <w:sz w:val="20"/>
        </w:rPr>
        <w:t xml:space="preserve"> </w:t>
      </w:r>
      <w:r w:rsidR="00ED65A1">
        <w:rPr>
          <w:sz w:val="20"/>
        </w:rPr>
        <w:t>MSR-burner</w:t>
      </w:r>
      <w:r w:rsidR="00ED65A1" w:rsidRPr="00ED65A1">
        <w:rPr>
          <w:sz w:val="20"/>
        </w:rPr>
        <w:t xml:space="preserve"> based on </w:t>
      </w:r>
      <w:proofErr w:type="spellStart"/>
      <w:r w:rsidR="00ED65A1" w:rsidRPr="00ED65A1">
        <w:rPr>
          <w:sz w:val="20"/>
        </w:rPr>
        <w:t>LiF</w:t>
      </w:r>
      <w:proofErr w:type="spellEnd"/>
      <w:r w:rsidR="00ED65A1" w:rsidRPr="00ED65A1">
        <w:rPr>
          <w:sz w:val="20"/>
        </w:rPr>
        <w:t>-</w:t>
      </w:r>
      <w:proofErr w:type="spellStart"/>
      <w:r w:rsidR="00ED65A1" w:rsidRPr="00ED65A1">
        <w:rPr>
          <w:sz w:val="20"/>
        </w:rPr>
        <w:t>NaF</w:t>
      </w:r>
      <w:proofErr w:type="spellEnd"/>
      <w:r w:rsidR="00ED65A1" w:rsidRPr="00ED65A1">
        <w:rPr>
          <w:sz w:val="20"/>
        </w:rPr>
        <w:t xml:space="preserve">-KF efficiency of transmutation МА </w:t>
      </w:r>
      <w:r w:rsidR="00E806DD" w:rsidRPr="00E806DD">
        <w:rPr>
          <w:sz w:val="20"/>
        </w:rPr>
        <w:t>weakly</w:t>
      </w:r>
      <w:r w:rsidR="00ED65A1" w:rsidRPr="00ED65A1">
        <w:rPr>
          <w:sz w:val="20"/>
        </w:rPr>
        <w:t xml:space="preserve"> depends on the </w:t>
      </w:r>
      <w:r w:rsidR="00CE1A11">
        <w:rPr>
          <w:sz w:val="20"/>
        </w:rPr>
        <w:t>volume</w:t>
      </w:r>
      <w:r w:rsidR="00ED65A1" w:rsidRPr="00ED65A1">
        <w:rPr>
          <w:sz w:val="20"/>
        </w:rPr>
        <w:t xml:space="preserve"> of an active zone</w:t>
      </w:r>
      <w:r w:rsidR="00ED65A1">
        <w:rPr>
          <w:sz w:val="20"/>
        </w:rPr>
        <w:t xml:space="preserve">. </w:t>
      </w:r>
      <w:r w:rsidR="00ED65A1" w:rsidRPr="00ED65A1">
        <w:rPr>
          <w:sz w:val="20"/>
        </w:rPr>
        <w:t>During operation of the reactor within 50 years fraction МА reaches 74 … 78 % from loaded a</w:t>
      </w:r>
      <w:r>
        <w:rPr>
          <w:sz w:val="20"/>
        </w:rPr>
        <w:t>ctinides</w:t>
      </w:r>
      <w:r w:rsidR="00DC4464" w:rsidRPr="00DC4464">
        <w:rPr>
          <w:sz w:val="20"/>
          <w:lang w:val="en-US"/>
        </w:rPr>
        <w:t xml:space="preserve">. </w:t>
      </w:r>
      <w:r w:rsidR="00DC4464" w:rsidRPr="002B301B">
        <w:rPr>
          <w:sz w:val="20"/>
        </w:rPr>
        <w:t xml:space="preserve">Thus possibility of further use of equilibrium </w:t>
      </w:r>
      <w:r w:rsidR="00DC4464">
        <w:rPr>
          <w:sz w:val="20"/>
        </w:rPr>
        <w:t xml:space="preserve">fuel </w:t>
      </w:r>
      <w:r w:rsidR="00DC4464" w:rsidRPr="002B301B">
        <w:rPr>
          <w:sz w:val="20"/>
        </w:rPr>
        <w:t xml:space="preserve">composition after replacement of the reactor vessel on the expiration of its resource will provide efficiency of transmutation МА close to </w:t>
      </w:r>
      <w:r w:rsidR="00DC4464">
        <w:rPr>
          <w:sz w:val="20"/>
          <w:lang w:val="en-US"/>
        </w:rPr>
        <w:t>one</w:t>
      </w:r>
      <w:r w:rsidR="00DC4464">
        <w:rPr>
          <w:sz w:val="20"/>
        </w:rPr>
        <w:t xml:space="preserve">. </w:t>
      </w:r>
      <w:r w:rsidR="00DC4464" w:rsidRPr="00DC4464">
        <w:rPr>
          <w:sz w:val="20"/>
        </w:rPr>
        <w:t>It practically excludes plutonium consumption</w:t>
      </w:r>
      <w:r w:rsidR="00440105">
        <w:rPr>
          <w:sz w:val="20"/>
        </w:rPr>
        <w:t>;</w:t>
      </w:r>
    </w:p>
    <w:p w:rsidR="00DC4464" w:rsidRPr="0022012A" w:rsidRDefault="0022012A" w:rsidP="00CE1A11">
      <w:pPr>
        <w:pStyle w:val="af9"/>
        <w:numPr>
          <w:ilvl w:val="0"/>
          <w:numId w:val="35"/>
        </w:numPr>
        <w:overflowPunct/>
        <w:jc w:val="both"/>
        <w:textAlignment w:val="auto"/>
        <w:rPr>
          <w:sz w:val="20"/>
        </w:rPr>
      </w:pPr>
      <w:proofErr w:type="gramStart"/>
      <w:r w:rsidRPr="0022012A">
        <w:rPr>
          <w:sz w:val="20"/>
        </w:rPr>
        <w:t>at</w:t>
      </w:r>
      <w:proofErr w:type="gramEnd"/>
      <w:r w:rsidRPr="0022012A">
        <w:rPr>
          <w:sz w:val="20"/>
        </w:rPr>
        <w:t xml:space="preserve"> low concentration actinide fluorides in fuel composition (~3%, mole), corresponding solubility limit in  LiF-BeF</w:t>
      </w:r>
      <w:r w:rsidRPr="0022012A">
        <w:rPr>
          <w:sz w:val="20"/>
          <w:vertAlign w:val="subscript"/>
        </w:rPr>
        <w:t>2</w:t>
      </w:r>
      <w:r w:rsidRPr="0022012A">
        <w:rPr>
          <w:sz w:val="20"/>
        </w:rPr>
        <w:t>, efficiency of transmutation МА is less than 50 %. It means primary burning plutonium in such reactor.</w:t>
      </w:r>
      <w:r>
        <w:rPr>
          <w:sz w:val="20"/>
        </w:rPr>
        <w:t xml:space="preserve"> R</w:t>
      </w:r>
      <w:r w:rsidRPr="0022012A">
        <w:rPr>
          <w:sz w:val="20"/>
        </w:rPr>
        <w:t>eduction of volume of an active zone MSR-burner based on LiF-BeF</w:t>
      </w:r>
      <w:r w:rsidRPr="0022012A">
        <w:rPr>
          <w:sz w:val="20"/>
          <w:vertAlign w:val="subscript"/>
        </w:rPr>
        <w:t>2</w:t>
      </w:r>
      <w:r w:rsidRPr="0022012A">
        <w:rPr>
          <w:sz w:val="20"/>
        </w:rPr>
        <w:t xml:space="preserve"> leads to </w:t>
      </w:r>
      <w:proofErr w:type="gramStart"/>
      <w:r w:rsidRPr="0022012A">
        <w:rPr>
          <w:sz w:val="20"/>
        </w:rPr>
        <w:t xml:space="preserve">decrease </w:t>
      </w:r>
      <w:proofErr w:type="gramEnd"/>
      <m:oMath>
        <m:sSub>
          <m:sSubPr>
            <m:ctrlPr>
              <w:rPr>
                <w:rFonts w:ascii="Cambria Math" w:hAnsi="Cambria Math"/>
                <w:sz w:val="20"/>
              </w:rPr>
            </m:ctrlPr>
          </m:sSubPr>
          <m:e>
            <m:r>
              <w:rPr>
                <w:rFonts w:ascii="Cambria Math" w:hAnsi="Cambria Math"/>
                <w:sz w:val="20"/>
              </w:rPr>
              <m:t>K</m:t>
            </m:r>
          </m:e>
          <m:sub>
            <m:r>
              <w:rPr>
                <w:rFonts w:ascii="Cambria Math" w:hAnsi="Cambria Math"/>
                <w:sz w:val="20"/>
              </w:rPr>
              <m:t>MA</m:t>
            </m:r>
          </m:sub>
        </m:sSub>
      </m:oMath>
      <w:r w:rsidRPr="0022012A">
        <w:rPr>
          <w:sz w:val="20"/>
        </w:rPr>
        <w:t>.</w:t>
      </w:r>
      <w:r>
        <w:rPr>
          <w:sz w:val="20"/>
        </w:rPr>
        <w:t xml:space="preserve"> </w:t>
      </w:r>
      <w:r w:rsidRPr="0022012A">
        <w:rPr>
          <w:sz w:val="20"/>
        </w:rPr>
        <w:t xml:space="preserve">At small volume of an active zone (less than 2 </w:t>
      </w:r>
      <w:r>
        <w:rPr>
          <w:sz w:val="20"/>
        </w:rPr>
        <w:t>m</w:t>
      </w:r>
      <w:r w:rsidRPr="0022012A">
        <w:rPr>
          <w:sz w:val="20"/>
          <w:vertAlign w:val="superscript"/>
        </w:rPr>
        <w:t>3</w:t>
      </w:r>
      <w:r w:rsidRPr="0022012A">
        <w:rPr>
          <w:sz w:val="20"/>
        </w:rPr>
        <w:t xml:space="preserve"> at </w:t>
      </w:r>
      <w:r w:rsidRPr="001A2BE0">
        <w:rPr>
          <w:sz w:val="20"/>
          <w:lang w:val="en-US"/>
        </w:rPr>
        <w:t>specific thermal power</w:t>
      </w:r>
      <w:r w:rsidRPr="0022012A">
        <w:rPr>
          <w:sz w:val="20"/>
        </w:rPr>
        <w:t xml:space="preserve"> 100 kw/l) reactor </w:t>
      </w:r>
      <w:r>
        <w:rPr>
          <w:sz w:val="20"/>
        </w:rPr>
        <w:t>operation</w:t>
      </w:r>
      <w:r w:rsidRPr="0022012A">
        <w:rPr>
          <w:sz w:val="20"/>
        </w:rPr>
        <w:t xml:space="preserve"> can appear impossible because of degradation of fuel composition (accumulation of even isotopes Pu) and impossibili</w:t>
      </w:r>
      <w:r>
        <w:rPr>
          <w:sz w:val="20"/>
        </w:rPr>
        <w:t xml:space="preserve">ty of achievement of a criticality </w:t>
      </w:r>
      <w:r w:rsidRPr="0022012A">
        <w:rPr>
          <w:sz w:val="20"/>
        </w:rPr>
        <w:t xml:space="preserve">(even at feed by </w:t>
      </w:r>
      <w:r>
        <w:rPr>
          <w:sz w:val="20"/>
        </w:rPr>
        <w:t>only</w:t>
      </w:r>
      <w:r w:rsidRPr="0022012A">
        <w:rPr>
          <w:sz w:val="20"/>
        </w:rPr>
        <w:t xml:space="preserve"> plutonium).</w:t>
      </w:r>
    </w:p>
    <w:p w:rsidR="00DC4464" w:rsidRPr="0022012A" w:rsidRDefault="00DC4464" w:rsidP="0082597D">
      <w:pPr>
        <w:overflowPunct/>
        <w:ind w:firstLine="567"/>
        <w:textAlignment w:val="auto"/>
        <w:rPr>
          <w:rFonts w:ascii="Lucida Console" w:hAnsi="Lucida Console" w:cs="Lucida Console"/>
          <w:sz w:val="21"/>
          <w:szCs w:val="21"/>
          <w:lang w:eastAsia="en-GB"/>
        </w:rPr>
      </w:pPr>
    </w:p>
    <w:p w:rsidR="00E806DD" w:rsidRDefault="00E806DD" w:rsidP="00E806DD">
      <w:pPr>
        <w:tabs>
          <w:tab w:val="left" w:pos="9000"/>
        </w:tabs>
        <w:ind w:firstLine="567"/>
        <w:jc w:val="center"/>
        <w:rPr>
          <w:b/>
          <w:iCs/>
          <w:sz w:val="20"/>
          <w:lang w:val="en-US"/>
        </w:rPr>
      </w:pPr>
      <w:r w:rsidRPr="00E806DD">
        <w:rPr>
          <w:b/>
          <w:iCs/>
          <w:sz w:val="20"/>
          <w:lang w:val="en-US"/>
        </w:rPr>
        <w:t>CONCLUSION</w:t>
      </w:r>
    </w:p>
    <w:p w:rsidR="00E806DD" w:rsidRPr="00E806DD" w:rsidRDefault="00E806DD" w:rsidP="00E806DD">
      <w:pPr>
        <w:tabs>
          <w:tab w:val="left" w:pos="9000"/>
        </w:tabs>
        <w:ind w:firstLine="567"/>
        <w:jc w:val="center"/>
        <w:rPr>
          <w:b/>
          <w:iCs/>
          <w:sz w:val="20"/>
          <w:lang w:val="en-US"/>
        </w:rPr>
      </w:pPr>
    </w:p>
    <w:p w:rsidR="00E806DD" w:rsidRPr="00E806DD" w:rsidRDefault="00E806DD" w:rsidP="009C43FB">
      <w:pPr>
        <w:tabs>
          <w:tab w:val="left" w:pos="993"/>
        </w:tabs>
        <w:ind w:firstLine="567"/>
        <w:jc w:val="both"/>
        <w:rPr>
          <w:sz w:val="20"/>
        </w:rPr>
      </w:pPr>
      <w:r w:rsidRPr="00E806DD">
        <w:rPr>
          <w:sz w:val="20"/>
        </w:rPr>
        <w:t xml:space="preserve">Our effort is focused on studying the main regularities of MA transmutation in the </w:t>
      </w:r>
      <w:r w:rsidR="009C43FB">
        <w:rPr>
          <w:sz w:val="20"/>
        </w:rPr>
        <w:t>MSR-</w:t>
      </w:r>
      <w:r w:rsidRPr="00E806DD">
        <w:rPr>
          <w:sz w:val="20"/>
        </w:rPr>
        <w:t xml:space="preserve">burner. The optimal equilibrium conditions of MA transmutation in the </w:t>
      </w:r>
      <w:r w:rsidR="009C43FB">
        <w:rPr>
          <w:sz w:val="20"/>
        </w:rPr>
        <w:t>MSR-</w:t>
      </w:r>
      <w:r w:rsidR="009C43FB" w:rsidRPr="00E806DD">
        <w:rPr>
          <w:sz w:val="20"/>
        </w:rPr>
        <w:t>burner</w:t>
      </w:r>
      <w:r w:rsidRPr="00E806DD">
        <w:rPr>
          <w:sz w:val="20"/>
        </w:rPr>
        <w:t xml:space="preserve"> were demonstrated to be possible in principle when the makeup fuel containing only MA is added and fission products with the mass being equivalent to the amount of loaded MA are extracted. A certain concentration of actinides is required to implement these conditions of MA transmutation. When concentration of actinides is below that one taken for the reactor to go critical in the equilibrium conditions, instead of a certain amount of MA, plutonium shall be added to the makeup fuel thus reducing transmutation efficiency. When, vice versa, the required concentration of actinides is above that one taken for the reactor to go critical, a part of fuel with a high content of </w:t>
      </w:r>
      <w:r w:rsidRPr="00E806DD">
        <w:rPr>
          <w:sz w:val="20"/>
          <w:vertAlign w:val="superscript"/>
        </w:rPr>
        <w:t>238</w:t>
      </w:r>
      <w:r w:rsidRPr="00E806DD">
        <w:rPr>
          <w:sz w:val="20"/>
        </w:rPr>
        <w:t>Pu isotope shall be extracted in order to support criticality in the equilibrium conditions.</w:t>
      </w:r>
    </w:p>
    <w:p w:rsidR="00E806DD" w:rsidRPr="009C43FB" w:rsidRDefault="00E806DD" w:rsidP="009C43FB">
      <w:pPr>
        <w:tabs>
          <w:tab w:val="left" w:pos="993"/>
        </w:tabs>
        <w:ind w:firstLine="567"/>
        <w:jc w:val="both"/>
        <w:rPr>
          <w:sz w:val="20"/>
        </w:rPr>
      </w:pPr>
      <w:r w:rsidRPr="00E806DD">
        <w:rPr>
          <w:sz w:val="20"/>
        </w:rPr>
        <w:t>The ob</w:t>
      </w:r>
      <w:r w:rsidR="009C43FB">
        <w:rPr>
          <w:sz w:val="20"/>
        </w:rPr>
        <w:t xml:space="preserve">tained results demonstrate that </w:t>
      </w:r>
      <w:r w:rsidRPr="009C43FB">
        <w:rPr>
          <w:sz w:val="20"/>
        </w:rPr>
        <w:t>optimal concentration for the MSR-burner with the core volume ranging from 2 to 30 m</w:t>
      </w:r>
      <w:r w:rsidRPr="009C43FB">
        <w:rPr>
          <w:sz w:val="20"/>
          <w:vertAlign w:val="superscript"/>
        </w:rPr>
        <w:t>3</w:t>
      </w:r>
      <w:r w:rsidRPr="009C43FB">
        <w:rPr>
          <w:sz w:val="20"/>
        </w:rPr>
        <w:t xml:space="preserve"> is within 17…10%, mole. According to the published experimental results (for example [1</w:t>
      </w:r>
      <w:r w:rsidR="002D7C63" w:rsidRPr="009C43FB">
        <w:rPr>
          <w:sz w:val="20"/>
        </w:rPr>
        <w:t>2</w:t>
      </w:r>
      <w:r w:rsidRPr="009C43FB">
        <w:rPr>
          <w:sz w:val="20"/>
        </w:rPr>
        <w:t xml:space="preserve">]), this range can be expected to fall within solubility of actinide fluorides in the eutectics </w:t>
      </w:r>
      <w:proofErr w:type="spellStart"/>
      <w:r w:rsidRPr="009C43FB">
        <w:rPr>
          <w:sz w:val="20"/>
        </w:rPr>
        <w:t>LiF</w:t>
      </w:r>
      <w:proofErr w:type="spellEnd"/>
      <w:r w:rsidRPr="009C43FB">
        <w:rPr>
          <w:sz w:val="20"/>
        </w:rPr>
        <w:t>–</w:t>
      </w:r>
      <w:proofErr w:type="spellStart"/>
      <w:r w:rsidRPr="009C43FB">
        <w:rPr>
          <w:sz w:val="20"/>
        </w:rPr>
        <w:t>NaF</w:t>
      </w:r>
      <w:proofErr w:type="spellEnd"/>
      <w:r w:rsidRPr="009C43FB">
        <w:rPr>
          <w:sz w:val="20"/>
        </w:rPr>
        <w:t xml:space="preserve">–KF. To confirm this, the joint solubility of actinide fluorides in the eutectics </w:t>
      </w:r>
      <w:proofErr w:type="spellStart"/>
      <w:r w:rsidRPr="009C43FB">
        <w:rPr>
          <w:sz w:val="20"/>
        </w:rPr>
        <w:t>LiF</w:t>
      </w:r>
      <w:proofErr w:type="spellEnd"/>
      <w:r w:rsidRPr="009C43FB">
        <w:rPr>
          <w:sz w:val="20"/>
        </w:rPr>
        <w:t>–</w:t>
      </w:r>
      <w:proofErr w:type="spellStart"/>
      <w:r w:rsidRPr="009C43FB">
        <w:rPr>
          <w:sz w:val="20"/>
        </w:rPr>
        <w:t>NaF</w:t>
      </w:r>
      <w:proofErr w:type="spellEnd"/>
      <w:r w:rsidRPr="009C43FB">
        <w:rPr>
          <w:sz w:val="20"/>
        </w:rPr>
        <w:t xml:space="preserve">–KF is planned to be experimentally investigated at FSUE «RFNC – VNIITF named after </w:t>
      </w:r>
      <w:proofErr w:type="spellStart"/>
      <w:r w:rsidRPr="009C43FB">
        <w:rPr>
          <w:sz w:val="20"/>
        </w:rPr>
        <w:t>Academ</w:t>
      </w:r>
      <w:proofErr w:type="spellEnd"/>
      <w:r w:rsidRPr="009C43FB">
        <w:rPr>
          <w:sz w:val="20"/>
        </w:rPr>
        <w:t xml:space="preserve">. E.I. </w:t>
      </w:r>
      <w:proofErr w:type="spellStart"/>
      <w:r w:rsidRPr="009C43FB">
        <w:rPr>
          <w:sz w:val="20"/>
        </w:rPr>
        <w:t>Zababakhin</w:t>
      </w:r>
      <w:proofErr w:type="spellEnd"/>
      <w:r w:rsidRPr="009C43FB">
        <w:rPr>
          <w:sz w:val="20"/>
        </w:rPr>
        <w:t>» (Russia).</w:t>
      </w:r>
    </w:p>
    <w:p w:rsidR="00845563" w:rsidRPr="00845563" w:rsidRDefault="00845563" w:rsidP="009C43FB">
      <w:pPr>
        <w:pStyle w:val="af9"/>
        <w:tabs>
          <w:tab w:val="left" w:pos="709"/>
        </w:tabs>
        <w:ind w:left="0" w:firstLine="567"/>
        <w:jc w:val="both"/>
        <w:rPr>
          <w:sz w:val="20"/>
        </w:rPr>
      </w:pPr>
      <w:r w:rsidRPr="00845563">
        <w:rPr>
          <w:sz w:val="20"/>
        </w:rPr>
        <w:t>For MSR-burner based on of LiF-BeF</w:t>
      </w:r>
      <w:r w:rsidRPr="00845563">
        <w:rPr>
          <w:sz w:val="20"/>
          <w:vertAlign w:val="subscript"/>
        </w:rPr>
        <w:t>2</w:t>
      </w:r>
      <w:r w:rsidRPr="00845563">
        <w:rPr>
          <w:sz w:val="20"/>
        </w:rPr>
        <w:t xml:space="preserve"> because of low solubility of actinide fluorides (no more than ~3 %, mole) the greatest efficiency of transmutation МА ~40 % can be reached only at big (more than 15 m</w:t>
      </w:r>
      <w:r w:rsidRPr="00845563">
        <w:rPr>
          <w:sz w:val="20"/>
          <w:vertAlign w:val="superscript"/>
        </w:rPr>
        <w:t>3</w:t>
      </w:r>
      <w:r w:rsidRPr="00845563">
        <w:rPr>
          <w:sz w:val="20"/>
        </w:rPr>
        <w:t xml:space="preserve">) the volume of an active zone. However, in this case such reactor is plutonium burner therefore Pu consumption in 1.5 times exceeds МА consumption. Thus the increase in the volume of an active zone does not allow </w:t>
      </w:r>
      <w:proofErr w:type="gramStart"/>
      <w:r w:rsidRPr="00845563">
        <w:rPr>
          <w:sz w:val="20"/>
        </w:rPr>
        <w:t>to reach</w:t>
      </w:r>
      <w:proofErr w:type="gramEnd"/>
      <w:r w:rsidRPr="00845563">
        <w:rPr>
          <w:sz w:val="20"/>
        </w:rPr>
        <w:t xml:space="preserve"> an optimum mode of a transmutation (for infinite ideali</w:t>
      </w:r>
      <w:r>
        <w:rPr>
          <w:sz w:val="20"/>
        </w:rPr>
        <w:t>z</w:t>
      </w:r>
      <w:r w:rsidRPr="00845563">
        <w:rPr>
          <w:sz w:val="20"/>
        </w:rPr>
        <w:t xml:space="preserve">ed system </w:t>
      </w:r>
      <m:oMath>
        <m:sSub>
          <m:sSubPr>
            <m:ctrlPr>
              <w:rPr>
                <w:rFonts w:ascii="Cambria Math" w:hAnsi="Cambria Math"/>
                <w:sz w:val="20"/>
              </w:rPr>
            </m:ctrlPr>
          </m:sSubPr>
          <m:e>
            <m:r>
              <w:rPr>
                <w:rFonts w:ascii="Cambria Math" w:hAnsi="Cambria Math"/>
                <w:sz w:val="20"/>
              </w:rPr>
              <m:t>K</m:t>
            </m:r>
          </m:e>
          <m:sub>
            <m:r>
              <w:rPr>
                <w:rFonts w:ascii="Cambria Math" w:hAnsi="Cambria Math"/>
                <w:sz w:val="20"/>
              </w:rPr>
              <m:t>MA</m:t>
            </m:r>
          </m:sub>
        </m:sSub>
        <m:r>
          <m:rPr>
            <m:sty m:val="p"/>
          </m:rPr>
          <w:rPr>
            <w:rFonts w:ascii="Cambria Math" w:hAnsi="Cambria Math"/>
            <w:sz w:val="20"/>
          </w:rPr>
          <m:t>~0.63</m:t>
        </m:r>
      </m:oMath>
      <w:r w:rsidRPr="00845563">
        <w:rPr>
          <w:sz w:val="20"/>
        </w:rPr>
        <w:t xml:space="preserve"> [</w:t>
      </w:r>
      <w:r w:rsidR="002D7C63">
        <w:rPr>
          <w:sz w:val="20"/>
        </w:rPr>
        <w:t>8</w:t>
      </w:r>
      <w:r w:rsidRPr="00845563">
        <w:rPr>
          <w:sz w:val="20"/>
        </w:rPr>
        <w:t>]).</w:t>
      </w:r>
    </w:p>
    <w:p w:rsidR="00D26ADA" w:rsidRPr="00285755" w:rsidRDefault="00D26ADA" w:rsidP="00537496">
      <w:pPr>
        <w:pStyle w:val="Otherunnumberedheadings"/>
      </w:pPr>
      <w:r>
        <w:lastRenderedPageBreak/>
        <w:t>References</w:t>
      </w:r>
    </w:p>
    <w:p w:rsidR="00845563" w:rsidRPr="00C90F42" w:rsidRDefault="00C90F42" w:rsidP="00537496">
      <w:pPr>
        <w:pStyle w:val="Referencelist"/>
      </w:pPr>
      <w:r w:rsidRPr="00C90F42">
        <w:t>INTERNATIONAL ATOMIC ENERGY AGENCY</w:t>
      </w:r>
      <w:r w:rsidRPr="00C90F42">
        <w:rPr>
          <w:lang w:val="en-US"/>
        </w:rPr>
        <w:t>, Status and Trends in Spent Fuel and Radioactive Waste Management, Nuclear Energy Series No. NW-T-1.14</w:t>
      </w:r>
      <w:r>
        <w:rPr>
          <w:lang w:val="en-US"/>
        </w:rPr>
        <w:t>,</w:t>
      </w:r>
      <w:r w:rsidRPr="00C90F42">
        <w:rPr>
          <w:lang w:val="en-US"/>
        </w:rPr>
        <w:t xml:space="preserve"> IAEA, </w:t>
      </w:r>
      <w:r w:rsidRPr="00A17159">
        <w:t>Vienna</w:t>
      </w:r>
      <w:r w:rsidRPr="00C90F42">
        <w:rPr>
          <w:lang w:val="en-US"/>
        </w:rPr>
        <w:t xml:space="preserve"> </w:t>
      </w:r>
      <w:r>
        <w:rPr>
          <w:lang w:val="en-US"/>
        </w:rPr>
        <w:t>(</w:t>
      </w:r>
      <w:r w:rsidRPr="00C90F42">
        <w:rPr>
          <w:lang w:val="en-US"/>
        </w:rPr>
        <w:t>2018</w:t>
      </w:r>
      <w:r>
        <w:rPr>
          <w:lang w:val="en-US"/>
        </w:rPr>
        <w:t>).</w:t>
      </w:r>
    </w:p>
    <w:p w:rsidR="00C90F42" w:rsidRPr="000737B4" w:rsidRDefault="00C90F42" w:rsidP="00C90F42">
      <w:pPr>
        <w:pStyle w:val="Referencelist"/>
        <w:rPr>
          <w:lang w:val="en-US"/>
        </w:rPr>
      </w:pPr>
      <w:r w:rsidRPr="000737B4">
        <w:rPr>
          <w:bCs/>
          <w:lang w:val="en-US"/>
        </w:rPr>
        <w:t>DEGTYAREV</w:t>
      </w:r>
      <w:r>
        <w:rPr>
          <w:bCs/>
          <w:lang w:val="en-US"/>
        </w:rPr>
        <w:t>,</w:t>
      </w:r>
      <w:r w:rsidRPr="000737B4">
        <w:rPr>
          <w:lang w:val="en-US"/>
        </w:rPr>
        <w:t xml:space="preserve"> </w:t>
      </w:r>
      <w:r w:rsidRPr="000737B4">
        <w:t>А</w:t>
      </w:r>
      <w:r w:rsidRPr="000737B4">
        <w:rPr>
          <w:lang w:val="en-US"/>
        </w:rPr>
        <w:t>.</w:t>
      </w:r>
      <w:r w:rsidRPr="000737B4">
        <w:t>М</w:t>
      </w:r>
      <w:r w:rsidRPr="000737B4">
        <w:rPr>
          <w:lang w:val="en-US"/>
        </w:rPr>
        <w:t xml:space="preserve">., </w:t>
      </w:r>
      <w:r w:rsidRPr="000737B4">
        <w:rPr>
          <w:bCs/>
          <w:lang w:val="en-US"/>
        </w:rPr>
        <w:t>MYASNIKOV</w:t>
      </w:r>
      <w:r>
        <w:rPr>
          <w:bCs/>
          <w:lang w:val="en-US"/>
        </w:rPr>
        <w:t>,</w:t>
      </w:r>
      <w:r w:rsidRPr="000737B4">
        <w:rPr>
          <w:lang w:val="en-US"/>
        </w:rPr>
        <w:t xml:space="preserve"> </w:t>
      </w:r>
      <w:r w:rsidRPr="000737B4">
        <w:t>А</w:t>
      </w:r>
      <w:r w:rsidRPr="000737B4">
        <w:rPr>
          <w:lang w:val="en-US"/>
        </w:rPr>
        <w:t>.</w:t>
      </w:r>
      <w:r w:rsidRPr="000737B4">
        <w:t>А</w:t>
      </w:r>
      <w:r w:rsidRPr="000737B4">
        <w:rPr>
          <w:lang w:val="en-US"/>
        </w:rPr>
        <w:t xml:space="preserve">., </w:t>
      </w:r>
      <w:r w:rsidRPr="000737B4">
        <w:rPr>
          <w:bCs/>
          <w:lang w:val="en-US"/>
        </w:rPr>
        <w:t>KOLYASKIN</w:t>
      </w:r>
      <w:r>
        <w:rPr>
          <w:bCs/>
          <w:lang w:val="en-US"/>
        </w:rPr>
        <w:t>,</w:t>
      </w:r>
      <w:r w:rsidRPr="000737B4">
        <w:rPr>
          <w:lang w:val="en-US"/>
        </w:rPr>
        <w:t xml:space="preserve"> </w:t>
      </w:r>
      <w:r w:rsidRPr="000737B4">
        <w:t>О</w:t>
      </w:r>
      <w:r w:rsidRPr="000737B4">
        <w:rPr>
          <w:lang w:val="en-US"/>
        </w:rPr>
        <w:t>.</w:t>
      </w:r>
      <w:r w:rsidRPr="000737B4">
        <w:t>Е</w:t>
      </w:r>
      <w:r w:rsidRPr="000737B4">
        <w:rPr>
          <w:lang w:val="en-US"/>
        </w:rPr>
        <w:t xml:space="preserve">. </w:t>
      </w:r>
      <w:proofErr w:type="gramStart"/>
      <w:r w:rsidRPr="000737B4">
        <w:rPr>
          <w:lang w:val="en-US"/>
        </w:rPr>
        <w:t>et</w:t>
      </w:r>
      <w:proofErr w:type="gramEnd"/>
      <w:r w:rsidRPr="000737B4">
        <w:rPr>
          <w:lang w:val="en-US"/>
        </w:rPr>
        <w:t xml:space="preserve">. </w:t>
      </w:r>
      <w:proofErr w:type="gramStart"/>
      <w:r w:rsidRPr="000737B4">
        <w:rPr>
          <w:lang w:val="en-US"/>
        </w:rPr>
        <w:t>al</w:t>
      </w:r>
      <w:proofErr w:type="gramEnd"/>
      <w:r w:rsidRPr="000737B4">
        <w:rPr>
          <w:lang w:val="en-US"/>
        </w:rPr>
        <w:t xml:space="preserve">. Molten-salt subcritical </w:t>
      </w:r>
      <w:proofErr w:type="spellStart"/>
      <w:r w:rsidRPr="000737B4">
        <w:rPr>
          <w:lang w:val="en-US"/>
        </w:rPr>
        <w:t>tran</w:t>
      </w:r>
      <w:r>
        <w:rPr>
          <w:lang w:val="en-US"/>
        </w:rPr>
        <w:t>splutonium</w:t>
      </w:r>
      <w:proofErr w:type="spellEnd"/>
      <w:r>
        <w:rPr>
          <w:lang w:val="en-US"/>
        </w:rPr>
        <w:t xml:space="preserve"> actinide incinerator,</w:t>
      </w:r>
      <w:r w:rsidRPr="000737B4">
        <w:rPr>
          <w:lang w:val="en-US"/>
        </w:rPr>
        <w:t xml:space="preserve"> Atomic energy, </w:t>
      </w:r>
      <w:r w:rsidRPr="00C90F42">
        <w:rPr>
          <w:b/>
          <w:lang w:val="en-US"/>
        </w:rPr>
        <w:t>114</w:t>
      </w:r>
      <w:r>
        <w:rPr>
          <w:lang w:val="en-US"/>
        </w:rPr>
        <w:t xml:space="preserve"> </w:t>
      </w:r>
      <w:r w:rsidRPr="000737B4">
        <w:rPr>
          <w:lang w:val="en-US"/>
        </w:rPr>
        <w:t xml:space="preserve"> 4</w:t>
      </w:r>
      <w:r>
        <w:rPr>
          <w:lang w:val="en-US"/>
        </w:rPr>
        <w:t xml:space="preserve"> (2013) </w:t>
      </w:r>
      <w:r w:rsidRPr="000737B4">
        <w:rPr>
          <w:lang w:val="en-US"/>
        </w:rPr>
        <w:t>225 – 232</w:t>
      </w:r>
      <w:r>
        <w:rPr>
          <w:lang w:val="en-US"/>
        </w:rPr>
        <w:t>.</w:t>
      </w:r>
    </w:p>
    <w:p w:rsidR="00C90F42" w:rsidRPr="000737B4" w:rsidRDefault="00C90F42" w:rsidP="00C90F42">
      <w:pPr>
        <w:pStyle w:val="Referencelist"/>
        <w:rPr>
          <w:lang w:val="en-US"/>
        </w:rPr>
      </w:pPr>
      <w:r w:rsidRPr="000737B4">
        <w:rPr>
          <w:lang w:val="en-US"/>
        </w:rPr>
        <w:t>IGNATIEV</w:t>
      </w:r>
      <w:r>
        <w:rPr>
          <w:lang w:val="en-US"/>
        </w:rPr>
        <w:t>,</w:t>
      </w:r>
      <w:r w:rsidRPr="000737B4">
        <w:rPr>
          <w:lang w:val="en-US"/>
        </w:rPr>
        <w:t xml:space="preserve"> V.</w:t>
      </w:r>
      <w:r>
        <w:rPr>
          <w:lang w:val="en-US"/>
        </w:rPr>
        <w:t xml:space="preserve"> et.al.,</w:t>
      </w:r>
      <w:r w:rsidRPr="000737B4">
        <w:rPr>
          <w:lang w:val="en-US"/>
        </w:rPr>
        <w:t xml:space="preserve"> </w:t>
      </w:r>
      <w:r>
        <w:rPr>
          <w:lang w:val="en-US"/>
        </w:rPr>
        <w:t>“</w:t>
      </w:r>
      <w:r w:rsidRPr="000737B4">
        <w:rPr>
          <w:lang w:val="en-US"/>
        </w:rPr>
        <w:t xml:space="preserve">Progress in Development of Li, Be, Na/F Molten Salt Actinide Recycler and </w:t>
      </w:r>
      <w:proofErr w:type="spellStart"/>
      <w:r w:rsidRPr="000737B4">
        <w:rPr>
          <w:lang w:val="en-US"/>
        </w:rPr>
        <w:t>Transmuter</w:t>
      </w:r>
      <w:proofErr w:type="spellEnd"/>
      <w:r w:rsidRPr="000737B4">
        <w:rPr>
          <w:lang w:val="en-US"/>
        </w:rPr>
        <w:t xml:space="preserve"> Concept</w:t>
      </w:r>
      <w:r>
        <w:rPr>
          <w:lang w:val="en-US"/>
        </w:rPr>
        <w:t xml:space="preserve">”, </w:t>
      </w:r>
      <w:r w:rsidRPr="000737B4">
        <w:rPr>
          <w:lang w:val="en-US"/>
        </w:rPr>
        <w:t xml:space="preserve">International Congress on </w:t>
      </w:r>
      <w:r>
        <w:rPr>
          <w:lang w:val="en-US"/>
        </w:rPr>
        <w:t xml:space="preserve">Advanced in Nuclear Power Plant, </w:t>
      </w:r>
      <w:r w:rsidRPr="000737B4">
        <w:rPr>
          <w:lang w:val="en-US"/>
        </w:rPr>
        <w:t>France</w:t>
      </w:r>
      <w:r>
        <w:rPr>
          <w:lang w:val="en-US"/>
        </w:rPr>
        <w:t>, Nice (</w:t>
      </w:r>
      <w:r w:rsidR="005D1E1C">
        <w:rPr>
          <w:lang w:val="en-US"/>
        </w:rPr>
        <w:t>2007),</w:t>
      </w:r>
      <w:r>
        <w:rPr>
          <w:lang w:val="en-US"/>
        </w:rPr>
        <w:t xml:space="preserve"> </w:t>
      </w:r>
      <w:r w:rsidRPr="000737B4">
        <w:rPr>
          <w:lang w:val="en-US"/>
        </w:rPr>
        <w:t>Paper 7548</w:t>
      </w:r>
      <w:r w:rsidR="005D1E1C">
        <w:rPr>
          <w:lang w:val="en-US"/>
        </w:rPr>
        <w:t>.</w:t>
      </w:r>
    </w:p>
    <w:p w:rsidR="005D1E1C" w:rsidRPr="000737B4" w:rsidRDefault="005D1E1C" w:rsidP="005D1E1C">
      <w:pPr>
        <w:pStyle w:val="Referencelist"/>
        <w:rPr>
          <w:lang w:val="en-US"/>
        </w:rPr>
      </w:pPr>
      <w:r w:rsidRPr="000737B4">
        <w:rPr>
          <w:lang w:val="en-US"/>
        </w:rPr>
        <w:t>IGNATIEV</w:t>
      </w:r>
      <w:r>
        <w:rPr>
          <w:lang w:val="en-US"/>
        </w:rPr>
        <w:t>,</w:t>
      </w:r>
      <w:r w:rsidRPr="000737B4">
        <w:rPr>
          <w:lang w:val="en-US"/>
        </w:rPr>
        <w:t xml:space="preserve"> V., FEYNBERG</w:t>
      </w:r>
      <w:r>
        <w:rPr>
          <w:lang w:val="en-US"/>
        </w:rPr>
        <w:t>,</w:t>
      </w:r>
      <w:r w:rsidRPr="000737B4">
        <w:rPr>
          <w:lang w:val="en-US"/>
        </w:rPr>
        <w:t xml:space="preserve"> O., GNIDOI</w:t>
      </w:r>
      <w:r>
        <w:rPr>
          <w:lang w:val="en-US"/>
        </w:rPr>
        <w:t>,</w:t>
      </w:r>
      <w:r w:rsidRPr="005D1E1C">
        <w:rPr>
          <w:lang w:val="en-US"/>
        </w:rPr>
        <w:t xml:space="preserve"> </w:t>
      </w:r>
      <w:r w:rsidRPr="000737B4">
        <w:rPr>
          <w:lang w:val="en-US"/>
        </w:rPr>
        <w:t xml:space="preserve">I., et al. Molten salt actinide recycler and transforming system without and with </w:t>
      </w:r>
      <w:proofErr w:type="spellStart"/>
      <w:r w:rsidRPr="000737B4">
        <w:rPr>
          <w:lang w:val="en-US"/>
        </w:rPr>
        <w:t>Th</w:t>
      </w:r>
      <w:proofErr w:type="spellEnd"/>
      <w:r w:rsidRPr="000737B4">
        <w:rPr>
          <w:lang w:val="en-US"/>
        </w:rPr>
        <w:t>-U support: Fuel cycle flexibili</w:t>
      </w:r>
      <w:r>
        <w:rPr>
          <w:lang w:val="en-US"/>
        </w:rPr>
        <w:t xml:space="preserve">ty and key material properties, </w:t>
      </w:r>
      <w:r w:rsidRPr="000737B4">
        <w:rPr>
          <w:lang w:val="en-US"/>
        </w:rPr>
        <w:t xml:space="preserve">Ann. </w:t>
      </w:r>
      <w:proofErr w:type="spellStart"/>
      <w:r w:rsidRPr="000737B4">
        <w:rPr>
          <w:lang w:val="en-US"/>
        </w:rPr>
        <w:t>Nucl</w:t>
      </w:r>
      <w:proofErr w:type="spellEnd"/>
      <w:r w:rsidRPr="000737B4">
        <w:rPr>
          <w:lang w:val="en-US"/>
        </w:rPr>
        <w:t xml:space="preserve">. Energy, </w:t>
      </w:r>
      <w:r w:rsidRPr="005D1E1C">
        <w:rPr>
          <w:b/>
          <w:lang w:val="en-US"/>
        </w:rPr>
        <w:t>64</w:t>
      </w:r>
      <w:r>
        <w:rPr>
          <w:lang w:val="en-US"/>
        </w:rPr>
        <w:t xml:space="preserve"> (2014) </w:t>
      </w:r>
      <w:r w:rsidRPr="000737B4">
        <w:rPr>
          <w:lang w:val="en-US"/>
        </w:rPr>
        <w:t xml:space="preserve">2014 </w:t>
      </w:r>
      <w:r>
        <w:rPr>
          <w:lang w:val="en-US"/>
        </w:rPr>
        <w:t>408–420.</w:t>
      </w:r>
    </w:p>
    <w:p w:rsidR="00845563" w:rsidRPr="00C90F42" w:rsidRDefault="009B59F6" w:rsidP="00537496">
      <w:pPr>
        <w:pStyle w:val="Referencelist"/>
      </w:pPr>
      <w:r w:rsidRPr="000737B4">
        <w:rPr>
          <w:sz w:val="20"/>
          <w:szCs w:val="20"/>
          <w:lang w:val="en-US"/>
        </w:rPr>
        <w:t>KANDIYEV</w:t>
      </w:r>
      <w:r>
        <w:rPr>
          <w:sz w:val="20"/>
          <w:szCs w:val="20"/>
          <w:lang w:val="en-US"/>
        </w:rPr>
        <w:t>,</w:t>
      </w:r>
      <w:r w:rsidRPr="000737B4">
        <w:rPr>
          <w:sz w:val="20"/>
          <w:szCs w:val="20"/>
          <w:lang w:val="en-US"/>
        </w:rPr>
        <w:t xml:space="preserve"> </w:t>
      </w:r>
      <w:proofErr w:type="spellStart"/>
      <w:r w:rsidRPr="000737B4">
        <w:rPr>
          <w:sz w:val="20"/>
          <w:szCs w:val="20"/>
          <w:lang w:val="en-US"/>
        </w:rPr>
        <w:t>Ya</w:t>
      </w:r>
      <w:proofErr w:type="spellEnd"/>
      <w:r w:rsidRPr="000737B4">
        <w:rPr>
          <w:sz w:val="20"/>
          <w:szCs w:val="20"/>
          <w:lang w:val="en-US"/>
        </w:rPr>
        <w:t>. Z., MALAKHOV</w:t>
      </w:r>
      <w:r>
        <w:rPr>
          <w:sz w:val="20"/>
          <w:szCs w:val="20"/>
          <w:lang w:val="en-US"/>
        </w:rPr>
        <w:t>,</w:t>
      </w:r>
      <w:r w:rsidRPr="000737B4">
        <w:rPr>
          <w:sz w:val="20"/>
          <w:szCs w:val="20"/>
          <w:lang w:val="en-US"/>
        </w:rPr>
        <w:t xml:space="preserve"> A. A. </w:t>
      </w:r>
      <w:proofErr w:type="gramStart"/>
      <w:r w:rsidRPr="000737B4">
        <w:rPr>
          <w:sz w:val="20"/>
          <w:szCs w:val="20"/>
          <w:lang w:val="en-US"/>
        </w:rPr>
        <w:t>et</w:t>
      </w:r>
      <w:proofErr w:type="gramEnd"/>
      <w:r w:rsidRPr="000737B4">
        <w:rPr>
          <w:sz w:val="20"/>
          <w:szCs w:val="20"/>
          <w:lang w:val="en-US"/>
        </w:rPr>
        <w:t xml:space="preserve">. al., Estimation of the effect of small perturbations in multivariate calculations using the </w:t>
      </w:r>
      <w:proofErr w:type="spellStart"/>
      <w:r w:rsidRPr="000737B4">
        <w:rPr>
          <w:sz w:val="20"/>
          <w:szCs w:val="20"/>
          <w:lang w:val="en-US"/>
        </w:rPr>
        <w:t>Prizma</w:t>
      </w:r>
      <w:proofErr w:type="spellEnd"/>
      <w:r w:rsidRPr="000737B4">
        <w:rPr>
          <w:sz w:val="20"/>
          <w:szCs w:val="20"/>
          <w:lang w:val="en-US"/>
        </w:rPr>
        <w:t>-D computer program</w:t>
      </w:r>
      <w:r>
        <w:rPr>
          <w:sz w:val="20"/>
          <w:szCs w:val="20"/>
          <w:lang w:val="en-US"/>
        </w:rPr>
        <w:t>,</w:t>
      </w:r>
      <w:r w:rsidRPr="000737B4">
        <w:rPr>
          <w:sz w:val="20"/>
          <w:szCs w:val="20"/>
          <w:lang w:val="en-US"/>
        </w:rPr>
        <w:t xml:space="preserve"> Atomic energy, </w:t>
      </w:r>
      <w:r w:rsidRPr="009B59F6">
        <w:rPr>
          <w:b/>
          <w:sz w:val="20"/>
          <w:szCs w:val="20"/>
          <w:lang w:val="en-US"/>
        </w:rPr>
        <w:t>99</w:t>
      </w:r>
      <w:r w:rsidRPr="000737B4">
        <w:rPr>
          <w:sz w:val="20"/>
          <w:szCs w:val="20"/>
          <w:lang w:val="en-US"/>
        </w:rPr>
        <w:t xml:space="preserve"> 3</w:t>
      </w:r>
      <w:r>
        <w:rPr>
          <w:sz w:val="20"/>
          <w:szCs w:val="20"/>
          <w:lang w:val="en-US"/>
        </w:rPr>
        <w:t xml:space="preserve"> (</w:t>
      </w:r>
      <w:r w:rsidRPr="000737B4">
        <w:rPr>
          <w:sz w:val="20"/>
          <w:szCs w:val="20"/>
          <w:lang w:val="en-US"/>
        </w:rPr>
        <w:t>2005</w:t>
      </w:r>
      <w:r>
        <w:rPr>
          <w:sz w:val="20"/>
          <w:szCs w:val="20"/>
          <w:lang w:val="en-US"/>
        </w:rPr>
        <w:t>)</w:t>
      </w:r>
      <w:r w:rsidRPr="000737B4">
        <w:rPr>
          <w:sz w:val="20"/>
          <w:szCs w:val="20"/>
          <w:lang w:val="en-US"/>
        </w:rPr>
        <w:t xml:space="preserve"> 639 – 645.</w:t>
      </w:r>
    </w:p>
    <w:p w:rsidR="00845563" w:rsidRDefault="009B59F6" w:rsidP="00537496">
      <w:pPr>
        <w:pStyle w:val="Referencelist"/>
      </w:pPr>
      <w:r w:rsidRPr="000737B4">
        <w:rPr>
          <w:sz w:val="20"/>
          <w:szCs w:val="20"/>
          <w:lang w:val="en-US"/>
        </w:rPr>
        <w:t>MODESTOV</w:t>
      </w:r>
      <w:r>
        <w:rPr>
          <w:sz w:val="20"/>
          <w:szCs w:val="20"/>
          <w:lang w:val="en-US"/>
        </w:rPr>
        <w:t>,</w:t>
      </w:r>
      <w:r w:rsidRPr="000737B4">
        <w:rPr>
          <w:sz w:val="20"/>
          <w:szCs w:val="20"/>
          <w:lang w:val="en-US"/>
        </w:rPr>
        <w:t xml:space="preserve"> D. G., </w:t>
      </w:r>
      <w:r>
        <w:rPr>
          <w:sz w:val="20"/>
          <w:szCs w:val="20"/>
          <w:lang w:val="en-US"/>
        </w:rPr>
        <w:t>“</w:t>
      </w:r>
      <w:r w:rsidRPr="000737B4">
        <w:rPr>
          <w:sz w:val="20"/>
          <w:szCs w:val="20"/>
          <w:lang w:val="en-US"/>
        </w:rPr>
        <w:t>The RISK-2014 Code to Solve Nuclear Kinetics Problems</w:t>
      </w:r>
      <w:r>
        <w:rPr>
          <w:sz w:val="20"/>
          <w:szCs w:val="20"/>
          <w:lang w:val="en-US"/>
        </w:rPr>
        <w:t>”</w:t>
      </w:r>
      <w:r w:rsidRPr="000737B4">
        <w:rPr>
          <w:sz w:val="20"/>
          <w:szCs w:val="20"/>
          <w:lang w:val="en-US"/>
        </w:rPr>
        <w:t xml:space="preserve">, </w:t>
      </w:r>
      <w:r w:rsidRPr="00E806DD">
        <w:rPr>
          <w:sz w:val="20"/>
        </w:rPr>
        <w:t xml:space="preserve">RFNC – VNIITF named after </w:t>
      </w:r>
      <w:proofErr w:type="spellStart"/>
      <w:r w:rsidRPr="00E806DD">
        <w:rPr>
          <w:sz w:val="20"/>
        </w:rPr>
        <w:t>Academ</w:t>
      </w:r>
      <w:proofErr w:type="spellEnd"/>
      <w:r w:rsidRPr="00E806DD">
        <w:rPr>
          <w:sz w:val="20"/>
        </w:rPr>
        <w:t xml:space="preserve">. E.I. </w:t>
      </w:r>
      <w:proofErr w:type="spellStart"/>
      <w:r w:rsidRPr="00E806DD">
        <w:rPr>
          <w:sz w:val="20"/>
        </w:rPr>
        <w:t>Zababakhin</w:t>
      </w:r>
      <w:proofErr w:type="spellEnd"/>
      <w:r>
        <w:rPr>
          <w:sz w:val="20"/>
        </w:rPr>
        <w:t>,</w:t>
      </w:r>
      <w:r w:rsidRPr="000737B4">
        <w:rPr>
          <w:sz w:val="20"/>
          <w:szCs w:val="20"/>
          <w:lang w:val="en-US"/>
        </w:rPr>
        <w:t xml:space="preserve"> preprint No. 243, </w:t>
      </w:r>
      <w:r>
        <w:rPr>
          <w:sz w:val="20"/>
          <w:szCs w:val="20"/>
          <w:lang w:val="en-US"/>
        </w:rPr>
        <w:t xml:space="preserve">Russia, </w:t>
      </w:r>
      <w:proofErr w:type="spellStart"/>
      <w:r w:rsidRPr="000737B4">
        <w:rPr>
          <w:sz w:val="20"/>
          <w:szCs w:val="20"/>
          <w:lang w:val="en-US"/>
        </w:rPr>
        <w:t>Snezhinsk</w:t>
      </w:r>
      <w:proofErr w:type="spellEnd"/>
      <w:r>
        <w:rPr>
          <w:sz w:val="20"/>
          <w:szCs w:val="20"/>
          <w:lang w:val="en-US"/>
        </w:rPr>
        <w:t xml:space="preserve"> (</w:t>
      </w:r>
      <w:r w:rsidRPr="000737B4">
        <w:rPr>
          <w:sz w:val="20"/>
          <w:szCs w:val="20"/>
          <w:lang w:val="en-US"/>
        </w:rPr>
        <w:t>2014</w:t>
      </w:r>
      <w:r>
        <w:rPr>
          <w:sz w:val="20"/>
          <w:szCs w:val="20"/>
          <w:lang w:val="en-US"/>
        </w:rPr>
        <w:t>)</w:t>
      </w:r>
      <w:r w:rsidRPr="000737B4">
        <w:rPr>
          <w:sz w:val="20"/>
          <w:szCs w:val="20"/>
          <w:lang w:val="en-US"/>
        </w:rPr>
        <w:t>;</w:t>
      </w:r>
    </w:p>
    <w:p w:rsidR="00A3140F" w:rsidRDefault="00A3140F" w:rsidP="00A3140F">
      <w:pPr>
        <w:pStyle w:val="Referencelist"/>
      </w:pPr>
      <w:r w:rsidRPr="00A3140F">
        <w:t>IAEA Nuclear Data Centre. - URL: http://www-nds.iaea.org (date of the treatment of 10/1/2020).</w:t>
      </w:r>
    </w:p>
    <w:p w:rsidR="00291B0B" w:rsidRPr="00291B0B" w:rsidRDefault="00291B0B" w:rsidP="00291B0B">
      <w:pPr>
        <w:pStyle w:val="Referencelist"/>
        <w:rPr>
          <w:sz w:val="20"/>
          <w:szCs w:val="20"/>
          <w:lang w:val="en-US"/>
        </w:rPr>
      </w:pPr>
      <w:r w:rsidRPr="00291B0B">
        <w:rPr>
          <w:sz w:val="20"/>
          <w:szCs w:val="20"/>
          <w:lang w:val="en-US"/>
        </w:rPr>
        <w:t>BELONOGOV</w:t>
      </w:r>
      <w:r>
        <w:rPr>
          <w:sz w:val="20"/>
          <w:szCs w:val="20"/>
          <w:lang w:val="en-US"/>
        </w:rPr>
        <w:t>,</w:t>
      </w:r>
      <w:r w:rsidRPr="00291B0B">
        <w:rPr>
          <w:sz w:val="20"/>
          <w:szCs w:val="20"/>
          <w:lang w:val="en-US"/>
        </w:rPr>
        <w:t xml:space="preserve"> M.N., VOLKOV</w:t>
      </w:r>
      <w:r>
        <w:rPr>
          <w:sz w:val="20"/>
          <w:szCs w:val="20"/>
          <w:lang w:val="en-US"/>
        </w:rPr>
        <w:t>,</w:t>
      </w:r>
      <w:r w:rsidRPr="00291B0B">
        <w:rPr>
          <w:sz w:val="20"/>
          <w:szCs w:val="20"/>
          <w:lang w:val="en-US"/>
        </w:rPr>
        <w:t xml:space="preserve"> I.A., MODESTOV</w:t>
      </w:r>
      <w:r>
        <w:rPr>
          <w:sz w:val="20"/>
          <w:szCs w:val="20"/>
          <w:lang w:val="en-US"/>
        </w:rPr>
        <w:t>,</w:t>
      </w:r>
      <w:r w:rsidRPr="00291B0B">
        <w:rPr>
          <w:sz w:val="20"/>
          <w:szCs w:val="20"/>
          <w:lang w:val="en-US"/>
        </w:rPr>
        <w:t xml:space="preserve"> D.G., About Optimal Mode of Minor Actinides Transmutation in Molten Salt Reactor, </w:t>
      </w:r>
      <w:r w:rsidRPr="000737B4">
        <w:rPr>
          <w:sz w:val="20"/>
          <w:szCs w:val="20"/>
          <w:lang w:val="en-US"/>
        </w:rPr>
        <w:t>Atomic energy</w:t>
      </w:r>
      <w:r w:rsidRPr="00291B0B">
        <w:rPr>
          <w:sz w:val="20"/>
          <w:szCs w:val="20"/>
          <w:lang w:val="en-US"/>
        </w:rPr>
        <w:t xml:space="preserve">, </w:t>
      </w:r>
      <w:r w:rsidRPr="00291B0B">
        <w:rPr>
          <w:b/>
          <w:sz w:val="20"/>
          <w:szCs w:val="20"/>
          <w:lang w:val="en-US"/>
        </w:rPr>
        <w:t>128</w:t>
      </w:r>
      <w:r w:rsidRPr="00291B0B">
        <w:rPr>
          <w:sz w:val="20"/>
          <w:szCs w:val="20"/>
          <w:lang w:val="en-US"/>
        </w:rPr>
        <w:t xml:space="preserve"> 3 (2020) 135 – 142.</w:t>
      </w:r>
    </w:p>
    <w:p w:rsidR="00A3140F" w:rsidRPr="000737B4" w:rsidRDefault="00A3140F" w:rsidP="00A3140F">
      <w:pPr>
        <w:pStyle w:val="Referencelist"/>
        <w:rPr>
          <w:lang w:val="en-US"/>
        </w:rPr>
      </w:pPr>
      <w:r w:rsidRPr="000737B4">
        <w:rPr>
          <w:lang w:val="en-US"/>
        </w:rPr>
        <w:t>PONOMAREV</w:t>
      </w:r>
      <w:r>
        <w:rPr>
          <w:lang w:val="en-US"/>
        </w:rPr>
        <w:t>,</w:t>
      </w:r>
      <w:r w:rsidRPr="000737B4">
        <w:rPr>
          <w:lang w:val="en-US"/>
        </w:rPr>
        <w:t xml:space="preserve"> L.I., BELONOGOV</w:t>
      </w:r>
      <w:r>
        <w:rPr>
          <w:lang w:val="en-US"/>
        </w:rPr>
        <w:t>,</w:t>
      </w:r>
      <w:r w:rsidRPr="000737B4">
        <w:rPr>
          <w:lang w:val="en-US"/>
        </w:rPr>
        <w:t xml:space="preserve"> M.N., VOLKOV</w:t>
      </w:r>
      <w:r>
        <w:rPr>
          <w:lang w:val="en-US"/>
        </w:rPr>
        <w:t>,</w:t>
      </w:r>
      <w:r w:rsidRPr="000737B4">
        <w:rPr>
          <w:lang w:val="en-US"/>
        </w:rPr>
        <w:t xml:space="preserve"> I.A. </w:t>
      </w:r>
      <w:proofErr w:type="gramStart"/>
      <w:r w:rsidRPr="000737B4">
        <w:rPr>
          <w:lang w:val="en-US"/>
        </w:rPr>
        <w:t>et</w:t>
      </w:r>
      <w:proofErr w:type="gramEnd"/>
      <w:r w:rsidRPr="000737B4">
        <w:rPr>
          <w:lang w:val="en-US"/>
        </w:rPr>
        <w:t xml:space="preserve">. </w:t>
      </w:r>
      <w:proofErr w:type="gramStart"/>
      <w:r w:rsidRPr="000737B4">
        <w:rPr>
          <w:lang w:val="en-US"/>
        </w:rPr>
        <w:t>al</w:t>
      </w:r>
      <w:proofErr w:type="gramEnd"/>
      <w:r w:rsidRPr="000737B4">
        <w:rPr>
          <w:lang w:val="en-US"/>
        </w:rPr>
        <w:t xml:space="preserve">. Molten-Salt Fast Reactor Based on </w:t>
      </w:r>
      <w:proofErr w:type="spellStart"/>
      <w:r w:rsidRPr="000737B4">
        <w:rPr>
          <w:lang w:val="en-US"/>
        </w:rPr>
        <w:t>LiF</w:t>
      </w:r>
      <w:proofErr w:type="spellEnd"/>
      <w:r w:rsidRPr="000737B4">
        <w:rPr>
          <w:lang w:val="en-US"/>
        </w:rPr>
        <w:t>-</w:t>
      </w:r>
      <w:proofErr w:type="spellStart"/>
      <w:r w:rsidRPr="000737B4">
        <w:rPr>
          <w:lang w:val="en-US"/>
        </w:rPr>
        <w:t>NaF</w:t>
      </w:r>
      <w:proofErr w:type="spellEnd"/>
      <w:r w:rsidRPr="000737B4">
        <w:rPr>
          <w:lang w:val="en-US"/>
        </w:rPr>
        <w:t xml:space="preserve">-KF as Minor Actinide </w:t>
      </w:r>
      <w:proofErr w:type="spellStart"/>
      <w:r w:rsidRPr="000737B4">
        <w:rPr>
          <w:lang w:val="en-US"/>
        </w:rPr>
        <w:t>Transmuter</w:t>
      </w:r>
      <w:proofErr w:type="spellEnd"/>
      <w:r>
        <w:rPr>
          <w:lang w:val="en-US"/>
        </w:rPr>
        <w:t xml:space="preserve">, </w:t>
      </w:r>
      <w:r w:rsidRPr="000737B4">
        <w:rPr>
          <w:lang w:val="en-US"/>
        </w:rPr>
        <w:t>Atomic energy</w:t>
      </w:r>
      <w:r>
        <w:rPr>
          <w:lang w:val="en-US"/>
        </w:rPr>
        <w:t xml:space="preserve">, </w:t>
      </w:r>
      <w:r w:rsidRPr="00A3140F">
        <w:rPr>
          <w:b/>
          <w:lang w:val="en-US"/>
        </w:rPr>
        <w:t>126</w:t>
      </w:r>
      <w:r>
        <w:rPr>
          <w:lang w:val="en-US"/>
        </w:rPr>
        <w:t xml:space="preserve"> 3 (2019) 123 – 132.</w:t>
      </w:r>
    </w:p>
    <w:p w:rsidR="000F0B7E" w:rsidRDefault="000F0B7E" w:rsidP="000F0B7E">
      <w:pPr>
        <w:pStyle w:val="Referencelist"/>
        <w:rPr>
          <w:lang w:val="en-US"/>
        </w:rPr>
      </w:pPr>
      <w:r w:rsidRPr="000737B4">
        <w:rPr>
          <w:lang w:val="en-US"/>
        </w:rPr>
        <w:t>IGNATIEV</w:t>
      </w:r>
      <w:r>
        <w:rPr>
          <w:lang w:val="en-US"/>
        </w:rPr>
        <w:t>,</w:t>
      </w:r>
      <w:r w:rsidRPr="000737B4">
        <w:rPr>
          <w:lang w:val="en-US"/>
        </w:rPr>
        <w:t xml:space="preserve"> V.V., FEYNBERG</w:t>
      </w:r>
      <w:r>
        <w:rPr>
          <w:lang w:val="en-US"/>
        </w:rPr>
        <w:t>,</w:t>
      </w:r>
      <w:r w:rsidRPr="000737B4">
        <w:rPr>
          <w:lang w:val="en-US"/>
        </w:rPr>
        <w:t xml:space="preserve"> O.S., ZAGNITKO</w:t>
      </w:r>
      <w:r>
        <w:rPr>
          <w:lang w:val="en-US"/>
        </w:rPr>
        <w:t>,</w:t>
      </w:r>
      <w:r w:rsidRPr="000737B4">
        <w:rPr>
          <w:lang w:val="en-US"/>
        </w:rPr>
        <w:t xml:space="preserve"> A.V. et al. Molten-salt reactors: new possibilities, pro</w:t>
      </w:r>
      <w:r>
        <w:rPr>
          <w:lang w:val="en-US"/>
        </w:rPr>
        <w:t xml:space="preserve">blems and solutions articles, </w:t>
      </w:r>
      <w:r w:rsidRPr="000737B4">
        <w:rPr>
          <w:lang w:val="en-US"/>
        </w:rPr>
        <w:t xml:space="preserve">Atomic energy, </w:t>
      </w:r>
      <w:r w:rsidRPr="000F0B7E">
        <w:rPr>
          <w:b/>
          <w:lang w:val="en-US"/>
        </w:rPr>
        <w:t>112</w:t>
      </w:r>
      <w:r>
        <w:rPr>
          <w:lang w:val="en-US"/>
        </w:rPr>
        <w:t xml:space="preserve"> 3 (</w:t>
      </w:r>
      <w:r w:rsidRPr="000737B4">
        <w:rPr>
          <w:lang w:val="en-US"/>
        </w:rPr>
        <w:t>2012</w:t>
      </w:r>
      <w:r>
        <w:rPr>
          <w:lang w:val="en-US"/>
        </w:rPr>
        <w:t>)</w:t>
      </w:r>
      <w:r w:rsidRPr="000737B4">
        <w:rPr>
          <w:lang w:val="en-US"/>
        </w:rPr>
        <w:t xml:space="preserve"> 135 – 143. </w:t>
      </w:r>
    </w:p>
    <w:p w:rsidR="00A07467" w:rsidRPr="000737B4" w:rsidRDefault="00A07467" w:rsidP="00A07467">
      <w:pPr>
        <w:pStyle w:val="Referencelist"/>
      </w:pPr>
      <w:r w:rsidRPr="000737B4">
        <w:rPr>
          <w:lang w:val="en-US"/>
        </w:rPr>
        <w:t>PONOMAREV</w:t>
      </w:r>
      <w:r>
        <w:rPr>
          <w:lang w:val="en-US"/>
        </w:rPr>
        <w:t>,</w:t>
      </w:r>
      <w:r w:rsidRPr="000737B4">
        <w:rPr>
          <w:lang w:val="en-US"/>
        </w:rPr>
        <w:t xml:space="preserve"> L.I., SEREGIN</w:t>
      </w:r>
      <w:r>
        <w:rPr>
          <w:lang w:val="en-US"/>
        </w:rPr>
        <w:t>,</w:t>
      </w:r>
      <w:r w:rsidRPr="000737B4">
        <w:rPr>
          <w:lang w:val="en-US"/>
        </w:rPr>
        <w:t xml:space="preserve"> M.B., PARSHIN</w:t>
      </w:r>
      <w:r>
        <w:rPr>
          <w:lang w:val="en-US"/>
        </w:rPr>
        <w:t>,</w:t>
      </w:r>
      <w:r w:rsidRPr="000737B4">
        <w:rPr>
          <w:lang w:val="en-US"/>
        </w:rPr>
        <w:t xml:space="preserve"> A.P. et al. Fuel salt for molten-salt reactor</w:t>
      </w:r>
      <w:r>
        <w:rPr>
          <w:lang w:val="en-US"/>
        </w:rPr>
        <w:t xml:space="preserve">, </w:t>
      </w:r>
      <w:r w:rsidRPr="000737B4">
        <w:rPr>
          <w:lang w:val="en-US"/>
        </w:rPr>
        <w:t xml:space="preserve">Atomic energy, </w:t>
      </w:r>
      <w:r w:rsidRPr="00A07467">
        <w:rPr>
          <w:b/>
          <w:lang w:val="en-US"/>
        </w:rPr>
        <w:t>115</w:t>
      </w:r>
      <w:r>
        <w:rPr>
          <w:lang w:val="en-US"/>
        </w:rPr>
        <w:t xml:space="preserve"> 1 (</w:t>
      </w:r>
      <w:r w:rsidRPr="000737B4">
        <w:rPr>
          <w:lang w:val="en-US"/>
        </w:rPr>
        <w:t>2013</w:t>
      </w:r>
      <w:r>
        <w:rPr>
          <w:lang w:val="en-US"/>
        </w:rPr>
        <w:t xml:space="preserve">) </w:t>
      </w:r>
      <w:r w:rsidRPr="000737B4">
        <w:rPr>
          <w:lang w:val="en-US"/>
        </w:rPr>
        <w:t>6 – 11.</w:t>
      </w:r>
    </w:p>
    <w:p w:rsidR="00A07467" w:rsidRPr="000737B4" w:rsidRDefault="00A07467" w:rsidP="00A07467">
      <w:pPr>
        <w:pStyle w:val="Referencelist"/>
        <w:rPr>
          <w:lang w:val="en-US"/>
        </w:rPr>
      </w:pPr>
      <w:r w:rsidRPr="000737B4">
        <w:rPr>
          <w:lang w:val="en-US"/>
        </w:rPr>
        <w:t>LIZIN</w:t>
      </w:r>
      <w:r>
        <w:rPr>
          <w:lang w:val="en-US"/>
        </w:rPr>
        <w:t>,</w:t>
      </w:r>
      <w:r w:rsidRPr="000737B4">
        <w:rPr>
          <w:lang w:val="en-US"/>
        </w:rPr>
        <w:t xml:space="preserve"> A.A., TOMILIN</w:t>
      </w:r>
      <w:r>
        <w:rPr>
          <w:lang w:val="en-US"/>
        </w:rPr>
        <w:t>,</w:t>
      </w:r>
      <w:r w:rsidRPr="000737B4">
        <w:rPr>
          <w:lang w:val="en-US"/>
        </w:rPr>
        <w:t xml:space="preserve"> S.V., GNEVASHOV</w:t>
      </w:r>
      <w:r>
        <w:rPr>
          <w:lang w:val="en-US"/>
        </w:rPr>
        <w:t>,</w:t>
      </w:r>
      <w:r w:rsidRPr="000737B4">
        <w:rPr>
          <w:lang w:val="en-US"/>
        </w:rPr>
        <w:t xml:space="preserve"> O.E. et al. PuF</w:t>
      </w:r>
      <w:r w:rsidRPr="000737B4">
        <w:rPr>
          <w:vertAlign w:val="subscript"/>
          <w:lang w:val="en-US"/>
        </w:rPr>
        <w:t>3</w:t>
      </w:r>
      <w:r w:rsidRPr="000737B4">
        <w:rPr>
          <w:lang w:val="en-US"/>
        </w:rPr>
        <w:t>, AmF</w:t>
      </w:r>
      <w:r w:rsidRPr="000737B4">
        <w:rPr>
          <w:vertAlign w:val="subscript"/>
          <w:lang w:val="en-US"/>
        </w:rPr>
        <w:t>3</w:t>
      </w:r>
      <w:r w:rsidRPr="000737B4">
        <w:rPr>
          <w:lang w:val="en-US"/>
        </w:rPr>
        <w:t>, CeF</w:t>
      </w:r>
      <w:r w:rsidRPr="000737B4">
        <w:rPr>
          <w:vertAlign w:val="subscript"/>
          <w:lang w:val="en-US"/>
        </w:rPr>
        <w:t>3</w:t>
      </w:r>
      <w:r w:rsidRPr="000737B4">
        <w:rPr>
          <w:lang w:val="en-US"/>
        </w:rPr>
        <w:t>, and NdF</w:t>
      </w:r>
      <w:r w:rsidRPr="000737B4">
        <w:rPr>
          <w:vertAlign w:val="subscript"/>
          <w:lang w:val="en-US"/>
        </w:rPr>
        <w:t>3</w:t>
      </w:r>
      <w:r w:rsidRPr="000737B4">
        <w:rPr>
          <w:lang w:val="en-US"/>
        </w:rPr>
        <w:t xml:space="preserve"> solubility in </w:t>
      </w:r>
      <w:proofErr w:type="spellStart"/>
      <w:r w:rsidRPr="000737B4">
        <w:rPr>
          <w:lang w:val="en-US"/>
        </w:rPr>
        <w:t>LiF</w:t>
      </w:r>
      <w:proofErr w:type="spellEnd"/>
      <w:r w:rsidRPr="000737B4">
        <w:rPr>
          <w:lang w:val="en-US"/>
        </w:rPr>
        <w:t>–</w:t>
      </w:r>
      <w:proofErr w:type="spellStart"/>
      <w:r w:rsidRPr="000737B4">
        <w:rPr>
          <w:lang w:val="en-US"/>
        </w:rPr>
        <w:t>NaF</w:t>
      </w:r>
      <w:proofErr w:type="spellEnd"/>
      <w:r w:rsidRPr="000737B4">
        <w:rPr>
          <w:lang w:val="en-US"/>
        </w:rPr>
        <w:t>–KF mel</w:t>
      </w:r>
      <w:r>
        <w:rPr>
          <w:lang w:val="en-US"/>
        </w:rPr>
        <w:t xml:space="preserve">t, </w:t>
      </w:r>
      <w:r w:rsidRPr="000737B4">
        <w:rPr>
          <w:lang w:val="en-US"/>
        </w:rPr>
        <w:t xml:space="preserve">Atomic energy, </w:t>
      </w:r>
      <w:r w:rsidRPr="00A07467">
        <w:rPr>
          <w:b/>
          <w:lang w:val="en-US"/>
        </w:rPr>
        <w:t>115</w:t>
      </w:r>
      <w:r>
        <w:rPr>
          <w:lang w:val="en-US"/>
        </w:rPr>
        <w:t xml:space="preserve"> 1 (</w:t>
      </w:r>
      <w:r w:rsidRPr="000737B4">
        <w:rPr>
          <w:lang w:val="en-US"/>
        </w:rPr>
        <w:t>2013</w:t>
      </w:r>
      <w:r>
        <w:rPr>
          <w:lang w:val="en-US"/>
        </w:rPr>
        <w:t xml:space="preserve">) </w:t>
      </w:r>
      <w:r w:rsidRPr="000737B4">
        <w:rPr>
          <w:lang w:val="en-US"/>
        </w:rPr>
        <w:t>11 – 16.</w:t>
      </w:r>
    </w:p>
    <w:p w:rsidR="00576248" w:rsidRPr="000737B4" w:rsidRDefault="00576248" w:rsidP="00576248">
      <w:pPr>
        <w:pStyle w:val="Referencelist"/>
        <w:rPr>
          <w:lang w:val="en-US"/>
        </w:rPr>
      </w:pPr>
      <w:r w:rsidRPr="000737B4">
        <w:rPr>
          <w:lang w:val="en-US"/>
        </w:rPr>
        <w:t>IGNATIEV,</w:t>
      </w:r>
      <w:r>
        <w:rPr>
          <w:lang w:val="en-US"/>
        </w:rPr>
        <w:t xml:space="preserve"> V.,</w:t>
      </w:r>
      <w:r w:rsidRPr="000737B4">
        <w:rPr>
          <w:lang w:val="en-US"/>
        </w:rPr>
        <w:t xml:space="preserve"> SURENKOV, </w:t>
      </w:r>
      <w:r>
        <w:rPr>
          <w:lang w:val="en-US"/>
        </w:rPr>
        <w:t xml:space="preserve">A., </w:t>
      </w:r>
      <w:r w:rsidRPr="000737B4">
        <w:rPr>
          <w:lang w:val="en-US"/>
        </w:rPr>
        <w:t>GNIDOI</w:t>
      </w:r>
      <w:r>
        <w:rPr>
          <w:lang w:val="en-US"/>
        </w:rPr>
        <w:t xml:space="preserve">, I. </w:t>
      </w:r>
      <w:proofErr w:type="gramStart"/>
      <w:r>
        <w:rPr>
          <w:lang w:val="en-US"/>
        </w:rPr>
        <w:t>et</w:t>
      </w:r>
      <w:proofErr w:type="gramEnd"/>
      <w:r>
        <w:rPr>
          <w:lang w:val="en-US"/>
        </w:rPr>
        <w:t xml:space="preserve">. </w:t>
      </w:r>
      <w:proofErr w:type="gramStart"/>
      <w:r>
        <w:rPr>
          <w:lang w:val="en-US"/>
        </w:rPr>
        <w:t>al</w:t>
      </w:r>
      <w:proofErr w:type="gramEnd"/>
      <w:r>
        <w:rPr>
          <w:lang w:val="en-US"/>
        </w:rPr>
        <w:t xml:space="preserve">. </w:t>
      </w:r>
      <w:r w:rsidRPr="000737B4">
        <w:rPr>
          <w:lang w:val="en-US"/>
        </w:rPr>
        <w:t>Compatibility of Selected Ni-B</w:t>
      </w:r>
      <w:r w:rsidR="007B29C2">
        <w:rPr>
          <w:lang w:val="en-US"/>
        </w:rPr>
        <w:t>ased Alloys in Molten Li, Na, B</w:t>
      </w:r>
      <w:bookmarkStart w:id="0" w:name="_GoBack"/>
      <w:bookmarkEnd w:id="0"/>
      <w:r w:rsidR="007B29C2">
        <w:rPr>
          <w:lang w:val="en-US"/>
        </w:rPr>
        <w:t>e</w:t>
      </w:r>
      <w:r w:rsidRPr="000737B4">
        <w:rPr>
          <w:lang w:val="en-US"/>
        </w:rPr>
        <w:t>/F Salts with PuF</w:t>
      </w:r>
      <w:r w:rsidRPr="000737B4">
        <w:rPr>
          <w:vertAlign w:val="subscript"/>
          <w:lang w:val="en-US"/>
        </w:rPr>
        <w:t>3</w:t>
      </w:r>
      <w:r w:rsidRPr="000737B4">
        <w:rPr>
          <w:lang w:val="en-US"/>
        </w:rPr>
        <w:t xml:space="preserve"> and Tellurium Additions</w:t>
      </w:r>
      <w:r>
        <w:rPr>
          <w:lang w:val="en-US"/>
        </w:rPr>
        <w:t xml:space="preserve">, </w:t>
      </w:r>
      <w:r w:rsidRPr="000737B4">
        <w:rPr>
          <w:lang w:val="en-US"/>
        </w:rPr>
        <w:t>Nuclear Technology</w:t>
      </w:r>
      <w:r>
        <w:rPr>
          <w:lang w:val="en-US"/>
        </w:rPr>
        <w:t xml:space="preserve">, </w:t>
      </w:r>
      <w:r w:rsidRPr="00576248">
        <w:rPr>
          <w:b/>
          <w:lang w:val="en-US"/>
        </w:rPr>
        <w:t>164</w:t>
      </w:r>
      <w:r>
        <w:rPr>
          <w:lang w:val="en-US"/>
        </w:rPr>
        <w:t xml:space="preserve"> (</w:t>
      </w:r>
      <w:r w:rsidRPr="000737B4">
        <w:rPr>
          <w:lang w:val="en-US"/>
        </w:rPr>
        <w:t>2008</w:t>
      </w:r>
      <w:r>
        <w:rPr>
          <w:lang w:val="en-US"/>
        </w:rPr>
        <w:t xml:space="preserve">), </w:t>
      </w:r>
      <w:r w:rsidRPr="000737B4">
        <w:rPr>
          <w:lang w:val="en-US"/>
        </w:rPr>
        <w:t>130-142.</w:t>
      </w:r>
    </w:p>
    <w:sectPr w:rsidR="00576248" w:rsidRPr="000737B4" w:rsidSect="0026525A">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DAC" w:rsidRDefault="00F22DAC">
      <w:r>
        <w:separator/>
      </w:r>
    </w:p>
  </w:endnote>
  <w:endnote w:type="continuationSeparator" w:id="0">
    <w:p w:rsidR="00F22DAC" w:rsidRDefault="00F22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A11" w:rsidRDefault="00CE1A11">
    <w:pPr>
      <w:pStyle w:val="zyxClassification1"/>
    </w:pPr>
    <w:r>
      <w:fldChar w:fldCharType="begin"/>
    </w:r>
    <w:r>
      <w:instrText xml:space="preserve"> DOCPROPERTY "IaeaClassification"  \* MERGEFORMAT </w:instrText>
    </w:r>
    <w:r>
      <w:fldChar w:fldCharType="end"/>
    </w:r>
  </w:p>
  <w:p w:rsidR="00CE1A11" w:rsidRDefault="00CE1A11">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A11" w:rsidRDefault="00CE1A11">
    <w:pPr>
      <w:pStyle w:val="zyxClassification1"/>
    </w:pPr>
    <w:r>
      <w:fldChar w:fldCharType="begin"/>
    </w:r>
    <w:r>
      <w:instrText xml:space="preserve"> DOCPROPERTY "IaeaClassification"  \* MERGEFORMAT </w:instrText>
    </w:r>
    <w:r>
      <w:fldChar w:fldCharType="end"/>
    </w:r>
  </w:p>
  <w:p w:rsidR="00CE1A11" w:rsidRPr="00037321" w:rsidRDefault="00CE1A1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7B29C2">
      <w:rPr>
        <w:rFonts w:ascii="Times New Roman" w:hAnsi="Times New Roman" w:cs="Times New Roman"/>
        <w:noProof/>
        <w:sz w:val="20"/>
      </w:rPr>
      <w:t>7</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CE1A11">
      <w:trPr>
        <w:cantSplit/>
      </w:trPr>
      <w:tc>
        <w:tcPr>
          <w:tcW w:w="4644" w:type="dxa"/>
        </w:tcPr>
        <w:p w:rsidR="00CE1A11" w:rsidRDefault="00CE1A11">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rsidR="00CE1A11" w:rsidRDefault="00CE1A11">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rsidR="00CE1A11" w:rsidRDefault="00CE1A11">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bookmarkEnd w:id="2"/>
        </w:p>
        <w:p w:rsidR="00CE1A11" w:rsidRDefault="00CE1A11">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rsidR="00CE1A11" w:rsidRDefault="00CE1A11">
    <w:r>
      <w:rPr>
        <w:sz w:val="16"/>
      </w:rPr>
      <w:fldChar w:fldCharType="begin"/>
    </w:r>
    <w:r>
      <w:rPr>
        <w:sz w:val="16"/>
      </w:rPr>
      <w:instrText xml:space="preserve"> FILENAME \* MERGEFORMAT </w:instrText>
    </w:r>
    <w:r>
      <w:rPr>
        <w:sz w:val="16"/>
      </w:rPr>
      <w:fldChar w:fldCharType="separate"/>
    </w:r>
    <w:r>
      <w:rPr>
        <w:noProof/>
        <w:sz w:val="16"/>
      </w:rPr>
      <w:t>Example paper.docx</w:t>
    </w:r>
    <w:r>
      <w:rPr>
        <w:sz w:val="16"/>
      </w:rPr>
      <w:fldChar w:fldCharType="end"/>
    </w:r>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DAC" w:rsidRDefault="00F22DAC">
      <w:r>
        <w:t>___________________________________________________________________________</w:t>
      </w:r>
    </w:p>
  </w:footnote>
  <w:footnote w:type="continuationSeparator" w:id="0">
    <w:p w:rsidR="00F22DAC" w:rsidRDefault="00F22DAC">
      <w:r>
        <w:t>___________________________________________________________________________</w:t>
      </w:r>
    </w:p>
  </w:footnote>
  <w:footnote w:type="continuationNotice" w:id="1">
    <w:p w:rsidR="00F22DAC" w:rsidRDefault="00F22D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A11" w:rsidRDefault="00CE1A11" w:rsidP="00CF7AF3">
    <w:pPr>
      <w:pStyle w:val="Runninghead"/>
    </w:pPr>
    <w:r>
      <w:tab/>
      <w:t>FR21: IAEA-CN-291/234</w:t>
    </w:r>
  </w:p>
  <w:p w:rsidR="00CE1A11" w:rsidRDefault="00CE1A11" w:rsidP="00CF7AF3">
    <w:pPr>
      <w:pStyle w:val="zyxClassification1"/>
      <w:tabs>
        <w:tab w:val="left" w:pos="3956"/>
        <w:tab w:val="right" w:pos="9071"/>
      </w:tabs>
      <w:jc w:val="left"/>
    </w:pPr>
    <w:r>
      <w:tab/>
    </w:r>
    <w:r>
      <w:fldChar w:fldCharType="begin"/>
    </w:r>
    <w:r>
      <w:instrText xml:space="preserve"> DOCPROPERTY "IaeaClassification"  \* MERGEFORMAT </w:instrText>
    </w:r>
    <w:r>
      <w:fldChar w:fldCharType="end"/>
    </w:r>
  </w:p>
  <w:p w:rsidR="00CE1A11" w:rsidRDefault="00CE1A11">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A11" w:rsidRPr="00DD0FA0" w:rsidRDefault="00CE1A11" w:rsidP="00037321">
    <w:pPr>
      <w:jc w:val="center"/>
      <w:rPr>
        <w:b/>
        <w:color w:val="BFBFBF" w:themeColor="background1" w:themeShade="BF"/>
        <w:sz w:val="16"/>
        <w:szCs w:val="16"/>
      </w:rPr>
    </w:pPr>
    <w:r w:rsidRPr="00DD0FA0">
      <w:rPr>
        <w:b/>
        <w:sz w:val="16"/>
        <w:szCs w:val="16"/>
        <w:lang w:val="en-US"/>
      </w:rPr>
      <w:t xml:space="preserve">M.N. BELONOGOV </w:t>
    </w:r>
    <w:r>
      <w:rPr>
        <w:b/>
        <w:sz w:val="16"/>
        <w:szCs w:val="16"/>
        <w:lang w:val="en-US"/>
      </w:rPr>
      <w:t>et 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CE1A11">
      <w:trPr>
        <w:cantSplit/>
        <w:trHeight w:val="716"/>
      </w:trPr>
      <w:tc>
        <w:tcPr>
          <w:tcW w:w="979" w:type="dxa"/>
          <w:vMerge w:val="restart"/>
        </w:tcPr>
        <w:p w:rsidR="00CE1A11" w:rsidRDefault="00CE1A11">
          <w:pPr>
            <w:spacing w:before="180"/>
            <w:ind w:left="17"/>
          </w:pPr>
        </w:p>
      </w:tc>
      <w:tc>
        <w:tcPr>
          <w:tcW w:w="3638" w:type="dxa"/>
          <w:vAlign w:val="bottom"/>
        </w:tcPr>
        <w:p w:rsidR="00CE1A11" w:rsidRDefault="00CE1A11">
          <w:pPr>
            <w:spacing w:after="20"/>
          </w:pPr>
        </w:p>
      </w:tc>
      <w:bookmarkStart w:id="1" w:name="DOC_bkmClassification1"/>
      <w:tc>
        <w:tcPr>
          <w:tcW w:w="5702" w:type="dxa"/>
          <w:vMerge w:val="restart"/>
          <w:tcMar>
            <w:right w:w="193" w:type="dxa"/>
          </w:tcMar>
        </w:tcPr>
        <w:p w:rsidR="00CE1A11" w:rsidRDefault="00CE1A11">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bookmarkEnd w:id="1"/>
        </w:p>
        <w:p w:rsidR="00CE1A11" w:rsidRDefault="00CE1A11">
          <w:pPr>
            <w:pStyle w:val="zyxConfid2Red"/>
          </w:pPr>
          <w:r>
            <w:fldChar w:fldCharType="begin"/>
          </w:r>
          <w:r>
            <w:instrText>DOCPROPERTY "IaeaClassification2"  \* MERGEFORMAT</w:instrText>
          </w:r>
          <w:r>
            <w:fldChar w:fldCharType="end"/>
          </w:r>
        </w:p>
      </w:tc>
    </w:tr>
    <w:tr w:rsidR="00CE1A11">
      <w:trPr>
        <w:cantSplit/>
        <w:trHeight w:val="167"/>
      </w:trPr>
      <w:tc>
        <w:tcPr>
          <w:tcW w:w="979" w:type="dxa"/>
          <w:vMerge/>
        </w:tcPr>
        <w:p w:rsidR="00CE1A11" w:rsidRDefault="00CE1A11">
          <w:pPr>
            <w:spacing w:before="57"/>
          </w:pPr>
        </w:p>
      </w:tc>
      <w:tc>
        <w:tcPr>
          <w:tcW w:w="3638" w:type="dxa"/>
          <w:vAlign w:val="bottom"/>
        </w:tcPr>
        <w:p w:rsidR="00CE1A11" w:rsidRDefault="00CE1A11">
          <w:pPr>
            <w:pStyle w:val="9"/>
            <w:spacing w:before="0" w:after="10"/>
          </w:pPr>
        </w:p>
      </w:tc>
      <w:tc>
        <w:tcPr>
          <w:tcW w:w="5702" w:type="dxa"/>
          <w:vMerge/>
          <w:vAlign w:val="bottom"/>
        </w:tcPr>
        <w:p w:rsidR="00CE1A11" w:rsidRDefault="00CE1A11">
          <w:pPr>
            <w:pStyle w:val="9"/>
            <w:spacing w:before="0" w:after="10"/>
          </w:pPr>
        </w:p>
      </w:tc>
    </w:tr>
  </w:tbl>
  <w:p w:rsidR="00CE1A11" w:rsidRDefault="00CE1A1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nsid w:val="127D0959"/>
    <w:multiLevelType w:val="hybridMultilevel"/>
    <w:tmpl w:val="B55CF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nsid w:val="58F87524"/>
    <w:multiLevelType w:val="hybridMultilevel"/>
    <w:tmpl w:val="4724C40E"/>
    <w:lvl w:ilvl="0" w:tplc="244A9884">
      <w:start w:val="1"/>
      <w:numFmt w:val="lowerLetter"/>
      <w:lvlText w:val="(%1)"/>
      <w:lvlJc w:val="left"/>
      <w:pPr>
        <w:ind w:left="928" w:hanging="360"/>
      </w:pPr>
      <w:rPr>
        <w:rFont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59B36D38"/>
    <w:multiLevelType w:val="hybridMultilevel"/>
    <w:tmpl w:val="7D0A8976"/>
    <w:lvl w:ilvl="0" w:tplc="244A9884">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2"/>
      <w:suff w:val="space"/>
      <w:lvlText w:val="%1%2."/>
      <w:lvlJc w:val="left"/>
      <w:pPr>
        <w:ind w:left="0" w:firstLine="0"/>
      </w:pPr>
      <w:rPr>
        <w:rFonts w:hint="default"/>
        <w:color w:val="auto"/>
      </w:rPr>
    </w:lvl>
    <w:lvl w:ilvl="2">
      <w:start w:val="1"/>
      <w:numFmt w:val="decimal"/>
      <w:lvlRestart w:val="0"/>
      <w:pStyle w:val="3"/>
      <w:lvlText w:val="%1%2.%3."/>
      <w:lvlJc w:val="left"/>
      <w:pPr>
        <w:ind w:left="0" w:firstLine="0"/>
      </w:pPr>
      <w:rPr>
        <w:rFonts w:hint="default"/>
      </w:rPr>
    </w:lvl>
    <w:lvl w:ilvl="3">
      <w:start w:val="1"/>
      <w:numFmt w:val="decimal"/>
      <w:lvlRestart w:val="0"/>
      <w:pStyle w:val="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4">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5"/>
  </w:num>
  <w:num w:numId="3">
    <w:abstractNumId w:val="13"/>
  </w:num>
  <w:num w:numId="4">
    <w:abstractNumId w:val="13"/>
  </w:num>
  <w:num w:numId="5">
    <w:abstractNumId w:val="13"/>
  </w:num>
  <w:num w:numId="6">
    <w:abstractNumId w:val="6"/>
  </w:num>
  <w:num w:numId="7">
    <w:abstractNumId w:val="11"/>
  </w:num>
  <w:num w:numId="8">
    <w:abstractNumId w:val="14"/>
  </w:num>
  <w:num w:numId="9">
    <w:abstractNumId w:val="1"/>
  </w:num>
  <w:num w:numId="10">
    <w:abstractNumId w:val="13"/>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lvlText w:val="%1%2."/>
        <w:lvlJc w:val="left"/>
        <w:pPr>
          <w:ind w:left="0" w:firstLine="0"/>
        </w:pPr>
        <w:rPr>
          <w:rFonts w:hint="default"/>
          <w:color w:val="auto"/>
        </w:rPr>
      </w:lvl>
    </w:lvlOverride>
    <w:lvlOverride w:ilvl="2">
      <w:lvl w:ilvl="2">
        <w:start w:val="1"/>
        <w:numFmt w:val="decimal"/>
        <w:lvlRestart w:val="0"/>
        <w:pStyle w:val="3"/>
        <w:lvlText w:val="%1%2.%3."/>
        <w:lvlJc w:val="left"/>
        <w:pPr>
          <w:ind w:left="0" w:firstLine="0"/>
        </w:pPr>
        <w:rPr>
          <w:rFonts w:hint="default"/>
        </w:rPr>
      </w:lvl>
    </w:lvlOverride>
    <w:lvlOverride w:ilvl="3">
      <w:lvl w:ilvl="3">
        <w:start w:val="1"/>
        <w:numFmt w:val="none"/>
        <w:lvlRestart w:val="0"/>
        <w:pStyle w:val="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3"/>
  </w:num>
  <w:num w:numId="12">
    <w:abstractNumId w:val="13"/>
  </w:num>
  <w:num w:numId="13">
    <w:abstractNumId w:val="13"/>
  </w:num>
  <w:num w:numId="14">
    <w:abstractNumId w:val="13"/>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suff w:val="space"/>
        <w:lvlText w:val="%1%2."/>
        <w:lvlJc w:val="left"/>
        <w:pPr>
          <w:ind w:left="0" w:firstLine="0"/>
        </w:pPr>
        <w:rPr>
          <w:rFonts w:hint="default"/>
          <w:color w:val="auto"/>
        </w:rPr>
      </w:lvl>
    </w:lvlOverride>
    <w:lvlOverride w:ilvl="2">
      <w:lvl w:ilvl="2">
        <w:start w:val="1"/>
        <w:numFmt w:val="decimal"/>
        <w:lvlRestart w:val="0"/>
        <w:pStyle w:val="3"/>
        <w:suff w:val="space"/>
        <w:lvlText w:val="%1%2.%3."/>
        <w:lvlJc w:val="left"/>
        <w:pPr>
          <w:ind w:left="0" w:firstLine="0"/>
        </w:pPr>
        <w:rPr>
          <w:rFonts w:hint="default"/>
        </w:rPr>
      </w:lvl>
    </w:lvlOverride>
    <w:lvlOverride w:ilvl="3">
      <w:lvl w:ilvl="3">
        <w:start w:val="1"/>
        <w:numFmt w:val="decimal"/>
        <w:lvlRestart w:val="0"/>
        <w:pStyle w:val="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3"/>
  </w:num>
  <w:num w:numId="16">
    <w:abstractNumId w:val="13"/>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3"/>
  </w:num>
  <w:num w:numId="21">
    <w:abstractNumId w:val="13"/>
  </w:num>
  <w:num w:numId="22">
    <w:abstractNumId w:val="4"/>
  </w:num>
  <w:num w:numId="23">
    <w:abstractNumId w:val="0"/>
  </w:num>
  <w:num w:numId="24">
    <w:abstractNumId w:val="12"/>
  </w:num>
  <w:num w:numId="25">
    <w:abstractNumId w:val="13"/>
  </w:num>
  <w:num w:numId="26">
    <w:abstractNumId w:val="13"/>
  </w:num>
  <w:num w:numId="27">
    <w:abstractNumId w:val="13"/>
  </w:num>
  <w:num w:numId="28">
    <w:abstractNumId w:val="13"/>
  </w:num>
  <w:num w:numId="29">
    <w:abstractNumId w:val="13"/>
  </w:num>
  <w:num w:numId="30">
    <w:abstractNumId w:val="7"/>
  </w:num>
  <w:num w:numId="31">
    <w:abstractNumId w:val="7"/>
  </w:num>
  <w:num w:numId="32">
    <w:abstractNumId w:val="13"/>
  </w:num>
  <w:num w:numId="33">
    <w:abstractNumId w:val="13"/>
  </w:num>
  <w:num w:numId="34">
    <w:abstractNumId w:val="13"/>
  </w:num>
  <w:num w:numId="35">
    <w:abstractNumId w:val="10"/>
  </w:num>
  <w:num w:numId="36">
    <w:abstractNumId w:val="9"/>
  </w:num>
  <w:num w:numId="37">
    <w:abstractNumId w:val="2"/>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ru-RU" w:vendorID="64" w:dllVersion="131078"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2"/>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229AB"/>
    <w:rsid w:val="0002569A"/>
    <w:rsid w:val="00037321"/>
    <w:rsid w:val="00085469"/>
    <w:rsid w:val="00093A64"/>
    <w:rsid w:val="000A0299"/>
    <w:rsid w:val="000A2990"/>
    <w:rsid w:val="000C4332"/>
    <w:rsid w:val="000F0B7E"/>
    <w:rsid w:val="000F7E94"/>
    <w:rsid w:val="001119D6"/>
    <w:rsid w:val="00127E32"/>
    <w:rsid w:val="001308F2"/>
    <w:rsid w:val="00130EF5"/>
    <w:rsid w:val="001313E8"/>
    <w:rsid w:val="001657C8"/>
    <w:rsid w:val="00166F7D"/>
    <w:rsid w:val="00183BC4"/>
    <w:rsid w:val="001A2BE0"/>
    <w:rsid w:val="001B191E"/>
    <w:rsid w:val="001C58F5"/>
    <w:rsid w:val="001D5CEE"/>
    <w:rsid w:val="001E6C29"/>
    <w:rsid w:val="001F5945"/>
    <w:rsid w:val="0020244A"/>
    <w:rsid w:val="002071D9"/>
    <w:rsid w:val="00215130"/>
    <w:rsid w:val="0022012A"/>
    <w:rsid w:val="00225690"/>
    <w:rsid w:val="00250BF2"/>
    <w:rsid w:val="00256822"/>
    <w:rsid w:val="0026525A"/>
    <w:rsid w:val="00274790"/>
    <w:rsid w:val="00275B5A"/>
    <w:rsid w:val="00285755"/>
    <w:rsid w:val="00291B0B"/>
    <w:rsid w:val="00296A8D"/>
    <w:rsid w:val="002A1F9C"/>
    <w:rsid w:val="002B29C2"/>
    <w:rsid w:val="002B301B"/>
    <w:rsid w:val="002C29DB"/>
    <w:rsid w:val="002C4208"/>
    <w:rsid w:val="002D7C63"/>
    <w:rsid w:val="00342342"/>
    <w:rsid w:val="00352DE1"/>
    <w:rsid w:val="003557F4"/>
    <w:rsid w:val="00370087"/>
    <w:rsid w:val="003728E6"/>
    <w:rsid w:val="00394223"/>
    <w:rsid w:val="003A18E7"/>
    <w:rsid w:val="003B5E0E"/>
    <w:rsid w:val="003D255A"/>
    <w:rsid w:val="003E0F98"/>
    <w:rsid w:val="003E217D"/>
    <w:rsid w:val="003F4E81"/>
    <w:rsid w:val="003F560E"/>
    <w:rsid w:val="00401456"/>
    <w:rsid w:val="00411851"/>
    <w:rsid w:val="00416949"/>
    <w:rsid w:val="004220BD"/>
    <w:rsid w:val="00434857"/>
    <w:rsid w:val="00436142"/>
    <w:rsid w:val="004370D8"/>
    <w:rsid w:val="00440105"/>
    <w:rsid w:val="00454FB3"/>
    <w:rsid w:val="00472C43"/>
    <w:rsid w:val="004B11F8"/>
    <w:rsid w:val="004B1EAC"/>
    <w:rsid w:val="004C6121"/>
    <w:rsid w:val="00537496"/>
    <w:rsid w:val="00543563"/>
    <w:rsid w:val="00544ED3"/>
    <w:rsid w:val="0055211B"/>
    <w:rsid w:val="00576248"/>
    <w:rsid w:val="0058477B"/>
    <w:rsid w:val="0058654F"/>
    <w:rsid w:val="0059281C"/>
    <w:rsid w:val="00596ACA"/>
    <w:rsid w:val="005D0E15"/>
    <w:rsid w:val="005D1E1C"/>
    <w:rsid w:val="005E39BC"/>
    <w:rsid w:val="005F00A0"/>
    <w:rsid w:val="006122F4"/>
    <w:rsid w:val="00647F33"/>
    <w:rsid w:val="00651FF8"/>
    <w:rsid w:val="00660E41"/>
    <w:rsid w:val="00662532"/>
    <w:rsid w:val="006B2274"/>
    <w:rsid w:val="00703D96"/>
    <w:rsid w:val="0070466D"/>
    <w:rsid w:val="00717C6F"/>
    <w:rsid w:val="007328ED"/>
    <w:rsid w:val="007445DA"/>
    <w:rsid w:val="0074744C"/>
    <w:rsid w:val="00755348"/>
    <w:rsid w:val="00797350"/>
    <w:rsid w:val="007B29C2"/>
    <w:rsid w:val="007B4FD1"/>
    <w:rsid w:val="007F768B"/>
    <w:rsid w:val="00802381"/>
    <w:rsid w:val="0082597D"/>
    <w:rsid w:val="0083096A"/>
    <w:rsid w:val="00845563"/>
    <w:rsid w:val="008668EB"/>
    <w:rsid w:val="0086759F"/>
    <w:rsid w:val="00871F40"/>
    <w:rsid w:val="00883848"/>
    <w:rsid w:val="0089422E"/>
    <w:rsid w:val="00897ED5"/>
    <w:rsid w:val="008B6BB9"/>
    <w:rsid w:val="008F0E63"/>
    <w:rsid w:val="00904D98"/>
    <w:rsid w:val="00911543"/>
    <w:rsid w:val="00923EC1"/>
    <w:rsid w:val="009519C9"/>
    <w:rsid w:val="00985F65"/>
    <w:rsid w:val="0099550A"/>
    <w:rsid w:val="00996E06"/>
    <w:rsid w:val="009975EC"/>
    <w:rsid w:val="009B59F6"/>
    <w:rsid w:val="009C43FB"/>
    <w:rsid w:val="009D0B86"/>
    <w:rsid w:val="009D4CD2"/>
    <w:rsid w:val="009E0D5B"/>
    <w:rsid w:val="009E1558"/>
    <w:rsid w:val="009F23C4"/>
    <w:rsid w:val="00A07467"/>
    <w:rsid w:val="00A233D1"/>
    <w:rsid w:val="00A3140F"/>
    <w:rsid w:val="00A42898"/>
    <w:rsid w:val="00A57919"/>
    <w:rsid w:val="00AB6ACE"/>
    <w:rsid w:val="00AC58FE"/>
    <w:rsid w:val="00AC5A3A"/>
    <w:rsid w:val="00AF1CAD"/>
    <w:rsid w:val="00B1642B"/>
    <w:rsid w:val="00B604BE"/>
    <w:rsid w:val="00B82FA5"/>
    <w:rsid w:val="00B91E92"/>
    <w:rsid w:val="00BD1400"/>
    <w:rsid w:val="00BD605C"/>
    <w:rsid w:val="00BE2A76"/>
    <w:rsid w:val="00BE37FA"/>
    <w:rsid w:val="00C1299A"/>
    <w:rsid w:val="00C54F0C"/>
    <w:rsid w:val="00C65E60"/>
    <w:rsid w:val="00C840AD"/>
    <w:rsid w:val="00C90F42"/>
    <w:rsid w:val="00CA0102"/>
    <w:rsid w:val="00CA2E48"/>
    <w:rsid w:val="00CB163A"/>
    <w:rsid w:val="00CE1A11"/>
    <w:rsid w:val="00CE5A52"/>
    <w:rsid w:val="00CF7AF3"/>
    <w:rsid w:val="00D26ADA"/>
    <w:rsid w:val="00D35A78"/>
    <w:rsid w:val="00D555A1"/>
    <w:rsid w:val="00D64DC2"/>
    <w:rsid w:val="00D73C87"/>
    <w:rsid w:val="00D900BD"/>
    <w:rsid w:val="00D93690"/>
    <w:rsid w:val="00DA46CA"/>
    <w:rsid w:val="00DA6F0D"/>
    <w:rsid w:val="00DC4464"/>
    <w:rsid w:val="00DC6A20"/>
    <w:rsid w:val="00DD0FA0"/>
    <w:rsid w:val="00DD370C"/>
    <w:rsid w:val="00DE1B64"/>
    <w:rsid w:val="00DF21EB"/>
    <w:rsid w:val="00E20E70"/>
    <w:rsid w:val="00E25B68"/>
    <w:rsid w:val="00E67D7D"/>
    <w:rsid w:val="00E806DD"/>
    <w:rsid w:val="00E81DAB"/>
    <w:rsid w:val="00E84003"/>
    <w:rsid w:val="00EA1DB9"/>
    <w:rsid w:val="00EC10FC"/>
    <w:rsid w:val="00ED0A99"/>
    <w:rsid w:val="00ED65A1"/>
    <w:rsid w:val="00EE0041"/>
    <w:rsid w:val="00EE29B9"/>
    <w:rsid w:val="00F004EE"/>
    <w:rsid w:val="00F22DAC"/>
    <w:rsid w:val="00F42E23"/>
    <w:rsid w:val="00F45EEE"/>
    <w:rsid w:val="00F51E9C"/>
    <w:rsid w:val="00F523CA"/>
    <w:rsid w:val="00F62BA6"/>
    <w:rsid w:val="00F64824"/>
    <w:rsid w:val="00F74A9D"/>
    <w:rsid w:val="00FA5D57"/>
    <w:rsid w:val="00FB7FFB"/>
    <w:rsid w:val="00FF386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49" w:defSemiHidden="1" w:defUnhideWhenUsed="1" w:defQFormat="0" w:count="267">
    <w:lsdException w:name="Normal" w:locked="0" w:semiHidden="0" w:unhideWhenUsed="0"/>
    <w:lsdException w:name="heading 1" w:locked="0" w:semiHidden="0" w:uiPriority="0" w:unhideWhenUsed="0" w:qFormat="1"/>
    <w:lsdException w:name="heading 2" w:locked="0" w:semiHidden="0" w:uiPriority="4" w:unhideWhenUsed="0" w:qFormat="1"/>
    <w:lsdException w:name="heading 3" w:locked="0" w:semiHidden="0" w:uiPriority="4" w:unhideWhenUsed="0" w:qFormat="1"/>
    <w:lsdException w:name="heading 4" w:locked="0" w:semiHidden="0" w:uiPriority="0" w:unhideWhenUsed="0" w:qFormat="1"/>
    <w:lsdException w:name="heading 5" w:locked="0" w:semiHidden="0" w:uiPriority="0" w:unhideWhenUsed="0"/>
    <w:lsdException w:name="heading 6" w:locked="0" w:semiHidden="0" w:uiPriority="0" w:unhideWhenUsed="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uiPriority="0"/>
    <w:lsdException w:name="footnote reference" w:locked="0" w:uiPriority="0"/>
    <w:lsdException w:name="List Bullet" w:locked="0"/>
    <w:lsdException w:name="List Number" w:semiHidden="0" w:unhideWhenUsed="0"/>
    <w:lsdException w:name="List 4" w:semiHidden="0" w:unhideWhenUsed="0"/>
    <w:lsdException w:name="List 5" w:semiHidden="0" w:unhideWhenUsed="0"/>
    <w:lsdException w:name="Title" w:locked="0" w:semiHidden="0" w:uiPriority="0" w:unhideWhenUsed="0"/>
    <w:lsdException w:name="Default Paragraph Font" w:locked="0" w:uiPriority="0"/>
    <w:lsdException w:name="Body Text" w:locked="0" w:uiPriority="0" w:qFormat="1"/>
    <w:lsdException w:name="Body Text Indent" w:locked="0" w:uiPriority="0"/>
    <w:lsdException w:name="Subtitle" w:locked="0" w:semiHidden="0" w:uiPriority="0" w:unhideWhenUsed="0" w:qFormat="1"/>
    <w:lsdException w:name="Salutation" w:semiHidden="0" w:unhideWhenUsed="0"/>
    <w:lsdException w:name="Date" w:semiHidden="0" w:unhideWhenUsed="0"/>
    <w:lsdException w:name="Body Text First Indent" w:semiHidden="0" w:unhideWhenUsed="0"/>
    <w:lsdException w:name="Hyperlink" w:uiPriority="0"/>
    <w:lsdException w:name="Strong" w:semiHidden="0" w:unhideWhenUsed="0"/>
    <w:lsdException w:name="Emphasis" w:semiHidden="0" w:unhideWhenUsed="0"/>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locked="0" w:semiHidden="0" w:uiPriority="0" w:unhideWhenUsed="0"/>
    <w:lsdException w:name="Table Theme" w:uiPriority="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a">
    <w:name w:val="Normal"/>
    <w:uiPriority w:val="49"/>
    <w:rsid w:val="00CF7AF3"/>
    <w:pPr>
      <w:overflowPunct w:val="0"/>
      <w:autoSpaceDE w:val="0"/>
      <w:autoSpaceDN w:val="0"/>
      <w:adjustRightInd w:val="0"/>
      <w:textAlignment w:val="baseline"/>
    </w:pPr>
    <w:rPr>
      <w:sz w:val="22"/>
      <w:lang w:eastAsia="en-US"/>
    </w:rPr>
  </w:style>
  <w:style w:type="paragraph" w:styleId="1">
    <w:name w:val="heading 1"/>
    <w:aliases w:val="Paper title"/>
    <w:next w:val="a0"/>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2">
    <w:name w:val="heading 2"/>
    <w:aliases w:val="1st level paper heading"/>
    <w:next w:val="a1"/>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3">
    <w:name w:val="heading 3"/>
    <w:aliases w:val="2nd level paper heading"/>
    <w:next w:val="a1"/>
    <w:uiPriority w:val="4"/>
    <w:qFormat/>
    <w:rsid w:val="00897ED5"/>
    <w:pPr>
      <w:widowControl w:val="0"/>
      <w:numPr>
        <w:ilvl w:val="2"/>
        <w:numId w:val="12"/>
      </w:numPr>
      <w:spacing w:before="240" w:after="240" w:line="240" w:lineRule="exact"/>
      <w:outlineLvl w:val="2"/>
    </w:pPr>
    <w:rPr>
      <w:b/>
      <w:lang w:eastAsia="en-US"/>
    </w:rPr>
  </w:style>
  <w:style w:type="paragraph" w:styleId="4">
    <w:name w:val="heading 4"/>
    <w:aliases w:val="3rd level paper heading"/>
    <w:basedOn w:val="a"/>
    <w:next w:val="a1"/>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5">
    <w:name w:val="heading 5"/>
    <w:basedOn w:val="a"/>
    <w:next w:val="a"/>
    <w:uiPriority w:val="19"/>
    <w:locked/>
    <w:rsid w:val="00EA1DB9"/>
    <w:pPr>
      <w:overflowPunct/>
      <w:autoSpaceDE/>
      <w:autoSpaceDN/>
      <w:adjustRightInd/>
      <w:spacing w:before="240" w:after="60"/>
      <w:textAlignment w:val="auto"/>
      <w:outlineLvl w:val="4"/>
    </w:pPr>
    <w:rPr>
      <w:b/>
      <w:bCs/>
      <w:i/>
      <w:iCs/>
      <w:sz w:val="26"/>
      <w:szCs w:val="26"/>
      <w:lang w:val="en-US"/>
    </w:rPr>
  </w:style>
  <w:style w:type="paragraph" w:styleId="6">
    <w:name w:val="heading 6"/>
    <w:basedOn w:val="a"/>
    <w:next w:val="a"/>
    <w:uiPriority w:val="19"/>
    <w:locked/>
    <w:rsid w:val="00EA1DB9"/>
    <w:pPr>
      <w:overflowPunct/>
      <w:autoSpaceDE/>
      <w:autoSpaceDN/>
      <w:adjustRightInd/>
      <w:spacing w:before="240" w:after="60"/>
      <w:textAlignment w:val="auto"/>
      <w:outlineLvl w:val="5"/>
    </w:pPr>
    <w:rPr>
      <w:b/>
      <w:bCs/>
      <w:szCs w:val="22"/>
      <w:lang w:val="en-US"/>
    </w:rPr>
  </w:style>
  <w:style w:type="paragraph" w:styleId="7">
    <w:name w:val="heading 7"/>
    <w:basedOn w:val="a"/>
    <w:next w:val="a"/>
    <w:uiPriority w:val="19"/>
    <w:locked/>
    <w:rsid w:val="00EA1DB9"/>
    <w:pPr>
      <w:overflowPunct/>
      <w:autoSpaceDE/>
      <w:autoSpaceDN/>
      <w:adjustRightInd/>
      <w:spacing w:before="240" w:after="60"/>
      <w:textAlignment w:val="auto"/>
      <w:outlineLvl w:val="6"/>
    </w:pPr>
    <w:rPr>
      <w:szCs w:val="24"/>
      <w:lang w:val="en-US"/>
    </w:rPr>
  </w:style>
  <w:style w:type="paragraph" w:styleId="8">
    <w:name w:val="heading 8"/>
    <w:basedOn w:val="a"/>
    <w:next w:val="a"/>
    <w:uiPriority w:val="19"/>
    <w:locked/>
    <w:rsid w:val="00EA1DB9"/>
    <w:pPr>
      <w:overflowPunct/>
      <w:autoSpaceDE/>
      <w:autoSpaceDN/>
      <w:adjustRightInd/>
      <w:spacing w:before="240" w:after="60"/>
      <w:textAlignment w:val="auto"/>
      <w:outlineLvl w:val="7"/>
    </w:pPr>
    <w:rPr>
      <w:i/>
      <w:iCs/>
      <w:szCs w:val="24"/>
      <w:lang w:val="en-US"/>
    </w:rPr>
  </w:style>
  <w:style w:type="paragraph" w:styleId="9">
    <w:name w:val="heading 9"/>
    <w:basedOn w:val="a"/>
    <w:next w:val="a"/>
    <w:uiPriority w:val="19"/>
    <w:locked/>
    <w:rsid w:val="00EA1DB9"/>
    <w:pPr>
      <w:overflowPunct/>
      <w:autoSpaceDE/>
      <w:autoSpaceDN/>
      <w:adjustRightInd/>
      <w:spacing w:before="240" w:after="60"/>
      <w:textAlignment w:val="auto"/>
      <w:outlineLvl w:val="8"/>
    </w:pPr>
    <w:rPr>
      <w:rFonts w:ascii="Arial" w:hAnsi="Arial" w:cs="Arial"/>
      <w:szCs w:val="22"/>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link w:val="a5"/>
    <w:qFormat/>
    <w:rsid w:val="00647F33"/>
    <w:pPr>
      <w:spacing w:line="260" w:lineRule="atLeast"/>
      <w:ind w:firstLine="567"/>
      <w:contextualSpacing/>
      <w:jc w:val="both"/>
    </w:pPr>
    <w:rPr>
      <w:lang w:eastAsia="en-US"/>
    </w:rPr>
  </w:style>
  <w:style w:type="paragraph" w:styleId="a6">
    <w:name w:val="Body Text Indent"/>
    <w:basedOn w:val="a1"/>
    <w:uiPriority w:val="49"/>
    <w:locked/>
    <w:rsid w:val="00EA1DB9"/>
    <w:pPr>
      <w:ind w:left="1134" w:hanging="675"/>
    </w:pPr>
  </w:style>
  <w:style w:type="paragraph" w:customStyle="1" w:styleId="BodyTextMultiline">
    <w:name w:val="Body Text Multiline"/>
    <w:basedOn w:val="a1"/>
    <w:locked/>
    <w:rsid w:val="00EA1DB9"/>
    <w:pPr>
      <w:numPr>
        <w:numId w:val="1"/>
      </w:numPr>
    </w:pPr>
  </w:style>
  <w:style w:type="paragraph" w:customStyle="1" w:styleId="BodyTextSummary">
    <w:name w:val="Body Text Summary"/>
    <w:uiPriority w:val="49"/>
    <w:locked/>
    <w:rsid w:val="00EA1DB9"/>
    <w:pPr>
      <w:numPr>
        <w:numId w:val="2"/>
      </w:numPr>
      <w:tabs>
        <w:tab w:val="clear" w:pos="720"/>
      </w:tabs>
      <w:spacing w:after="170" w:line="280" w:lineRule="atLeast"/>
      <w:ind w:left="572" w:hanging="459"/>
      <w:jc w:val="both"/>
    </w:pPr>
    <w:rPr>
      <w:sz w:val="22"/>
      <w:szCs w:val="22"/>
      <w:lang w:eastAsia="en-US"/>
    </w:rPr>
  </w:style>
  <w:style w:type="paragraph" w:styleId="a7">
    <w:name w:val="caption"/>
    <w:next w:val="a"/>
    <w:uiPriority w:val="49"/>
    <w:rsid w:val="00EA1DB9"/>
    <w:pPr>
      <w:spacing w:after="85"/>
    </w:pPr>
    <w:rPr>
      <w:bCs/>
      <w:sz w:val="18"/>
      <w:lang w:val="en-US" w:eastAsia="en-US"/>
    </w:rPr>
  </w:style>
  <w:style w:type="paragraph" w:styleId="a8">
    <w:name w:val="footer"/>
    <w:basedOn w:val="a"/>
    <w:link w:val="a9"/>
    <w:uiPriority w:val="99"/>
    <w:locked/>
    <w:rsid w:val="00EA1DB9"/>
    <w:pPr>
      <w:overflowPunct/>
      <w:autoSpaceDE/>
      <w:autoSpaceDN/>
      <w:adjustRightInd/>
      <w:textAlignment w:val="auto"/>
    </w:pPr>
    <w:rPr>
      <w:sz w:val="2"/>
      <w:lang w:val="en-US"/>
    </w:rPr>
  </w:style>
  <w:style w:type="paragraph" w:styleId="aa">
    <w:name w:val="footnote text"/>
    <w:semiHidden/>
    <w:locked/>
    <w:rsid w:val="00EA1DB9"/>
    <w:pPr>
      <w:tabs>
        <w:tab w:val="left" w:pos="459"/>
      </w:tabs>
      <w:spacing w:before="142"/>
      <w:ind w:left="459"/>
      <w:jc w:val="both"/>
    </w:pPr>
    <w:rPr>
      <w:sz w:val="18"/>
      <w:lang w:eastAsia="en-US"/>
    </w:rPr>
  </w:style>
  <w:style w:type="paragraph" w:styleId="ab">
    <w:name w:val="header"/>
    <w:next w:val="a1"/>
    <w:uiPriority w:val="49"/>
    <w:locked/>
    <w:rsid w:val="00EA1DB9"/>
    <w:pPr>
      <w:spacing w:after="85"/>
    </w:pPr>
    <w:rPr>
      <w:sz w:val="18"/>
      <w:lang w:val="en-US" w:eastAsia="en-US"/>
    </w:rPr>
  </w:style>
  <w:style w:type="paragraph" w:customStyle="1" w:styleId="ListBulleted">
    <w:name w:val="List Bulleted"/>
    <w:uiPriority w:val="7"/>
    <w:qFormat/>
    <w:locked/>
    <w:rsid w:val="00EA1DB9"/>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a1"/>
    <w:uiPriority w:val="6"/>
    <w:qFormat/>
    <w:rsid w:val="00717C6F"/>
    <w:pPr>
      <w:numPr>
        <w:numId w:val="20"/>
      </w:numPr>
      <w:ind w:left="709"/>
    </w:pPr>
  </w:style>
  <w:style w:type="paragraph" w:customStyle="1" w:styleId="ListNumbered">
    <w:name w:val="List Numbered"/>
    <w:basedOn w:val="a1"/>
    <w:uiPriority w:val="5"/>
    <w:qFormat/>
    <w:locked/>
    <w:rsid w:val="00717C6F"/>
    <w:pPr>
      <w:numPr>
        <w:numId w:val="22"/>
      </w:numPr>
    </w:pPr>
  </w:style>
  <w:style w:type="paragraph" w:styleId="ac">
    <w:name w:val="Title"/>
    <w:uiPriority w:val="2"/>
    <w:locked/>
    <w:rsid w:val="00EA1DB9"/>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a"/>
    <w:uiPriority w:val="49"/>
    <w:locked/>
    <w:rsid w:val="00EA1DB9"/>
    <w:pPr>
      <w:spacing w:after="20" w:line="220" w:lineRule="exact"/>
      <w:jc w:val="right"/>
    </w:pPr>
    <w:rPr>
      <w:rFonts w:ascii="Arial" w:hAnsi="Arial" w:cs="Arial"/>
      <w:color w:val="FF0000"/>
    </w:rPr>
  </w:style>
  <w:style w:type="paragraph" w:customStyle="1" w:styleId="zyxConfidRed">
    <w:name w:val="zyxConfidRed"/>
    <w:uiPriority w:val="49"/>
    <w:locked/>
    <w:rsid w:val="00EA1DB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rsid w:val="00EA1DB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a"/>
    <w:uiPriority w:val="49"/>
    <w:locked/>
    <w:rsid w:val="00EA1DB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rsid w:val="00EA1DB9"/>
    <w:pPr>
      <w:spacing w:after="60" w:line="280" w:lineRule="exact"/>
      <w:ind w:left="113"/>
    </w:pPr>
    <w:rPr>
      <w:sz w:val="22"/>
      <w:lang w:eastAsia="en-US"/>
    </w:rPr>
  </w:style>
  <w:style w:type="paragraph" w:customStyle="1" w:styleId="zyxFillIn">
    <w:name w:val="zyxFill_In"/>
    <w:basedOn w:val="zyxPrePrint"/>
    <w:uiPriority w:val="49"/>
    <w:locked/>
    <w:rsid w:val="00EA1DB9"/>
    <w:rPr>
      <w:b/>
    </w:rPr>
  </w:style>
  <w:style w:type="paragraph" w:customStyle="1" w:styleId="zyxLogo">
    <w:name w:val="zyxLogo"/>
    <w:basedOn w:val="a"/>
    <w:uiPriority w:val="49"/>
    <w:locked/>
    <w:rsid w:val="00EA1DB9"/>
    <w:pPr>
      <w:keepNext/>
      <w:spacing w:after="10"/>
    </w:pPr>
    <w:rPr>
      <w:rFonts w:ascii="Arial" w:hAnsi="Arial"/>
      <w:b/>
      <w:sz w:val="13"/>
    </w:rPr>
  </w:style>
  <w:style w:type="paragraph" w:customStyle="1" w:styleId="zyxP1Footer">
    <w:name w:val="zyxP1_Footer"/>
    <w:basedOn w:val="a"/>
    <w:uiPriority w:val="49"/>
    <w:locked/>
    <w:rsid w:val="00EA1DB9"/>
    <w:pPr>
      <w:widowControl w:val="0"/>
      <w:spacing w:line="160" w:lineRule="exact"/>
      <w:ind w:left="108"/>
    </w:pPr>
    <w:rPr>
      <w:sz w:val="14"/>
    </w:rPr>
  </w:style>
  <w:style w:type="paragraph" w:customStyle="1" w:styleId="zyxSensitivity">
    <w:name w:val="zyxSensitivity"/>
    <w:basedOn w:val="a"/>
    <w:uiPriority w:val="49"/>
    <w:locked/>
    <w:rsid w:val="00EA1DB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a"/>
    <w:uiPriority w:val="49"/>
    <w:locked/>
    <w:rsid w:val="00EA1DB9"/>
    <w:pPr>
      <w:keepNext/>
      <w:spacing w:line="420" w:lineRule="exact"/>
    </w:pPr>
    <w:rPr>
      <w:rFonts w:ascii="Arial" w:hAnsi="Arial"/>
      <w:sz w:val="40"/>
    </w:rPr>
  </w:style>
  <w:style w:type="character" w:styleId="ad">
    <w:name w:val="footnote reference"/>
    <w:basedOn w:val="a2"/>
    <w:semiHidden/>
    <w:locked/>
    <w:rsid w:val="00EA1DB9"/>
    <w:rPr>
      <w:vertAlign w:val="superscript"/>
    </w:rPr>
  </w:style>
  <w:style w:type="paragraph" w:styleId="a0">
    <w:name w:val="Subtitle"/>
    <w:next w:val="a1"/>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rsid w:val="00EA1DB9"/>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a1"/>
    <w:uiPriority w:val="49"/>
    <w:locked/>
    <w:rsid w:val="00EA1DB9"/>
    <w:pPr>
      <w:spacing w:line="280" w:lineRule="exact"/>
      <w:jc w:val="right"/>
    </w:pPr>
    <w:rPr>
      <w:rFonts w:ascii="Arial" w:hAnsi="Arial" w:cs="Arial"/>
      <w:b/>
      <w:bCs/>
      <w:caps/>
      <w:sz w:val="24"/>
    </w:rPr>
  </w:style>
  <w:style w:type="paragraph" w:customStyle="1" w:styleId="zyxClassification2">
    <w:name w:val="zyxClassification2"/>
    <w:basedOn w:val="a8"/>
    <w:uiPriority w:val="49"/>
    <w:locked/>
    <w:rsid w:val="00EA1DB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a9">
    <w:name w:val="Нижний колонтитул Знак"/>
    <w:basedOn w:val="a2"/>
    <w:link w:val="a8"/>
    <w:uiPriority w:val="99"/>
    <w:rsid w:val="00037321"/>
    <w:rPr>
      <w:sz w:val="2"/>
      <w:lang w:val="en-US" w:eastAsia="en-US"/>
    </w:rPr>
  </w:style>
  <w:style w:type="paragraph" w:customStyle="1" w:styleId="Runninghead">
    <w:name w:val="Running head"/>
    <w:basedOn w:val="a"/>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a2"/>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a5">
    <w:name w:val="Основной текст Знак"/>
    <w:basedOn w:val="a2"/>
    <w:link w:val="a1"/>
    <w:rsid w:val="00647F33"/>
    <w:rPr>
      <w:lang w:eastAsia="en-US"/>
    </w:rPr>
  </w:style>
  <w:style w:type="character" w:customStyle="1" w:styleId="AuthornameandaffiliationChar">
    <w:name w:val="Author name and affiliation Char"/>
    <w:basedOn w:val="a5"/>
    <w:link w:val="Authornameandaffiliation"/>
    <w:uiPriority w:val="49"/>
    <w:rsid w:val="00647F33"/>
    <w:rPr>
      <w:lang w:val="en-US" w:eastAsia="en-US"/>
    </w:rPr>
  </w:style>
  <w:style w:type="table" w:styleId="ae">
    <w:name w:val="Table Grid"/>
    <w:basedOn w:val="a3"/>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af">
    <w:name w:val="Balloon Text"/>
    <w:basedOn w:val="a"/>
    <w:link w:val="af0"/>
    <w:uiPriority w:val="49"/>
    <w:locked/>
    <w:rsid w:val="005F00A0"/>
    <w:rPr>
      <w:rFonts w:ascii="Tahoma" w:hAnsi="Tahoma" w:cs="Tahoma"/>
      <w:sz w:val="16"/>
      <w:szCs w:val="16"/>
    </w:rPr>
  </w:style>
  <w:style w:type="character" w:customStyle="1" w:styleId="af0">
    <w:name w:val="Текст выноски Знак"/>
    <w:basedOn w:val="a2"/>
    <w:link w:val="af"/>
    <w:uiPriority w:val="49"/>
    <w:rsid w:val="005F00A0"/>
    <w:rPr>
      <w:rFonts w:ascii="Tahoma" w:hAnsi="Tahoma" w:cs="Tahoma"/>
      <w:sz w:val="16"/>
      <w:szCs w:val="16"/>
      <w:lang w:eastAsia="en-US"/>
    </w:rPr>
  </w:style>
  <w:style w:type="paragraph" w:customStyle="1" w:styleId="Figurecaption">
    <w:name w:val="Figure caption"/>
    <w:basedOn w:val="a1"/>
    <w:link w:val="FigurecaptionChar"/>
    <w:uiPriority w:val="49"/>
    <w:qFormat/>
    <w:locked/>
    <w:rsid w:val="00717C6F"/>
    <w:pPr>
      <w:jc w:val="center"/>
    </w:pPr>
    <w:rPr>
      <w:i/>
      <w:sz w:val="18"/>
    </w:rPr>
  </w:style>
  <w:style w:type="paragraph" w:customStyle="1" w:styleId="Otherunnumberedheadings">
    <w:name w:val="Other unnumbered headings"/>
    <w:next w:val="a1"/>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a5"/>
    <w:link w:val="Figurecaption"/>
    <w:uiPriority w:val="49"/>
    <w:rsid w:val="00717C6F"/>
    <w:rPr>
      <w:i/>
      <w:sz w:val="18"/>
      <w:lang w:eastAsia="en-US"/>
    </w:rPr>
  </w:style>
  <w:style w:type="paragraph" w:customStyle="1" w:styleId="Referencelist">
    <w:name w:val="Reference list"/>
    <w:basedOn w:val="a1"/>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a5"/>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a5"/>
    <w:link w:val="Referencelist"/>
    <w:uiPriority w:val="49"/>
    <w:rsid w:val="009E0D5B"/>
    <w:rPr>
      <w:sz w:val="18"/>
      <w:szCs w:val="18"/>
      <w:lang w:eastAsia="en-US"/>
    </w:rPr>
  </w:style>
  <w:style w:type="paragraph" w:customStyle="1" w:styleId="Tabletext">
    <w:name w:val="Table text"/>
    <w:basedOn w:val="a1"/>
    <w:link w:val="TabletextChar"/>
    <w:uiPriority w:val="49"/>
    <w:qFormat/>
    <w:rsid w:val="00883848"/>
    <w:pPr>
      <w:ind w:firstLine="0"/>
    </w:pPr>
  </w:style>
  <w:style w:type="character" w:customStyle="1" w:styleId="TabletextChar">
    <w:name w:val="Table text Char"/>
    <w:basedOn w:val="a5"/>
    <w:link w:val="Tabletext"/>
    <w:uiPriority w:val="49"/>
    <w:rsid w:val="00883848"/>
    <w:rPr>
      <w:lang w:eastAsia="en-US"/>
    </w:rPr>
  </w:style>
  <w:style w:type="paragraph" w:styleId="af1">
    <w:name w:val="Normal (Web)"/>
    <w:basedOn w:val="a"/>
    <w:uiPriority w:val="49"/>
    <w:semiHidden/>
    <w:unhideWhenUsed/>
    <w:locked/>
    <w:rsid w:val="002C29DB"/>
    <w:rPr>
      <w:sz w:val="24"/>
      <w:szCs w:val="24"/>
    </w:rPr>
  </w:style>
  <w:style w:type="paragraph" w:customStyle="1" w:styleId="FIG-LONG">
    <w:name w:val="FIG-LONG"/>
    <w:basedOn w:val="a"/>
    <w:next w:val="a"/>
    <w:link w:val="FIG-LONGChar"/>
    <w:autoRedefine/>
    <w:qFormat/>
    <w:rsid w:val="002C29DB"/>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a2"/>
    <w:link w:val="FIG-LONG"/>
    <w:rsid w:val="002C29DB"/>
    <w:rPr>
      <w:rFonts w:eastAsiaTheme="minorEastAsia"/>
      <w:i/>
      <w:iCs/>
      <w:sz w:val="18"/>
      <w:szCs w:val="18"/>
      <w:lang w:eastAsia="en-US"/>
    </w:rPr>
  </w:style>
  <w:style w:type="table" w:customStyle="1" w:styleId="TableGrid1">
    <w:name w:val="Table Grid1"/>
    <w:basedOn w:val="a3"/>
    <w:next w:val="ae"/>
    <w:uiPriority w:val="59"/>
    <w:rsid w:val="002C29DB"/>
    <w:rPr>
      <w:rFonts w:asciiTheme="minorHAnsi" w:eastAsiaTheme="minorEastAsia"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2"/>
    <w:uiPriority w:val="49"/>
    <w:semiHidden/>
    <w:unhideWhenUsed/>
    <w:locked/>
    <w:rsid w:val="00A233D1"/>
    <w:rPr>
      <w:sz w:val="16"/>
      <w:szCs w:val="16"/>
    </w:rPr>
  </w:style>
  <w:style w:type="paragraph" w:styleId="af3">
    <w:name w:val="annotation text"/>
    <w:basedOn w:val="a"/>
    <w:link w:val="af4"/>
    <w:uiPriority w:val="49"/>
    <w:semiHidden/>
    <w:unhideWhenUsed/>
    <w:locked/>
    <w:rsid w:val="00A233D1"/>
    <w:rPr>
      <w:sz w:val="20"/>
    </w:rPr>
  </w:style>
  <w:style w:type="character" w:customStyle="1" w:styleId="af4">
    <w:name w:val="Текст примечания Знак"/>
    <w:basedOn w:val="a2"/>
    <w:link w:val="af3"/>
    <w:uiPriority w:val="49"/>
    <w:semiHidden/>
    <w:rsid w:val="00A233D1"/>
    <w:rPr>
      <w:lang w:eastAsia="en-US"/>
    </w:rPr>
  </w:style>
  <w:style w:type="paragraph" w:styleId="af5">
    <w:name w:val="annotation subject"/>
    <w:basedOn w:val="af3"/>
    <w:next w:val="af3"/>
    <w:link w:val="af6"/>
    <w:uiPriority w:val="49"/>
    <w:semiHidden/>
    <w:unhideWhenUsed/>
    <w:locked/>
    <w:rsid w:val="00A233D1"/>
    <w:rPr>
      <w:b/>
      <w:bCs/>
    </w:rPr>
  </w:style>
  <w:style w:type="character" w:customStyle="1" w:styleId="af6">
    <w:name w:val="Тема примечания Знак"/>
    <w:basedOn w:val="af4"/>
    <w:link w:val="af5"/>
    <w:uiPriority w:val="49"/>
    <w:semiHidden/>
    <w:rsid w:val="00A233D1"/>
    <w:rPr>
      <w:b/>
      <w:bCs/>
      <w:lang w:eastAsia="en-US"/>
    </w:rPr>
  </w:style>
  <w:style w:type="character" w:styleId="af7">
    <w:name w:val="Hyperlink"/>
    <w:locked/>
    <w:rsid w:val="00250BF2"/>
    <w:rPr>
      <w:color w:val="0000FF"/>
      <w:u w:val="single"/>
    </w:rPr>
  </w:style>
  <w:style w:type="paragraph" w:customStyle="1" w:styleId="Default">
    <w:name w:val="Default"/>
    <w:rsid w:val="00DA6F0D"/>
    <w:pPr>
      <w:autoSpaceDE w:val="0"/>
      <w:autoSpaceDN w:val="0"/>
      <w:adjustRightInd w:val="0"/>
    </w:pPr>
    <w:rPr>
      <w:color w:val="000000"/>
      <w:sz w:val="24"/>
      <w:szCs w:val="24"/>
      <w:lang w:val="ru-RU"/>
    </w:rPr>
  </w:style>
  <w:style w:type="character" w:styleId="af8">
    <w:name w:val="Placeholder Text"/>
    <w:basedOn w:val="a2"/>
    <w:uiPriority w:val="99"/>
    <w:semiHidden/>
    <w:locked/>
    <w:rsid w:val="00085469"/>
    <w:rPr>
      <w:color w:val="808080"/>
    </w:rPr>
  </w:style>
  <w:style w:type="table" w:customStyle="1" w:styleId="PlainTable2">
    <w:name w:val="Plain Table 2"/>
    <w:basedOn w:val="a3"/>
    <w:uiPriority w:val="42"/>
    <w:rsid w:val="004C612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9">
    <w:name w:val="List Paragraph"/>
    <w:basedOn w:val="a"/>
    <w:uiPriority w:val="34"/>
    <w:qFormat/>
    <w:locked/>
    <w:rsid w:val="001A2B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3.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63D051-9EC9-4A9A-BCCA-257C6D49D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500</TotalTime>
  <Pages>7</Pages>
  <Words>3225</Words>
  <Characters>18385</Characters>
  <Application>Microsoft Office Word</Application>
  <DocSecurity>0</DocSecurity>
  <Lines>153</Lines>
  <Paragraphs>43</Paragraphs>
  <ScaleCrop>false</ScaleCrop>
  <HeadingPairs>
    <vt:vector size="6" baseType="variant">
      <vt:variant>
        <vt:lpstr>Название</vt:lpstr>
      </vt:variant>
      <vt:variant>
        <vt:i4>1</vt:i4>
      </vt:variant>
      <vt:variant>
        <vt:lpstr>Заголовки</vt:lpstr>
      </vt:variant>
      <vt:variant>
        <vt:i4>8</vt:i4>
      </vt:variant>
      <vt:variant>
        <vt:lpstr>Title</vt:lpstr>
      </vt:variant>
      <vt:variant>
        <vt:i4>1</vt:i4>
      </vt:variant>
    </vt:vector>
  </HeadingPairs>
  <TitlesOfParts>
    <vt:vector size="10" baseType="lpstr">
      <vt:lpstr>IAEA</vt:lpstr>
      <vt:lpstr>COMPARATIVE ANALYSIS OF MINOR ACTINIDES TRANSMUTATION IN A MSR-BURNER BASED ON </vt:lpstr>
      <vt:lpstr>LiF–NaF–KF AND LiF–BeF2 SALTS</vt:lpstr>
      <vt:lpstr/>
      <vt:lpstr>    INTRODUCTION</vt:lpstr>
      <vt:lpstr>    CALCULATION PROCEDURE</vt:lpstr>
      <vt:lpstr>    OPTIMAL OPERATIONAL CONDITIONS FOR MINOR ACTINIDES TRANSMUTATION IN THE MSR-burn</vt:lpstr>
      <vt:lpstr>    criticalITY maintenance when it reaches equilibrium conditions of MA transmutati</vt:lpstr>
      <vt:lpstr>    Characteristics of MA TRANSMUTATION IN A MSR-BURNER BASED ON LiF–NaF–KF AND LiF–</vt:lpstr>
      <vt:lpstr>IAEA</vt:lpstr>
    </vt:vector>
  </TitlesOfParts>
  <Company>IAEA</Company>
  <LinksUpToDate>false</LinksUpToDate>
  <CharactersWithSpaces>21567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Mike</cp:lastModifiedBy>
  <cp:revision>54</cp:revision>
  <cp:lastPrinted>2015-12-01T10:27:00Z</cp:lastPrinted>
  <dcterms:created xsi:type="dcterms:W3CDTF">2021-04-28T06:03:00Z</dcterms:created>
  <dcterms:modified xsi:type="dcterms:W3CDTF">2021-05-30T17:44:00Z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