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3FE03C" w14:textId="4FFFF1E4" w:rsidR="00E20E70" w:rsidRPr="00A84CE4" w:rsidRDefault="00BD19E3" w:rsidP="00F340DD">
      <w:pPr>
        <w:pStyle w:val="Titre1"/>
        <w:rPr>
          <w:lang w:val="en-GB"/>
        </w:rPr>
      </w:pPr>
      <w:r w:rsidRPr="00A84CE4">
        <w:rPr>
          <w:lang w:val="en-GB"/>
        </w:rPr>
        <w:t xml:space="preserve">Evaluation of an increase of the power </w:t>
      </w:r>
      <w:r w:rsidR="00BC23E6" w:rsidRPr="00A84CE4">
        <w:rPr>
          <w:lang w:val="en-GB"/>
        </w:rPr>
        <w:br/>
      </w:r>
      <w:r w:rsidRPr="00A84CE4">
        <w:rPr>
          <w:lang w:val="en-GB"/>
        </w:rPr>
        <w:t>density for the French commercial Sodium</w:t>
      </w:r>
      <w:r w:rsidR="00072D52" w:rsidRPr="00A84CE4">
        <w:rPr>
          <w:lang w:val="en-GB"/>
        </w:rPr>
        <w:br/>
      </w:r>
      <w:r w:rsidRPr="00A84CE4">
        <w:rPr>
          <w:lang w:val="en-GB"/>
        </w:rPr>
        <w:t xml:space="preserve">Fast Reactor and optimization study </w:t>
      </w:r>
      <w:r w:rsidR="00072D52" w:rsidRPr="00A84CE4">
        <w:rPr>
          <w:lang w:val="en-GB"/>
        </w:rPr>
        <w:br/>
      </w:r>
      <w:r w:rsidRPr="00A84CE4">
        <w:rPr>
          <w:lang w:val="en-GB"/>
        </w:rPr>
        <w:t xml:space="preserve">at 1100 MWe with the SDDS tool </w:t>
      </w:r>
    </w:p>
    <w:p w14:paraId="433FE03F" w14:textId="77777777" w:rsidR="00802381" w:rsidRPr="00A84CE4" w:rsidRDefault="00802381" w:rsidP="00537496">
      <w:pPr>
        <w:pStyle w:val="Authornameandaffiliation"/>
        <w:rPr>
          <w:lang w:val="en-GB"/>
        </w:rPr>
      </w:pPr>
    </w:p>
    <w:p w14:paraId="433FE040" w14:textId="30988507" w:rsidR="003B5E0E" w:rsidRPr="00E27FE3" w:rsidRDefault="000D0A1E" w:rsidP="00537496">
      <w:pPr>
        <w:pStyle w:val="Authornameandaffiliation"/>
        <w:rPr>
          <w:lang w:val="fr-FR"/>
        </w:rPr>
      </w:pPr>
      <w:r w:rsidRPr="00E27FE3">
        <w:rPr>
          <w:lang w:val="fr-FR"/>
        </w:rPr>
        <w:t>D GÉRARDIN</w:t>
      </w:r>
    </w:p>
    <w:p w14:paraId="433FE041" w14:textId="293C26F4" w:rsidR="00FF386F" w:rsidRPr="00E27FE3" w:rsidRDefault="000D0A1E" w:rsidP="00537496">
      <w:pPr>
        <w:pStyle w:val="Authornameandaffiliation"/>
        <w:rPr>
          <w:lang w:val="fr-FR"/>
        </w:rPr>
      </w:pPr>
      <w:r w:rsidRPr="00E27FE3">
        <w:rPr>
          <w:lang w:val="fr-FR"/>
        </w:rPr>
        <w:t>EDF R&amp;D</w:t>
      </w:r>
    </w:p>
    <w:p w14:paraId="6A27D793" w14:textId="77777777" w:rsidR="00531B45" w:rsidRPr="00E27FE3" w:rsidRDefault="00531B45" w:rsidP="00537496">
      <w:pPr>
        <w:pStyle w:val="Authornameandaffiliation"/>
        <w:rPr>
          <w:lang w:val="fr-FR"/>
        </w:rPr>
      </w:pPr>
      <w:r w:rsidRPr="00E27FE3">
        <w:rPr>
          <w:lang w:val="fr-FR"/>
        </w:rPr>
        <w:t>Palaiseau, France</w:t>
      </w:r>
      <w:r w:rsidRPr="00E27FE3" w:rsidDel="00531B45">
        <w:rPr>
          <w:lang w:val="fr-FR"/>
        </w:rPr>
        <w:t xml:space="preserve"> </w:t>
      </w:r>
    </w:p>
    <w:p w14:paraId="433FE043" w14:textId="7082EF6B" w:rsidR="00FF386F" w:rsidRPr="00E27FE3" w:rsidRDefault="00FF386F" w:rsidP="00537496">
      <w:pPr>
        <w:pStyle w:val="Authornameandaffiliation"/>
        <w:rPr>
          <w:lang w:val="fr-FR"/>
        </w:rPr>
      </w:pPr>
      <w:r w:rsidRPr="00E27FE3">
        <w:rPr>
          <w:lang w:val="fr-FR"/>
        </w:rPr>
        <w:t xml:space="preserve">Email: </w:t>
      </w:r>
      <w:r w:rsidR="000D0A1E" w:rsidRPr="00E27FE3">
        <w:rPr>
          <w:lang w:val="fr-FR"/>
        </w:rPr>
        <w:t>delphine.gerardin@edf.fr</w:t>
      </w:r>
    </w:p>
    <w:p w14:paraId="433FE044" w14:textId="77777777" w:rsidR="00FF386F" w:rsidRPr="00E27FE3" w:rsidRDefault="00FF386F" w:rsidP="00537496">
      <w:pPr>
        <w:pStyle w:val="Authornameandaffiliation"/>
        <w:rPr>
          <w:lang w:val="fr-FR"/>
        </w:rPr>
      </w:pPr>
    </w:p>
    <w:p w14:paraId="433FE045" w14:textId="7DB498DA" w:rsidR="00FF386F" w:rsidRPr="00E27FE3" w:rsidRDefault="00531B45" w:rsidP="00537496">
      <w:pPr>
        <w:pStyle w:val="Authornameandaffiliation"/>
        <w:rPr>
          <w:lang w:val="fr-FR"/>
        </w:rPr>
      </w:pPr>
      <w:r w:rsidRPr="00E27FE3">
        <w:rPr>
          <w:lang w:val="fr-FR"/>
        </w:rPr>
        <w:t xml:space="preserve">S. POUMEROULY </w:t>
      </w:r>
    </w:p>
    <w:p w14:paraId="433FE046" w14:textId="1B8333FF" w:rsidR="00FF386F" w:rsidRPr="00E27FE3" w:rsidRDefault="000D0A1E" w:rsidP="00537496">
      <w:pPr>
        <w:pStyle w:val="Authornameandaffiliation"/>
        <w:rPr>
          <w:lang w:val="fr-FR"/>
        </w:rPr>
      </w:pPr>
      <w:r w:rsidRPr="00E27FE3">
        <w:rPr>
          <w:lang w:val="fr-FR"/>
        </w:rPr>
        <w:t>EDF R&amp;D</w:t>
      </w:r>
    </w:p>
    <w:p w14:paraId="138F475F" w14:textId="1724FEB1" w:rsidR="00BC23E6" w:rsidRPr="00E27FE3" w:rsidRDefault="00531B45" w:rsidP="00BC23E6">
      <w:pPr>
        <w:pStyle w:val="Authornameandaffiliation"/>
        <w:rPr>
          <w:lang w:val="fr-FR"/>
        </w:rPr>
      </w:pPr>
      <w:r w:rsidRPr="00E27FE3">
        <w:rPr>
          <w:lang w:val="fr-FR"/>
        </w:rPr>
        <w:t xml:space="preserve">Palaiseau, France </w:t>
      </w:r>
      <w:r w:rsidR="00BC23E6" w:rsidRPr="00E27FE3">
        <w:rPr>
          <w:lang w:val="fr-FR"/>
        </w:rPr>
        <w:t xml:space="preserve"> </w:t>
      </w:r>
    </w:p>
    <w:p w14:paraId="580CB4AF" w14:textId="77777777" w:rsidR="00BC23E6" w:rsidRPr="00E27FE3" w:rsidRDefault="00BC23E6" w:rsidP="00BC23E6">
      <w:pPr>
        <w:pStyle w:val="Authornameandaffiliation"/>
        <w:rPr>
          <w:lang w:val="fr-FR"/>
        </w:rPr>
      </w:pPr>
    </w:p>
    <w:p w14:paraId="4FA2C2CE" w14:textId="745E124E" w:rsidR="00BC23E6" w:rsidRPr="00E27FE3" w:rsidRDefault="00531B45" w:rsidP="00BC23E6">
      <w:pPr>
        <w:pStyle w:val="Authornameandaffiliation"/>
        <w:rPr>
          <w:lang w:val="fr-FR"/>
        </w:rPr>
      </w:pPr>
      <w:r w:rsidRPr="00E27FE3">
        <w:rPr>
          <w:lang w:val="fr-FR"/>
        </w:rPr>
        <w:t>L. ANDRIOLO</w:t>
      </w:r>
    </w:p>
    <w:p w14:paraId="321846E8" w14:textId="07F34DB6" w:rsidR="00BC23E6" w:rsidRPr="00E27FE3" w:rsidRDefault="000D0A1E" w:rsidP="00BC23E6">
      <w:pPr>
        <w:pStyle w:val="Authornameandaffiliation"/>
        <w:rPr>
          <w:lang w:val="fr-FR"/>
        </w:rPr>
      </w:pPr>
      <w:r w:rsidRPr="00E27FE3">
        <w:rPr>
          <w:lang w:val="fr-FR"/>
        </w:rPr>
        <w:t>EDF R&amp;D</w:t>
      </w:r>
    </w:p>
    <w:p w14:paraId="433FE048" w14:textId="384D9428" w:rsidR="00FF386F" w:rsidRPr="00E27FE3" w:rsidRDefault="00531B45" w:rsidP="00537496">
      <w:pPr>
        <w:pStyle w:val="Authornameandaffiliation"/>
        <w:rPr>
          <w:lang w:val="fr-FR"/>
        </w:rPr>
      </w:pPr>
      <w:r w:rsidRPr="00E27FE3">
        <w:rPr>
          <w:lang w:val="fr-FR"/>
        </w:rPr>
        <w:t>Palaiseau, France</w:t>
      </w:r>
    </w:p>
    <w:p w14:paraId="1339A630" w14:textId="77777777" w:rsidR="00531B45" w:rsidRPr="00E27FE3" w:rsidRDefault="00531B45" w:rsidP="00537496">
      <w:pPr>
        <w:pStyle w:val="Authornameandaffiliation"/>
        <w:rPr>
          <w:lang w:val="fr-FR"/>
        </w:rPr>
      </w:pPr>
    </w:p>
    <w:p w14:paraId="433FE049" w14:textId="77777777" w:rsidR="00647F33" w:rsidRPr="00E27FE3" w:rsidRDefault="00647F33" w:rsidP="00537496">
      <w:pPr>
        <w:pStyle w:val="Authornameandaffiliation"/>
        <w:rPr>
          <w:b/>
          <w:lang w:val="fr-FR"/>
        </w:rPr>
      </w:pPr>
      <w:r w:rsidRPr="00E27FE3">
        <w:rPr>
          <w:b/>
          <w:lang w:val="fr-FR"/>
        </w:rPr>
        <w:t>Abstract</w:t>
      </w:r>
    </w:p>
    <w:p w14:paraId="433FE04A" w14:textId="77777777" w:rsidR="00647F33" w:rsidRPr="00E27FE3" w:rsidRDefault="00647F33" w:rsidP="00537496">
      <w:pPr>
        <w:pStyle w:val="Authornameandaffiliation"/>
        <w:rPr>
          <w:lang w:val="fr-FR"/>
        </w:rPr>
      </w:pPr>
    </w:p>
    <w:p w14:paraId="38A500B6" w14:textId="68363E8F" w:rsidR="00BA7C40" w:rsidRPr="00A84CE4" w:rsidRDefault="00BD19E3" w:rsidP="004C52CC">
      <w:pPr>
        <w:pStyle w:val="Abstracttext"/>
        <w:jc w:val="both"/>
        <w:rPr>
          <w:lang w:val="en-GB"/>
        </w:rPr>
      </w:pPr>
      <w:r w:rsidRPr="00A84CE4">
        <w:rPr>
          <w:lang w:val="en-GB"/>
        </w:rPr>
        <w:t>In order to enhance the competitiveness and to reduce the construction cost</w:t>
      </w:r>
      <w:r w:rsidR="00E27FE3">
        <w:rPr>
          <w:lang w:val="en-GB"/>
        </w:rPr>
        <w:t>s</w:t>
      </w:r>
      <w:r w:rsidRPr="00A84CE4">
        <w:rPr>
          <w:lang w:val="en-GB"/>
        </w:rPr>
        <w:t xml:space="preserve"> of the future</w:t>
      </w:r>
      <w:r w:rsidR="00E27FE3">
        <w:rPr>
          <w:lang w:val="en-GB"/>
        </w:rPr>
        <w:t xml:space="preserve"> French</w:t>
      </w:r>
      <w:r w:rsidRPr="00A84CE4">
        <w:rPr>
          <w:lang w:val="en-GB"/>
        </w:rPr>
        <w:t xml:space="preserve"> </w:t>
      </w:r>
      <w:r w:rsidR="00E27FE3">
        <w:rPr>
          <w:lang w:val="en-GB"/>
        </w:rPr>
        <w:t xml:space="preserve">commercial </w:t>
      </w:r>
      <w:r w:rsidRPr="00A84CE4">
        <w:rPr>
          <w:lang w:val="en-GB"/>
        </w:rPr>
        <w:t xml:space="preserve">Sodium </w:t>
      </w:r>
      <w:r w:rsidR="00E0759C">
        <w:rPr>
          <w:lang w:val="en-GB"/>
        </w:rPr>
        <w:t xml:space="preserve">cooled </w:t>
      </w:r>
      <w:r w:rsidRPr="00A84CE4">
        <w:rPr>
          <w:lang w:val="en-GB"/>
        </w:rPr>
        <w:t xml:space="preserve">Fast Reactors (SFR), several options are explored which need further R&amp;D studies or design assessment. Among them, the reduction of the core diameter and the increase of the power density </w:t>
      </w:r>
      <w:r w:rsidR="00BA7C40" w:rsidRPr="00A84CE4">
        <w:rPr>
          <w:lang w:val="en-GB"/>
        </w:rPr>
        <w:t xml:space="preserve">have been investigated </w:t>
      </w:r>
      <w:r w:rsidRPr="00A84CE4">
        <w:rPr>
          <w:lang w:val="en-GB"/>
        </w:rPr>
        <w:t>by the R&amp;D department of EDF.</w:t>
      </w:r>
      <w:r w:rsidR="00F340DD" w:rsidRPr="00A84CE4">
        <w:rPr>
          <w:lang w:val="en-GB"/>
        </w:rPr>
        <w:t xml:space="preserve"> </w:t>
      </w:r>
      <w:r w:rsidR="00BA7C40" w:rsidRPr="00A84CE4">
        <w:rPr>
          <w:lang w:val="en-GB"/>
        </w:rPr>
        <w:t>To this end, the</w:t>
      </w:r>
      <w:r w:rsidRPr="00A84CE4">
        <w:rPr>
          <w:lang w:val="en-GB"/>
        </w:rPr>
        <w:t xml:space="preserve"> in-house multi-physics optimization tool SDDS has been used. The basis of the method is to predict the performance</w:t>
      </w:r>
      <w:r w:rsidR="00B50FFF">
        <w:rPr>
          <w:lang w:val="en-GB"/>
        </w:rPr>
        <w:t>s</w:t>
      </w:r>
      <w:r w:rsidRPr="00A84CE4">
        <w:rPr>
          <w:lang w:val="en-GB"/>
        </w:rPr>
        <w:t xml:space="preserve"> of a large number of core designs using </w:t>
      </w:r>
      <w:r w:rsidR="002F1EA8">
        <w:rPr>
          <w:lang w:val="en-GB"/>
        </w:rPr>
        <w:t>surrogate models. The surrogate m</w:t>
      </w:r>
      <w:r w:rsidRPr="00A84CE4">
        <w:rPr>
          <w:lang w:val="en-GB"/>
        </w:rPr>
        <w:t>odels are themselves created using the results of a parametric calculation scheme based on the codes: ERANOS for the neutronic, MAT5DYN for the thermal-hydraulic transients and GERMINAL for the thermomechanical fuel performance.</w:t>
      </w:r>
      <w:r w:rsidR="00092E0B" w:rsidRPr="00A84CE4">
        <w:rPr>
          <w:lang w:val="en-GB"/>
        </w:rPr>
        <w:t xml:space="preserve"> </w:t>
      </w:r>
      <w:r w:rsidR="004C52CC">
        <w:rPr>
          <w:lang w:val="en-GB"/>
        </w:rPr>
        <w:t xml:space="preserve">Following a </w:t>
      </w:r>
      <w:r w:rsidRPr="00A84CE4">
        <w:rPr>
          <w:lang w:val="en-GB"/>
        </w:rPr>
        <w:t xml:space="preserve">first </w:t>
      </w:r>
      <w:r w:rsidR="00A84CE4" w:rsidRPr="00A84CE4">
        <w:rPr>
          <w:lang w:val="en-GB"/>
        </w:rPr>
        <w:t xml:space="preserve">SDDS </w:t>
      </w:r>
      <w:r w:rsidR="004C52CC">
        <w:rPr>
          <w:lang w:val="en-GB"/>
        </w:rPr>
        <w:t>study</w:t>
      </w:r>
      <w:r w:rsidRPr="00A84CE4">
        <w:rPr>
          <w:lang w:val="en-GB"/>
        </w:rPr>
        <w:t xml:space="preserve"> performed to define a compact core design for the </w:t>
      </w:r>
      <w:r w:rsidR="004C52CC">
        <w:rPr>
          <w:lang w:val="en-GB"/>
        </w:rPr>
        <w:t>1000 MWe French commercial SFR, t</w:t>
      </w:r>
      <w:r w:rsidR="00A84CE4" w:rsidRPr="00A84CE4">
        <w:rPr>
          <w:lang w:val="en-GB"/>
        </w:rPr>
        <w:t>he</w:t>
      </w:r>
      <w:r w:rsidRPr="00A84CE4">
        <w:rPr>
          <w:lang w:val="en-GB"/>
        </w:rPr>
        <w:t xml:space="preserve"> paper focuses on a second </w:t>
      </w:r>
      <w:r w:rsidR="004C52CC">
        <w:rPr>
          <w:lang w:val="en-GB"/>
        </w:rPr>
        <w:t>SDDS</w:t>
      </w:r>
      <w:r w:rsidRPr="00A84CE4">
        <w:rPr>
          <w:lang w:val="en-GB"/>
        </w:rPr>
        <w:t xml:space="preserve"> study </w:t>
      </w:r>
      <w:r w:rsidR="00132E17" w:rsidRPr="00A84CE4">
        <w:rPr>
          <w:lang w:val="en-GB"/>
        </w:rPr>
        <w:t xml:space="preserve">performed </w:t>
      </w:r>
      <w:r w:rsidRPr="00A84CE4">
        <w:rPr>
          <w:lang w:val="en-GB"/>
        </w:rPr>
        <w:t xml:space="preserve">on a 1100 MWe power reactor in order to evaluate the impact of an </w:t>
      </w:r>
      <w:r w:rsidR="00E0759C">
        <w:rPr>
          <w:lang w:val="en-GB"/>
        </w:rPr>
        <w:t>increase</w:t>
      </w:r>
      <w:r w:rsidR="00E0759C" w:rsidRPr="00A84CE4">
        <w:rPr>
          <w:lang w:val="en-GB"/>
        </w:rPr>
        <w:t xml:space="preserve"> </w:t>
      </w:r>
      <w:r w:rsidRPr="00A84CE4">
        <w:rPr>
          <w:lang w:val="en-GB"/>
        </w:rPr>
        <w:t xml:space="preserve">of 10% of </w:t>
      </w:r>
      <w:r w:rsidR="00E27FE3">
        <w:rPr>
          <w:lang w:val="en-GB"/>
        </w:rPr>
        <w:t>the nominal power</w:t>
      </w:r>
      <w:r w:rsidRPr="00A84CE4">
        <w:rPr>
          <w:lang w:val="en-GB"/>
        </w:rPr>
        <w:t xml:space="preserve">. The analysis of the results shows that the main trends (e.g. large pellet, large fertile plate height, etc.) are the same as the ones observed </w:t>
      </w:r>
      <w:r w:rsidR="00E27FE3">
        <w:rPr>
          <w:lang w:val="en-GB"/>
        </w:rPr>
        <w:t>in the previous study</w:t>
      </w:r>
      <w:r w:rsidRPr="00A84CE4">
        <w:rPr>
          <w:lang w:val="en-GB"/>
        </w:rPr>
        <w:t>.</w:t>
      </w:r>
      <w:r w:rsidR="00BA7C40" w:rsidRPr="00A84CE4">
        <w:rPr>
          <w:lang w:val="en-GB"/>
        </w:rPr>
        <w:t xml:space="preserve"> </w:t>
      </w:r>
      <w:r w:rsidR="00A84CE4" w:rsidRPr="00A84CE4">
        <w:rPr>
          <w:lang w:val="en-GB"/>
        </w:rPr>
        <w:t>However, a degradation of the safety performance</w:t>
      </w:r>
      <w:r w:rsidR="00B50FFF">
        <w:rPr>
          <w:lang w:val="en-GB"/>
        </w:rPr>
        <w:t>s</w:t>
      </w:r>
      <w:r w:rsidR="00A84CE4" w:rsidRPr="00A84CE4">
        <w:rPr>
          <w:lang w:val="en-GB"/>
        </w:rPr>
        <w:t xml:space="preserve"> is observed and impacts both the behaviour in case of Unprotected Loss of Service Station Power and in case of Unprotected Control Rod Withdrawal.</w:t>
      </w:r>
    </w:p>
    <w:p w14:paraId="433FE04C" w14:textId="77777777" w:rsidR="00647F33" w:rsidRPr="00A84CE4" w:rsidRDefault="00F523CA" w:rsidP="00537496">
      <w:pPr>
        <w:pStyle w:val="Titre2"/>
        <w:numPr>
          <w:ilvl w:val="1"/>
          <w:numId w:val="10"/>
        </w:numPr>
      </w:pPr>
      <w:r w:rsidRPr="00A84CE4">
        <w:t>INTRODUCTION</w:t>
      </w:r>
    </w:p>
    <w:p w14:paraId="36E98F35" w14:textId="06120302" w:rsidR="00192801" w:rsidRPr="00A84CE4" w:rsidRDefault="00091834" w:rsidP="00BD19E3">
      <w:pPr>
        <w:pStyle w:val="Corpsdetexte"/>
      </w:pPr>
      <w:r>
        <w:t>A</w:t>
      </w:r>
      <w:r w:rsidR="00192801" w:rsidRPr="00A84CE4">
        <w:t xml:space="preserve"> </w:t>
      </w:r>
      <w:r w:rsidR="00E27FE3">
        <w:t xml:space="preserve">French </w:t>
      </w:r>
      <w:r w:rsidR="00DD66BC" w:rsidRPr="00A84CE4">
        <w:t>commercial Sodium Fast Reactor</w:t>
      </w:r>
      <w:r w:rsidR="00192801" w:rsidRPr="00A84CE4">
        <w:t xml:space="preserve"> (SFR)</w:t>
      </w:r>
      <w:r w:rsidR="00DD66BC" w:rsidRPr="00A84CE4">
        <w:t xml:space="preserve"> </w:t>
      </w:r>
      <w:r w:rsidR="00192801" w:rsidRPr="00A84CE4">
        <w:t xml:space="preserve">is </w:t>
      </w:r>
      <w:r w:rsidR="00E27FE3">
        <w:t>under</w:t>
      </w:r>
      <w:r w:rsidR="00192801" w:rsidRPr="00A84CE4">
        <w:t xml:space="preserve"> stud</w:t>
      </w:r>
      <w:r w:rsidR="00E27FE3">
        <w:t>y</w:t>
      </w:r>
      <w:r w:rsidR="00192801" w:rsidRPr="00A84CE4">
        <w:t xml:space="preserve"> at EDF and first requirements and functional description have been defined. </w:t>
      </w:r>
      <w:r w:rsidR="00BD19E3" w:rsidRPr="00A84CE4">
        <w:t xml:space="preserve">In order to enhance </w:t>
      </w:r>
      <w:r w:rsidR="00192801" w:rsidRPr="00A84CE4">
        <w:t xml:space="preserve">its </w:t>
      </w:r>
      <w:r w:rsidR="00BD19E3" w:rsidRPr="00A84CE4">
        <w:t xml:space="preserve">competitiveness and to reduce </w:t>
      </w:r>
      <w:r w:rsidR="00192801" w:rsidRPr="00A84CE4">
        <w:t>its</w:t>
      </w:r>
      <w:r w:rsidR="00BD19E3" w:rsidRPr="00A84CE4">
        <w:t xml:space="preserve"> construction cost</w:t>
      </w:r>
      <w:r w:rsidR="00A84CE4" w:rsidRPr="00A84CE4">
        <w:t>s</w:t>
      </w:r>
      <w:r w:rsidR="00BD19E3" w:rsidRPr="00A84CE4">
        <w:t xml:space="preserve">, several options </w:t>
      </w:r>
      <w:r w:rsidR="00192801" w:rsidRPr="00A84CE4">
        <w:t>have been identified</w:t>
      </w:r>
      <w:r w:rsidR="00BD19E3" w:rsidRPr="00A84CE4">
        <w:t xml:space="preserve"> which need further R&amp;D studies or design assessment. Among them, the possibility to reduce the size of the reactor vessel through the reduction of the core diameter </w:t>
      </w:r>
      <w:r w:rsidR="00192801" w:rsidRPr="00A84CE4">
        <w:fldChar w:fldCharType="begin"/>
      </w:r>
      <w:r w:rsidR="00192801" w:rsidRPr="00A84CE4">
        <w:instrText xml:space="preserve"> REF _Ref67992222 \r \h </w:instrText>
      </w:r>
      <w:r w:rsidR="00192801" w:rsidRPr="00A84CE4">
        <w:fldChar w:fldCharType="separate"/>
      </w:r>
      <w:r w:rsidR="00466114">
        <w:t>[1]</w:t>
      </w:r>
      <w:r w:rsidR="00192801" w:rsidRPr="00A84CE4">
        <w:fldChar w:fldCharType="end"/>
      </w:r>
      <w:r w:rsidR="0046038D">
        <w:t xml:space="preserve"> </w:t>
      </w:r>
      <w:r w:rsidR="00BD19E3" w:rsidRPr="00A84CE4">
        <w:t xml:space="preserve">and the increase of the power density </w:t>
      </w:r>
      <w:r w:rsidRPr="00A84CE4">
        <w:t>ha</w:t>
      </w:r>
      <w:r>
        <w:t>ve</w:t>
      </w:r>
      <w:r w:rsidRPr="00A84CE4">
        <w:t xml:space="preserve"> </w:t>
      </w:r>
      <w:r w:rsidR="00E27FE3" w:rsidRPr="00A84CE4">
        <w:t xml:space="preserve">been investigated </w:t>
      </w:r>
      <w:r w:rsidR="00BD19E3" w:rsidRPr="00A84CE4">
        <w:t>by the R&amp;D department of EDF.</w:t>
      </w:r>
      <w:r w:rsidR="00E409CA" w:rsidRPr="00A84CE4">
        <w:t xml:space="preserve"> </w:t>
      </w:r>
    </w:p>
    <w:p w14:paraId="7611BC22" w14:textId="2DF4A79E" w:rsidR="00530B85" w:rsidRDefault="007D4814" w:rsidP="00530B85">
      <w:pPr>
        <w:pStyle w:val="Corpsdetexte"/>
      </w:pPr>
      <w:r>
        <w:t xml:space="preserve">A first optimization </w:t>
      </w:r>
      <w:r w:rsidRPr="00A84CE4">
        <w:t>study meant to define a compact core design for the 1000 MWe French commercial SFR</w:t>
      </w:r>
      <w:r>
        <w:t xml:space="preserve"> was performed with t</w:t>
      </w:r>
      <w:r w:rsidR="00E409CA" w:rsidRPr="00A84CE4">
        <w:t>he</w:t>
      </w:r>
      <w:r w:rsidR="00BD19E3" w:rsidRPr="00A84CE4">
        <w:t xml:space="preserve"> in-house </w:t>
      </w:r>
      <w:r w:rsidR="00192801" w:rsidRPr="00A84CE4">
        <w:t>SDDS</w:t>
      </w:r>
      <w:r w:rsidR="005C2C2C">
        <w:t xml:space="preserve"> tool</w:t>
      </w:r>
      <w:r>
        <w:t xml:space="preserve"> </w:t>
      </w:r>
      <w:r>
        <w:fldChar w:fldCharType="begin"/>
      </w:r>
      <w:r>
        <w:instrText xml:space="preserve"> REF _Ref68854625 \r \h </w:instrText>
      </w:r>
      <w:r>
        <w:fldChar w:fldCharType="separate"/>
      </w:r>
      <w:r w:rsidR="00466114">
        <w:t>[1]</w:t>
      </w:r>
      <w:r>
        <w:fldChar w:fldCharType="end"/>
      </w:r>
      <w:r w:rsidR="00091834">
        <w:fldChar w:fldCharType="begin"/>
      </w:r>
      <w:r w:rsidR="00091834">
        <w:instrText xml:space="preserve"> REF _Ref68852996 \r \h </w:instrText>
      </w:r>
      <w:r w:rsidR="00091834">
        <w:fldChar w:fldCharType="separate"/>
      </w:r>
      <w:r w:rsidR="00466114">
        <w:t>[2]</w:t>
      </w:r>
      <w:r w:rsidR="00091834">
        <w:fldChar w:fldCharType="end"/>
      </w:r>
      <w:r>
        <w:t>.</w:t>
      </w:r>
      <w:r w:rsidR="00B50FFF">
        <w:t xml:space="preserve"> </w:t>
      </w:r>
      <w:r w:rsidR="004C52CC" w:rsidRPr="004C52CC">
        <w:t xml:space="preserve">As a result, two </w:t>
      </w:r>
      <w:r w:rsidR="004D3601">
        <w:t>optimized</w:t>
      </w:r>
      <w:r>
        <w:t xml:space="preserve"> core</w:t>
      </w:r>
      <w:r w:rsidR="004D3601">
        <w:t xml:space="preserve"> </w:t>
      </w:r>
      <w:r w:rsidR="004C52CC" w:rsidRPr="004C52CC">
        <w:t xml:space="preserve">designs were selected as they offered a good compromise between safety criteria and a </w:t>
      </w:r>
      <w:r w:rsidR="005C2C2C">
        <w:t>low</w:t>
      </w:r>
      <w:r w:rsidR="005C2C2C" w:rsidRPr="004C52CC">
        <w:t xml:space="preserve"> </w:t>
      </w:r>
      <w:r w:rsidR="004C52CC" w:rsidRPr="004C52CC">
        <w:t xml:space="preserve">core diameter: a twelve Sub-Assembly (SA) rings core with a smaller core diameter </w:t>
      </w:r>
      <w:r w:rsidR="005C2C2C">
        <w:t xml:space="preserve">(than the </w:t>
      </w:r>
      <w:r w:rsidR="00417749" w:rsidRPr="004C52CC">
        <w:t>thirteen</w:t>
      </w:r>
      <w:r w:rsidR="00417749">
        <w:t xml:space="preserve"> SA ring</w:t>
      </w:r>
      <w:r w:rsidR="00B50FFF">
        <w:t>s</w:t>
      </w:r>
      <w:r w:rsidR="00417749">
        <w:t xml:space="preserve"> core</w:t>
      </w:r>
      <w:r w:rsidR="005C2C2C">
        <w:t xml:space="preserve">) </w:t>
      </w:r>
      <w:r w:rsidR="004C52CC" w:rsidRPr="004C52CC">
        <w:t xml:space="preserve">and a thirteen SA rings </w:t>
      </w:r>
      <w:r w:rsidR="004C52CC">
        <w:t xml:space="preserve">core with better safety margins </w:t>
      </w:r>
      <w:r w:rsidR="002B63D2">
        <w:t xml:space="preserve">in </w:t>
      </w:r>
      <w:r w:rsidR="002B63D2" w:rsidRPr="00A84CE4">
        <w:t xml:space="preserve">Unprotected Loss of Service Station Power </w:t>
      </w:r>
      <w:r w:rsidR="004C52CC">
        <w:t>(ULOSSP)</w:t>
      </w:r>
      <w:r w:rsidR="004D3601">
        <w:t xml:space="preserve"> conditions</w:t>
      </w:r>
      <w:r w:rsidR="00417749">
        <w:t xml:space="preserve"> (than the </w:t>
      </w:r>
      <w:r w:rsidR="00417749" w:rsidRPr="004C52CC">
        <w:t>twelve</w:t>
      </w:r>
      <w:r w:rsidR="00417749">
        <w:t xml:space="preserve"> SA ring</w:t>
      </w:r>
      <w:r w:rsidR="00B50FFF">
        <w:t>s</w:t>
      </w:r>
      <w:r w:rsidR="00417749">
        <w:t xml:space="preserve"> core</w:t>
      </w:r>
      <w:r w:rsidR="005C2C2C">
        <w:t>)</w:t>
      </w:r>
      <w:r w:rsidR="00043D04">
        <w:t>.</w:t>
      </w:r>
      <w:r w:rsidR="004C52CC">
        <w:t xml:space="preserve"> </w:t>
      </w:r>
    </w:p>
    <w:p w14:paraId="5DABDCD8" w14:textId="63529474" w:rsidR="00652FC2" w:rsidRPr="00A84CE4" w:rsidRDefault="002B63D2" w:rsidP="001025CA">
      <w:pPr>
        <w:pStyle w:val="Corpsdetexte"/>
      </w:pPr>
      <w:r w:rsidRPr="00A84CE4">
        <w:t>Following th</w:t>
      </w:r>
      <w:r>
        <w:t>is study and</w:t>
      </w:r>
      <w:r w:rsidR="00043D04">
        <w:t xml:space="preserve"> still with the objective to</w:t>
      </w:r>
      <w:r w:rsidRPr="00A84CE4">
        <w:t xml:space="preserve"> reduc</w:t>
      </w:r>
      <w:r w:rsidR="00043D04">
        <w:t>e</w:t>
      </w:r>
      <w:r w:rsidRPr="00A84CE4">
        <w:t xml:space="preserve"> SFR costs,</w:t>
      </w:r>
      <w:r>
        <w:t xml:space="preserve"> the impact of </w:t>
      </w:r>
      <w:r w:rsidRPr="00A84CE4">
        <w:t>a 10% increase of the nominal power</w:t>
      </w:r>
      <w:r>
        <w:t xml:space="preserve"> on these</w:t>
      </w:r>
      <w:r w:rsidR="007D4814">
        <w:t xml:space="preserve"> 2 optimized core</w:t>
      </w:r>
      <w:r>
        <w:t xml:space="preserve"> design</w:t>
      </w:r>
      <w:r w:rsidR="004C52CC">
        <w:t>s</w:t>
      </w:r>
      <w:r>
        <w:t xml:space="preserve"> </w:t>
      </w:r>
      <w:r w:rsidR="007D4814">
        <w:t>was</w:t>
      </w:r>
      <w:r>
        <w:t xml:space="preserve"> evaluated with </w:t>
      </w:r>
      <w:r w:rsidR="004C52CC">
        <w:t>the</w:t>
      </w:r>
      <w:r>
        <w:t xml:space="preserve"> calculation scheme </w:t>
      </w:r>
      <w:r w:rsidR="004C52CC">
        <w:t>implemented in SDDS</w:t>
      </w:r>
      <w:r w:rsidR="00043D04">
        <w:t>. It</w:t>
      </w:r>
      <w:r w:rsidR="004C52CC">
        <w:t xml:space="preserve"> leads to the degradation of the safety performances both in ULOSSP </w:t>
      </w:r>
      <w:r w:rsidR="004C52CC" w:rsidRPr="00A84CE4">
        <w:t>and in case of Unprotected Control Rod Withdrawal</w:t>
      </w:r>
      <w:r w:rsidR="004C52CC">
        <w:t xml:space="preserve"> (UCWR)</w:t>
      </w:r>
      <w:r w:rsidR="004C52CC" w:rsidRPr="00A84CE4">
        <w:t>.</w:t>
      </w:r>
      <w:r w:rsidR="004C52CC">
        <w:t xml:space="preserve"> </w:t>
      </w:r>
      <w:r w:rsidR="00043D04">
        <w:t>With the 10% increase</w:t>
      </w:r>
      <w:r w:rsidR="004C52CC">
        <w:t xml:space="preserve"> of the nominal power, the </w:t>
      </w:r>
      <w:r w:rsidR="00775082">
        <w:t>sodium temperature</w:t>
      </w:r>
      <w:r w:rsidR="00091834">
        <w:t xml:space="preserve"> </w:t>
      </w:r>
      <w:r w:rsidR="004C52CC">
        <w:t>in ULOSSP exceeds 1000 °C</w:t>
      </w:r>
      <w:r w:rsidR="00A25D66">
        <w:t xml:space="preserve"> </w:t>
      </w:r>
      <w:r w:rsidR="004C52CC">
        <w:t>for the 12 SA rings core</w:t>
      </w:r>
      <w:r w:rsidR="00A25D66">
        <w:t xml:space="preserve"> and the fuel melting in ULOSSP is no longer avoided for the 13 SA rings </w:t>
      </w:r>
      <w:proofErr w:type="spellStart"/>
      <w:r w:rsidR="00A25D66">
        <w:t>core.Therefore</w:t>
      </w:r>
      <w:proofErr w:type="spellEnd"/>
      <w:r w:rsidR="00A25D66">
        <w:t xml:space="preserve">, </w:t>
      </w:r>
      <w:r w:rsidR="00192801" w:rsidRPr="00A84CE4">
        <w:t xml:space="preserve">a second </w:t>
      </w:r>
      <w:r>
        <w:t>SDDS</w:t>
      </w:r>
      <w:r w:rsidR="00192801" w:rsidRPr="00A84CE4">
        <w:t xml:space="preserve"> study has been performed </w:t>
      </w:r>
      <w:r w:rsidR="004C52CC">
        <w:t xml:space="preserve">at </w:t>
      </w:r>
      <w:r w:rsidR="00192801" w:rsidRPr="00A84CE4">
        <w:t xml:space="preserve">1100 MWe </w:t>
      </w:r>
      <w:r w:rsidR="00BA63BA" w:rsidRPr="00A84CE4">
        <w:t xml:space="preserve">with the objective </w:t>
      </w:r>
      <w:r w:rsidR="00652FC2" w:rsidRPr="00A84CE4">
        <w:t xml:space="preserve">to </w:t>
      </w:r>
      <w:r w:rsidR="007D4814">
        <w:t xml:space="preserve">find a new optimized core design and to </w:t>
      </w:r>
      <w:r w:rsidR="00652FC2" w:rsidRPr="00A84CE4">
        <w:t xml:space="preserve">determine </w:t>
      </w:r>
      <w:r w:rsidR="00BA63BA" w:rsidRPr="00A84CE4">
        <w:t>whether</w:t>
      </w:r>
      <w:r w:rsidR="00652FC2" w:rsidRPr="00A84CE4">
        <w:t>:</w:t>
      </w:r>
    </w:p>
    <w:p w14:paraId="448F7DE6" w14:textId="11C65058" w:rsidR="00652FC2" w:rsidRPr="00A84CE4" w:rsidRDefault="00652FC2" w:rsidP="00652FC2">
      <w:pPr>
        <w:pStyle w:val="Corpsdetexte"/>
        <w:numPr>
          <w:ilvl w:val="0"/>
          <w:numId w:val="35"/>
        </w:numPr>
      </w:pPr>
      <w:r w:rsidRPr="00A84CE4">
        <w:t>The</w:t>
      </w:r>
      <w:r w:rsidR="0036283B" w:rsidRPr="00A84CE4">
        <w:t xml:space="preserve"> trends </w:t>
      </w:r>
      <w:r w:rsidRPr="00A84CE4">
        <w:t>of the previous</w:t>
      </w:r>
      <w:r w:rsidR="0036283B" w:rsidRPr="00A84CE4">
        <w:t xml:space="preserve"> study (e.g. </w:t>
      </w:r>
      <w:r w:rsidR="00091834">
        <w:t xml:space="preserve">best designs have </w:t>
      </w:r>
      <w:r w:rsidR="0036283B" w:rsidRPr="00A84CE4">
        <w:t xml:space="preserve">large </w:t>
      </w:r>
      <w:r w:rsidR="00043D04">
        <w:t>pin</w:t>
      </w:r>
      <w:r w:rsidR="0036283B" w:rsidRPr="00A84CE4">
        <w:t xml:space="preserve">, large fertile plate, etc.) </w:t>
      </w:r>
      <w:r w:rsidRPr="00A84CE4">
        <w:t>are still the same at 1100 MWe</w:t>
      </w:r>
      <w:r w:rsidR="00BA63BA" w:rsidRPr="00A84CE4">
        <w:t>.</w:t>
      </w:r>
    </w:p>
    <w:p w14:paraId="62B5CE9C" w14:textId="003CE6C1" w:rsidR="0036283B" w:rsidRPr="00A84CE4" w:rsidRDefault="00652FC2" w:rsidP="00652FC2">
      <w:pPr>
        <w:pStyle w:val="Corpsdetexte"/>
        <w:numPr>
          <w:ilvl w:val="0"/>
          <w:numId w:val="35"/>
        </w:numPr>
      </w:pPr>
      <w:r w:rsidRPr="00A84CE4">
        <w:lastRenderedPageBreak/>
        <w:t>I</w:t>
      </w:r>
      <w:r w:rsidR="0036283B" w:rsidRPr="00A84CE4">
        <w:t>t</w:t>
      </w:r>
      <w:r w:rsidRPr="00A84CE4">
        <w:t xml:space="preserve"> is</w:t>
      </w:r>
      <w:r w:rsidR="0036283B" w:rsidRPr="00A84CE4">
        <w:t xml:space="preserve"> possible to find a </w:t>
      </w:r>
      <w:r w:rsidRPr="00A84CE4">
        <w:t>better</w:t>
      </w:r>
      <w:r w:rsidR="0036283B" w:rsidRPr="00A84CE4">
        <w:t xml:space="preserve"> compromise between safety performance</w:t>
      </w:r>
      <w:r w:rsidRPr="00A84CE4">
        <w:t>s and core diameter at 1100 MWe than the previously selected cores</w:t>
      </w:r>
      <w:r w:rsidR="00BA63BA" w:rsidRPr="00A84CE4">
        <w:t xml:space="preserve">: notably a 12 SA rings core with a </w:t>
      </w:r>
      <w:r w:rsidR="00466114">
        <w:t xml:space="preserve">lower </w:t>
      </w:r>
      <w:r w:rsidR="00BA63BA" w:rsidRPr="00A84CE4">
        <w:t xml:space="preserve">sodium temperature in ULOSSP and a 13 SA rings core with a positive margin to melting in UCWR. </w:t>
      </w:r>
    </w:p>
    <w:p w14:paraId="35FDD274" w14:textId="4A483806" w:rsidR="00163A44" w:rsidRPr="00A84CE4" w:rsidRDefault="007D4814" w:rsidP="00232F4D">
      <w:pPr>
        <w:pStyle w:val="Corpsdetexte"/>
      </w:pPr>
      <w:r>
        <w:t xml:space="preserve">This study is the focus of the current paper. </w:t>
      </w:r>
      <w:r w:rsidR="00163A44" w:rsidRPr="00A84CE4">
        <w:t>First, the SDDS me</w:t>
      </w:r>
      <w:r w:rsidR="00BA63BA" w:rsidRPr="00A84CE4">
        <w:t xml:space="preserve">thod and its application </w:t>
      </w:r>
      <w:r w:rsidR="00163A44" w:rsidRPr="00A84CE4">
        <w:t xml:space="preserve">is described in </w:t>
      </w:r>
      <w:r w:rsidR="00BA63BA" w:rsidRPr="00A84CE4">
        <w:t xml:space="preserve">section </w:t>
      </w:r>
      <w:r w:rsidR="00BA63BA" w:rsidRPr="00A84CE4">
        <w:fldChar w:fldCharType="begin"/>
      </w:r>
      <w:r w:rsidR="00BA63BA" w:rsidRPr="00A84CE4">
        <w:instrText xml:space="preserve"> REF _Ref68811309 \r \h </w:instrText>
      </w:r>
      <w:r w:rsidR="00BA63BA" w:rsidRPr="00A84CE4">
        <w:fldChar w:fldCharType="separate"/>
      </w:r>
      <w:r w:rsidR="00466114">
        <w:t>2</w:t>
      </w:r>
      <w:r w:rsidR="00BA63BA" w:rsidRPr="00A84CE4">
        <w:fldChar w:fldCharType="end"/>
      </w:r>
      <w:r w:rsidR="00163A44" w:rsidRPr="00A84CE4">
        <w:t>. In section</w:t>
      </w:r>
      <w:r w:rsidR="00E72EEE">
        <w:t xml:space="preserve"> </w:t>
      </w:r>
      <w:r w:rsidR="00E72EEE">
        <w:fldChar w:fldCharType="begin"/>
      </w:r>
      <w:r w:rsidR="00E72EEE">
        <w:instrText xml:space="preserve"> REF _Ref87373181 \r \h </w:instrText>
      </w:r>
      <w:r w:rsidR="00E72EEE">
        <w:fldChar w:fldCharType="separate"/>
      </w:r>
      <w:r w:rsidR="00466114">
        <w:t>3</w:t>
      </w:r>
      <w:r w:rsidR="00E72EEE">
        <w:fldChar w:fldCharType="end"/>
      </w:r>
      <w:r w:rsidR="00BA63BA" w:rsidRPr="00A84CE4">
        <w:t>, the results of the SDDS</w:t>
      </w:r>
      <w:r w:rsidR="00163A44" w:rsidRPr="00A84CE4">
        <w:t xml:space="preserve"> study</w:t>
      </w:r>
      <w:r w:rsidR="00BA63BA" w:rsidRPr="00A84CE4">
        <w:t xml:space="preserve"> at 1100 MWe are analysed and </w:t>
      </w:r>
      <w:r w:rsidR="00163A44" w:rsidRPr="00A84CE4">
        <w:t xml:space="preserve">compared to the previous </w:t>
      </w:r>
      <w:r w:rsidR="00BA63BA" w:rsidRPr="00A84CE4">
        <w:t>study</w:t>
      </w:r>
      <w:r w:rsidR="00417749">
        <w:t xml:space="preserve"> at 1000 MWe</w:t>
      </w:r>
      <w:r w:rsidR="00163A44" w:rsidRPr="00A84CE4">
        <w:t xml:space="preserve">. </w:t>
      </w:r>
      <w:r w:rsidR="00BA63BA" w:rsidRPr="00A84CE4">
        <w:t>Finally</w:t>
      </w:r>
      <w:r w:rsidR="00163A44" w:rsidRPr="00A84CE4">
        <w:t xml:space="preserve">, some complementary studies were performed </w:t>
      </w:r>
      <w:r w:rsidR="00BA63BA" w:rsidRPr="00A84CE4">
        <w:t>to investigate further improvement routes;</w:t>
      </w:r>
      <w:r w:rsidR="00163A44" w:rsidRPr="00A84CE4">
        <w:t xml:space="preserve"> their resu</w:t>
      </w:r>
      <w:r w:rsidR="00BA63BA" w:rsidRPr="00A84CE4">
        <w:t xml:space="preserve">lts are summarized in section </w:t>
      </w:r>
      <w:r w:rsidR="00BA63BA" w:rsidRPr="00A84CE4">
        <w:fldChar w:fldCharType="begin"/>
      </w:r>
      <w:r w:rsidR="00BA63BA" w:rsidRPr="00A84CE4">
        <w:instrText xml:space="preserve"> REF _Ref68812271 \r \h </w:instrText>
      </w:r>
      <w:r w:rsidR="00BA63BA" w:rsidRPr="00A84CE4">
        <w:fldChar w:fldCharType="separate"/>
      </w:r>
      <w:r w:rsidR="00466114">
        <w:t>4</w:t>
      </w:r>
      <w:r w:rsidR="00BA63BA" w:rsidRPr="00A84CE4">
        <w:fldChar w:fldCharType="end"/>
      </w:r>
      <w:r w:rsidR="00163A44" w:rsidRPr="00A84CE4">
        <w:t>.</w:t>
      </w:r>
    </w:p>
    <w:p w14:paraId="433FE04F" w14:textId="1B065684" w:rsidR="00E25B68" w:rsidRPr="00A84CE4" w:rsidRDefault="00AF7783" w:rsidP="0026525A">
      <w:pPr>
        <w:pStyle w:val="Titre2"/>
        <w:numPr>
          <w:ilvl w:val="1"/>
          <w:numId w:val="10"/>
        </w:numPr>
      </w:pPr>
      <w:bookmarkStart w:id="0" w:name="_Ref68811309"/>
      <w:r w:rsidRPr="00A84CE4">
        <w:t>SDDS Method</w:t>
      </w:r>
      <w:bookmarkEnd w:id="0"/>
    </w:p>
    <w:p w14:paraId="4E83E162" w14:textId="693C3DF1" w:rsidR="006A7451" w:rsidRPr="00A84CE4" w:rsidRDefault="006A7451" w:rsidP="006A7451">
      <w:pPr>
        <w:pStyle w:val="Titre3"/>
      </w:pPr>
      <w:r w:rsidRPr="00A84CE4">
        <w:t>General overview of the method</w:t>
      </w:r>
    </w:p>
    <w:p w14:paraId="674F3E75" w14:textId="55349546" w:rsidR="00AF7783" w:rsidRDefault="00BB01A1" w:rsidP="00AF7783">
      <w:pPr>
        <w:pStyle w:val="Corpsdetexte"/>
      </w:pPr>
      <w:r w:rsidRPr="00A84CE4">
        <w:t>SDDS is a met</w:t>
      </w:r>
      <w:r w:rsidR="0036283B" w:rsidRPr="00A84CE4">
        <w:t xml:space="preserve">hod meant to help </w:t>
      </w:r>
      <w:r w:rsidRPr="00A84CE4">
        <w:t xml:space="preserve">SFR core </w:t>
      </w:r>
      <w:r w:rsidR="00417749">
        <w:t>designing</w:t>
      </w:r>
      <w:r w:rsidR="007D4814" w:rsidRPr="00A84CE4">
        <w:t xml:space="preserve"> </w:t>
      </w:r>
      <w:r w:rsidR="003A439C" w:rsidRPr="00A84CE4">
        <w:t>and optimisation</w:t>
      </w:r>
      <w:r w:rsidR="002C124D" w:rsidRPr="00A84CE4">
        <w:t xml:space="preserve"> developed at EDF-R&amp;D for more than 10 years </w:t>
      </w:r>
      <w:r w:rsidR="002A4F1B">
        <w:fldChar w:fldCharType="begin"/>
      </w:r>
      <w:r w:rsidR="002A4F1B">
        <w:instrText xml:space="preserve"> REF _Ref68852996 \r \h </w:instrText>
      </w:r>
      <w:r w:rsidR="002A4F1B">
        <w:fldChar w:fldCharType="separate"/>
      </w:r>
      <w:r w:rsidR="00466114">
        <w:t>[2]</w:t>
      </w:r>
      <w:r w:rsidR="002A4F1B">
        <w:fldChar w:fldCharType="end"/>
      </w:r>
      <w:r w:rsidR="002C124D" w:rsidRPr="00A84CE4">
        <w:fldChar w:fldCharType="begin"/>
      </w:r>
      <w:r w:rsidR="002C124D" w:rsidRPr="00A84CE4">
        <w:instrText xml:space="preserve"> REF _Ref68798171 \r \h </w:instrText>
      </w:r>
      <w:r w:rsidR="002C124D" w:rsidRPr="00A84CE4">
        <w:fldChar w:fldCharType="separate"/>
      </w:r>
      <w:r w:rsidR="00466114">
        <w:t>[3]</w:t>
      </w:r>
      <w:r w:rsidR="002C124D" w:rsidRPr="00A84CE4">
        <w:fldChar w:fldCharType="end"/>
      </w:r>
      <w:r w:rsidR="0036283B" w:rsidRPr="00A84CE4">
        <w:t>.</w:t>
      </w:r>
      <w:r w:rsidR="001976EA" w:rsidRPr="00A84CE4">
        <w:t xml:space="preserve"> It provides designers with an overall </w:t>
      </w:r>
      <w:r w:rsidR="00417749">
        <w:t>view</w:t>
      </w:r>
      <w:r w:rsidR="0036283B" w:rsidRPr="00A84CE4">
        <w:t xml:space="preserve"> </w:t>
      </w:r>
      <w:r w:rsidR="001976EA" w:rsidRPr="00A84CE4">
        <w:t>of core</w:t>
      </w:r>
      <w:r w:rsidR="00464282" w:rsidRPr="00A84CE4">
        <w:t>s</w:t>
      </w:r>
      <w:r w:rsidR="001976EA" w:rsidRPr="00A84CE4">
        <w:t xml:space="preserve"> performances on a parametric space. </w:t>
      </w:r>
      <w:r w:rsidR="0036283B" w:rsidRPr="00A84CE4">
        <w:t xml:space="preserve">The main steps of the method are </w:t>
      </w:r>
      <w:r w:rsidR="0082423E" w:rsidRPr="00A84CE4">
        <w:t xml:space="preserve">presented in </w:t>
      </w:r>
      <w:r w:rsidR="0082423E" w:rsidRPr="00A84CE4">
        <w:fldChar w:fldCharType="begin"/>
      </w:r>
      <w:r w:rsidR="0082423E" w:rsidRPr="00A84CE4">
        <w:instrText xml:space="preserve"> REF _Ref68543506 \h </w:instrText>
      </w:r>
      <w:r w:rsidR="0082423E" w:rsidRPr="00A84CE4">
        <w:fldChar w:fldCharType="separate"/>
      </w:r>
      <w:r w:rsidR="00466114" w:rsidRPr="002F1EA8">
        <w:rPr>
          <w:i/>
        </w:rPr>
        <w:t xml:space="preserve">FIG. </w:t>
      </w:r>
      <w:r w:rsidR="00466114">
        <w:rPr>
          <w:i/>
          <w:noProof/>
        </w:rPr>
        <w:t>1</w:t>
      </w:r>
      <w:r w:rsidR="0082423E" w:rsidRPr="00A84CE4">
        <w:fldChar w:fldCharType="end"/>
      </w:r>
      <w:r w:rsidR="007D4814">
        <w:t xml:space="preserve"> and </w:t>
      </w:r>
      <w:r w:rsidR="00417749">
        <w:t>are</w:t>
      </w:r>
      <w:r w:rsidR="007D4814">
        <w:t xml:space="preserve"> detailed hereafter</w:t>
      </w:r>
      <w:r w:rsidR="00417749">
        <w:t>.</w:t>
      </w:r>
    </w:p>
    <w:p w14:paraId="5D4F90D8" w14:textId="77777777" w:rsidR="001025CA" w:rsidRDefault="001025CA" w:rsidP="00AF7783">
      <w:pPr>
        <w:pStyle w:val="Corpsdetexte"/>
      </w:pPr>
    </w:p>
    <w:p w14:paraId="697ED7FC" w14:textId="77777777" w:rsidR="001025CA" w:rsidRPr="00A84CE4" w:rsidRDefault="001025CA" w:rsidP="001025CA">
      <w:pPr>
        <w:pStyle w:val="Corpsdetexte"/>
        <w:keepNext/>
        <w:jc w:val="center"/>
      </w:pPr>
      <w:r>
        <w:rPr>
          <w:noProof/>
          <w:lang w:val="fr-FR" w:eastAsia="fr-FR"/>
        </w:rPr>
        <w:drawing>
          <wp:inline distT="0" distB="0" distL="0" distR="0" wp14:anchorId="6451E649" wp14:editId="34FC7C2D">
            <wp:extent cx="4429125" cy="2209903"/>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dds_method.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442658" cy="2216655"/>
                    </a:xfrm>
                    <a:prstGeom prst="rect">
                      <a:avLst/>
                    </a:prstGeom>
                  </pic:spPr>
                </pic:pic>
              </a:graphicData>
            </a:graphic>
          </wp:inline>
        </w:drawing>
      </w:r>
    </w:p>
    <w:p w14:paraId="4230C712" w14:textId="77777777" w:rsidR="001025CA" w:rsidRPr="00424F75" w:rsidRDefault="001025CA" w:rsidP="001025CA">
      <w:pPr>
        <w:pStyle w:val="Lgende"/>
        <w:jc w:val="center"/>
        <w:rPr>
          <w:i/>
          <w:lang w:val="en-GB"/>
        </w:rPr>
      </w:pPr>
      <w:bookmarkStart w:id="1" w:name="_Ref68543506"/>
      <w:r w:rsidRPr="002F1EA8">
        <w:rPr>
          <w:i/>
          <w:lang w:val="en-GB"/>
        </w:rPr>
        <w:t xml:space="preserve">FIG. </w:t>
      </w:r>
      <w:r w:rsidRPr="002F1EA8">
        <w:rPr>
          <w:i/>
          <w:lang w:val="en-GB"/>
        </w:rPr>
        <w:fldChar w:fldCharType="begin"/>
      </w:r>
      <w:r w:rsidRPr="002F1EA8">
        <w:rPr>
          <w:i/>
          <w:lang w:val="en-GB"/>
        </w:rPr>
        <w:instrText xml:space="preserve"> SEQ Figure \* ARABIC </w:instrText>
      </w:r>
      <w:r w:rsidRPr="002F1EA8">
        <w:rPr>
          <w:i/>
          <w:lang w:val="en-GB"/>
        </w:rPr>
        <w:fldChar w:fldCharType="separate"/>
      </w:r>
      <w:r>
        <w:rPr>
          <w:i/>
          <w:noProof/>
          <w:lang w:val="en-GB"/>
        </w:rPr>
        <w:t>1</w:t>
      </w:r>
      <w:r w:rsidRPr="002F1EA8">
        <w:rPr>
          <w:i/>
          <w:lang w:val="en-GB"/>
        </w:rPr>
        <w:fldChar w:fldCharType="end"/>
      </w:r>
      <w:bookmarkEnd w:id="1"/>
      <w:r w:rsidRPr="002F1EA8">
        <w:rPr>
          <w:i/>
          <w:lang w:val="en-GB"/>
        </w:rPr>
        <w:t>. Main steps of the SDDS method</w:t>
      </w:r>
    </w:p>
    <w:p w14:paraId="3DFB3722" w14:textId="77777777" w:rsidR="001025CA" w:rsidRPr="00A84CE4" w:rsidRDefault="001025CA" w:rsidP="00AF7783">
      <w:pPr>
        <w:pStyle w:val="Corpsdetexte"/>
      </w:pPr>
    </w:p>
    <w:p w14:paraId="478C612C" w14:textId="29A00EA4" w:rsidR="009D3334" w:rsidRPr="00A84CE4" w:rsidRDefault="00C4496B" w:rsidP="009D3334">
      <w:pPr>
        <w:pStyle w:val="Corpsdetexte"/>
      </w:pPr>
      <w:r>
        <w:t>Step</w:t>
      </w:r>
      <w:r w:rsidR="00B50FFF">
        <w:t xml:space="preserve"> </w:t>
      </w:r>
      <w:r>
        <w:t xml:space="preserve">1: </w:t>
      </w:r>
      <w:r w:rsidR="009D3334" w:rsidRPr="00A84CE4">
        <w:t xml:space="preserve">a design </w:t>
      </w:r>
      <w:r w:rsidR="005A58F3">
        <w:t xml:space="preserve">of </w:t>
      </w:r>
      <w:r w:rsidR="009D3334" w:rsidRPr="00A84CE4">
        <w:t>experiment</w:t>
      </w:r>
      <w:r w:rsidR="005A58F3">
        <w:t>s</w:t>
      </w:r>
      <w:r w:rsidR="009D3334" w:rsidRPr="00A84CE4">
        <w:t xml:space="preserve"> (</w:t>
      </w:r>
      <w:r w:rsidR="00536236" w:rsidRPr="00A84CE4">
        <w:t>which consists</w:t>
      </w:r>
      <w:r w:rsidR="009D3334" w:rsidRPr="00A84CE4">
        <w:t xml:space="preserve"> </w:t>
      </w:r>
      <w:r w:rsidR="00536236" w:rsidRPr="00A84CE4">
        <w:t xml:space="preserve">of </w:t>
      </w:r>
      <w:r w:rsidR="009D3334" w:rsidRPr="00A84CE4">
        <w:t>a few thousand core designs) is generated in the studied space (</w:t>
      </w:r>
      <w:r w:rsidR="00536236" w:rsidRPr="00A84CE4">
        <w:t>defined by</w:t>
      </w:r>
      <w:r w:rsidR="009D3334" w:rsidRPr="00A84CE4">
        <w:t xml:space="preserve"> the variation of some geometric parameters such as </w:t>
      </w:r>
      <w:r w:rsidR="00536236" w:rsidRPr="00A84CE4">
        <w:t>the pin radius</w:t>
      </w:r>
      <w:r w:rsidR="009D3334" w:rsidRPr="00A84CE4">
        <w:t xml:space="preserve">, </w:t>
      </w:r>
      <w:r w:rsidR="00536236" w:rsidRPr="00A84CE4">
        <w:t>the fissile fuel height</w:t>
      </w:r>
      <w:r w:rsidR="009D3334" w:rsidRPr="00A84CE4">
        <w:t>, etc.)</w:t>
      </w:r>
      <w:r w:rsidR="00536236" w:rsidRPr="00A84CE4">
        <w:t>.</w:t>
      </w:r>
    </w:p>
    <w:p w14:paraId="5B2E214A" w14:textId="6152687B" w:rsidR="00AF7783" w:rsidRPr="00A84CE4" w:rsidRDefault="00C4496B" w:rsidP="009D3334">
      <w:pPr>
        <w:pStyle w:val="Corpsdetexte"/>
      </w:pPr>
      <w:r>
        <w:t>Step 2: t</w:t>
      </w:r>
      <w:r w:rsidR="009D3334" w:rsidRPr="00A84CE4">
        <w:t xml:space="preserve">he performances of each </w:t>
      </w:r>
      <w:r w:rsidR="00D274D5" w:rsidRPr="00A84CE4">
        <w:t>core of the design</w:t>
      </w:r>
      <w:r w:rsidR="005A58F3">
        <w:t xml:space="preserve"> of</w:t>
      </w:r>
      <w:r w:rsidR="00D274D5" w:rsidRPr="00A84CE4">
        <w:t xml:space="preserve"> experiment</w:t>
      </w:r>
      <w:r w:rsidR="005A58F3">
        <w:t>s</w:t>
      </w:r>
      <w:r w:rsidR="00D274D5" w:rsidRPr="00A84CE4">
        <w:t xml:space="preserve"> are</w:t>
      </w:r>
      <w:r w:rsidR="009D3334" w:rsidRPr="00A84CE4">
        <w:t xml:space="preserve"> evaluated thanks to </w:t>
      </w:r>
      <w:r w:rsidR="00D274D5" w:rsidRPr="00A84CE4">
        <w:t>a parametric c</w:t>
      </w:r>
      <w:r w:rsidR="001976EA" w:rsidRPr="00A84CE4">
        <w:t>alculation</w:t>
      </w:r>
      <w:r w:rsidR="00D274D5" w:rsidRPr="00A84CE4">
        <w:t xml:space="preserve"> scheme</w:t>
      </w:r>
      <w:r w:rsidR="00464282" w:rsidRPr="00A84CE4">
        <w:t xml:space="preserve"> </w:t>
      </w:r>
      <w:r w:rsidR="00D274D5" w:rsidRPr="00A84CE4">
        <w:t>includ</w:t>
      </w:r>
      <w:r w:rsidR="00464282" w:rsidRPr="00A84CE4">
        <w:t>ing</w:t>
      </w:r>
      <w:r w:rsidR="00D274D5" w:rsidRPr="00A84CE4">
        <w:t xml:space="preserve"> the codes</w:t>
      </w:r>
      <w:r w:rsidR="002C124D" w:rsidRPr="00A84CE4">
        <w:t xml:space="preserve">: ERANOS </w:t>
      </w:r>
      <w:r w:rsidR="002C124D" w:rsidRPr="00A84CE4">
        <w:fldChar w:fldCharType="begin"/>
      </w:r>
      <w:r w:rsidR="002C124D" w:rsidRPr="00A84CE4">
        <w:instrText xml:space="preserve"> REF _Ref68800103 \r \h </w:instrText>
      </w:r>
      <w:r w:rsidR="002C124D" w:rsidRPr="00A84CE4">
        <w:fldChar w:fldCharType="separate"/>
      </w:r>
      <w:r w:rsidR="00466114">
        <w:t>[4]</w:t>
      </w:r>
      <w:r w:rsidR="002C124D" w:rsidRPr="00A84CE4">
        <w:fldChar w:fldCharType="end"/>
      </w:r>
      <w:r w:rsidR="002C124D" w:rsidRPr="00A84CE4">
        <w:t xml:space="preserve"> for the neutronics, MAT5DYN</w:t>
      </w:r>
      <w:r w:rsidR="00EC27C0">
        <w:t xml:space="preserve"> </w:t>
      </w:r>
      <w:r w:rsidR="00EC27C0">
        <w:fldChar w:fldCharType="begin"/>
      </w:r>
      <w:r w:rsidR="00EC27C0">
        <w:instrText xml:space="preserve"> REF _Ref68856524 \r \h </w:instrText>
      </w:r>
      <w:r w:rsidR="00EC27C0">
        <w:fldChar w:fldCharType="separate"/>
      </w:r>
      <w:r w:rsidR="00466114">
        <w:t>[5]</w:t>
      </w:r>
      <w:r w:rsidR="00EC27C0">
        <w:fldChar w:fldCharType="end"/>
      </w:r>
      <w:r w:rsidR="002C124D" w:rsidRPr="00A84CE4">
        <w:t xml:space="preserve"> </w:t>
      </w:r>
      <w:r w:rsidR="00D274D5" w:rsidRPr="00A84CE4">
        <w:t xml:space="preserve">for the accidental transients calculation and </w:t>
      </w:r>
      <w:r w:rsidR="00464282" w:rsidRPr="00A84CE4">
        <w:t>GERMINAL</w:t>
      </w:r>
      <w:r w:rsidR="00EC27C0">
        <w:t xml:space="preserve"> </w:t>
      </w:r>
      <w:r w:rsidR="00EC27C0">
        <w:fldChar w:fldCharType="begin"/>
      </w:r>
      <w:r w:rsidR="00EC27C0">
        <w:instrText xml:space="preserve"> REF _Ref68856542 \r \h </w:instrText>
      </w:r>
      <w:r w:rsidR="00EC27C0">
        <w:fldChar w:fldCharType="separate"/>
      </w:r>
      <w:r w:rsidR="00466114">
        <w:t>[6]</w:t>
      </w:r>
      <w:r w:rsidR="00EC27C0">
        <w:fldChar w:fldCharType="end"/>
      </w:r>
      <w:r w:rsidR="00D274D5" w:rsidRPr="00A84CE4">
        <w:t xml:space="preserve"> for the pin thermo-mec</w:t>
      </w:r>
      <w:r w:rsidR="005A58F3">
        <w:t>h</w:t>
      </w:r>
      <w:r w:rsidR="00D274D5" w:rsidRPr="00A84CE4">
        <w:t xml:space="preserve">anics. </w:t>
      </w:r>
      <w:r w:rsidR="00464282" w:rsidRPr="00A84CE4">
        <w:t>ERANOS is used to perform 2D and 3D neutronics calculation</w:t>
      </w:r>
      <w:r w:rsidR="00131684">
        <w:t xml:space="preserve">. In particular, it is used to </w:t>
      </w:r>
      <w:r w:rsidR="00131684" w:rsidRPr="00131684">
        <w:t>adjust the plutonium content in the inner and outer cores</w:t>
      </w:r>
      <w:r w:rsidR="00131684">
        <w:t xml:space="preserve">, to simulate </w:t>
      </w:r>
      <w:r w:rsidR="00131684" w:rsidRPr="00131684">
        <w:t xml:space="preserve">fuel depletion until equilibrium and </w:t>
      </w:r>
      <w:r w:rsidR="00131684">
        <w:t xml:space="preserve">to study the </w:t>
      </w:r>
      <w:r w:rsidR="00131684" w:rsidRPr="00131684">
        <w:t>equilibrium cycle</w:t>
      </w:r>
      <w:r w:rsidR="00131684">
        <w:t xml:space="preserve">. The modelling </w:t>
      </w:r>
      <w:proofErr w:type="gramStart"/>
      <w:r w:rsidR="00131684">
        <w:t>takes</w:t>
      </w:r>
      <w:r w:rsidR="00464282" w:rsidRPr="00A84CE4">
        <w:t xml:space="preserve"> into account</w:t>
      </w:r>
      <w:proofErr w:type="gramEnd"/>
      <w:r w:rsidR="00464282" w:rsidRPr="00A84CE4">
        <w:t xml:space="preserve"> the </w:t>
      </w:r>
      <w:r w:rsidR="00466114">
        <w:t xml:space="preserve">control </w:t>
      </w:r>
      <w:r w:rsidR="00464282" w:rsidRPr="00A84CE4">
        <w:t>rods inserti</w:t>
      </w:r>
      <w:r w:rsidR="00131684">
        <w:t xml:space="preserve">on and the core loading </w:t>
      </w:r>
      <w:r w:rsidR="007D4814">
        <w:t>scheme</w:t>
      </w:r>
      <w:r w:rsidR="00131684">
        <w:t>. ERANOS</w:t>
      </w:r>
      <w:r w:rsidR="00464282" w:rsidRPr="00A84CE4">
        <w:t xml:space="preserve"> </w:t>
      </w:r>
      <w:r w:rsidR="00395AA2" w:rsidRPr="00A84CE4">
        <w:t>is used</w:t>
      </w:r>
      <w:r w:rsidR="00464282" w:rsidRPr="00A84CE4">
        <w:t xml:space="preserve"> to determine performances such as the </w:t>
      </w:r>
      <w:r w:rsidR="005A58F3">
        <w:t xml:space="preserve">reactivity </w:t>
      </w:r>
      <w:r w:rsidR="00464282" w:rsidRPr="00A84CE4">
        <w:t xml:space="preserve">feedback </w:t>
      </w:r>
      <w:r w:rsidR="005A58F3">
        <w:t>effects</w:t>
      </w:r>
      <w:r w:rsidR="00464282" w:rsidRPr="00A84CE4">
        <w:t>, the reactivity loss during one cycle or the breeding ratio.</w:t>
      </w:r>
      <w:r w:rsidR="00131684">
        <w:t xml:space="preserve"> It also transfers data to GERMINAL regarding the accidental scenario of </w:t>
      </w:r>
      <w:r w:rsidR="00131684" w:rsidRPr="00A84CE4">
        <w:t>Unprotected Control Rod Withdrawal (UCWR)</w:t>
      </w:r>
      <w:r w:rsidR="00131684">
        <w:t>.</w:t>
      </w:r>
      <w:r w:rsidR="00464282" w:rsidRPr="00A84CE4">
        <w:t xml:space="preserve"> </w:t>
      </w:r>
      <w:r w:rsidR="003B59C5" w:rsidRPr="00A84CE4">
        <w:t xml:space="preserve">GERMINAL computes the thermo-mechanical behaviour of the fuel pin in nominal and accidental states. It is used to determine margin to fuel melting in nominal condition or in the accidental case of </w:t>
      </w:r>
      <w:r w:rsidR="003B59C5">
        <w:t>UCWR</w:t>
      </w:r>
      <w:r w:rsidR="003B59C5" w:rsidRPr="00A84CE4">
        <w:t xml:space="preserve">. </w:t>
      </w:r>
      <w:r w:rsidR="00464282" w:rsidRPr="00A84CE4">
        <w:t xml:space="preserve">MAT5DYN uses a multi-channel description, a simplified pin thermal evaluation, and a point kinetics neutronics model to simulate several transients such as Unprotected Loss of Service Station Power (ULOSSP). It allows to determine the sodium temperature at core outlet during those transients. </w:t>
      </w:r>
      <w:r w:rsidR="007D4814">
        <w:t>It is worth mentioning that</w:t>
      </w:r>
      <w:r w:rsidR="00464282" w:rsidRPr="00A84CE4">
        <w:t xml:space="preserve"> MAT5DYN is based on a single-p</w:t>
      </w:r>
      <w:r w:rsidR="00395AA2" w:rsidRPr="00A84CE4">
        <w:t>hase description of the coolant</w:t>
      </w:r>
      <w:r w:rsidR="00464282" w:rsidRPr="00A84CE4">
        <w:t xml:space="preserve"> and an extrapolation of the coolant temperature after reaching the boiling temperature. </w:t>
      </w:r>
      <w:r w:rsidR="00395AA2" w:rsidRPr="00A84CE4">
        <w:t>T</w:t>
      </w:r>
      <w:r w:rsidR="00464282" w:rsidRPr="00A84CE4">
        <w:t xml:space="preserve">his approximation </w:t>
      </w:r>
      <w:r w:rsidR="00395AA2" w:rsidRPr="00A84CE4">
        <w:t>is considered acceptable here as we only perform comparative analysis</w:t>
      </w:r>
      <w:r w:rsidR="00464282" w:rsidRPr="00A84CE4">
        <w:t>.</w:t>
      </w:r>
      <w:r w:rsidR="00395AA2" w:rsidRPr="00A84CE4">
        <w:t xml:space="preserve"> </w:t>
      </w:r>
    </w:p>
    <w:p w14:paraId="13BFFFDC" w14:textId="72537A3B" w:rsidR="00AF7783" w:rsidRPr="00A84CE4" w:rsidRDefault="00C4496B" w:rsidP="00AF7783">
      <w:pPr>
        <w:pStyle w:val="Corpsdetexte"/>
      </w:pPr>
      <w:r>
        <w:t xml:space="preserve">Step 3: </w:t>
      </w:r>
      <w:r w:rsidR="001976EA" w:rsidRPr="00A84CE4">
        <w:t xml:space="preserve">A few performances of interest are selected </w:t>
      </w:r>
      <w:r w:rsidR="002F7ED6" w:rsidRPr="00A84CE4">
        <w:t xml:space="preserve">among those evaluated </w:t>
      </w:r>
      <w:r>
        <w:t>in step 2</w:t>
      </w:r>
      <w:r w:rsidR="002F7ED6" w:rsidRPr="00A84CE4">
        <w:t xml:space="preserve"> (e.g. the sodium temperature in ULOSSP, the fuel margin to melting in UCWR, etc.). F</w:t>
      </w:r>
      <w:r w:rsidR="002F1EA8">
        <w:t>or each of them, a surrogate</w:t>
      </w:r>
      <w:r w:rsidR="002F1EA8" w:rsidRPr="00A84CE4">
        <w:t xml:space="preserve"> </w:t>
      </w:r>
      <w:r w:rsidR="00395AA2" w:rsidRPr="00A84CE4">
        <w:t>model</w:t>
      </w:r>
      <w:r w:rsidR="002F1EA8">
        <w:t xml:space="preserve"> </w:t>
      </w:r>
      <w:r w:rsidR="00395AA2" w:rsidRPr="00A84CE4">
        <w:t xml:space="preserve">is </w:t>
      </w:r>
      <w:r w:rsidR="002F7ED6" w:rsidRPr="00A84CE4">
        <w:t xml:space="preserve">computed using the kriging interpolation method </w:t>
      </w:r>
      <w:r w:rsidR="002F7ED6" w:rsidRPr="00A84CE4">
        <w:fldChar w:fldCharType="begin"/>
      </w:r>
      <w:r w:rsidR="002F7ED6" w:rsidRPr="00A84CE4">
        <w:instrText xml:space="preserve"> REF _Ref68808033 \r \h </w:instrText>
      </w:r>
      <w:r w:rsidR="002F7ED6" w:rsidRPr="00A84CE4">
        <w:fldChar w:fldCharType="separate"/>
      </w:r>
      <w:r w:rsidR="00466114">
        <w:t>[7]</w:t>
      </w:r>
      <w:r w:rsidR="002F7ED6" w:rsidRPr="00A84CE4">
        <w:fldChar w:fldCharType="end"/>
      </w:r>
      <w:r w:rsidR="00131684">
        <w:t>. T</w:t>
      </w:r>
      <w:r w:rsidR="00395AA2" w:rsidRPr="00A84CE4">
        <w:t xml:space="preserve">he results of step </w:t>
      </w:r>
      <w:r w:rsidR="00B50FFF">
        <w:t xml:space="preserve">2 </w:t>
      </w:r>
      <w:r w:rsidR="00131684">
        <w:t xml:space="preserve">are used </w:t>
      </w:r>
      <w:r w:rsidR="00395AA2" w:rsidRPr="00A84CE4">
        <w:t xml:space="preserve">as </w:t>
      </w:r>
      <w:r w:rsidR="00E0364C" w:rsidRPr="00A84CE4">
        <w:t xml:space="preserve">a </w:t>
      </w:r>
      <w:r w:rsidR="00395AA2" w:rsidRPr="00A84CE4">
        <w:t xml:space="preserve">reference </w:t>
      </w:r>
      <w:r w:rsidR="00E0364C" w:rsidRPr="00A84CE4">
        <w:t>data basis</w:t>
      </w:r>
      <w:r w:rsidR="002F1EA8">
        <w:t xml:space="preserve"> for the surrogate </w:t>
      </w:r>
      <w:r w:rsidR="00131684">
        <w:t>models computation</w:t>
      </w:r>
      <w:r w:rsidR="00395AA2" w:rsidRPr="00A84CE4">
        <w:t xml:space="preserve">. </w:t>
      </w:r>
    </w:p>
    <w:p w14:paraId="236662E6" w14:textId="5C339917" w:rsidR="00C4496B" w:rsidRDefault="00C4496B" w:rsidP="00536236">
      <w:pPr>
        <w:pStyle w:val="Corpsdetexte"/>
      </w:pPr>
      <w:r>
        <w:lastRenderedPageBreak/>
        <w:t>Step 4: a</w:t>
      </w:r>
      <w:r w:rsidR="00D274D5" w:rsidRPr="00A84CE4">
        <w:t xml:space="preserve"> prediction grid (which consists of a few </w:t>
      </w:r>
      <w:r w:rsidR="00E74F62" w:rsidRPr="00A84CE4">
        <w:t>million</w:t>
      </w:r>
      <w:r w:rsidR="00D274D5" w:rsidRPr="00A84CE4">
        <w:t xml:space="preserve"> points) is generated as a fine </w:t>
      </w:r>
      <w:r w:rsidR="00E74F62" w:rsidRPr="00A84CE4">
        <w:t>mesh over</w:t>
      </w:r>
      <w:r w:rsidR="00D274D5" w:rsidRPr="00A84CE4">
        <w:t xml:space="preserve"> the studied space</w:t>
      </w:r>
      <w:r w:rsidR="00E74F62" w:rsidRPr="00A84CE4">
        <w:t xml:space="preserve">. </w:t>
      </w:r>
    </w:p>
    <w:p w14:paraId="429EE1AB" w14:textId="4284DECC" w:rsidR="00AF7783" w:rsidRPr="00A84CE4" w:rsidRDefault="00C4496B" w:rsidP="00536236">
      <w:pPr>
        <w:pStyle w:val="Corpsdetexte"/>
      </w:pPr>
      <w:r>
        <w:t>Step 5: f</w:t>
      </w:r>
      <w:r w:rsidR="00536236" w:rsidRPr="00A84CE4">
        <w:t xml:space="preserve">or each design of the prediction grid, the selected performances are predicted with the </w:t>
      </w:r>
      <w:r w:rsidR="002F1EA8">
        <w:t>surrogate</w:t>
      </w:r>
      <w:r w:rsidR="002F1EA8" w:rsidRPr="00A84CE4">
        <w:t xml:space="preserve"> </w:t>
      </w:r>
      <w:r w:rsidR="00E74F62" w:rsidRPr="00A84CE4">
        <w:t>models</w:t>
      </w:r>
      <w:r w:rsidR="00536236" w:rsidRPr="00A84CE4">
        <w:t xml:space="preserve">. This produces a database with the </w:t>
      </w:r>
      <w:r w:rsidR="00E74F62" w:rsidRPr="00A84CE4">
        <w:t>characteristics</w:t>
      </w:r>
      <w:r w:rsidR="00536236" w:rsidRPr="00A84CE4">
        <w:t xml:space="preserve"> and performances of all the core designs in the prediction grid. </w:t>
      </w:r>
    </w:p>
    <w:p w14:paraId="416819BE" w14:textId="7E6410F9" w:rsidR="004C1AE8" w:rsidRPr="00A84CE4" w:rsidRDefault="00C4496B" w:rsidP="004C1AE8">
      <w:pPr>
        <w:pStyle w:val="Corpsdetexte"/>
      </w:pPr>
      <w:r>
        <w:t xml:space="preserve">Step 6: </w:t>
      </w:r>
      <w:r w:rsidR="009D3334" w:rsidRPr="00A84CE4">
        <w:t xml:space="preserve"> the results of the prediction are analysed. They c</w:t>
      </w:r>
      <w:r w:rsidR="003A439C" w:rsidRPr="00A84CE4">
        <w:t xml:space="preserve">an be used to </w:t>
      </w:r>
      <w:r w:rsidR="00717F71">
        <w:t>determine</w:t>
      </w:r>
      <w:r w:rsidR="00717F71" w:rsidRPr="00A84CE4">
        <w:t xml:space="preserve"> </w:t>
      </w:r>
      <w:r w:rsidR="001C4D5D" w:rsidRPr="00A84CE4">
        <w:t xml:space="preserve">general trends over </w:t>
      </w:r>
      <w:r w:rsidR="002F7ED6" w:rsidRPr="00A84CE4">
        <w:t xml:space="preserve">the </w:t>
      </w:r>
      <w:r w:rsidR="001C4D5D" w:rsidRPr="00A84CE4">
        <w:t xml:space="preserve">entire design </w:t>
      </w:r>
      <w:r w:rsidR="002F7ED6" w:rsidRPr="00A84CE4">
        <w:t xml:space="preserve">distribution </w:t>
      </w:r>
      <w:r w:rsidR="00701D45" w:rsidRPr="00A84CE4">
        <w:t xml:space="preserve">or to </w:t>
      </w:r>
      <w:r w:rsidR="003A439C" w:rsidRPr="00A84CE4">
        <w:t>perform an optimisation</w:t>
      </w:r>
      <w:r w:rsidR="00701D45" w:rsidRPr="00A84CE4">
        <w:t xml:space="preserve"> </w:t>
      </w:r>
      <w:r w:rsidR="001C4D5D" w:rsidRPr="00A84CE4">
        <w:t>in order to select a specific core</w:t>
      </w:r>
      <w:r w:rsidR="00701D45" w:rsidRPr="00A84CE4">
        <w:t>.</w:t>
      </w:r>
      <w:r w:rsidR="004C1AE8">
        <w:t xml:space="preserve"> </w:t>
      </w:r>
      <w:r w:rsidR="004C1AE8" w:rsidRPr="00A84CE4">
        <w:t>The application of this method to our study is described in the next section.</w:t>
      </w:r>
    </w:p>
    <w:p w14:paraId="50336ED9" w14:textId="7CE054EF" w:rsidR="006A7451" w:rsidRPr="00A84CE4" w:rsidRDefault="006A7451" w:rsidP="006A7451">
      <w:pPr>
        <w:pStyle w:val="Titre3"/>
      </w:pPr>
      <w:r w:rsidRPr="00A84CE4">
        <w:t>Application of the method to the optimisation study at 1100 MWe</w:t>
      </w:r>
    </w:p>
    <w:p w14:paraId="2CF53D56" w14:textId="5CC76724" w:rsidR="0080441B" w:rsidRPr="00A84CE4" w:rsidRDefault="007664CA" w:rsidP="007664CA">
      <w:pPr>
        <w:pStyle w:val="Corpsdetexte"/>
      </w:pPr>
      <w:r w:rsidRPr="00A84CE4">
        <w:t>The fixed parameters of the study</w:t>
      </w:r>
      <w:r w:rsidR="00717F71" w:rsidRPr="00A84CE4">
        <w:t xml:space="preserve"> </w:t>
      </w:r>
      <w:r w:rsidRPr="00A84CE4">
        <w:t xml:space="preserve">and the loading </w:t>
      </w:r>
      <w:r w:rsidR="00717F71">
        <w:t>scheme</w:t>
      </w:r>
      <w:r w:rsidR="00717F71" w:rsidRPr="00A84CE4">
        <w:t xml:space="preserve"> </w:t>
      </w:r>
      <w:r w:rsidRPr="00A84CE4">
        <w:t>are the same as for the stu</w:t>
      </w:r>
      <w:r w:rsidR="002F1EA8">
        <w:t xml:space="preserve">dy at 1000 MWe (see </w:t>
      </w:r>
      <w:r w:rsidR="002F1EA8">
        <w:fldChar w:fldCharType="begin"/>
      </w:r>
      <w:r w:rsidR="002F1EA8">
        <w:instrText xml:space="preserve"> REF _Ref68854625 \r \h </w:instrText>
      </w:r>
      <w:r w:rsidR="002F1EA8">
        <w:fldChar w:fldCharType="separate"/>
      </w:r>
      <w:r w:rsidR="00466114">
        <w:t>[1]</w:t>
      </w:r>
      <w:r w:rsidR="002F1EA8">
        <w:fldChar w:fldCharType="end"/>
      </w:r>
      <w:r w:rsidRPr="00A84CE4">
        <w:t>)</w:t>
      </w:r>
      <w:r w:rsidR="007B6709" w:rsidRPr="00A84CE4">
        <w:t>. O</w:t>
      </w:r>
      <w:r w:rsidRPr="00A84CE4">
        <w:t>nly the nominal power has been increased from 1000 to 1100 MWe</w:t>
      </w:r>
      <w:r w:rsidR="002F1EA8">
        <w:t xml:space="preserve"> (i.e. 10% increase)</w:t>
      </w:r>
      <w:r w:rsidRPr="00A84CE4">
        <w:t xml:space="preserve">. </w:t>
      </w:r>
      <w:r w:rsidR="00A95127" w:rsidRPr="00A84CE4">
        <w:t>The variable parameter</w:t>
      </w:r>
      <w:r w:rsidR="007B6709" w:rsidRPr="00A84CE4">
        <w:t>s</w:t>
      </w:r>
      <w:r w:rsidR="00A95127" w:rsidRPr="00A84CE4">
        <w:t xml:space="preserve"> </w:t>
      </w:r>
      <w:r w:rsidR="00F9301E" w:rsidRPr="00A84CE4">
        <w:t>are given</w:t>
      </w:r>
      <w:r w:rsidR="00A95127" w:rsidRPr="00A84CE4">
        <w:t xml:space="preserve"> with their variation range in</w:t>
      </w:r>
      <w:r w:rsidR="000E5D68">
        <w:t xml:space="preserve"> </w:t>
      </w:r>
      <w:r w:rsidR="000E5D68">
        <w:fldChar w:fldCharType="begin"/>
      </w:r>
      <w:r w:rsidR="000E5D68">
        <w:instrText xml:space="preserve"> REF _Ref86418199 \h </w:instrText>
      </w:r>
      <w:r w:rsidR="000E5D68">
        <w:fldChar w:fldCharType="separate"/>
      </w:r>
      <w:r w:rsidR="00466114">
        <w:t xml:space="preserve">TABLE </w:t>
      </w:r>
      <w:r w:rsidR="00466114">
        <w:rPr>
          <w:noProof/>
        </w:rPr>
        <w:t>1</w:t>
      </w:r>
      <w:r w:rsidR="000E5D68">
        <w:fldChar w:fldCharType="end"/>
      </w:r>
      <w:r w:rsidR="00A95127" w:rsidRPr="00A84CE4">
        <w:t xml:space="preserve">. </w:t>
      </w:r>
      <w:r w:rsidR="001664CB" w:rsidRPr="00A84CE4">
        <w:t xml:space="preserve">They are </w:t>
      </w:r>
      <w:r w:rsidR="00F9301E" w:rsidRPr="00A84CE4">
        <w:t xml:space="preserve">illustrated </w:t>
      </w:r>
      <w:r w:rsidR="00B36E68">
        <w:t>i</w:t>
      </w:r>
      <w:r w:rsidR="00F9301E" w:rsidRPr="00A84CE4">
        <w:t>n</w:t>
      </w:r>
      <w:r w:rsidR="001664CB" w:rsidRPr="00A84CE4">
        <w:t xml:space="preserve"> </w:t>
      </w:r>
      <w:r w:rsidR="00CE7FA6" w:rsidRPr="00A84CE4">
        <w:fldChar w:fldCharType="begin"/>
      </w:r>
      <w:r w:rsidR="00CE7FA6" w:rsidRPr="00A84CE4">
        <w:instrText xml:space="preserve"> REF _Ref68550735 \h </w:instrText>
      </w:r>
      <w:r w:rsidR="00CE7FA6" w:rsidRPr="00A84CE4">
        <w:fldChar w:fldCharType="separate"/>
      </w:r>
      <w:r w:rsidR="00466114" w:rsidRPr="002F1EA8">
        <w:rPr>
          <w:i/>
        </w:rPr>
        <w:t xml:space="preserve">FIG. </w:t>
      </w:r>
      <w:r w:rsidR="00466114">
        <w:rPr>
          <w:i/>
          <w:noProof/>
        </w:rPr>
        <w:t>2</w:t>
      </w:r>
      <w:r w:rsidR="00CE7FA6" w:rsidRPr="00A84CE4">
        <w:fldChar w:fldCharType="end"/>
      </w:r>
      <w:r w:rsidR="001664CB" w:rsidRPr="00A84CE4">
        <w:t xml:space="preserve">. </w:t>
      </w:r>
      <w:r w:rsidR="007B6709" w:rsidRPr="00A84CE4">
        <w:t xml:space="preserve">The variable parameters </w:t>
      </w:r>
      <w:r w:rsidR="003B59C5">
        <w:t xml:space="preserve">and their variation range </w:t>
      </w:r>
      <w:r w:rsidR="007B6709" w:rsidRPr="00A84CE4">
        <w:t>define the design</w:t>
      </w:r>
      <w:r w:rsidR="003B59C5">
        <w:t xml:space="preserve"> of</w:t>
      </w:r>
      <w:r w:rsidR="007B6709" w:rsidRPr="00A84CE4">
        <w:t xml:space="preserve"> experiment</w:t>
      </w:r>
      <w:r w:rsidR="003B59C5">
        <w:t>s</w:t>
      </w:r>
      <w:r w:rsidR="007B6709" w:rsidRPr="00A84CE4">
        <w:t xml:space="preserve"> of the study (see</w:t>
      </w:r>
      <w:r w:rsidR="00387115" w:rsidRPr="00A84CE4">
        <w:t xml:space="preserve"> </w:t>
      </w:r>
      <w:r w:rsidR="00387115" w:rsidRPr="00A84CE4">
        <w:fldChar w:fldCharType="begin"/>
      </w:r>
      <w:r w:rsidR="00387115" w:rsidRPr="00A84CE4">
        <w:instrText xml:space="preserve"> REF _Ref68543506 \h </w:instrText>
      </w:r>
      <w:r w:rsidR="00387115" w:rsidRPr="00A84CE4">
        <w:fldChar w:fldCharType="separate"/>
      </w:r>
      <w:r w:rsidR="00466114" w:rsidRPr="002F1EA8">
        <w:rPr>
          <w:i/>
        </w:rPr>
        <w:t xml:space="preserve">FIG. </w:t>
      </w:r>
      <w:r w:rsidR="00466114">
        <w:rPr>
          <w:i/>
          <w:noProof/>
        </w:rPr>
        <w:t>1</w:t>
      </w:r>
      <w:r w:rsidR="00387115" w:rsidRPr="00A84CE4">
        <w:fldChar w:fldCharType="end"/>
      </w:r>
      <w:r w:rsidR="007B6709" w:rsidRPr="00A84CE4">
        <w:t>).</w:t>
      </w:r>
    </w:p>
    <w:p w14:paraId="32B4DE5D" w14:textId="77777777" w:rsidR="0080441B" w:rsidRPr="00A84CE4" w:rsidRDefault="0080441B" w:rsidP="0080441B">
      <w:pPr>
        <w:pStyle w:val="Corpsdetexte"/>
        <w:ind w:left="567" w:firstLine="0"/>
      </w:pPr>
    </w:p>
    <w:p w14:paraId="5128559E" w14:textId="5D6284B0" w:rsidR="000E5D68" w:rsidRDefault="000E5D68" w:rsidP="000E5D68">
      <w:pPr>
        <w:pStyle w:val="Lgende"/>
        <w:keepNext/>
        <w:jc w:val="center"/>
      </w:pPr>
      <w:bookmarkStart w:id="2" w:name="_Ref86418199"/>
      <w:r>
        <w:t xml:space="preserve">TABLE </w:t>
      </w:r>
      <w:r>
        <w:fldChar w:fldCharType="begin"/>
      </w:r>
      <w:r>
        <w:instrText xml:space="preserve"> SEQ TABLE \* ARABIC </w:instrText>
      </w:r>
      <w:r>
        <w:fldChar w:fldCharType="separate"/>
      </w:r>
      <w:r w:rsidR="00466114">
        <w:rPr>
          <w:noProof/>
        </w:rPr>
        <w:t>1</w:t>
      </w:r>
      <w:r>
        <w:fldChar w:fldCharType="end"/>
      </w:r>
      <w:bookmarkEnd w:id="2"/>
      <w:r>
        <w:t xml:space="preserve">. </w:t>
      </w:r>
      <w:r w:rsidRPr="0063794F">
        <w:t>VARIABLE PARAMETERS OF THE STUDY AND ASSOCIATED VARIATION RANGES</w:t>
      </w:r>
    </w:p>
    <w:tbl>
      <w:tblPr>
        <w:tblStyle w:val="Grilledutableau"/>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6"/>
        <w:gridCol w:w="1741"/>
      </w:tblGrid>
      <w:tr w:rsidR="0080441B" w:rsidRPr="00A84CE4" w14:paraId="483D34E9" w14:textId="77777777" w:rsidTr="0080441B">
        <w:trPr>
          <w:jc w:val="center"/>
        </w:trPr>
        <w:tc>
          <w:tcPr>
            <w:tcW w:w="4576" w:type="dxa"/>
            <w:tcBorders>
              <w:top w:val="single" w:sz="4" w:space="0" w:color="auto"/>
              <w:bottom w:val="single" w:sz="4" w:space="0" w:color="auto"/>
            </w:tcBorders>
          </w:tcPr>
          <w:p w14:paraId="78FE5A92" w14:textId="2519AEAC" w:rsidR="0080441B" w:rsidRPr="00A84CE4" w:rsidRDefault="0080441B" w:rsidP="003A439C">
            <w:pPr>
              <w:pStyle w:val="Corpsdetexte"/>
              <w:ind w:firstLine="0"/>
            </w:pPr>
            <w:r w:rsidRPr="00A84CE4">
              <w:t>Parameter</w:t>
            </w:r>
          </w:p>
        </w:tc>
        <w:tc>
          <w:tcPr>
            <w:tcW w:w="1741" w:type="dxa"/>
            <w:tcBorders>
              <w:top w:val="single" w:sz="4" w:space="0" w:color="auto"/>
              <w:bottom w:val="single" w:sz="4" w:space="0" w:color="auto"/>
            </w:tcBorders>
          </w:tcPr>
          <w:p w14:paraId="50E578DE" w14:textId="6D89683B" w:rsidR="0080441B" w:rsidRPr="00A84CE4" w:rsidRDefault="0080441B" w:rsidP="003A439C">
            <w:pPr>
              <w:pStyle w:val="Corpsdetexte"/>
              <w:ind w:firstLine="0"/>
              <w:jc w:val="center"/>
            </w:pPr>
            <w:r w:rsidRPr="00A84CE4">
              <w:t>Range</w:t>
            </w:r>
          </w:p>
        </w:tc>
      </w:tr>
      <w:tr w:rsidR="0080441B" w:rsidRPr="00A84CE4" w14:paraId="0CF4D5D7" w14:textId="77777777" w:rsidTr="0080441B">
        <w:trPr>
          <w:jc w:val="center"/>
        </w:trPr>
        <w:tc>
          <w:tcPr>
            <w:tcW w:w="4576" w:type="dxa"/>
            <w:tcBorders>
              <w:top w:val="single" w:sz="4" w:space="0" w:color="auto"/>
            </w:tcBorders>
          </w:tcPr>
          <w:p w14:paraId="6F23AE53" w14:textId="5A78D21D" w:rsidR="0080441B" w:rsidRPr="00A84CE4" w:rsidRDefault="003251F7" w:rsidP="0080441B">
            <w:pPr>
              <w:pStyle w:val="Corpsdetexte"/>
              <w:ind w:firstLine="0"/>
            </w:pPr>
            <w:r w:rsidRPr="00A84CE4">
              <w:t>Inner clad</w:t>
            </w:r>
            <w:r w:rsidR="0080441B" w:rsidRPr="00A84CE4">
              <w:t xml:space="preserve"> radius (cm)</w:t>
            </w:r>
          </w:p>
        </w:tc>
        <w:tc>
          <w:tcPr>
            <w:tcW w:w="1741" w:type="dxa"/>
            <w:tcBorders>
              <w:top w:val="single" w:sz="4" w:space="0" w:color="auto"/>
            </w:tcBorders>
          </w:tcPr>
          <w:p w14:paraId="46E3A4A2" w14:textId="0522AA99" w:rsidR="0080441B" w:rsidRPr="00A84CE4" w:rsidRDefault="00F6515A" w:rsidP="0080441B">
            <w:pPr>
              <w:pStyle w:val="Corpsdetexte"/>
              <w:ind w:firstLine="0"/>
              <w:jc w:val="center"/>
            </w:pPr>
            <w:r w:rsidRPr="00A84CE4">
              <w:t>[0.3</w:t>
            </w:r>
            <w:r w:rsidR="003251F7" w:rsidRPr="00A84CE4">
              <w:t>5</w:t>
            </w:r>
            <w:r w:rsidRPr="00A84CE4">
              <w:t> ; 0.</w:t>
            </w:r>
            <w:r w:rsidR="0080441B" w:rsidRPr="00A84CE4">
              <w:t>5]</w:t>
            </w:r>
          </w:p>
        </w:tc>
      </w:tr>
      <w:tr w:rsidR="0080441B" w:rsidRPr="00A84CE4" w14:paraId="71A1F394" w14:textId="77777777" w:rsidTr="0080441B">
        <w:trPr>
          <w:jc w:val="center"/>
        </w:trPr>
        <w:tc>
          <w:tcPr>
            <w:tcW w:w="4576" w:type="dxa"/>
          </w:tcPr>
          <w:p w14:paraId="27BC5EB7" w14:textId="7ABEDFBB" w:rsidR="0080441B" w:rsidRPr="00A84CE4" w:rsidRDefault="0080441B" w:rsidP="0080441B">
            <w:pPr>
              <w:pStyle w:val="Corpsdetexte"/>
              <w:ind w:firstLine="0"/>
            </w:pPr>
            <w:r w:rsidRPr="00A84CE4">
              <w:t>Pellet/cladding gap (cm)</w:t>
            </w:r>
          </w:p>
        </w:tc>
        <w:tc>
          <w:tcPr>
            <w:tcW w:w="1741" w:type="dxa"/>
          </w:tcPr>
          <w:p w14:paraId="008A6282" w14:textId="51437550" w:rsidR="0080441B" w:rsidRPr="00A84CE4" w:rsidRDefault="00F6515A" w:rsidP="00F6515A">
            <w:pPr>
              <w:pStyle w:val="Corpsdetexte"/>
              <w:ind w:firstLine="0"/>
              <w:jc w:val="center"/>
            </w:pPr>
            <w:r w:rsidRPr="00A84CE4">
              <w:t>[0 ; 0.011</w:t>
            </w:r>
            <w:r w:rsidR="0080441B" w:rsidRPr="00A84CE4">
              <w:t>]</w:t>
            </w:r>
          </w:p>
        </w:tc>
      </w:tr>
      <w:tr w:rsidR="0080441B" w:rsidRPr="00A84CE4" w14:paraId="04FA70E0" w14:textId="77777777" w:rsidTr="0080441B">
        <w:trPr>
          <w:jc w:val="center"/>
        </w:trPr>
        <w:tc>
          <w:tcPr>
            <w:tcW w:w="4576" w:type="dxa"/>
          </w:tcPr>
          <w:p w14:paraId="1F60E9D0" w14:textId="079A0F22" w:rsidR="0080441B" w:rsidRPr="00A84CE4" w:rsidRDefault="0080441B" w:rsidP="0080441B">
            <w:pPr>
              <w:pStyle w:val="Corpsdetexte"/>
              <w:ind w:firstLine="0"/>
            </w:pPr>
            <w:r w:rsidRPr="00A84CE4">
              <w:t>Outer core height (cm)</w:t>
            </w:r>
          </w:p>
        </w:tc>
        <w:tc>
          <w:tcPr>
            <w:tcW w:w="1741" w:type="dxa"/>
          </w:tcPr>
          <w:p w14:paraId="63F68FE0" w14:textId="5FE7B347" w:rsidR="0080441B" w:rsidRPr="00A84CE4" w:rsidRDefault="0080441B" w:rsidP="0080441B">
            <w:pPr>
              <w:pStyle w:val="Corpsdetexte"/>
              <w:ind w:firstLine="0"/>
              <w:jc w:val="center"/>
            </w:pPr>
            <w:r w:rsidRPr="00A84CE4">
              <w:t>[90 ; 110]</w:t>
            </w:r>
          </w:p>
        </w:tc>
      </w:tr>
      <w:tr w:rsidR="0080441B" w:rsidRPr="00A84CE4" w14:paraId="793B0D29" w14:textId="77777777" w:rsidTr="0080441B">
        <w:trPr>
          <w:jc w:val="center"/>
        </w:trPr>
        <w:tc>
          <w:tcPr>
            <w:tcW w:w="4576" w:type="dxa"/>
          </w:tcPr>
          <w:p w14:paraId="16C8F574" w14:textId="3C434B1E" w:rsidR="0080441B" w:rsidRPr="00A84CE4" w:rsidRDefault="0080441B" w:rsidP="0080441B">
            <w:pPr>
              <w:pStyle w:val="Corpsdetexte"/>
              <w:ind w:firstLine="0"/>
            </w:pPr>
            <w:r w:rsidRPr="00A84CE4">
              <w:t>Outer/inner core height gap (cm)</w:t>
            </w:r>
          </w:p>
        </w:tc>
        <w:tc>
          <w:tcPr>
            <w:tcW w:w="1741" w:type="dxa"/>
          </w:tcPr>
          <w:p w14:paraId="367D1FD5" w14:textId="56D59A5C" w:rsidR="0080441B" w:rsidRPr="00A84CE4" w:rsidRDefault="0080441B" w:rsidP="0080441B">
            <w:pPr>
              <w:pStyle w:val="Corpsdetexte"/>
              <w:ind w:firstLine="0"/>
              <w:jc w:val="center"/>
            </w:pPr>
            <w:r w:rsidRPr="00A84CE4">
              <w:t>[0 ; 20]</w:t>
            </w:r>
          </w:p>
        </w:tc>
      </w:tr>
      <w:tr w:rsidR="0080441B" w:rsidRPr="00A84CE4" w14:paraId="0FDC1EF2" w14:textId="77777777" w:rsidTr="0080441B">
        <w:trPr>
          <w:jc w:val="center"/>
        </w:trPr>
        <w:tc>
          <w:tcPr>
            <w:tcW w:w="4576" w:type="dxa"/>
          </w:tcPr>
          <w:p w14:paraId="0D83DE33" w14:textId="73A512C6" w:rsidR="0080441B" w:rsidRPr="00A84CE4" w:rsidRDefault="003251F7" w:rsidP="003251F7">
            <w:pPr>
              <w:pStyle w:val="Corpsdetexte"/>
              <w:ind w:firstLine="0"/>
            </w:pPr>
            <w:r w:rsidRPr="00A84CE4">
              <w:t>F</w:t>
            </w:r>
            <w:r w:rsidR="0080441B" w:rsidRPr="00A84CE4">
              <w:t xml:space="preserve">ertile </w:t>
            </w:r>
            <w:r w:rsidRPr="00A84CE4">
              <w:t>plate</w:t>
            </w:r>
            <w:r w:rsidR="0080441B" w:rsidRPr="00A84CE4">
              <w:t xml:space="preserve"> position (% of inner core height)</w:t>
            </w:r>
          </w:p>
        </w:tc>
        <w:tc>
          <w:tcPr>
            <w:tcW w:w="1741" w:type="dxa"/>
          </w:tcPr>
          <w:p w14:paraId="16EFFD7B" w14:textId="5B8FA704" w:rsidR="0080441B" w:rsidRPr="00A84CE4" w:rsidRDefault="0080441B" w:rsidP="0080441B">
            <w:pPr>
              <w:pStyle w:val="Corpsdetexte"/>
              <w:ind w:firstLine="0"/>
              <w:jc w:val="center"/>
            </w:pPr>
            <w:r w:rsidRPr="00A84CE4">
              <w:t>[0 ; 50]</w:t>
            </w:r>
          </w:p>
        </w:tc>
      </w:tr>
      <w:tr w:rsidR="0080441B" w:rsidRPr="00A84CE4" w14:paraId="13AF30EF" w14:textId="77777777" w:rsidTr="0080441B">
        <w:trPr>
          <w:jc w:val="center"/>
        </w:trPr>
        <w:tc>
          <w:tcPr>
            <w:tcW w:w="4576" w:type="dxa"/>
          </w:tcPr>
          <w:p w14:paraId="0A9BD36E" w14:textId="47C2F3DC" w:rsidR="0080441B" w:rsidRPr="00A84CE4" w:rsidRDefault="003251F7" w:rsidP="003251F7">
            <w:pPr>
              <w:pStyle w:val="Corpsdetexte"/>
              <w:ind w:firstLine="0"/>
            </w:pPr>
            <w:r w:rsidRPr="00A84CE4">
              <w:t>F</w:t>
            </w:r>
            <w:r w:rsidR="0080441B" w:rsidRPr="00A84CE4">
              <w:t xml:space="preserve">ertile </w:t>
            </w:r>
            <w:r w:rsidRPr="00A84CE4">
              <w:t>plate thickness</w:t>
            </w:r>
            <w:r w:rsidR="003B59C5">
              <w:t xml:space="preserve"> (cm)</w:t>
            </w:r>
          </w:p>
        </w:tc>
        <w:tc>
          <w:tcPr>
            <w:tcW w:w="1741" w:type="dxa"/>
          </w:tcPr>
          <w:p w14:paraId="170AC834" w14:textId="31073E5D" w:rsidR="0080441B" w:rsidRPr="00A84CE4" w:rsidRDefault="0080441B" w:rsidP="0080441B">
            <w:pPr>
              <w:pStyle w:val="Corpsdetexte"/>
              <w:ind w:firstLine="0"/>
              <w:jc w:val="center"/>
            </w:pPr>
            <w:r w:rsidRPr="00A84CE4">
              <w:t>[0 ; 20]</w:t>
            </w:r>
          </w:p>
        </w:tc>
      </w:tr>
      <w:tr w:rsidR="0080441B" w:rsidRPr="00A84CE4" w14:paraId="77745BA4" w14:textId="77777777" w:rsidTr="0080441B">
        <w:trPr>
          <w:jc w:val="center"/>
        </w:trPr>
        <w:tc>
          <w:tcPr>
            <w:tcW w:w="4576" w:type="dxa"/>
          </w:tcPr>
          <w:p w14:paraId="58FE1C38" w14:textId="1D121132" w:rsidR="0080441B" w:rsidRPr="00A84CE4" w:rsidRDefault="0080441B" w:rsidP="0080441B">
            <w:pPr>
              <w:pStyle w:val="Corpsdetexte"/>
              <w:ind w:firstLine="0"/>
            </w:pPr>
            <w:r w:rsidRPr="00A84CE4">
              <w:t>Number of pins</w:t>
            </w:r>
            <w:r w:rsidR="003B59C5">
              <w:t xml:space="preserve"> per sub-assembly</w:t>
            </w:r>
          </w:p>
        </w:tc>
        <w:tc>
          <w:tcPr>
            <w:tcW w:w="1741" w:type="dxa"/>
          </w:tcPr>
          <w:p w14:paraId="278D6BFC" w14:textId="7DF03D90" w:rsidR="0080441B" w:rsidRPr="00A84CE4" w:rsidRDefault="0080441B" w:rsidP="0080441B">
            <w:pPr>
              <w:pStyle w:val="Corpsdetexte"/>
              <w:ind w:firstLine="0"/>
              <w:jc w:val="center"/>
            </w:pPr>
            <w:r w:rsidRPr="00A84CE4">
              <w:t>{217 ;  271}</w:t>
            </w:r>
          </w:p>
        </w:tc>
      </w:tr>
      <w:tr w:rsidR="0080441B" w:rsidRPr="00A84CE4" w14:paraId="34F7F8CC" w14:textId="77777777" w:rsidTr="0080441B">
        <w:trPr>
          <w:jc w:val="center"/>
        </w:trPr>
        <w:tc>
          <w:tcPr>
            <w:tcW w:w="4576" w:type="dxa"/>
          </w:tcPr>
          <w:p w14:paraId="45EC8C27" w14:textId="3282B7BD" w:rsidR="0080441B" w:rsidRPr="00A84CE4" w:rsidRDefault="005E4E9F" w:rsidP="0080441B">
            <w:pPr>
              <w:pStyle w:val="Corpsdetexte"/>
              <w:ind w:firstLine="0"/>
            </w:pPr>
            <w:r w:rsidRPr="00A84CE4">
              <w:t>Number of fuel s</w:t>
            </w:r>
            <w:r w:rsidR="0080441B" w:rsidRPr="00A84CE4">
              <w:t>ub-assembly rings</w:t>
            </w:r>
          </w:p>
        </w:tc>
        <w:tc>
          <w:tcPr>
            <w:tcW w:w="1741" w:type="dxa"/>
          </w:tcPr>
          <w:p w14:paraId="1EC98B76" w14:textId="0476BDF8" w:rsidR="0080441B" w:rsidRPr="00A84CE4" w:rsidRDefault="0080441B" w:rsidP="0080441B">
            <w:pPr>
              <w:pStyle w:val="Corpsdetexte"/>
              <w:ind w:firstLine="0"/>
              <w:jc w:val="center"/>
            </w:pPr>
            <w:r w:rsidRPr="00A84CE4">
              <w:t>{12 ; 13}</w:t>
            </w:r>
          </w:p>
        </w:tc>
      </w:tr>
    </w:tbl>
    <w:p w14:paraId="0BCC8B3E" w14:textId="78CC5D6D" w:rsidR="0080441B" w:rsidRPr="00A84CE4" w:rsidRDefault="0080441B" w:rsidP="0080441B">
      <w:pPr>
        <w:pStyle w:val="Corpsdetexte"/>
        <w:ind w:left="567" w:firstLine="0"/>
      </w:pPr>
    </w:p>
    <w:p w14:paraId="68E09361" w14:textId="77777777" w:rsidR="00F9301E" w:rsidRPr="00A84CE4" w:rsidRDefault="003251F7" w:rsidP="00F9301E">
      <w:pPr>
        <w:pStyle w:val="Corpsdetexte"/>
        <w:keepNext/>
        <w:ind w:firstLine="0"/>
        <w:jc w:val="center"/>
      </w:pPr>
      <w:r w:rsidRPr="00A84CE4">
        <w:rPr>
          <w:noProof/>
          <w:lang w:val="fr-FR" w:eastAsia="fr-FR"/>
        </w:rPr>
        <w:drawing>
          <wp:inline distT="0" distB="0" distL="0" distR="0" wp14:anchorId="64924A5F" wp14:editId="2571AE61">
            <wp:extent cx="2484000" cy="1386040"/>
            <wp:effectExtent l="0" t="0" r="0" b="508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ramRadiaux.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484000" cy="1386040"/>
                    </a:xfrm>
                    <a:prstGeom prst="rect">
                      <a:avLst/>
                    </a:prstGeom>
                  </pic:spPr>
                </pic:pic>
              </a:graphicData>
            </a:graphic>
          </wp:inline>
        </w:drawing>
      </w:r>
      <w:r w:rsidRPr="00A84CE4">
        <w:rPr>
          <w:noProof/>
          <w:lang w:val="fr-FR" w:eastAsia="fr-FR"/>
        </w:rPr>
        <w:drawing>
          <wp:inline distT="0" distB="0" distL="0" distR="0" wp14:anchorId="50B23BA0" wp14:editId="2EA6C55A">
            <wp:extent cx="3240000" cy="1402339"/>
            <wp:effectExtent l="0" t="0" r="0" b="762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ramAxiaux.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240000" cy="1402339"/>
                    </a:xfrm>
                    <a:prstGeom prst="rect">
                      <a:avLst/>
                    </a:prstGeom>
                  </pic:spPr>
                </pic:pic>
              </a:graphicData>
            </a:graphic>
          </wp:inline>
        </w:drawing>
      </w:r>
    </w:p>
    <w:p w14:paraId="48BBD356" w14:textId="32CE75CD" w:rsidR="003A439C" w:rsidRPr="002F1EA8" w:rsidRDefault="00F9301E" w:rsidP="007664CA">
      <w:pPr>
        <w:pStyle w:val="Lgende"/>
        <w:jc w:val="center"/>
        <w:rPr>
          <w:i/>
          <w:lang w:val="en-GB"/>
        </w:rPr>
      </w:pPr>
      <w:bookmarkStart w:id="3" w:name="_Ref68550735"/>
      <w:r w:rsidRPr="002F1EA8">
        <w:rPr>
          <w:i/>
          <w:lang w:val="en-GB"/>
        </w:rPr>
        <w:t xml:space="preserve">FIG. </w:t>
      </w:r>
      <w:r w:rsidRPr="002F1EA8">
        <w:rPr>
          <w:i/>
          <w:lang w:val="en-GB"/>
        </w:rPr>
        <w:fldChar w:fldCharType="begin"/>
      </w:r>
      <w:r w:rsidRPr="002F1EA8">
        <w:rPr>
          <w:i/>
          <w:lang w:val="en-GB"/>
        </w:rPr>
        <w:instrText xml:space="preserve"> SEQ Figure \* ARABIC </w:instrText>
      </w:r>
      <w:r w:rsidRPr="002F1EA8">
        <w:rPr>
          <w:i/>
          <w:lang w:val="en-GB"/>
        </w:rPr>
        <w:fldChar w:fldCharType="separate"/>
      </w:r>
      <w:r w:rsidR="00466114">
        <w:rPr>
          <w:i/>
          <w:noProof/>
          <w:lang w:val="en-GB"/>
        </w:rPr>
        <w:t>2</w:t>
      </w:r>
      <w:r w:rsidRPr="002F1EA8">
        <w:rPr>
          <w:i/>
          <w:lang w:val="en-GB"/>
        </w:rPr>
        <w:fldChar w:fldCharType="end"/>
      </w:r>
      <w:bookmarkEnd w:id="3"/>
      <w:r w:rsidRPr="002F1EA8">
        <w:rPr>
          <w:i/>
          <w:lang w:val="en-GB"/>
        </w:rPr>
        <w:t xml:space="preserve">. </w:t>
      </w:r>
      <w:r w:rsidR="00CE7FA6" w:rsidRPr="002F1EA8">
        <w:rPr>
          <w:i/>
          <w:lang w:val="en-GB"/>
        </w:rPr>
        <w:t>Radial pin structure</w:t>
      </w:r>
      <w:r w:rsidR="00717F71">
        <w:rPr>
          <w:i/>
          <w:lang w:val="en-GB"/>
        </w:rPr>
        <w:t xml:space="preserve"> (left)</w:t>
      </w:r>
      <w:r w:rsidR="00CE7FA6" w:rsidRPr="002F1EA8">
        <w:rPr>
          <w:i/>
          <w:lang w:val="en-GB"/>
        </w:rPr>
        <w:t xml:space="preserve"> and axial core structure</w:t>
      </w:r>
      <w:r w:rsidR="00717F71">
        <w:rPr>
          <w:i/>
          <w:lang w:val="en-GB"/>
        </w:rPr>
        <w:t xml:space="preserve"> (right)</w:t>
      </w:r>
      <w:r w:rsidR="00CE7FA6" w:rsidRPr="002F1EA8">
        <w:rPr>
          <w:i/>
          <w:lang w:val="en-GB"/>
        </w:rPr>
        <w:t xml:space="preserve"> of the studied designs </w:t>
      </w:r>
    </w:p>
    <w:p w14:paraId="67A6B84E" w14:textId="77777777" w:rsidR="007664CA" w:rsidRPr="00A84CE4" w:rsidRDefault="007664CA" w:rsidP="003861A6">
      <w:pPr>
        <w:pStyle w:val="Corpsdetexte"/>
        <w:ind w:firstLine="0"/>
      </w:pPr>
    </w:p>
    <w:p w14:paraId="33D1F047" w14:textId="77777777" w:rsidR="00466114" w:rsidRPr="00A84CE4" w:rsidRDefault="003A439C" w:rsidP="00466114">
      <w:pPr>
        <w:pStyle w:val="Corpsdetexte"/>
      </w:pPr>
      <w:r w:rsidRPr="00A84CE4">
        <w:t xml:space="preserve">The </w:t>
      </w:r>
      <w:r w:rsidR="005E4E9F" w:rsidRPr="00A84CE4">
        <w:t>cores</w:t>
      </w:r>
      <w:r w:rsidR="007B6709" w:rsidRPr="00A84CE4">
        <w:t xml:space="preserve"> of the design</w:t>
      </w:r>
      <w:r w:rsidR="003B59C5">
        <w:t xml:space="preserve"> of </w:t>
      </w:r>
      <w:r w:rsidR="007B6709" w:rsidRPr="00A84CE4">
        <w:t>experiment</w:t>
      </w:r>
      <w:r w:rsidR="003B59C5">
        <w:t>s</w:t>
      </w:r>
      <w:r w:rsidRPr="00A84CE4">
        <w:t xml:space="preserve"> have been computed with the parametric calculation scheme </w:t>
      </w:r>
      <w:r w:rsidR="007664CA" w:rsidRPr="00A84CE4">
        <w:t>(</w:t>
      </w:r>
      <w:r w:rsidR="00387115" w:rsidRPr="00A84CE4">
        <w:t xml:space="preserve">see </w:t>
      </w:r>
      <w:r w:rsidR="00387115" w:rsidRPr="00A84CE4">
        <w:fldChar w:fldCharType="begin"/>
      </w:r>
      <w:r w:rsidR="00387115" w:rsidRPr="00A84CE4">
        <w:instrText xml:space="preserve"> REF _Ref68543506 \h </w:instrText>
      </w:r>
      <w:r w:rsidR="00387115" w:rsidRPr="00A84CE4">
        <w:fldChar w:fldCharType="separate"/>
      </w:r>
      <w:r w:rsidR="00466114" w:rsidRPr="002F1EA8">
        <w:rPr>
          <w:i/>
        </w:rPr>
        <w:t xml:space="preserve">FIG. </w:t>
      </w:r>
      <w:r w:rsidR="00466114">
        <w:rPr>
          <w:i/>
          <w:noProof/>
        </w:rPr>
        <w:t>1</w:t>
      </w:r>
      <w:r w:rsidR="00387115" w:rsidRPr="00A84CE4">
        <w:fldChar w:fldCharType="end"/>
      </w:r>
      <w:r w:rsidR="007664CA" w:rsidRPr="00A84CE4">
        <w:t xml:space="preserve">) </w:t>
      </w:r>
      <w:r w:rsidRPr="00A84CE4">
        <w:t xml:space="preserve">in order to evaluate their performances. </w:t>
      </w:r>
      <w:r w:rsidR="007B6709" w:rsidRPr="00A84CE4">
        <w:t xml:space="preserve">Two additional constraints have been </w:t>
      </w:r>
      <w:proofErr w:type="gramStart"/>
      <w:r w:rsidR="007B6709" w:rsidRPr="00A84CE4">
        <w:t>taken into account</w:t>
      </w:r>
      <w:proofErr w:type="gramEnd"/>
      <w:r w:rsidR="002F1EA8">
        <w:t xml:space="preserve"> before the creation of the surrogate</w:t>
      </w:r>
      <w:r w:rsidR="002F1EA8" w:rsidRPr="00A84CE4">
        <w:t xml:space="preserve"> </w:t>
      </w:r>
      <w:r w:rsidR="007B6709" w:rsidRPr="00A84CE4">
        <w:t>models</w:t>
      </w:r>
      <w:r w:rsidR="00466114">
        <w:t xml:space="preserve"> and are listed in </w:t>
      </w:r>
      <w:r w:rsidR="00466114">
        <w:fldChar w:fldCharType="begin"/>
      </w:r>
      <w:r w:rsidR="00466114">
        <w:instrText xml:space="preserve"> REF _Ref86418350 \h </w:instrText>
      </w:r>
      <w:r w:rsidR="00466114">
        <w:fldChar w:fldCharType="separate"/>
      </w:r>
      <w:r w:rsidR="00466114">
        <w:t xml:space="preserve">TABLE </w:t>
      </w:r>
      <w:r w:rsidR="00466114">
        <w:rPr>
          <w:noProof/>
        </w:rPr>
        <w:t>2</w:t>
      </w:r>
      <w:r w:rsidR="00466114">
        <w:fldChar w:fldCharType="end"/>
      </w:r>
      <w:r w:rsidR="005E7B48" w:rsidRPr="00A84CE4">
        <w:t>. Firstly,</w:t>
      </w:r>
      <w:r w:rsidR="007B6709" w:rsidRPr="00A84CE4">
        <w:t xml:space="preserve"> only the cores with a power density in the range [250; 375] W/cm</w:t>
      </w:r>
      <w:r w:rsidR="007B6709" w:rsidRPr="00A84CE4">
        <w:rPr>
          <w:vertAlign w:val="superscript"/>
        </w:rPr>
        <w:t>3</w:t>
      </w:r>
      <w:r w:rsidR="007B6709" w:rsidRPr="00A84CE4">
        <w:t xml:space="preserve"> </w:t>
      </w:r>
      <w:r w:rsidR="00B36E68">
        <w:t>have been</w:t>
      </w:r>
      <w:r w:rsidR="00B36E68" w:rsidRPr="00A84CE4">
        <w:t xml:space="preserve"> </w:t>
      </w:r>
      <w:r w:rsidR="007B6709" w:rsidRPr="00A84CE4">
        <w:t>selected to fulfil the specifications of the commercial SFR (</w:t>
      </w:r>
      <w:r w:rsidR="00387115" w:rsidRPr="00A84CE4">
        <w:t xml:space="preserve">i.e. a </w:t>
      </w:r>
      <w:r w:rsidR="007B6709" w:rsidRPr="00A84CE4">
        <w:t>core with a high power density)</w:t>
      </w:r>
      <w:r w:rsidR="005E7B48" w:rsidRPr="00A84CE4">
        <w:t xml:space="preserve">. Secondly, </w:t>
      </w:r>
      <w:r w:rsidR="007B6709" w:rsidRPr="00A84CE4">
        <w:t>the non-viable designs (</w:t>
      </w:r>
      <w:r w:rsidR="005E7B48" w:rsidRPr="00A84CE4">
        <w:t xml:space="preserve">i.e. </w:t>
      </w:r>
      <w:r w:rsidR="00387115" w:rsidRPr="00A84CE4">
        <w:t xml:space="preserve">a </w:t>
      </w:r>
      <w:r w:rsidR="007B6709" w:rsidRPr="00A84CE4">
        <w:t>margin to fuel melting condition below zero</w:t>
      </w:r>
      <w:r w:rsidR="003B59C5">
        <w:t xml:space="preserve"> in nominal conditions</w:t>
      </w:r>
      <w:r w:rsidR="007B6709" w:rsidRPr="00A84CE4">
        <w:t xml:space="preserve">) </w:t>
      </w:r>
      <w:r w:rsidR="00B36E68">
        <w:t>have been</w:t>
      </w:r>
      <w:r w:rsidR="00B36E68" w:rsidRPr="00A84CE4">
        <w:t xml:space="preserve"> </w:t>
      </w:r>
      <w:r w:rsidR="007B6709" w:rsidRPr="00A84CE4">
        <w:t xml:space="preserve">discarded. </w:t>
      </w:r>
      <w:r w:rsidR="00466114">
        <w:t>Then, surrogate</w:t>
      </w:r>
      <w:r w:rsidR="00466114" w:rsidRPr="00A84CE4">
        <w:t xml:space="preserve"> models </w:t>
      </w:r>
      <w:r w:rsidR="00466114">
        <w:t>have been</w:t>
      </w:r>
      <w:r w:rsidR="00466114" w:rsidRPr="00A84CE4">
        <w:t xml:space="preserve"> created </w:t>
      </w:r>
      <w:proofErr w:type="gramStart"/>
      <w:r w:rsidR="00466114" w:rsidRPr="00A84CE4">
        <w:t>on the basis of</w:t>
      </w:r>
      <w:proofErr w:type="gramEnd"/>
      <w:r w:rsidR="00466114" w:rsidRPr="00A84CE4">
        <w:t xml:space="preserve"> the remaining designs for the performances listed in</w:t>
      </w:r>
      <w:r w:rsidR="00466114">
        <w:t xml:space="preserve"> </w:t>
      </w:r>
      <w:r w:rsidR="00466114">
        <w:fldChar w:fldCharType="begin"/>
      </w:r>
      <w:r w:rsidR="00466114">
        <w:instrText xml:space="preserve"> REF _Ref86418330 \h </w:instrText>
      </w:r>
      <w:r w:rsidR="00466114">
        <w:fldChar w:fldCharType="separate"/>
      </w:r>
      <w:r w:rsidR="00466114">
        <w:t xml:space="preserve">TABLE </w:t>
      </w:r>
      <w:r w:rsidR="00466114">
        <w:rPr>
          <w:noProof/>
        </w:rPr>
        <w:t>3</w:t>
      </w:r>
      <w:r w:rsidR="00466114">
        <w:fldChar w:fldCharType="end"/>
      </w:r>
      <w:r w:rsidR="00466114" w:rsidRPr="00A84CE4">
        <w:t>. The standard deviation (σ) of the prediction error distribution is given for each performance. Those values should be kept in mind when analysing the results in the next section.</w:t>
      </w:r>
    </w:p>
    <w:p w14:paraId="45BF00A0" w14:textId="77777777" w:rsidR="00466114" w:rsidRDefault="00466114" w:rsidP="00466114">
      <w:pPr>
        <w:pStyle w:val="Corpsdetexte"/>
        <w:ind w:firstLine="0"/>
      </w:pPr>
    </w:p>
    <w:p w14:paraId="4CFF0570" w14:textId="43AF5EA8" w:rsidR="00466114" w:rsidRDefault="00466114" w:rsidP="00466114">
      <w:pPr>
        <w:pStyle w:val="Lgende"/>
        <w:keepNext/>
        <w:jc w:val="center"/>
      </w:pPr>
      <w:bookmarkStart w:id="4" w:name="_Ref86418350"/>
      <w:bookmarkStart w:id="5" w:name="_Ref99048935"/>
      <w:r>
        <w:t xml:space="preserve">TABLE </w:t>
      </w:r>
      <w:r>
        <w:fldChar w:fldCharType="begin"/>
      </w:r>
      <w:r>
        <w:instrText xml:space="preserve"> SEQ TABLE \* ARABIC </w:instrText>
      </w:r>
      <w:r>
        <w:fldChar w:fldCharType="separate"/>
      </w:r>
      <w:r>
        <w:rPr>
          <w:noProof/>
        </w:rPr>
        <w:t>2</w:t>
      </w:r>
      <w:r>
        <w:fldChar w:fldCharType="end"/>
      </w:r>
      <w:bookmarkEnd w:id="4"/>
      <w:r>
        <w:t xml:space="preserve"> : CRITERIA APPLIED FOR THE CREATION AND THE PREDICTION OF THE SURROGATE MODELS</w:t>
      </w:r>
      <w:bookmarkEnd w:id="5"/>
    </w:p>
    <w:tbl>
      <w:tblPr>
        <w:tblStyle w:val="Grilledutableau"/>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2693"/>
      </w:tblGrid>
      <w:tr w:rsidR="00466114" w:rsidRPr="00A84CE4" w14:paraId="5691A155" w14:textId="77777777" w:rsidTr="00466114">
        <w:trPr>
          <w:jc w:val="center"/>
        </w:trPr>
        <w:tc>
          <w:tcPr>
            <w:tcW w:w="4395" w:type="dxa"/>
            <w:tcBorders>
              <w:top w:val="single" w:sz="4" w:space="0" w:color="auto"/>
              <w:bottom w:val="single" w:sz="4" w:space="0" w:color="auto"/>
            </w:tcBorders>
          </w:tcPr>
          <w:p w14:paraId="6E806C68" w14:textId="77777777" w:rsidR="00466114" w:rsidRPr="00A84CE4" w:rsidRDefault="00466114" w:rsidP="00466114">
            <w:pPr>
              <w:pStyle w:val="Corpsdetexte"/>
              <w:ind w:firstLine="0"/>
            </w:pPr>
            <w:r>
              <w:t>Performance</w:t>
            </w:r>
          </w:p>
        </w:tc>
        <w:tc>
          <w:tcPr>
            <w:tcW w:w="2693" w:type="dxa"/>
            <w:tcBorders>
              <w:top w:val="single" w:sz="4" w:space="0" w:color="auto"/>
              <w:bottom w:val="single" w:sz="4" w:space="0" w:color="auto"/>
            </w:tcBorders>
          </w:tcPr>
          <w:p w14:paraId="4FCBC000" w14:textId="77777777" w:rsidR="00466114" w:rsidRPr="00A84CE4" w:rsidRDefault="00466114" w:rsidP="00466114">
            <w:pPr>
              <w:pStyle w:val="Corpsdetexte"/>
              <w:ind w:firstLine="0"/>
              <w:jc w:val="center"/>
            </w:pPr>
            <w:r>
              <w:t>Accepted values</w:t>
            </w:r>
          </w:p>
        </w:tc>
      </w:tr>
      <w:tr w:rsidR="00466114" w:rsidRPr="00A84CE4" w14:paraId="71398913" w14:textId="77777777" w:rsidTr="00466114">
        <w:trPr>
          <w:jc w:val="center"/>
        </w:trPr>
        <w:tc>
          <w:tcPr>
            <w:tcW w:w="4395" w:type="dxa"/>
            <w:tcBorders>
              <w:top w:val="single" w:sz="4" w:space="0" w:color="auto"/>
            </w:tcBorders>
          </w:tcPr>
          <w:p w14:paraId="2BE711D9" w14:textId="4B87D191" w:rsidR="00466114" w:rsidRPr="00A84CE4" w:rsidRDefault="00466114" w:rsidP="00466114">
            <w:pPr>
              <w:pStyle w:val="Corpsdetexte"/>
              <w:ind w:firstLine="0"/>
            </w:pPr>
            <w:r>
              <w:t xml:space="preserve">Power density </w:t>
            </w:r>
            <w:r w:rsidRPr="00A84CE4">
              <w:t>(W/cm</w:t>
            </w:r>
            <w:r w:rsidRPr="00A84CE4">
              <w:rPr>
                <w:vertAlign w:val="superscript"/>
              </w:rPr>
              <w:t>3</w:t>
            </w:r>
            <w:r w:rsidRPr="00A84CE4">
              <w:t>)</w:t>
            </w:r>
          </w:p>
        </w:tc>
        <w:tc>
          <w:tcPr>
            <w:tcW w:w="2693" w:type="dxa"/>
            <w:tcBorders>
              <w:top w:val="single" w:sz="4" w:space="0" w:color="auto"/>
            </w:tcBorders>
          </w:tcPr>
          <w:p w14:paraId="5AA46EBF" w14:textId="77777777" w:rsidR="00466114" w:rsidRPr="00A84CE4" w:rsidRDefault="00466114" w:rsidP="00466114">
            <w:pPr>
              <w:pStyle w:val="Corpsdetexte"/>
              <w:ind w:firstLine="0"/>
              <w:jc w:val="center"/>
            </w:pPr>
            <w:r w:rsidRPr="00A84CE4">
              <w:t>[250; 375]</w:t>
            </w:r>
          </w:p>
        </w:tc>
      </w:tr>
      <w:tr w:rsidR="00466114" w:rsidRPr="00A84CE4" w14:paraId="41DAAD8F" w14:textId="77777777" w:rsidTr="00466114">
        <w:trPr>
          <w:jc w:val="center"/>
        </w:trPr>
        <w:tc>
          <w:tcPr>
            <w:tcW w:w="4395" w:type="dxa"/>
          </w:tcPr>
          <w:p w14:paraId="474C8920" w14:textId="77777777" w:rsidR="00466114" w:rsidRPr="00A84CE4" w:rsidRDefault="00466114" w:rsidP="00466114">
            <w:pPr>
              <w:pStyle w:val="Corpsdetexte"/>
              <w:ind w:firstLine="0"/>
            </w:pPr>
            <w:r>
              <w:t>M</w:t>
            </w:r>
            <w:r w:rsidRPr="00A84CE4">
              <w:t>argin to fuel melting in nominal conditions</w:t>
            </w:r>
            <w:r>
              <w:t xml:space="preserve"> (°C)</w:t>
            </w:r>
          </w:p>
        </w:tc>
        <w:tc>
          <w:tcPr>
            <w:tcW w:w="2693" w:type="dxa"/>
          </w:tcPr>
          <w:p w14:paraId="5E3567C4" w14:textId="77777777" w:rsidR="00466114" w:rsidRPr="00A84CE4" w:rsidRDefault="00466114" w:rsidP="00466114">
            <w:pPr>
              <w:pStyle w:val="Corpsdetexte"/>
              <w:ind w:firstLine="0"/>
              <w:jc w:val="center"/>
            </w:pPr>
            <w:r>
              <w:t>&gt;0</w:t>
            </w:r>
          </w:p>
        </w:tc>
      </w:tr>
    </w:tbl>
    <w:p w14:paraId="352AFB7F" w14:textId="77777777" w:rsidR="00466114" w:rsidRDefault="00466114" w:rsidP="003A439C">
      <w:pPr>
        <w:pStyle w:val="Corpsdetexte"/>
      </w:pPr>
    </w:p>
    <w:p w14:paraId="0FF2DEAA" w14:textId="66D05BAC" w:rsidR="000E5D68" w:rsidRDefault="000E5D68" w:rsidP="000E5D68">
      <w:pPr>
        <w:pStyle w:val="Lgende"/>
        <w:keepNext/>
        <w:jc w:val="center"/>
      </w:pPr>
      <w:bookmarkStart w:id="6" w:name="_Ref86418330"/>
      <w:r>
        <w:lastRenderedPageBreak/>
        <w:t xml:space="preserve">TABLE </w:t>
      </w:r>
      <w:r>
        <w:fldChar w:fldCharType="begin"/>
      </w:r>
      <w:r>
        <w:instrText xml:space="preserve"> SEQ TABLE \* ARABIC </w:instrText>
      </w:r>
      <w:r>
        <w:fldChar w:fldCharType="separate"/>
      </w:r>
      <w:r w:rsidR="00466114">
        <w:rPr>
          <w:noProof/>
        </w:rPr>
        <w:t>3</w:t>
      </w:r>
      <w:r>
        <w:fldChar w:fldCharType="end"/>
      </w:r>
      <w:bookmarkEnd w:id="6"/>
      <w:r>
        <w:t xml:space="preserve">. </w:t>
      </w:r>
      <w:r w:rsidRPr="00212E95">
        <w:t>STANDARD DEVIATION FOR THE PERFORMANCES EVALUATED WITH THE METAMODELS</w:t>
      </w:r>
    </w:p>
    <w:tbl>
      <w:tblPr>
        <w:tblStyle w:val="Grilledutableau"/>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27"/>
        <w:gridCol w:w="1741"/>
        <w:gridCol w:w="1741"/>
      </w:tblGrid>
      <w:tr w:rsidR="00C05E87" w:rsidRPr="00A84CE4" w14:paraId="462A1EC7" w14:textId="685635ED" w:rsidTr="00C05E87">
        <w:trPr>
          <w:jc w:val="center"/>
        </w:trPr>
        <w:tc>
          <w:tcPr>
            <w:tcW w:w="5427" w:type="dxa"/>
            <w:tcBorders>
              <w:top w:val="single" w:sz="4" w:space="0" w:color="auto"/>
              <w:bottom w:val="single" w:sz="4" w:space="0" w:color="auto"/>
            </w:tcBorders>
          </w:tcPr>
          <w:p w14:paraId="6BDC59FC" w14:textId="77777777" w:rsidR="00C05E87" w:rsidRPr="00A84CE4" w:rsidRDefault="00C05E87" w:rsidP="008A6D1A">
            <w:pPr>
              <w:pStyle w:val="Corpsdetexte"/>
              <w:ind w:firstLine="0"/>
            </w:pPr>
            <w:r w:rsidRPr="00A84CE4">
              <w:t>Parameter</w:t>
            </w:r>
          </w:p>
        </w:tc>
        <w:tc>
          <w:tcPr>
            <w:tcW w:w="1741" w:type="dxa"/>
            <w:tcBorders>
              <w:top w:val="single" w:sz="4" w:space="0" w:color="auto"/>
              <w:bottom w:val="single" w:sz="4" w:space="0" w:color="auto"/>
            </w:tcBorders>
          </w:tcPr>
          <w:p w14:paraId="7F74FD66" w14:textId="5EABF7CF" w:rsidR="00C05E87" w:rsidRPr="00A84CE4" w:rsidRDefault="00C05E87" w:rsidP="008A6D1A">
            <w:pPr>
              <w:pStyle w:val="Corpsdetexte"/>
              <w:ind w:firstLine="0"/>
              <w:jc w:val="center"/>
            </w:pPr>
            <w:r w:rsidRPr="00A84CE4">
              <w:t>12</w:t>
            </w:r>
          </w:p>
        </w:tc>
        <w:tc>
          <w:tcPr>
            <w:tcW w:w="1741" w:type="dxa"/>
            <w:tcBorders>
              <w:top w:val="single" w:sz="4" w:space="0" w:color="auto"/>
              <w:bottom w:val="single" w:sz="4" w:space="0" w:color="auto"/>
            </w:tcBorders>
          </w:tcPr>
          <w:p w14:paraId="4E5FA3F5" w14:textId="43C81034" w:rsidR="00C05E87" w:rsidRPr="00A84CE4" w:rsidRDefault="00C05E87" w:rsidP="008A6D1A">
            <w:pPr>
              <w:pStyle w:val="Corpsdetexte"/>
              <w:ind w:firstLine="0"/>
              <w:jc w:val="center"/>
            </w:pPr>
            <w:r w:rsidRPr="00A84CE4">
              <w:t>13</w:t>
            </w:r>
          </w:p>
        </w:tc>
      </w:tr>
      <w:tr w:rsidR="00C05E87" w:rsidRPr="00A84CE4" w14:paraId="456EBC10" w14:textId="4621C632" w:rsidTr="00C05E87">
        <w:trPr>
          <w:jc w:val="center"/>
        </w:trPr>
        <w:tc>
          <w:tcPr>
            <w:tcW w:w="5427" w:type="dxa"/>
            <w:tcBorders>
              <w:top w:val="single" w:sz="4" w:space="0" w:color="auto"/>
            </w:tcBorders>
          </w:tcPr>
          <w:p w14:paraId="58EB8159" w14:textId="3D7209A6" w:rsidR="00C05E87" w:rsidRPr="00A84CE4" w:rsidRDefault="00387115" w:rsidP="00E05941">
            <w:pPr>
              <w:pStyle w:val="Corpsdetexte"/>
              <w:ind w:firstLine="0"/>
            </w:pPr>
            <w:r w:rsidRPr="00A84CE4">
              <w:t xml:space="preserve">Margin to </w:t>
            </w:r>
            <w:r w:rsidR="00E05941">
              <w:t xml:space="preserve">melt </w:t>
            </w:r>
            <w:r w:rsidRPr="00A84CE4">
              <w:t xml:space="preserve">in nominal conditions </w:t>
            </w:r>
            <w:r w:rsidR="00C05E87" w:rsidRPr="00A84CE4">
              <w:t>[°C]</w:t>
            </w:r>
          </w:p>
        </w:tc>
        <w:tc>
          <w:tcPr>
            <w:tcW w:w="1741" w:type="dxa"/>
            <w:tcBorders>
              <w:top w:val="single" w:sz="4" w:space="0" w:color="auto"/>
            </w:tcBorders>
          </w:tcPr>
          <w:p w14:paraId="5DCE10FE" w14:textId="4F735C8C" w:rsidR="00C05E87" w:rsidRPr="00A84CE4" w:rsidRDefault="00C05E87" w:rsidP="00C05E87">
            <w:pPr>
              <w:pStyle w:val="Corpsdetexte"/>
              <w:ind w:firstLine="0"/>
              <w:jc w:val="center"/>
            </w:pPr>
            <w:r w:rsidRPr="00A84CE4">
              <w:t>27</w:t>
            </w:r>
          </w:p>
        </w:tc>
        <w:tc>
          <w:tcPr>
            <w:tcW w:w="1741" w:type="dxa"/>
            <w:tcBorders>
              <w:top w:val="single" w:sz="4" w:space="0" w:color="auto"/>
            </w:tcBorders>
          </w:tcPr>
          <w:p w14:paraId="18BD3DFD" w14:textId="1B923C7F" w:rsidR="00C05E87" w:rsidRPr="00A84CE4" w:rsidRDefault="00C05E87" w:rsidP="00C05E87">
            <w:pPr>
              <w:pStyle w:val="Corpsdetexte"/>
              <w:ind w:firstLine="0"/>
              <w:jc w:val="center"/>
            </w:pPr>
            <w:r w:rsidRPr="00A84CE4">
              <w:t>36</w:t>
            </w:r>
          </w:p>
        </w:tc>
      </w:tr>
      <w:tr w:rsidR="00C05E87" w:rsidRPr="00A84CE4" w14:paraId="4A64AB70" w14:textId="2EFFD3E0" w:rsidTr="00C05E87">
        <w:trPr>
          <w:jc w:val="center"/>
        </w:trPr>
        <w:tc>
          <w:tcPr>
            <w:tcW w:w="5427" w:type="dxa"/>
          </w:tcPr>
          <w:p w14:paraId="443178D8" w14:textId="2ADC49BB" w:rsidR="00C05E87" w:rsidRPr="00A84CE4" w:rsidRDefault="00387115" w:rsidP="00C05E87">
            <w:pPr>
              <w:pStyle w:val="Corpsdetexte"/>
              <w:ind w:firstLine="0"/>
            </w:pPr>
            <w:r w:rsidRPr="00A84CE4">
              <w:t xml:space="preserve">Margin to fuel melting in UCRW conditions </w:t>
            </w:r>
            <w:r w:rsidR="00C05E87" w:rsidRPr="00A84CE4">
              <w:t>[W/cm]</w:t>
            </w:r>
          </w:p>
        </w:tc>
        <w:tc>
          <w:tcPr>
            <w:tcW w:w="1741" w:type="dxa"/>
          </w:tcPr>
          <w:p w14:paraId="38F5D7CD" w14:textId="2E7F8CA5" w:rsidR="00C05E87" w:rsidRPr="00A84CE4" w:rsidRDefault="00C05E87" w:rsidP="00C05E87">
            <w:pPr>
              <w:pStyle w:val="Corpsdetexte"/>
              <w:ind w:firstLine="0"/>
              <w:jc w:val="center"/>
            </w:pPr>
            <w:r w:rsidRPr="00A84CE4">
              <w:t>7</w:t>
            </w:r>
          </w:p>
        </w:tc>
        <w:tc>
          <w:tcPr>
            <w:tcW w:w="1741" w:type="dxa"/>
          </w:tcPr>
          <w:p w14:paraId="276FFE5C" w14:textId="542794E0" w:rsidR="00C05E87" w:rsidRPr="00A84CE4" w:rsidRDefault="00C05E87" w:rsidP="00C05E87">
            <w:pPr>
              <w:pStyle w:val="Corpsdetexte"/>
              <w:ind w:firstLine="0"/>
              <w:jc w:val="center"/>
            </w:pPr>
            <w:r w:rsidRPr="00A84CE4">
              <w:t>10</w:t>
            </w:r>
          </w:p>
        </w:tc>
      </w:tr>
      <w:tr w:rsidR="00C05E87" w:rsidRPr="00A84CE4" w14:paraId="38074918" w14:textId="0E7DDBED" w:rsidTr="00C05E87">
        <w:trPr>
          <w:jc w:val="center"/>
        </w:trPr>
        <w:tc>
          <w:tcPr>
            <w:tcW w:w="5427" w:type="dxa"/>
          </w:tcPr>
          <w:p w14:paraId="1311CAF8" w14:textId="03DF9B72" w:rsidR="00C05E87" w:rsidRPr="00A84CE4" w:rsidRDefault="00387115" w:rsidP="00C05E87">
            <w:pPr>
              <w:pStyle w:val="Corpsdetexte"/>
              <w:ind w:firstLine="0"/>
            </w:pPr>
            <w:r w:rsidRPr="00A84CE4">
              <w:t>Asymptotic sodium temperature in ULOSSP situation</w:t>
            </w:r>
            <w:r w:rsidR="00C05E87" w:rsidRPr="00A84CE4">
              <w:t xml:space="preserve"> [°C]</w:t>
            </w:r>
          </w:p>
        </w:tc>
        <w:tc>
          <w:tcPr>
            <w:tcW w:w="1741" w:type="dxa"/>
          </w:tcPr>
          <w:p w14:paraId="2CA4596C" w14:textId="2C2F9CD0" w:rsidR="00C05E87" w:rsidRPr="00A84CE4" w:rsidRDefault="00C05E87" w:rsidP="00C05E87">
            <w:pPr>
              <w:pStyle w:val="Corpsdetexte"/>
              <w:ind w:firstLine="0"/>
              <w:jc w:val="center"/>
            </w:pPr>
            <w:r w:rsidRPr="00A84CE4">
              <w:t>3.5</w:t>
            </w:r>
          </w:p>
        </w:tc>
        <w:tc>
          <w:tcPr>
            <w:tcW w:w="1741" w:type="dxa"/>
          </w:tcPr>
          <w:p w14:paraId="0D6AD809" w14:textId="0D872CD2" w:rsidR="00C05E87" w:rsidRPr="00A84CE4" w:rsidRDefault="00C05E87" w:rsidP="00C05E87">
            <w:pPr>
              <w:pStyle w:val="Corpsdetexte"/>
              <w:ind w:firstLine="0"/>
              <w:jc w:val="center"/>
            </w:pPr>
            <w:r w:rsidRPr="00A84CE4">
              <w:t>4</w:t>
            </w:r>
          </w:p>
        </w:tc>
      </w:tr>
      <w:tr w:rsidR="00C05E87" w:rsidRPr="00A84CE4" w14:paraId="02023133" w14:textId="56EE88F1" w:rsidTr="00C05E87">
        <w:trPr>
          <w:jc w:val="center"/>
        </w:trPr>
        <w:tc>
          <w:tcPr>
            <w:tcW w:w="5427" w:type="dxa"/>
          </w:tcPr>
          <w:p w14:paraId="0A8BF4CA" w14:textId="1C52B2CB" w:rsidR="00C05E87" w:rsidRPr="00A84CE4" w:rsidRDefault="00C05E87" w:rsidP="00387115">
            <w:pPr>
              <w:pStyle w:val="Corpsdetexte"/>
              <w:ind w:firstLine="0"/>
            </w:pPr>
            <w:r w:rsidRPr="00A84CE4">
              <w:t>Doppler</w:t>
            </w:r>
            <w:r w:rsidR="00387115" w:rsidRPr="00A84CE4">
              <w:t xml:space="preserve"> constant</w:t>
            </w:r>
            <w:r w:rsidRPr="00A84CE4">
              <w:t xml:space="preserve"> [pcm]</w:t>
            </w:r>
          </w:p>
        </w:tc>
        <w:tc>
          <w:tcPr>
            <w:tcW w:w="1741" w:type="dxa"/>
          </w:tcPr>
          <w:p w14:paraId="363A9F68" w14:textId="3BE1AB0F" w:rsidR="00C05E87" w:rsidRPr="00A84CE4" w:rsidRDefault="00C05E87" w:rsidP="00C05E87">
            <w:pPr>
              <w:pStyle w:val="Corpsdetexte"/>
              <w:ind w:firstLine="0"/>
              <w:jc w:val="center"/>
            </w:pPr>
            <w:r w:rsidRPr="00A84CE4">
              <w:t>3</w:t>
            </w:r>
          </w:p>
        </w:tc>
        <w:tc>
          <w:tcPr>
            <w:tcW w:w="1741" w:type="dxa"/>
          </w:tcPr>
          <w:p w14:paraId="18085DD2" w14:textId="15CF26CB" w:rsidR="00C05E87" w:rsidRPr="00A84CE4" w:rsidRDefault="00C05E87" w:rsidP="00C05E87">
            <w:pPr>
              <w:pStyle w:val="Corpsdetexte"/>
              <w:ind w:firstLine="0"/>
              <w:jc w:val="center"/>
            </w:pPr>
            <w:r w:rsidRPr="00A84CE4">
              <w:t>4</w:t>
            </w:r>
          </w:p>
        </w:tc>
      </w:tr>
      <w:tr w:rsidR="00C05E87" w:rsidRPr="00A84CE4" w14:paraId="062793DC" w14:textId="1403F3B8" w:rsidTr="00C05E87">
        <w:trPr>
          <w:jc w:val="center"/>
        </w:trPr>
        <w:tc>
          <w:tcPr>
            <w:tcW w:w="5427" w:type="dxa"/>
          </w:tcPr>
          <w:p w14:paraId="292631E4" w14:textId="6F378084" w:rsidR="00C05E87" w:rsidRPr="00A84CE4" w:rsidRDefault="005E4E9F" w:rsidP="005E4E9F">
            <w:pPr>
              <w:pStyle w:val="Corpsdetexte"/>
              <w:ind w:firstLine="0"/>
            </w:pPr>
            <w:r w:rsidRPr="00A84CE4">
              <w:t>Total s</w:t>
            </w:r>
            <w:r w:rsidR="00387115" w:rsidRPr="00A84CE4">
              <w:t>odium void effect [</w:t>
            </w:r>
            <w:r w:rsidR="00C05E87" w:rsidRPr="00A84CE4">
              <w:t>pcm]</w:t>
            </w:r>
          </w:p>
        </w:tc>
        <w:tc>
          <w:tcPr>
            <w:tcW w:w="1741" w:type="dxa"/>
          </w:tcPr>
          <w:p w14:paraId="3954D2CB" w14:textId="6202FD31" w:rsidR="00C05E87" w:rsidRPr="00A84CE4" w:rsidRDefault="00C05E87" w:rsidP="00C05E87">
            <w:pPr>
              <w:pStyle w:val="Corpsdetexte"/>
              <w:ind w:firstLine="0"/>
              <w:jc w:val="center"/>
            </w:pPr>
            <w:r w:rsidRPr="00A84CE4">
              <w:t>2.5</w:t>
            </w:r>
          </w:p>
        </w:tc>
        <w:tc>
          <w:tcPr>
            <w:tcW w:w="1741" w:type="dxa"/>
          </w:tcPr>
          <w:p w14:paraId="76A996AF" w14:textId="470FFD8E" w:rsidR="00C05E87" w:rsidRPr="00A84CE4" w:rsidRDefault="00C05E87" w:rsidP="00C05E87">
            <w:pPr>
              <w:pStyle w:val="Corpsdetexte"/>
              <w:ind w:firstLine="0"/>
              <w:jc w:val="center"/>
            </w:pPr>
            <w:r w:rsidRPr="00A84CE4">
              <w:t>3</w:t>
            </w:r>
          </w:p>
        </w:tc>
      </w:tr>
      <w:tr w:rsidR="00C05E87" w:rsidRPr="00A84CE4" w14:paraId="79C01516" w14:textId="6306A44B" w:rsidTr="00C05E87">
        <w:trPr>
          <w:jc w:val="center"/>
        </w:trPr>
        <w:tc>
          <w:tcPr>
            <w:tcW w:w="5427" w:type="dxa"/>
          </w:tcPr>
          <w:p w14:paraId="376017CB" w14:textId="2F8E5B7E" w:rsidR="00C05E87" w:rsidRPr="00A84CE4" w:rsidRDefault="00387115" w:rsidP="00C05E87">
            <w:pPr>
              <w:pStyle w:val="Corpsdetexte"/>
              <w:ind w:firstLine="0"/>
            </w:pPr>
            <w:r w:rsidRPr="00A84CE4">
              <w:t>Rea</w:t>
            </w:r>
            <w:r w:rsidR="005E4E9F" w:rsidRPr="00A84CE4">
              <w:t>ctivity loss</w:t>
            </w:r>
            <w:r w:rsidR="00C05E87" w:rsidRPr="00A84CE4">
              <w:t xml:space="preserve"> </w:t>
            </w:r>
            <w:r w:rsidR="003B59C5">
              <w:t xml:space="preserve">during one cycle </w:t>
            </w:r>
            <w:r w:rsidR="00C05E87" w:rsidRPr="00A84CE4">
              <w:t>[pcm]</w:t>
            </w:r>
          </w:p>
        </w:tc>
        <w:tc>
          <w:tcPr>
            <w:tcW w:w="1741" w:type="dxa"/>
          </w:tcPr>
          <w:p w14:paraId="7C7D9B69" w14:textId="5E024A51" w:rsidR="00C05E87" w:rsidRPr="00A84CE4" w:rsidRDefault="00C05E87" w:rsidP="00C05E87">
            <w:pPr>
              <w:pStyle w:val="Corpsdetexte"/>
              <w:ind w:firstLine="0"/>
              <w:jc w:val="center"/>
            </w:pPr>
            <w:r w:rsidRPr="00A84CE4">
              <w:t>19</w:t>
            </w:r>
          </w:p>
        </w:tc>
        <w:tc>
          <w:tcPr>
            <w:tcW w:w="1741" w:type="dxa"/>
          </w:tcPr>
          <w:p w14:paraId="10D9C0AB" w14:textId="4B7F192F" w:rsidR="00C05E87" w:rsidRPr="00A84CE4" w:rsidRDefault="00C05E87" w:rsidP="00C05E87">
            <w:pPr>
              <w:pStyle w:val="Corpsdetexte"/>
              <w:ind w:firstLine="0"/>
              <w:jc w:val="center"/>
            </w:pPr>
            <w:r w:rsidRPr="00A84CE4">
              <w:t>21</w:t>
            </w:r>
          </w:p>
        </w:tc>
      </w:tr>
      <w:tr w:rsidR="00C05E87" w:rsidRPr="00A84CE4" w14:paraId="61300075" w14:textId="0CC1176C" w:rsidTr="00C05E87">
        <w:trPr>
          <w:jc w:val="center"/>
        </w:trPr>
        <w:tc>
          <w:tcPr>
            <w:tcW w:w="5427" w:type="dxa"/>
          </w:tcPr>
          <w:p w14:paraId="58F5D644" w14:textId="27F4AE26" w:rsidR="00C05E87" w:rsidRPr="00A84CE4" w:rsidRDefault="00387115" w:rsidP="00C05E87">
            <w:pPr>
              <w:pStyle w:val="Corpsdetexte"/>
              <w:ind w:firstLine="0"/>
            </w:pPr>
            <w:r w:rsidRPr="00A84CE4">
              <w:t>Breeding ratio</w:t>
            </w:r>
            <w:r w:rsidR="00C05E87" w:rsidRPr="00A84CE4">
              <w:t xml:space="preserve"> [%]</w:t>
            </w:r>
          </w:p>
        </w:tc>
        <w:tc>
          <w:tcPr>
            <w:tcW w:w="1741" w:type="dxa"/>
          </w:tcPr>
          <w:p w14:paraId="6A29D07B" w14:textId="60913514" w:rsidR="00C05E87" w:rsidRPr="00A84CE4" w:rsidRDefault="00C05E87" w:rsidP="00C05E87">
            <w:pPr>
              <w:pStyle w:val="Corpsdetexte"/>
              <w:ind w:firstLine="0"/>
              <w:jc w:val="center"/>
            </w:pPr>
            <w:r w:rsidRPr="00A84CE4">
              <w:t>0.08</w:t>
            </w:r>
          </w:p>
        </w:tc>
        <w:tc>
          <w:tcPr>
            <w:tcW w:w="1741" w:type="dxa"/>
          </w:tcPr>
          <w:p w14:paraId="66AC3FA8" w14:textId="65F60FCA" w:rsidR="00C05E87" w:rsidRPr="00A84CE4" w:rsidRDefault="00C05E87" w:rsidP="00C05E87">
            <w:pPr>
              <w:pStyle w:val="Corpsdetexte"/>
              <w:ind w:firstLine="0"/>
              <w:jc w:val="center"/>
            </w:pPr>
            <w:r w:rsidRPr="00A84CE4">
              <w:t>0.18</w:t>
            </w:r>
          </w:p>
        </w:tc>
      </w:tr>
    </w:tbl>
    <w:p w14:paraId="0A4FC78C" w14:textId="77777777" w:rsidR="001445CD" w:rsidRDefault="001445CD" w:rsidP="009A4C7D">
      <w:pPr>
        <w:pStyle w:val="Corpsdetexte"/>
      </w:pPr>
      <w:bookmarkStart w:id="7" w:name="_Ref68812225"/>
    </w:p>
    <w:p w14:paraId="46724CD2" w14:textId="22D0D969" w:rsidR="009A4C7D" w:rsidRDefault="009A4C7D" w:rsidP="00B10C37">
      <w:pPr>
        <w:pStyle w:val="Corpsdetexte"/>
      </w:pPr>
      <w:r>
        <w:t>Among the performances evaluated in this study and listed in</w:t>
      </w:r>
      <w:r w:rsidR="00FA3A30">
        <w:t xml:space="preserve"> </w:t>
      </w:r>
      <w:r w:rsidR="00FA3A30">
        <w:fldChar w:fldCharType="begin"/>
      </w:r>
      <w:r w:rsidR="00FA3A30">
        <w:instrText xml:space="preserve"> REF _Ref86418330 \h </w:instrText>
      </w:r>
      <w:r w:rsidR="00FA3A30">
        <w:fldChar w:fldCharType="separate"/>
      </w:r>
      <w:r w:rsidR="00466114">
        <w:t xml:space="preserve">TABLE </w:t>
      </w:r>
      <w:r w:rsidR="00466114">
        <w:rPr>
          <w:noProof/>
        </w:rPr>
        <w:t>3</w:t>
      </w:r>
      <w:r w:rsidR="00FA3A30">
        <w:fldChar w:fldCharType="end"/>
      </w:r>
      <w:r>
        <w:t>, the m</w:t>
      </w:r>
      <w:r w:rsidRPr="00A84CE4">
        <w:t>argin to fuel melting durin</w:t>
      </w:r>
      <w:r>
        <w:t xml:space="preserve">g UCRW and the </w:t>
      </w:r>
      <w:r w:rsidRPr="00A84CE4">
        <w:t>sodium temperature in ULOSSP</w:t>
      </w:r>
      <w:r>
        <w:t xml:space="preserve"> </w:t>
      </w:r>
      <w:r w:rsidR="00491708">
        <w:t>have been specifically analysed. The margin to fuel melting in UCRW is computed with GERMINAL. One UCRW computation is performed for each rod individually. The performance given in this paper correspond</w:t>
      </w:r>
      <w:r w:rsidR="00B10C37">
        <w:t>s</w:t>
      </w:r>
      <w:r w:rsidR="00BD2550">
        <w:t xml:space="preserve"> to the margin to</w:t>
      </w:r>
      <w:r w:rsidR="00491708">
        <w:t xml:space="preserve"> fuel melting for the more constraining case</w:t>
      </w:r>
      <w:r w:rsidR="00466114">
        <w:t>. T</w:t>
      </w:r>
      <w:r w:rsidR="00B10C37">
        <w:t xml:space="preserve">he margin to fuel melting in UCRW should be </w:t>
      </w:r>
      <w:r w:rsidR="00C55DC4">
        <w:t>positive and as high as possible to enhance the safety</w:t>
      </w:r>
      <w:r w:rsidR="00B10C37">
        <w:t>.</w:t>
      </w:r>
      <w:r w:rsidR="001445CD">
        <w:t xml:space="preserve"> </w:t>
      </w:r>
      <w:r w:rsidR="00491708" w:rsidRPr="00491708">
        <w:t xml:space="preserve">The asymptotic sodium temperature in ULOSSP is evaluated with </w:t>
      </w:r>
      <w:r w:rsidR="00491708">
        <w:t xml:space="preserve">MAT5DYN. </w:t>
      </w:r>
      <w:r w:rsidR="00800DFB">
        <w:t xml:space="preserve">It corresponds to the maximal core outlet temperature achieved at the end of the </w:t>
      </w:r>
      <w:r w:rsidR="00800DFB">
        <w:t xml:space="preserve">simulated ULOSSP </w:t>
      </w:r>
      <w:r w:rsidR="00800DFB">
        <w:t xml:space="preserve">transient. </w:t>
      </w:r>
      <w:r w:rsidR="00B10C37">
        <w:t xml:space="preserve">The ULOSSP accident consists in an unprotected loss of the primary </w:t>
      </w:r>
      <w:r w:rsidR="00FA3A30">
        <w:t xml:space="preserve">flow </w:t>
      </w:r>
      <w:r w:rsidR="00B10C37">
        <w:t>and the secondary flow.</w:t>
      </w:r>
      <w:r w:rsidRPr="00491708">
        <w:t xml:space="preserve"> </w:t>
      </w:r>
      <w:r w:rsidR="00B10C37">
        <w:t xml:space="preserve">The loss of the primary flow is simulated by a hyperbolic decrease </w:t>
      </w:r>
      <w:r w:rsidR="00BD2550">
        <w:t>where</w:t>
      </w:r>
      <w:r w:rsidR="00B10C37">
        <w:t xml:space="preserve"> 50% of the nominal flow is reached after 25 seconds </w:t>
      </w:r>
      <w:r w:rsidR="00FA3A30">
        <w:t xml:space="preserve">of transient </w:t>
      </w:r>
      <w:r w:rsidR="00B10C37">
        <w:t xml:space="preserve">and the residual flow at the end of the transient is fixed at 12% of the nominal flow. </w:t>
      </w:r>
      <w:r w:rsidR="00466114">
        <w:t>T</w:t>
      </w:r>
      <w:r w:rsidR="00B10C37" w:rsidRPr="00491708">
        <w:t>he sodium temperature in ULOSSP</w:t>
      </w:r>
      <w:r w:rsidR="00B10C37">
        <w:t xml:space="preserve"> should be below sodium boiling point</w:t>
      </w:r>
      <w:r w:rsidR="00C55DC4">
        <w:t xml:space="preserve"> and as low as possible</w:t>
      </w:r>
      <w:r w:rsidR="00B10C37">
        <w:t xml:space="preserve"> </w:t>
      </w:r>
      <w:r w:rsidR="00FA3A30">
        <w:t xml:space="preserve">to </w:t>
      </w:r>
      <w:r w:rsidR="00C55DC4">
        <w:t xml:space="preserve">enhance </w:t>
      </w:r>
      <w:r w:rsidR="00FA3A30">
        <w:t>the safety</w:t>
      </w:r>
      <w:r w:rsidR="00B10C37">
        <w:t xml:space="preserve">. </w:t>
      </w:r>
    </w:p>
    <w:p w14:paraId="433FE053" w14:textId="08FCA91D" w:rsidR="00EE0041" w:rsidRPr="00A84CE4" w:rsidRDefault="00D25E8B" w:rsidP="0026525A">
      <w:pPr>
        <w:pStyle w:val="Titre2"/>
        <w:numPr>
          <w:ilvl w:val="1"/>
          <w:numId w:val="10"/>
        </w:numPr>
      </w:pPr>
      <w:bookmarkStart w:id="8" w:name="_Ref87373181"/>
      <w:r w:rsidRPr="00A84CE4">
        <w:t xml:space="preserve">Results of the </w:t>
      </w:r>
      <w:r w:rsidR="00BB01A1" w:rsidRPr="00A84CE4">
        <w:t xml:space="preserve">sdds </w:t>
      </w:r>
      <w:r w:rsidRPr="00A84CE4">
        <w:t>study</w:t>
      </w:r>
      <w:r w:rsidR="000D0A1E" w:rsidRPr="00A84CE4">
        <w:t xml:space="preserve"> at 1100 MWe</w:t>
      </w:r>
      <w:bookmarkEnd w:id="7"/>
      <w:bookmarkEnd w:id="8"/>
    </w:p>
    <w:p w14:paraId="78834A89" w14:textId="45260578" w:rsidR="006E5D9E" w:rsidRPr="00A84CE4" w:rsidRDefault="00BB01A1" w:rsidP="00A01467">
      <w:pPr>
        <w:pStyle w:val="Titre3"/>
        <w:numPr>
          <w:ilvl w:val="2"/>
          <w:numId w:val="36"/>
        </w:numPr>
      </w:pPr>
      <w:r w:rsidRPr="00A84CE4">
        <w:t>P</w:t>
      </w:r>
      <w:r w:rsidR="006E5D9E" w:rsidRPr="00A84CE4">
        <w:t>redicti</w:t>
      </w:r>
      <w:r w:rsidRPr="00A84CE4">
        <w:t>on</w:t>
      </w:r>
      <w:r w:rsidR="001A59DD">
        <w:t xml:space="preserve"> of the surrogate</w:t>
      </w:r>
      <w:r w:rsidR="001A59DD" w:rsidRPr="00A84CE4">
        <w:t xml:space="preserve"> </w:t>
      </w:r>
      <w:r w:rsidR="006E5D9E" w:rsidRPr="00A84CE4">
        <w:t xml:space="preserve">models </w:t>
      </w:r>
    </w:p>
    <w:p w14:paraId="7DE74824" w14:textId="2D8C7FF8" w:rsidR="00FA3362" w:rsidRPr="00A84CE4" w:rsidRDefault="006466AD" w:rsidP="00466114">
      <w:pPr>
        <w:pStyle w:val="Corpsdetexte"/>
      </w:pPr>
      <w:r>
        <w:t xml:space="preserve">The filters applied on the prediction of the surrogate models are recalled in </w:t>
      </w:r>
      <w:r w:rsidR="00AA08FF">
        <w:fldChar w:fldCharType="begin"/>
      </w:r>
      <w:r w:rsidR="00AA08FF">
        <w:instrText xml:space="preserve"> REF _Ref86418350 \h </w:instrText>
      </w:r>
      <w:r w:rsidR="00AA08FF">
        <w:fldChar w:fldCharType="separate"/>
      </w:r>
      <w:r w:rsidR="00466114">
        <w:t xml:space="preserve">TABLE </w:t>
      </w:r>
      <w:r w:rsidR="00466114">
        <w:rPr>
          <w:noProof/>
        </w:rPr>
        <w:t>2</w:t>
      </w:r>
      <w:r w:rsidR="00AA08FF">
        <w:fldChar w:fldCharType="end"/>
      </w:r>
      <w:r>
        <w:t xml:space="preserve">. </w:t>
      </w:r>
      <w:r w:rsidR="0049426D" w:rsidRPr="00A84CE4">
        <w:t xml:space="preserve">The results are given hereafter (from </w:t>
      </w:r>
      <w:r w:rsidR="005E4E9F" w:rsidRPr="00A84CE4">
        <w:fldChar w:fldCharType="begin"/>
      </w:r>
      <w:r w:rsidR="005E4E9F" w:rsidRPr="00A84CE4">
        <w:instrText xml:space="preserve"> REF _Ref68556687 \h  \* MERGEFORMAT </w:instrText>
      </w:r>
      <w:r w:rsidR="005E4E9F" w:rsidRPr="00A84CE4">
        <w:fldChar w:fldCharType="separate"/>
      </w:r>
      <w:r w:rsidR="00466114" w:rsidRPr="00466114">
        <w:t xml:space="preserve">FIG. </w:t>
      </w:r>
      <w:r w:rsidR="00466114" w:rsidRPr="00466114">
        <w:rPr>
          <w:noProof/>
        </w:rPr>
        <w:t>3</w:t>
      </w:r>
      <w:r w:rsidR="005E4E9F" w:rsidRPr="00A84CE4">
        <w:fldChar w:fldCharType="end"/>
      </w:r>
      <w:r w:rsidR="005E4E9F" w:rsidRPr="00A84CE4">
        <w:t xml:space="preserve">. to </w:t>
      </w:r>
      <w:r w:rsidR="005E4E9F" w:rsidRPr="00A84CE4">
        <w:fldChar w:fldCharType="begin"/>
      </w:r>
      <w:r w:rsidR="005E4E9F" w:rsidRPr="00A84CE4">
        <w:instrText xml:space="preserve"> REF _Ref68556691 \h  \* MERGEFORMAT </w:instrText>
      </w:r>
      <w:r w:rsidR="005E4E9F" w:rsidRPr="00A84CE4">
        <w:fldChar w:fldCharType="separate"/>
      </w:r>
      <w:r w:rsidR="00466114" w:rsidRPr="00466114">
        <w:t xml:space="preserve">FIG. </w:t>
      </w:r>
      <w:r w:rsidR="00466114" w:rsidRPr="00466114">
        <w:rPr>
          <w:noProof/>
        </w:rPr>
        <w:t>7</w:t>
      </w:r>
      <w:r w:rsidR="005E4E9F" w:rsidRPr="00A84CE4">
        <w:fldChar w:fldCharType="end"/>
      </w:r>
      <w:r w:rsidR="005E4E9F" w:rsidRPr="00A84CE4">
        <w:t>.</w:t>
      </w:r>
      <w:r w:rsidR="0049426D" w:rsidRPr="00A84CE4">
        <w:t xml:space="preserve">) in the space (Margin to fuel melting during UCRW, sodium temperature in ULOSSP). </w:t>
      </w:r>
      <w:r w:rsidR="000B64F5" w:rsidRPr="00A84CE4">
        <w:t xml:space="preserve">The best designs from the safety point of view are </w:t>
      </w:r>
      <w:r w:rsidR="005E4E9F" w:rsidRPr="00A84CE4">
        <w:t xml:space="preserve">the ones that minimise the sodium temperature in ULOSSP and maximise the margin to fuel melting in UCRW. They are </w:t>
      </w:r>
      <w:r w:rsidR="000B64F5" w:rsidRPr="00A84CE4">
        <w:t>located on the Pareto front</w:t>
      </w:r>
      <w:r w:rsidR="00BB01A1" w:rsidRPr="00A84CE4">
        <w:t xml:space="preserve">, which corresponds </w:t>
      </w:r>
      <w:r w:rsidR="005E4E9F" w:rsidRPr="00A84CE4">
        <w:t xml:space="preserve">in </w:t>
      </w:r>
      <w:r w:rsidR="0049426D" w:rsidRPr="00A84CE4">
        <w:t>this space</w:t>
      </w:r>
      <w:r w:rsidR="00BB01A1" w:rsidRPr="00A84CE4">
        <w:t xml:space="preserve"> to the bottom-right front of the design distribution. </w:t>
      </w:r>
      <w:r w:rsidR="000B64F5" w:rsidRPr="00A84CE4">
        <w:t>The colo</w:t>
      </w:r>
      <w:r w:rsidR="00C05E87" w:rsidRPr="00A84CE4">
        <w:t>u</w:t>
      </w:r>
      <w:r w:rsidR="000B64F5" w:rsidRPr="00A84CE4">
        <w:t xml:space="preserve">r of each point is indexed on </w:t>
      </w:r>
      <w:r w:rsidR="00BB01A1" w:rsidRPr="00A84CE4">
        <w:t>the mean value of the studied geometric parameter.</w:t>
      </w:r>
      <w:r w:rsidR="008735E7" w:rsidRPr="00A84CE4">
        <w:t xml:space="preserve"> </w:t>
      </w:r>
      <w:r w:rsidR="00B36E68">
        <w:t>S</w:t>
      </w:r>
      <w:r w:rsidR="00717F71">
        <w:t>ome</w:t>
      </w:r>
      <w:r w:rsidR="000A5C6B" w:rsidRPr="00A84CE4">
        <w:t xml:space="preserve"> differences </w:t>
      </w:r>
      <w:r w:rsidR="008B4B05" w:rsidRPr="00A84CE4">
        <w:t>should</w:t>
      </w:r>
      <w:r w:rsidR="000A5C6B" w:rsidRPr="00A84CE4">
        <w:t xml:space="preserve"> be noted </w:t>
      </w:r>
      <w:r w:rsidR="008B4B05" w:rsidRPr="00A84CE4">
        <w:t>when comparing the</w:t>
      </w:r>
      <w:r w:rsidR="00DF4398" w:rsidRPr="00A84CE4">
        <w:t xml:space="preserve"> results </w:t>
      </w:r>
      <w:r w:rsidR="008B4B05" w:rsidRPr="00A84CE4">
        <w:t xml:space="preserve">with the ones </w:t>
      </w:r>
      <w:r w:rsidR="00DF4398" w:rsidRPr="00A84CE4">
        <w:t xml:space="preserve">of the 1000 MWe study </w:t>
      </w:r>
      <w:r w:rsidR="000A5C6B" w:rsidRPr="00A84CE4">
        <w:t xml:space="preserve">in </w:t>
      </w:r>
      <w:r w:rsidR="001A59DD">
        <w:fldChar w:fldCharType="begin"/>
      </w:r>
      <w:r w:rsidR="001A59DD">
        <w:instrText xml:space="preserve"> REF _Ref68854625 \r \h </w:instrText>
      </w:r>
      <w:r w:rsidR="001A59DD">
        <w:fldChar w:fldCharType="separate"/>
      </w:r>
      <w:r w:rsidR="00466114">
        <w:t>[1]</w:t>
      </w:r>
      <w:r w:rsidR="001A59DD">
        <w:fldChar w:fldCharType="end"/>
      </w:r>
      <w:r w:rsidR="000A5C6B" w:rsidRPr="00A84CE4">
        <w:t>:</w:t>
      </w:r>
      <w:r w:rsidR="00DF4398" w:rsidRPr="00A84CE4">
        <w:t xml:space="preserve"> a filter on the power density (to </w:t>
      </w:r>
      <w:r w:rsidR="000A5C6B" w:rsidRPr="00A84CE4">
        <w:t>select</w:t>
      </w:r>
      <w:r w:rsidR="00DF4398" w:rsidRPr="00A84CE4">
        <w:t xml:space="preserve"> the range </w:t>
      </w:r>
      <w:r w:rsidR="005E4E9F" w:rsidRPr="00A84CE4">
        <w:t>[250; 375] W/cm</w:t>
      </w:r>
      <w:r w:rsidR="005E4E9F" w:rsidRPr="00A84CE4">
        <w:rPr>
          <w:vertAlign w:val="superscript"/>
        </w:rPr>
        <w:t>3</w:t>
      </w:r>
      <w:r w:rsidR="00DF4398" w:rsidRPr="00A84CE4">
        <w:t xml:space="preserve">) is applied </w:t>
      </w:r>
      <w:r w:rsidR="001A59DD">
        <w:t>on the graphs</w:t>
      </w:r>
      <w:r w:rsidR="000A5C6B" w:rsidRPr="00A84CE4">
        <w:t xml:space="preserve"> and the graphs for the 12 SA ring</w:t>
      </w:r>
      <w:r w:rsidR="005E4E9F" w:rsidRPr="00A84CE4">
        <w:t>s</w:t>
      </w:r>
      <w:r w:rsidR="000A5C6B" w:rsidRPr="00A84CE4">
        <w:t xml:space="preserve"> cores are separated from the ones for the 13 SA ring</w:t>
      </w:r>
      <w:r w:rsidR="005E4E9F" w:rsidRPr="00A84CE4">
        <w:t>s</w:t>
      </w:r>
      <w:r w:rsidR="000A5C6B" w:rsidRPr="00A84CE4">
        <w:t xml:space="preserve"> cores.</w:t>
      </w:r>
    </w:p>
    <w:p w14:paraId="1BCCF400" w14:textId="77777777" w:rsidR="002C5B6A" w:rsidRPr="00A84CE4" w:rsidRDefault="002C5B6A" w:rsidP="002C5B6A">
      <w:pPr>
        <w:pStyle w:val="Corpsdetexte"/>
        <w:keepNext/>
        <w:ind w:firstLine="0"/>
        <w:jc w:val="center"/>
      </w:pPr>
      <w:r w:rsidRPr="00A84CE4">
        <w:rPr>
          <w:noProof/>
          <w:lang w:val="fr-FR" w:eastAsia="fr-FR"/>
        </w:rPr>
        <w:drawing>
          <wp:inline distT="0" distB="0" distL="0" distR="0" wp14:anchorId="1A7385B8" wp14:editId="3576F5C9">
            <wp:extent cx="2665285" cy="2700000"/>
            <wp:effectExtent l="0" t="0" r="1905" b="5715"/>
            <wp:docPr id="25"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 24"/>
                    <pic:cNvPicPr/>
                  </pic:nvPicPr>
                  <pic:blipFill>
                    <a:blip r:embed="rId14">
                      <a:extLst>
                        <a:ext uri="{28A0092B-C50C-407E-A947-70E740481C1C}">
                          <a14:useLocalDpi xmlns:a14="http://schemas.microsoft.com/office/drawing/2010/main" val="0"/>
                        </a:ext>
                      </a:extLst>
                    </a:blip>
                    <a:stretch>
                      <a:fillRect/>
                    </a:stretch>
                  </pic:blipFill>
                  <pic:spPr>
                    <a:xfrm>
                      <a:off x="0" y="0"/>
                      <a:ext cx="2665285" cy="2700000"/>
                    </a:xfrm>
                    <a:prstGeom prst="rect">
                      <a:avLst/>
                    </a:prstGeom>
                  </pic:spPr>
                </pic:pic>
              </a:graphicData>
            </a:graphic>
          </wp:inline>
        </w:drawing>
      </w:r>
      <w:r w:rsidRPr="00A84CE4">
        <w:rPr>
          <w:noProof/>
          <w:lang w:val="fr-FR" w:eastAsia="fr-FR"/>
        </w:rPr>
        <w:drawing>
          <wp:inline distT="0" distB="0" distL="0" distR="0" wp14:anchorId="0D4F3DA9" wp14:editId="479ED86A">
            <wp:extent cx="2665285" cy="2700000"/>
            <wp:effectExtent l="0" t="0" r="1905" b="5715"/>
            <wp:docPr id="26"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 25"/>
                    <pic:cNvPicPr/>
                  </pic:nvPicPr>
                  <pic:blipFill>
                    <a:blip r:embed="rId15">
                      <a:extLst>
                        <a:ext uri="{28A0092B-C50C-407E-A947-70E740481C1C}">
                          <a14:useLocalDpi xmlns:a14="http://schemas.microsoft.com/office/drawing/2010/main" val="0"/>
                        </a:ext>
                      </a:extLst>
                    </a:blip>
                    <a:stretch>
                      <a:fillRect/>
                    </a:stretch>
                  </pic:blipFill>
                  <pic:spPr>
                    <a:xfrm>
                      <a:off x="0" y="0"/>
                      <a:ext cx="2665285" cy="2700000"/>
                    </a:xfrm>
                    <a:prstGeom prst="rect">
                      <a:avLst/>
                    </a:prstGeom>
                  </pic:spPr>
                </pic:pic>
              </a:graphicData>
            </a:graphic>
          </wp:inline>
        </w:drawing>
      </w:r>
    </w:p>
    <w:p w14:paraId="10F4762A" w14:textId="6ADD7914" w:rsidR="002C5B6A" w:rsidRPr="00A84CE4" w:rsidRDefault="002C5B6A" w:rsidP="000B64F5">
      <w:pPr>
        <w:pStyle w:val="Lgende"/>
        <w:jc w:val="center"/>
        <w:rPr>
          <w:i/>
          <w:lang w:val="en-GB"/>
        </w:rPr>
      </w:pPr>
      <w:bookmarkStart w:id="9" w:name="_Ref68556687"/>
      <w:bookmarkStart w:id="10" w:name="_Ref68556674"/>
      <w:r w:rsidRPr="00A84CE4">
        <w:rPr>
          <w:i/>
          <w:lang w:val="en-GB"/>
        </w:rPr>
        <w:t>F</w:t>
      </w:r>
      <w:r w:rsidR="00C40C66" w:rsidRPr="00A84CE4">
        <w:rPr>
          <w:i/>
          <w:lang w:val="en-GB"/>
        </w:rPr>
        <w:t>IG.</w:t>
      </w:r>
      <w:r w:rsidRPr="00A84CE4">
        <w:rPr>
          <w:i/>
          <w:lang w:val="en-GB"/>
        </w:rPr>
        <w:t xml:space="preserve"> </w:t>
      </w:r>
      <w:r w:rsidRPr="00A84CE4">
        <w:rPr>
          <w:i/>
          <w:lang w:val="en-GB"/>
        </w:rPr>
        <w:fldChar w:fldCharType="begin"/>
      </w:r>
      <w:r w:rsidRPr="00A84CE4">
        <w:rPr>
          <w:i/>
          <w:lang w:val="en-GB"/>
        </w:rPr>
        <w:instrText xml:space="preserve"> SEQ Figure \* ARABIC </w:instrText>
      </w:r>
      <w:r w:rsidRPr="00A84CE4">
        <w:rPr>
          <w:i/>
          <w:lang w:val="en-GB"/>
        </w:rPr>
        <w:fldChar w:fldCharType="separate"/>
      </w:r>
      <w:r w:rsidR="00466114">
        <w:rPr>
          <w:i/>
          <w:noProof/>
          <w:lang w:val="en-GB"/>
        </w:rPr>
        <w:t>3</w:t>
      </w:r>
      <w:r w:rsidRPr="00A84CE4">
        <w:rPr>
          <w:i/>
          <w:lang w:val="en-GB"/>
        </w:rPr>
        <w:fldChar w:fldCharType="end"/>
      </w:r>
      <w:bookmarkEnd w:id="9"/>
      <w:r w:rsidR="00C40C66" w:rsidRPr="00A84CE4">
        <w:rPr>
          <w:i/>
          <w:lang w:val="en-GB"/>
        </w:rPr>
        <w:t>.</w:t>
      </w:r>
      <w:r w:rsidR="000B64F5" w:rsidRPr="00A84CE4">
        <w:rPr>
          <w:i/>
          <w:lang w:val="en-GB"/>
        </w:rPr>
        <w:t xml:space="preserve"> Power density for the cores with 12 assembly rings (on the left) and with 13 assembly rings (on the right) in the space (Margin to fuel melting during UCRW, sodium temperature in ULOSSP)</w:t>
      </w:r>
      <w:bookmarkEnd w:id="10"/>
    </w:p>
    <w:p w14:paraId="30E6D918" w14:textId="7D82EC8B" w:rsidR="003861A6" w:rsidRDefault="006636A5" w:rsidP="006636A5">
      <w:pPr>
        <w:pStyle w:val="Corpsdetexte"/>
      </w:pPr>
      <w:r w:rsidRPr="00A84CE4">
        <w:lastRenderedPageBreak/>
        <w:t xml:space="preserve">The power density of the predicted designs is given in </w:t>
      </w:r>
      <w:r w:rsidRPr="00A84CE4">
        <w:fldChar w:fldCharType="begin"/>
      </w:r>
      <w:r w:rsidRPr="00A84CE4">
        <w:instrText xml:space="preserve"> REF _Ref68556687 \h </w:instrText>
      </w:r>
      <w:r w:rsidRPr="00A84CE4">
        <w:fldChar w:fldCharType="separate"/>
      </w:r>
      <w:r w:rsidRPr="00A84CE4">
        <w:rPr>
          <w:i/>
        </w:rPr>
        <w:t xml:space="preserve">FIG. </w:t>
      </w:r>
      <w:r>
        <w:rPr>
          <w:i/>
          <w:noProof/>
        </w:rPr>
        <w:t>3</w:t>
      </w:r>
      <w:r w:rsidRPr="00A84CE4">
        <w:fldChar w:fldCharType="end"/>
      </w:r>
      <w:r w:rsidRPr="00A84CE4">
        <w:t xml:space="preserve">. </w:t>
      </w:r>
      <w:r>
        <w:t>As it could be expected, t</w:t>
      </w:r>
      <w:r w:rsidRPr="00A84CE4">
        <w:t>he designs on the Pareto front have mainly a low power density, which is close to the limit of 250 W/cm</w:t>
      </w:r>
      <w:r w:rsidRPr="00A84CE4">
        <w:rPr>
          <w:vertAlign w:val="superscript"/>
        </w:rPr>
        <w:t>3</w:t>
      </w:r>
      <w:r w:rsidRPr="00A84CE4">
        <w:t xml:space="preserve"> for the core</w:t>
      </w:r>
      <w:r>
        <w:t>s</w:t>
      </w:r>
      <w:r w:rsidRPr="00A84CE4">
        <w:t xml:space="preserve"> with a positive margin to melt in UCRW. It can be noted that the filter on the power density suppress</w:t>
      </w:r>
      <w:r>
        <w:t>es</w:t>
      </w:r>
      <w:r w:rsidRPr="00A84CE4">
        <w:t xml:space="preserve"> </w:t>
      </w:r>
      <w:proofErr w:type="gramStart"/>
      <w:r w:rsidRPr="00A84CE4">
        <w:t>a large number of</w:t>
      </w:r>
      <w:proofErr w:type="gramEnd"/>
      <w:r w:rsidRPr="00A84CE4">
        <w:t xml:space="preserve"> designs that would have been on the Pareto front </w:t>
      </w:r>
      <w:r>
        <w:t>(it</w:t>
      </w:r>
      <w:r w:rsidRPr="00A84CE4">
        <w:t xml:space="preserve"> lead</w:t>
      </w:r>
      <w:r>
        <w:t>s</w:t>
      </w:r>
      <w:r w:rsidRPr="00A84CE4">
        <w:t xml:space="preserve"> to a </w:t>
      </w:r>
      <w:r>
        <w:t>shift</w:t>
      </w:r>
      <w:r w:rsidRPr="00A84CE4">
        <w:t xml:space="preserve"> of the Pareto front</w:t>
      </w:r>
      <w:r>
        <w:t>)</w:t>
      </w:r>
      <w:r w:rsidRPr="00A84CE4">
        <w:t>.</w:t>
      </w:r>
      <w:r>
        <w:t xml:space="preserve"> </w:t>
      </w:r>
    </w:p>
    <w:p w14:paraId="4E440926" w14:textId="68D1CC8E" w:rsidR="001025CA" w:rsidRPr="00A84CE4" w:rsidRDefault="001025CA" w:rsidP="001025CA">
      <w:pPr>
        <w:pStyle w:val="Corpsdetexte"/>
      </w:pPr>
      <w:r w:rsidRPr="00A84CE4">
        <w:t xml:space="preserve">The number of pins per assembly of the predicted designs is given in </w:t>
      </w:r>
      <w:r w:rsidRPr="00A84CE4">
        <w:fldChar w:fldCharType="begin"/>
      </w:r>
      <w:r w:rsidRPr="00A84CE4">
        <w:instrText xml:space="preserve"> REF _Ref68595949 \h </w:instrText>
      </w:r>
      <w:r w:rsidRPr="00A84CE4">
        <w:fldChar w:fldCharType="separate"/>
      </w:r>
      <w:r w:rsidRPr="00A84CE4">
        <w:rPr>
          <w:i/>
        </w:rPr>
        <w:t xml:space="preserve">FIG. </w:t>
      </w:r>
      <w:r>
        <w:rPr>
          <w:i/>
          <w:noProof/>
        </w:rPr>
        <w:t>4</w:t>
      </w:r>
      <w:r w:rsidRPr="00A84CE4">
        <w:fldChar w:fldCharType="end"/>
      </w:r>
      <w:r w:rsidRPr="00A84CE4">
        <w:t>. Two distinct distribution</w:t>
      </w:r>
      <w:r>
        <w:t>s</w:t>
      </w:r>
      <w:r w:rsidRPr="00A84CE4">
        <w:t xml:space="preserve"> can be seen for the designs with 217 and with 271 pins per assembly. The designs on the Pareto front have a higher number of pins per assembly (i.e. 271 in our case)</w:t>
      </w:r>
      <w:r>
        <w:t>. This can be explained by the flattening of the core geometry (decrease of the ratio height over diameter) and the decrease of the power density when the number of pin increases.</w:t>
      </w:r>
    </w:p>
    <w:p w14:paraId="4F3707B9" w14:textId="77777777" w:rsidR="003861A6" w:rsidRPr="00A84CE4" w:rsidRDefault="003861A6" w:rsidP="00EA3B4B">
      <w:pPr>
        <w:pStyle w:val="Corpsdetexte"/>
      </w:pPr>
    </w:p>
    <w:p w14:paraId="39209457" w14:textId="69B5B071" w:rsidR="00D25E8B" w:rsidRPr="00A84CE4" w:rsidRDefault="00D25E8B" w:rsidP="000B64F5">
      <w:pPr>
        <w:pStyle w:val="Corpsdetexte"/>
        <w:keepNext/>
        <w:ind w:firstLine="0"/>
        <w:jc w:val="center"/>
      </w:pPr>
      <w:r w:rsidRPr="00A84CE4">
        <w:rPr>
          <w:noProof/>
          <w:lang w:val="fr-FR" w:eastAsia="fr-FR"/>
        </w:rPr>
        <w:drawing>
          <wp:inline distT="0" distB="0" distL="0" distR="0" wp14:anchorId="75315BA9" wp14:editId="23772B1C">
            <wp:extent cx="2700000" cy="2700000"/>
            <wp:effectExtent l="0" t="0" r="5715" b="5715"/>
            <wp:docPr id="19810" name="Image 198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00000" cy="2700000"/>
                    </a:xfrm>
                    <a:prstGeom prst="rect">
                      <a:avLst/>
                    </a:prstGeom>
                    <a:noFill/>
                  </pic:spPr>
                </pic:pic>
              </a:graphicData>
            </a:graphic>
          </wp:inline>
        </w:drawing>
      </w:r>
      <w:r w:rsidRPr="00A84CE4">
        <w:rPr>
          <w:noProof/>
          <w:lang w:val="fr-FR" w:eastAsia="fr-FR"/>
        </w:rPr>
        <w:drawing>
          <wp:inline distT="0" distB="0" distL="0" distR="0" wp14:anchorId="5BD09087" wp14:editId="7FF49742">
            <wp:extent cx="2700000" cy="2700000"/>
            <wp:effectExtent l="0" t="0" r="5715" b="5715"/>
            <wp:docPr id="2059" name="Imag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9" name="Image 6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00000" cy="2700000"/>
                    </a:xfrm>
                    <a:prstGeom prst="rect">
                      <a:avLst/>
                    </a:prstGeom>
                    <a:noFill/>
                  </pic:spPr>
                </pic:pic>
              </a:graphicData>
            </a:graphic>
          </wp:inline>
        </w:drawing>
      </w:r>
    </w:p>
    <w:p w14:paraId="0C946E6F" w14:textId="3130607E" w:rsidR="00D25E8B" w:rsidRPr="00A84CE4" w:rsidRDefault="00D25E8B" w:rsidP="000B64F5">
      <w:pPr>
        <w:pStyle w:val="Lgende"/>
        <w:jc w:val="center"/>
        <w:rPr>
          <w:i/>
          <w:lang w:val="en-GB"/>
        </w:rPr>
      </w:pPr>
      <w:bookmarkStart w:id="11" w:name="_Ref68595949"/>
      <w:r w:rsidRPr="00A84CE4">
        <w:rPr>
          <w:i/>
          <w:lang w:val="en-GB"/>
        </w:rPr>
        <w:t xml:space="preserve">FIG. </w:t>
      </w:r>
      <w:r w:rsidRPr="00A84CE4">
        <w:rPr>
          <w:i/>
          <w:lang w:val="en-GB"/>
        </w:rPr>
        <w:fldChar w:fldCharType="begin"/>
      </w:r>
      <w:r w:rsidRPr="00A84CE4">
        <w:rPr>
          <w:i/>
          <w:lang w:val="en-GB"/>
        </w:rPr>
        <w:instrText xml:space="preserve"> SEQ Figure \* ARABIC </w:instrText>
      </w:r>
      <w:r w:rsidRPr="00A84CE4">
        <w:rPr>
          <w:i/>
          <w:lang w:val="en-GB"/>
        </w:rPr>
        <w:fldChar w:fldCharType="separate"/>
      </w:r>
      <w:r w:rsidR="00466114">
        <w:rPr>
          <w:i/>
          <w:noProof/>
          <w:lang w:val="en-GB"/>
        </w:rPr>
        <w:t>4</w:t>
      </w:r>
      <w:r w:rsidRPr="00A84CE4">
        <w:rPr>
          <w:i/>
          <w:lang w:val="en-GB"/>
        </w:rPr>
        <w:fldChar w:fldCharType="end"/>
      </w:r>
      <w:bookmarkEnd w:id="11"/>
      <w:r w:rsidR="000B64F5" w:rsidRPr="00A84CE4">
        <w:rPr>
          <w:i/>
          <w:lang w:val="en-GB"/>
        </w:rPr>
        <w:t>. Pin number for the cores with 12 assembly rings (on the left) and with 13 assembly rings (on the right) in the space (Margin to fuel melting during UCRW, sodium temperature in ULOSSP)</w:t>
      </w:r>
    </w:p>
    <w:p w14:paraId="76478D21" w14:textId="77777777" w:rsidR="001025CA" w:rsidRDefault="001025CA" w:rsidP="001025CA">
      <w:pPr>
        <w:pStyle w:val="Corpsdetexte"/>
      </w:pPr>
    </w:p>
    <w:p w14:paraId="31FE1D68" w14:textId="77777777" w:rsidR="001025CA" w:rsidRPr="00A84CE4" w:rsidRDefault="001025CA" w:rsidP="001025CA">
      <w:pPr>
        <w:pStyle w:val="Corpsdetexte"/>
      </w:pPr>
      <w:r w:rsidRPr="00A84CE4">
        <w:t xml:space="preserve">The outer fuel pin radius of the predicted designs is given in </w:t>
      </w:r>
      <w:r w:rsidRPr="00A84CE4">
        <w:fldChar w:fldCharType="begin"/>
      </w:r>
      <w:r w:rsidRPr="00A84CE4">
        <w:instrText xml:space="preserve"> REF _Ref68632416 \h </w:instrText>
      </w:r>
      <w:r w:rsidRPr="00A84CE4">
        <w:fldChar w:fldCharType="separate"/>
      </w:r>
      <w:r w:rsidRPr="00A84CE4">
        <w:rPr>
          <w:i/>
        </w:rPr>
        <w:t xml:space="preserve">FIG. </w:t>
      </w:r>
      <w:r>
        <w:rPr>
          <w:i/>
          <w:noProof/>
        </w:rPr>
        <w:t>5</w:t>
      </w:r>
      <w:r w:rsidRPr="00A84CE4">
        <w:fldChar w:fldCharType="end"/>
      </w:r>
      <w:r w:rsidRPr="00A84CE4">
        <w:t xml:space="preserve">. The designs on the Pareto front have a small outer fuel pin radius (between 0.4 and 0.42 cm). This result is due to the application of the filter </w:t>
      </w:r>
      <w:r>
        <w:t>cutting</w:t>
      </w:r>
      <w:r w:rsidRPr="00A84CE4">
        <w:t xml:space="preserve"> the designs with a low power density; without this filter designs with a large outer fuel pin radius </w:t>
      </w:r>
      <w:r>
        <w:t xml:space="preserve">and a low power density </w:t>
      </w:r>
      <w:r w:rsidRPr="00A84CE4">
        <w:t>would appear on the Pareto Front.</w:t>
      </w:r>
    </w:p>
    <w:p w14:paraId="716CCED4" w14:textId="77777777" w:rsidR="001025CA" w:rsidRDefault="001025CA" w:rsidP="00BF5052">
      <w:pPr>
        <w:pStyle w:val="Corpsdetexte"/>
      </w:pPr>
    </w:p>
    <w:p w14:paraId="76D638B3" w14:textId="44826707" w:rsidR="00C40C66" w:rsidRPr="00A84CE4" w:rsidRDefault="006A7451" w:rsidP="001025CA">
      <w:pPr>
        <w:pStyle w:val="Corpsdetexte"/>
        <w:keepNext/>
        <w:ind w:firstLine="0"/>
        <w:jc w:val="center"/>
      </w:pPr>
      <w:r w:rsidRPr="00A84CE4">
        <w:rPr>
          <w:noProof/>
          <w:lang w:val="fr-FR" w:eastAsia="fr-FR"/>
        </w:rPr>
        <w:drawing>
          <wp:inline distT="0" distB="0" distL="0" distR="0" wp14:anchorId="219F9423" wp14:editId="086AE861">
            <wp:extent cx="2700000" cy="2700000"/>
            <wp:effectExtent l="0" t="0" r="5715" b="5715"/>
            <wp:docPr id="2050" name="Imag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Image 3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00000" cy="2700000"/>
                    </a:xfrm>
                    <a:prstGeom prst="rect">
                      <a:avLst/>
                    </a:prstGeom>
                    <a:noFill/>
                  </pic:spPr>
                </pic:pic>
              </a:graphicData>
            </a:graphic>
          </wp:inline>
        </w:drawing>
      </w:r>
      <w:r w:rsidRPr="00A84CE4">
        <w:rPr>
          <w:noProof/>
          <w:lang w:val="fr-FR" w:eastAsia="fr-FR"/>
        </w:rPr>
        <w:drawing>
          <wp:inline distT="0" distB="0" distL="0" distR="0" wp14:anchorId="5342B243" wp14:editId="4B23E453">
            <wp:extent cx="2700000" cy="2700000"/>
            <wp:effectExtent l="0" t="0" r="5715" b="5715"/>
            <wp:docPr id="2049" name="Imag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9" name="Image 7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700000" cy="2700000"/>
                    </a:xfrm>
                    <a:prstGeom prst="rect">
                      <a:avLst/>
                    </a:prstGeom>
                    <a:noFill/>
                  </pic:spPr>
                </pic:pic>
              </a:graphicData>
            </a:graphic>
          </wp:inline>
        </w:drawing>
      </w:r>
    </w:p>
    <w:p w14:paraId="7B15F7EB" w14:textId="662FD519" w:rsidR="006A7451" w:rsidRPr="00A84CE4" w:rsidRDefault="00C40C66" w:rsidP="005E4E9F">
      <w:pPr>
        <w:pStyle w:val="Lgende"/>
        <w:jc w:val="center"/>
        <w:rPr>
          <w:i/>
          <w:lang w:val="en-GB"/>
        </w:rPr>
      </w:pPr>
      <w:bookmarkStart w:id="12" w:name="_Ref68632416"/>
      <w:r w:rsidRPr="00A84CE4">
        <w:rPr>
          <w:i/>
          <w:lang w:val="en-GB"/>
        </w:rPr>
        <w:t xml:space="preserve">FIG. </w:t>
      </w:r>
      <w:r w:rsidRPr="00A84CE4">
        <w:rPr>
          <w:i/>
          <w:lang w:val="en-GB"/>
        </w:rPr>
        <w:fldChar w:fldCharType="begin"/>
      </w:r>
      <w:r w:rsidRPr="00A84CE4">
        <w:rPr>
          <w:i/>
          <w:lang w:val="en-GB"/>
        </w:rPr>
        <w:instrText xml:space="preserve"> SEQ Figure \* ARABIC </w:instrText>
      </w:r>
      <w:r w:rsidRPr="00A84CE4">
        <w:rPr>
          <w:i/>
          <w:lang w:val="en-GB"/>
        </w:rPr>
        <w:fldChar w:fldCharType="separate"/>
      </w:r>
      <w:r w:rsidR="00466114">
        <w:rPr>
          <w:i/>
          <w:noProof/>
          <w:lang w:val="en-GB"/>
        </w:rPr>
        <w:t>5</w:t>
      </w:r>
      <w:r w:rsidRPr="00A84CE4">
        <w:rPr>
          <w:i/>
          <w:lang w:val="en-GB"/>
        </w:rPr>
        <w:fldChar w:fldCharType="end"/>
      </w:r>
      <w:bookmarkEnd w:id="12"/>
      <w:r w:rsidRPr="00A84CE4">
        <w:rPr>
          <w:i/>
          <w:lang w:val="en-GB"/>
        </w:rPr>
        <w:t xml:space="preserve">. </w:t>
      </w:r>
      <w:r w:rsidR="000B64F5" w:rsidRPr="00A84CE4">
        <w:rPr>
          <w:i/>
          <w:lang w:val="en-GB"/>
        </w:rPr>
        <w:t>Outer fuel pin radius for the cores with 12 assembly rings (on the left) and with 13 assembly rings (on the right) in the space (Margin to fuel melting during UCRW, sodium temperature in ULOSSP)</w:t>
      </w:r>
    </w:p>
    <w:p w14:paraId="76878BF2" w14:textId="77C19623" w:rsidR="00BF5052" w:rsidRDefault="003A4983" w:rsidP="003A4983">
      <w:pPr>
        <w:pStyle w:val="Corpsdetexte"/>
      </w:pPr>
      <w:r w:rsidRPr="00A84CE4">
        <w:lastRenderedPageBreak/>
        <w:t xml:space="preserve">The outer core height of the predicted designs is given in </w:t>
      </w:r>
      <w:r w:rsidRPr="00A84CE4">
        <w:fldChar w:fldCharType="begin"/>
      </w:r>
      <w:r w:rsidRPr="00A84CE4">
        <w:instrText xml:space="preserve"> REF _Ref68632824 \h </w:instrText>
      </w:r>
      <w:r w:rsidRPr="00A84CE4">
        <w:fldChar w:fldCharType="separate"/>
      </w:r>
      <w:r w:rsidR="00466114" w:rsidRPr="00A84CE4">
        <w:rPr>
          <w:i/>
        </w:rPr>
        <w:t xml:space="preserve">FIG. </w:t>
      </w:r>
      <w:r w:rsidR="00466114">
        <w:rPr>
          <w:i/>
          <w:noProof/>
        </w:rPr>
        <w:t>6</w:t>
      </w:r>
      <w:r w:rsidRPr="00A84CE4">
        <w:fldChar w:fldCharType="end"/>
      </w:r>
      <w:r w:rsidRPr="00A84CE4">
        <w:t>. The gradient is collinear to the Pareto front. The designs have either a low outer core height to enhance the behaviour in ULOSSP or a large outer core height to enhance the behaviour in UCRW</w:t>
      </w:r>
      <w:r w:rsidR="00136494" w:rsidRPr="00A84CE4">
        <w:t>.</w:t>
      </w:r>
    </w:p>
    <w:p w14:paraId="5527E0E1" w14:textId="77777777" w:rsidR="003861A6" w:rsidRPr="00A84CE4" w:rsidRDefault="003861A6" w:rsidP="003A4983">
      <w:pPr>
        <w:pStyle w:val="Corpsdetexte"/>
      </w:pPr>
    </w:p>
    <w:p w14:paraId="7685A56D" w14:textId="125C35C5" w:rsidR="000B64F5" w:rsidRPr="00A84CE4" w:rsidRDefault="009C0B15" w:rsidP="001025CA">
      <w:pPr>
        <w:keepNext/>
        <w:jc w:val="center"/>
      </w:pPr>
      <w:r w:rsidRPr="00A84CE4">
        <w:rPr>
          <w:noProof/>
          <w:lang w:val="fr-FR" w:eastAsia="fr-FR"/>
        </w:rPr>
        <w:drawing>
          <wp:inline distT="0" distB="0" distL="0" distR="0" wp14:anchorId="74AE16DB" wp14:editId="19B4D268">
            <wp:extent cx="2700000" cy="2700000"/>
            <wp:effectExtent l="0" t="0" r="5715" b="5715"/>
            <wp:docPr id="7170" name="Imag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0" name="Image 3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700000" cy="2700000"/>
                    </a:xfrm>
                    <a:prstGeom prst="rect">
                      <a:avLst/>
                    </a:prstGeom>
                    <a:noFill/>
                  </pic:spPr>
                </pic:pic>
              </a:graphicData>
            </a:graphic>
          </wp:inline>
        </w:drawing>
      </w:r>
      <w:r w:rsidRPr="00A84CE4">
        <w:rPr>
          <w:noProof/>
          <w:lang w:val="fr-FR" w:eastAsia="fr-FR"/>
        </w:rPr>
        <w:drawing>
          <wp:inline distT="0" distB="0" distL="0" distR="0" wp14:anchorId="5F054AF4" wp14:editId="68151ADE">
            <wp:extent cx="2700000" cy="2700000"/>
            <wp:effectExtent l="0" t="0" r="5715" b="5715"/>
            <wp:docPr id="7169" name="Imag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69" name="Image 7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700000" cy="2700000"/>
                    </a:xfrm>
                    <a:prstGeom prst="rect">
                      <a:avLst/>
                    </a:prstGeom>
                    <a:noFill/>
                  </pic:spPr>
                </pic:pic>
              </a:graphicData>
            </a:graphic>
          </wp:inline>
        </w:drawing>
      </w:r>
    </w:p>
    <w:p w14:paraId="1F705ACF" w14:textId="701AD690" w:rsidR="009C0B15" w:rsidRPr="00A84CE4" w:rsidRDefault="000B64F5" w:rsidP="000B64F5">
      <w:pPr>
        <w:pStyle w:val="Lgende"/>
        <w:jc w:val="center"/>
        <w:rPr>
          <w:i/>
          <w:lang w:val="en-GB"/>
        </w:rPr>
      </w:pPr>
      <w:bookmarkStart w:id="13" w:name="_Ref68632824"/>
      <w:r w:rsidRPr="00A84CE4">
        <w:rPr>
          <w:i/>
          <w:lang w:val="en-GB"/>
        </w:rPr>
        <w:t xml:space="preserve">FIG. </w:t>
      </w:r>
      <w:r w:rsidRPr="00A84CE4">
        <w:rPr>
          <w:i/>
          <w:lang w:val="en-GB"/>
        </w:rPr>
        <w:fldChar w:fldCharType="begin"/>
      </w:r>
      <w:r w:rsidRPr="00A84CE4">
        <w:rPr>
          <w:i/>
          <w:lang w:val="en-GB"/>
        </w:rPr>
        <w:instrText xml:space="preserve"> SEQ Figure \* ARABIC </w:instrText>
      </w:r>
      <w:r w:rsidRPr="00A84CE4">
        <w:rPr>
          <w:i/>
          <w:lang w:val="en-GB"/>
        </w:rPr>
        <w:fldChar w:fldCharType="separate"/>
      </w:r>
      <w:r w:rsidR="00466114">
        <w:rPr>
          <w:i/>
          <w:noProof/>
          <w:lang w:val="en-GB"/>
        </w:rPr>
        <w:t>6</w:t>
      </w:r>
      <w:r w:rsidRPr="00A84CE4">
        <w:rPr>
          <w:i/>
          <w:lang w:val="en-GB"/>
        </w:rPr>
        <w:fldChar w:fldCharType="end"/>
      </w:r>
      <w:bookmarkEnd w:id="13"/>
      <w:r w:rsidRPr="00A84CE4">
        <w:rPr>
          <w:i/>
          <w:lang w:val="en-GB"/>
        </w:rPr>
        <w:t>. Outer fissile height for the cores with 12 assembly rings (on the left) and with 13 assembly rings (on the right) in the space (Margin to fuel melting during UCRW, sodium temperature in ULOSSP)</w:t>
      </w:r>
    </w:p>
    <w:p w14:paraId="2AEA383D" w14:textId="77777777" w:rsidR="006636A5" w:rsidRDefault="006636A5" w:rsidP="006636A5">
      <w:pPr>
        <w:pStyle w:val="Corpsdetexte"/>
      </w:pPr>
    </w:p>
    <w:p w14:paraId="2A5552DB" w14:textId="2658776C" w:rsidR="006636A5" w:rsidRPr="00A84CE4" w:rsidRDefault="006636A5" w:rsidP="006636A5">
      <w:pPr>
        <w:pStyle w:val="Corpsdetexte"/>
      </w:pPr>
      <w:r w:rsidRPr="00A84CE4">
        <w:t xml:space="preserve">The outer/inner core height gap of the predicted designs is given in </w:t>
      </w:r>
      <w:r w:rsidRPr="00A84CE4">
        <w:fldChar w:fldCharType="begin"/>
      </w:r>
      <w:r w:rsidRPr="00A84CE4">
        <w:instrText xml:space="preserve"> REF _Ref68556691 \h </w:instrText>
      </w:r>
      <w:r w:rsidRPr="00A84CE4">
        <w:fldChar w:fldCharType="separate"/>
      </w:r>
      <w:r w:rsidRPr="00A84CE4">
        <w:rPr>
          <w:i/>
        </w:rPr>
        <w:t xml:space="preserve">FIG. </w:t>
      </w:r>
      <w:r>
        <w:rPr>
          <w:i/>
          <w:noProof/>
        </w:rPr>
        <w:t>7</w:t>
      </w:r>
      <w:r w:rsidRPr="00A84CE4">
        <w:fldChar w:fldCharType="end"/>
      </w:r>
      <w:r w:rsidRPr="00A84CE4">
        <w:t>.</w:t>
      </w:r>
      <w:r>
        <w:t xml:space="preserve"> The results are complementary with the ones on the outer core height. Generally, large </w:t>
      </w:r>
      <w:r w:rsidRPr="00A84CE4">
        <w:t>outer/inner core height gap</w:t>
      </w:r>
      <w:r>
        <w:t xml:space="preserve"> favour the behaviour in ULOSSP</w:t>
      </w:r>
      <w:r w:rsidRPr="00A84CE4">
        <w:t xml:space="preserve"> </w:t>
      </w:r>
      <w:r>
        <w:t xml:space="preserve">but degrade the behaviour in RIB. </w:t>
      </w:r>
      <w:r w:rsidRPr="00A84CE4">
        <w:t>The designs on the Pareto front have a small outer/inner core height gap (between 0 and 5 cm) except for the 1</w:t>
      </w:r>
      <w:r>
        <w:t>3</w:t>
      </w:r>
      <w:r w:rsidRPr="00A84CE4">
        <w:t xml:space="preserve"> SA rings cores with 271 pins per assembly.  </w:t>
      </w:r>
    </w:p>
    <w:p w14:paraId="1655C04A" w14:textId="77777777" w:rsidR="003861A6" w:rsidRDefault="003861A6" w:rsidP="003B2DC9">
      <w:pPr>
        <w:pStyle w:val="Corpsdetexte"/>
      </w:pPr>
    </w:p>
    <w:p w14:paraId="0B5E9B5D" w14:textId="77777777" w:rsidR="000B64F5" w:rsidRPr="00A84CE4" w:rsidRDefault="009C0B15" w:rsidP="001025CA">
      <w:pPr>
        <w:keepNext/>
        <w:jc w:val="center"/>
      </w:pPr>
      <w:r w:rsidRPr="00A84CE4">
        <w:rPr>
          <w:noProof/>
          <w:lang w:val="fr-FR" w:eastAsia="fr-FR"/>
        </w:rPr>
        <w:drawing>
          <wp:inline distT="0" distB="0" distL="0" distR="0" wp14:anchorId="3075F7C4" wp14:editId="1806FBEA">
            <wp:extent cx="2700000" cy="2700000"/>
            <wp:effectExtent l="0" t="0" r="5715" b="5715"/>
            <wp:docPr id="7174"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4" name="Image 2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700000" cy="2700000"/>
                    </a:xfrm>
                    <a:prstGeom prst="rect">
                      <a:avLst/>
                    </a:prstGeom>
                    <a:noFill/>
                  </pic:spPr>
                </pic:pic>
              </a:graphicData>
            </a:graphic>
          </wp:inline>
        </w:drawing>
      </w:r>
      <w:r w:rsidRPr="00A84CE4">
        <w:rPr>
          <w:noProof/>
          <w:lang w:val="fr-FR" w:eastAsia="fr-FR"/>
        </w:rPr>
        <w:drawing>
          <wp:inline distT="0" distB="0" distL="0" distR="0" wp14:anchorId="7EBDCA38" wp14:editId="043F239A">
            <wp:extent cx="2700000" cy="2700000"/>
            <wp:effectExtent l="0" t="0" r="5715" b="5715"/>
            <wp:docPr id="7173" name="Imag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3" name="Image 6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700000" cy="2700000"/>
                    </a:xfrm>
                    <a:prstGeom prst="rect">
                      <a:avLst/>
                    </a:prstGeom>
                    <a:noFill/>
                  </pic:spPr>
                </pic:pic>
              </a:graphicData>
            </a:graphic>
          </wp:inline>
        </w:drawing>
      </w:r>
    </w:p>
    <w:p w14:paraId="71D4DBFE" w14:textId="1661B822" w:rsidR="009C0B15" w:rsidRPr="00A84CE4" w:rsidRDefault="000B64F5" w:rsidP="000B64F5">
      <w:pPr>
        <w:pStyle w:val="Lgende"/>
        <w:jc w:val="center"/>
        <w:rPr>
          <w:i/>
          <w:lang w:val="en-GB"/>
        </w:rPr>
      </w:pPr>
      <w:bookmarkStart w:id="14" w:name="_Ref68556691"/>
      <w:r w:rsidRPr="00A84CE4">
        <w:rPr>
          <w:i/>
          <w:lang w:val="en-GB"/>
        </w:rPr>
        <w:t xml:space="preserve">FIG. </w:t>
      </w:r>
      <w:r w:rsidRPr="00A84CE4">
        <w:rPr>
          <w:i/>
          <w:lang w:val="en-GB"/>
        </w:rPr>
        <w:fldChar w:fldCharType="begin"/>
      </w:r>
      <w:r w:rsidRPr="00A84CE4">
        <w:rPr>
          <w:i/>
          <w:lang w:val="en-GB"/>
        </w:rPr>
        <w:instrText xml:space="preserve"> SEQ Figure \* ARABIC </w:instrText>
      </w:r>
      <w:r w:rsidRPr="00A84CE4">
        <w:rPr>
          <w:i/>
          <w:lang w:val="en-GB"/>
        </w:rPr>
        <w:fldChar w:fldCharType="separate"/>
      </w:r>
      <w:r w:rsidR="00466114">
        <w:rPr>
          <w:i/>
          <w:noProof/>
          <w:lang w:val="en-GB"/>
        </w:rPr>
        <w:t>7</w:t>
      </w:r>
      <w:r w:rsidRPr="00A84CE4">
        <w:rPr>
          <w:i/>
          <w:lang w:val="en-GB"/>
        </w:rPr>
        <w:fldChar w:fldCharType="end"/>
      </w:r>
      <w:bookmarkEnd w:id="14"/>
      <w:r w:rsidRPr="00A84CE4">
        <w:rPr>
          <w:i/>
          <w:lang w:val="en-GB"/>
        </w:rPr>
        <w:t>. Outer/inner height gap for the cores with 12 assembly rings (on the left) and with 13 assembly rings (on the right) in the space (Margin to fuel melting during UCRW, sodium temperature in ULOSSP)</w:t>
      </w:r>
    </w:p>
    <w:p w14:paraId="55C1EAEA" w14:textId="77777777" w:rsidR="00390592" w:rsidRPr="00A84CE4" w:rsidRDefault="00390592" w:rsidP="00084459">
      <w:pPr>
        <w:pStyle w:val="Corpsdetexte"/>
      </w:pPr>
    </w:p>
    <w:p w14:paraId="4A44F9AD" w14:textId="77DB6163" w:rsidR="00084459" w:rsidRPr="00A84CE4" w:rsidRDefault="00390592" w:rsidP="00084459">
      <w:pPr>
        <w:pStyle w:val="Corpsdetexte"/>
      </w:pPr>
      <w:r w:rsidRPr="00A84CE4">
        <w:t>The analysis of t</w:t>
      </w:r>
      <w:r w:rsidR="001A59DD">
        <w:t>he prediction of the surrogate</w:t>
      </w:r>
      <w:r w:rsidR="001A59DD" w:rsidRPr="00A84CE4">
        <w:t xml:space="preserve"> </w:t>
      </w:r>
      <w:r w:rsidRPr="00A84CE4">
        <w:t xml:space="preserve">models shows that </w:t>
      </w:r>
      <w:r w:rsidR="006C2CEB">
        <w:t>t</w:t>
      </w:r>
      <w:r w:rsidR="000B64F5" w:rsidRPr="00A84CE4">
        <w:t xml:space="preserve">he </w:t>
      </w:r>
      <w:r w:rsidR="00717F71">
        <w:t xml:space="preserve">core </w:t>
      </w:r>
      <w:r w:rsidR="000B64F5" w:rsidRPr="00A84CE4">
        <w:t xml:space="preserve">designs with the best </w:t>
      </w:r>
      <w:r w:rsidR="00084459" w:rsidRPr="00A84CE4">
        <w:t xml:space="preserve">compromise between a low sodium temperature in ULOSSP and a high </w:t>
      </w:r>
      <w:r w:rsidR="000B64F5" w:rsidRPr="00A84CE4">
        <w:t xml:space="preserve">margin to melt in UCRW conditions </w:t>
      </w:r>
      <w:r w:rsidR="00084459" w:rsidRPr="00A84CE4">
        <w:t xml:space="preserve">have the following characteristics: </w:t>
      </w:r>
    </w:p>
    <w:p w14:paraId="3A3C877E" w14:textId="79E14F3F" w:rsidR="000B64F5" w:rsidRPr="00A84CE4" w:rsidRDefault="00084459" w:rsidP="00084459">
      <w:pPr>
        <w:pStyle w:val="Corpsdetexte"/>
        <w:numPr>
          <w:ilvl w:val="0"/>
          <w:numId w:val="34"/>
        </w:numPr>
      </w:pPr>
      <w:r w:rsidRPr="00A84CE4">
        <w:t>A h</w:t>
      </w:r>
      <w:r w:rsidR="000B64F5" w:rsidRPr="00A84CE4">
        <w:t>igh fuel pin number per assembly (271);</w:t>
      </w:r>
    </w:p>
    <w:p w14:paraId="2CBF4181" w14:textId="65FEFF00" w:rsidR="008735E7" w:rsidRPr="00A84CE4" w:rsidRDefault="008735E7" w:rsidP="008735E7">
      <w:pPr>
        <w:pStyle w:val="Corpsdetexte"/>
        <w:numPr>
          <w:ilvl w:val="0"/>
          <w:numId w:val="34"/>
        </w:numPr>
      </w:pPr>
      <w:r w:rsidRPr="00A84CE4">
        <w:lastRenderedPageBreak/>
        <w:t>Thin pins of about 8 mm diameter (due to the filtering of the low power density cores) with pellet/cladding gaps </w:t>
      </w:r>
      <w:r w:rsidR="0062424E" w:rsidRPr="00A84CE4">
        <w:t xml:space="preserve">around </w:t>
      </w:r>
      <w:r w:rsidR="000B64F5" w:rsidRPr="00A84CE4">
        <w:t>0.07-0.1 mm</w:t>
      </w:r>
      <w:r w:rsidRPr="00A84CE4">
        <w:t xml:space="preserve"> for the 12 assembly ring cores and around 0.04-0.06 mm for the 13 assembly ring cores</w:t>
      </w:r>
      <w:r w:rsidR="000B64F5" w:rsidRPr="00A84CE4">
        <w:t>;</w:t>
      </w:r>
    </w:p>
    <w:p w14:paraId="4EA99AAE" w14:textId="04855615" w:rsidR="000B64F5" w:rsidRPr="00A84CE4" w:rsidRDefault="003B2DC9" w:rsidP="008735E7">
      <w:pPr>
        <w:pStyle w:val="Corpsdetexte"/>
        <w:numPr>
          <w:ilvl w:val="0"/>
          <w:numId w:val="34"/>
        </w:numPr>
      </w:pPr>
      <w:r w:rsidRPr="00A84CE4">
        <w:t>A small</w:t>
      </w:r>
      <w:r w:rsidR="000B64F5" w:rsidRPr="00A84CE4">
        <w:t xml:space="preserve"> relative height between</w:t>
      </w:r>
      <w:r w:rsidR="00084459" w:rsidRPr="00A84CE4">
        <w:t xml:space="preserve"> inner and outer core (0-5 cm) with </w:t>
      </w:r>
      <w:r w:rsidR="008735E7" w:rsidRPr="00A84CE4">
        <w:t>e</w:t>
      </w:r>
      <w:r w:rsidR="001A59DD">
        <w:t>ither a short outer core</w:t>
      </w:r>
      <w:r w:rsidR="00084459" w:rsidRPr="00A84CE4">
        <w:t xml:space="preserve"> to improve U</w:t>
      </w:r>
      <w:r w:rsidR="001A59DD">
        <w:t>LOSS</w:t>
      </w:r>
      <w:r w:rsidR="00D27AFB">
        <w:t>P or a large</w:t>
      </w:r>
      <w:r w:rsidR="001A59DD">
        <w:t xml:space="preserve"> outer core </w:t>
      </w:r>
      <w:r w:rsidR="00084459" w:rsidRPr="00A84CE4">
        <w:t>to improve behaviour in UCRW conditions</w:t>
      </w:r>
      <w:r w:rsidR="00BD2550">
        <w:t>;</w:t>
      </w:r>
    </w:p>
    <w:p w14:paraId="76F96EA6" w14:textId="4980510E" w:rsidR="000B64F5" w:rsidRPr="00A84CE4" w:rsidRDefault="00D27AFB" w:rsidP="00084459">
      <w:pPr>
        <w:pStyle w:val="Corpsdetexte"/>
        <w:numPr>
          <w:ilvl w:val="0"/>
          <w:numId w:val="34"/>
        </w:numPr>
      </w:pPr>
      <w:r>
        <w:t>A r</w:t>
      </w:r>
      <w:r w:rsidR="000B64F5" w:rsidRPr="00A84CE4">
        <w:t>elatively large fertile plate (15-20 cm)</w:t>
      </w:r>
      <w:r w:rsidR="00084459" w:rsidRPr="00A84CE4">
        <w:t xml:space="preserve"> with e</w:t>
      </w:r>
      <w:r w:rsidR="000B64F5" w:rsidRPr="00A84CE4">
        <w:t>ither a fertile plate</w:t>
      </w:r>
      <w:r>
        <w:t xml:space="preserve"> at the bottom of the core</w:t>
      </w:r>
      <w:r w:rsidR="000B64F5" w:rsidRPr="00A84CE4">
        <w:t xml:space="preserve"> to improve ULOSSP or </w:t>
      </w:r>
      <w:r>
        <w:t>at the centre of the core</w:t>
      </w:r>
      <w:r w:rsidR="000B64F5" w:rsidRPr="00A84CE4">
        <w:t xml:space="preserve"> to improve behaviour in UCRW conditions.</w:t>
      </w:r>
    </w:p>
    <w:p w14:paraId="46334631" w14:textId="6E537F21" w:rsidR="0049426D" w:rsidRPr="00A84CE4" w:rsidRDefault="00915249" w:rsidP="004518F8">
      <w:pPr>
        <w:pStyle w:val="Corpsdetexte"/>
      </w:pPr>
      <w:r w:rsidRPr="00A84CE4">
        <w:t xml:space="preserve">These trends are </w:t>
      </w:r>
      <w:proofErr w:type="gramStart"/>
      <w:r w:rsidRPr="00A84CE4">
        <w:t>s</w:t>
      </w:r>
      <w:r w:rsidR="00D27AFB">
        <w:t xml:space="preserve">imilar </w:t>
      </w:r>
      <w:r w:rsidR="000B64F5" w:rsidRPr="00A84CE4">
        <w:t>to</w:t>
      </w:r>
      <w:proofErr w:type="gramEnd"/>
      <w:r w:rsidR="000B64F5" w:rsidRPr="00A84CE4">
        <w:t xml:space="preserve"> the ones </w:t>
      </w:r>
      <w:r w:rsidR="00D27AFB">
        <w:t xml:space="preserve">observed at 1000MWe </w:t>
      </w:r>
      <w:r w:rsidR="00D27AFB">
        <w:fldChar w:fldCharType="begin"/>
      </w:r>
      <w:r w:rsidR="00D27AFB">
        <w:instrText xml:space="preserve"> REF _Ref68854625 \r \h </w:instrText>
      </w:r>
      <w:r w:rsidR="00D27AFB">
        <w:fldChar w:fldCharType="separate"/>
      </w:r>
      <w:r w:rsidR="00466114">
        <w:t>[1]</w:t>
      </w:r>
      <w:r w:rsidR="00D27AFB">
        <w:fldChar w:fldCharType="end"/>
      </w:r>
      <w:r w:rsidR="0062424E" w:rsidRPr="00A84CE4">
        <w:t>. The differences (mainly the appearance of thin pins instead of large pins on the Pareto front) comes from the application of the filter on the power density.</w:t>
      </w:r>
      <w:r w:rsidR="00BD2550">
        <w:t xml:space="preserve"> </w:t>
      </w:r>
      <w:r w:rsidR="004518F8" w:rsidRPr="00A84CE4">
        <w:t>However, t</w:t>
      </w:r>
      <w:r w:rsidRPr="00A84CE4">
        <w:t>he increase of the power from 1000 to 1100 MWe leads to a degradation of the safety performance</w:t>
      </w:r>
      <w:r w:rsidR="004518F8" w:rsidRPr="00A84CE4">
        <w:t>s</w:t>
      </w:r>
      <w:r w:rsidRPr="00A84CE4">
        <w:t xml:space="preserve"> both in ULOSSP and in UCWR. For the designs with 12 SA rings at 1100 MWe, the </w:t>
      </w:r>
      <w:r w:rsidR="00482CDC" w:rsidRPr="00A84CE4">
        <w:t xml:space="preserve">sodium temperature in </w:t>
      </w:r>
      <w:r w:rsidR="0049426D" w:rsidRPr="00A84CE4">
        <w:t>ULOSSP lies in [901; 1170] °C</w:t>
      </w:r>
      <w:r w:rsidRPr="00A84CE4">
        <w:t xml:space="preserve"> and the m</w:t>
      </w:r>
      <w:r w:rsidR="0049426D" w:rsidRPr="00A84CE4">
        <w:t>argin to</w:t>
      </w:r>
      <w:r w:rsidRPr="00A84CE4">
        <w:t xml:space="preserve"> fuel</w:t>
      </w:r>
      <w:r w:rsidR="0049426D" w:rsidRPr="00A84CE4">
        <w:t xml:space="preserve"> melt</w:t>
      </w:r>
      <w:r w:rsidRPr="00A84CE4">
        <w:t>ing</w:t>
      </w:r>
      <w:r w:rsidR="0049426D" w:rsidRPr="00A84CE4">
        <w:t xml:space="preserve"> in case of UCRW is </w:t>
      </w:r>
      <w:r w:rsidR="004518F8" w:rsidRPr="00A84CE4">
        <w:t>in the range</w:t>
      </w:r>
      <w:r w:rsidR="0049426D" w:rsidRPr="00A84CE4">
        <w:t xml:space="preserve"> [-189; 98] W/cm</w:t>
      </w:r>
      <w:r w:rsidRPr="00A84CE4">
        <w:t xml:space="preserve">. </w:t>
      </w:r>
      <w:r w:rsidR="00482CDC" w:rsidRPr="00A84CE4">
        <w:t>Thus, none of the 12 SA ring design allows to guarantee</w:t>
      </w:r>
      <w:r w:rsidR="004518F8" w:rsidRPr="00A84CE4">
        <w:t xml:space="preserve"> </w:t>
      </w:r>
      <w:r w:rsidR="00093FA0">
        <w:t xml:space="preserve">the absence of </w:t>
      </w:r>
      <w:r w:rsidR="00482CDC" w:rsidRPr="00A84CE4">
        <w:t>boiling</w:t>
      </w:r>
      <w:r w:rsidR="004518F8" w:rsidRPr="00A84CE4">
        <w:t xml:space="preserve"> (883°</w:t>
      </w:r>
      <w:proofErr w:type="spellStart"/>
      <w:r w:rsidR="004518F8" w:rsidRPr="00A84CE4">
        <w:t>C at</w:t>
      </w:r>
      <w:proofErr w:type="spellEnd"/>
      <w:r w:rsidR="004518F8" w:rsidRPr="00A84CE4">
        <w:t xml:space="preserve"> 1bar)</w:t>
      </w:r>
      <w:r w:rsidR="00482CDC" w:rsidRPr="00A84CE4">
        <w:t xml:space="preserve"> in ULOSSP </w:t>
      </w:r>
      <w:r w:rsidR="004518F8" w:rsidRPr="00A84CE4">
        <w:t xml:space="preserve">(in the considered </w:t>
      </w:r>
      <w:r w:rsidR="00482CDC" w:rsidRPr="00A84CE4">
        <w:t>space</w:t>
      </w:r>
      <w:r w:rsidR="004518F8" w:rsidRPr="00A84CE4">
        <w:t>)</w:t>
      </w:r>
      <w:r w:rsidR="00482CDC" w:rsidRPr="00A84CE4">
        <w:t xml:space="preserve">. </w:t>
      </w:r>
      <w:r w:rsidRPr="00A84CE4">
        <w:t xml:space="preserve">For the designs with 13 SA rings at 1100 MWe, the </w:t>
      </w:r>
      <w:r w:rsidR="00482CDC" w:rsidRPr="00A84CE4">
        <w:t xml:space="preserve">sodium temperature in </w:t>
      </w:r>
      <w:r w:rsidR="0049426D" w:rsidRPr="00A84CE4">
        <w:t>ULOSSP lies in [878; 1122] °C</w:t>
      </w:r>
      <w:r w:rsidRPr="00A84CE4">
        <w:t xml:space="preserve"> and the margin </w:t>
      </w:r>
      <w:r w:rsidR="0049426D" w:rsidRPr="00A84CE4">
        <w:t>to</w:t>
      </w:r>
      <w:r w:rsidR="00482CDC" w:rsidRPr="00A84CE4">
        <w:t xml:space="preserve"> fuel</w:t>
      </w:r>
      <w:r w:rsidR="0049426D" w:rsidRPr="00A84CE4">
        <w:t xml:space="preserve"> melt</w:t>
      </w:r>
      <w:r w:rsidR="00482CDC" w:rsidRPr="00A84CE4">
        <w:t>ing</w:t>
      </w:r>
      <w:r w:rsidR="0049426D" w:rsidRPr="00A84CE4">
        <w:t xml:space="preserve"> i</w:t>
      </w:r>
      <w:r w:rsidRPr="00A84CE4">
        <w:t>n case of UCRW is</w:t>
      </w:r>
      <w:r w:rsidR="004518F8" w:rsidRPr="00A84CE4">
        <w:t xml:space="preserve"> in</w:t>
      </w:r>
      <w:r w:rsidRPr="00A84CE4">
        <w:t xml:space="preserve"> </w:t>
      </w:r>
      <w:r w:rsidR="004518F8" w:rsidRPr="00A84CE4">
        <w:t>the range</w:t>
      </w:r>
      <w:r w:rsidRPr="00A84CE4">
        <w:t xml:space="preserve"> [-189</w:t>
      </w:r>
      <w:r w:rsidR="0049426D" w:rsidRPr="00A84CE4">
        <w:t>; 98] W/cm</w:t>
      </w:r>
      <w:r w:rsidRPr="00A84CE4">
        <w:t xml:space="preserve">. </w:t>
      </w:r>
      <w:r w:rsidR="004518F8" w:rsidRPr="00A84CE4">
        <w:t xml:space="preserve">Even if some of the 13 SA rings designs avoid sodium boiling in ULOSSP, none of them allows </w:t>
      </w:r>
      <w:r w:rsidR="003A2834">
        <w:t xml:space="preserve">to avoid </w:t>
      </w:r>
      <w:r w:rsidR="004518F8" w:rsidRPr="00A84CE4">
        <w:t>both boiling in ULOSSP and melting in UCRW (in the considered space).</w:t>
      </w:r>
      <w:r w:rsidR="00B47CA4" w:rsidRPr="00A84CE4">
        <w:t xml:space="preserve"> </w:t>
      </w:r>
      <w:r w:rsidR="008A6D1A" w:rsidRPr="00A84CE4">
        <w:t xml:space="preserve">On the contrary, these objectives were achievable by the 13 SA rings designs </w:t>
      </w:r>
      <w:r w:rsidR="00D27AFB">
        <w:t xml:space="preserve">at 1000 MWe </w:t>
      </w:r>
      <w:r w:rsidR="00D27AFB">
        <w:fldChar w:fldCharType="begin"/>
      </w:r>
      <w:r w:rsidR="00D27AFB">
        <w:instrText xml:space="preserve"> REF _Ref68854625 \r \h </w:instrText>
      </w:r>
      <w:r w:rsidR="00D27AFB">
        <w:fldChar w:fldCharType="separate"/>
      </w:r>
      <w:r w:rsidR="00466114">
        <w:t>[1]</w:t>
      </w:r>
      <w:r w:rsidR="00D27AFB">
        <w:fldChar w:fldCharType="end"/>
      </w:r>
      <w:r w:rsidR="008A6D1A" w:rsidRPr="00A84CE4">
        <w:t>.</w:t>
      </w:r>
    </w:p>
    <w:p w14:paraId="433FE059" w14:textId="2A8AC731" w:rsidR="00F004EE" w:rsidRPr="00A84CE4" w:rsidRDefault="00AF7783" w:rsidP="00084459">
      <w:pPr>
        <w:pStyle w:val="Titre3"/>
      </w:pPr>
      <w:r w:rsidRPr="00A84CE4">
        <w:t>Selection of optimized cores</w:t>
      </w:r>
    </w:p>
    <w:p w14:paraId="05C88B18" w14:textId="460C88D2" w:rsidR="002C5B6A" w:rsidRPr="00E378C6" w:rsidRDefault="002C5B6A" w:rsidP="00E378C6">
      <w:pPr>
        <w:pStyle w:val="Titre4"/>
      </w:pPr>
      <w:r w:rsidRPr="00E378C6">
        <w:t xml:space="preserve">Criteria and </w:t>
      </w:r>
      <w:r w:rsidR="006E5D9E" w:rsidRPr="00E378C6">
        <w:t>optimization</w:t>
      </w:r>
      <w:r w:rsidRPr="00E378C6">
        <w:t xml:space="preserve"> objectives</w:t>
      </w:r>
    </w:p>
    <w:p w14:paraId="68B24E2E" w14:textId="2BE45E3D" w:rsidR="00540B87" w:rsidRDefault="00136494" w:rsidP="00B64606">
      <w:pPr>
        <w:pStyle w:val="Corpsdetexte"/>
        <w:ind w:firstLine="0"/>
      </w:pPr>
      <w:r w:rsidRPr="00A84CE4">
        <w:t>For the selection of optimized cores</w:t>
      </w:r>
      <w:r w:rsidR="00093FA0">
        <w:t xml:space="preserve"> at 1100 MWe</w:t>
      </w:r>
      <w:r w:rsidR="00BD2550">
        <w:t xml:space="preserve">, three </w:t>
      </w:r>
      <w:r w:rsidRPr="00A84CE4">
        <w:t xml:space="preserve">additional safety criteria have been </w:t>
      </w:r>
      <w:proofErr w:type="gramStart"/>
      <w:r w:rsidRPr="00A84CE4">
        <w:t>taken into account</w:t>
      </w:r>
      <w:proofErr w:type="gramEnd"/>
      <w:r w:rsidR="00BD2550">
        <w:t>. First, t</w:t>
      </w:r>
      <w:r w:rsidRPr="00A84CE4">
        <w:t>he margin to fuel melting should be above</w:t>
      </w:r>
      <w:r w:rsidR="00520975" w:rsidRPr="00A84CE4">
        <w:t xml:space="preserve"> 300 °C in nominal conditions</w:t>
      </w:r>
      <w:r w:rsidR="002961BD" w:rsidRPr="00A84CE4">
        <w:t>:</w:t>
      </w:r>
      <w:r w:rsidRPr="00A84CE4">
        <w:t xml:space="preserve"> this is a standard criteria in SFR core conception</w:t>
      </w:r>
      <w:r w:rsidR="001C4D5D" w:rsidRPr="00A84CE4">
        <w:t xml:space="preserve"> that </w:t>
      </w:r>
      <w:r w:rsidR="00163A44" w:rsidRPr="00A84CE4">
        <w:t>guarantee</w:t>
      </w:r>
      <w:r w:rsidR="006C2CEB">
        <w:t>s</w:t>
      </w:r>
      <w:r w:rsidR="001C4D5D" w:rsidRPr="00A84CE4">
        <w:t xml:space="preserve"> a melting probability below 10</w:t>
      </w:r>
      <w:r w:rsidR="001C4D5D" w:rsidRPr="00A84CE4">
        <w:rPr>
          <w:vertAlign w:val="superscript"/>
        </w:rPr>
        <w:t>-4</w:t>
      </w:r>
      <w:r w:rsidRPr="00A84CE4">
        <w:t>.</w:t>
      </w:r>
      <w:r w:rsidR="00BD2550">
        <w:t xml:space="preserve"> Then, </w:t>
      </w:r>
      <w:r w:rsidR="009408C5">
        <w:t>only the designs with a</w:t>
      </w:r>
      <w:r w:rsidRPr="00A84CE4">
        <w:t xml:space="preserve"> m</w:t>
      </w:r>
      <w:r w:rsidR="00520975" w:rsidRPr="00A84CE4">
        <w:t xml:space="preserve">argin to fuel melting </w:t>
      </w:r>
      <w:r w:rsidRPr="00A84CE4">
        <w:t xml:space="preserve">in UCRW </w:t>
      </w:r>
      <w:r w:rsidR="001C1E30">
        <w:t>higher than</w:t>
      </w:r>
      <w:r w:rsidRPr="00A84CE4">
        <w:t xml:space="preserve"> 20 W/cm</w:t>
      </w:r>
      <w:r w:rsidR="009408C5">
        <w:t xml:space="preserve"> have been kept</w:t>
      </w:r>
      <w:r w:rsidR="002961BD" w:rsidRPr="00A84CE4">
        <w:t>:</w:t>
      </w:r>
      <w:r w:rsidRPr="00A84CE4">
        <w:t xml:space="preserve"> </w:t>
      </w:r>
      <w:r w:rsidR="002961BD" w:rsidRPr="00A84CE4">
        <w:t>this</w:t>
      </w:r>
      <w:r w:rsidRPr="00A84CE4">
        <w:t xml:space="preserve"> margin </w:t>
      </w:r>
      <w:r w:rsidR="002961BD" w:rsidRPr="00A84CE4">
        <w:t xml:space="preserve">has been </w:t>
      </w:r>
      <w:r w:rsidRPr="00A84CE4">
        <w:t xml:space="preserve">used to </w:t>
      </w:r>
      <w:proofErr w:type="gramStart"/>
      <w:r w:rsidRPr="00A84CE4">
        <w:t>take into account</w:t>
      </w:r>
      <w:proofErr w:type="gramEnd"/>
      <w:r w:rsidRPr="00A84CE4">
        <w:t xml:space="preserve"> uncertainties of the meta-models and guarantee</w:t>
      </w:r>
      <w:r w:rsidR="002E3BA2">
        <w:t>s</w:t>
      </w:r>
      <w:r w:rsidRPr="00A84CE4">
        <w:t xml:space="preserve"> the </w:t>
      </w:r>
      <w:r w:rsidR="00093FA0">
        <w:t xml:space="preserve">absence of </w:t>
      </w:r>
      <w:r w:rsidRPr="00A84CE4">
        <w:t>fuel melting.</w:t>
      </w:r>
      <w:r w:rsidR="00BD2550">
        <w:t xml:space="preserve"> Finally, </w:t>
      </w:r>
      <w:r w:rsidR="009408C5">
        <w:t xml:space="preserve">a criterion </w:t>
      </w:r>
      <w:r w:rsidR="001C1E30">
        <w:t>ha</w:t>
      </w:r>
      <w:r w:rsidR="00B64606">
        <w:t>s</w:t>
      </w:r>
      <w:r w:rsidR="001C1E30">
        <w:t xml:space="preserve"> been</w:t>
      </w:r>
      <w:r w:rsidR="009408C5">
        <w:t xml:space="preserve"> used to keep only the designs with an</w:t>
      </w:r>
      <w:r w:rsidRPr="00A84CE4">
        <w:t xml:space="preserve"> a</w:t>
      </w:r>
      <w:r w:rsidR="00520975" w:rsidRPr="00A84CE4">
        <w:t>symptotic sodium temperature in ULOSSP</w:t>
      </w:r>
      <w:r w:rsidR="009408C5">
        <w:t xml:space="preserve"> </w:t>
      </w:r>
      <w:r w:rsidR="009408C5" w:rsidRPr="00A84CE4">
        <w:t>below 1050°C: this filter has been used to reduce the studied space but is not based on a physical phenomenon.</w:t>
      </w:r>
      <w:r w:rsidR="009408C5">
        <w:t xml:space="preserve"> In theory, t</w:t>
      </w:r>
      <w:r w:rsidR="009408C5" w:rsidRPr="00491708">
        <w:t>he sodium temperature in ULOSSP</w:t>
      </w:r>
      <w:r w:rsidR="009408C5">
        <w:t xml:space="preserve"> should be below the sodium boiling point. However, this criterion was not </w:t>
      </w:r>
      <w:r w:rsidR="009408C5" w:rsidRPr="00A84CE4">
        <w:t>usable for this study</w:t>
      </w:r>
      <w:r w:rsidR="009408C5">
        <w:t xml:space="preserve"> as no design in the </w:t>
      </w:r>
      <w:r w:rsidR="001C1E30">
        <w:t>considered</w:t>
      </w:r>
      <w:r w:rsidR="009408C5">
        <w:t xml:space="preserve"> space </w:t>
      </w:r>
      <w:r w:rsidR="001C1E30">
        <w:t>is</w:t>
      </w:r>
      <w:r w:rsidR="009408C5">
        <w:t xml:space="preserve"> able to avoid both fuel melting in UCRW and sodium boiling in ULOSSP. We recall that</w:t>
      </w:r>
      <w:r w:rsidR="001C1E30" w:rsidRPr="001C1E30">
        <w:t xml:space="preserve"> </w:t>
      </w:r>
      <w:r w:rsidR="001C1E30">
        <w:t xml:space="preserve">all </w:t>
      </w:r>
      <w:r w:rsidR="001C1E30" w:rsidRPr="00A84CE4">
        <w:t>the transients studied up to now are unprotected</w:t>
      </w:r>
      <w:r w:rsidR="001C1E30">
        <w:t xml:space="preserve"> </w:t>
      </w:r>
      <w:r w:rsidR="009408C5">
        <w:t xml:space="preserve">and that no passive safety rods </w:t>
      </w:r>
      <w:r w:rsidR="00C775F7">
        <w:t>ar</w:t>
      </w:r>
      <w:r w:rsidR="009408C5">
        <w:t>e considered. Thus</w:t>
      </w:r>
      <w:r w:rsidR="00C775F7">
        <w:t xml:space="preserve">, </w:t>
      </w:r>
      <w:r w:rsidR="001C1E30">
        <w:t xml:space="preserve">designs with an asymptotic </w:t>
      </w:r>
      <w:r w:rsidR="00B64606">
        <w:t xml:space="preserve">sodium </w:t>
      </w:r>
      <w:r w:rsidR="001C1E30">
        <w:t>temperature</w:t>
      </w:r>
      <w:r w:rsidR="00B64606">
        <w:t xml:space="preserve"> in ULOSSP in the range [883; 1050]°C have been considered acceptable under the hypothesis that </w:t>
      </w:r>
      <w:r w:rsidR="001C1E30" w:rsidRPr="00A84CE4">
        <w:t>protective systems</w:t>
      </w:r>
      <w:r w:rsidR="001C1E30">
        <w:t xml:space="preserve"> such as passive safety rods (e.g. Curie Points Electro-Magnets rods or hydraulically suspended rods)</w:t>
      </w:r>
      <w:r w:rsidR="00B64606">
        <w:t xml:space="preserve"> will be added in the design. </w:t>
      </w:r>
      <w:r w:rsidR="003B2DC9" w:rsidRPr="00A84CE4">
        <w:t>Then, the optimisation has been perfo</w:t>
      </w:r>
      <w:r w:rsidRPr="00A84CE4">
        <w:t>rmed considering two objectives</w:t>
      </w:r>
      <w:r w:rsidR="009D3334" w:rsidRPr="00A84CE4">
        <w:t>. The fi</w:t>
      </w:r>
      <w:r w:rsidR="00D27AFB">
        <w:t>rst one is safety related: it</w:t>
      </w:r>
      <w:r w:rsidR="009D3334" w:rsidRPr="00A84CE4">
        <w:t xml:space="preserve"> is</w:t>
      </w:r>
      <w:r w:rsidR="003B2DC9" w:rsidRPr="00A84CE4">
        <w:t xml:space="preserve"> </w:t>
      </w:r>
      <w:r w:rsidR="002961BD" w:rsidRPr="00A84CE4">
        <w:t xml:space="preserve">to </w:t>
      </w:r>
      <w:r w:rsidR="009D3334" w:rsidRPr="00A84CE4">
        <w:t>minimise the</w:t>
      </w:r>
      <w:r w:rsidR="002961BD" w:rsidRPr="00A84CE4">
        <w:t xml:space="preserve"> </w:t>
      </w:r>
      <w:r w:rsidR="00775082">
        <w:t>sodium temperature</w:t>
      </w:r>
      <w:r w:rsidR="009D3334" w:rsidRPr="00A84CE4">
        <w:t xml:space="preserve"> during ULOSSP. Th</w:t>
      </w:r>
      <w:r w:rsidR="00D27AFB">
        <w:t>e second one is cost-related: it</w:t>
      </w:r>
      <w:r w:rsidR="009D3334" w:rsidRPr="00A84CE4">
        <w:t xml:space="preserve"> is</w:t>
      </w:r>
      <w:r w:rsidR="002961BD" w:rsidRPr="00A84CE4">
        <w:t xml:space="preserve"> to </w:t>
      </w:r>
      <w:r w:rsidR="009D3334" w:rsidRPr="00A84CE4">
        <w:t>minimise the</w:t>
      </w:r>
      <w:r w:rsidR="002961BD" w:rsidRPr="00A84CE4">
        <w:t xml:space="preserve"> d</w:t>
      </w:r>
      <w:r w:rsidR="00520975" w:rsidRPr="00A84CE4">
        <w:t>iameter of the core</w:t>
      </w:r>
      <w:r w:rsidR="002961BD" w:rsidRPr="00A84CE4">
        <w:t xml:space="preserve">. </w:t>
      </w:r>
      <w:r w:rsidR="00AC719C">
        <w:t xml:space="preserve">The criteria and objectives are summarized in </w:t>
      </w:r>
      <w:r w:rsidR="00AA08FF">
        <w:fldChar w:fldCharType="begin"/>
      </w:r>
      <w:r w:rsidR="00AA08FF">
        <w:instrText xml:space="preserve"> REF _Ref86418362 \h </w:instrText>
      </w:r>
      <w:r w:rsidR="00AA08FF">
        <w:fldChar w:fldCharType="separate"/>
      </w:r>
      <w:r w:rsidR="00466114">
        <w:t xml:space="preserve">TABLE </w:t>
      </w:r>
      <w:r w:rsidR="00466114">
        <w:rPr>
          <w:noProof/>
        </w:rPr>
        <w:t>4</w:t>
      </w:r>
      <w:r w:rsidR="00AA08FF">
        <w:fldChar w:fldCharType="end"/>
      </w:r>
      <w:r w:rsidR="00AC719C">
        <w:t>.</w:t>
      </w:r>
    </w:p>
    <w:p w14:paraId="25875095" w14:textId="77777777" w:rsidR="001369F1" w:rsidRDefault="001369F1" w:rsidP="00520975">
      <w:pPr>
        <w:pStyle w:val="Corpsdetexte"/>
      </w:pPr>
    </w:p>
    <w:p w14:paraId="713096D4" w14:textId="07F70CD5" w:rsidR="001369F1" w:rsidRDefault="001369F1" w:rsidP="001369F1">
      <w:pPr>
        <w:pStyle w:val="Lgende"/>
        <w:keepNext/>
        <w:jc w:val="center"/>
      </w:pPr>
      <w:bookmarkStart w:id="15" w:name="_Ref86418362"/>
      <w:r>
        <w:t>T</w:t>
      </w:r>
      <w:r w:rsidR="006466AD">
        <w:t>ABLE</w:t>
      </w:r>
      <w:r>
        <w:t xml:space="preserve"> </w:t>
      </w:r>
      <w:r w:rsidR="000E5D68">
        <w:fldChar w:fldCharType="begin"/>
      </w:r>
      <w:r w:rsidR="000E5D68">
        <w:instrText xml:space="preserve"> SEQ TABLE \* ARABIC </w:instrText>
      </w:r>
      <w:r w:rsidR="000E5D68">
        <w:fldChar w:fldCharType="separate"/>
      </w:r>
      <w:r w:rsidR="00466114">
        <w:rPr>
          <w:noProof/>
        </w:rPr>
        <w:t>4</w:t>
      </w:r>
      <w:r w:rsidR="000E5D68">
        <w:fldChar w:fldCharType="end"/>
      </w:r>
      <w:bookmarkEnd w:id="15"/>
      <w:r>
        <w:t xml:space="preserve">: </w:t>
      </w:r>
      <w:r w:rsidR="006466AD">
        <w:t xml:space="preserve">CRITERIA AND OBJECTIVES OF OPTIMIZATION FOR THE SELECTION OF OPTIMIZED CORES </w:t>
      </w:r>
    </w:p>
    <w:tbl>
      <w:tblPr>
        <w:tblStyle w:val="Grilledutableau"/>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1"/>
        <w:gridCol w:w="1892"/>
        <w:gridCol w:w="2284"/>
      </w:tblGrid>
      <w:tr w:rsidR="00AC719C" w:rsidRPr="00A84CE4" w14:paraId="632AE832" w14:textId="344DD41E" w:rsidTr="001369F1">
        <w:trPr>
          <w:jc w:val="center"/>
        </w:trPr>
        <w:tc>
          <w:tcPr>
            <w:tcW w:w="4851" w:type="dxa"/>
            <w:tcBorders>
              <w:top w:val="single" w:sz="4" w:space="0" w:color="auto"/>
              <w:bottom w:val="single" w:sz="4" w:space="0" w:color="auto"/>
            </w:tcBorders>
          </w:tcPr>
          <w:p w14:paraId="14FEA3B1" w14:textId="77777777" w:rsidR="00AC719C" w:rsidRPr="00A84CE4" w:rsidRDefault="00AC719C" w:rsidP="00424F75">
            <w:pPr>
              <w:pStyle w:val="Corpsdetexte"/>
              <w:ind w:firstLine="0"/>
            </w:pPr>
            <w:r>
              <w:t>Performance</w:t>
            </w:r>
          </w:p>
        </w:tc>
        <w:tc>
          <w:tcPr>
            <w:tcW w:w="1892" w:type="dxa"/>
            <w:tcBorders>
              <w:top w:val="single" w:sz="4" w:space="0" w:color="auto"/>
              <w:bottom w:val="single" w:sz="4" w:space="0" w:color="auto"/>
            </w:tcBorders>
          </w:tcPr>
          <w:p w14:paraId="07DA7799" w14:textId="2AC003A7" w:rsidR="00AC719C" w:rsidRPr="00A84CE4" w:rsidRDefault="001369F1" w:rsidP="00AC719C">
            <w:pPr>
              <w:pStyle w:val="Corpsdetexte"/>
              <w:ind w:firstLine="0"/>
              <w:jc w:val="center"/>
            </w:pPr>
            <w:r>
              <w:t>Accepted values</w:t>
            </w:r>
          </w:p>
        </w:tc>
        <w:tc>
          <w:tcPr>
            <w:tcW w:w="2284" w:type="dxa"/>
            <w:tcBorders>
              <w:top w:val="single" w:sz="4" w:space="0" w:color="auto"/>
              <w:bottom w:val="single" w:sz="4" w:space="0" w:color="auto"/>
            </w:tcBorders>
          </w:tcPr>
          <w:p w14:paraId="28CF42BD" w14:textId="38FC863E" w:rsidR="00AC719C" w:rsidRDefault="00AC719C" w:rsidP="007F091B">
            <w:pPr>
              <w:pStyle w:val="Corpsdetexte"/>
              <w:ind w:firstLine="0"/>
              <w:jc w:val="center"/>
            </w:pPr>
            <w:r>
              <w:t xml:space="preserve">Objective </w:t>
            </w:r>
          </w:p>
        </w:tc>
      </w:tr>
      <w:tr w:rsidR="00AC719C" w:rsidRPr="00A84CE4" w14:paraId="6C9700BE" w14:textId="32401D36" w:rsidTr="00AC719C">
        <w:trPr>
          <w:jc w:val="center"/>
        </w:trPr>
        <w:tc>
          <w:tcPr>
            <w:tcW w:w="4851" w:type="dxa"/>
            <w:tcBorders>
              <w:top w:val="single" w:sz="4" w:space="0" w:color="auto"/>
            </w:tcBorders>
          </w:tcPr>
          <w:p w14:paraId="001AA82D" w14:textId="77777777" w:rsidR="00AC719C" w:rsidRPr="00A84CE4" w:rsidRDefault="00AC719C" w:rsidP="00424F75">
            <w:pPr>
              <w:pStyle w:val="Corpsdetexte"/>
              <w:ind w:firstLine="0"/>
            </w:pPr>
            <w:r>
              <w:t xml:space="preserve">Power density </w:t>
            </w:r>
            <w:r w:rsidRPr="00A84CE4">
              <w:t xml:space="preserve"> (W/cm</w:t>
            </w:r>
            <w:r w:rsidRPr="00A84CE4">
              <w:rPr>
                <w:vertAlign w:val="superscript"/>
              </w:rPr>
              <w:t>3</w:t>
            </w:r>
            <w:r w:rsidRPr="00A84CE4">
              <w:t>)</w:t>
            </w:r>
          </w:p>
        </w:tc>
        <w:tc>
          <w:tcPr>
            <w:tcW w:w="1892" w:type="dxa"/>
            <w:tcBorders>
              <w:top w:val="single" w:sz="4" w:space="0" w:color="auto"/>
            </w:tcBorders>
          </w:tcPr>
          <w:p w14:paraId="19B269F1" w14:textId="77777777" w:rsidR="00AC719C" w:rsidRPr="00A84CE4" w:rsidRDefault="00AC719C" w:rsidP="00424F75">
            <w:pPr>
              <w:pStyle w:val="Corpsdetexte"/>
              <w:ind w:firstLine="0"/>
              <w:jc w:val="center"/>
            </w:pPr>
            <w:r w:rsidRPr="00A84CE4">
              <w:t>[250; 375]</w:t>
            </w:r>
          </w:p>
        </w:tc>
        <w:tc>
          <w:tcPr>
            <w:tcW w:w="2284" w:type="dxa"/>
            <w:tcBorders>
              <w:top w:val="single" w:sz="4" w:space="0" w:color="auto"/>
            </w:tcBorders>
          </w:tcPr>
          <w:p w14:paraId="60AD5E35" w14:textId="77777777" w:rsidR="00AC719C" w:rsidRPr="00A84CE4" w:rsidRDefault="00AC719C" w:rsidP="00424F75">
            <w:pPr>
              <w:pStyle w:val="Corpsdetexte"/>
              <w:ind w:firstLine="0"/>
              <w:jc w:val="center"/>
            </w:pPr>
          </w:p>
        </w:tc>
      </w:tr>
      <w:tr w:rsidR="00AC719C" w:rsidRPr="00A84CE4" w14:paraId="71F9D74F" w14:textId="7603FCEE" w:rsidTr="00AC719C">
        <w:trPr>
          <w:jc w:val="center"/>
        </w:trPr>
        <w:tc>
          <w:tcPr>
            <w:tcW w:w="4851" w:type="dxa"/>
          </w:tcPr>
          <w:p w14:paraId="78045816" w14:textId="77777777" w:rsidR="00AC719C" w:rsidRPr="00A84CE4" w:rsidRDefault="00AC719C" w:rsidP="00424F75">
            <w:pPr>
              <w:pStyle w:val="Corpsdetexte"/>
              <w:ind w:firstLine="0"/>
            </w:pPr>
            <w:r>
              <w:t>M</w:t>
            </w:r>
            <w:r w:rsidRPr="00A84CE4">
              <w:t>argin to fuel melting in nominal conditions</w:t>
            </w:r>
            <w:r>
              <w:t xml:space="preserve"> (°C)</w:t>
            </w:r>
          </w:p>
        </w:tc>
        <w:tc>
          <w:tcPr>
            <w:tcW w:w="1892" w:type="dxa"/>
          </w:tcPr>
          <w:p w14:paraId="59B438F4" w14:textId="2D952717" w:rsidR="00AC719C" w:rsidRPr="00A84CE4" w:rsidRDefault="00AC719C" w:rsidP="00540B87">
            <w:pPr>
              <w:pStyle w:val="Corpsdetexte"/>
              <w:ind w:firstLine="0"/>
              <w:jc w:val="center"/>
            </w:pPr>
            <w:r>
              <w:t>&gt;300</w:t>
            </w:r>
          </w:p>
        </w:tc>
        <w:tc>
          <w:tcPr>
            <w:tcW w:w="2284" w:type="dxa"/>
          </w:tcPr>
          <w:p w14:paraId="120B22F6" w14:textId="77777777" w:rsidR="00AC719C" w:rsidRDefault="00AC719C" w:rsidP="00540B87">
            <w:pPr>
              <w:pStyle w:val="Corpsdetexte"/>
              <w:ind w:firstLine="0"/>
              <w:jc w:val="center"/>
            </w:pPr>
          </w:p>
        </w:tc>
      </w:tr>
      <w:tr w:rsidR="00AC719C" w:rsidRPr="00A84CE4" w14:paraId="5D4587B4" w14:textId="5048EB71" w:rsidTr="00AC719C">
        <w:trPr>
          <w:jc w:val="center"/>
        </w:trPr>
        <w:tc>
          <w:tcPr>
            <w:tcW w:w="4851" w:type="dxa"/>
          </w:tcPr>
          <w:p w14:paraId="2036929D" w14:textId="4B58963D" w:rsidR="00AC719C" w:rsidRDefault="00AC719C" w:rsidP="00AC719C">
            <w:pPr>
              <w:pStyle w:val="Corpsdetexte"/>
              <w:ind w:firstLine="0"/>
            </w:pPr>
            <w:r>
              <w:t>M</w:t>
            </w:r>
            <w:r w:rsidRPr="00A84CE4">
              <w:t xml:space="preserve">argin to fuel melting in </w:t>
            </w:r>
            <w:r>
              <w:t>UCRW (W/cm)</w:t>
            </w:r>
          </w:p>
        </w:tc>
        <w:tc>
          <w:tcPr>
            <w:tcW w:w="1892" w:type="dxa"/>
          </w:tcPr>
          <w:p w14:paraId="68A356CB" w14:textId="02ECC6EA" w:rsidR="00AC719C" w:rsidRDefault="00AC719C" w:rsidP="00540B87">
            <w:pPr>
              <w:pStyle w:val="Corpsdetexte"/>
              <w:ind w:firstLine="0"/>
              <w:jc w:val="center"/>
            </w:pPr>
            <w:r>
              <w:t>&gt;20</w:t>
            </w:r>
          </w:p>
        </w:tc>
        <w:tc>
          <w:tcPr>
            <w:tcW w:w="2284" w:type="dxa"/>
          </w:tcPr>
          <w:p w14:paraId="187D311C" w14:textId="77777777" w:rsidR="00AC719C" w:rsidRDefault="00AC719C" w:rsidP="00540B87">
            <w:pPr>
              <w:pStyle w:val="Corpsdetexte"/>
              <w:ind w:firstLine="0"/>
              <w:jc w:val="center"/>
            </w:pPr>
          </w:p>
        </w:tc>
      </w:tr>
      <w:tr w:rsidR="00AC719C" w:rsidRPr="00A84CE4" w14:paraId="291C8A4D" w14:textId="15D1B799" w:rsidTr="00AC719C">
        <w:trPr>
          <w:jc w:val="center"/>
        </w:trPr>
        <w:tc>
          <w:tcPr>
            <w:tcW w:w="4851" w:type="dxa"/>
          </w:tcPr>
          <w:p w14:paraId="578E80C2" w14:textId="797C4BAA" w:rsidR="00AC719C" w:rsidRDefault="00AC719C" w:rsidP="00424F75">
            <w:pPr>
              <w:pStyle w:val="Corpsdetexte"/>
              <w:ind w:firstLine="0"/>
            </w:pPr>
            <w:r>
              <w:t>A</w:t>
            </w:r>
            <w:r w:rsidRPr="00A84CE4">
              <w:t xml:space="preserve">symptotic sodium temperature in ULOSSP </w:t>
            </w:r>
            <w:r>
              <w:t>(°C)</w:t>
            </w:r>
          </w:p>
        </w:tc>
        <w:tc>
          <w:tcPr>
            <w:tcW w:w="1892" w:type="dxa"/>
          </w:tcPr>
          <w:p w14:paraId="10EE82CC" w14:textId="18615099" w:rsidR="00AC719C" w:rsidRDefault="00AC719C" w:rsidP="00540B87">
            <w:pPr>
              <w:pStyle w:val="Corpsdetexte"/>
              <w:ind w:firstLine="0"/>
              <w:jc w:val="center"/>
            </w:pPr>
            <w:r>
              <w:t>&lt;1050</w:t>
            </w:r>
          </w:p>
        </w:tc>
        <w:tc>
          <w:tcPr>
            <w:tcW w:w="2284" w:type="dxa"/>
          </w:tcPr>
          <w:p w14:paraId="297D1371" w14:textId="44F9ED98" w:rsidR="00AC719C" w:rsidRDefault="00AC719C" w:rsidP="00540B87">
            <w:pPr>
              <w:pStyle w:val="Corpsdetexte"/>
              <w:ind w:firstLine="0"/>
              <w:jc w:val="center"/>
            </w:pPr>
            <w:r>
              <w:t>To be minimized</w:t>
            </w:r>
          </w:p>
        </w:tc>
      </w:tr>
      <w:tr w:rsidR="00AC719C" w:rsidRPr="00A84CE4" w14:paraId="11D242A8" w14:textId="77777777" w:rsidTr="00AC719C">
        <w:trPr>
          <w:jc w:val="center"/>
        </w:trPr>
        <w:tc>
          <w:tcPr>
            <w:tcW w:w="4851" w:type="dxa"/>
          </w:tcPr>
          <w:p w14:paraId="1ACD0CB5" w14:textId="0EE90477" w:rsidR="00AC719C" w:rsidRDefault="00AC719C" w:rsidP="00424F75">
            <w:pPr>
              <w:pStyle w:val="Corpsdetexte"/>
              <w:ind w:firstLine="0"/>
            </w:pPr>
            <w:r>
              <w:t>Core diameter (cm)</w:t>
            </w:r>
          </w:p>
        </w:tc>
        <w:tc>
          <w:tcPr>
            <w:tcW w:w="1892" w:type="dxa"/>
          </w:tcPr>
          <w:p w14:paraId="476D2F9B" w14:textId="495A161A" w:rsidR="00AC719C" w:rsidRDefault="00AC719C" w:rsidP="00540B87">
            <w:pPr>
              <w:pStyle w:val="Corpsdetexte"/>
              <w:ind w:firstLine="0"/>
              <w:jc w:val="center"/>
            </w:pPr>
          </w:p>
        </w:tc>
        <w:tc>
          <w:tcPr>
            <w:tcW w:w="2284" w:type="dxa"/>
          </w:tcPr>
          <w:p w14:paraId="42C81B75" w14:textId="00F7BED1" w:rsidR="00AC719C" w:rsidRDefault="00AC719C" w:rsidP="00540B87">
            <w:pPr>
              <w:pStyle w:val="Corpsdetexte"/>
              <w:ind w:firstLine="0"/>
              <w:jc w:val="center"/>
            </w:pPr>
            <w:r>
              <w:t>To be minimized</w:t>
            </w:r>
          </w:p>
        </w:tc>
      </w:tr>
    </w:tbl>
    <w:p w14:paraId="1A25E264" w14:textId="77777777" w:rsidR="00540B87" w:rsidRDefault="00540B87" w:rsidP="00520975">
      <w:pPr>
        <w:pStyle w:val="Corpsdetexte"/>
      </w:pPr>
    </w:p>
    <w:p w14:paraId="626714DB" w14:textId="29C57800" w:rsidR="002C5B6A" w:rsidRDefault="003B2DC9" w:rsidP="00520975">
      <w:pPr>
        <w:pStyle w:val="Corpsdetexte"/>
      </w:pPr>
      <w:r w:rsidRPr="00A84CE4">
        <w:t>The cores selected are those offering t</w:t>
      </w:r>
      <w:r w:rsidR="00D27AFB">
        <w:t>he best compromise between the</w:t>
      </w:r>
      <w:r w:rsidRPr="00A84CE4">
        <w:t xml:space="preserve"> two objectives. They correspond to the designs on the Pareto front in the space (</w:t>
      </w:r>
      <w:r w:rsidR="009D3334" w:rsidRPr="00A84CE4">
        <w:t>Fissile core radius, Sodium temperature in ULOSSP</w:t>
      </w:r>
      <w:r w:rsidRPr="00A84CE4">
        <w:t>)</w:t>
      </w:r>
      <w:r w:rsidR="009D3334" w:rsidRPr="00A84CE4">
        <w:t xml:space="preserve"> and </w:t>
      </w:r>
      <w:r w:rsidR="00D27AFB">
        <w:t>are highlighted in green i</w:t>
      </w:r>
      <w:r w:rsidRPr="00A84CE4">
        <w:t xml:space="preserve">n the </w:t>
      </w:r>
      <w:r w:rsidR="002961BD" w:rsidRPr="00A84CE4">
        <w:fldChar w:fldCharType="begin"/>
      </w:r>
      <w:r w:rsidR="002961BD" w:rsidRPr="00A84CE4">
        <w:instrText xml:space="preserve"> REF _Ref68637587 \h </w:instrText>
      </w:r>
      <w:r w:rsidR="002961BD" w:rsidRPr="00A84CE4">
        <w:fldChar w:fldCharType="separate"/>
      </w:r>
      <w:r w:rsidR="00466114" w:rsidRPr="00A84CE4">
        <w:rPr>
          <w:i/>
        </w:rPr>
        <w:t xml:space="preserve">FIG. </w:t>
      </w:r>
      <w:r w:rsidR="00466114">
        <w:rPr>
          <w:i/>
          <w:noProof/>
        </w:rPr>
        <w:t>8</w:t>
      </w:r>
      <w:r w:rsidR="002961BD" w:rsidRPr="00A84CE4">
        <w:fldChar w:fldCharType="end"/>
      </w:r>
      <w:r w:rsidRPr="00A84CE4">
        <w:t>.</w:t>
      </w:r>
    </w:p>
    <w:p w14:paraId="40A28437" w14:textId="77777777" w:rsidR="00395A3F" w:rsidRPr="00A84CE4" w:rsidRDefault="00395A3F" w:rsidP="00520975">
      <w:pPr>
        <w:pStyle w:val="Corpsdetexte"/>
      </w:pPr>
    </w:p>
    <w:p w14:paraId="724D8C5A" w14:textId="77777777" w:rsidR="00A95127" w:rsidRPr="00A84CE4" w:rsidRDefault="002C5B6A" w:rsidP="00A95127">
      <w:pPr>
        <w:pStyle w:val="Corpsdetexte"/>
        <w:keepNext/>
      </w:pPr>
      <w:r w:rsidRPr="00A84CE4">
        <w:rPr>
          <w:noProof/>
          <w:lang w:val="fr-FR" w:eastAsia="fr-FR"/>
        </w:rPr>
        <w:lastRenderedPageBreak/>
        <w:drawing>
          <wp:inline distT="0" distB="0" distL="0" distR="0" wp14:anchorId="23B3A08D" wp14:editId="49AE85C5">
            <wp:extent cx="2470938" cy="2160000"/>
            <wp:effectExtent l="0" t="0" r="5715"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optimum12C.png"/>
                    <pic:cNvPicPr/>
                  </pic:nvPicPr>
                  <pic:blipFill rotWithShape="1">
                    <a:blip r:embed="rId24">
                      <a:extLst>
                        <a:ext uri="{28A0092B-C50C-407E-A947-70E740481C1C}">
                          <a14:useLocalDpi xmlns:a14="http://schemas.microsoft.com/office/drawing/2010/main" val="0"/>
                        </a:ext>
                      </a:extLst>
                    </a:blip>
                    <a:srcRect t="9884"/>
                    <a:stretch/>
                  </pic:blipFill>
                  <pic:spPr bwMode="auto">
                    <a:xfrm>
                      <a:off x="0" y="0"/>
                      <a:ext cx="2470938" cy="2160000"/>
                    </a:xfrm>
                    <a:prstGeom prst="rect">
                      <a:avLst/>
                    </a:prstGeom>
                    <a:ln>
                      <a:noFill/>
                    </a:ln>
                    <a:extLst>
                      <a:ext uri="{53640926-AAD7-44D8-BBD7-CCE9431645EC}">
                        <a14:shadowObscured xmlns:a14="http://schemas.microsoft.com/office/drawing/2010/main"/>
                      </a:ext>
                    </a:extLst>
                  </pic:spPr>
                </pic:pic>
              </a:graphicData>
            </a:graphic>
          </wp:inline>
        </w:drawing>
      </w:r>
      <w:r w:rsidRPr="00A84CE4">
        <w:rPr>
          <w:noProof/>
          <w:lang w:eastAsia="fr-FR"/>
        </w:rPr>
        <w:t xml:space="preserve"> </w:t>
      </w:r>
      <w:r w:rsidRPr="00A84CE4">
        <w:rPr>
          <w:noProof/>
          <w:lang w:val="fr-FR" w:eastAsia="fr-FR"/>
        </w:rPr>
        <w:drawing>
          <wp:inline distT="0" distB="0" distL="0" distR="0" wp14:anchorId="03F038DA" wp14:editId="1E3BC3D2">
            <wp:extent cx="2424765" cy="2160000"/>
            <wp:effectExtent l="0" t="0" r="0" b="0"/>
            <wp:docPr id="19812" name="Image 198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12" name="optimum13C.png"/>
                    <pic:cNvPicPr/>
                  </pic:nvPicPr>
                  <pic:blipFill rotWithShape="1">
                    <a:blip r:embed="rId25">
                      <a:extLst>
                        <a:ext uri="{28A0092B-C50C-407E-A947-70E740481C1C}">
                          <a14:useLocalDpi xmlns:a14="http://schemas.microsoft.com/office/drawing/2010/main" val="0"/>
                        </a:ext>
                      </a:extLst>
                    </a:blip>
                    <a:srcRect t="9010"/>
                    <a:stretch/>
                  </pic:blipFill>
                  <pic:spPr bwMode="auto">
                    <a:xfrm>
                      <a:off x="0" y="0"/>
                      <a:ext cx="2424765" cy="2160000"/>
                    </a:xfrm>
                    <a:prstGeom prst="rect">
                      <a:avLst/>
                    </a:prstGeom>
                    <a:ln>
                      <a:noFill/>
                    </a:ln>
                    <a:extLst>
                      <a:ext uri="{53640926-AAD7-44D8-BBD7-CCE9431645EC}">
                        <a14:shadowObscured xmlns:a14="http://schemas.microsoft.com/office/drawing/2010/main"/>
                      </a:ext>
                    </a:extLst>
                  </pic:spPr>
                </pic:pic>
              </a:graphicData>
            </a:graphic>
          </wp:inline>
        </w:drawing>
      </w:r>
    </w:p>
    <w:p w14:paraId="78677C48" w14:textId="206B29B0" w:rsidR="002C5B6A" w:rsidRPr="00A84CE4" w:rsidRDefault="00A95127" w:rsidP="008A6D1A">
      <w:pPr>
        <w:pStyle w:val="Lgende"/>
        <w:jc w:val="center"/>
        <w:rPr>
          <w:lang w:val="en-GB"/>
        </w:rPr>
      </w:pPr>
      <w:bookmarkStart w:id="16" w:name="_Ref68637587"/>
      <w:r w:rsidRPr="00A84CE4">
        <w:rPr>
          <w:i/>
          <w:lang w:val="en-GB"/>
        </w:rPr>
        <w:t>F</w:t>
      </w:r>
      <w:r w:rsidR="008A6D1A" w:rsidRPr="00A84CE4">
        <w:rPr>
          <w:i/>
          <w:lang w:val="en-GB"/>
        </w:rPr>
        <w:t>IG.</w:t>
      </w:r>
      <w:r w:rsidRPr="00A84CE4">
        <w:rPr>
          <w:i/>
          <w:lang w:val="en-GB"/>
        </w:rPr>
        <w:t xml:space="preserve"> </w:t>
      </w:r>
      <w:r w:rsidRPr="00A84CE4">
        <w:rPr>
          <w:i/>
          <w:lang w:val="en-GB"/>
        </w:rPr>
        <w:fldChar w:fldCharType="begin"/>
      </w:r>
      <w:r w:rsidRPr="00A84CE4">
        <w:rPr>
          <w:i/>
          <w:lang w:val="en-GB"/>
        </w:rPr>
        <w:instrText xml:space="preserve"> SEQ Figure \* ARABIC </w:instrText>
      </w:r>
      <w:r w:rsidRPr="00A84CE4">
        <w:rPr>
          <w:i/>
          <w:lang w:val="en-GB"/>
        </w:rPr>
        <w:fldChar w:fldCharType="separate"/>
      </w:r>
      <w:r w:rsidR="00466114">
        <w:rPr>
          <w:i/>
          <w:noProof/>
          <w:lang w:val="en-GB"/>
        </w:rPr>
        <w:t>8</w:t>
      </w:r>
      <w:r w:rsidRPr="00A84CE4">
        <w:rPr>
          <w:i/>
          <w:lang w:val="en-GB"/>
        </w:rPr>
        <w:fldChar w:fldCharType="end"/>
      </w:r>
      <w:bookmarkEnd w:id="16"/>
      <w:r w:rsidRPr="00A84CE4">
        <w:rPr>
          <w:i/>
          <w:lang w:val="en-GB"/>
        </w:rPr>
        <w:t xml:space="preserve">. </w:t>
      </w:r>
      <w:r w:rsidR="008A6D1A" w:rsidRPr="00A84CE4">
        <w:rPr>
          <w:i/>
          <w:lang w:val="en-GB"/>
        </w:rPr>
        <w:t>Distribution of the cores with 12 assembly rings (on the left) and with 13 assembly rings (on the right) in the space (Fissile core radius, Sodium temperature in ULOSSP)</w:t>
      </w:r>
      <w:r w:rsidR="003A2834">
        <w:rPr>
          <w:i/>
          <w:lang w:val="en-GB"/>
        </w:rPr>
        <w:t xml:space="preserve">; </w:t>
      </w:r>
      <w:r w:rsidR="00E14498">
        <w:rPr>
          <w:i/>
          <w:lang w:val="en-GB"/>
        </w:rPr>
        <w:t xml:space="preserve">the </w:t>
      </w:r>
      <w:proofErr w:type="spellStart"/>
      <w:r w:rsidR="00E14498">
        <w:rPr>
          <w:i/>
          <w:lang w:val="en-GB"/>
        </w:rPr>
        <w:t>seletced</w:t>
      </w:r>
      <w:proofErr w:type="spellEnd"/>
      <w:r w:rsidR="00E14498">
        <w:rPr>
          <w:i/>
          <w:lang w:val="en-GB"/>
        </w:rPr>
        <w:t xml:space="preserve"> cores are plotted in green.</w:t>
      </w:r>
    </w:p>
    <w:p w14:paraId="6F8A7BDD" w14:textId="77777777" w:rsidR="00BD2550" w:rsidRDefault="00093FA0" w:rsidP="00E378C6">
      <w:pPr>
        <w:pStyle w:val="Titre4"/>
      </w:pPr>
      <w:r>
        <w:t xml:space="preserve">Selection of an optimised </w:t>
      </w:r>
      <w:r w:rsidR="00520975" w:rsidRPr="00A84CE4">
        <w:t>12 SA rings</w:t>
      </w:r>
      <w:r w:rsidR="009D3334" w:rsidRPr="00A84CE4">
        <w:t xml:space="preserve"> cores</w:t>
      </w:r>
      <w:r>
        <w:t xml:space="preserve"> at 1100 MWe</w:t>
      </w:r>
    </w:p>
    <w:p w14:paraId="425FD5E6" w14:textId="22B99725" w:rsidR="006636A5" w:rsidRDefault="00530B85" w:rsidP="006636A5">
      <w:pPr>
        <w:pStyle w:val="Corpsdetexte"/>
      </w:pPr>
      <w:r w:rsidRPr="00BD2550">
        <w:t xml:space="preserve">The 12 SA ring core selected in </w:t>
      </w:r>
      <w:r w:rsidR="00E943B8" w:rsidRPr="00BD2550">
        <w:fldChar w:fldCharType="begin"/>
      </w:r>
      <w:r w:rsidR="00E943B8" w:rsidRPr="00BD2550">
        <w:instrText xml:space="preserve"> REF _Ref68811326 \r \h </w:instrText>
      </w:r>
      <w:r w:rsidR="00BD2550" w:rsidRPr="00BD2550">
        <w:instrText xml:space="preserve"> \* MERGEFORMAT </w:instrText>
      </w:r>
      <w:r w:rsidR="00E943B8" w:rsidRPr="00BD2550">
        <w:fldChar w:fldCharType="separate"/>
      </w:r>
      <w:r w:rsidR="00466114">
        <w:t>[1]</w:t>
      </w:r>
      <w:r w:rsidR="00E943B8" w:rsidRPr="00BD2550">
        <w:fldChar w:fldCharType="end"/>
      </w:r>
      <w:r w:rsidR="00E943B8" w:rsidRPr="00BD2550">
        <w:t xml:space="preserve"> </w:t>
      </w:r>
      <w:r w:rsidR="001C4D5D" w:rsidRPr="00BD2550">
        <w:t>at 1000 MWe</w:t>
      </w:r>
      <w:r w:rsidRPr="00BD2550">
        <w:t xml:space="preserve"> has been</w:t>
      </w:r>
      <w:r w:rsidR="001C4D5D" w:rsidRPr="00BD2550">
        <w:t xml:space="preserve"> re-evaluated at 1100 MWe with the parametric computation scheme </w:t>
      </w:r>
      <w:r w:rsidR="00D27AFB" w:rsidRPr="00BD2550">
        <w:t xml:space="preserve">implemented in SDDS and </w:t>
      </w:r>
      <w:r w:rsidR="001C4D5D" w:rsidRPr="00BD2550">
        <w:t xml:space="preserve">composed of ERANOS, MAT5DYN and GERMINAL (see </w:t>
      </w:r>
      <w:r w:rsidR="00C779E1" w:rsidRPr="00BD2550">
        <w:t xml:space="preserve">step 2 in </w:t>
      </w:r>
      <w:r w:rsidR="001C4D5D" w:rsidRPr="00BD2550">
        <w:t>section</w:t>
      </w:r>
      <w:r w:rsidR="00E943B8" w:rsidRPr="00BD2550">
        <w:t xml:space="preserve"> </w:t>
      </w:r>
      <w:r w:rsidR="00E943B8" w:rsidRPr="00BD2550">
        <w:fldChar w:fldCharType="begin"/>
      </w:r>
      <w:r w:rsidR="00E943B8" w:rsidRPr="00BD2550">
        <w:instrText xml:space="preserve"> REF _Ref68811309 \r \h </w:instrText>
      </w:r>
      <w:r w:rsidR="00BD2550" w:rsidRPr="00BD2550">
        <w:instrText xml:space="preserve"> \* MERGEFORMAT </w:instrText>
      </w:r>
      <w:r w:rsidR="00E943B8" w:rsidRPr="00BD2550">
        <w:fldChar w:fldCharType="separate"/>
      </w:r>
      <w:r w:rsidR="00466114">
        <w:t>2</w:t>
      </w:r>
      <w:r w:rsidR="00E943B8" w:rsidRPr="00BD2550">
        <w:fldChar w:fldCharType="end"/>
      </w:r>
      <w:r w:rsidR="001C4D5D" w:rsidRPr="00BD2550">
        <w:t>). The results are given in</w:t>
      </w:r>
      <w:r w:rsidR="00652FC2" w:rsidRPr="00BD2550">
        <w:t xml:space="preserve"> </w:t>
      </w:r>
      <w:r w:rsidR="00AA08FF" w:rsidRPr="00BD2550">
        <w:fldChar w:fldCharType="begin"/>
      </w:r>
      <w:r w:rsidR="00AA08FF" w:rsidRPr="00BD2550">
        <w:instrText xml:space="preserve"> REF _Ref86418372 \h </w:instrText>
      </w:r>
      <w:r w:rsidR="00BD2550" w:rsidRPr="00BD2550">
        <w:instrText xml:space="preserve"> \* MERGEFORMAT </w:instrText>
      </w:r>
      <w:r w:rsidR="00AA08FF" w:rsidRPr="00BD2550">
        <w:fldChar w:fldCharType="separate"/>
      </w:r>
      <w:r w:rsidR="00466114">
        <w:t xml:space="preserve">TABLE </w:t>
      </w:r>
      <w:r w:rsidR="00466114">
        <w:rPr>
          <w:noProof/>
        </w:rPr>
        <w:t>5</w:t>
      </w:r>
      <w:r w:rsidR="00AA08FF" w:rsidRPr="00BD2550">
        <w:fldChar w:fldCharType="end"/>
      </w:r>
      <w:r w:rsidR="001C4D5D" w:rsidRPr="00BD2550">
        <w:t xml:space="preserve"> </w:t>
      </w:r>
      <w:r w:rsidR="002E3BA2" w:rsidRPr="00BD2550">
        <w:t xml:space="preserve">in </w:t>
      </w:r>
      <w:r w:rsidR="006D492C" w:rsidRPr="00BD2550">
        <w:t>column</w:t>
      </w:r>
      <w:r w:rsidR="00652FC2" w:rsidRPr="00BD2550">
        <w:t xml:space="preserve"> </w:t>
      </w:r>
      <w:r w:rsidR="002E3BA2" w:rsidRPr="00BD2550">
        <w:t>“</w:t>
      </w:r>
      <w:r w:rsidR="006D492C" w:rsidRPr="00BD2550">
        <w:t>12-Ref</w:t>
      </w:r>
      <w:r w:rsidR="002E3BA2" w:rsidRPr="00BD2550">
        <w:t>”</w:t>
      </w:r>
      <w:r w:rsidR="001C4D5D" w:rsidRPr="00BD2550">
        <w:t xml:space="preserve">. </w:t>
      </w:r>
      <w:r w:rsidR="00D27AFB" w:rsidRPr="00BD2550">
        <w:t>As already mentioned, the s</w:t>
      </w:r>
      <w:r w:rsidR="001F5B7D" w:rsidRPr="00BD2550">
        <w:t xml:space="preserve">odium temperature in ULOSSP is </w:t>
      </w:r>
      <w:r w:rsidR="004C4CBD">
        <w:t>closely</w:t>
      </w:r>
      <w:r w:rsidR="001F5B7D" w:rsidRPr="00BD2550">
        <w:t xml:space="preserve"> above 1000 °C.</w:t>
      </w:r>
      <w:r w:rsidR="00BD2550">
        <w:t xml:space="preserve"> </w:t>
      </w:r>
      <w:r w:rsidR="00BD2550" w:rsidRPr="00A84CE4">
        <w:t xml:space="preserve">The columns 12-C1 to 12-C4 give the characteristics and performances of the cores selected following the SDDS study at 1100 MWe </w:t>
      </w:r>
      <w:r w:rsidR="00BD2550">
        <w:t xml:space="preserve">outlined in this paper </w:t>
      </w:r>
      <w:r w:rsidR="00BD2550" w:rsidRPr="00A84CE4">
        <w:t xml:space="preserve">(highlighted in green in </w:t>
      </w:r>
      <w:r w:rsidR="00BD2550" w:rsidRPr="00A84CE4">
        <w:fldChar w:fldCharType="begin"/>
      </w:r>
      <w:r w:rsidR="00BD2550" w:rsidRPr="00A84CE4">
        <w:instrText xml:space="preserve"> REF _Ref68637587 \h </w:instrText>
      </w:r>
      <w:r w:rsidR="00BD2550" w:rsidRPr="00A84CE4">
        <w:fldChar w:fldCharType="separate"/>
      </w:r>
      <w:r w:rsidR="00466114" w:rsidRPr="00A84CE4">
        <w:rPr>
          <w:i/>
        </w:rPr>
        <w:t xml:space="preserve">FIG. </w:t>
      </w:r>
      <w:r w:rsidR="00466114">
        <w:rPr>
          <w:i/>
          <w:noProof/>
        </w:rPr>
        <w:t>8</w:t>
      </w:r>
      <w:r w:rsidR="00BD2550" w:rsidRPr="00A84CE4">
        <w:fldChar w:fldCharType="end"/>
      </w:r>
      <w:r w:rsidR="00BD2550" w:rsidRPr="00A84CE4">
        <w:t xml:space="preserve"> left). These new designs have geometric characteristics and performances close to the core </w:t>
      </w:r>
      <w:r w:rsidR="00BD2550">
        <w:t>12-Ref</w:t>
      </w:r>
      <w:r w:rsidR="00BD2550" w:rsidRPr="00A84CE4">
        <w:t>. In that respect, it has not been considered relevant to select a new design for the 12 SA rings configuration for operating at 1100 MWe.</w:t>
      </w:r>
      <w:bookmarkStart w:id="17" w:name="_Ref86418372"/>
    </w:p>
    <w:p w14:paraId="4B7B0B39" w14:textId="77777777" w:rsidR="006636A5" w:rsidRDefault="006636A5" w:rsidP="005662DF">
      <w:pPr>
        <w:pStyle w:val="Corpsdetexte"/>
      </w:pPr>
    </w:p>
    <w:p w14:paraId="06F1C5AF" w14:textId="12155AB8" w:rsidR="000E5D68" w:rsidRDefault="000E5D68" w:rsidP="005662DF">
      <w:pPr>
        <w:pStyle w:val="Corpsdetexte"/>
        <w:ind w:firstLine="0"/>
      </w:pPr>
      <w:r>
        <w:t xml:space="preserve">TABLE </w:t>
      </w:r>
      <w:fldSimple w:instr=" SEQ TABLE \* ARABIC ">
        <w:r w:rsidR="00466114">
          <w:rPr>
            <w:noProof/>
          </w:rPr>
          <w:t>5</w:t>
        </w:r>
      </w:fldSimple>
      <w:bookmarkEnd w:id="17"/>
      <w:r>
        <w:t xml:space="preserve">. </w:t>
      </w:r>
      <w:r w:rsidRPr="001623FE">
        <w:t>MAIN CHARACTERISTICS AND PERFORMANCES OF THE 12 SA RINGS SELECTED CORES</w:t>
      </w:r>
    </w:p>
    <w:tbl>
      <w:tblPr>
        <w:tblStyle w:val="Tableausimple2"/>
        <w:tblW w:w="10348" w:type="dxa"/>
        <w:jc w:val="center"/>
        <w:tblLook w:val="04A0" w:firstRow="1" w:lastRow="0" w:firstColumn="1" w:lastColumn="0" w:noHBand="0" w:noVBand="1"/>
      </w:tblPr>
      <w:tblGrid>
        <w:gridCol w:w="4253"/>
        <w:gridCol w:w="1219"/>
        <w:gridCol w:w="1219"/>
        <w:gridCol w:w="1219"/>
        <w:gridCol w:w="1219"/>
        <w:gridCol w:w="1219"/>
      </w:tblGrid>
      <w:tr w:rsidR="006D492C" w:rsidRPr="00A84CE4" w14:paraId="55570C5F" w14:textId="77777777" w:rsidTr="003C6A5B">
        <w:trPr>
          <w:cnfStyle w:val="100000000000" w:firstRow="1" w:lastRow="0" w:firstColumn="0" w:lastColumn="0" w:oddVBand="0" w:evenVBand="0" w:oddHBand="0" w:evenHBand="0" w:firstRowFirstColumn="0" w:firstRowLastColumn="0" w:lastRowFirstColumn="0" w:lastRowLastColumn="0"/>
          <w:trHeight w:val="250"/>
          <w:jc w:val="center"/>
        </w:trPr>
        <w:tc>
          <w:tcPr>
            <w:cnfStyle w:val="001000000000" w:firstRow="0" w:lastRow="0" w:firstColumn="1" w:lastColumn="0" w:oddVBand="0" w:evenVBand="0" w:oddHBand="0" w:evenHBand="0" w:firstRowFirstColumn="0" w:firstRowLastColumn="0" w:lastRowFirstColumn="0" w:lastRowLastColumn="0"/>
            <w:tcW w:w="4253" w:type="dxa"/>
            <w:tcBorders>
              <w:bottom w:val="single" w:sz="4" w:space="0" w:color="auto"/>
            </w:tcBorders>
            <w:hideMark/>
          </w:tcPr>
          <w:p w14:paraId="12DD1BD8" w14:textId="77777777" w:rsidR="006D492C" w:rsidRPr="00A84CE4" w:rsidRDefault="006D492C" w:rsidP="006D492C">
            <w:pPr>
              <w:pStyle w:val="Corpsdetexte"/>
              <w:ind w:firstLine="0"/>
              <w:rPr>
                <w:b w:val="0"/>
              </w:rPr>
            </w:pPr>
            <w:r w:rsidRPr="00A84CE4">
              <w:rPr>
                <w:b w:val="0"/>
              </w:rPr>
              <w:t>Parameter</w:t>
            </w:r>
          </w:p>
        </w:tc>
        <w:tc>
          <w:tcPr>
            <w:tcW w:w="1219" w:type="dxa"/>
            <w:tcBorders>
              <w:bottom w:val="single" w:sz="4" w:space="0" w:color="auto"/>
            </w:tcBorders>
          </w:tcPr>
          <w:p w14:paraId="58685AB3" w14:textId="4B85AE4A" w:rsidR="006D492C" w:rsidRPr="00A84CE4" w:rsidRDefault="006D492C" w:rsidP="006D492C">
            <w:pPr>
              <w:pStyle w:val="Corpsdetexte"/>
              <w:ind w:firstLine="0"/>
              <w:jc w:val="center"/>
              <w:cnfStyle w:val="100000000000" w:firstRow="1" w:lastRow="0" w:firstColumn="0" w:lastColumn="0" w:oddVBand="0" w:evenVBand="0" w:oddHBand="0" w:evenHBand="0" w:firstRowFirstColumn="0" w:firstRowLastColumn="0" w:lastRowFirstColumn="0" w:lastRowLastColumn="0"/>
              <w:rPr>
                <w:b w:val="0"/>
              </w:rPr>
            </w:pPr>
            <w:r w:rsidRPr="00A84CE4">
              <w:rPr>
                <w:b w:val="0"/>
              </w:rPr>
              <w:t>12-Ref</w:t>
            </w:r>
          </w:p>
        </w:tc>
        <w:tc>
          <w:tcPr>
            <w:tcW w:w="1219" w:type="dxa"/>
            <w:tcBorders>
              <w:bottom w:val="single" w:sz="4" w:space="0" w:color="auto"/>
            </w:tcBorders>
            <w:hideMark/>
          </w:tcPr>
          <w:p w14:paraId="4781F3E7" w14:textId="250509D4" w:rsidR="006D492C" w:rsidRPr="00A84CE4" w:rsidRDefault="006D492C" w:rsidP="006D492C">
            <w:pPr>
              <w:pStyle w:val="Corpsdetexte"/>
              <w:ind w:firstLine="0"/>
              <w:jc w:val="center"/>
              <w:cnfStyle w:val="100000000000" w:firstRow="1" w:lastRow="0" w:firstColumn="0" w:lastColumn="0" w:oddVBand="0" w:evenVBand="0" w:oddHBand="0" w:evenHBand="0" w:firstRowFirstColumn="0" w:firstRowLastColumn="0" w:lastRowFirstColumn="0" w:lastRowLastColumn="0"/>
              <w:rPr>
                <w:b w:val="0"/>
              </w:rPr>
            </w:pPr>
            <w:r w:rsidRPr="00A84CE4">
              <w:rPr>
                <w:b w:val="0"/>
              </w:rPr>
              <w:t>12-C1</w:t>
            </w:r>
          </w:p>
        </w:tc>
        <w:tc>
          <w:tcPr>
            <w:tcW w:w="1219" w:type="dxa"/>
            <w:tcBorders>
              <w:bottom w:val="single" w:sz="4" w:space="0" w:color="auto"/>
            </w:tcBorders>
            <w:hideMark/>
          </w:tcPr>
          <w:p w14:paraId="5F76B4DD" w14:textId="3FDEE2B9" w:rsidR="006D492C" w:rsidRPr="00A84CE4" w:rsidRDefault="006D492C" w:rsidP="006D492C">
            <w:pPr>
              <w:pStyle w:val="Corpsdetexte"/>
              <w:ind w:firstLine="0"/>
              <w:jc w:val="center"/>
              <w:cnfStyle w:val="100000000000" w:firstRow="1" w:lastRow="0" w:firstColumn="0" w:lastColumn="0" w:oddVBand="0" w:evenVBand="0" w:oddHBand="0" w:evenHBand="0" w:firstRowFirstColumn="0" w:firstRowLastColumn="0" w:lastRowFirstColumn="0" w:lastRowLastColumn="0"/>
              <w:rPr>
                <w:b w:val="0"/>
              </w:rPr>
            </w:pPr>
            <w:r w:rsidRPr="00A84CE4">
              <w:rPr>
                <w:b w:val="0"/>
              </w:rPr>
              <w:t>12-C2</w:t>
            </w:r>
          </w:p>
        </w:tc>
        <w:tc>
          <w:tcPr>
            <w:tcW w:w="1219" w:type="dxa"/>
            <w:tcBorders>
              <w:bottom w:val="single" w:sz="4" w:space="0" w:color="auto"/>
            </w:tcBorders>
            <w:hideMark/>
          </w:tcPr>
          <w:p w14:paraId="68057B38" w14:textId="104F801C" w:rsidR="006D492C" w:rsidRPr="00A84CE4" w:rsidRDefault="006D492C" w:rsidP="006D492C">
            <w:pPr>
              <w:pStyle w:val="Corpsdetexte"/>
              <w:ind w:firstLine="0"/>
              <w:jc w:val="center"/>
              <w:cnfStyle w:val="100000000000" w:firstRow="1" w:lastRow="0" w:firstColumn="0" w:lastColumn="0" w:oddVBand="0" w:evenVBand="0" w:oddHBand="0" w:evenHBand="0" w:firstRowFirstColumn="0" w:firstRowLastColumn="0" w:lastRowFirstColumn="0" w:lastRowLastColumn="0"/>
              <w:rPr>
                <w:b w:val="0"/>
              </w:rPr>
            </w:pPr>
            <w:r w:rsidRPr="00A84CE4">
              <w:rPr>
                <w:b w:val="0"/>
              </w:rPr>
              <w:t>12-C3</w:t>
            </w:r>
          </w:p>
        </w:tc>
        <w:tc>
          <w:tcPr>
            <w:tcW w:w="1219" w:type="dxa"/>
            <w:tcBorders>
              <w:bottom w:val="single" w:sz="4" w:space="0" w:color="auto"/>
            </w:tcBorders>
            <w:hideMark/>
          </w:tcPr>
          <w:p w14:paraId="3554F3A1" w14:textId="54344126" w:rsidR="006D492C" w:rsidRPr="00A84CE4" w:rsidRDefault="006D492C" w:rsidP="006D492C">
            <w:pPr>
              <w:pStyle w:val="Corpsdetexte"/>
              <w:ind w:firstLine="0"/>
              <w:jc w:val="center"/>
              <w:cnfStyle w:val="100000000000" w:firstRow="1" w:lastRow="0" w:firstColumn="0" w:lastColumn="0" w:oddVBand="0" w:evenVBand="0" w:oddHBand="0" w:evenHBand="0" w:firstRowFirstColumn="0" w:firstRowLastColumn="0" w:lastRowFirstColumn="0" w:lastRowLastColumn="0"/>
              <w:rPr>
                <w:b w:val="0"/>
              </w:rPr>
            </w:pPr>
            <w:r w:rsidRPr="00A84CE4">
              <w:rPr>
                <w:b w:val="0"/>
              </w:rPr>
              <w:t>12-C4</w:t>
            </w:r>
          </w:p>
        </w:tc>
      </w:tr>
      <w:tr w:rsidR="006D492C" w:rsidRPr="00A84CE4" w14:paraId="3C85BD83" w14:textId="77777777" w:rsidTr="003C6A5B">
        <w:trPr>
          <w:cnfStyle w:val="000000100000" w:firstRow="0" w:lastRow="0" w:firstColumn="0" w:lastColumn="0" w:oddVBand="0" w:evenVBand="0" w:oddHBand="1" w:evenHBand="0" w:firstRowFirstColumn="0" w:firstRowLastColumn="0" w:lastRowFirstColumn="0" w:lastRowLastColumn="0"/>
          <w:trHeight w:val="250"/>
          <w:jc w:val="center"/>
        </w:trPr>
        <w:tc>
          <w:tcPr>
            <w:cnfStyle w:val="001000000000" w:firstRow="0" w:lastRow="0" w:firstColumn="1" w:lastColumn="0" w:oddVBand="0" w:evenVBand="0" w:oddHBand="0" w:evenHBand="0" w:firstRowFirstColumn="0" w:firstRowLastColumn="0" w:lastRowFirstColumn="0" w:lastRowLastColumn="0"/>
            <w:tcW w:w="4253" w:type="dxa"/>
            <w:tcBorders>
              <w:top w:val="single" w:sz="4" w:space="0" w:color="auto"/>
              <w:bottom w:val="nil"/>
            </w:tcBorders>
            <w:hideMark/>
          </w:tcPr>
          <w:p w14:paraId="078286F6" w14:textId="77777777" w:rsidR="006D492C" w:rsidRPr="00A84CE4" w:rsidRDefault="006D492C" w:rsidP="006D492C">
            <w:pPr>
              <w:pStyle w:val="Corpsdetexte"/>
              <w:ind w:firstLine="0"/>
              <w:rPr>
                <w:b w:val="0"/>
              </w:rPr>
            </w:pPr>
            <w:r w:rsidRPr="00A84CE4">
              <w:rPr>
                <w:b w:val="0"/>
              </w:rPr>
              <w:t xml:space="preserve">Outer pellet radius [cm] </w:t>
            </w:r>
          </w:p>
        </w:tc>
        <w:tc>
          <w:tcPr>
            <w:tcW w:w="1219" w:type="dxa"/>
            <w:tcBorders>
              <w:top w:val="single" w:sz="4" w:space="0" w:color="auto"/>
              <w:bottom w:val="nil"/>
            </w:tcBorders>
          </w:tcPr>
          <w:p w14:paraId="76945B69" w14:textId="5EB87CC9" w:rsidR="006D492C" w:rsidRPr="00A84CE4" w:rsidRDefault="006D492C" w:rsidP="006D492C">
            <w:pPr>
              <w:pStyle w:val="Corpsdetexte"/>
              <w:ind w:firstLine="0"/>
              <w:jc w:val="center"/>
              <w:cnfStyle w:val="000000100000" w:firstRow="0" w:lastRow="0" w:firstColumn="0" w:lastColumn="0" w:oddVBand="0" w:evenVBand="0" w:oddHBand="1" w:evenHBand="0" w:firstRowFirstColumn="0" w:firstRowLastColumn="0" w:lastRowFirstColumn="0" w:lastRowLastColumn="0"/>
            </w:pPr>
            <w:r w:rsidRPr="00A84CE4">
              <w:t>0.3425</w:t>
            </w:r>
          </w:p>
        </w:tc>
        <w:tc>
          <w:tcPr>
            <w:tcW w:w="1219" w:type="dxa"/>
            <w:tcBorders>
              <w:top w:val="single" w:sz="4" w:space="0" w:color="auto"/>
              <w:bottom w:val="nil"/>
            </w:tcBorders>
            <w:hideMark/>
          </w:tcPr>
          <w:p w14:paraId="358034CE" w14:textId="683C1B9B" w:rsidR="006D492C" w:rsidRPr="00A84CE4" w:rsidRDefault="006D492C" w:rsidP="006D492C">
            <w:pPr>
              <w:pStyle w:val="Corpsdetexte"/>
              <w:ind w:firstLine="0"/>
              <w:jc w:val="center"/>
              <w:cnfStyle w:val="000000100000" w:firstRow="0" w:lastRow="0" w:firstColumn="0" w:lastColumn="0" w:oddVBand="0" w:evenVBand="0" w:oddHBand="1" w:evenHBand="0" w:firstRowFirstColumn="0" w:firstRowLastColumn="0" w:lastRowFirstColumn="0" w:lastRowLastColumn="0"/>
            </w:pPr>
            <w:r w:rsidRPr="00A84CE4">
              <w:t>0.342</w:t>
            </w:r>
          </w:p>
        </w:tc>
        <w:tc>
          <w:tcPr>
            <w:tcW w:w="1219" w:type="dxa"/>
            <w:tcBorders>
              <w:top w:val="single" w:sz="4" w:space="0" w:color="auto"/>
              <w:bottom w:val="nil"/>
            </w:tcBorders>
            <w:hideMark/>
          </w:tcPr>
          <w:p w14:paraId="12768779" w14:textId="77777777" w:rsidR="006D492C" w:rsidRPr="00A84CE4" w:rsidRDefault="006D492C" w:rsidP="006D492C">
            <w:pPr>
              <w:pStyle w:val="Corpsdetexte"/>
              <w:ind w:firstLine="0"/>
              <w:jc w:val="center"/>
              <w:cnfStyle w:val="000000100000" w:firstRow="0" w:lastRow="0" w:firstColumn="0" w:lastColumn="0" w:oddVBand="0" w:evenVBand="0" w:oddHBand="1" w:evenHBand="0" w:firstRowFirstColumn="0" w:firstRowLastColumn="0" w:lastRowFirstColumn="0" w:lastRowLastColumn="0"/>
            </w:pPr>
            <w:r w:rsidRPr="00A84CE4">
              <w:t>0.346</w:t>
            </w:r>
          </w:p>
        </w:tc>
        <w:tc>
          <w:tcPr>
            <w:tcW w:w="1219" w:type="dxa"/>
            <w:tcBorders>
              <w:top w:val="single" w:sz="4" w:space="0" w:color="auto"/>
              <w:bottom w:val="nil"/>
            </w:tcBorders>
            <w:hideMark/>
          </w:tcPr>
          <w:p w14:paraId="6837EF1E" w14:textId="77777777" w:rsidR="006D492C" w:rsidRPr="00A84CE4" w:rsidRDefault="006D492C" w:rsidP="006D492C">
            <w:pPr>
              <w:pStyle w:val="Corpsdetexte"/>
              <w:ind w:firstLine="0"/>
              <w:jc w:val="center"/>
              <w:cnfStyle w:val="000000100000" w:firstRow="0" w:lastRow="0" w:firstColumn="0" w:lastColumn="0" w:oddVBand="0" w:evenVBand="0" w:oddHBand="1" w:evenHBand="0" w:firstRowFirstColumn="0" w:firstRowLastColumn="0" w:lastRowFirstColumn="0" w:lastRowLastColumn="0"/>
            </w:pPr>
            <w:r w:rsidRPr="00A84CE4">
              <w:t>0.3515</w:t>
            </w:r>
          </w:p>
        </w:tc>
        <w:tc>
          <w:tcPr>
            <w:tcW w:w="1219" w:type="dxa"/>
            <w:tcBorders>
              <w:top w:val="single" w:sz="4" w:space="0" w:color="auto"/>
              <w:bottom w:val="nil"/>
            </w:tcBorders>
            <w:hideMark/>
          </w:tcPr>
          <w:p w14:paraId="44DD3AA6" w14:textId="77777777" w:rsidR="006D492C" w:rsidRPr="00A84CE4" w:rsidRDefault="006D492C" w:rsidP="006D492C">
            <w:pPr>
              <w:pStyle w:val="Corpsdetexte"/>
              <w:ind w:firstLine="0"/>
              <w:jc w:val="center"/>
              <w:cnfStyle w:val="000000100000" w:firstRow="0" w:lastRow="0" w:firstColumn="0" w:lastColumn="0" w:oddVBand="0" w:evenVBand="0" w:oddHBand="1" w:evenHBand="0" w:firstRowFirstColumn="0" w:firstRowLastColumn="0" w:lastRowFirstColumn="0" w:lastRowLastColumn="0"/>
            </w:pPr>
            <w:r w:rsidRPr="00A84CE4">
              <w:t>0.3555</w:t>
            </w:r>
          </w:p>
        </w:tc>
      </w:tr>
      <w:tr w:rsidR="006D492C" w:rsidRPr="00A84CE4" w14:paraId="5111894E" w14:textId="77777777" w:rsidTr="003C6A5B">
        <w:trPr>
          <w:trHeight w:val="250"/>
          <w:jc w:val="center"/>
        </w:trPr>
        <w:tc>
          <w:tcPr>
            <w:cnfStyle w:val="001000000000" w:firstRow="0" w:lastRow="0" w:firstColumn="1" w:lastColumn="0" w:oddVBand="0" w:evenVBand="0" w:oddHBand="0" w:evenHBand="0" w:firstRowFirstColumn="0" w:firstRowLastColumn="0" w:lastRowFirstColumn="0" w:lastRowLastColumn="0"/>
            <w:tcW w:w="4253" w:type="dxa"/>
            <w:tcBorders>
              <w:top w:val="nil"/>
              <w:bottom w:val="nil"/>
            </w:tcBorders>
            <w:hideMark/>
          </w:tcPr>
          <w:p w14:paraId="71C416A4" w14:textId="77777777" w:rsidR="006D492C" w:rsidRPr="00A84CE4" w:rsidRDefault="006D492C" w:rsidP="006D492C">
            <w:pPr>
              <w:pStyle w:val="Corpsdetexte"/>
              <w:ind w:firstLine="0"/>
              <w:rPr>
                <w:b w:val="0"/>
              </w:rPr>
            </w:pPr>
            <w:r w:rsidRPr="00A84CE4">
              <w:rPr>
                <w:b w:val="0"/>
              </w:rPr>
              <w:t xml:space="preserve">Inner clad radius [cm] </w:t>
            </w:r>
          </w:p>
        </w:tc>
        <w:tc>
          <w:tcPr>
            <w:tcW w:w="1219" w:type="dxa"/>
            <w:tcBorders>
              <w:top w:val="nil"/>
              <w:bottom w:val="nil"/>
            </w:tcBorders>
          </w:tcPr>
          <w:p w14:paraId="4078B75B" w14:textId="66981F4E" w:rsidR="006D492C" w:rsidRPr="00A84CE4" w:rsidRDefault="006D492C" w:rsidP="006D492C">
            <w:pPr>
              <w:pStyle w:val="Corpsdetexte"/>
              <w:ind w:firstLine="0"/>
              <w:jc w:val="center"/>
              <w:cnfStyle w:val="000000000000" w:firstRow="0" w:lastRow="0" w:firstColumn="0" w:lastColumn="0" w:oddVBand="0" w:evenVBand="0" w:oddHBand="0" w:evenHBand="0" w:firstRowFirstColumn="0" w:firstRowLastColumn="0" w:lastRowFirstColumn="0" w:lastRowLastColumn="0"/>
            </w:pPr>
            <w:r w:rsidRPr="00A84CE4">
              <w:t>0.35</w:t>
            </w:r>
          </w:p>
        </w:tc>
        <w:tc>
          <w:tcPr>
            <w:tcW w:w="1219" w:type="dxa"/>
            <w:tcBorders>
              <w:top w:val="nil"/>
              <w:bottom w:val="nil"/>
            </w:tcBorders>
            <w:hideMark/>
          </w:tcPr>
          <w:p w14:paraId="0AA5796F" w14:textId="3028E4C0" w:rsidR="006D492C" w:rsidRPr="00A84CE4" w:rsidRDefault="006D492C" w:rsidP="006D492C">
            <w:pPr>
              <w:pStyle w:val="Corpsdetexte"/>
              <w:ind w:firstLine="0"/>
              <w:jc w:val="center"/>
              <w:cnfStyle w:val="000000000000" w:firstRow="0" w:lastRow="0" w:firstColumn="0" w:lastColumn="0" w:oddVBand="0" w:evenVBand="0" w:oddHBand="0" w:evenHBand="0" w:firstRowFirstColumn="0" w:firstRowLastColumn="0" w:lastRowFirstColumn="0" w:lastRowLastColumn="0"/>
            </w:pPr>
            <w:r w:rsidRPr="00A84CE4">
              <w:t>0.35</w:t>
            </w:r>
          </w:p>
        </w:tc>
        <w:tc>
          <w:tcPr>
            <w:tcW w:w="1219" w:type="dxa"/>
            <w:tcBorders>
              <w:top w:val="nil"/>
              <w:bottom w:val="nil"/>
            </w:tcBorders>
            <w:hideMark/>
          </w:tcPr>
          <w:p w14:paraId="09304183" w14:textId="77777777" w:rsidR="006D492C" w:rsidRPr="00A84CE4" w:rsidRDefault="006D492C" w:rsidP="006D492C">
            <w:pPr>
              <w:pStyle w:val="Corpsdetexte"/>
              <w:ind w:firstLine="0"/>
              <w:jc w:val="center"/>
              <w:cnfStyle w:val="000000000000" w:firstRow="0" w:lastRow="0" w:firstColumn="0" w:lastColumn="0" w:oddVBand="0" w:evenVBand="0" w:oddHBand="0" w:evenHBand="0" w:firstRowFirstColumn="0" w:firstRowLastColumn="0" w:lastRowFirstColumn="0" w:lastRowLastColumn="0"/>
            </w:pPr>
            <w:r w:rsidRPr="00A84CE4">
              <w:t>0.355</w:t>
            </w:r>
          </w:p>
        </w:tc>
        <w:tc>
          <w:tcPr>
            <w:tcW w:w="1219" w:type="dxa"/>
            <w:tcBorders>
              <w:top w:val="nil"/>
              <w:bottom w:val="nil"/>
            </w:tcBorders>
            <w:hideMark/>
          </w:tcPr>
          <w:p w14:paraId="1B4DFC2F" w14:textId="77777777" w:rsidR="006D492C" w:rsidRPr="00A84CE4" w:rsidRDefault="006D492C" w:rsidP="006D492C">
            <w:pPr>
              <w:pStyle w:val="Corpsdetexte"/>
              <w:ind w:firstLine="0"/>
              <w:jc w:val="center"/>
              <w:cnfStyle w:val="000000000000" w:firstRow="0" w:lastRow="0" w:firstColumn="0" w:lastColumn="0" w:oddVBand="0" w:evenVBand="0" w:oddHBand="0" w:evenHBand="0" w:firstRowFirstColumn="0" w:firstRowLastColumn="0" w:lastRowFirstColumn="0" w:lastRowLastColumn="0"/>
            </w:pPr>
            <w:r w:rsidRPr="00A84CE4">
              <w:t>0.36</w:t>
            </w:r>
          </w:p>
        </w:tc>
        <w:tc>
          <w:tcPr>
            <w:tcW w:w="1219" w:type="dxa"/>
            <w:tcBorders>
              <w:top w:val="nil"/>
              <w:bottom w:val="nil"/>
            </w:tcBorders>
            <w:hideMark/>
          </w:tcPr>
          <w:p w14:paraId="19D05664" w14:textId="77777777" w:rsidR="006D492C" w:rsidRPr="00A84CE4" w:rsidRDefault="006D492C" w:rsidP="006D492C">
            <w:pPr>
              <w:pStyle w:val="Corpsdetexte"/>
              <w:ind w:firstLine="0"/>
              <w:jc w:val="center"/>
              <w:cnfStyle w:val="000000000000" w:firstRow="0" w:lastRow="0" w:firstColumn="0" w:lastColumn="0" w:oddVBand="0" w:evenVBand="0" w:oddHBand="0" w:evenHBand="0" w:firstRowFirstColumn="0" w:firstRowLastColumn="0" w:lastRowFirstColumn="0" w:lastRowLastColumn="0"/>
            </w:pPr>
            <w:r w:rsidRPr="00A84CE4">
              <w:t>0.365</w:t>
            </w:r>
          </w:p>
        </w:tc>
      </w:tr>
      <w:tr w:rsidR="006D492C" w:rsidRPr="00A84CE4" w14:paraId="19936675" w14:textId="77777777" w:rsidTr="003C6A5B">
        <w:trPr>
          <w:cnfStyle w:val="000000100000" w:firstRow="0" w:lastRow="0" w:firstColumn="0" w:lastColumn="0" w:oddVBand="0" w:evenVBand="0" w:oddHBand="1" w:evenHBand="0" w:firstRowFirstColumn="0" w:firstRowLastColumn="0" w:lastRowFirstColumn="0" w:lastRowLastColumn="0"/>
          <w:trHeight w:val="250"/>
          <w:jc w:val="center"/>
        </w:trPr>
        <w:tc>
          <w:tcPr>
            <w:cnfStyle w:val="001000000000" w:firstRow="0" w:lastRow="0" w:firstColumn="1" w:lastColumn="0" w:oddVBand="0" w:evenVBand="0" w:oddHBand="0" w:evenHBand="0" w:firstRowFirstColumn="0" w:firstRowLastColumn="0" w:lastRowFirstColumn="0" w:lastRowLastColumn="0"/>
            <w:tcW w:w="4253" w:type="dxa"/>
            <w:tcBorders>
              <w:top w:val="nil"/>
              <w:bottom w:val="nil"/>
            </w:tcBorders>
            <w:hideMark/>
          </w:tcPr>
          <w:p w14:paraId="28CD5865" w14:textId="77777777" w:rsidR="006D492C" w:rsidRPr="00A84CE4" w:rsidRDefault="006D492C" w:rsidP="006D492C">
            <w:pPr>
              <w:pStyle w:val="Corpsdetexte"/>
              <w:ind w:firstLine="0"/>
              <w:rPr>
                <w:b w:val="0"/>
              </w:rPr>
            </w:pPr>
            <w:r w:rsidRPr="00A84CE4">
              <w:rPr>
                <w:b w:val="0"/>
              </w:rPr>
              <w:t>Outer core height [cm]</w:t>
            </w:r>
          </w:p>
        </w:tc>
        <w:tc>
          <w:tcPr>
            <w:tcW w:w="1219" w:type="dxa"/>
            <w:tcBorders>
              <w:top w:val="nil"/>
              <w:bottom w:val="nil"/>
            </w:tcBorders>
          </w:tcPr>
          <w:p w14:paraId="290AA4E0" w14:textId="74F5EFF0" w:rsidR="006D492C" w:rsidRPr="00A84CE4" w:rsidRDefault="006D492C" w:rsidP="006D492C">
            <w:pPr>
              <w:pStyle w:val="Corpsdetexte"/>
              <w:ind w:firstLine="0"/>
              <w:jc w:val="center"/>
              <w:cnfStyle w:val="000000100000" w:firstRow="0" w:lastRow="0" w:firstColumn="0" w:lastColumn="0" w:oddVBand="0" w:evenVBand="0" w:oddHBand="1" w:evenHBand="0" w:firstRowFirstColumn="0" w:firstRowLastColumn="0" w:lastRowFirstColumn="0" w:lastRowLastColumn="0"/>
            </w:pPr>
            <w:r w:rsidRPr="00A84CE4">
              <w:t>106</w:t>
            </w:r>
          </w:p>
        </w:tc>
        <w:tc>
          <w:tcPr>
            <w:tcW w:w="1219" w:type="dxa"/>
            <w:tcBorders>
              <w:top w:val="nil"/>
              <w:bottom w:val="nil"/>
            </w:tcBorders>
            <w:hideMark/>
          </w:tcPr>
          <w:p w14:paraId="68C4D31C" w14:textId="42F4FD68" w:rsidR="006D492C" w:rsidRPr="00A84CE4" w:rsidRDefault="006D492C" w:rsidP="006D492C">
            <w:pPr>
              <w:pStyle w:val="Corpsdetexte"/>
              <w:ind w:firstLine="0"/>
              <w:jc w:val="center"/>
              <w:cnfStyle w:val="000000100000" w:firstRow="0" w:lastRow="0" w:firstColumn="0" w:lastColumn="0" w:oddVBand="0" w:evenVBand="0" w:oddHBand="1" w:evenHBand="0" w:firstRowFirstColumn="0" w:firstRowLastColumn="0" w:lastRowFirstColumn="0" w:lastRowLastColumn="0"/>
            </w:pPr>
            <w:r w:rsidRPr="00A84CE4">
              <w:t>110</w:t>
            </w:r>
          </w:p>
        </w:tc>
        <w:tc>
          <w:tcPr>
            <w:tcW w:w="1219" w:type="dxa"/>
            <w:tcBorders>
              <w:top w:val="nil"/>
              <w:bottom w:val="nil"/>
            </w:tcBorders>
            <w:hideMark/>
          </w:tcPr>
          <w:p w14:paraId="61E3D0C1" w14:textId="77777777" w:rsidR="006D492C" w:rsidRPr="00A84CE4" w:rsidRDefault="006D492C" w:rsidP="006D492C">
            <w:pPr>
              <w:pStyle w:val="Corpsdetexte"/>
              <w:ind w:firstLine="0"/>
              <w:jc w:val="center"/>
              <w:cnfStyle w:val="000000100000" w:firstRow="0" w:lastRow="0" w:firstColumn="0" w:lastColumn="0" w:oddVBand="0" w:evenVBand="0" w:oddHBand="1" w:evenHBand="0" w:firstRowFirstColumn="0" w:firstRowLastColumn="0" w:lastRowFirstColumn="0" w:lastRowLastColumn="0"/>
            </w:pPr>
            <w:r w:rsidRPr="00A84CE4">
              <w:t>110</w:t>
            </w:r>
          </w:p>
        </w:tc>
        <w:tc>
          <w:tcPr>
            <w:tcW w:w="1219" w:type="dxa"/>
            <w:tcBorders>
              <w:top w:val="nil"/>
              <w:bottom w:val="nil"/>
            </w:tcBorders>
            <w:hideMark/>
          </w:tcPr>
          <w:p w14:paraId="7BCC786A" w14:textId="77777777" w:rsidR="006D492C" w:rsidRPr="00A84CE4" w:rsidRDefault="006D492C" w:rsidP="006D492C">
            <w:pPr>
              <w:pStyle w:val="Corpsdetexte"/>
              <w:ind w:firstLine="0"/>
              <w:jc w:val="center"/>
              <w:cnfStyle w:val="000000100000" w:firstRow="0" w:lastRow="0" w:firstColumn="0" w:lastColumn="0" w:oddVBand="0" w:evenVBand="0" w:oddHBand="1" w:evenHBand="0" w:firstRowFirstColumn="0" w:firstRowLastColumn="0" w:lastRowFirstColumn="0" w:lastRowLastColumn="0"/>
            </w:pPr>
            <w:r w:rsidRPr="00A84CE4">
              <w:t>105</w:t>
            </w:r>
          </w:p>
        </w:tc>
        <w:tc>
          <w:tcPr>
            <w:tcW w:w="1219" w:type="dxa"/>
            <w:tcBorders>
              <w:top w:val="nil"/>
              <w:bottom w:val="nil"/>
            </w:tcBorders>
            <w:hideMark/>
          </w:tcPr>
          <w:p w14:paraId="6E3487D2" w14:textId="77777777" w:rsidR="006D492C" w:rsidRPr="00A84CE4" w:rsidRDefault="006D492C" w:rsidP="006D492C">
            <w:pPr>
              <w:pStyle w:val="Corpsdetexte"/>
              <w:ind w:firstLine="0"/>
              <w:jc w:val="center"/>
              <w:cnfStyle w:val="000000100000" w:firstRow="0" w:lastRow="0" w:firstColumn="0" w:lastColumn="0" w:oddVBand="0" w:evenVBand="0" w:oddHBand="1" w:evenHBand="0" w:firstRowFirstColumn="0" w:firstRowLastColumn="0" w:lastRowFirstColumn="0" w:lastRowLastColumn="0"/>
            </w:pPr>
            <w:r w:rsidRPr="00A84CE4">
              <w:t>105</w:t>
            </w:r>
          </w:p>
        </w:tc>
      </w:tr>
      <w:tr w:rsidR="006D492C" w:rsidRPr="00A84CE4" w14:paraId="78579F9D" w14:textId="77777777" w:rsidTr="003C6A5B">
        <w:trPr>
          <w:trHeight w:val="250"/>
          <w:jc w:val="center"/>
        </w:trPr>
        <w:tc>
          <w:tcPr>
            <w:cnfStyle w:val="001000000000" w:firstRow="0" w:lastRow="0" w:firstColumn="1" w:lastColumn="0" w:oddVBand="0" w:evenVBand="0" w:oddHBand="0" w:evenHBand="0" w:firstRowFirstColumn="0" w:firstRowLastColumn="0" w:lastRowFirstColumn="0" w:lastRowLastColumn="0"/>
            <w:tcW w:w="4253" w:type="dxa"/>
            <w:tcBorders>
              <w:top w:val="nil"/>
              <w:bottom w:val="nil"/>
            </w:tcBorders>
            <w:hideMark/>
          </w:tcPr>
          <w:p w14:paraId="46CE585E" w14:textId="77777777" w:rsidR="006D492C" w:rsidRPr="00A84CE4" w:rsidRDefault="006D492C" w:rsidP="006D492C">
            <w:pPr>
              <w:pStyle w:val="Corpsdetexte"/>
              <w:ind w:firstLine="0"/>
              <w:rPr>
                <w:b w:val="0"/>
              </w:rPr>
            </w:pPr>
            <w:r w:rsidRPr="00A84CE4">
              <w:rPr>
                <w:b w:val="0"/>
              </w:rPr>
              <w:t xml:space="preserve">Outer/inner core height gap [cm] </w:t>
            </w:r>
          </w:p>
        </w:tc>
        <w:tc>
          <w:tcPr>
            <w:tcW w:w="1219" w:type="dxa"/>
            <w:tcBorders>
              <w:top w:val="nil"/>
              <w:bottom w:val="nil"/>
            </w:tcBorders>
          </w:tcPr>
          <w:p w14:paraId="4C8B11F3" w14:textId="1A02CD04" w:rsidR="006D492C" w:rsidRPr="00A84CE4" w:rsidRDefault="006D492C" w:rsidP="006D492C">
            <w:pPr>
              <w:pStyle w:val="Corpsdetexte"/>
              <w:ind w:firstLine="0"/>
              <w:jc w:val="center"/>
              <w:cnfStyle w:val="000000000000" w:firstRow="0" w:lastRow="0" w:firstColumn="0" w:lastColumn="0" w:oddVBand="0" w:evenVBand="0" w:oddHBand="0" w:evenHBand="0" w:firstRowFirstColumn="0" w:firstRowLastColumn="0" w:lastRowFirstColumn="0" w:lastRowLastColumn="0"/>
            </w:pPr>
            <w:r w:rsidRPr="00A84CE4">
              <w:t>0</w:t>
            </w:r>
          </w:p>
        </w:tc>
        <w:tc>
          <w:tcPr>
            <w:tcW w:w="1219" w:type="dxa"/>
            <w:tcBorders>
              <w:top w:val="nil"/>
              <w:bottom w:val="nil"/>
            </w:tcBorders>
            <w:hideMark/>
          </w:tcPr>
          <w:p w14:paraId="7520DB06" w14:textId="624D0F77" w:rsidR="006D492C" w:rsidRPr="00A84CE4" w:rsidRDefault="006D492C" w:rsidP="006D492C">
            <w:pPr>
              <w:pStyle w:val="Corpsdetexte"/>
              <w:ind w:firstLine="0"/>
              <w:jc w:val="center"/>
              <w:cnfStyle w:val="000000000000" w:firstRow="0" w:lastRow="0" w:firstColumn="0" w:lastColumn="0" w:oddVBand="0" w:evenVBand="0" w:oddHBand="0" w:evenHBand="0" w:firstRowFirstColumn="0" w:firstRowLastColumn="0" w:lastRowFirstColumn="0" w:lastRowLastColumn="0"/>
            </w:pPr>
            <w:r w:rsidRPr="00A84CE4">
              <w:t>5</w:t>
            </w:r>
          </w:p>
        </w:tc>
        <w:tc>
          <w:tcPr>
            <w:tcW w:w="1219" w:type="dxa"/>
            <w:tcBorders>
              <w:top w:val="nil"/>
              <w:bottom w:val="nil"/>
            </w:tcBorders>
            <w:hideMark/>
          </w:tcPr>
          <w:p w14:paraId="087F5CF6" w14:textId="77777777" w:rsidR="006D492C" w:rsidRPr="00A84CE4" w:rsidRDefault="006D492C" w:rsidP="006D492C">
            <w:pPr>
              <w:pStyle w:val="Corpsdetexte"/>
              <w:ind w:firstLine="0"/>
              <w:jc w:val="center"/>
              <w:cnfStyle w:val="000000000000" w:firstRow="0" w:lastRow="0" w:firstColumn="0" w:lastColumn="0" w:oddVBand="0" w:evenVBand="0" w:oddHBand="0" w:evenHBand="0" w:firstRowFirstColumn="0" w:firstRowLastColumn="0" w:lastRowFirstColumn="0" w:lastRowLastColumn="0"/>
            </w:pPr>
            <w:r w:rsidRPr="00A84CE4">
              <w:t>5</w:t>
            </w:r>
          </w:p>
        </w:tc>
        <w:tc>
          <w:tcPr>
            <w:tcW w:w="1219" w:type="dxa"/>
            <w:tcBorders>
              <w:top w:val="nil"/>
              <w:bottom w:val="nil"/>
            </w:tcBorders>
            <w:hideMark/>
          </w:tcPr>
          <w:p w14:paraId="191DEC83" w14:textId="77777777" w:rsidR="006D492C" w:rsidRPr="00A84CE4" w:rsidRDefault="006D492C" w:rsidP="006D492C">
            <w:pPr>
              <w:pStyle w:val="Corpsdetexte"/>
              <w:ind w:firstLine="0"/>
              <w:jc w:val="center"/>
              <w:cnfStyle w:val="000000000000" w:firstRow="0" w:lastRow="0" w:firstColumn="0" w:lastColumn="0" w:oddVBand="0" w:evenVBand="0" w:oddHBand="0" w:evenHBand="0" w:firstRowFirstColumn="0" w:firstRowLastColumn="0" w:lastRowFirstColumn="0" w:lastRowLastColumn="0"/>
            </w:pPr>
            <w:r w:rsidRPr="00A84CE4">
              <w:t>0</w:t>
            </w:r>
          </w:p>
        </w:tc>
        <w:tc>
          <w:tcPr>
            <w:tcW w:w="1219" w:type="dxa"/>
            <w:tcBorders>
              <w:top w:val="nil"/>
              <w:bottom w:val="nil"/>
            </w:tcBorders>
            <w:hideMark/>
          </w:tcPr>
          <w:p w14:paraId="2C071856" w14:textId="77777777" w:rsidR="006D492C" w:rsidRPr="00A84CE4" w:rsidRDefault="006D492C" w:rsidP="006D492C">
            <w:pPr>
              <w:pStyle w:val="Corpsdetexte"/>
              <w:ind w:firstLine="0"/>
              <w:jc w:val="center"/>
              <w:cnfStyle w:val="000000000000" w:firstRow="0" w:lastRow="0" w:firstColumn="0" w:lastColumn="0" w:oddVBand="0" w:evenVBand="0" w:oddHBand="0" w:evenHBand="0" w:firstRowFirstColumn="0" w:firstRowLastColumn="0" w:lastRowFirstColumn="0" w:lastRowLastColumn="0"/>
            </w:pPr>
            <w:r w:rsidRPr="00A84CE4">
              <w:t>0</w:t>
            </w:r>
          </w:p>
        </w:tc>
      </w:tr>
      <w:tr w:rsidR="006D492C" w:rsidRPr="00A84CE4" w14:paraId="0FDD7F00" w14:textId="77777777" w:rsidTr="003C6A5B">
        <w:trPr>
          <w:cnfStyle w:val="000000100000" w:firstRow="0" w:lastRow="0" w:firstColumn="0" w:lastColumn="0" w:oddVBand="0" w:evenVBand="0" w:oddHBand="1" w:evenHBand="0" w:firstRowFirstColumn="0" w:firstRowLastColumn="0" w:lastRowFirstColumn="0" w:lastRowLastColumn="0"/>
          <w:trHeight w:val="220"/>
          <w:jc w:val="center"/>
        </w:trPr>
        <w:tc>
          <w:tcPr>
            <w:cnfStyle w:val="001000000000" w:firstRow="0" w:lastRow="0" w:firstColumn="1" w:lastColumn="0" w:oddVBand="0" w:evenVBand="0" w:oddHBand="0" w:evenHBand="0" w:firstRowFirstColumn="0" w:firstRowLastColumn="0" w:lastRowFirstColumn="0" w:lastRowLastColumn="0"/>
            <w:tcW w:w="4253" w:type="dxa"/>
            <w:tcBorders>
              <w:top w:val="nil"/>
              <w:bottom w:val="nil"/>
            </w:tcBorders>
            <w:hideMark/>
          </w:tcPr>
          <w:p w14:paraId="54933C99" w14:textId="77777777" w:rsidR="006D492C" w:rsidRPr="00A84CE4" w:rsidRDefault="006D492C" w:rsidP="006D492C">
            <w:pPr>
              <w:pStyle w:val="Corpsdetexte"/>
              <w:ind w:firstLine="0"/>
              <w:rPr>
                <w:b w:val="0"/>
              </w:rPr>
            </w:pPr>
            <w:r w:rsidRPr="00A84CE4">
              <w:rPr>
                <w:b w:val="0"/>
              </w:rPr>
              <w:t xml:space="preserve">Inner fertile zone position (% of inner core height) </w:t>
            </w:r>
          </w:p>
        </w:tc>
        <w:tc>
          <w:tcPr>
            <w:tcW w:w="1219" w:type="dxa"/>
            <w:tcBorders>
              <w:top w:val="nil"/>
              <w:bottom w:val="nil"/>
            </w:tcBorders>
          </w:tcPr>
          <w:p w14:paraId="3FB55E9B" w14:textId="787FCB9F" w:rsidR="006D492C" w:rsidRPr="00A84CE4" w:rsidRDefault="006D492C" w:rsidP="006D492C">
            <w:pPr>
              <w:pStyle w:val="Corpsdetexte"/>
              <w:ind w:firstLine="0"/>
              <w:jc w:val="center"/>
              <w:cnfStyle w:val="000000100000" w:firstRow="0" w:lastRow="0" w:firstColumn="0" w:lastColumn="0" w:oddVBand="0" w:evenVBand="0" w:oddHBand="1" w:evenHBand="0" w:firstRowFirstColumn="0" w:firstRowLastColumn="0" w:lastRowFirstColumn="0" w:lastRowLastColumn="0"/>
            </w:pPr>
            <w:r w:rsidRPr="00A84CE4">
              <w:t>35</w:t>
            </w:r>
          </w:p>
        </w:tc>
        <w:tc>
          <w:tcPr>
            <w:tcW w:w="1219" w:type="dxa"/>
            <w:tcBorders>
              <w:top w:val="nil"/>
              <w:bottom w:val="nil"/>
            </w:tcBorders>
            <w:hideMark/>
          </w:tcPr>
          <w:p w14:paraId="2F88AF72" w14:textId="48FC049B" w:rsidR="006D492C" w:rsidRPr="00A84CE4" w:rsidRDefault="006D492C" w:rsidP="006D492C">
            <w:pPr>
              <w:pStyle w:val="Corpsdetexte"/>
              <w:ind w:firstLine="0"/>
              <w:jc w:val="center"/>
              <w:cnfStyle w:val="000000100000" w:firstRow="0" w:lastRow="0" w:firstColumn="0" w:lastColumn="0" w:oddVBand="0" w:evenVBand="0" w:oddHBand="1" w:evenHBand="0" w:firstRowFirstColumn="0" w:firstRowLastColumn="0" w:lastRowFirstColumn="0" w:lastRowLastColumn="0"/>
            </w:pPr>
            <w:r w:rsidRPr="00A84CE4">
              <w:t>30</w:t>
            </w:r>
          </w:p>
        </w:tc>
        <w:tc>
          <w:tcPr>
            <w:tcW w:w="1219" w:type="dxa"/>
            <w:tcBorders>
              <w:top w:val="nil"/>
              <w:bottom w:val="nil"/>
            </w:tcBorders>
            <w:hideMark/>
          </w:tcPr>
          <w:p w14:paraId="29BF778A" w14:textId="77777777" w:rsidR="006D492C" w:rsidRPr="00A84CE4" w:rsidRDefault="006D492C" w:rsidP="006D492C">
            <w:pPr>
              <w:pStyle w:val="Corpsdetexte"/>
              <w:ind w:firstLine="0"/>
              <w:jc w:val="center"/>
              <w:cnfStyle w:val="000000100000" w:firstRow="0" w:lastRow="0" w:firstColumn="0" w:lastColumn="0" w:oddVBand="0" w:evenVBand="0" w:oddHBand="1" w:evenHBand="0" w:firstRowFirstColumn="0" w:firstRowLastColumn="0" w:lastRowFirstColumn="0" w:lastRowLastColumn="0"/>
            </w:pPr>
            <w:r w:rsidRPr="00A84CE4">
              <w:t>30</w:t>
            </w:r>
          </w:p>
        </w:tc>
        <w:tc>
          <w:tcPr>
            <w:tcW w:w="1219" w:type="dxa"/>
            <w:tcBorders>
              <w:top w:val="nil"/>
              <w:bottom w:val="nil"/>
            </w:tcBorders>
            <w:hideMark/>
          </w:tcPr>
          <w:p w14:paraId="3159BBC8" w14:textId="77777777" w:rsidR="006D492C" w:rsidRPr="00A84CE4" w:rsidRDefault="006D492C" w:rsidP="006D492C">
            <w:pPr>
              <w:pStyle w:val="Corpsdetexte"/>
              <w:ind w:firstLine="0"/>
              <w:jc w:val="center"/>
              <w:cnfStyle w:val="000000100000" w:firstRow="0" w:lastRow="0" w:firstColumn="0" w:lastColumn="0" w:oddVBand="0" w:evenVBand="0" w:oddHBand="1" w:evenHBand="0" w:firstRowFirstColumn="0" w:firstRowLastColumn="0" w:lastRowFirstColumn="0" w:lastRowLastColumn="0"/>
            </w:pPr>
            <w:r w:rsidRPr="00A84CE4">
              <w:t>30</w:t>
            </w:r>
          </w:p>
        </w:tc>
        <w:tc>
          <w:tcPr>
            <w:tcW w:w="1219" w:type="dxa"/>
            <w:tcBorders>
              <w:top w:val="nil"/>
              <w:bottom w:val="nil"/>
            </w:tcBorders>
            <w:hideMark/>
          </w:tcPr>
          <w:p w14:paraId="5A85A88B" w14:textId="77777777" w:rsidR="006D492C" w:rsidRPr="00A84CE4" w:rsidRDefault="006D492C" w:rsidP="006D492C">
            <w:pPr>
              <w:pStyle w:val="Corpsdetexte"/>
              <w:ind w:firstLine="0"/>
              <w:jc w:val="center"/>
              <w:cnfStyle w:val="000000100000" w:firstRow="0" w:lastRow="0" w:firstColumn="0" w:lastColumn="0" w:oddVBand="0" w:evenVBand="0" w:oddHBand="1" w:evenHBand="0" w:firstRowFirstColumn="0" w:firstRowLastColumn="0" w:lastRowFirstColumn="0" w:lastRowLastColumn="0"/>
            </w:pPr>
            <w:r w:rsidRPr="00A84CE4">
              <w:t>30</w:t>
            </w:r>
          </w:p>
        </w:tc>
      </w:tr>
      <w:tr w:rsidR="006D492C" w:rsidRPr="00A84CE4" w14:paraId="5E1D3D60" w14:textId="77777777" w:rsidTr="003C6A5B">
        <w:trPr>
          <w:trHeight w:val="281"/>
          <w:jc w:val="center"/>
        </w:trPr>
        <w:tc>
          <w:tcPr>
            <w:cnfStyle w:val="001000000000" w:firstRow="0" w:lastRow="0" w:firstColumn="1" w:lastColumn="0" w:oddVBand="0" w:evenVBand="0" w:oddHBand="0" w:evenHBand="0" w:firstRowFirstColumn="0" w:firstRowLastColumn="0" w:lastRowFirstColumn="0" w:lastRowLastColumn="0"/>
            <w:tcW w:w="4253" w:type="dxa"/>
            <w:tcBorders>
              <w:top w:val="nil"/>
              <w:bottom w:val="nil"/>
            </w:tcBorders>
            <w:hideMark/>
          </w:tcPr>
          <w:p w14:paraId="3F5DE78F" w14:textId="77777777" w:rsidR="006D492C" w:rsidRPr="00A84CE4" w:rsidRDefault="006D492C" w:rsidP="006D492C">
            <w:pPr>
              <w:pStyle w:val="Corpsdetexte"/>
              <w:ind w:firstLine="0"/>
              <w:rPr>
                <w:b w:val="0"/>
              </w:rPr>
            </w:pPr>
            <w:r w:rsidRPr="00A84CE4">
              <w:rPr>
                <w:b w:val="0"/>
              </w:rPr>
              <w:t xml:space="preserve">Inner fertile zone height [cm] </w:t>
            </w:r>
          </w:p>
        </w:tc>
        <w:tc>
          <w:tcPr>
            <w:tcW w:w="1219" w:type="dxa"/>
            <w:tcBorders>
              <w:top w:val="nil"/>
              <w:bottom w:val="nil"/>
            </w:tcBorders>
          </w:tcPr>
          <w:p w14:paraId="5F125F90" w14:textId="59B3834E" w:rsidR="006D492C" w:rsidRPr="00A84CE4" w:rsidRDefault="006D492C" w:rsidP="006D492C">
            <w:pPr>
              <w:pStyle w:val="Corpsdetexte"/>
              <w:ind w:firstLine="0"/>
              <w:jc w:val="center"/>
              <w:cnfStyle w:val="000000000000" w:firstRow="0" w:lastRow="0" w:firstColumn="0" w:lastColumn="0" w:oddVBand="0" w:evenVBand="0" w:oddHBand="0" w:evenHBand="0" w:firstRowFirstColumn="0" w:firstRowLastColumn="0" w:lastRowFirstColumn="0" w:lastRowLastColumn="0"/>
            </w:pPr>
            <w:r w:rsidRPr="00A84CE4">
              <w:t>20</w:t>
            </w:r>
          </w:p>
        </w:tc>
        <w:tc>
          <w:tcPr>
            <w:tcW w:w="1219" w:type="dxa"/>
            <w:tcBorders>
              <w:top w:val="nil"/>
              <w:bottom w:val="nil"/>
            </w:tcBorders>
            <w:hideMark/>
          </w:tcPr>
          <w:p w14:paraId="10893A82" w14:textId="295AFE1A" w:rsidR="006D492C" w:rsidRPr="00A84CE4" w:rsidRDefault="006D492C" w:rsidP="006D492C">
            <w:pPr>
              <w:pStyle w:val="Corpsdetexte"/>
              <w:ind w:firstLine="0"/>
              <w:jc w:val="center"/>
              <w:cnfStyle w:val="000000000000" w:firstRow="0" w:lastRow="0" w:firstColumn="0" w:lastColumn="0" w:oddVBand="0" w:evenVBand="0" w:oddHBand="0" w:evenHBand="0" w:firstRowFirstColumn="0" w:firstRowLastColumn="0" w:lastRowFirstColumn="0" w:lastRowLastColumn="0"/>
            </w:pPr>
            <w:r w:rsidRPr="00A84CE4">
              <w:t>20</w:t>
            </w:r>
          </w:p>
        </w:tc>
        <w:tc>
          <w:tcPr>
            <w:tcW w:w="1219" w:type="dxa"/>
            <w:tcBorders>
              <w:top w:val="nil"/>
              <w:bottom w:val="nil"/>
            </w:tcBorders>
            <w:hideMark/>
          </w:tcPr>
          <w:p w14:paraId="7B9653BB" w14:textId="77777777" w:rsidR="006D492C" w:rsidRPr="00A84CE4" w:rsidRDefault="006D492C" w:rsidP="006D492C">
            <w:pPr>
              <w:pStyle w:val="Corpsdetexte"/>
              <w:ind w:firstLine="0"/>
              <w:jc w:val="center"/>
              <w:cnfStyle w:val="000000000000" w:firstRow="0" w:lastRow="0" w:firstColumn="0" w:lastColumn="0" w:oddVBand="0" w:evenVBand="0" w:oddHBand="0" w:evenHBand="0" w:firstRowFirstColumn="0" w:firstRowLastColumn="0" w:lastRowFirstColumn="0" w:lastRowLastColumn="0"/>
            </w:pPr>
            <w:r w:rsidRPr="00A84CE4">
              <w:t>20</w:t>
            </w:r>
          </w:p>
        </w:tc>
        <w:tc>
          <w:tcPr>
            <w:tcW w:w="1219" w:type="dxa"/>
            <w:tcBorders>
              <w:top w:val="nil"/>
              <w:bottom w:val="nil"/>
            </w:tcBorders>
            <w:hideMark/>
          </w:tcPr>
          <w:p w14:paraId="51172A37" w14:textId="77777777" w:rsidR="006D492C" w:rsidRPr="00A84CE4" w:rsidRDefault="006D492C" w:rsidP="006D492C">
            <w:pPr>
              <w:pStyle w:val="Corpsdetexte"/>
              <w:ind w:firstLine="0"/>
              <w:jc w:val="center"/>
              <w:cnfStyle w:val="000000000000" w:firstRow="0" w:lastRow="0" w:firstColumn="0" w:lastColumn="0" w:oddVBand="0" w:evenVBand="0" w:oddHBand="0" w:evenHBand="0" w:firstRowFirstColumn="0" w:firstRowLastColumn="0" w:lastRowFirstColumn="0" w:lastRowLastColumn="0"/>
            </w:pPr>
            <w:r w:rsidRPr="00A84CE4">
              <w:t>20</w:t>
            </w:r>
          </w:p>
        </w:tc>
        <w:tc>
          <w:tcPr>
            <w:tcW w:w="1219" w:type="dxa"/>
            <w:tcBorders>
              <w:top w:val="nil"/>
              <w:bottom w:val="nil"/>
            </w:tcBorders>
            <w:hideMark/>
          </w:tcPr>
          <w:p w14:paraId="00BB4E6F" w14:textId="77777777" w:rsidR="006D492C" w:rsidRPr="00A84CE4" w:rsidRDefault="006D492C" w:rsidP="006D492C">
            <w:pPr>
              <w:pStyle w:val="Corpsdetexte"/>
              <w:ind w:firstLine="0"/>
              <w:jc w:val="center"/>
              <w:cnfStyle w:val="000000000000" w:firstRow="0" w:lastRow="0" w:firstColumn="0" w:lastColumn="0" w:oddVBand="0" w:evenVBand="0" w:oddHBand="0" w:evenHBand="0" w:firstRowFirstColumn="0" w:firstRowLastColumn="0" w:lastRowFirstColumn="0" w:lastRowLastColumn="0"/>
            </w:pPr>
            <w:r w:rsidRPr="00A84CE4">
              <w:t>20</w:t>
            </w:r>
          </w:p>
        </w:tc>
      </w:tr>
      <w:tr w:rsidR="006D492C" w:rsidRPr="00A84CE4" w14:paraId="23FCDE7D" w14:textId="77777777" w:rsidTr="003C6A5B">
        <w:trPr>
          <w:cnfStyle w:val="000000100000" w:firstRow="0" w:lastRow="0" w:firstColumn="0" w:lastColumn="0" w:oddVBand="0" w:evenVBand="0" w:oddHBand="1" w:evenHBand="0" w:firstRowFirstColumn="0" w:firstRowLastColumn="0" w:lastRowFirstColumn="0" w:lastRowLastColumn="0"/>
          <w:trHeight w:val="220"/>
          <w:jc w:val="center"/>
        </w:trPr>
        <w:tc>
          <w:tcPr>
            <w:cnfStyle w:val="001000000000" w:firstRow="0" w:lastRow="0" w:firstColumn="1" w:lastColumn="0" w:oddVBand="0" w:evenVBand="0" w:oddHBand="0" w:evenHBand="0" w:firstRowFirstColumn="0" w:firstRowLastColumn="0" w:lastRowFirstColumn="0" w:lastRowLastColumn="0"/>
            <w:tcW w:w="4253" w:type="dxa"/>
            <w:tcBorders>
              <w:top w:val="nil"/>
              <w:bottom w:val="nil"/>
            </w:tcBorders>
            <w:hideMark/>
          </w:tcPr>
          <w:p w14:paraId="22C87963" w14:textId="77777777" w:rsidR="006D492C" w:rsidRPr="00A84CE4" w:rsidRDefault="006D492C" w:rsidP="006D492C">
            <w:pPr>
              <w:pStyle w:val="Corpsdetexte"/>
              <w:ind w:firstLine="0"/>
              <w:rPr>
                <w:b w:val="0"/>
              </w:rPr>
            </w:pPr>
            <w:r w:rsidRPr="00A84CE4">
              <w:rPr>
                <w:b w:val="0"/>
              </w:rPr>
              <w:t>Number of pins per SA</w:t>
            </w:r>
          </w:p>
        </w:tc>
        <w:tc>
          <w:tcPr>
            <w:tcW w:w="1219" w:type="dxa"/>
            <w:tcBorders>
              <w:top w:val="nil"/>
              <w:bottom w:val="nil"/>
            </w:tcBorders>
          </w:tcPr>
          <w:p w14:paraId="2B949E87" w14:textId="56C11A95" w:rsidR="006D492C" w:rsidRPr="00A84CE4" w:rsidRDefault="006D492C" w:rsidP="006D492C">
            <w:pPr>
              <w:pStyle w:val="Corpsdetexte"/>
              <w:ind w:firstLine="0"/>
              <w:jc w:val="center"/>
              <w:cnfStyle w:val="000000100000" w:firstRow="0" w:lastRow="0" w:firstColumn="0" w:lastColumn="0" w:oddVBand="0" w:evenVBand="0" w:oddHBand="1" w:evenHBand="0" w:firstRowFirstColumn="0" w:firstRowLastColumn="0" w:lastRowFirstColumn="0" w:lastRowLastColumn="0"/>
            </w:pPr>
            <w:r w:rsidRPr="00A84CE4">
              <w:t>271</w:t>
            </w:r>
          </w:p>
        </w:tc>
        <w:tc>
          <w:tcPr>
            <w:tcW w:w="1219" w:type="dxa"/>
            <w:tcBorders>
              <w:top w:val="nil"/>
              <w:bottom w:val="nil"/>
            </w:tcBorders>
            <w:hideMark/>
          </w:tcPr>
          <w:p w14:paraId="7FE57D2A" w14:textId="115F7726" w:rsidR="006D492C" w:rsidRPr="00A84CE4" w:rsidRDefault="006D492C" w:rsidP="006D492C">
            <w:pPr>
              <w:pStyle w:val="Corpsdetexte"/>
              <w:ind w:firstLine="0"/>
              <w:jc w:val="center"/>
              <w:cnfStyle w:val="000000100000" w:firstRow="0" w:lastRow="0" w:firstColumn="0" w:lastColumn="0" w:oddVBand="0" w:evenVBand="0" w:oddHBand="1" w:evenHBand="0" w:firstRowFirstColumn="0" w:firstRowLastColumn="0" w:lastRowFirstColumn="0" w:lastRowLastColumn="0"/>
            </w:pPr>
            <w:r w:rsidRPr="00A84CE4">
              <w:t>271</w:t>
            </w:r>
          </w:p>
        </w:tc>
        <w:tc>
          <w:tcPr>
            <w:tcW w:w="1219" w:type="dxa"/>
            <w:tcBorders>
              <w:top w:val="nil"/>
              <w:bottom w:val="nil"/>
            </w:tcBorders>
            <w:hideMark/>
          </w:tcPr>
          <w:p w14:paraId="21FFA8EC" w14:textId="77777777" w:rsidR="006D492C" w:rsidRPr="00A84CE4" w:rsidRDefault="006D492C" w:rsidP="006D492C">
            <w:pPr>
              <w:pStyle w:val="Corpsdetexte"/>
              <w:ind w:firstLine="0"/>
              <w:jc w:val="center"/>
              <w:cnfStyle w:val="000000100000" w:firstRow="0" w:lastRow="0" w:firstColumn="0" w:lastColumn="0" w:oddVBand="0" w:evenVBand="0" w:oddHBand="1" w:evenHBand="0" w:firstRowFirstColumn="0" w:firstRowLastColumn="0" w:lastRowFirstColumn="0" w:lastRowLastColumn="0"/>
            </w:pPr>
            <w:r w:rsidRPr="00A84CE4">
              <w:t>271</w:t>
            </w:r>
          </w:p>
        </w:tc>
        <w:tc>
          <w:tcPr>
            <w:tcW w:w="1219" w:type="dxa"/>
            <w:tcBorders>
              <w:top w:val="nil"/>
              <w:bottom w:val="nil"/>
            </w:tcBorders>
            <w:hideMark/>
          </w:tcPr>
          <w:p w14:paraId="68003887" w14:textId="77777777" w:rsidR="006D492C" w:rsidRPr="00A84CE4" w:rsidRDefault="006D492C" w:rsidP="006D492C">
            <w:pPr>
              <w:pStyle w:val="Corpsdetexte"/>
              <w:ind w:firstLine="0"/>
              <w:jc w:val="center"/>
              <w:cnfStyle w:val="000000100000" w:firstRow="0" w:lastRow="0" w:firstColumn="0" w:lastColumn="0" w:oddVBand="0" w:evenVBand="0" w:oddHBand="1" w:evenHBand="0" w:firstRowFirstColumn="0" w:firstRowLastColumn="0" w:lastRowFirstColumn="0" w:lastRowLastColumn="0"/>
            </w:pPr>
            <w:r w:rsidRPr="00A84CE4">
              <w:t>271</w:t>
            </w:r>
          </w:p>
        </w:tc>
        <w:tc>
          <w:tcPr>
            <w:tcW w:w="1219" w:type="dxa"/>
            <w:tcBorders>
              <w:top w:val="nil"/>
              <w:bottom w:val="nil"/>
            </w:tcBorders>
            <w:hideMark/>
          </w:tcPr>
          <w:p w14:paraId="6B85883A" w14:textId="77777777" w:rsidR="006D492C" w:rsidRPr="00A84CE4" w:rsidRDefault="006D492C" w:rsidP="006D492C">
            <w:pPr>
              <w:pStyle w:val="Corpsdetexte"/>
              <w:ind w:firstLine="0"/>
              <w:jc w:val="center"/>
              <w:cnfStyle w:val="000000100000" w:firstRow="0" w:lastRow="0" w:firstColumn="0" w:lastColumn="0" w:oddVBand="0" w:evenVBand="0" w:oddHBand="1" w:evenHBand="0" w:firstRowFirstColumn="0" w:firstRowLastColumn="0" w:lastRowFirstColumn="0" w:lastRowLastColumn="0"/>
            </w:pPr>
            <w:r w:rsidRPr="00A84CE4">
              <w:t>271</w:t>
            </w:r>
          </w:p>
        </w:tc>
      </w:tr>
      <w:tr w:rsidR="006D492C" w:rsidRPr="00A84CE4" w14:paraId="76A7A5A0" w14:textId="77777777" w:rsidTr="003C6A5B">
        <w:trPr>
          <w:trHeight w:val="220"/>
          <w:jc w:val="center"/>
        </w:trPr>
        <w:tc>
          <w:tcPr>
            <w:cnfStyle w:val="001000000000" w:firstRow="0" w:lastRow="0" w:firstColumn="1" w:lastColumn="0" w:oddVBand="0" w:evenVBand="0" w:oddHBand="0" w:evenHBand="0" w:firstRowFirstColumn="0" w:firstRowLastColumn="0" w:lastRowFirstColumn="0" w:lastRowLastColumn="0"/>
            <w:tcW w:w="4253" w:type="dxa"/>
            <w:tcBorders>
              <w:top w:val="nil"/>
              <w:bottom w:val="nil"/>
            </w:tcBorders>
            <w:hideMark/>
          </w:tcPr>
          <w:p w14:paraId="36F025F8" w14:textId="77777777" w:rsidR="006D492C" w:rsidRPr="00A84CE4" w:rsidRDefault="006D492C" w:rsidP="006D492C">
            <w:pPr>
              <w:pStyle w:val="Corpsdetexte"/>
              <w:ind w:firstLine="0"/>
              <w:rPr>
                <w:b w:val="0"/>
              </w:rPr>
            </w:pPr>
            <w:r w:rsidRPr="00A84CE4">
              <w:rPr>
                <w:b w:val="0"/>
              </w:rPr>
              <w:t>Fissile core radius [cm]</w:t>
            </w:r>
          </w:p>
        </w:tc>
        <w:tc>
          <w:tcPr>
            <w:tcW w:w="1219" w:type="dxa"/>
            <w:tcBorders>
              <w:top w:val="nil"/>
              <w:bottom w:val="nil"/>
            </w:tcBorders>
          </w:tcPr>
          <w:p w14:paraId="30504F7C" w14:textId="49259866" w:rsidR="006D492C" w:rsidRPr="00A84CE4" w:rsidRDefault="006D492C" w:rsidP="006D492C">
            <w:pPr>
              <w:pStyle w:val="Corpsdetexte"/>
              <w:ind w:firstLine="0"/>
              <w:jc w:val="center"/>
              <w:cnfStyle w:val="000000000000" w:firstRow="0" w:lastRow="0" w:firstColumn="0" w:lastColumn="0" w:oddVBand="0" w:evenVBand="0" w:oddHBand="0" w:evenHBand="0" w:firstRowFirstColumn="0" w:firstRowLastColumn="0" w:lastRowFirstColumn="0" w:lastRowLastColumn="0"/>
            </w:pPr>
            <w:r w:rsidRPr="00A84CE4">
              <w:t>187</w:t>
            </w:r>
          </w:p>
        </w:tc>
        <w:tc>
          <w:tcPr>
            <w:tcW w:w="1219" w:type="dxa"/>
            <w:tcBorders>
              <w:top w:val="nil"/>
              <w:bottom w:val="nil"/>
            </w:tcBorders>
            <w:hideMark/>
          </w:tcPr>
          <w:p w14:paraId="35ED7CA7" w14:textId="12B945A9" w:rsidR="006D492C" w:rsidRPr="00A84CE4" w:rsidRDefault="006D492C" w:rsidP="006D492C">
            <w:pPr>
              <w:pStyle w:val="Corpsdetexte"/>
              <w:ind w:firstLine="0"/>
              <w:jc w:val="center"/>
              <w:cnfStyle w:val="000000000000" w:firstRow="0" w:lastRow="0" w:firstColumn="0" w:lastColumn="0" w:oddVBand="0" w:evenVBand="0" w:oddHBand="0" w:evenHBand="0" w:firstRowFirstColumn="0" w:firstRowLastColumn="0" w:lastRowFirstColumn="0" w:lastRowLastColumn="0"/>
            </w:pPr>
            <w:r w:rsidRPr="00A84CE4">
              <w:t>187</w:t>
            </w:r>
          </w:p>
        </w:tc>
        <w:tc>
          <w:tcPr>
            <w:tcW w:w="1219" w:type="dxa"/>
            <w:tcBorders>
              <w:top w:val="nil"/>
              <w:bottom w:val="nil"/>
            </w:tcBorders>
            <w:hideMark/>
          </w:tcPr>
          <w:p w14:paraId="72D3D92C" w14:textId="77777777" w:rsidR="006D492C" w:rsidRPr="00A84CE4" w:rsidRDefault="006D492C" w:rsidP="006D492C">
            <w:pPr>
              <w:pStyle w:val="Corpsdetexte"/>
              <w:ind w:firstLine="0"/>
              <w:jc w:val="center"/>
              <w:cnfStyle w:val="000000000000" w:firstRow="0" w:lastRow="0" w:firstColumn="0" w:lastColumn="0" w:oddVBand="0" w:evenVBand="0" w:oddHBand="0" w:evenHBand="0" w:firstRowFirstColumn="0" w:firstRowLastColumn="0" w:lastRowFirstColumn="0" w:lastRowLastColumn="0"/>
            </w:pPr>
            <w:r w:rsidRPr="00A84CE4">
              <w:t>189</w:t>
            </w:r>
          </w:p>
        </w:tc>
        <w:tc>
          <w:tcPr>
            <w:tcW w:w="1219" w:type="dxa"/>
            <w:tcBorders>
              <w:top w:val="nil"/>
              <w:bottom w:val="nil"/>
            </w:tcBorders>
            <w:hideMark/>
          </w:tcPr>
          <w:p w14:paraId="443F6A44" w14:textId="77777777" w:rsidR="006D492C" w:rsidRPr="00A84CE4" w:rsidRDefault="006D492C" w:rsidP="006D492C">
            <w:pPr>
              <w:pStyle w:val="Corpsdetexte"/>
              <w:ind w:firstLine="0"/>
              <w:jc w:val="center"/>
              <w:cnfStyle w:val="000000000000" w:firstRow="0" w:lastRow="0" w:firstColumn="0" w:lastColumn="0" w:oddVBand="0" w:evenVBand="0" w:oddHBand="0" w:evenHBand="0" w:firstRowFirstColumn="0" w:firstRowLastColumn="0" w:lastRowFirstColumn="0" w:lastRowLastColumn="0"/>
            </w:pPr>
            <w:r w:rsidRPr="00A84CE4">
              <w:t>190</w:t>
            </w:r>
          </w:p>
        </w:tc>
        <w:tc>
          <w:tcPr>
            <w:tcW w:w="1219" w:type="dxa"/>
            <w:tcBorders>
              <w:top w:val="nil"/>
              <w:bottom w:val="nil"/>
            </w:tcBorders>
            <w:hideMark/>
          </w:tcPr>
          <w:p w14:paraId="4FDC8127" w14:textId="77777777" w:rsidR="006D492C" w:rsidRPr="00A84CE4" w:rsidRDefault="006D492C" w:rsidP="006D492C">
            <w:pPr>
              <w:pStyle w:val="Corpsdetexte"/>
              <w:ind w:firstLine="0"/>
              <w:jc w:val="center"/>
              <w:cnfStyle w:val="000000000000" w:firstRow="0" w:lastRow="0" w:firstColumn="0" w:lastColumn="0" w:oddVBand="0" w:evenVBand="0" w:oddHBand="0" w:evenHBand="0" w:firstRowFirstColumn="0" w:firstRowLastColumn="0" w:lastRowFirstColumn="0" w:lastRowLastColumn="0"/>
            </w:pPr>
            <w:r w:rsidRPr="00A84CE4">
              <w:t>192</w:t>
            </w:r>
          </w:p>
        </w:tc>
      </w:tr>
      <w:tr w:rsidR="002C681F" w:rsidRPr="00A84CE4" w14:paraId="525B639B" w14:textId="77777777" w:rsidTr="003C6A5B">
        <w:trPr>
          <w:cnfStyle w:val="000000100000" w:firstRow="0" w:lastRow="0" w:firstColumn="0" w:lastColumn="0" w:oddVBand="0" w:evenVBand="0" w:oddHBand="1" w:evenHBand="0" w:firstRowFirstColumn="0" w:firstRowLastColumn="0" w:lastRowFirstColumn="0" w:lastRowLastColumn="0"/>
          <w:trHeight w:val="220"/>
          <w:jc w:val="center"/>
        </w:trPr>
        <w:tc>
          <w:tcPr>
            <w:cnfStyle w:val="001000000000" w:firstRow="0" w:lastRow="0" w:firstColumn="1" w:lastColumn="0" w:oddVBand="0" w:evenVBand="0" w:oddHBand="0" w:evenHBand="0" w:firstRowFirstColumn="0" w:firstRowLastColumn="0" w:lastRowFirstColumn="0" w:lastRowLastColumn="0"/>
            <w:tcW w:w="4253" w:type="dxa"/>
            <w:tcBorders>
              <w:top w:val="nil"/>
              <w:bottom w:val="nil"/>
            </w:tcBorders>
          </w:tcPr>
          <w:p w14:paraId="07CEAF5E" w14:textId="07DA3BA1" w:rsidR="002C681F" w:rsidRPr="00A84CE4" w:rsidRDefault="002C681F" w:rsidP="002C681F">
            <w:pPr>
              <w:pStyle w:val="Corpsdetexte"/>
              <w:ind w:firstLine="0"/>
              <w:rPr>
                <w:b w:val="0"/>
              </w:rPr>
            </w:pPr>
            <w:r w:rsidRPr="00A84CE4">
              <w:rPr>
                <w:b w:val="0"/>
              </w:rPr>
              <w:t>Power density [W/cm3]</w:t>
            </w:r>
          </w:p>
        </w:tc>
        <w:tc>
          <w:tcPr>
            <w:tcW w:w="1219" w:type="dxa"/>
            <w:tcBorders>
              <w:top w:val="nil"/>
              <w:bottom w:val="nil"/>
            </w:tcBorders>
          </w:tcPr>
          <w:p w14:paraId="1F2A5D00" w14:textId="1359EB16" w:rsidR="002C681F" w:rsidRPr="00A84CE4" w:rsidRDefault="002C681F" w:rsidP="002C681F">
            <w:pPr>
              <w:pStyle w:val="Corpsdetexte"/>
              <w:ind w:firstLine="0"/>
              <w:jc w:val="center"/>
              <w:cnfStyle w:val="000000100000" w:firstRow="0" w:lastRow="0" w:firstColumn="0" w:lastColumn="0" w:oddVBand="0" w:evenVBand="0" w:oddHBand="1" w:evenHBand="0" w:firstRowFirstColumn="0" w:firstRowLastColumn="0" w:lastRowFirstColumn="0" w:lastRowLastColumn="0"/>
            </w:pPr>
            <w:r w:rsidRPr="00A84CE4">
              <w:t>314</w:t>
            </w:r>
          </w:p>
        </w:tc>
        <w:tc>
          <w:tcPr>
            <w:tcW w:w="1219" w:type="dxa"/>
            <w:tcBorders>
              <w:top w:val="nil"/>
              <w:bottom w:val="nil"/>
            </w:tcBorders>
          </w:tcPr>
          <w:p w14:paraId="373E9727" w14:textId="04ECE4C5" w:rsidR="002C681F" w:rsidRPr="00A84CE4" w:rsidRDefault="002C681F" w:rsidP="002C681F">
            <w:pPr>
              <w:pStyle w:val="Corpsdetexte"/>
              <w:ind w:firstLine="0"/>
              <w:jc w:val="center"/>
              <w:cnfStyle w:val="000000100000" w:firstRow="0" w:lastRow="0" w:firstColumn="0" w:lastColumn="0" w:oddVBand="0" w:evenVBand="0" w:oddHBand="1" w:evenHBand="0" w:firstRowFirstColumn="0" w:firstRowLastColumn="0" w:lastRowFirstColumn="0" w:lastRowLastColumn="0"/>
            </w:pPr>
            <w:r w:rsidRPr="00A84CE4">
              <w:t>310</w:t>
            </w:r>
          </w:p>
        </w:tc>
        <w:tc>
          <w:tcPr>
            <w:tcW w:w="1219" w:type="dxa"/>
            <w:tcBorders>
              <w:top w:val="nil"/>
              <w:bottom w:val="nil"/>
            </w:tcBorders>
          </w:tcPr>
          <w:p w14:paraId="773977F3" w14:textId="0F111A9C" w:rsidR="002C681F" w:rsidRPr="00A84CE4" w:rsidRDefault="002C681F" w:rsidP="002C681F">
            <w:pPr>
              <w:pStyle w:val="Corpsdetexte"/>
              <w:ind w:firstLine="0"/>
              <w:jc w:val="center"/>
              <w:cnfStyle w:val="000000100000" w:firstRow="0" w:lastRow="0" w:firstColumn="0" w:lastColumn="0" w:oddVBand="0" w:evenVBand="0" w:oddHBand="1" w:evenHBand="0" w:firstRowFirstColumn="0" w:firstRowLastColumn="0" w:lastRowFirstColumn="0" w:lastRowLastColumn="0"/>
            </w:pPr>
            <w:r w:rsidRPr="00A84CE4">
              <w:t>304</w:t>
            </w:r>
          </w:p>
        </w:tc>
        <w:tc>
          <w:tcPr>
            <w:tcW w:w="1219" w:type="dxa"/>
            <w:tcBorders>
              <w:top w:val="nil"/>
              <w:bottom w:val="nil"/>
            </w:tcBorders>
          </w:tcPr>
          <w:p w14:paraId="72BB9BBC" w14:textId="1E367943" w:rsidR="002C681F" w:rsidRPr="00A84CE4" w:rsidRDefault="002C681F" w:rsidP="002C681F">
            <w:pPr>
              <w:pStyle w:val="Corpsdetexte"/>
              <w:ind w:firstLine="0"/>
              <w:jc w:val="center"/>
              <w:cnfStyle w:val="000000100000" w:firstRow="0" w:lastRow="0" w:firstColumn="0" w:lastColumn="0" w:oddVBand="0" w:evenVBand="0" w:oddHBand="1" w:evenHBand="0" w:firstRowFirstColumn="0" w:firstRowLastColumn="0" w:lastRowFirstColumn="0" w:lastRowLastColumn="0"/>
            </w:pPr>
            <w:r w:rsidRPr="00A84CE4">
              <w:t>304</w:t>
            </w:r>
          </w:p>
        </w:tc>
        <w:tc>
          <w:tcPr>
            <w:tcW w:w="1219" w:type="dxa"/>
            <w:tcBorders>
              <w:top w:val="nil"/>
              <w:bottom w:val="nil"/>
            </w:tcBorders>
          </w:tcPr>
          <w:p w14:paraId="2252823F" w14:textId="2AD6C7B9" w:rsidR="002C681F" w:rsidRPr="00A84CE4" w:rsidRDefault="002C681F" w:rsidP="002C681F">
            <w:pPr>
              <w:pStyle w:val="Corpsdetexte"/>
              <w:ind w:firstLine="0"/>
              <w:jc w:val="center"/>
              <w:cnfStyle w:val="000000100000" w:firstRow="0" w:lastRow="0" w:firstColumn="0" w:lastColumn="0" w:oddVBand="0" w:evenVBand="0" w:oddHBand="1" w:evenHBand="0" w:firstRowFirstColumn="0" w:firstRowLastColumn="0" w:lastRowFirstColumn="0" w:lastRowLastColumn="0"/>
            </w:pPr>
            <w:r w:rsidRPr="00A84CE4">
              <w:t>298</w:t>
            </w:r>
          </w:p>
        </w:tc>
      </w:tr>
      <w:tr w:rsidR="006D492C" w:rsidRPr="00A84CE4" w14:paraId="4191B4C4" w14:textId="77777777" w:rsidTr="003C6A5B">
        <w:trPr>
          <w:trHeight w:val="220"/>
          <w:jc w:val="center"/>
        </w:trPr>
        <w:tc>
          <w:tcPr>
            <w:cnfStyle w:val="001000000000" w:firstRow="0" w:lastRow="0" w:firstColumn="1" w:lastColumn="0" w:oddVBand="0" w:evenVBand="0" w:oddHBand="0" w:evenHBand="0" w:firstRowFirstColumn="0" w:firstRowLastColumn="0" w:lastRowFirstColumn="0" w:lastRowLastColumn="0"/>
            <w:tcW w:w="4253" w:type="dxa"/>
            <w:tcBorders>
              <w:top w:val="nil"/>
              <w:bottom w:val="nil"/>
            </w:tcBorders>
            <w:hideMark/>
          </w:tcPr>
          <w:p w14:paraId="1889F37F" w14:textId="77777777" w:rsidR="006D492C" w:rsidRPr="00A84CE4" w:rsidRDefault="006D492C" w:rsidP="006D492C">
            <w:pPr>
              <w:pStyle w:val="Corpsdetexte"/>
              <w:ind w:firstLine="0"/>
              <w:rPr>
                <w:b w:val="0"/>
              </w:rPr>
            </w:pPr>
            <w:r w:rsidRPr="00A84CE4">
              <w:rPr>
                <w:b w:val="0"/>
              </w:rPr>
              <w:t>Margin to fuel melting in nominal conditions [°C]</w:t>
            </w:r>
          </w:p>
        </w:tc>
        <w:tc>
          <w:tcPr>
            <w:tcW w:w="1219" w:type="dxa"/>
            <w:tcBorders>
              <w:top w:val="nil"/>
              <w:bottom w:val="nil"/>
            </w:tcBorders>
          </w:tcPr>
          <w:p w14:paraId="46B6FC85" w14:textId="42546BD4" w:rsidR="006D492C" w:rsidRPr="00A84CE4" w:rsidRDefault="006D492C" w:rsidP="006D492C">
            <w:pPr>
              <w:pStyle w:val="Corpsdetexte"/>
              <w:ind w:firstLine="0"/>
              <w:jc w:val="center"/>
              <w:cnfStyle w:val="000000000000" w:firstRow="0" w:lastRow="0" w:firstColumn="0" w:lastColumn="0" w:oddVBand="0" w:evenVBand="0" w:oddHBand="0" w:evenHBand="0" w:firstRowFirstColumn="0" w:firstRowLastColumn="0" w:lastRowFirstColumn="0" w:lastRowLastColumn="0"/>
            </w:pPr>
            <w:r w:rsidRPr="00A84CE4">
              <w:t>433</w:t>
            </w:r>
          </w:p>
        </w:tc>
        <w:tc>
          <w:tcPr>
            <w:tcW w:w="1219" w:type="dxa"/>
            <w:tcBorders>
              <w:top w:val="nil"/>
              <w:bottom w:val="nil"/>
            </w:tcBorders>
            <w:hideMark/>
          </w:tcPr>
          <w:p w14:paraId="7F4F1916" w14:textId="142ACD99" w:rsidR="006D492C" w:rsidRPr="00A84CE4" w:rsidRDefault="006D492C" w:rsidP="006D492C">
            <w:pPr>
              <w:pStyle w:val="Corpsdetexte"/>
              <w:ind w:firstLine="0"/>
              <w:jc w:val="center"/>
              <w:cnfStyle w:val="000000000000" w:firstRow="0" w:lastRow="0" w:firstColumn="0" w:lastColumn="0" w:oddVBand="0" w:evenVBand="0" w:oddHBand="0" w:evenHBand="0" w:firstRowFirstColumn="0" w:firstRowLastColumn="0" w:lastRowFirstColumn="0" w:lastRowLastColumn="0"/>
            </w:pPr>
            <w:r w:rsidRPr="00A84CE4">
              <w:t>418</w:t>
            </w:r>
          </w:p>
        </w:tc>
        <w:tc>
          <w:tcPr>
            <w:tcW w:w="1219" w:type="dxa"/>
            <w:tcBorders>
              <w:top w:val="nil"/>
              <w:bottom w:val="nil"/>
            </w:tcBorders>
            <w:hideMark/>
          </w:tcPr>
          <w:p w14:paraId="18826BE9" w14:textId="77777777" w:rsidR="006D492C" w:rsidRPr="00A84CE4" w:rsidRDefault="006D492C" w:rsidP="006D492C">
            <w:pPr>
              <w:pStyle w:val="Corpsdetexte"/>
              <w:ind w:firstLine="0"/>
              <w:jc w:val="center"/>
              <w:cnfStyle w:val="000000000000" w:firstRow="0" w:lastRow="0" w:firstColumn="0" w:lastColumn="0" w:oddVBand="0" w:evenVBand="0" w:oddHBand="0" w:evenHBand="0" w:firstRowFirstColumn="0" w:firstRowLastColumn="0" w:lastRowFirstColumn="0" w:lastRowLastColumn="0"/>
            </w:pPr>
            <w:r w:rsidRPr="00A84CE4">
              <w:t>434</w:t>
            </w:r>
          </w:p>
        </w:tc>
        <w:tc>
          <w:tcPr>
            <w:tcW w:w="1219" w:type="dxa"/>
            <w:tcBorders>
              <w:top w:val="nil"/>
              <w:bottom w:val="nil"/>
            </w:tcBorders>
            <w:hideMark/>
          </w:tcPr>
          <w:p w14:paraId="5E729A7E" w14:textId="77777777" w:rsidR="006D492C" w:rsidRPr="00A84CE4" w:rsidRDefault="006D492C" w:rsidP="006D492C">
            <w:pPr>
              <w:pStyle w:val="Corpsdetexte"/>
              <w:ind w:firstLine="0"/>
              <w:jc w:val="center"/>
              <w:cnfStyle w:val="000000000000" w:firstRow="0" w:lastRow="0" w:firstColumn="0" w:lastColumn="0" w:oddVBand="0" w:evenVBand="0" w:oddHBand="0" w:evenHBand="0" w:firstRowFirstColumn="0" w:firstRowLastColumn="0" w:lastRowFirstColumn="0" w:lastRowLastColumn="0"/>
            </w:pPr>
            <w:r w:rsidRPr="00A84CE4">
              <w:t>392</w:t>
            </w:r>
          </w:p>
        </w:tc>
        <w:tc>
          <w:tcPr>
            <w:tcW w:w="1219" w:type="dxa"/>
            <w:tcBorders>
              <w:top w:val="nil"/>
              <w:bottom w:val="nil"/>
            </w:tcBorders>
            <w:hideMark/>
          </w:tcPr>
          <w:p w14:paraId="6D9DAD3C" w14:textId="77777777" w:rsidR="006D492C" w:rsidRPr="00A84CE4" w:rsidRDefault="006D492C" w:rsidP="006D492C">
            <w:pPr>
              <w:pStyle w:val="Corpsdetexte"/>
              <w:ind w:firstLine="0"/>
              <w:jc w:val="center"/>
              <w:cnfStyle w:val="000000000000" w:firstRow="0" w:lastRow="0" w:firstColumn="0" w:lastColumn="0" w:oddVBand="0" w:evenVBand="0" w:oddHBand="0" w:evenHBand="0" w:firstRowFirstColumn="0" w:firstRowLastColumn="0" w:lastRowFirstColumn="0" w:lastRowLastColumn="0"/>
            </w:pPr>
            <w:r w:rsidRPr="00A84CE4">
              <w:t>408</w:t>
            </w:r>
          </w:p>
        </w:tc>
      </w:tr>
      <w:tr w:rsidR="006D492C" w:rsidRPr="00A84CE4" w14:paraId="0B7500E3" w14:textId="77777777" w:rsidTr="003C6A5B">
        <w:trPr>
          <w:cnfStyle w:val="000000100000" w:firstRow="0" w:lastRow="0" w:firstColumn="0" w:lastColumn="0" w:oddVBand="0" w:evenVBand="0" w:oddHBand="1" w:evenHBand="0" w:firstRowFirstColumn="0" w:firstRowLastColumn="0" w:lastRowFirstColumn="0" w:lastRowLastColumn="0"/>
          <w:trHeight w:val="220"/>
          <w:jc w:val="center"/>
        </w:trPr>
        <w:tc>
          <w:tcPr>
            <w:cnfStyle w:val="001000000000" w:firstRow="0" w:lastRow="0" w:firstColumn="1" w:lastColumn="0" w:oddVBand="0" w:evenVBand="0" w:oddHBand="0" w:evenHBand="0" w:firstRowFirstColumn="0" w:firstRowLastColumn="0" w:lastRowFirstColumn="0" w:lastRowLastColumn="0"/>
            <w:tcW w:w="4253" w:type="dxa"/>
            <w:tcBorders>
              <w:top w:val="nil"/>
              <w:bottom w:val="nil"/>
            </w:tcBorders>
            <w:hideMark/>
          </w:tcPr>
          <w:p w14:paraId="0DD09687" w14:textId="77777777" w:rsidR="006D492C" w:rsidRPr="00A84CE4" w:rsidRDefault="006D492C" w:rsidP="006D492C">
            <w:pPr>
              <w:pStyle w:val="Corpsdetexte"/>
              <w:ind w:firstLine="0"/>
              <w:rPr>
                <w:b w:val="0"/>
              </w:rPr>
            </w:pPr>
            <w:r w:rsidRPr="00A84CE4">
              <w:rPr>
                <w:b w:val="0"/>
              </w:rPr>
              <w:t>Margin to fuel melting in UCWR [W/cm]</w:t>
            </w:r>
          </w:p>
        </w:tc>
        <w:tc>
          <w:tcPr>
            <w:tcW w:w="1219" w:type="dxa"/>
            <w:tcBorders>
              <w:top w:val="nil"/>
              <w:bottom w:val="nil"/>
            </w:tcBorders>
          </w:tcPr>
          <w:p w14:paraId="7779FC25" w14:textId="3BB977A3" w:rsidR="006D492C" w:rsidRPr="00A84CE4" w:rsidRDefault="006D492C" w:rsidP="006D492C">
            <w:pPr>
              <w:pStyle w:val="Corpsdetexte"/>
              <w:ind w:firstLine="0"/>
              <w:jc w:val="center"/>
              <w:cnfStyle w:val="000000100000" w:firstRow="0" w:lastRow="0" w:firstColumn="0" w:lastColumn="0" w:oddVBand="0" w:evenVBand="0" w:oddHBand="1" w:evenHBand="0" w:firstRowFirstColumn="0" w:firstRowLastColumn="0" w:lastRowFirstColumn="0" w:lastRowLastColumn="0"/>
            </w:pPr>
            <w:r w:rsidRPr="00A84CE4">
              <w:t>29</w:t>
            </w:r>
          </w:p>
        </w:tc>
        <w:tc>
          <w:tcPr>
            <w:tcW w:w="1219" w:type="dxa"/>
            <w:tcBorders>
              <w:top w:val="nil"/>
              <w:bottom w:val="nil"/>
            </w:tcBorders>
            <w:hideMark/>
          </w:tcPr>
          <w:p w14:paraId="162B6BEC" w14:textId="265B5AC6" w:rsidR="006D492C" w:rsidRPr="00A84CE4" w:rsidRDefault="006D492C" w:rsidP="006D492C">
            <w:pPr>
              <w:pStyle w:val="Corpsdetexte"/>
              <w:ind w:firstLine="0"/>
              <w:jc w:val="center"/>
              <w:cnfStyle w:val="000000100000" w:firstRow="0" w:lastRow="0" w:firstColumn="0" w:lastColumn="0" w:oddVBand="0" w:evenVBand="0" w:oddHBand="1" w:evenHBand="0" w:firstRowFirstColumn="0" w:firstRowLastColumn="0" w:lastRowFirstColumn="0" w:lastRowLastColumn="0"/>
            </w:pPr>
            <w:r w:rsidRPr="00A84CE4">
              <w:t>20</w:t>
            </w:r>
          </w:p>
        </w:tc>
        <w:tc>
          <w:tcPr>
            <w:tcW w:w="1219" w:type="dxa"/>
            <w:tcBorders>
              <w:top w:val="nil"/>
              <w:bottom w:val="nil"/>
            </w:tcBorders>
            <w:hideMark/>
          </w:tcPr>
          <w:p w14:paraId="1AD7FD07" w14:textId="77777777" w:rsidR="006D492C" w:rsidRPr="00A84CE4" w:rsidRDefault="006D492C" w:rsidP="006D492C">
            <w:pPr>
              <w:pStyle w:val="Corpsdetexte"/>
              <w:ind w:firstLine="0"/>
              <w:jc w:val="center"/>
              <w:cnfStyle w:val="000000100000" w:firstRow="0" w:lastRow="0" w:firstColumn="0" w:lastColumn="0" w:oddVBand="0" w:evenVBand="0" w:oddHBand="1" w:evenHBand="0" w:firstRowFirstColumn="0" w:firstRowLastColumn="0" w:lastRowFirstColumn="0" w:lastRowLastColumn="0"/>
            </w:pPr>
            <w:r w:rsidRPr="00A84CE4">
              <w:t>21</w:t>
            </w:r>
          </w:p>
        </w:tc>
        <w:tc>
          <w:tcPr>
            <w:tcW w:w="1219" w:type="dxa"/>
            <w:tcBorders>
              <w:top w:val="nil"/>
              <w:bottom w:val="nil"/>
            </w:tcBorders>
            <w:hideMark/>
          </w:tcPr>
          <w:p w14:paraId="6B12A32C" w14:textId="77777777" w:rsidR="006D492C" w:rsidRPr="00A84CE4" w:rsidRDefault="006D492C" w:rsidP="006D492C">
            <w:pPr>
              <w:pStyle w:val="Corpsdetexte"/>
              <w:ind w:firstLine="0"/>
              <w:jc w:val="center"/>
              <w:cnfStyle w:val="000000100000" w:firstRow="0" w:lastRow="0" w:firstColumn="0" w:lastColumn="0" w:oddVBand="0" w:evenVBand="0" w:oddHBand="1" w:evenHBand="0" w:firstRowFirstColumn="0" w:firstRowLastColumn="0" w:lastRowFirstColumn="0" w:lastRowLastColumn="0"/>
            </w:pPr>
            <w:r w:rsidRPr="00A84CE4">
              <w:t>20</w:t>
            </w:r>
          </w:p>
        </w:tc>
        <w:tc>
          <w:tcPr>
            <w:tcW w:w="1219" w:type="dxa"/>
            <w:tcBorders>
              <w:top w:val="nil"/>
              <w:bottom w:val="nil"/>
            </w:tcBorders>
            <w:hideMark/>
          </w:tcPr>
          <w:p w14:paraId="450AC093" w14:textId="77777777" w:rsidR="006D492C" w:rsidRPr="00A84CE4" w:rsidRDefault="006D492C" w:rsidP="006D492C">
            <w:pPr>
              <w:pStyle w:val="Corpsdetexte"/>
              <w:ind w:firstLine="0"/>
              <w:jc w:val="center"/>
              <w:cnfStyle w:val="000000100000" w:firstRow="0" w:lastRow="0" w:firstColumn="0" w:lastColumn="0" w:oddVBand="0" w:evenVBand="0" w:oddHBand="1" w:evenHBand="0" w:firstRowFirstColumn="0" w:firstRowLastColumn="0" w:lastRowFirstColumn="0" w:lastRowLastColumn="0"/>
            </w:pPr>
            <w:r w:rsidRPr="00A84CE4">
              <w:t>20</w:t>
            </w:r>
          </w:p>
        </w:tc>
      </w:tr>
      <w:tr w:rsidR="006D492C" w:rsidRPr="00A84CE4" w14:paraId="7A0D3E68" w14:textId="77777777" w:rsidTr="003C6A5B">
        <w:trPr>
          <w:trHeight w:val="220"/>
          <w:jc w:val="center"/>
        </w:trPr>
        <w:tc>
          <w:tcPr>
            <w:cnfStyle w:val="001000000000" w:firstRow="0" w:lastRow="0" w:firstColumn="1" w:lastColumn="0" w:oddVBand="0" w:evenVBand="0" w:oddHBand="0" w:evenHBand="0" w:firstRowFirstColumn="0" w:firstRowLastColumn="0" w:lastRowFirstColumn="0" w:lastRowLastColumn="0"/>
            <w:tcW w:w="4253" w:type="dxa"/>
            <w:tcBorders>
              <w:top w:val="nil"/>
              <w:bottom w:val="single" w:sz="4" w:space="0" w:color="auto"/>
            </w:tcBorders>
            <w:hideMark/>
          </w:tcPr>
          <w:p w14:paraId="22AFB000" w14:textId="77777777" w:rsidR="006D492C" w:rsidRPr="00A84CE4" w:rsidRDefault="006D492C" w:rsidP="006D492C">
            <w:pPr>
              <w:pStyle w:val="Corpsdetexte"/>
              <w:ind w:firstLine="0"/>
              <w:rPr>
                <w:b w:val="0"/>
              </w:rPr>
            </w:pPr>
            <w:r w:rsidRPr="00A84CE4">
              <w:rPr>
                <w:b w:val="0"/>
              </w:rPr>
              <w:t>Asymptotic temperature in ULOSSP [°C]</w:t>
            </w:r>
          </w:p>
        </w:tc>
        <w:tc>
          <w:tcPr>
            <w:tcW w:w="1219" w:type="dxa"/>
            <w:tcBorders>
              <w:top w:val="nil"/>
              <w:bottom w:val="single" w:sz="4" w:space="0" w:color="auto"/>
            </w:tcBorders>
          </w:tcPr>
          <w:p w14:paraId="1362662D" w14:textId="552F76F7" w:rsidR="006D492C" w:rsidRPr="00A84CE4" w:rsidRDefault="006D492C" w:rsidP="006D492C">
            <w:pPr>
              <w:pStyle w:val="Corpsdetexte"/>
              <w:ind w:firstLine="0"/>
              <w:jc w:val="center"/>
              <w:cnfStyle w:val="000000000000" w:firstRow="0" w:lastRow="0" w:firstColumn="0" w:lastColumn="0" w:oddVBand="0" w:evenVBand="0" w:oddHBand="0" w:evenHBand="0" w:firstRowFirstColumn="0" w:firstRowLastColumn="0" w:lastRowFirstColumn="0" w:lastRowLastColumn="0"/>
              <w:rPr>
                <w:bCs/>
              </w:rPr>
            </w:pPr>
            <w:r w:rsidRPr="00A84CE4">
              <w:rPr>
                <w:bCs/>
              </w:rPr>
              <w:t>1007</w:t>
            </w:r>
          </w:p>
        </w:tc>
        <w:tc>
          <w:tcPr>
            <w:tcW w:w="1219" w:type="dxa"/>
            <w:tcBorders>
              <w:top w:val="nil"/>
              <w:bottom w:val="single" w:sz="4" w:space="0" w:color="auto"/>
            </w:tcBorders>
            <w:hideMark/>
          </w:tcPr>
          <w:p w14:paraId="48FFB7EE" w14:textId="7B7E3527" w:rsidR="006D492C" w:rsidRPr="00A84CE4" w:rsidRDefault="006D492C" w:rsidP="006D492C">
            <w:pPr>
              <w:pStyle w:val="Corpsdetexte"/>
              <w:ind w:firstLine="0"/>
              <w:jc w:val="center"/>
              <w:cnfStyle w:val="000000000000" w:firstRow="0" w:lastRow="0" w:firstColumn="0" w:lastColumn="0" w:oddVBand="0" w:evenVBand="0" w:oddHBand="0" w:evenHBand="0" w:firstRowFirstColumn="0" w:firstRowLastColumn="0" w:lastRowFirstColumn="0" w:lastRowLastColumn="0"/>
            </w:pPr>
            <w:r w:rsidRPr="00A84CE4">
              <w:rPr>
                <w:bCs/>
              </w:rPr>
              <w:t>1006</w:t>
            </w:r>
          </w:p>
        </w:tc>
        <w:tc>
          <w:tcPr>
            <w:tcW w:w="1219" w:type="dxa"/>
            <w:tcBorders>
              <w:top w:val="nil"/>
              <w:bottom w:val="single" w:sz="4" w:space="0" w:color="auto"/>
            </w:tcBorders>
            <w:hideMark/>
          </w:tcPr>
          <w:p w14:paraId="15400DB0" w14:textId="77777777" w:rsidR="006D492C" w:rsidRPr="00A84CE4" w:rsidRDefault="006D492C" w:rsidP="006D492C">
            <w:pPr>
              <w:pStyle w:val="Corpsdetexte"/>
              <w:ind w:firstLine="0"/>
              <w:jc w:val="center"/>
              <w:cnfStyle w:val="000000000000" w:firstRow="0" w:lastRow="0" w:firstColumn="0" w:lastColumn="0" w:oddVBand="0" w:evenVBand="0" w:oddHBand="0" w:evenHBand="0" w:firstRowFirstColumn="0" w:firstRowLastColumn="0" w:lastRowFirstColumn="0" w:lastRowLastColumn="0"/>
            </w:pPr>
            <w:r w:rsidRPr="00A84CE4">
              <w:rPr>
                <w:bCs/>
              </w:rPr>
              <w:t>1005</w:t>
            </w:r>
          </w:p>
        </w:tc>
        <w:tc>
          <w:tcPr>
            <w:tcW w:w="1219" w:type="dxa"/>
            <w:tcBorders>
              <w:top w:val="nil"/>
              <w:bottom w:val="single" w:sz="4" w:space="0" w:color="auto"/>
            </w:tcBorders>
            <w:hideMark/>
          </w:tcPr>
          <w:p w14:paraId="5559E5D0" w14:textId="07B6C960" w:rsidR="006D492C" w:rsidRPr="00A84CE4" w:rsidRDefault="006D492C" w:rsidP="006D492C">
            <w:pPr>
              <w:pStyle w:val="Corpsdetexte"/>
              <w:ind w:firstLine="0"/>
              <w:jc w:val="center"/>
              <w:cnfStyle w:val="000000000000" w:firstRow="0" w:lastRow="0" w:firstColumn="0" w:lastColumn="0" w:oddVBand="0" w:evenVBand="0" w:oddHBand="0" w:evenHBand="0" w:firstRowFirstColumn="0" w:firstRowLastColumn="0" w:lastRowFirstColumn="0" w:lastRowLastColumn="0"/>
            </w:pPr>
            <w:r w:rsidRPr="00A84CE4">
              <w:rPr>
                <w:bCs/>
              </w:rPr>
              <w:t>1003</w:t>
            </w:r>
          </w:p>
        </w:tc>
        <w:tc>
          <w:tcPr>
            <w:tcW w:w="1219" w:type="dxa"/>
            <w:tcBorders>
              <w:top w:val="nil"/>
              <w:bottom w:val="single" w:sz="4" w:space="0" w:color="auto"/>
            </w:tcBorders>
            <w:hideMark/>
          </w:tcPr>
          <w:p w14:paraId="74D24456" w14:textId="0A5817AF" w:rsidR="006D492C" w:rsidRPr="00A84CE4" w:rsidRDefault="006D492C" w:rsidP="006D492C">
            <w:pPr>
              <w:pStyle w:val="Corpsdetexte"/>
              <w:ind w:firstLine="0"/>
              <w:jc w:val="center"/>
              <w:cnfStyle w:val="000000000000" w:firstRow="0" w:lastRow="0" w:firstColumn="0" w:lastColumn="0" w:oddVBand="0" w:evenVBand="0" w:oddHBand="0" w:evenHBand="0" w:firstRowFirstColumn="0" w:firstRowLastColumn="0" w:lastRowFirstColumn="0" w:lastRowLastColumn="0"/>
            </w:pPr>
            <w:r w:rsidRPr="00A84CE4">
              <w:rPr>
                <w:bCs/>
              </w:rPr>
              <w:t>1002</w:t>
            </w:r>
          </w:p>
        </w:tc>
      </w:tr>
    </w:tbl>
    <w:p w14:paraId="75D393F4" w14:textId="6828AA6F" w:rsidR="00520975" w:rsidRPr="00A84CE4" w:rsidRDefault="00093FA0" w:rsidP="00E378C6">
      <w:pPr>
        <w:pStyle w:val="Titre4"/>
      </w:pPr>
      <w:r>
        <w:t xml:space="preserve">Selection of an optimised </w:t>
      </w:r>
      <w:r w:rsidR="00520975" w:rsidRPr="00A84CE4">
        <w:t>13 SA rings</w:t>
      </w:r>
      <w:r w:rsidR="009D3334" w:rsidRPr="00A84CE4">
        <w:t xml:space="preserve"> cores</w:t>
      </w:r>
      <w:r>
        <w:t xml:space="preserve"> at 1100 MWe</w:t>
      </w:r>
    </w:p>
    <w:p w14:paraId="5230952A" w14:textId="5559F979" w:rsidR="00652FC2" w:rsidRPr="00A84CE4" w:rsidRDefault="00652FC2" w:rsidP="00652FC2">
      <w:pPr>
        <w:pStyle w:val="Corpsdetexte"/>
      </w:pPr>
      <w:r w:rsidRPr="00A84CE4">
        <w:t xml:space="preserve">The results of the 13 SA ring core selected in </w:t>
      </w:r>
      <w:r w:rsidRPr="00A84CE4">
        <w:fldChar w:fldCharType="begin"/>
      </w:r>
      <w:r w:rsidRPr="00A84CE4">
        <w:instrText xml:space="preserve"> REF _Ref68811326 \r \h </w:instrText>
      </w:r>
      <w:r w:rsidRPr="00A84CE4">
        <w:fldChar w:fldCharType="separate"/>
      </w:r>
      <w:r w:rsidR="00466114">
        <w:t>[1]</w:t>
      </w:r>
      <w:r w:rsidRPr="00A84CE4">
        <w:fldChar w:fldCharType="end"/>
      </w:r>
      <w:r w:rsidRPr="00A84CE4">
        <w:t xml:space="preserve"> at 1000 MWe and re-evaluated at 1100 MWe with the parametric computation scheme are given in </w:t>
      </w:r>
      <w:r w:rsidR="00AA08FF">
        <w:fldChar w:fldCharType="begin"/>
      </w:r>
      <w:r w:rsidR="00AA08FF">
        <w:instrText xml:space="preserve"> REF _Ref86418384 \h </w:instrText>
      </w:r>
      <w:r w:rsidR="00AA08FF">
        <w:fldChar w:fldCharType="separate"/>
      </w:r>
      <w:r w:rsidR="00466114">
        <w:t xml:space="preserve">TABLE </w:t>
      </w:r>
      <w:r w:rsidR="00466114">
        <w:rPr>
          <w:noProof/>
        </w:rPr>
        <w:t>6</w:t>
      </w:r>
      <w:r w:rsidR="00AA08FF">
        <w:fldChar w:fldCharType="end"/>
      </w:r>
      <w:r w:rsidRPr="00A84CE4">
        <w:t xml:space="preserve"> </w:t>
      </w:r>
      <w:r w:rsidR="002E3BA2">
        <w:t>in</w:t>
      </w:r>
      <w:r w:rsidR="002E3BA2" w:rsidRPr="00A84CE4">
        <w:t xml:space="preserve"> </w:t>
      </w:r>
      <w:r w:rsidRPr="00A84CE4">
        <w:t xml:space="preserve">column </w:t>
      </w:r>
      <w:r w:rsidR="002E3BA2">
        <w:t>“</w:t>
      </w:r>
      <w:r w:rsidRPr="00A84CE4">
        <w:t>13-Ref</w:t>
      </w:r>
      <w:r w:rsidR="002E3BA2">
        <w:t>”</w:t>
      </w:r>
      <w:r w:rsidRPr="00A84CE4">
        <w:t xml:space="preserve">. </w:t>
      </w:r>
      <w:r w:rsidR="001F5B7D" w:rsidRPr="00A84CE4">
        <w:t>As already mentioned, the core appears to have a negative margin to fuel melting in case of UCWR</w:t>
      </w:r>
      <w:r w:rsidR="00BF12D6">
        <w:t>.</w:t>
      </w:r>
    </w:p>
    <w:p w14:paraId="669004B9" w14:textId="7E928A9C" w:rsidR="003C0180" w:rsidRPr="00A84CE4" w:rsidRDefault="00652FC2" w:rsidP="003C0180">
      <w:pPr>
        <w:pStyle w:val="Corpsdetexte"/>
      </w:pPr>
      <w:r w:rsidRPr="00A84CE4">
        <w:t xml:space="preserve">The column </w:t>
      </w:r>
      <w:r w:rsidR="00BF12D6">
        <w:t>“</w:t>
      </w:r>
      <w:r w:rsidRPr="00A84CE4">
        <w:t>13-C</w:t>
      </w:r>
      <w:r w:rsidR="003C0180" w:rsidRPr="00A84CE4">
        <w:t>5</w:t>
      </w:r>
      <w:r w:rsidR="00BF12D6">
        <w:t>”</w:t>
      </w:r>
      <w:r w:rsidRPr="00A84CE4">
        <w:t xml:space="preserve"> gives the characteristics and performances of the core selected following the new SDDS study at 1100 MWe (lowest green point in </w:t>
      </w:r>
      <w:r w:rsidRPr="00A84CE4">
        <w:fldChar w:fldCharType="begin"/>
      </w:r>
      <w:r w:rsidRPr="00A84CE4">
        <w:instrText xml:space="preserve"> REF _Ref68637587 \h </w:instrText>
      </w:r>
      <w:r w:rsidRPr="00A84CE4">
        <w:fldChar w:fldCharType="separate"/>
      </w:r>
      <w:r w:rsidR="00466114" w:rsidRPr="00A84CE4">
        <w:rPr>
          <w:i/>
        </w:rPr>
        <w:t xml:space="preserve">FIG. </w:t>
      </w:r>
      <w:r w:rsidR="00466114">
        <w:rPr>
          <w:i/>
          <w:noProof/>
        </w:rPr>
        <w:t>8</w:t>
      </w:r>
      <w:r w:rsidRPr="00A84CE4">
        <w:fldChar w:fldCharType="end"/>
      </w:r>
      <w:r w:rsidRPr="00A84CE4">
        <w:t xml:space="preserve"> right). </w:t>
      </w:r>
      <w:r w:rsidR="001F5B7D" w:rsidRPr="00A84CE4">
        <w:t>The selected core possesses 271 fuel pins per assemb</w:t>
      </w:r>
      <w:r w:rsidR="00EC27C0">
        <w:t>ly and the same core radius as</w:t>
      </w:r>
      <w:r w:rsidR="001F5B7D" w:rsidRPr="00A84CE4">
        <w:t xml:space="preserve"> the </w:t>
      </w:r>
      <w:r w:rsidR="00BF12D6">
        <w:t xml:space="preserve">core </w:t>
      </w:r>
      <w:r w:rsidR="00BF12D6" w:rsidRPr="00A84CE4">
        <w:t>13-Ref</w:t>
      </w:r>
      <w:r w:rsidR="001F5B7D" w:rsidRPr="00A84CE4">
        <w:t xml:space="preserve">. However, it has a positive margin to fuel melting in UCWR and </w:t>
      </w:r>
      <w:r w:rsidR="00EC27C0">
        <w:t>only a slight degradation of its</w:t>
      </w:r>
      <w:r w:rsidR="001F5B7D" w:rsidRPr="00A84CE4">
        <w:t xml:space="preserve"> sodiu</w:t>
      </w:r>
      <w:r w:rsidR="00EC27C0">
        <w:t>m temperature in ULOSSP. I</w:t>
      </w:r>
      <w:r w:rsidR="001F5B7D" w:rsidRPr="00A84CE4">
        <w:t xml:space="preserve">t better fits the safety criteria </w:t>
      </w:r>
      <w:r w:rsidR="003C0180" w:rsidRPr="00A84CE4">
        <w:t xml:space="preserve">than the </w:t>
      </w:r>
      <w:r w:rsidR="00E05941">
        <w:t>core selected in the SDDS study at 1000 MWe</w:t>
      </w:r>
      <w:r w:rsidR="00C779E1">
        <w:t xml:space="preserve"> </w:t>
      </w:r>
      <w:r w:rsidR="001F5B7D" w:rsidRPr="00A84CE4">
        <w:t>when operated</w:t>
      </w:r>
      <w:r w:rsidR="003C0180" w:rsidRPr="00A84CE4">
        <w:t xml:space="preserve"> at 1100 MWe</w:t>
      </w:r>
      <w:r w:rsidR="001F5B7D" w:rsidRPr="00A84CE4">
        <w:t>.</w:t>
      </w:r>
    </w:p>
    <w:p w14:paraId="55F423E1" w14:textId="77777777" w:rsidR="00652FC2" w:rsidRPr="00A84CE4" w:rsidRDefault="00652FC2" w:rsidP="00A95127">
      <w:pPr>
        <w:pStyle w:val="Lgende"/>
        <w:keepNext/>
        <w:rPr>
          <w:lang w:val="en-GB"/>
        </w:rPr>
      </w:pPr>
    </w:p>
    <w:p w14:paraId="25CD3C2B" w14:textId="60135724" w:rsidR="000E5D68" w:rsidRDefault="000E5D68" w:rsidP="000E5D68">
      <w:pPr>
        <w:pStyle w:val="Lgende"/>
        <w:keepNext/>
        <w:jc w:val="center"/>
      </w:pPr>
      <w:bookmarkStart w:id="18" w:name="_Ref86418384"/>
      <w:r>
        <w:t xml:space="preserve">TABLE </w:t>
      </w:r>
      <w:r>
        <w:fldChar w:fldCharType="begin"/>
      </w:r>
      <w:r>
        <w:instrText xml:space="preserve"> SEQ TABLE \* ARABIC </w:instrText>
      </w:r>
      <w:r>
        <w:fldChar w:fldCharType="separate"/>
      </w:r>
      <w:r w:rsidR="00466114">
        <w:rPr>
          <w:noProof/>
        </w:rPr>
        <w:t>6</w:t>
      </w:r>
      <w:r>
        <w:fldChar w:fldCharType="end"/>
      </w:r>
      <w:bookmarkEnd w:id="18"/>
      <w:r>
        <w:t xml:space="preserve">.    </w:t>
      </w:r>
      <w:r w:rsidRPr="00AD3E8D">
        <w:t>MAIN CHARACTERISTICS AND PERFORMANCES OF THE 13 SA RINGS SELECTED CORES</w:t>
      </w:r>
    </w:p>
    <w:tbl>
      <w:tblPr>
        <w:tblStyle w:val="Tableausimple2"/>
        <w:tblW w:w="7287" w:type="dxa"/>
        <w:jc w:val="center"/>
        <w:tblLook w:val="04A0" w:firstRow="1" w:lastRow="0" w:firstColumn="1" w:lastColumn="0" w:noHBand="0" w:noVBand="1"/>
      </w:tblPr>
      <w:tblGrid>
        <w:gridCol w:w="4679"/>
        <w:gridCol w:w="1304"/>
        <w:gridCol w:w="1304"/>
      </w:tblGrid>
      <w:tr w:rsidR="003C0180" w:rsidRPr="00A84CE4" w14:paraId="4088ACD8" w14:textId="77777777" w:rsidTr="003C0180">
        <w:trPr>
          <w:cnfStyle w:val="100000000000" w:firstRow="1" w:lastRow="0" w:firstColumn="0" w:lastColumn="0" w:oddVBand="0" w:evenVBand="0" w:oddHBand="0" w:evenHBand="0" w:firstRowFirstColumn="0" w:firstRowLastColumn="0" w:lastRowFirstColumn="0" w:lastRowLastColumn="0"/>
          <w:trHeight w:val="250"/>
          <w:jc w:val="center"/>
        </w:trPr>
        <w:tc>
          <w:tcPr>
            <w:cnfStyle w:val="001000000000" w:firstRow="0" w:lastRow="0" w:firstColumn="1" w:lastColumn="0" w:oddVBand="0" w:evenVBand="0" w:oddHBand="0" w:evenHBand="0" w:firstRowFirstColumn="0" w:firstRowLastColumn="0" w:lastRowFirstColumn="0" w:lastRowLastColumn="0"/>
            <w:tcW w:w="4679" w:type="dxa"/>
            <w:tcBorders>
              <w:bottom w:val="single" w:sz="4" w:space="0" w:color="auto"/>
            </w:tcBorders>
            <w:hideMark/>
          </w:tcPr>
          <w:p w14:paraId="61D2857D" w14:textId="77777777" w:rsidR="003C0180" w:rsidRPr="00A84CE4" w:rsidRDefault="003C0180" w:rsidP="003C0180">
            <w:pPr>
              <w:pStyle w:val="Corpsdetexte"/>
              <w:ind w:firstLine="0"/>
              <w:rPr>
                <w:b w:val="0"/>
              </w:rPr>
            </w:pPr>
            <w:r w:rsidRPr="00A84CE4">
              <w:rPr>
                <w:b w:val="0"/>
              </w:rPr>
              <w:t>Parameter</w:t>
            </w:r>
          </w:p>
        </w:tc>
        <w:tc>
          <w:tcPr>
            <w:tcW w:w="1304" w:type="dxa"/>
            <w:tcBorders>
              <w:bottom w:val="single" w:sz="4" w:space="0" w:color="auto"/>
            </w:tcBorders>
          </w:tcPr>
          <w:p w14:paraId="40F0001D" w14:textId="0A594248" w:rsidR="003C0180" w:rsidRPr="00A84CE4" w:rsidRDefault="003C0180" w:rsidP="003C0180">
            <w:pPr>
              <w:pStyle w:val="Corpsdetexte"/>
              <w:ind w:firstLine="0"/>
              <w:jc w:val="center"/>
              <w:cnfStyle w:val="100000000000" w:firstRow="1" w:lastRow="0" w:firstColumn="0" w:lastColumn="0" w:oddVBand="0" w:evenVBand="0" w:oddHBand="0" w:evenHBand="0" w:firstRowFirstColumn="0" w:firstRowLastColumn="0" w:lastRowFirstColumn="0" w:lastRowLastColumn="0"/>
              <w:rPr>
                <w:b w:val="0"/>
              </w:rPr>
            </w:pPr>
            <w:r w:rsidRPr="00A84CE4">
              <w:rPr>
                <w:b w:val="0"/>
              </w:rPr>
              <w:t>13-Ref</w:t>
            </w:r>
          </w:p>
        </w:tc>
        <w:tc>
          <w:tcPr>
            <w:tcW w:w="1304" w:type="dxa"/>
            <w:tcBorders>
              <w:bottom w:val="single" w:sz="4" w:space="0" w:color="auto"/>
            </w:tcBorders>
            <w:hideMark/>
          </w:tcPr>
          <w:p w14:paraId="6457E4F9" w14:textId="1CA499FF" w:rsidR="003C0180" w:rsidRPr="00A84CE4" w:rsidRDefault="003C0180" w:rsidP="003C0180">
            <w:pPr>
              <w:pStyle w:val="Corpsdetexte"/>
              <w:ind w:firstLine="0"/>
              <w:jc w:val="center"/>
              <w:cnfStyle w:val="100000000000" w:firstRow="1" w:lastRow="0" w:firstColumn="0" w:lastColumn="0" w:oddVBand="0" w:evenVBand="0" w:oddHBand="0" w:evenHBand="0" w:firstRowFirstColumn="0" w:firstRowLastColumn="0" w:lastRowFirstColumn="0" w:lastRowLastColumn="0"/>
              <w:rPr>
                <w:b w:val="0"/>
              </w:rPr>
            </w:pPr>
            <w:r w:rsidRPr="00A84CE4">
              <w:rPr>
                <w:b w:val="0"/>
              </w:rPr>
              <w:t>13-C5</w:t>
            </w:r>
          </w:p>
        </w:tc>
      </w:tr>
      <w:tr w:rsidR="003C0180" w:rsidRPr="00A84CE4" w14:paraId="43FEAFEB" w14:textId="77777777" w:rsidTr="003C0180">
        <w:trPr>
          <w:cnfStyle w:val="000000100000" w:firstRow="0" w:lastRow="0" w:firstColumn="0" w:lastColumn="0" w:oddVBand="0" w:evenVBand="0" w:oddHBand="1" w:evenHBand="0" w:firstRowFirstColumn="0" w:firstRowLastColumn="0" w:lastRowFirstColumn="0" w:lastRowLastColumn="0"/>
          <w:trHeight w:val="250"/>
          <w:jc w:val="center"/>
        </w:trPr>
        <w:tc>
          <w:tcPr>
            <w:cnfStyle w:val="001000000000" w:firstRow="0" w:lastRow="0" w:firstColumn="1" w:lastColumn="0" w:oddVBand="0" w:evenVBand="0" w:oddHBand="0" w:evenHBand="0" w:firstRowFirstColumn="0" w:firstRowLastColumn="0" w:lastRowFirstColumn="0" w:lastRowLastColumn="0"/>
            <w:tcW w:w="4679" w:type="dxa"/>
            <w:tcBorders>
              <w:top w:val="single" w:sz="4" w:space="0" w:color="auto"/>
              <w:bottom w:val="nil"/>
            </w:tcBorders>
            <w:hideMark/>
          </w:tcPr>
          <w:p w14:paraId="565BC1DE" w14:textId="77777777" w:rsidR="003C0180" w:rsidRPr="00A84CE4" w:rsidRDefault="003C0180" w:rsidP="003C0180">
            <w:pPr>
              <w:pStyle w:val="Corpsdetexte"/>
              <w:ind w:firstLine="0"/>
              <w:rPr>
                <w:b w:val="0"/>
              </w:rPr>
            </w:pPr>
            <w:r w:rsidRPr="00A84CE4">
              <w:rPr>
                <w:b w:val="0"/>
              </w:rPr>
              <w:t xml:space="preserve">Outer pellet radius [cm] </w:t>
            </w:r>
          </w:p>
        </w:tc>
        <w:tc>
          <w:tcPr>
            <w:tcW w:w="1304" w:type="dxa"/>
            <w:tcBorders>
              <w:top w:val="single" w:sz="4" w:space="0" w:color="auto"/>
              <w:bottom w:val="nil"/>
            </w:tcBorders>
          </w:tcPr>
          <w:p w14:paraId="299845A9" w14:textId="0934EB7B" w:rsidR="003C0180" w:rsidRPr="00A84CE4" w:rsidRDefault="003C0180" w:rsidP="003C0180">
            <w:pPr>
              <w:pStyle w:val="Corpsdetexte"/>
              <w:ind w:firstLine="0"/>
              <w:jc w:val="center"/>
              <w:cnfStyle w:val="000000100000" w:firstRow="0" w:lastRow="0" w:firstColumn="0" w:lastColumn="0" w:oddVBand="0" w:evenVBand="0" w:oddHBand="1" w:evenHBand="0" w:firstRowFirstColumn="0" w:firstRowLastColumn="0" w:lastRowFirstColumn="0" w:lastRowLastColumn="0"/>
            </w:pPr>
            <w:r w:rsidRPr="00A84CE4">
              <w:t>0.346</w:t>
            </w:r>
          </w:p>
        </w:tc>
        <w:tc>
          <w:tcPr>
            <w:tcW w:w="1304" w:type="dxa"/>
            <w:tcBorders>
              <w:top w:val="single" w:sz="4" w:space="0" w:color="auto"/>
              <w:bottom w:val="nil"/>
            </w:tcBorders>
            <w:hideMark/>
          </w:tcPr>
          <w:p w14:paraId="192954F7" w14:textId="53C95E63" w:rsidR="003C0180" w:rsidRPr="00A84CE4" w:rsidRDefault="003C0180" w:rsidP="003C0180">
            <w:pPr>
              <w:pStyle w:val="Corpsdetexte"/>
              <w:ind w:firstLine="0"/>
              <w:jc w:val="center"/>
              <w:cnfStyle w:val="000000100000" w:firstRow="0" w:lastRow="0" w:firstColumn="0" w:lastColumn="0" w:oddVBand="0" w:evenVBand="0" w:oddHBand="1" w:evenHBand="0" w:firstRowFirstColumn="0" w:firstRowLastColumn="0" w:lastRowFirstColumn="0" w:lastRowLastColumn="0"/>
            </w:pPr>
            <w:r w:rsidRPr="00A84CE4">
              <w:t>0.3455</w:t>
            </w:r>
          </w:p>
        </w:tc>
      </w:tr>
      <w:tr w:rsidR="003C0180" w:rsidRPr="00A84CE4" w14:paraId="19B2E0D7" w14:textId="77777777" w:rsidTr="003C0180">
        <w:trPr>
          <w:trHeight w:val="250"/>
          <w:jc w:val="center"/>
        </w:trPr>
        <w:tc>
          <w:tcPr>
            <w:cnfStyle w:val="001000000000" w:firstRow="0" w:lastRow="0" w:firstColumn="1" w:lastColumn="0" w:oddVBand="0" w:evenVBand="0" w:oddHBand="0" w:evenHBand="0" w:firstRowFirstColumn="0" w:firstRowLastColumn="0" w:lastRowFirstColumn="0" w:lastRowLastColumn="0"/>
            <w:tcW w:w="4679" w:type="dxa"/>
            <w:tcBorders>
              <w:top w:val="nil"/>
              <w:bottom w:val="nil"/>
            </w:tcBorders>
            <w:hideMark/>
          </w:tcPr>
          <w:p w14:paraId="1CAF9C1F" w14:textId="77777777" w:rsidR="003C0180" w:rsidRPr="00A84CE4" w:rsidRDefault="003C0180" w:rsidP="003C0180">
            <w:pPr>
              <w:pStyle w:val="Corpsdetexte"/>
              <w:ind w:firstLine="0"/>
              <w:rPr>
                <w:b w:val="0"/>
              </w:rPr>
            </w:pPr>
            <w:r w:rsidRPr="00A84CE4">
              <w:rPr>
                <w:b w:val="0"/>
              </w:rPr>
              <w:t xml:space="preserve">Inner clad radius [cm] </w:t>
            </w:r>
          </w:p>
        </w:tc>
        <w:tc>
          <w:tcPr>
            <w:tcW w:w="1304" w:type="dxa"/>
            <w:tcBorders>
              <w:top w:val="nil"/>
              <w:bottom w:val="nil"/>
            </w:tcBorders>
          </w:tcPr>
          <w:p w14:paraId="3088FC53" w14:textId="4E3A81D5" w:rsidR="003C0180" w:rsidRPr="00A84CE4" w:rsidRDefault="003C0180" w:rsidP="003C0180">
            <w:pPr>
              <w:pStyle w:val="Corpsdetexte"/>
              <w:ind w:firstLine="0"/>
              <w:jc w:val="center"/>
              <w:cnfStyle w:val="000000000000" w:firstRow="0" w:lastRow="0" w:firstColumn="0" w:lastColumn="0" w:oddVBand="0" w:evenVBand="0" w:oddHBand="0" w:evenHBand="0" w:firstRowFirstColumn="0" w:firstRowLastColumn="0" w:lastRowFirstColumn="0" w:lastRowLastColumn="0"/>
            </w:pPr>
            <w:r w:rsidRPr="00A84CE4">
              <w:t>0.35</w:t>
            </w:r>
          </w:p>
        </w:tc>
        <w:tc>
          <w:tcPr>
            <w:tcW w:w="1304" w:type="dxa"/>
            <w:tcBorders>
              <w:top w:val="nil"/>
              <w:bottom w:val="nil"/>
            </w:tcBorders>
            <w:hideMark/>
          </w:tcPr>
          <w:p w14:paraId="18050B42" w14:textId="277E1CF2" w:rsidR="003C0180" w:rsidRPr="00A84CE4" w:rsidRDefault="003C0180" w:rsidP="003C0180">
            <w:pPr>
              <w:pStyle w:val="Corpsdetexte"/>
              <w:ind w:firstLine="0"/>
              <w:jc w:val="center"/>
              <w:cnfStyle w:val="000000000000" w:firstRow="0" w:lastRow="0" w:firstColumn="0" w:lastColumn="0" w:oddVBand="0" w:evenVBand="0" w:oddHBand="0" w:evenHBand="0" w:firstRowFirstColumn="0" w:firstRowLastColumn="0" w:lastRowFirstColumn="0" w:lastRowLastColumn="0"/>
            </w:pPr>
            <w:r w:rsidRPr="00A84CE4">
              <w:t>0.35</w:t>
            </w:r>
          </w:p>
        </w:tc>
      </w:tr>
      <w:tr w:rsidR="003C0180" w:rsidRPr="00A84CE4" w14:paraId="095F334E" w14:textId="77777777" w:rsidTr="003C0180">
        <w:trPr>
          <w:cnfStyle w:val="000000100000" w:firstRow="0" w:lastRow="0" w:firstColumn="0" w:lastColumn="0" w:oddVBand="0" w:evenVBand="0" w:oddHBand="1" w:evenHBand="0" w:firstRowFirstColumn="0" w:firstRowLastColumn="0" w:lastRowFirstColumn="0" w:lastRowLastColumn="0"/>
          <w:trHeight w:val="250"/>
          <w:jc w:val="center"/>
        </w:trPr>
        <w:tc>
          <w:tcPr>
            <w:cnfStyle w:val="001000000000" w:firstRow="0" w:lastRow="0" w:firstColumn="1" w:lastColumn="0" w:oddVBand="0" w:evenVBand="0" w:oddHBand="0" w:evenHBand="0" w:firstRowFirstColumn="0" w:firstRowLastColumn="0" w:lastRowFirstColumn="0" w:lastRowLastColumn="0"/>
            <w:tcW w:w="4679" w:type="dxa"/>
            <w:tcBorders>
              <w:top w:val="nil"/>
              <w:bottom w:val="nil"/>
            </w:tcBorders>
            <w:hideMark/>
          </w:tcPr>
          <w:p w14:paraId="7E685C23" w14:textId="77777777" w:rsidR="003C0180" w:rsidRPr="00A84CE4" w:rsidRDefault="003C0180" w:rsidP="003C0180">
            <w:pPr>
              <w:pStyle w:val="Corpsdetexte"/>
              <w:ind w:firstLine="0"/>
              <w:rPr>
                <w:b w:val="0"/>
              </w:rPr>
            </w:pPr>
            <w:r w:rsidRPr="00A84CE4">
              <w:rPr>
                <w:b w:val="0"/>
              </w:rPr>
              <w:t>Outer core height [cm]</w:t>
            </w:r>
          </w:p>
        </w:tc>
        <w:tc>
          <w:tcPr>
            <w:tcW w:w="1304" w:type="dxa"/>
            <w:tcBorders>
              <w:top w:val="nil"/>
              <w:bottom w:val="nil"/>
            </w:tcBorders>
          </w:tcPr>
          <w:p w14:paraId="73FDB806" w14:textId="3593B267" w:rsidR="003C0180" w:rsidRPr="00A84CE4" w:rsidRDefault="003C0180" w:rsidP="003C0180">
            <w:pPr>
              <w:pStyle w:val="Corpsdetexte"/>
              <w:ind w:firstLine="0"/>
              <w:jc w:val="center"/>
              <w:cnfStyle w:val="000000100000" w:firstRow="0" w:lastRow="0" w:firstColumn="0" w:lastColumn="0" w:oddVBand="0" w:evenVBand="0" w:oddHBand="1" w:evenHBand="0" w:firstRowFirstColumn="0" w:firstRowLastColumn="0" w:lastRowFirstColumn="0" w:lastRowLastColumn="0"/>
            </w:pPr>
            <w:r w:rsidRPr="00A84CE4">
              <w:t>94</w:t>
            </w:r>
          </w:p>
        </w:tc>
        <w:tc>
          <w:tcPr>
            <w:tcW w:w="1304" w:type="dxa"/>
            <w:tcBorders>
              <w:top w:val="nil"/>
              <w:bottom w:val="nil"/>
            </w:tcBorders>
            <w:hideMark/>
          </w:tcPr>
          <w:p w14:paraId="04A3A839" w14:textId="467B08BC" w:rsidR="003C0180" w:rsidRPr="00A84CE4" w:rsidRDefault="003C0180" w:rsidP="003C0180">
            <w:pPr>
              <w:pStyle w:val="Corpsdetexte"/>
              <w:ind w:firstLine="0"/>
              <w:jc w:val="center"/>
              <w:cnfStyle w:val="000000100000" w:firstRow="0" w:lastRow="0" w:firstColumn="0" w:lastColumn="0" w:oddVBand="0" w:evenVBand="0" w:oddHBand="1" w:evenHBand="0" w:firstRowFirstColumn="0" w:firstRowLastColumn="0" w:lastRowFirstColumn="0" w:lastRowLastColumn="0"/>
            </w:pPr>
            <w:r w:rsidRPr="00A84CE4">
              <w:t>92</w:t>
            </w:r>
          </w:p>
        </w:tc>
      </w:tr>
      <w:tr w:rsidR="003C0180" w:rsidRPr="00A84CE4" w14:paraId="7B4B2DC0" w14:textId="77777777" w:rsidTr="003C0180">
        <w:trPr>
          <w:trHeight w:val="250"/>
          <w:jc w:val="center"/>
        </w:trPr>
        <w:tc>
          <w:tcPr>
            <w:cnfStyle w:val="001000000000" w:firstRow="0" w:lastRow="0" w:firstColumn="1" w:lastColumn="0" w:oddVBand="0" w:evenVBand="0" w:oddHBand="0" w:evenHBand="0" w:firstRowFirstColumn="0" w:firstRowLastColumn="0" w:lastRowFirstColumn="0" w:lastRowLastColumn="0"/>
            <w:tcW w:w="4679" w:type="dxa"/>
            <w:tcBorders>
              <w:top w:val="nil"/>
              <w:bottom w:val="nil"/>
            </w:tcBorders>
            <w:hideMark/>
          </w:tcPr>
          <w:p w14:paraId="243FE68B" w14:textId="77777777" w:rsidR="003C0180" w:rsidRPr="00A84CE4" w:rsidRDefault="003C0180" w:rsidP="003C0180">
            <w:pPr>
              <w:pStyle w:val="Corpsdetexte"/>
              <w:ind w:firstLine="0"/>
              <w:rPr>
                <w:b w:val="0"/>
              </w:rPr>
            </w:pPr>
            <w:r w:rsidRPr="00A84CE4">
              <w:rPr>
                <w:b w:val="0"/>
              </w:rPr>
              <w:t xml:space="preserve">Outer/inner core height gap [cm] </w:t>
            </w:r>
          </w:p>
        </w:tc>
        <w:tc>
          <w:tcPr>
            <w:tcW w:w="1304" w:type="dxa"/>
            <w:tcBorders>
              <w:top w:val="nil"/>
              <w:bottom w:val="nil"/>
            </w:tcBorders>
          </w:tcPr>
          <w:p w14:paraId="2776C8A9" w14:textId="7E2FF414" w:rsidR="003C0180" w:rsidRPr="00A84CE4" w:rsidRDefault="003C0180" w:rsidP="003C0180">
            <w:pPr>
              <w:pStyle w:val="Corpsdetexte"/>
              <w:ind w:firstLine="0"/>
              <w:jc w:val="center"/>
              <w:cnfStyle w:val="000000000000" w:firstRow="0" w:lastRow="0" w:firstColumn="0" w:lastColumn="0" w:oddVBand="0" w:evenVBand="0" w:oddHBand="0" w:evenHBand="0" w:firstRowFirstColumn="0" w:firstRowLastColumn="0" w:lastRowFirstColumn="0" w:lastRowLastColumn="0"/>
            </w:pPr>
            <w:r w:rsidRPr="00A84CE4">
              <w:t>5</w:t>
            </w:r>
          </w:p>
        </w:tc>
        <w:tc>
          <w:tcPr>
            <w:tcW w:w="1304" w:type="dxa"/>
            <w:tcBorders>
              <w:top w:val="nil"/>
              <w:bottom w:val="nil"/>
            </w:tcBorders>
            <w:hideMark/>
          </w:tcPr>
          <w:p w14:paraId="427C269B" w14:textId="32F70B0B" w:rsidR="003C0180" w:rsidRPr="00A84CE4" w:rsidRDefault="003C0180" w:rsidP="003C0180">
            <w:pPr>
              <w:pStyle w:val="Corpsdetexte"/>
              <w:ind w:firstLine="0"/>
              <w:jc w:val="center"/>
              <w:cnfStyle w:val="000000000000" w:firstRow="0" w:lastRow="0" w:firstColumn="0" w:lastColumn="0" w:oddVBand="0" w:evenVBand="0" w:oddHBand="0" w:evenHBand="0" w:firstRowFirstColumn="0" w:firstRowLastColumn="0" w:lastRowFirstColumn="0" w:lastRowLastColumn="0"/>
            </w:pPr>
            <w:r w:rsidRPr="00A84CE4">
              <w:t>0</w:t>
            </w:r>
          </w:p>
        </w:tc>
      </w:tr>
      <w:tr w:rsidR="003C0180" w:rsidRPr="00A84CE4" w14:paraId="68EE92E8" w14:textId="77777777" w:rsidTr="003C0180">
        <w:trPr>
          <w:cnfStyle w:val="000000100000" w:firstRow="0" w:lastRow="0" w:firstColumn="0" w:lastColumn="0" w:oddVBand="0" w:evenVBand="0" w:oddHBand="1" w:evenHBand="0" w:firstRowFirstColumn="0" w:firstRowLastColumn="0" w:lastRowFirstColumn="0" w:lastRowLastColumn="0"/>
          <w:trHeight w:val="220"/>
          <w:jc w:val="center"/>
        </w:trPr>
        <w:tc>
          <w:tcPr>
            <w:cnfStyle w:val="001000000000" w:firstRow="0" w:lastRow="0" w:firstColumn="1" w:lastColumn="0" w:oddVBand="0" w:evenVBand="0" w:oddHBand="0" w:evenHBand="0" w:firstRowFirstColumn="0" w:firstRowLastColumn="0" w:lastRowFirstColumn="0" w:lastRowLastColumn="0"/>
            <w:tcW w:w="4679" w:type="dxa"/>
            <w:tcBorders>
              <w:top w:val="nil"/>
              <w:bottom w:val="nil"/>
            </w:tcBorders>
            <w:hideMark/>
          </w:tcPr>
          <w:p w14:paraId="0E271FDB" w14:textId="77777777" w:rsidR="003C0180" w:rsidRPr="00A84CE4" w:rsidRDefault="003C0180" w:rsidP="003C0180">
            <w:pPr>
              <w:pStyle w:val="Corpsdetexte"/>
              <w:ind w:firstLine="0"/>
              <w:rPr>
                <w:b w:val="0"/>
              </w:rPr>
            </w:pPr>
            <w:r w:rsidRPr="00A84CE4">
              <w:rPr>
                <w:b w:val="0"/>
              </w:rPr>
              <w:t xml:space="preserve">Inner fertile zone position (% of inner core height) </w:t>
            </w:r>
          </w:p>
        </w:tc>
        <w:tc>
          <w:tcPr>
            <w:tcW w:w="1304" w:type="dxa"/>
            <w:tcBorders>
              <w:top w:val="nil"/>
              <w:bottom w:val="nil"/>
            </w:tcBorders>
          </w:tcPr>
          <w:p w14:paraId="0850D330" w14:textId="10B39B3B" w:rsidR="003C0180" w:rsidRPr="00A84CE4" w:rsidRDefault="003C0180" w:rsidP="003C0180">
            <w:pPr>
              <w:pStyle w:val="Corpsdetexte"/>
              <w:ind w:firstLine="0"/>
              <w:jc w:val="center"/>
              <w:cnfStyle w:val="000000100000" w:firstRow="0" w:lastRow="0" w:firstColumn="0" w:lastColumn="0" w:oddVBand="0" w:evenVBand="0" w:oddHBand="1" w:evenHBand="0" w:firstRowFirstColumn="0" w:firstRowLastColumn="0" w:lastRowFirstColumn="0" w:lastRowLastColumn="0"/>
            </w:pPr>
            <w:r w:rsidRPr="00A84CE4">
              <w:t>5</w:t>
            </w:r>
          </w:p>
        </w:tc>
        <w:tc>
          <w:tcPr>
            <w:tcW w:w="1304" w:type="dxa"/>
            <w:tcBorders>
              <w:top w:val="nil"/>
              <w:bottom w:val="nil"/>
            </w:tcBorders>
            <w:hideMark/>
          </w:tcPr>
          <w:p w14:paraId="0DFDC6D7" w14:textId="3192B2BA" w:rsidR="003C0180" w:rsidRPr="00A84CE4" w:rsidRDefault="003C0180" w:rsidP="003C0180">
            <w:pPr>
              <w:pStyle w:val="Corpsdetexte"/>
              <w:ind w:firstLine="0"/>
              <w:jc w:val="center"/>
              <w:cnfStyle w:val="000000100000" w:firstRow="0" w:lastRow="0" w:firstColumn="0" w:lastColumn="0" w:oddVBand="0" w:evenVBand="0" w:oddHBand="1" w:evenHBand="0" w:firstRowFirstColumn="0" w:firstRowLastColumn="0" w:lastRowFirstColumn="0" w:lastRowLastColumn="0"/>
            </w:pPr>
            <w:r w:rsidRPr="00A84CE4">
              <w:t>18</w:t>
            </w:r>
          </w:p>
        </w:tc>
      </w:tr>
      <w:tr w:rsidR="003C0180" w:rsidRPr="00A84CE4" w14:paraId="185B0DE4" w14:textId="77777777" w:rsidTr="003C0180">
        <w:trPr>
          <w:trHeight w:val="281"/>
          <w:jc w:val="center"/>
        </w:trPr>
        <w:tc>
          <w:tcPr>
            <w:cnfStyle w:val="001000000000" w:firstRow="0" w:lastRow="0" w:firstColumn="1" w:lastColumn="0" w:oddVBand="0" w:evenVBand="0" w:oddHBand="0" w:evenHBand="0" w:firstRowFirstColumn="0" w:firstRowLastColumn="0" w:lastRowFirstColumn="0" w:lastRowLastColumn="0"/>
            <w:tcW w:w="4679" w:type="dxa"/>
            <w:tcBorders>
              <w:top w:val="nil"/>
              <w:bottom w:val="nil"/>
            </w:tcBorders>
            <w:hideMark/>
          </w:tcPr>
          <w:p w14:paraId="2386BE87" w14:textId="77777777" w:rsidR="003C0180" w:rsidRPr="00A84CE4" w:rsidRDefault="003C0180" w:rsidP="003C0180">
            <w:pPr>
              <w:pStyle w:val="Corpsdetexte"/>
              <w:ind w:firstLine="0"/>
              <w:rPr>
                <w:b w:val="0"/>
              </w:rPr>
            </w:pPr>
            <w:r w:rsidRPr="00A84CE4">
              <w:rPr>
                <w:b w:val="0"/>
              </w:rPr>
              <w:t xml:space="preserve">Inner fertile zone height [cm] </w:t>
            </w:r>
          </w:p>
        </w:tc>
        <w:tc>
          <w:tcPr>
            <w:tcW w:w="1304" w:type="dxa"/>
            <w:tcBorders>
              <w:top w:val="nil"/>
              <w:bottom w:val="nil"/>
            </w:tcBorders>
          </w:tcPr>
          <w:p w14:paraId="06E5B185" w14:textId="5556D291" w:rsidR="003C0180" w:rsidRPr="00A84CE4" w:rsidRDefault="003C0180" w:rsidP="003C0180">
            <w:pPr>
              <w:pStyle w:val="Corpsdetexte"/>
              <w:ind w:firstLine="0"/>
              <w:jc w:val="center"/>
              <w:cnfStyle w:val="000000000000" w:firstRow="0" w:lastRow="0" w:firstColumn="0" w:lastColumn="0" w:oddVBand="0" w:evenVBand="0" w:oddHBand="0" w:evenHBand="0" w:firstRowFirstColumn="0" w:firstRowLastColumn="0" w:lastRowFirstColumn="0" w:lastRowLastColumn="0"/>
            </w:pPr>
            <w:r w:rsidRPr="00A84CE4">
              <w:t>20</w:t>
            </w:r>
          </w:p>
        </w:tc>
        <w:tc>
          <w:tcPr>
            <w:tcW w:w="1304" w:type="dxa"/>
            <w:tcBorders>
              <w:top w:val="nil"/>
              <w:bottom w:val="nil"/>
            </w:tcBorders>
            <w:hideMark/>
          </w:tcPr>
          <w:p w14:paraId="0347F845" w14:textId="0A5D572F" w:rsidR="003C0180" w:rsidRPr="00A84CE4" w:rsidRDefault="003C0180" w:rsidP="003C0180">
            <w:pPr>
              <w:pStyle w:val="Corpsdetexte"/>
              <w:ind w:firstLine="0"/>
              <w:jc w:val="center"/>
              <w:cnfStyle w:val="000000000000" w:firstRow="0" w:lastRow="0" w:firstColumn="0" w:lastColumn="0" w:oddVBand="0" w:evenVBand="0" w:oddHBand="0" w:evenHBand="0" w:firstRowFirstColumn="0" w:firstRowLastColumn="0" w:lastRowFirstColumn="0" w:lastRowLastColumn="0"/>
            </w:pPr>
            <w:r w:rsidRPr="00A84CE4">
              <w:t>15</w:t>
            </w:r>
          </w:p>
        </w:tc>
      </w:tr>
      <w:tr w:rsidR="003C0180" w:rsidRPr="00A84CE4" w14:paraId="0FCFC7B6" w14:textId="77777777" w:rsidTr="003C0180">
        <w:trPr>
          <w:cnfStyle w:val="000000100000" w:firstRow="0" w:lastRow="0" w:firstColumn="0" w:lastColumn="0" w:oddVBand="0" w:evenVBand="0" w:oddHBand="1" w:evenHBand="0" w:firstRowFirstColumn="0" w:firstRowLastColumn="0" w:lastRowFirstColumn="0" w:lastRowLastColumn="0"/>
          <w:trHeight w:val="220"/>
          <w:jc w:val="center"/>
        </w:trPr>
        <w:tc>
          <w:tcPr>
            <w:cnfStyle w:val="001000000000" w:firstRow="0" w:lastRow="0" w:firstColumn="1" w:lastColumn="0" w:oddVBand="0" w:evenVBand="0" w:oddHBand="0" w:evenHBand="0" w:firstRowFirstColumn="0" w:firstRowLastColumn="0" w:lastRowFirstColumn="0" w:lastRowLastColumn="0"/>
            <w:tcW w:w="4679" w:type="dxa"/>
            <w:tcBorders>
              <w:top w:val="nil"/>
              <w:bottom w:val="nil"/>
            </w:tcBorders>
            <w:hideMark/>
          </w:tcPr>
          <w:p w14:paraId="7830AF34" w14:textId="77777777" w:rsidR="003C0180" w:rsidRPr="00A84CE4" w:rsidRDefault="003C0180" w:rsidP="003C0180">
            <w:pPr>
              <w:pStyle w:val="Corpsdetexte"/>
              <w:ind w:firstLine="0"/>
              <w:rPr>
                <w:b w:val="0"/>
              </w:rPr>
            </w:pPr>
            <w:r w:rsidRPr="00A84CE4">
              <w:rPr>
                <w:b w:val="0"/>
              </w:rPr>
              <w:t>Number of pins per SA</w:t>
            </w:r>
          </w:p>
        </w:tc>
        <w:tc>
          <w:tcPr>
            <w:tcW w:w="1304" w:type="dxa"/>
            <w:tcBorders>
              <w:top w:val="nil"/>
              <w:bottom w:val="nil"/>
            </w:tcBorders>
          </w:tcPr>
          <w:p w14:paraId="5869F084" w14:textId="7ED8DDFD" w:rsidR="003C0180" w:rsidRPr="00A84CE4" w:rsidRDefault="003C0180" w:rsidP="003C0180">
            <w:pPr>
              <w:pStyle w:val="Corpsdetexte"/>
              <w:ind w:firstLine="0"/>
              <w:jc w:val="center"/>
              <w:cnfStyle w:val="000000100000" w:firstRow="0" w:lastRow="0" w:firstColumn="0" w:lastColumn="0" w:oddVBand="0" w:evenVBand="0" w:oddHBand="1" w:evenHBand="0" w:firstRowFirstColumn="0" w:firstRowLastColumn="0" w:lastRowFirstColumn="0" w:lastRowLastColumn="0"/>
            </w:pPr>
            <w:r w:rsidRPr="00A84CE4">
              <w:t>271</w:t>
            </w:r>
          </w:p>
        </w:tc>
        <w:tc>
          <w:tcPr>
            <w:tcW w:w="1304" w:type="dxa"/>
            <w:tcBorders>
              <w:top w:val="nil"/>
              <w:bottom w:val="nil"/>
            </w:tcBorders>
            <w:hideMark/>
          </w:tcPr>
          <w:p w14:paraId="7EBE53C0" w14:textId="566AB7DB" w:rsidR="003C0180" w:rsidRPr="00A84CE4" w:rsidRDefault="003C0180" w:rsidP="003C0180">
            <w:pPr>
              <w:pStyle w:val="Corpsdetexte"/>
              <w:ind w:firstLine="0"/>
              <w:jc w:val="center"/>
              <w:cnfStyle w:val="000000100000" w:firstRow="0" w:lastRow="0" w:firstColumn="0" w:lastColumn="0" w:oddVBand="0" w:evenVBand="0" w:oddHBand="1" w:evenHBand="0" w:firstRowFirstColumn="0" w:firstRowLastColumn="0" w:lastRowFirstColumn="0" w:lastRowLastColumn="0"/>
            </w:pPr>
            <w:r w:rsidRPr="00A84CE4">
              <w:t>271</w:t>
            </w:r>
          </w:p>
        </w:tc>
      </w:tr>
      <w:tr w:rsidR="003C0180" w:rsidRPr="00A84CE4" w14:paraId="5253AC92" w14:textId="77777777" w:rsidTr="003C0180">
        <w:trPr>
          <w:trHeight w:val="220"/>
          <w:jc w:val="center"/>
        </w:trPr>
        <w:tc>
          <w:tcPr>
            <w:cnfStyle w:val="001000000000" w:firstRow="0" w:lastRow="0" w:firstColumn="1" w:lastColumn="0" w:oddVBand="0" w:evenVBand="0" w:oddHBand="0" w:evenHBand="0" w:firstRowFirstColumn="0" w:firstRowLastColumn="0" w:lastRowFirstColumn="0" w:lastRowLastColumn="0"/>
            <w:tcW w:w="4679" w:type="dxa"/>
            <w:tcBorders>
              <w:top w:val="nil"/>
              <w:bottom w:val="nil"/>
            </w:tcBorders>
            <w:hideMark/>
          </w:tcPr>
          <w:p w14:paraId="312D3D8D" w14:textId="77777777" w:rsidR="003C0180" w:rsidRPr="00A84CE4" w:rsidRDefault="003C0180" w:rsidP="003C0180">
            <w:pPr>
              <w:pStyle w:val="Corpsdetexte"/>
              <w:ind w:firstLine="0"/>
              <w:rPr>
                <w:b w:val="0"/>
              </w:rPr>
            </w:pPr>
            <w:r w:rsidRPr="00A84CE4">
              <w:rPr>
                <w:b w:val="0"/>
              </w:rPr>
              <w:t>Fissile core radius [cm]</w:t>
            </w:r>
          </w:p>
        </w:tc>
        <w:tc>
          <w:tcPr>
            <w:tcW w:w="1304" w:type="dxa"/>
            <w:tcBorders>
              <w:top w:val="nil"/>
              <w:bottom w:val="nil"/>
            </w:tcBorders>
          </w:tcPr>
          <w:p w14:paraId="0031FFF2" w14:textId="60C92087" w:rsidR="003C0180" w:rsidRPr="00A84CE4" w:rsidRDefault="003C0180" w:rsidP="003C0180">
            <w:pPr>
              <w:pStyle w:val="Corpsdetexte"/>
              <w:ind w:firstLine="0"/>
              <w:jc w:val="center"/>
              <w:cnfStyle w:val="000000000000" w:firstRow="0" w:lastRow="0" w:firstColumn="0" w:lastColumn="0" w:oddVBand="0" w:evenVBand="0" w:oddHBand="0" w:evenHBand="0" w:firstRowFirstColumn="0" w:firstRowLastColumn="0" w:lastRowFirstColumn="0" w:lastRowLastColumn="0"/>
            </w:pPr>
            <w:r w:rsidRPr="00A84CE4">
              <w:t>203</w:t>
            </w:r>
          </w:p>
        </w:tc>
        <w:tc>
          <w:tcPr>
            <w:tcW w:w="1304" w:type="dxa"/>
            <w:tcBorders>
              <w:top w:val="nil"/>
              <w:bottom w:val="nil"/>
            </w:tcBorders>
            <w:hideMark/>
          </w:tcPr>
          <w:p w14:paraId="2F9F190C" w14:textId="71D0FC7F" w:rsidR="003C0180" w:rsidRPr="00A84CE4" w:rsidRDefault="003C0180" w:rsidP="003C0180">
            <w:pPr>
              <w:pStyle w:val="Corpsdetexte"/>
              <w:ind w:firstLine="0"/>
              <w:jc w:val="center"/>
              <w:cnfStyle w:val="000000000000" w:firstRow="0" w:lastRow="0" w:firstColumn="0" w:lastColumn="0" w:oddVBand="0" w:evenVBand="0" w:oddHBand="0" w:evenHBand="0" w:firstRowFirstColumn="0" w:firstRowLastColumn="0" w:lastRowFirstColumn="0" w:lastRowLastColumn="0"/>
            </w:pPr>
            <w:r w:rsidRPr="00A84CE4">
              <w:t>203</w:t>
            </w:r>
          </w:p>
        </w:tc>
      </w:tr>
      <w:tr w:rsidR="00E7546E" w:rsidRPr="00A84CE4" w14:paraId="1D6A0340" w14:textId="77777777" w:rsidTr="003C0180">
        <w:trPr>
          <w:cnfStyle w:val="000000100000" w:firstRow="0" w:lastRow="0" w:firstColumn="0" w:lastColumn="0" w:oddVBand="0" w:evenVBand="0" w:oddHBand="1" w:evenHBand="0" w:firstRowFirstColumn="0" w:firstRowLastColumn="0" w:lastRowFirstColumn="0" w:lastRowLastColumn="0"/>
          <w:trHeight w:val="220"/>
          <w:jc w:val="center"/>
        </w:trPr>
        <w:tc>
          <w:tcPr>
            <w:cnfStyle w:val="001000000000" w:firstRow="0" w:lastRow="0" w:firstColumn="1" w:lastColumn="0" w:oddVBand="0" w:evenVBand="0" w:oddHBand="0" w:evenHBand="0" w:firstRowFirstColumn="0" w:firstRowLastColumn="0" w:lastRowFirstColumn="0" w:lastRowLastColumn="0"/>
            <w:tcW w:w="4679" w:type="dxa"/>
            <w:tcBorders>
              <w:top w:val="nil"/>
              <w:bottom w:val="nil"/>
            </w:tcBorders>
          </w:tcPr>
          <w:p w14:paraId="5DC61157" w14:textId="46D1FD51" w:rsidR="00E7546E" w:rsidRPr="00A84CE4" w:rsidRDefault="00E7546E" w:rsidP="003C0180">
            <w:pPr>
              <w:pStyle w:val="Corpsdetexte"/>
              <w:ind w:firstLine="0"/>
              <w:rPr>
                <w:b w:val="0"/>
              </w:rPr>
            </w:pPr>
            <w:r w:rsidRPr="00A84CE4">
              <w:rPr>
                <w:b w:val="0"/>
              </w:rPr>
              <w:t>Power density [W/cm3]</w:t>
            </w:r>
          </w:p>
        </w:tc>
        <w:tc>
          <w:tcPr>
            <w:tcW w:w="1304" w:type="dxa"/>
            <w:tcBorders>
              <w:top w:val="nil"/>
              <w:bottom w:val="nil"/>
            </w:tcBorders>
          </w:tcPr>
          <w:p w14:paraId="12941D8F" w14:textId="4A9C49FC" w:rsidR="00E7546E" w:rsidRPr="00A84CE4" w:rsidRDefault="00E7546E" w:rsidP="003C0180">
            <w:pPr>
              <w:pStyle w:val="Corpsdetexte"/>
              <w:ind w:firstLine="0"/>
              <w:jc w:val="center"/>
              <w:cnfStyle w:val="000000100000" w:firstRow="0" w:lastRow="0" w:firstColumn="0" w:lastColumn="0" w:oddVBand="0" w:evenVBand="0" w:oddHBand="1" w:evenHBand="0" w:firstRowFirstColumn="0" w:firstRowLastColumn="0" w:lastRowFirstColumn="0" w:lastRowLastColumn="0"/>
            </w:pPr>
            <w:r w:rsidRPr="00A84CE4">
              <w:t>304</w:t>
            </w:r>
          </w:p>
        </w:tc>
        <w:tc>
          <w:tcPr>
            <w:tcW w:w="1304" w:type="dxa"/>
            <w:tcBorders>
              <w:top w:val="nil"/>
              <w:bottom w:val="nil"/>
            </w:tcBorders>
          </w:tcPr>
          <w:p w14:paraId="573EC074" w14:textId="21C20243" w:rsidR="00E7546E" w:rsidRPr="00A84CE4" w:rsidRDefault="00E7546E" w:rsidP="003C0180">
            <w:pPr>
              <w:pStyle w:val="Corpsdetexte"/>
              <w:ind w:firstLine="0"/>
              <w:jc w:val="center"/>
              <w:cnfStyle w:val="000000100000" w:firstRow="0" w:lastRow="0" w:firstColumn="0" w:lastColumn="0" w:oddVBand="0" w:evenVBand="0" w:oddHBand="1" w:evenHBand="0" w:firstRowFirstColumn="0" w:firstRowLastColumn="0" w:lastRowFirstColumn="0" w:lastRowLastColumn="0"/>
            </w:pPr>
            <w:r w:rsidRPr="00A84CE4">
              <w:t>302</w:t>
            </w:r>
          </w:p>
        </w:tc>
      </w:tr>
      <w:tr w:rsidR="003C0180" w:rsidRPr="00A84CE4" w14:paraId="77C62BEB" w14:textId="77777777" w:rsidTr="003C0180">
        <w:trPr>
          <w:trHeight w:val="220"/>
          <w:jc w:val="center"/>
        </w:trPr>
        <w:tc>
          <w:tcPr>
            <w:cnfStyle w:val="001000000000" w:firstRow="0" w:lastRow="0" w:firstColumn="1" w:lastColumn="0" w:oddVBand="0" w:evenVBand="0" w:oddHBand="0" w:evenHBand="0" w:firstRowFirstColumn="0" w:firstRowLastColumn="0" w:lastRowFirstColumn="0" w:lastRowLastColumn="0"/>
            <w:tcW w:w="4679" w:type="dxa"/>
            <w:tcBorders>
              <w:top w:val="nil"/>
              <w:bottom w:val="nil"/>
            </w:tcBorders>
            <w:hideMark/>
          </w:tcPr>
          <w:p w14:paraId="6F10371A" w14:textId="77777777" w:rsidR="003C0180" w:rsidRPr="00A84CE4" w:rsidRDefault="003C0180" w:rsidP="003C0180">
            <w:pPr>
              <w:pStyle w:val="Corpsdetexte"/>
              <w:ind w:firstLine="0"/>
              <w:rPr>
                <w:b w:val="0"/>
              </w:rPr>
            </w:pPr>
            <w:r w:rsidRPr="00A84CE4">
              <w:rPr>
                <w:b w:val="0"/>
              </w:rPr>
              <w:t>Margin to fuel melting in nominal conditions [°C]</w:t>
            </w:r>
          </w:p>
        </w:tc>
        <w:tc>
          <w:tcPr>
            <w:tcW w:w="1304" w:type="dxa"/>
            <w:tcBorders>
              <w:top w:val="nil"/>
              <w:bottom w:val="nil"/>
            </w:tcBorders>
          </w:tcPr>
          <w:p w14:paraId="13BD2CDD" w14:textId="1EF1D15B" w:rsidR="003C0180" w:rsidRPr="00A84CE4" w:rsidRDefault="003C0180" w:rsidP="003C0180">
            <w:pPr>
              <w:pStyle w:val="Corpsdetexte"/>
              <w:ind w:firstLine="0"/>
              <w:jc w:val="center"/>
              <w:cnfStyle w:val="000000000000" w:firstRow="0" w:lastRow="0" w:firstColumn="0" w:lastColumn="0" w:oddVBand="0" w:evenVBand="0" w:oddHBand="0" w:evenHBand="0" w:firstRowFirstColumn="0" w:firstRowLastColumn="0" w:lastRowFirstColumn="0" w:lastRowLastColumn="0"/>
              <w:rPr>
                <w:bCs/>
              </w:rPr>
            </w:pPr>
            <w:r w:rsidRPr="00A84CE4">
              <w:t>356</w:t>
            </w:r>
          </w:p>
        </w:tc>
        <w:tc>
          <w:tcPr>
            <w:tcW w:w="1304" w:type="dxa"/>
            <w:tcBorders>
              <w:top w:val="nil"/>
              <w:bottom w:val="nil"/>
            </w:tcBorders>
            <w:hideMark/>
          </w:tcPr>
          <w:p w14:paraId="5C1EC705" w14:textId="5DBED103" w:rsidR="003C0180" w:rsidRPr="00A84CE4" w:rsidRDefault="003C0180" w:rsidP="003C0180">
            <w:pPr>
              <w:pStyle w:val="Corpsdetexte"/>
              <w:ind w:firstLine="0"/>
              <w:jc w:val="center"/>
              <w:cnfStyle w:val="000000000000" w:firstRow="0" w:lastRow="0" w:firstColumn="0" w:lastColumn="0" w:oddVBand="0" w:evenVBand="0" w:oddHBand="0" w:evenHBand="0" w:firstRowFirstColumn="0" w:firstRowLastColumn="0" w:lastRowFirstColumn="0" w:lastRowLastColumn="0"/>
            </w:pPr>
            <w:r w:rsidRPr="00A84CE4">
              <w:rPr>
                <w:bCs/>
              </w:rPr>
              <w:t>431</w:t>
            </w:r>
          </w:p>
        </w:tc>
      </w:tr>
      <w:tr w:rsidR="003C0180" w:rsidRPr="00A84CE4" w14:paraId="5A5BE295" w14:textId="77777777" w:rsidTr="003C0180">
        <w:trPr>
          <w:cnfStyle w:val="000000100000" w:firstRow="0" w:lastRow="0" w:firstColumn="0" w:lastColumn="0" w:oddVBand="0" w:evenVBand="0" w:oddHBand="1" w:evenHBand="0" w:firstRowFirstColumn="0" w:firstRowLastColumn="0" w:lastRowFirstColumn="0" w:lastRowLastColumn="0"/>
          <w:trHeight w:val="220"/>
          <w:jc w:val="center"/>
        </w:trPr>
        <w:tc>
          <w:tcPr>
            <w:cnfStyle w:val="001000000000" w:firstRow="0" w:lastRow="0" w:firstColumn="1" w:lastColumn="0" w:oddVBand="0" w:evenVBand="0" w:oddHBand="0" w:evenHBand="0" w:firstRowFirstColumn="0" w:firstRowLastColumn="0" w:lastRowFirstColumn="0" w:lastRowLastColumn="0"/>
            <w:tcW w:w="4679" w:type="dxa"/>
            <w:tcBorders>
              <w:top w:val="nil"/>
              <w:bottom w:val="nil"/>
            </w:tcBorders>
            <w:hideMark/>
          </w:tcPr>
          <w:p w14:paraId="088FD06F" w14:textId="77777777" w:rsidR="003C0180" w:rsidRPr="00A84CE4" w:rsidRDefault="003C0180" w:rsidP="003C0180">
            <w:pPr>
              <w:pStyle w:val="Corpsdetexte"/>
              <w:ind w:firstLine="0"/>
              <w:rPr>
                <w:b w:val="0"/>
              </w:rPr>
            </w:pPr>
            <w:r w:rsidRPr="00A84CE4">
              <w:rPr>
                <w:b w:val="0"/>
              </w:rPr>
              <w:t>Margin to fuel melting in UCWR [W/cm]</w:t>
            </w:r>
          </w:p>
        </w:tc>
        <w:tc>
          <w:tcPr>
            <w:tcW w:w="1304" w:type="dxa"/>
            <w:tcBorders>
              <w:top w:val="nil"/>
              <w:bottom w:val="nil"/>
            </w:tcBorders>
          </w:tcPr>
          <w:p w14:paraId="4783ECC4" w14:textId="3DF962A1" w:rsidR="003C0180" w:rsidRPr="00A84CE4" w:rsidRDefault="003C0180" w:rsidP="003C0180">
            <w:pPr>
              <w:pStyle w:val="Corpsdetexte"/>
              <w:ind w:firstLine="0"/>
              <w:jc w:val="center"/>
              <w:cnfStyle w:val="000000100000" w:firstRow="0" w:lastRow="0" w:firstColumn="0" w:lastColumn="0" w:oddVBand="0" w:evenVBand="0" w:oddHBand="1" w:evenHBand="0" w:firstRowFirstColumn="0" w:firstRowLastColumn="0" w:lastRowFirstColumn="0" w:lastRowLastColumn="0"/>
              <w:rPr>
                <w:bCs/>
              </w:rPr>
            </w:pPr>
            <w:r w:rsidRPr="00A84CE4">
              <w:t>-3</w:t>
            </w:r>
          </w:p>
        </w:tc>
        <w:tc>
          <w:tcPr>
            <w:tcW w:w="1304" w:type="dxa"/>
            <w:tcBorders>
              <w:top w:val="nil"/>
              <w:bottom w:val="nil"/>
            </w:tcBorders>
            <w:hideMark/>
          </w:tcPr>
          <w:p w14:paraId="103BE1C2" w14:textId="54D91533" w:rsidR="003C0180" w:rsidRPr="00A84CE4" w:rsidRDefault="003C0180" w:rsidP="003C0180">
            <w:pPr>
              <w:pStyle w:val="Corpsdetexte"/>
              <w:ind w:firstLine="0"/>
              <w:jc w:val="center"/>
              <w:cnfStyle w:val="000000100000" w:firstRow="0" w:lastRow="0" w:firstColumn="0" w:lastColumn="0" w:oddVBand="0" w:evenVBand="0" w:oddHBand="1" w:evenHBand="0" w:firstRowFirstColumn="0" w:firstRowLastColumn="0" w:lastRowFirstColumn="0" w:lastRowLastColumn="0"/>
            </w:pPr>
            <w:r w:rsidRPr="00A84CE4">
              <w:rPr>
                <w:bCs/>
              </w:rPr>
              <w:t>29</w:t>
            </w:r>
          </w:p>
        </w:tc>
      </w:tr>
      <w:tr w:rsidR="003C0180" w:rsidRPr="00A84CE4" w14:paraId="5FACAA08" w14:textId="77777777" w:rsidTr="003C0180">
        <w:trPr>
          <w:trHeight w:val="220"/>
          <w:jc w:val="center"/>
        </w:trPr>
        <w:tc>
          <w:tcPr>
            <w:cnfStyle w:val="001000000000" w:firstRow="0" w:lastRow="0" w:firstColumn="1" w:lastColumn="0" w:oddVBand="0" w:evenVBand="0" w:oddHBand="0" w:evenHBand="0" w:firstRowFirstColumn="0" w:firstRowLastColumn="0" w:lastRowFirstColumn="0" w:lastRowLastColumn="0"/>
            <w:tcW w:w="4679" w:type="dxa"/>
            <w:tcBorders>
              <w:top w:val="nil"/>
              <w:bottom w:val="single" w:sz="4" w:space="0" w:color="auto"/>
            </w:tcBorders>
            <w:hideMark/>
          </w:tcPr>
          <w:p w14:paraId="121054DC" w14:textId="77777777" w:rsidR="003C0180" w:rsidRPr="00A84CE4" w:rsidRDefault="003C0180" w:rsidP="003C0180">
            <w:pPr>
              <w:pStyle w:val="Corpsdetexte"/>
              <w:ind w:firstLine="0"/>
              <w:rPr>
                <w:b w:val="0"/>
              </w:rPr>
            </w:pPr>
            <w:r w:rsidRPr="00A84CE4">
              <w:rPr>
                <w:b w:val="0"/>
              </w:rPr>
              <w:t>Asymptotic temperature in ULOSSP [°C]</w:t>
            </w:r>
          </w:p>
        </w:tc>
        <w:tc>
          <w:tcPr>
            <w:tcW w:w="1304" w:type="dxa"/>
            <w:tcBorders>
              <w:top w:val="nil"/>
              <w:bottom w:val="single" w:sz="4" w:space="0" w:color="auto"/>
            </w:tcBorders>
          </w:tcPr>
          <w:p w14:paraId="5BF0CC95" w14:textId="23499AC6" w:rsidR="003C0180" w:rsidRPr="00A84CE4" w:rsidRDefault="003C0180" w:rsidP="003C0180">
            <w:pPr>
              <w:pStyle w:val="Corpsdetexte"/>
              <w:ind w:firstLine="0"/>
              <w:jc w:val="center"/>
              <w:cnfStyle w:val="000000000000" w:firstRow="0" w:lastRow="0" w:firstColumn="0" w:lastColumn="0" w:oddVBand="0" w:evenVBand="0" w:oddHBand="0" w:evenHBand="0" w:firstRowFirstColumn="0" w:firstRowLastColumn="0" w:lastRowFirstColumn="0" w:lastRowLastColumn="0"/>
              <w:rPr>
                <w:bCs/>
              </w:rPr>
            </w:pPr>
            <w:r w:rsidRPr="00A84CE4">
              <w:t>915</w:t>
            </w:r>
          </w:p>
        </w:tc>
        <w:tc>
          <w:tcPr>
            <w:tcW w:w="1304" w:type="dxa"/>
            <w:tcBorders>
              <w:top w:val="nil"/>
              <w:bottom w:val="single" w:sz="4" w:space="0" w:color="auto"/>
            </w:tcBorders>
            <w:hideMark/>
          </w:tcPr>
          <w:p w14:paraId="17943086" w14:textId="08FCB8CB" w:rsidR="003C0180" w:rsidRPr="00A84CE4" w:rsidRDefault="003C0180" w:rsidP="003C0180">
            <w:pPr>
              <w:pStyle w:val="Corpsdetexte"/>
              <w:ind w:firstLine="0"/>
              <w:jc w:val="center"/>
              <w:cnfStyle w:val="000000000000" w:firstRow="0" w:lastRow="0" w:firstColumn="0" w:lastColumn="0" w:oddVBand="0" w:evenVBand="0" w:oddHBand="0" w:evenHBand="0" w:firstRowFirstColumn="0" w:firstRowLastColumn="0" w:lastRowFirstColumn="0" w:lastRowLastColumn="0"/>
            </w:pPr>
            <w:r w:rsidRPr="00A84CE4">
              <w:rPr>
                <w:bCs/>
              </w:rPr>
              <w:t xml:space="preserve">922 </w:t>
            </w:r>
          </w:p>
        </w:tc>
      </w:tr>
    </w:tbl>
    <w:p w14:paraId="3936646F" w14:textId="6A1E6EC9" w:rsidR="000D0A1E" w:rsidRPr="00A84CE4" w:rsidRDefault="00084459" w:rsidP="000D0A1E">
      <w:pPr>
        <w:pStyle w:val="Titre2"/>
      </w:pPr>
      <w:bookmarkStart w:id="19" w:name="_Ref68812271"/>
      <w:r w:rsidRPr="00A84CE4">
        <w:t>Complementary</w:t>
      </w:r>
      <w:r w:rsidR="000D0A1E" w:rsidRPr="00A84CE4">
        <w:t xml:space="preserve"> studies</w:t>
      </w:r>
      <w:bookmarkEnd w:id="19"/>
    </w:p>
    <w:p w14:paraId="2F2A6943" w14:textId="77777777" w:rsidR="001025CA" w:rsidRDefault="00E13B2B" w:rsidP="001871C5">
      <w:pPr>
        <w:pStyle w:val="Corpsdetexte"/>
      </w:pPr>
      <w:r w:rsidRPr="00A84CE4">
        <w:t xml:space="preserve">Following the </w:t>
      </w:r>
      <w:r w:rsidR="0059289F" w:rsidRPr="00A84CE4">
        <w:t>SDDS</w:t>
      </w:r>
      <w:r w:rsidRPr="00A84CE4">
        <w:t xml:space="preserve"> study at 1100 MWe,</w:t>
      </w:r>
      <w:r w:rsidR="00173348" w:rsidRPr="00A84CE4">
        <w:t xml:space="preserve"> possible evolutions of some of</w:t>
      </w:r>
      <w:r w:rsidRPr="00A84CE4">
        <w:t xml:space="preserve"> the parameters and criteria have been identified</w:t>
      </w:r>
      <w:r w:rsidR="00173348" w:rsidRPr="00A84CE4">
        <w:t>.</w:t>
      </w:r>
      <w:r w:rsidRPr="00A84CE4">
        <w:t xml:space="preserve"> Some of them have been investigated in</w:t>
      </w:r>
      <w:r w:rsidR="0059289F" w:rsidRPr="00A84CE4">
        <w:t xml:space="preserve"> a</w:t>
      </w:r>
      <w:r w:rsidRPr="00A84CE4">
        <w:t xml:space="preserve"> recent complementary study. </w:t>
      </w:r>
    </w:p>
    <w:p w14:paraId="66C58BA5" w14:textId="63AE4217" w:rsidR="00173348" w:rsidRPr="00A84CE4" w:rsidRDefault="00093FA0" w:rsidP="001871C5">
      <w:pPr>
        <w:pStyle w:val="Corpsdetexte"/>
      </w:pPr>
      <w:r>
        <w:t>Since</w:t>
      </w:r>
      <w:r w:rsidR="0059289F" w:rsidRPr="00A84CE4">
        <w:t xml:space="preserve"> core</w:t>
      </w:r>
      <w:r>
        <w:t>s</w:t>
      </w:r>
      <w:r w:rsidR="0059289F" w:rsidRPr="00A84CE4">
        <w:t xml:space="preserve"> with a higher pin number per assembly have better safety performances, t</w:t>
      </w:r>
      <w:r w:rsidR="00173348" w:rsidRPr="00A84CE4">
        <w:t>he number of pin</w:t>
      </w:r>
      <w:r>
        <w:t>s</w:t>
      </w:r>
      <w:r w:rsidR="00173348" w:rsidRPr="00A84CE4">
        <w:t xml:space="preserve"> per assembly has been increas</w:t>
      </w:r>
      <w:r w:rsidR="0059289F" w:rsidRPr="00A84CE4">
        <w:t>ed up to 331 (instead of 271).</w:t>
      </w:r>
      <w:r w:rsidR="00173348" w:rsidRPr="00A84CE4">
        <w:t xml:space="preserve"> </w:t>
      </w:r>
      <w:r w:rsidR="001871C5" w:rsidRPr="00A84CE4">
        <w:t>This shift</w:t>
      </w:r>
      <w:r w:rsidR="0059289F" w:rsidRPr="00A84CE4">
        <w:t xml:space="preserve"> leads indeed to a significant improvement of the core</w:t>
      </w:r>
      <w:r w:rsidR="001871C5" w:rsidRPr="00A84CE4">
        <w:t>s</w:t>
      </w:r>
      <w:r w:rsidR="0059289F" w:rsidRPr="00A84CE4">
        <w:t xml:space="preserve"> behaviour in both ULOSSP and UCWR. </w:t>
      </w:r>
      <w:r w:rsidR="001871C5" w:rsidRPr="00A84CE4">
        <w:t>However:</w:t>
      </w:r>
    </w:p>
    <w:p w14:paraId="438B2E6E" w14:textId="09037E5A" w:rsidR="00173348" w:rsidRPr="00A84CE4" w:rsidRDefault="001871C5" w:rsidP="001871C5">
      <w:pPr>
        <w:pStyle w:val="Corpsdetexte"/>
        <w:numPr>
          <w:ilvl w:val="0"/>
          <w:numId w:val="34"/>
        </w:numPr>
      </w:pPr>
      <w:r w:rsidRPr="00A84CE4">
        <w:t>The designs with 13 SA rings and 331 pins have a too large core</w:t>
      </w:r>
      <w:r w:rsidR="0086164F">
        <w:t xml:space="preserve"> diameter</w:t>
      </w:r>
      <w:r w:rsidRPr="00A84CE4">
        <w:t xml:space="preserve"> (or a too low power density). Thus, they do not meet the scope of the compact commercial SFR design. </w:t>
      </w:r>
    </w:p>
    <w:p w14:paraId="31DB072F" w14:textId="58EADC31" w:rsidR="00173348" w:rsidRPr="00A84CE4" w:rsidRDefault="001871C5" w:rsidP="001871C5">
      <w:pPr>
        <w:pStyle w:val="Corpsdetexte"/>
        <w:numPr>
          <w:ilvl w:val="0"/>
          <w:numId w:val="34"/>
        </w:numPr>
      </w:pPr>
      <w:r w:rsidRPr="00A84CE4">
        <w:t xml:space="preserve">The designs with 12 SA rings and 331 pins have </w:t>
      </w:r>
      <w:r w:rsidR="00E14498">
        <w:t xml:space="preserve">globally </w:t>
      </w:r>
      <w:r w:rsidRPr="00A84CE4">
        <w:t xml:space="preserve">better safety performances than the designs with 12 SA rings and 271 pins but worse safety performances than the designs with 13 SA rings and 271 pins for equivalent core radius. </w:t>
      </w:r>
    </w:p>
    <w:p w14:paraId="71A3AF1D" w14:textId="123B7BF6" w:rsidR="00173348" w:rsidRPr="00A84CE4" w:rsidRDefault="001871C5" w:rsidP="001871C5">
      <w:pPr>
        <w:pStyle w:val="Corpsdetexte"/>
      </w:pPr>
      <w:r w:rsidRPr="00A84CE4">
        <w:t>The variation range of the pellet –cladding gap has been shifted from [0; 0</w:t>
      </w:r>
      <w:r w:rsidR="005C7BB3">
        <w:t>.</w:t>
      </w:r>
      <w:r w:rsidRPr="00A84CE4">
        <w:t>11] mm to</w:t>
      </w:r>
      <w:r w:rsidR="00E13B2B" w:rsidRPr="00A84CE4">
        <w:t xml:space="preserve"> [0</w:t>
      </w:r>
      <w:r w:rsidR="005C7BB3">
        <w:t>.</w:t>
      </w:r>
      <w:r w:rsidR="00E13B2B" w:rsidRPr="00A84CE4">
        <w:t>05; 0</w:t>
      </w:r>
      <w:r w:rsidR="005C7BB3">
        <w:t>.</w:t>
      </w:r>
      <w:r w:rsidR="00E13B2B" w:rsidRPr="00A84CE4">
        <w:t xml:space="preserve">12] </w:t>
      </w:r>
      <w:r w:rsidRPr="00A84CE4">
        <w:t>mainly for pin manufacturability reasons. This shift does not change the observed trends but some designs with</w:t>
      </w:r>
      <w:r w:rsidR="002358F2" w:rsidRPr="00A84CE4">
        <w:t xml:space="preserve"> a</w:t>
      </w:r>
      <w:r w:rsidRPr="00A84CE4">
        <w:t xml:space="preserve"> minim</w:t>
      </w:r>
      <w:r w:rsidR="002358F2" w:rsidRPr="00A84CE4">
        <w:t>um</w:t>
      </w:r>
      <w:r w:rsidRPr="00A84CE4">
        <w:t xml:space="preserve"> gap (i.e. 0</w:t>
      </w:r>
      <w:r w:rsidR="00BF12D6">
        <w:t>.</w:t>
      </w:r>
      <w:r w:rsidRPr="00A84CE4">
        <w:t xml:space="preserve">05 mm) appear on the Pareto Front for the 13 SA rings cores. </w:t>
      </w:r>
    </w:p>
    <w:p w14:paraId="0024A8AC" w14:textId="07151DC0" w:rsidR="00173348" w:rsidRPr="00A84CE4" w:rsidRDefault="002358F2" w:rsidP="008925EE">
      <w:pPr>
        <w:pStyle w:val="Corpsdetexte"/>
      </w:pPr>
      <w:r w:rsidRPr="00A84CE4">
        <w:t xml:space="preserve">The target burnup has been increased from </w:t>
      </w:r>
      <w:r w:rsidR="0086164F">
        <w:t xml:space="preserve">100 </w:t>
      </w:r>
      <w:proofErr w:type="spellStart"/>
      <w:r w:rsidRPr="00A84CE4">
        <w:t>GWd</w:t>
      </w:r>
      <w:proofErr w:type="spellEnd"/>
      <w:r w:rsidR="00E13B2B" w:rsidRPr="00A84CE4">
        <w:t xml:space="preserve">/t </w:t>
      </w:r>
      <w:r w:rsidRPr="00A84CE4">
        <w:t xml:space="preserve">to 110 </w:t>
      </w:r>
      <w:proofErr w:type="spellStart"/>
      <w:r w:rsidRPr="00A84CE4">
        <w:t>GWd</w:t>
      </w:r>
      <w:proofErr w:type="spellEnd"/>
      <w:r w:rsidR="00E13B2B" w:rsidRPr="00A84CE4">
        <w:t xml:space="preserve">/t </w:t>
      </w:r>
      <w:r w:rsidR="008925EE" w:rsidRPr="00A84CE4">
        <w:t>to take advantage of the use of ODS cladding (instead of AIM1) that should allow to achieve higher burnups. This does not change the observed trends but the campaigns duration is increased (of about a hundred days) and the safety performances slightly deteriorate.</w:t>
      </w:r>
    </w:p>
    <w:p w14:paraId="433FE070" w14:textId="4BFEB5E1" w:rsidR="00537496" w:rsidRPr="00A84CE4" w:rsidRDefault="00585333" w:rsidP="008925EE">
      <w:pPr>
        <w:pStyle w:val="Corpsdetexte"/>
      </w:pPr>
      <w:r w:rsidRPr="00A84CE4">
        <w:t>Additional technic</w:t>
      </w:r>
      <w:r w:rsidR="0086164F">
        <w:t>al</w:t>
      </w:r>
      <w:r w:rsidRPr="00A84CE4">
        <w:t xml:space="preserve">-economic criteria have been taken into account </w:t>
      </w:r>
      <w:r w:rsidR="006853CC" w:rsidRPr="00A84CE4">
        <w:t xml:space="preserve">on the campaign length </w:t>
      </w:r>
      <w:r w:rsidR="0004567A" w:rsidRPr="00A84CE4">
        <w:t xml:space="preserve">(to select </w:t>
      </w:r>
      <w:r w:rsidR="00FA1DFB" w:rsidRPr="00A84CE4">
        <w:t>only the designs with a</w:t>
      </w:r>
      <w:r w:rsidR="0004567A" w:rsidRPr="00A84CE4">
        <w:t xml:space="preserve"> campaign length above 1500 EFPD) </w:t>
      </w:r>
      <w:r w:rsidR="006853CC" w:rsidRPr="00A84CE4">
        <w:t xml:space="preserve">and on </w:t>
      </w:r>
      <w:r w:rsidR="0004567A" w:rsidRPr="00A84CE4">
        <w:t>the damage</w:t>
      </w:r>
      <w:r w:rsidR="00FA1DFB" w:rsidRPr="00A84CE4">
        <w:t>s</w:t>
      </w:r>
      <w:r w:rsidR="0004567A" w:rsidRPr="00A84CE4">
        <w:t xml:space="preserve"> </w:t>
      </w:r>
      <w:r w:rsidR="00FA1DFB" w:rsidRPr="00A84CE4">
        <w:t>to the fuel cladding</w:t>
      </w:r>
      <w:r w:rsidR="006853CC" w:rsidRPr="00A84CE4">
        <w:t xml:space="preserve"> </w:t>
      </w:r>
      <w:r w:rsidR="0004567A" w:rsidRPr="00A84CE4">
        <w:t xml:space="preserve">(to select only the </w:t>
      </w:r>
      <w:r w:rsidR="00FA1DFB" w:rsidRPr="00A84CE4">
        <w:t>designs with damages to</w:t>
      </w:r>
      <w:r w:rsidR="0004567A" w:rsidRPr="00A84CE4">
        <w:t xml:space="preserve"> the clad</w:t>
      </w:r>
      <w:r w:rsidR="00FA1DFB" w:rsidRPr="00A84CE4">
        <w:t>ding</w:t>
      </w:r>
      <w:r w:rsidR="0004567A" w:rsidRPr="00A84CE4">
        <w:t xml:space="preserve"> below 150 </w:t>
      </w:r>
      <w:proofErr w:type="spellStart"/>
      <w:r w:rsidR="0004567A" w:rsidRPr="00A84CE4">
        <w:t>dpa</w:t>
      </w:r>
      <w:proofErr w:type="spellEnd"/>
      <w:r w:rsidR="0004567A" w:rsidRPr="00A84CE4">
        <w:t>).</w:t>
      </w:r>
      <w:r w:rsidR="00FA1DFB" w:rsidRPr="00A84CE4">
        <w:t xml:space="preserve"> </w:t>
      </w:r>
      <w:r w:rsidR="00D36BF0" w:rsidRPr="00A84CE4">
        <w:t xml:space="preserve">With those criteria, an increased number of designs are </w:t>
      </w:r>
      <w:r w:rsidR="0086164F">
        <w:t>eliminated</w:t>
      </w:r>
      <w:r w:rsidR="00D36BF0" w:rsidRPr="00A84CE4">
        <w:t>, s</w:t>
      </w:r>
      <w:r w:rsidRPr="00A84CE4">
        <w:t xml:space="preserve">ome of them being on the Pareto front and with a low sodium temperature in ULOSSP. </w:t>
      </w:r>
      <w:r w:rsidR="00D36BF0" w:rsidRPr="00A84CE4">
        <w:t>Thus, the space of the available designs is even more restricted.</w:t>
      </w:r>
    </w:p>
    <w:p w14:paraId="433FE073" w14:textId="2926E9FC" w:rsidR="00897ED5" w:rsidRPr="00A84CE4" w:rsidRDefault="00AF7783" w:rsidP="00537496">
      <w:pPr>
        <w:pStyle w:val="Titre2"/>
      </w:pPr>
      <w:r w:rsidRPr="00A84CE4">
        <w:t>Conclusions and perspectives</w:t>
      </w:r>
    </w:p>
    <w:p w14:paraId="566E2B35" w14:textId="7F6CBCC6" w:rsidR="00585333" w:rsidRPr="00A84CE4" w:rsidRDefault="00173348" w:rsidP="00585333">
      <w:pPr>
        <w:pStyle w:val="Corpsdetexte"/>
      </w:pPr>
      <w:r w:rsidRPr="00A84CE4">
        <w:t xml:space="preserve">Following the SDDS study at 1000 MWe meant to select a SFR design with a </w:t>
      </w:r>
      <w:r w:rsidR="00417749">
        <w:t>low</w:t>
      </w:r>
      <w:r w:rsidR="00417749" w:rsidRPr="00A84CE4">
        <w:t xml:space="preserve"> </w:t>
      </w:r>
      <w:r w:rsidRPr="00A84CE4">
        <w:t>core diameter, a new SDDS study has been performed, still with the objective of reducing SFR</w:t>
      </w:r>
      <w:r w:rsidR="00E943B8" w:rsidRPr="00A84CE4">
        <w:t xml:space="preserve"> costs, </w:t>
      </w:r>
      <w:r w:rsidRPr="00A84CE4">
        <w:t>considering a 10% increase of the nominal power.</w:t>
      </w:r>
      <w:r w:rsidR="00E943B8" w:rsidRPr="00A84CE4">
        <w:t xml:space="preserve"> The general trends observed in this new study at 1100 MWe are similar to the ones of the study</w:t>
      </w:r>
      <w:r w:rsidR="005C7BB3">
        <w:t xml:space="preserve"> at 1000 MWe</w:t>
      </w:r>
      <w:r w:rsidR="00E943B8" w:rsidRPr="00A84CE4">
        <w:t>. In particular, the cores offering the best compromise between a reduced temperature of the sodium in ULOSSP and an increased margin to fuel melting in UCWR (thus located on the Pareto Front in this space) have similar geometrical characteristics in b</w:t>
      </w:r>
      <w:r w:rsidR="00EC27C0">
        <w:t>o</w:t>
      </w:r>
      <w:r w:rsidR="00E943B8" w:rsidRPr="00A84CE4">
        <w:t>th studies.</w:t>
      </w:r>
    </w:p>
    <w:p w14:paraId="0AA5D650" w14:textId="4F037E83" w:rsidR="0086164F" w:rsidRDefault="00A95127" w:rsidP="00585333">
      <w:pPr>
        <w:pStyle w:val="Corpsdetexte"/>
      </w:pPr>
      <w:r w:rsidRPr="00A84CE4">
        <w:t>However,</w:t>
      </w:r>
      <w:r w:rsidR="00E943B8" w:rsidRPr="00A84CE4">
        <w:t xml:space="preserve"> a degradation of the safety performan</w:t>
      </w:r>
      <w:r w:rsidR="00EC27C0">
        <w:t>ce</w:t>
      </w:r>
      <w:r w:rsidR="00BD2550">
        <w:t>s</w:t>
      </w:r>
      <w:r w:rsidR="00EC27C0">
        <w:t xml:space="preserve"> is observed and impacts </w:t>
      </w:r>
      <w:r w:rsidR="00E943B8" w:rsidRPr="00A84CE4">
        <w:t xml:space="preserve">the behaviour in ULOSSP and in UCWR. </w:t>
      </w:r>
      <w:r w:rsidRPr="00A84CE4">
        <w:t xml:space="preserve"> </w:t>
      </w:r>
      <w:r w:rsidR="002C681F" w:rsidRPr="00A84CE4">
        <w:t xml:space="preserve">Indeed, none of the designs allows both non-boiling in ULOSSP and non-melting in UCRW (in the considered space and with </w:t>
      </w:r>
      <w:r w:rsidR="005C7BB3">
        <w:t xml:space="preserve">a </w:t>
      </w:r>
      <w:r w:rsidR="002C681F" w:rsidRPr="00A84CE4">
        <w:t xml:space="preserve">filter on the power </w:t>
      </w:r>
      <w:r w:rsidR="00EC27C0">
        <w:t xml:space="preserve">density </w:t>
      </w:r>
      <w:r w:rsidR="002C681F" w:rsidRPr="00A84CE4">
        <w:t>above 250W/cm</w:t>
      </w:r>
      <w:r w:rsidR="002C681F" w:rsidRPr="00A84CE4">
        <w:rPr>
          <w:vertAlign w:val="superscript"/>
        </w:rPr>
        <w:t>3</w:t>
      </w:r>
      <w:r w:rsidR="00EC27C0">
        <w:t>). Nev</w:t>
      </w:r>
      <w:r w:rsidR="002C681F" w:rsidRPr="00A84CE4">
        <w:t>ertheless, a new 13 SA ring core design has been selected with a core diameter slightly above 4 m, that meet</w:t>
      </w:r>
      <w:r w:rsidR="0086164F">
        <w:t>s</w:t>
      </w:r>
      <w:r w:rsidR="002C681F" w:rsidRPr="00A84CE4">
        <w:t xml:space="preserve"> t</w:t>
      </w:r>
      <w:r w:rsidR="003F3B3A">
        <w:t xml:space="preserve">he non-melting criteria in UCRW. </w:t>
      </w:r>
      <w:r w:rsidR="003F3B3A">
        <w:lastRenderedPageBreak/>
        <w:t>However, this compact design has a</w:t>
      </w:r>
      <w:r w:rsidR="002C681F" w:rsidRPr="00A84CE4">
        <w:t xml:space="preserve"> sodium temperature in ULOSSP</w:t>
      </w:r>
      <w:r w:rsidR="008F0DDB" w:rsidRPr="008F0DDB">
        <w:t xml:space="preserve"> would lead to sodium boiling under an</w:t>
      </w:r>
      <w:r w:rsidR="003F3B3A">
        <w:t xml:space="preserve"> </w:t>
      </w:r>
      <w:r w:rsidR="00B07BC2">
        <w:t>ULOSSP</w:t>
      </w:r>
      <w:r w:rsidR="008F0DDB" w:rsidRPr="008F0DDB">
        <w:t xml:space="preserve"> transient</w:t>
      </w:r>
      <w:r w:rsidR="002C681F" w:rsidRPr="00A84CE4">
        <w:t xml:space="preserve">. </w:t>
      </w:r>
      <w:r w:rsidR="00B07BC2">
        <w:t xml:space="preserve">As a further study, it is foreseen to evaluate the behaviour </w:t>
      </w:r>
      <w:r w:rsidR="008B2066">
        <w:t xml:space="preserve">of the selected core with best estimate codes to quantify the bias in the results due to the use of simplified models or codes (such as MAT5DYN for the accidental transients). </w:t>
      </w:r>
    </w:p>
    <w:p w14:paraId="3454098D" w14:textId="42390628" w:rsidR="00585333" w:rsidRPr="00A84CE4" w:rsidRDefault="002C681F" w:rsidP="0086164F">
      <w:pPr>
        <w:pStyle w:val="Corpsdetexte"/>
      </w:pPr>
      <w:r w:rsidRPr="00A84CE4">
        <w:t xml:space="preserve"> </w:t>
      </w:r>
      <w:r w:rsidR="00176334" w:rsidRPr="00A84CE4">
        <w:t>All the transients studied up to now are unprotected</w:t>
      </w:r>
      <w:r w:rsidR="00093FA0">
        <w:t xml:space="preserve"> ones</w:t>
      </w:r>
      <w:r w:rsidR="004C4CBD">
        <w:t xml:space="preserve"> and do not include passive safety rods</w:t>
      </w:r>
      <w:r w:rsidR="00176334" w:rsidRPr="00A84CE4">
        <w:t xml:space="preserve">. </w:t>
      </w:r>
      <w:r w:rsidRPr="00A84CE4">
        <w:t>If the route of a 1100 MWe commercial SFR core is favoured in the future, a</w:t>
      </w:r>
      <w:r w:rsidR="00176334" w:rsidRPr="00A84CE4">
        <w:t>dditional studies</w:t>
      </w:r>
      <w:r w:rsidRPr="00A84CE4">
        <w:t xml:space="preserve"> will be needed to </w:t>
      </w:r>
      <w:r w:rsidR="00093FA0">
        <w:t>assess the core safety behaviour of</w:t>
      </w:r>
      <w:r w:rsidRPr="00A84CE4">
        <w:t xml:space="preserve"> selected core </w:t>
      </w:r>
      <w:r w:rsidR="00176334" w:rsidRPr="00A84CE4">
        <w:t xml:space="preserve">when </w:t>
      </w:r>
      <w:proofErr w:type="gramStart"/>
      <w:r w:rsidR="00176334" w:rsidRPr="00A84CE4">
        <w:t>taking into account</w:t>
      </w:r>
      <w:proofErr w:type="gramEnd"/>
      <w:r w:rsidR="00176334" w:rsidRPr="00A84CE4">
        <w:t xml:space="preserve"> the protective systems. This work should be performed with a more precise modelling that the one based on MAT5DYN used in SDDS; for instance the CATHARE code </w:t>
      </w:r>
      <w:r w:rsidR="00BF12D6">
        <w:fldChar w:fldCharType="begin"/>
      </w:r>
      <w:r w:rsidR="00BF12D6">
        <w:instrText xml:space="preserve"> REF _Ref69411458 \r \h </w:instrText>
      </w:r>
      <w:r w:rsidR="00BF12D6">
        <w:fldChar w:fldCharType="separate"/>
      </w:r>
      <w:r w:rsidR="00466114">
        <w:t>[8]</w:t>
      </w:r>
      <w:r w:rsidR="00BF12D6">
        <w:fldChar w:fldCharType="end"/>
      </w:r>
      <w:r w:rsidR="00BF12D6">
        <w:t xml:space="preserve"> </w:t>
      </w:r>
      <w:r w:rsidR="00176334" w:rsidRPr="00A84CE4">
        <w:t xml:space="preserve">could be used. In addition, the investigation of the </w:t>
      </w:r>
      <w:r w:rsidR="0086164F">
        <w:t xml:space="preserve">natural </w:t>
      </w:r>
      <w:r w:rsidR="00176334" w:rsidRPr="00A84CE4">
        <w:t>behaviour of the commercial SFR under severe accident</w:t>
      </w:r>
      <w:r w:rsidR="00211E6F">
        <w:t xml:space="preserve"> conditions</w:t>
      </w:r>
      <w:r w:rsidR="00176334" w:rsidRPr="00A84CE4">
        <w:t xml:space="preserve"> could be studied with</w:t>
      </w:r>
      <w:r w:rsidR="00211E6F">
        <w:t xml:space="preserve"> the</w:t>
      </w:r>
      <w:r w:rsidR="00176334" w:rsidRPr="00A84CE4">
        <w:t xml:space="preserve"> SIMMER </w:t>
      </w:r>
      <w:r w:rsidR="00211E6F">
        <w:t>code</w:t>
      </w:r>
      <w:r w:rsidR="00BF12D6">
        <w:t xml:space="preserve"> </w:t>
      </w:r>
      <w:r w:rsidR="00BF12D6">
        <w:fldChar w:fldCharType="begin"/>
      </w:r>
      <w:r w:rsidR="00BF12D6">
        <w:instrText xml:space="preserve"> REF _Ref69411470 \r \h </w:instrText>
      </w:r>
      <w:r w:rsidR="00BF12D6">
        <w:fldChar w:fldCharType="separate"/>
      </w:r>
      <w:r w:rsidR="00466114">
        <w:t>[9]</w:t>
      </w:r>
      <w:r w:rsidR="00BF12D6">
        <w:fldChar w:fldCharType="end"/>
      </w:r>
      <w:r w:rsidR="00211E6F">
        <w:t xml:space="preserve"> </w:t>
      </w:r>
      <w:r w:rsidR="00176334" w:rsidRPr="00A84CE4">
        <w:t>in the future.</w:t>
      </w:r>
    </w:p>
    <w:p w14:paraId="15706527" w14:textId="3F08969D" w:rsidR="00C4496B" w:rsidRPr="003861A6" w:rsidRDefault="00DD66BC" w:rsidP="003861A6">
      <w:pPr>
        <w:pStyle w:val="Corpsdetexte"/>
      </w:pPr>
      <w:r w:rsidRPr="00A84CE4">
        <w:t xml:space="preserve">To conclude, </w:t>
      </w:r>
      <w:r w:rsidR="00176334" w:rsidRPr="00A84CE4">
        <w:t>some of the geometr</w:t>
      </w:r>
      <w:r w:rsidR="00211E6F">
        <w:t>ical</w:t>
      </w:r>
      <w:r w:rsidR="00176334" w:rsidRPr="00A84CE4">
        <w:t xml:space="preserve"> characteristics that enhance the ULOSSP behaviour tend to degrade the UCWR behaviour. </w:t>
      </w:r>
      <w:r w:rsidR="005C7BB3">
        <w:t>In addition, t</w:t>
      </w:r>
      <w:r w:rsidRPr="00A84CE4">
        <w:t>he economic</w:t>
      </w:r>
      <w:r w:rsidR="00176334" w:rsidRPr="00A84CE4">
        <w:t xml:space="preserve"> objectives of the commercial SFR (in particular the reduction of the core diameter) </w:t>
      </w:r>
      <w:r w:rsidRPr="00A84CE4">
        <w:t>are mostly opposed to the safety objective</w:t>
      </w:r>
      <w:r w:rsidR="00F13447">
        <w:t>s</w:t>
      </w:r>
      <w:r w:rsidRPr="00A84CE4">
        <w:t>. And finally, the addition of safety criteria or technic</w:t>
      </w:r>
      <w:r w:rsidR="0086164F">
        <w:t>al</w:t>
      </w:r>
      <w:r w:rsidRPr="00A84CE4">
        <w:t xml:space="preserve">-economic criteria reduces furthermore the studied space. </w:t>
      </w:r>
      <w:r w:rsidR="005C7BB3">
        <w:t>T</w:t>
      </w:r>
      <w:r w:rsidR="005C7BB3" w:rsidRPr="00A84CE4">
        <w:t>he</w:t>
      </w:r>
      <w:r w:rsidR="005C7BB3">
        <w:t>se</w:t>
      </w:r>
      <w:r w:rsidR="005C7BB3" w:rsidRPr="00A84CE4">
        <w:t xml:space="preserve"> opposite constraints</w:t>
      </w:r>
      <w:r w:rsidR="005C7BB3">
        <w:t xml:space="preserve"> </w:t>
      </w:r>
      <w:r w:rsidR="005C7BB3" w:rsidRPr="00A84CE4">
        <w:t>makes the optimisa</w:t>
      </w:r>
      <w:r w:rsidR="005C7BB3">
        <w:t xml:space="preserve">tion of the commercial SFR quite </w:t>
      </w:r>
      <w:r w:rsidR="005C7BB3" w:rsidRPr="00A84CE4">
        <w:t xml:space="preserve">complex. </w:t>
      </w:r>
      <w:r w:rsidR="007404FD">
        <w:t xml:space="preserve">The strength of the </w:t>
      </w:r>
      <w:r w:rsidR="004C4CBD">
        <w:t>developed</w:t>
      </w:r>
      <w:r w:rsidR="007404FD">
        <w:t xml:space="preserve"> method is that it enables to select different design</w:t>
      </w:r>
      <w:r w:rsidR="00E05941">
        <w:t>s</w:t>
      </w:r>
      <w:r w:rsidR="007404FD">
        <w:t xml:space="preserve"> depending on the compromise one wants to make on the different objectives.</w:t>
      </w:r>
    </w:p>
    <w:p w14:paraId="433FE095" w14:textId="7D6B38D6" w:rsidR="00285755" w:rsidRPr="00A84CE4" w:rsidRDefault="00285755" w:rsidP="00537496">
      <w:pPr>
        <w:pStyle w:val="Otherunnumberedheadings"/>
      </w:pPr>
      <w:r w:rsidRPr="00A84CE4">
        <w:t>ACKNOWLEDGEMENTS</w:t>
      </w:r>
    </w:p>
    <w:p w14:paraId="13F0A96A" w14:textId="28BC3377" w:rsidR="00395A3F" w:rsidRPr="005662DF" w:rsidRDefault="002358F2" w:rsidP="005662DF">
      <w:pPr>
        <w:pStyle w:val="Corpsdetexte"/>
      </w:pPr>
      <w:r w:rsidRPr="00A84CE4">
        <w:t>The authors</w:t>
      </w:r>
      <w:r w:rsidR="00092ADD" w:rsidRPr="00A84CE4">
        <w:t xml:space="preserve"> wish to</w:t>
      </w:r>
      <w:r w:rsidRPr="00A84CE4">
        <w:t xml:space="preserve"> thank EDF</w:t>
      </w:r>
      <w:r w:rsidR="00E7546E" w:rsidRPr="00A84CE4">
        <w:t>-</w:t>
      </w:r>
      <w:r w:rsidRPr="00A84CE4">
        <w:t>DIPNN, CEA and Framatome for</w:t>
      </w:r>
      <w:r w:rsidR="00092ADD" w:rsidRPr="00A84CE4">
        <w:t xml:space="preserve"> the discussion</w:t>
      </w:r>
      <w:r w:rsidR="0086164F">
        <w:t>s</w:t>
      </w:r>
      <w:r w:rsidR="00092ADD" w:rsidRPr="00A84CE4">
        <w:t xml:space="preserve"> on the </w:t>
      </w:r>
      <w:r w:rsidR="00E7546E" w:rsidRPr="00A84CE4">
        <w:t>range of the variable</w:t>
      </w:r>
      <w:r w:rsidR="00092ADD" w:rsidRPr="00A84CE4">
        <w:t xml:space="preserve"> parameters and</w:t>
      </w:r>
      <w:r w:rsidR="00E7546E" w:rsidRPr="00A84CE4">
        <w:t xml:space="preserve"> on</w:t>
      </w:r>
      <w:r w:rsidR="00092ADD" w:rsidRPr="00A84CE4">
        <w:t xml:space="preserve"> the safety and technic</w:t>
      </w:r>
      <w:r w:rsidR="0086164F">
        <w:t>al</w:t>
      </w:r>
      <w:r w:rsidR="00092ADD" w:rsidRPr="00A84CE4">
        <w:t>-economic criteria</w:t>
      </w:r>
      <w:r w:rsidR="00E7546E" w:rsidRPr="00A84CE4">
        <w:t xml:space="preserve"> for SFR core selection</w:t>
      </w:r>
      <w:r w:rsidR="00092ADD" w:rsidRPr="00A84CE4">
        <w:t>.</w:t>
      </w:r>
    </w:p>
    <w:p w14:paraId="433FE097" w14:textId="5E022920" w:rsidR="00D26ADA" w:rsidRPr="00A84CE4" w:rsidRDefault="00D26ADA" w:rsidP="00537496">
      <w:pPr>
        <w:pStyle w:val="Otherunnumberedheadings"/>
      </w:pPr>
      <w:r w:rsidRPr="00A84CE4">
        <w:t>References</w:t>
      </w:r>
    </w:p>
    <w:p w14:paraId="1A8BF0B2" w14:textId="01497C2D" w:rsidR="00E27FE3" w:rsidRPr="00A84CE4" w:rsidRDefault="00E27FE3" w:rsidP="00043D04">
      <w:pPr>
        <w:pStyle w:val="Referencelist"/>
      </w:pPr>
      <w:bookmarkStart w:id="20" w:name="_Ref67992244"/>
      <w:bookmarkStart w:id="21" w:name="_Ref68800169"/>
      <w:bookmarkStart w:id="22" w:name="_Ref68854625"/>
      <w:bookmarkStart w:id="23" w:name="_Ref67992222"/>
      <w:bookmarkStart w:id="24" w:name="_Ref68811326"/>
      <w:bookmarkStart w:id="25" w:name="_Ref68796496"/>
      <w:r w:rsidRPr="00A84CE4">
        <w:t>POUMEROULY, S., GIRARDI, E., MERIOT, C., “</w:t>
      </w:r>
      <w:r w:rsidR="00043D04" w:rsidRPr="00043D04">
        <w:t>Proposal of a compact core design for the 1000 MWe French commercial Sodium Fast Reactor by means of the SDDS multi-objective optimization tool</w:t>
      </w:r>
      <w:r w:rsidR="00043D04">
        <w:t>”,  Paper 360</w:t>
      </w:r>
      <w:r w:rsidRPr="00A84CE4">
        <w:t>,</w:t>
      </w:r>
      <w:r w:rsidR="00043D04">
        <w:t xml:space="preserve"> </w:t>
      </w:r>
      <w:r w:rsidRPr="00A84CE4">
        <w:t xml:space="preserve"> Proceedings of FR21, Beijing, China (2022)</w:t>
      </w:r>
      <w:bookmarkEnd w:id="20"/>
      <w:bookmarkEnd w:id="21"/>
      <w:r w:rsidRPr="00A84CE4">
        <w:t xml:space="preserve">, </w:t>
      </w:r>
      <w:r w:rsidRPr="00A84CE4">
        <w:rPr>
          <w:i/>
        </w:rPr>
        <w:t>under acceptance.</w:t>
      </w:r>
      <w:bookmarkEnd w:id="22"/>
    </w:p>
    <w:p w14:paraId="6722BFE4" w14:textId="47D239DF" w:rsidR="007E1322" w:rsidRPr="00A84CE4" w:rsidRDefault="007E1322" w:rsidP="007E1322">
      <w:pPr>
        <w:pStyle w:val="Referencelist"/>
      </w:pPr>
      <w:bookmarkStart w:id="26" w:name="_Ref68852996"/>
      <w:bookmarkEnd w:id="23"/>
      <w:bookmarkEnd w:id="24"/>
      <w:r w:rsidRPr="00A84CE4">
        <w:t>BARJOT, F., SCHMITT, D., VENARD, C., “Multi-physics and multi-objective optimization methodology for sodium-cooled fast reactor conception”, Proceedings of ICAPP 2014, Charlotte, USA (2014).</w:t>
      </w:r>
      <w:bookmarkEnd w:id="25"/>
      <w:bookmarkEnd w:id="26"/>
    </w:p>
    <w:p w14:paraId="433FE099" w14:textId="728754B5" w:rsidR="009E0D5B" w:rsidRPr="00A84CE4" w:rsidRDefault="00682A0B" w:rsidP="00682A0B">
      <w:pPr>
        <w:pStyle w:val="Referencelist"/>
      </w:pPr>
      <w:bookmarkStart w:id="27" w:name="_Ref68798171"/>
      <w:r w:rsidRPr="00A84CE4">
        <w:t>R</w:t>
      </w:r>
      <w:r w:rsidR="00E378C6">
        <w:t>INEISKI</w:t>
      </w:r>
      <w:r w:rsidRPr="00A84CE4">
        <w:t>, A., et al. "Core safety measures in ESFR-SMART", Proceedings of PHYSOR 2018 conference, Cancun, Mexico (2018).</w:t>
      </w:r>
      <w:bookmarkEnd w:id="27"/>
    </w:p>
    <w:p w14:paraId="4B67EC5D" w14:textId="65C16380" w:rsidR="002C124D" w:rsidRPr="00A84CE4" w:rsidRDefault="002C124D" w:rsidP="002C124D">
      <w:pPr>
        <w:pStyle w:val="Referencelist"/>
      </w:pPr>
      <w:bookmarkStart w:id="28" w:name="_Ref68800103"/>
      <w:r w:rsidRPr="00A84CE4">
        <w:rPr>
          <w:lang w:eastAsia="fr-FR"/>
        </w:rPr>
        <w:t>RIMPAULT G. et al., “</w:t>
      </w:r>
      <w:r w:rsidRPr="00A84CE4">
        <w:rPr>
          <w:rFonts w:eastAsia="Calibri,Italic"/>
          <w:lang w:eastAsia="fr-FR"/>
        </w:rPr>
        <w:t xml:space="preserve">The ERANOS code and data system for fast reactor neutronic analyses”, </w:t>
      </w:r>
      <w:r w:rsidRPr="00A84CE4">
        <w:rPr>
          <w:lang w:eastAsia="fr-FR"/>
        </w:rPr>
        <w:t>Proceedings of PHYSOR 2002, Seoul, Korea (2002).</w:t>
      </w:r>
      <w:bookmarkEnd w:id="28"/>
    </w:p>
    <w:p w14:paraId="4EEADE45" w14:textId="77777777" w:rsidR="002C124D" w:rsidRPr="00A84CE4" w:rsidRDefault="002C124D" w:rsidP="002C124D">
      <w:pPr>
        <w:pStyle w:val="Referencelist"/>
      </w:pPr>
      <w:bookmarkStart w:id="29" w:name="_Ref68856524"/>
      <w:r w:rsidRPr="00A84CE4">
        <w:t>MASSARA, S. et al., Dynamics of critical dedicated cores for Minor Actinide Transmutation, Nuclear Technology, Vol. 149, pp. 150-174, 2005.</w:t>
      </w:r>
      <w:bookmarkEnd w:id="29"/>
      <w:r w:rsidRPr="00A84CE4">
        <w:t xml:space="preserve"> </w:t>
      </w:r>
    </w:p>
    <w:p w14:paraId="6CE394FB" w14:textId="16868636" w:rsidR="002C124D" w:rsidRPr="00A84CE4" w:rsidRDefault="002C124D" w:rsidP="002C124D">
      <w:pPr>
        <w:pStyle w:val="Referencelist"/>
      </w:pPr>
      <w:bookmarkStart w:id="30" w:name="_Ref68856542"/>
      <w:r w:rsidRPr="00A84CE4">
        <w:t>ROCHE, L., PELLETIER, M., “Modelling of the thermomechanical and physical processes in FR fuel pins using the GERMINAL code”, Proceedings of Symposium on MOX fuel technologies for medium and long term deployment, Vienna, Austria (2000).</w:t>
      </w:r>
      <w:bookmarkEnd w:id="30"/>
      <w:r w:rsidRPr="00A84CE4">
        <w:t xml:space="preserve"> </w:t>
      </w:r>
    </w:p>
    <w:p w14:paraId="12D58688" w14:textId="0D346208" w:rsidR="002F7ED6" w:rsidRDefault="002F7ED6" w:rsidP="002F7ED6">
      <w:pPr>
        <w:pStyle w:val="Referencelist"/>
      </w:pPr>
      <w:bookmarkStart w:id="31" w:name="_Ref68808033"/>
      <w:bookmarkStart w:id="32" w:name="_Ref57974386"/>
      <w:r w:rsidRPr="00A84CE4">
        <w:t xml:space="preserve">MARREL, A., et al., </w:t>
      </w:r>
      <w:r w:rsidR="008D4DB0" w:rsidRPr="00A84CE4">
        <w:t>An efficient methodology for modelling complex compute</w:t>
      </w:r>
      <w:r w:rsidRPr="00A84CE4">
        <w:t>r codes with Gaussian processes</w:t>
      </w:r>
      <w:r w:rsidR="008D4DB0" w:rsidRPr="00A84CE4">
        <w:t xml:space="preserve">, Computational Statistics and Data </w:t>
      </w:r>
      <w:r w:rsidRPr="00A84CE4">
        <w:t>Analysis, 52 10 (2008) 4731-4744.</w:t>
      </w:r>
      <w:bookmarkEnd w:id="31"/>
    </w:p>
    <w:p w14:paraId="31B93678" w14:textId="77F5755C" w:rsidR="00BF12D6" w:rsidRDefault="00E14498" w:rsidP="00BF12D6">
      <w:pPr>
        <w:pStyle w:val="Referencelist"/>
      </w:pPr>
      <w:bookmarkStart w:id="33" w:name="_Ref69411458"/>
      <w:r w:rsidRPr="00E14498">
        <w:rPr>
          <w:lang w:val="fr-FR"/>
        </w:rPr>
        <w:t xml:space="preserve">EMONOT, Ph, SOUYRI, A., GANDRILLE, J. L., </w:t>
      </w:r>
      <w:r w:rsidRPr="00E14498">
        <w:rPr>
          <w:i/>
          <w:iCs/>
          <w:lang w:val="fr-FR"/>
        </w:rPr>
        <w:t>et al.</w:t>
      </w:r>
      <w:r w:rsidRPr="00E14498">
        <w:rPr>
          <w:lang w:val="fr-FR"/>
        </w:rPr>
        <w:t xml:space="preserve"> </w:t>
      </w:r>
      <w:r>
        <w:t xml:space="preserve">CATHARE-3: A new system code for thermal-hydraulics in the context of the NEPTUNE project, </w:t>
      </w:r>
      <w:r w:rsidRPr="00E14498">
        <w:rPr>
          <w:iCs/>
        </w:rPr>
        <w:t>Nuclear Engineering and Design</w:t>
      </w:r>
      <w:r>
        <w:t>, 241 11 (2011) 4476-4481.</w:t>
      </w:r>
      <w:bookmarkEnd w:id="32"/>
      <w:bookmarkEnd w:id="33"/>
    </w:p>
    <w:p w14:paraId="3DEF57D5" w14:textId="1AD62D9F" w:rsidR="00BF12D6" w:rsidRPr="00A84CE4" w:rsidRDefault="00C4496B" w:rsidP="00BF12D6">
      <w:pPr>
        <w:pStyle w:val="Referencelist"/>
      </w:pPr>
      <w:bookmarkStart w:id="34" w:name="_Ref69411470"/>
      <w:r>
        <w:t xml:space="preserve">MASCHEK, </w:t>
      </w:r>
      <w:r w:rsidR="00BF12D6">
        <w:t>W., RINEISKI, A., FLAD, M</w:t>
      </w:r>
      <w:r w:rsidR="00BF12D6" w:rsidRPr="00BF12D6">
        <w:t xml:space="preserve">., </w:t>
      </w:r>
      <w:r w:rsidR="00BF12D6" w:rsidRPr="00BF12D6">
        <w:rPr>
          <w:iCs/>
        </w:rPr>
        <w:t>et al.,</w:t>
      </w:r>
      <w:r w:rsidR="00BF12D6">
        <w:t xml:space="preserve"> “The SIMMER safety code system and its validation efforts for fast reactor application”, </w:t>
      </w:r>
      <w:r w:rsidR="00BF12D6" w:rsidRPr="00A84CE4">
        <w:t xml:space="preserve">Proceedings of </w:t>
      </w:r>
      <w:r w:rsidR="00BF12D6" w:rsidRPr="00BF12D6">
        <w:rPr>
          <w:iCs/>
        </w:rPr>
        <w:t>International Conference o</w:t>
      </w:r>
      <w:r w:rsidR="00BF12D6">
        <w:rPr>
          <w:iCs/>
        </w:rPr>
        <w:t>n the Physics of Reactors 2008 (</w:t>
      </w:r>
      <w:r w:rsidR="00BF12D6" w:rsidRPr="00BF12D6">
        <w:rPr>
          <w:iCs/>
        </w:rPr>
        <w:t>PHYSOR 08</w:t>
      </w:r>
      <w:r w:rsidR="00BF12D6">
        <w:rPr>
          <w:iCs/>
        </w:rPr>
        <w:t>)</w:t>
      </w:r>
      <w:r w:rsidR="00BF12D6">
        <w:t xml:space="preserve">, </w:t>
      </w:r>
      <w:r w:rsidR="00BF12D6" w:rsidRPr="00BF12D6">
        <w:t>Interlaken, Switzerland</w:t>
      </w:r>
      <w:r w:rsidR="00BF12D6">
        <w:t xml:space="preserve"> </w:t>
      </w:r>
      <w:r w:rsidR="00BF12D6" w:rsidRPr="00BF12D6">
        <w:t>(2008).</w:t>
      </w:r>
      <w:bookmarkEnd w:id="34"/>
    </w:p>
    <w:p w14:paraId="433FE0B6" w14:textId="77777777" w:rsidR="00F45EEE" w:rsidRPr="00A84CE4" w:rsidRDefault="00F45EEE" w:rsidP="00537496">
      <w:pPr>
        <w:pStyle w:val="Corpsdetexte"/>
        <w:ind w:firstLine="0"/>
        <w:jc w:val="left"/>
      </w:pPr>
    </w:p>
    <w:sectPr w:rsidR="00F45EEE" w:rsidRPr="00A84CE4" w:rsidSect="0026525A">
      <w:headerReference w:type="even" r:id="rId26"/>
      <w:headerReference w:type="default" r:id="rId27"/>
      <w:footerReference w:type="even" r:id="rId28"/>
      <w:footerReference w:type="default" r:id="rId29"/>
      <w:headerReference w:type="first" r:id="rId30"/>
      <w:footerReference w:type="first" r:id="rId31"/>
      <w:type w:val="oddPage"/>
      <w:pgSz w:w="11907" w:h="16840" w:code="9"/>
      <w:pgMar w:top="1440" w:right="1440" w:bottom="1440" w:left="1440" w:header="539" w:footer="964"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0847F2" w14:textId="77777777" w:rsidR="008D6B5A" w:rsidRDefault="008D6B5A">
      <w:r>
        <w:separator/>
      </w:r>
    </w:p>
  </w:endnote>
  <w:endnote w:type="continuationSeparator" w:id="0">
    <w:p w14:paraId="431A3BB3" w14:textId="77777777" w:rsidR="008D6B5A" w:rsidRDefault="008D6B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Italic">
    <w:altName w:val="Yu Gothic UI"/>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3FE0C6" w14:textId="35424A17" w:rsidR="00466114" w:rsidRDefault="00466114">
    <w:pPr>
      <w:pStyle w:val="zyxClassification1"/>
    </w:pPr>
    <w:r>
      <w:fldChar w:fldCharType="begin"/>
    </w:r>
    <w:r>
      <w:instrText xml:space="preserve"> DOCPROPERTY "IaeaClassification"  \* MERGEFORMAT </w:instrText>
    </w:r>
    <w:r>
      <w:fldChar w:fldCharType="end"/>
    </w:r>
  </w:p>
  <w:p w14:paraId="433FE0C7" w14:textId="53FE79F0" w:rsidR="00466114" w:rsidRDefault="00466114">
    <w:pPr>
      <w:pStyle w:val="zyxClassification2"/>
    </w:pPr>
    <w:r>
      <w:fldChar w:fldCharType="begin"/>
    </w:r>
    <w:r>
      <w:instrText>DOCPROPERTY "IaeaClassification2"  \* MERGEFORMAT</w:instrTex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3FE0C8" w14:textId="548D053B" w:rsidR="00466114" w:rsidRDefault="00466114">
    <w:pPr>
      <w:pStyle w:val="zyxClassification1"/>
    </w:pPr>
    <w:r>
      <w:fldChar w:fldCharType="begin"/>
    </w:r>
    <w:r>
      <w:instrText xml:space="preserve"> DOCPROPERTY "IaeaClassification"  \* MERGEFORMAT </w:instrText>
    </w:r>
    <w:r>
      <w:fldChar w:fldCharType="end"/>
    </w:r>
  </w:p>
  <w:p w14:paraId="433FE0C9" w14:textId="4449B7AE" w:rsidR="00466114" w:rsidRPr="00037321" w:rsidRDefault="00466114">
    <w:pPr>
      <w:pStyle w:val="zyxClassification2"/>
      <w:rPr>
        <w:rFonts w:ascii="Times New Roman" w:hAnsi="Times New Roman" w:cs="Times New Roman"/>
        <w:sz w:val="20"/>
      </w:rPr>
    </w:pPr>
    <w:r w:rsidRPr="00037321">
      <w:rPr>
        <w:rFonts w:ascii="Times New Roman" w:hAnsi="Times New Roman" w:cs="Times New Roman"/>
        <w:sz w:val="20"/>
      </w:rPr>
      <w:fldChar w:fldCharType="begin"/>
    </w:r>
    <w:r w:rsidRPr="00037321">
      <w:rPr>
        <w:rFonts w:ascii="Times New Roman" w:hAnsi="Times New Roman" w:cs="Times New Roman"/>
        <w:sz w:val="20"/>
      </w:rPr>
      <w:instrText xml:space="preserve"> PAGE </w:instrText>
    </w:r>
    <w:r w:rsidRPr="00037321">
      <w:rPr>
        <w:rFonts w:ascii="Times New Roman" w:hAnsi="Times New Roman" w:cs="Times New Roman"/>
        <w:sz w:val="20"/>
      </w:rPr>
      <w:fldChar w:fldCharType="separate"/>
    </w:r>
    <w:r>
      <w:rPr>
        <w:rFonts w:ascii="Times New Roman" w:hAnsi="Times New Roman" w:cs="Times New Roman"/>
        <w:noProof/>
        <w:sz w:val="20"/>
      </w:rPr>
      <w:t>11</w:t>
    </w:r>
    <w:r w:rsidRPr="00037321">
      <w:rPr>
        <w:rFonts w:ascii="Times New Roman" w:hAnsi="Times New Roman" w:cs="Times New Roman"/>
        <w:sz w:val="20"/>
      </w:rPr>
      <w:fldChar w:fldCharType="end"/>
    </w:r>
    <w:r w:rsidRPr="00037321">
      <w:rPr>
        <w:rFonts w:ascii="Times New Roman" w:hAnsi="Times New Roman" w:cs="Times New Roman"/>
        <w:sz w:val="20"/>
      </w:rPr>
      <w:fldChar w:fldCharType="begin"/>
    </w:r>
    <w:r w:rsidRPr="00037321">
      <w:rPr>
        <w:rFonts w:ascii="Times New Roman" w:hAnsi="Times New Roman" w:cs="Times New Roman"/>
        <w:sz w:val="20"/>
      </w:rPr>
      <w:instrText>DOCPROPERTY "IaeaClassification2"  \* MERGEFORMAT</w:instrText>
    </w:r>
    <w:r w:rsidRPr="00037321">
      <w:rPr>
        <w:rFonts w:ascii="Times New Roman" w:hAnsi="Times New Roman" w:cs="Times New Roman"/>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vertAnchor="page" w:horzAnchor="page" w:tblpX="1390" w:tblpY="15707"/>
      <w:tblOverlap w:val="never"/>
      <w:tblW w:w="10314" w:type="dxa"/>
      <w:tblLook w:val="0000" w:firstRow="0" w:lastRow="0" w:firstColumn="0" w:lastColumn="0" w:noHBand="0" w:noVBand="0"/>
    </w:tblPr>
    <w:tblGrid>
      <w:gridCol w:w="4644"/>
      <w:gridCol w:w="5670"/>
    </w:tblGrid>
    <w:tr w:rsidR="00466114" w14:paraId="433FE0D8" w14:textId="77777777">
      <w:trPr>
        <w:cantSplit/>
      </w:trPr>
      <w:tc>
        <w:tcPr>
          <w:tcW w:w="4644" w:type="dxa"/>
        </w:tcPr>
        <w:p w14:paraId="433FE0D4" w14:textId="5DE2B7AA" w:rsidR="00466114" w:rsidRDefault="00466114">
          <w:pPr>
            <w:pStyle w:val="zyxDistribution"/>
            <w:framePr w:wrap="auto" w:vAnchor="margin" w:hAnchor="text" w:xAlign="left" w:yAlign="inline"/>
            <w:suppressOverlap w:val="0"/>
          </w:pPr>
          <w:r>
            <w:fldChar w:fldCharType="begin"/>
          </w:r>
          <w:r>
            <w:instrText xml:space="preserve"> DOCPROPERTY "IaeaDistribution"  \* MERGEFORMAT </w:instrText>
          </w:r>
          <w:r>
            <w:fldChar w:fldCharType="end"/>
          </w:r>
        </w:p>
        <w:p w14:paraId="433FE0D5" w14:textId="4DC8A3DA" w:rsidR="00466114" w:rsidRDefault="00466114">
          <w:pPr>
            <w:pStyle w:val="zyxSensitivity"/>
            <w:framePr w:wrap="auto" w:vAnchor="margin" w:hAnchor="text" w:xAlign="left" w:yAlign="inline"/>
            <w:suppressOverlap w:val="0"/>
          </w:pPr>
          <w:r>
            <w:fldChar w:fldCharType="begin"/>
          </w:r>
          <w:r>
            <w:instrText xml:space="preserve"> DOCPROPERTY "IaeaSensitivity"  \* MERGEFORMAT </w:instrText>
          </w:r>
          <w:r>
            <w:fldChar w:fldCharType="end"/>
          </w:r>
        </w:p>
      </w:tc>
      <w:bookmarkStart w:id="36" w:name="DOC_bkmClassification2"/>
      <w:tc>
        <w:tcPr>
          <w:tcW w:w="5670" w:type="dxa"/>
          <w:tcMar>
            <w:right w:w="249" w:type="dxa"/>
          </w:tcMar>
        </w:tcPr>
        <w:p w14:paraId="433FE0D6" w14:textId="0BEF7A0C" w:rsidR="00466114" w:rsidRDefault="00466114">
          <w:pPr>
            <w:pStyle w:val="zyxConfidBlack"/>
            <w:framePr w:wrap="auto" w:vAnchor="margin" w:hAnchor="text" w:xAlign="left" w:yAlign="inline"/>
            <w:suppressOverlap w:val="0"/>
          </w:pPr>
          <w:r>
            <w:fldChar w:fldCharType="begin"/>
          </w:r>
          <w:r>
            <w:instrText xml:space="preserve"> DOCPROPERTY "IaeaClassification"  \* MERGEFORMAT </w:instrText>
          </w:r>
          <w:r>
            <w:fldChar w:fldCharType="end"/>
          </w:r>
        </w:p>
        <w:bookmarkEnd w:id="36"/>
        <w:p w14:paraId="433FE0D7" w14:textId="591612EF" w:rsidR="00466114" w:rsidRDefault="00466114">
          <w:pPr>
            <w:spacing w:after="20" w:line="220" w:lineRule="exact"/>
            <w:jc w:val="right"/>
            <w:rPr>
              <w:rFonts w:ascii="Arial" w:hAnsi="Arial" w:cs="Arial"/>
              <w:color w:val="FF0000"/>
            </w:rPr>
          </w:pPr>
          <w:r>
            <w:rPr>
              <w:rFonts w:ascii="Arial" w:hAnsi="Arial"/>
              <w:b/>
            </w:rPr>
            <w:fldChar w:fldCharType="begin"/>
          </w:r>
          <w:r>
            <w:rPr>
              <w:rFonts w:ascii="Arial" w:hAnsi="Arial"/>
              <w:b/>
            </w:rPr>
            <w:instrText>DOCPROPERTY "IaeaConfidentialAttachments"  \* MERGEFORMAT</w:instrText>
          </w:r>
          <w:r>
            <w:rPr>
              <w:rFonts w:ascii="Arial" w:hAnsi="Arial"/>
              <w:b/>
            </w:rPr>
            <w:fldChar w:fldCharType="end"/>
          </w:r>
          <w:r>
            <w:rPr>
              <w:rFonts w:ascii="Arial" w:hAnsi="Arial" w:cs="Arial"/>
              <w:color w:val="FF0000"/>
            </w:rPr>
            <w:fldChar w:fldCharType="begin"/>
          </w:r>
          <w:r>
            <w:rPr>
              <w:rFonts w:ascii="Arial" w:hAnsi="Arial" w:cs="Arial"/>
              <w:color w:val="FF0000"/>
            </w:rPr>
            <w:instrText>DOCPROPERTY "IaeaClassification2"  \* MERGEFORMAT</w:instrText>
          </w:r>
          <w:r>
            <w:rPr>
              <w:rFonts w:ascii="Arial" w:hAnsi="Arial" w:cs="Arial"/>
              <w:color w:val="FF0000"/>
            </w:rPr>
            <w:fldChar w:fldCharType="end"/>
          </w:r>
        </w:p>
      </w:tc>
    </w:tr>
  </w:tbl>
  <w:bookmarkStart w:id="37" w:name="DOC_bkmFileName"/>
  <w:p w14:paraId="433FE0D9" w14:textId="65097D40" w:rsidR="00466114" w:rsidRDefault="00466114">
    <w:r>
      <w:rPr>
        <w:sz w:val="16"/>
      </w:rPr>
      <w:fldChar w:fldCharType="begin"/>
    </w:r>
    <w:r>
      <w:rPr>
        <w:sz w:val="16"/>
      </w:rPr>
      <w:instrText xml:space="preserve"> FILENAME \* MERGEFORMAT </w:instrText>
    </w:r>
    <w:r>
      <w:rPr>
        <w:sz w:val="16"/>
      </w:rPr>
      <w:fldChar w:fldCharType="separate"/>
    </w:r>
    <w:r>
      <w:rPr>
        <w:noProof/>
        <w:sz w:val="16"/>
      </w:rPr>
      <w:t>291-341-SDDS1100MWe-DGerardin-review.DOCX</w:t>
    </w:r>
    <w:r>
      <w:rPr>
        <w:sz w:val="16"/>
      </w:rPr>
      <w:fldChar w:fldCharType="end"/>
    </w:r>
    <w:bookmarkEnd w:id="37"/>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03BC37" w14:textId="77777777" w:rsidR="008D6B5A" w:rsidRDefault="008D6B5A">
      <w:r>
        <w:t>___________________________________________________________________________</w:t>
      </w:r>
    </w:p>
  </w:footnote>
  <w:footnote w:type="continuationSeparator" w:id="0">
    <w:p w14:paraId="154ABD58" w14:textId="77777777" w:rsidR="008D6B5A" w:rsidRDefault="008D6B5A">
      <w:r>
        <w:t>___________________________________________________________________________</w:t>
      </w:r>
    </w:p>
  </w:footnote>
  <w:footnote w:type="continuationNotice" w:id="1">
    <w:p w14:paraId="3357C41F" w14:textId="77777777" w:rsidR="008D6B5A" w:rsidRDefault="008D6B5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3FE0C3" w14:textId="45F0A013" w:rsidR="00466114" w:rsidRDefault="00466114" w:rsidP="00BB01A1">
    <w:pPr>
      <w:pStyle w:val="Runninghead"/>
    </w:pPr>
    <w:r>
      <w:tab/>
      <w:t>FR21: IAEA-CN-291/341</w:t>
    </w:r>
    <w:r>
      <w:fldChar w:fldCharType="begin"/>
    </w:r>
    <w:r>
      <w:instrText>DOCPROPERTY "IaeaClassification2"  \* MERGEFORMAT</w:instrTex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3FE0C5" w14:textId="612F4C0F" w:rsidR="00466114" w:rsidRPr="00BB01A1" w:rsidRDefault="00466114" w:rsidP="00BB01A1">
    <w:pPr>
      <w:pStyle w:val="Runninghead"/>
    </w:pPr>
    <w:r>
      <w:t>GÉRARDIN et al.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vertAnchor="page" w:horzAnchor="page" w:tblpX="1333" w:tblpY="228"/>
      <w:tblOverlap w:val="never"/>
      <w:tblW w:w="10319" w:type="dxa"/>
      <w:tblLayout w:type="fixed"/>
      <w:tblLook w:val="0000" w:firstRow="0" w:lastRow="0" w:firstColumn="0" w:lastColumn="0" w:noHBand="0" w:noVBand="0"/>
    </w:tblPr>
    <w:tblGrid>
      <w:gridCol w:w="979"/>
      <w:gridCol w:w="3638"/>
      <w:gridCol w:w="5702"/>
    </w:tblGrid>
    <w:tr w:rsidR="00466114" w14:paraId="433FE0CE" w14:textId="77777777">
      <w:trPr>
        <w:cantSplit/>
        <w:trHeight w:val="716"/>
      </w:trPr>
      <w:tc>
        <w:tcPr>
          <w:tcW w:w="979" w:type="dxa"/>
          <w:vMerge w:val="restart"/>
        </w:tcPr>
        <w:p w14:paraId="433FE0CA" w14:textId="77777777" w:rsidR="00466114" w:rsidRDefault="00466114">
          <w:pPr>
            <w:spacing w:before="180"/>
            <w:ind w:left="17"/>
          </w:pPr>
        </w:p>
      </w:tc>
      <w:tc>
        <w:tcPr>
          <w:tcW w:w="3638" w:type="dxa"/>
          <w:vAlign w:val="bottom"/>
        </w:tcPr>
        <w:p w14:paraId="433FE0CB" w14:textId="77777777" w:rsidR="00466114" w:rsidRDefault="00466114">
          <w:pPr>
            <w:spacing w:after="20"/>
          </w:pPr>
        </w:p>
      </w:tc>
      <w:bookmarkStart w:id="35" w:name="DOC_bkmClassification1"/>
      <w:tc>
        <w:tcPr>
          <w:tcW w:w="5702" w:type="dxa"/>
          <w:vMerge w:val="restart"/>
          <w:tcMar>
            <w:right w:w="193" w:type="dxa"/>
          </w:tcMar>
        </w:tcPr>
        <w:p w14:paraId="433FE0CC" w14:textId="558C8A6F" w:rsidR="00466114" w:rsidRDefault="00466114">
          <w:pPr>
            <w:pStyle w:val="zyxConfidBlack"/>
            <w:framePr w:wrap="auto" w:vAnchor="margin" w:hAnchor="text" w:xAlign="left" w:yAlign="inline"/>
            <w:suppressOverlap w:val="0"/>
          </w:pPr>
          <w:r>
            <w:fldChar w:fldCharType="begin"/>
          </w:r>
          <w:r>
            <w:instrText xml:space="preserve"> DOCPROPERTY "IaeaClassification"  \* MERGEFORMAT </w:instrText>
          </w:r>
          <w:r>
            <w:fldChar w:fldCharType="end"/>
          </w:r>
        </w:p>
        <w:bookmarkEnd w:id="35"/>
        <w:p w14:paraId="433FE0CD" w14:textId="657C2E7E" w:rsidR="00466114" w:rsidRDefault="00466114">
          <w:pPr>
            <w:pStyle w:val="zyxConfid2Red"/>
          </w:pPr>
          <w:r>
            <w:fldChar w:fldCharType="begin"/>
          </w:r>
          <w:r>
            <w:instrText>DOCPROPERTY "IaeaClassification2"  \* MERGEFORMAT</w:instrText>
          </w:r>
          <w:r>
            <w:fldChar w:fldCharType="end"/>
          </w:r>
        </w:p>
      </w:tc>
    </w:tr>
    <w:tr w:rsidR="00466114" w14:paraId="433FE0D2" w14:textId="77777777">
      <w:trPr>
        <w:cantSplit/>
        <w:trHeight w:val="167"/>
      </w:trPr>
      <w:tc>
        <w:tcPr>
          <w:tcW w:w="979" w:type="dxa"/>
          <w:vMerge/>
        </w:tcPr>
        <w:p w14:paraId="433FE0CF" w14:textId="77777777" w:rsidR="00466114" w:rsidRDefault="00466114">
          <w:pPr>
            <w:spacing w:before="57"/>
          </w:pPr>
        </w:p>
      </w:tc>
      <w:tc>
        <w:tcPr>
          <w:tcW w:w="3638" w:type="dxa"/>
          <w:vAlign w:val="bottom"/>
        </w:tcPr>
        <w:p w14:paraId="433FE0D0" w14:textId="77777777" w:rsidR="00466114" w:rsidRDefault="00466114">
          <w:pPr>
            <w:pStyle w:val="Titre9"/>
            <w:spacing w:before="0" w:after="10"/>
          </w:pPr>
        </w:p>
      </w:tc>
      <w:tc>
        <w:tcPr>
          <w:tcW w:w="5702" w:type="dxa"/>
          <w:vMerge/>
          <w:vAlign w:val="bottom"/>
        </w:tcPr>
        <w:p w14:paraId="433FE0D1" w14:textId="77777777" w:rsidR="00466114" w:rsidRDefault="00466114">
          <w:pPr>
            <w:pStyle w:val="Titre9"/>
            <w:spacing w:before="0" w:after="10"/>
          </w:pPr>
        </w:p>
      </w:tc>
    </w:tr>
  </w:tbl>
  <w:p w14:paraId="433FE0D3" w14:textId="77777777" w:rsidR="00466114" w:rsidRDefault="0046611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271E86"/>
    <w:multiLevelType w:val="multilevel"/>
    <w:tmpl w:val="A08A77C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DA24264"/>
    <w:multiLevelType w:val="multilevel"/>
    <w:tmpl w:val="F1EC865C"/>
    <w:lvl w:ilvl="0">
      <w:start w:val="1"/>
      <w:numFmt w:val="decimal"/>
      <w:pStyle w:val="AgendaList"/>
      <w:lvlText w:val="%1."/>
      <w:lvlJc w:val="left"/>
      <w:pPr>
        <w:tabs>
          <w:tab w:val="num" w:pos="459"/>
        </w:tabs>
        <w:ind w:left="45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919"/>
        </w:tabs>
        <w:ind w:left="91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378"/>
        </w:tabs>
        <w:ind w:left="1378" w:hanging="459"/>
      </w:pPr>
      <w:rPr>
        <w:rFonts w:asci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811"/>
        </w:tabs>
        <w:ind w:left="811" w:hanging="360"/>
      </w:pPr>
      <w:rPr>
        <w:rFonts w:hint="default"/>
      </w:rPr>
    </w:lvl>
    <w:lvl w:ilvl="4">
      <w:start w:val="1"/>
      <w:numFmt w:val="lowerLetter"/>
      <w:lvlText w:val="(%5)"/>
      <w:lvlJc w:val="left"/>
      <w:pPr>
        <w:tabs>
          <w:tab w:val="num" w:pos="1171"/>
        </w:tabs>
        <w:ind w:left="1171" w:hanging="360"/>
      </w:pPr>
      <w:rPr>
        <w:rFonts w:hint="default"/>
      </w:rPr>
    </w:lvl>
    <w:lvl w:ilvl="5">
      <w:start w:val="1"/>
      <w:numFmt w:val="lowerRoman"/>
      <w:lvlText w:val="(%6)"/>
      <w:lvlJc w:val="left"/>
      <w:pPr>
        <w:tabs>
          <w:tab w:val="num" w:pos="1531"/>
        </w:tabs>
        <w:ind w:left="1531" w:hanging="360"/>
      </w:pPr>
      <w:rPr>
        <w:rFonts w:hint="default"/>
      </w:rPr>
    </w:lvl>
    <w:lvl w:ilvl="6">
      <w:start w:val="1"/>
      <w:numFmt w:val="decimal"/>
      <w:lvlText w:val="%7."/>
      <w:lvlJc w:val="left"/>
      <w:pPr>
        <w:tabs>
          <w:tab w:val="num" w:pos="1891"/>
        </w:tabs>
        <w:ind w:left="1891" w:hanging="360"/>
      </w:pPr>
      <w:rPr>
        <w:rFonts w:hint="default"/>
      </w:rPr>
    </w:lvl>
    <w:lvl w:ilvl="7">
      <w:start w:val="1"/>
      <w:numFmt w:val="lowerLetter"/>
      <w:lvlText w:val="%8."/>
      <w:lvlJc w:val="left"/>
      <w:pPr>
        <w:tabs>
          <w:tab w:val="num" w:pos="2251"/>
        </w:tabs>
        <w:ind w:left="2251" w:hanging="360"/>
      </w:pPr>
      <w:rPr>
        <w:rFonts w:hint="default"/>
      </w:rPr>
    </w:lvl>
    <w:lvl w:ilvl="8">
      <w:start w:val="1"/>
      <w:numFmt w:val="lowerRoman"/>
      <w:lvlText w:val="%9."/>
      <w:lvlJc w:val="left"/>
      <w:pPr>
        <w:tabs>
          <w:tab w:val="num" w:pos="2611"/>
        </w:tabs>
        <w:ind w:left="2611" w:hanging="360"/>
      </w:pPr>
      <w:rPr>
        <w:rFonts w:hint="default"/>
      </w:rPr>
    </w:lvl>
  </w:abstractNum>
  <w:abstractNum w:abstractNumId="2" w15:restartNumberingAfterBreak="0">
    <w:nsid w:val="179F5671"/>
    <w:multiLevelType w:val="hybridMultilevel"/>
    <w:tmpl w:val="67246400"/>
    <w:name w:val="HeadingTemplate2"/>
    <w:lvl w:ilvl="0" w:tplc="EDCE82DC">
      <w:start w:val="1"/>
      <w:numFmt w:val="bullet"/>
      <w:pStyle w:val="ListEmdash"/>
      <w:lvlText w:val="—"/>
      <w:lvlJc w:val="left"/>
      <w:pPr>
        <w:ind w:left="1287" w:hanging="360"/>
      </w:pPr>
      <w:rPr>
        <w:rFonts w:ascii="Times New Roman" w:hAnsi="Times New Roman"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1BD609DC"/>
    <w:multiLevelType w:val="hybridMultilevel"/>
    <w:tmpl w:val="1F94DDE8"/>
    <w:lvl w:ilvl="0" w:tplc="6A5CB982">
      <w:start w:val="3"/>
      <w:numFmt w:val="bullet"/>
      <w:lvlText w:val="-"/>
      <w:lvlJc w:val="left"/>
      <w:pPr>
        <w:ind w:left="927" w:hanging="360"/>
      </w:pPr>
      <w:rPr>
        <w:rFonts w:ascii="Times New Roman" w:eastAsia="Times New Roman" w:hAnsi="Times New Roman" w:cs="Times New Roman"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4" w15:restartNumberingAfterBreak="0">
    <w:nsid w:val="1CE663AE"/>
    <w:multiLevelType w:val="hybridMultilevel"/>
    <w:tmpl w:val="2BB4F1C6"/>
    <w:name w:val="HeadingTemplate22"/>
    <w:lvl w:ilvl="0" w:tplc="DB862C6E">
      <w:start w:val="1"/>
      <w:numFmt w:val="lowerLetter"/>
      <w:pStyle w:val="ListNumbered"/>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583872"/>
    <w:multiLevelType w:val="hybridMultilevel"/>
    <w:tmpl w:val="3170DCCE"/>
    <w:lvl w:ilvl="0" w:tplc="3FF29240">
      <w:start w:val="1"/>
      <w:numFmt w:val="bullet"/>
      <w:pStyle w:val="BodyTextSummary"/>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0C540B8"/>
    <w:multiLevelType w:val="hybridMultilevel"/>
    <w:tmpl w:val="EA742534"/>
    <w:lvl w:ilvl="0" w:tplc="FF68CE92">
      <w:start w:val="1"/>
      <w:numFmt w:val="bullet"/>
      <w:pStyle w:val="ListBulleted"/>
      <w:lvlText w:val=""/>
      <w:lvlJc w:val="left"/>
      <w:pPr>
        <w:tabs>
          <w:tab w:val="num" w:pos="1179"/>
        </w:tabs>
        <w:ind w:left="1179" w:hanging="360"/>
      </w:pPr>
      <w:rPr>
        <w:rFonts w:ascii="Symbol" w:hAnsi="Symbol" w:hint="default"/>
      </w:rPr>
    </w:lvl>
    <w:lvl w:ilvl="1" w:tplc="04090003" w:tentative="1">
      <w:start w:val="1"/>
      <w:numFmt w:val="bullet"/>
      <w:lvlText w:val="o"/>
      <w:lvlJc w:val="left"/>
      <w:pPr>
        <w:tabs>
          <w:tab w:val="num" w:pos="1899"/>
        </w:tabs>
        <w:ind w:left="1899" w:hanging="360"/>
      </w:pPr>
      <w:rPr>
        <w:rFonts w:ascii="Courier New" w:hAnsi="Courier New" w:hint="default"/>
      </w:rPr>
    </w:lvl>
    <w:lvl w:ilvl="2" w:tplc="04090005" w:tentative="1">
      <w:start w:val="1"/>
      <w:numFmt w:val="bullet"/>
      <w:lvlText w:val=""/>
      <w:lvlJc w:val="left"/>
      <w:pPr>
        <w:tabs>
          <w:tab w:val="num" w:pos="2619"/>
        </w:tabs>
        <w:ind w:left="2619" w:hanging="360"/>
      </w:pPr>
      <w:rPr>
        <w:rFonts w:ascii="Wingdings" w:hAnsi="Wingdings" w:hint="default"/>
      </w:rPr>
    </w:lvl>
    <w:lvl w:ilvl="3" w:tplc="04090001" w:tentative="1">
      <w:start w:val="1"/>
      <w:numFmt w:val="bullet"/>
      <w:lvlText w:val=""/>
      <w:lvlJc w:val="left"/>
      <w:pPr>
        <w:tabs>
          <w:tab w:val="num" w:pos="3339"/>
        </w:tabs>
        <w:ind w:left="3339" w:hanging="360"/>
      </w:pPr>
      <w:rPr>
        <w:rFonts w:ascii="Symbol" w:hAnsi="Symbol" w:hint="default"/>
      </w:rPr>
    </w:lvl>
    <w:lvl w:ilvl="4" w:tplc="04090003" w:tentative="1">
      <w:start w:val="1"/>
      <w:numFmt w:val="bullet"/>
      <w:lvlText w:val="o"/>
      <w:lvlJc w:val="left"/>
      <w:pPr>
        <w:tabs>
          <w:tab w:val="num" w:pos="4059"/>
        </w:tabs>
        <w:ind w:left="4059" w:hanging="360"/>
      </w:pPr>
      <w:rPr>
        <w:rFonts w:ascii="Courier New" w:hAnsi="Courier New" w:hint="default"/>
      </w:rPr>
    </w:lvl>
    <w:lvl w:ilvl="5" w:tplc="04090005" w:tentative="1">
      <w:start w:val="1"/>
      <w:numFmt w:val="bullet"/>
      <w:lvlText w:val=""/>
      <w:lvlJc w:val="left"/>
      <w:pPr>
        <w:tabs>
          <w:tab w:val="num" w:pos="4779"/>
        </w:tabs>
        <w:ind w:left="4779" w:hanging="360"/>
      </w:pPr>
      <w:rPr>
        <w:rFonts w:ascii="Wingdings" w:hAnsi="Wingdings" w:hint="default"/>
      </w:rPr>
    </w:lvl>
    <w:lvl w:ilvl="6" w:tplc="04090001" w:tentative="1">
      <w:start w:val="1"/>
      <w:numFmt w:val="bullet"/>
      <w:lvlText w:val=""/>
      <w:lvlJc w:val="left"/>
      <w:pPr>
        <w:tabs>
          <w:tab w:val="num" w:pos="5499"/>
        </w:tabs>
        <w:ind w:left="5499" w:hanging="360"/>
      </w:pPr>
      <w:rPr>
        <w:rFonts w:ascii="Symbol" w:hAnsi="Symbol" w:hint="default"/>
      </w:rPr>
    </w:lvl>
    <w:lvl w:ilvl="7" w:tplc="04090003" w:tentative="1">
      <w:start w:val="1"/>
      <w:numFmt w:val="bullet"/>
      <w:lvlText w:val="o"/>
      <w:lvlJc w:val="left"/>
      <w:pPr>
        <w:tabs>
          <w:tab w:val="num" w:pos="6219"/>
        </w:tabs>
        <w:ind w:left="6219" w:hanging="360"/>
      </w:pPr>
      <w:rPr>
        <w:rFonts w:ascii="Courier New" w:hAnsi="Courier New" w:hint="default"/>
      </w:rPr>
    </w:lvl>
    <w:lvl w:ilvl="8" w:tplc="04090005" w:tentative="1">
      <w:start w:val="1"/>
      <w:numFmt w:val="bullet"/>
      <w:lvlText w:val=""/>
      <w:lvlJc w:val="left"/>
      <w:pPr>
        <w:tabs>
          <w:tab w:val="num" w:pos="6939"/>
        </w:tabs>
        <w:ind w:left="6939" w:hanging="360"/>
      </w:pPr>
      <w:rPr>
        <w:rFonts w:ascii="Wingdings" w:hAnsi="Wingdings" w:hint="default"/>
      </w:rPr>
    </w:lvl>
  </w:abstractNum>
  <w:abstractNum w:abstractNumId="7" w15:restartNumberingAfterBreak="0">
    <w:nsid w:val="3D18048A"/>
    <w:multiLevelType w:val="hybridMultilevel"/>
    <w:tmpl w:val="1642268C"/>
    <w:name w:val="HeadingTemplate222"/>
    <w:lvl w:ilvl="0" w:tplc="309A0324">
      <w:start w:val="1"/>
      <w:numFmt w:val="decimal"/>
      <w:pStyle w:val="Reference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91C7DED"/>
    <w:multiLevelType w:val="hybridMultilevel"/>
    <w:tmpl w:val="D86A1DBE"/>
    <w:lvl w:ilvl="0" w:tplc="2806D5BA">
      <w:start w:val="1"/>
      <w:numFmt w:val="bullet"/>
      <w:lvlText w:val=""/>
      <w:lvlJc w:val="left"/>
      <w:pPr>
        <w:ind w:left="927" w:hanging="360"/>
      </w:pPr>
      <w:rPr>
        <w:rFonts w:ascii="Wingdings" w:eastAsia="Times New Roman" w:hAnsi="Wingdings" w:cs="Times New Roman"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9" w15:restartNumberingAfterBreak="0">
    <w:nsid w:val="5117250B"/>
    <w:multiLevelType w:val="multilevel"/>
    <w:tmpl w:val="CC8CC4DE"/>
    <w:name w:val="MultilevelTemplate"/>
    <w:lvl w:ilvl="0">
      <w:start w:val="1"/>
      <w:numFmt w:val="decimal"/>
      <w:lvlRestart w:val="0"/>
      <w:pStyle w:val="BodyTextMultiline"/>
      <w:lvlText w:val="%1."/>
      <w:lvlJc w:val="left"/>
      <w:pPr>
        <w:tabs>
          <w:tab w:val="num" w:pos="459"/>
        </w:tabs>
        <w:ind w:left="0" w:firstLine="0"/>
      </w:pPr>
    </w:lvl>
    <w:lvl w:ilvl="1">
      <w:start w:val="1"/>
      <w:numFmt w:val="decimal"/>
      <w:lvlText w:val="%1.%2."/>
      <w:lvlJc w:val="left"/>
      <w:pPr>
        <w:tabs>
          <w:tab w:val="num" w:pos="918"/>
        </w:tabs>
        <w:ind w:left="459" w:firstLine="0"/>
      </w:pPr>
    </w:lvl>
    <w:lvl w:ilvl="2">
      <w:start w:val="1"/>
      <w:numFmt w:val="decimal"/>
      <w:lvlText w:val="%1.%2.%3."/>
      <w:lvlJc w:val="left"/>
      <w:pPr>
        <w:tabs>
          <w:tab w:val="num" w:pos="1378"/>
        </w:tabs>
        <w:ind w:left="918" w:firstLine="0"/>
      </w:pPr>
    </w:lvl>
    <w:lvl w:ilvl="3">
      <w:start w:val="1"/>
      <w:numFmt w:val="decimal"/>
      <w:lvlText w:val="%1.%2.%3.%4."/>
      <w:lvlJc w:val="left"/>
      <w:pPr>
        <w:tabs>
          <w:tab w:val="num" w:pos="1837"/>
        </w:tabs>
        <w:ind w:left="1378" w:firstLine="0"/>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10" w15:restartNumberingAfterBreak="0">
    <w:nsid w:val="59EA217A"/>
    <w:multiLevelType w:val="hybridMultilevel"/>
    <w:tmpl w:val="7DCEBCBE"/>
    <w:lvl w:ilvl="0" w:tplc="C1DCCBEE">
      <w:start w:val="1"/>
      <w:numFmt w:val="bullet"/>
      <w:lvlText w:val="-"/>
      <w:lvlJc w:val="left"/>
      <w:pPr>
        <w:tabs>
          <w:tab w:val="num" w:pos="919"/>
        </w:tabs>
        <w:ind w:left="919" w:hanging="460"/>
      </w:pPr>
      <w:rPr>
        <w:rFonts w:ascii="Times New Roman" w:hAns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DDF4FC3"/>
    <w:multiLevelType w:val="hybridMultilevel"/>
    <w:tmpl w:val="4058F492"/>
    <w:lvl w:ilvl="0" w:tplc="8698DBF0">
      <w:numFmt w:val="bullet"/>
      <w:lvlText w:val="-"/>
      <w:lvlJc w:val="left"/>
      <w:pPr>
        <w:ind w:left="927" w:hanging="360"/>
      </w:pPr>
      <w:rPr>
        <w:rFonts w:ascii="Times New Roman" w:eastAsia="Times New Roman" w:hAnsi="Times New Roman" w:cs="Times New Roman"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2" w15:restartNumberingAfterBreak="0">
    <w:nsid w:val="6E8252C9"/>
    <w:multiLevelType w:val="hybridMultilevel"/>
    <w:tmpl w:val="B43A93BA"/>
    <w:lvl w:ilvl="0" w:tplc="CFBE2F4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FD51093"/>
    <w:multiLevelType w:val="multilevel"/>
    <w:tmpl w:val="C86C5D54"/>
    <w:name w:val="HeadingTemplate"/>
    <w:lvl w:ilvl="0">
      <w:start w:val="1"/>
      <w:numFmt w:val="none"/>
      <w:lvlRestart w:val="0"/>
      <w:lvlText w:val=""/>
      <w:lvlJc w:val="left"/>
      <w:pPr>
        <w:tabs>
          <w:tab w:val="num" w:pos="459"/>
        </w:tabs>
        <w:ind w:left="0" w:firstLine="0"/>
      </w:pPr>
      <w:rPr>
        <w:rFonts w:hint="default"/>
      </w:rPr>
    </w:lvl>
    <w:lvl w:ilvl="1">
      <w:start w:val="1"/>
      <w:numFmt w:val="decimal"/>
      <w:lvlRestart w:val="0"/>
      <w:pStyle w:val="Titre2"/>
      <w:suff w:val="space"/>
      <w:lvlText w:val="%1%2."/>
      <w:lvlJc w:val="left"/>
      <w:pPr>
        <w:ind w:left="0" w:firstLine="0"/>
      </w:pPr>
      <w:rPr>
        <w:rFonts w:hint="default"/>
        <w:color w:val="auto"/>
      </w:rPr>
    </w:lvl>
    <w:lvl w:ilvl="2">
      <w:start w:val="1"/>
      <w:numFmt w:val="decimal"/>
      <w:lvlRestart w:val="0"/>
      <w:pStyle w:val="Titre3"/>
      <w:lvlText w:val="%1%2.%3."/>
      <w:lvlJc w:val="left"/>
      <w:pPr>
        <w:ind w:left="0" w:firstLine="0"/>
      </w:pPr>
      <w:rPr>
        <w:rFonts w:hint="default"/>
      </w:rPr>
    </w:lvl>
    <w:lvl w:ilvl="3">
      <w:start w:val="1"/>
      <w:numFmt w:val="decimal"/>
      <w:lvlRestart w:val="0"/>
      <w:pStyle w:val="Titre4"/>
      <w:lvlText w:val="%2.%3.%4."/>
      <w:lvlJc w:val="left"/>
      <w:pPr>
        <w:ind w:left="1701" w:firstLine="0"/>
      </w:pPr>
      <w:rPr>
        <w:rFonts w:hint="default"/>
      </w:rPr>
    </w:lvl>
    <w:lvl w:ilvl="4">
      <w:start w:val="1"/>
      <w:numFmt w:val="lowerLetter"/>
      <w:lvlRestart w:val="0"/>
      <w:lvlText w:val="%1(%5)"/>
      <w:lvlJc w:val="left"/>
      <w:pPr>
        <w:tabs>
          <w:tab w:val="num" w:pos="3345"/>
        </w:tabs>
        <w:ind w:left="2268" w:firstLine="0"/>
      </w:pPr>
      <w:rPr>
        <w:rFonts w:hint="default"/>
        <w:sz w:val="20"/>
      </w:rPr>
    </w:lvl>
    <w:lvl w:ilvl="5">
      <w:start w:val="1"/>
      <w:numFmt w:val="decimal"/>
      <w:lvlText w:val="%1.%2.%3.%4.%5.%6"/>
      <w:lvlJc w:val="left"/>
      <w:pPr>
        <w:tabs>
          <w:tab w:val="num" w:pos="3912"/>
        </w:tabs>
        <w:ind w:left="2835" w:firstLine="0"/>
      </w:pPr>
      <w:rPr>
        <w:rFonts w:hint="default"/>
      </w:rPr>
    </w:lvl>
    <w:lvl w:ilvl="6">
      <w:start w:val="1"/>
      <w:numFmt w:val="decimal"/>
      <w:lvlText w:val="%1.%2.%3.%4.%5.%6.%7"/>
      <w:lvlJc w:val="left"/>
      <w:pPr>
        <w:tabs>
          <w:tab w:val="num" w:pos="2432"/>
        </w:tabs>
        <w:ind w:left="2432" w:hanging="1298"/>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6"/>
        </w:tabs>
        <w:ind w:left="2716" w:hanging="1582"/>
      </w:pPr>
      <w:rPr>
        <w:rFonts w:hint="default"/>
      </w:rPr>
    </w:lvl>
  </w:abstractNum>
  <w:abstractNum w:abstractNumId="14" w15:restartNumberingAfterBreak="0">
    <w:nsid w:val="7665634F"/>
    <w:multiLevelType w:val="hybridMultilevel"/>
    <w:tmpl w:val="34482B46"/>
    <w:lvl w:ilvl="0" w:tplc="4A587E7C">
      <w:start w:val="1"/>
      <w:numFmt w:val="decimal"/>
      <w:lvlText w:val="%1."/>
      <w:lvlJc w:val="left"/>
      <w:pPr>
        <w:tabs>
          <w:tab w:val="num" w:pos="919"/>
        </w:tabs>
        <w:ind w:left="919" w:hanging="46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9"/>
  </w:num>
  <w:num w:numId="2">
    <w:abstractNumId w:val="5"/>
  </w:num>
  <w:num w:numId="3">
    <w:abstractNumId w:val="13"/>
  </w:num>
  <w:num w:numId="4">
    <w:abstractNumId w:val="13"/>
  </w:num>
  <w:num w:numId="5">
    <w:abstractNumId w:val="13"/>
  </w:num>
  <w:num w:numId="6">
    <w:abstractNumId w:val="6"/>
  </w:num>
  <w:num w:numId="7">
    <w:abstractNumId w:val="10"/>
  </w:num>
  <w:num w:numId="8">
    <w:abstractNumId w:val="14"/>
  </w:num>
  <w:num w:numId="9">
    <w:abstractNumId w:val="1"/>
  </w:num>
  <w:num w:numId="10">
    <w:abstractNumId w:val="13"/>
    <w:lvlOverride w:ilvl="0">
      <w:lvl w:ilvl="0">
        <w:start w:val="1"/>
        <w:numFmt w:val="none"/>
        <w:lvlRestart w:val="0"/>
        <w:lvlText w:val=""/>
        <w:lvlJc w:val="left"/>
        <w:pPr>
          <w:tabs>
            <w:tab w:val="num" w:pos="459"/>
          </w:tabs>
          <w:ind w:left="0" w:firstLine="0"/>
        </w:pPr>
        <w:rPr>
          <w:rFonts w:hint="default"/>
        </w:rPr>
      </w:lvl>
    </w:lvlOverride>
    <w:lvlOverride w:ilvl="1">
      <w:lvl w:ilvl="1">
        <w:start w:val="1"/>
        <w:numFmt w:val="decimal"/>
        <w:lvlRestart w:val="0"/>
        <w:pStyle w:val="Titre2"/>
        <w:lvlText w:val="%1%2."/>
        <w:lvlJc w:val="left"/>
        <w:pPr>
          <w:ind w:left="0" w:firstLine="0"/>
        </w:pPr>
        <w:rPr>
          <w:rFonts w:hint="default"/>
          <w:color w:val="auto"/>
        </w:rPr>
      </w:lvl>
    </w:lvlOverride>
    <w:lvlOverride w:ilvl="2">
      <w:lvl w:ilvl="2">
        <w:start w:val="1"/>
        <w:numFmt w:val="decimal"/>
        <w:lvlRestart w:val="0"/>
        <w:pStyle w:val="Titre3"/>
        <w:lvlText w:val="%1%2.%3."/>
        <w:lvlJc w:val="left"/>
        <w:pPr>
          <w:ind w:left="0" w:firstLine="0"/>
        </w:pPr>
        <w:rPr>
          <w:rFonts w:hint="default"/>
        </w:rPr>
      </w:lvl>
    </w:lvlOverride>
    <w:lvlOverride w:ilvl="3">
      <w:lvl w:ilvl="3">
        <w:start w:val="1"/>
        <w:numFmt w:val="none"/>
        <w:lvlRestart w:val="0"/>
        <w:pStyle w:val="Titre4"/>
        <w:lvlText w:val=""/>
        <w:lvlJc w:val="left"/>
        <w:pPr>
          <w:tabs>
            <w:tab w:val="num" w:pos="2058"/>
          </w:tabs>
          <w:ind w:left="1701" w:firstLine="0"/>
        </w:pPr>
        <w:rPr>
          <w:rFonts w:hint="default"/>
        </w:rPr>
      </w:lvl>
    </w:lvlOverride>
    <w:lvlOverride w:ilvl="4">
      <w:lvl w:ilvl="4">
        <w:start w:val="1"/>
        <w:numFmt w:val="lowerLetter"/>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11">
    <w:abstractNumId w:val="13"/>
  </w:num>
  <w:num w:numId="12">
    <w:abstractNumId w:val="13"/>
  </w:num>
  <w:num w:numId="13">
    <w:abstractNumId w:val="13"/>
  </w:num>
  <w:num w:numId="14">
    <w:abstractNumId w:val="13"/>
    <w:lvlOverride w:ilvl="0">
      <w:lvl w:ilvl="0">
        <w:start w:val="1"/>
        <w:numFmt w:val="none"/>
        <w:lvlRestart w:val="0"/>
        <w:lvlText w:val=""/>
        <w:lvlJc w:val="left"/>
        <w:pPr>
          <w:tabs>
            <w:tab w:val="num" w:pos="459"/>
          </w:tabs>
          <w:ind w:left="0" w:firstLine="0"/>
        </w:pPr>
        <w:rPr>
          <w:rFonts w:hint="default"/>
        </w:rPr>
      </w:lvl>
    </w:lvlOverride>
    <w:lvlOverride w:ilvl="1">
      <w:lvl w:ilvl="1">
        <w:start w:val="1"/>
        <w:numFmt w:val="decimal"/>
        <w:lvlRestart w:val="0"/>
        <w:pStyle w:val="Titre2"/>
        <w:suff w:val="space"/>
        <w:lvlText w:val="%1%2."/>
        <w:lvlJc w:val="left"/>
        <w:pPr>
          <w:ind w:left="0" w:firstLine="0"/>
        </w:pPr>
        <w:rPr>
          <w:rFonts w:hint="default"/>
          <w:color w:val="auto"/>
        </w:rPr>
      </w:lvl>
    </w:lvlOverride>
    <w:lvlOverride w:ilvl="2">
      <w:lvl w:ilvl="2">
        <w:start w:val="1"/>
        <w:numFmt w:val="decimal"/>
        <w:lvlRestart w:val="0"/>
        <w:pStyle w:val="Titre3"/>
        <w:suff w:val="space"/>
        <w:lvlText w:val="%1%2.%3."/>
        <w:lvlJc w:val="left"/>
        <w:pPr>
          <w:ind w:left="0" w:firstLine="0"/>
        </w:pPr>
        <w:rPr>
          <w:rFonts w:hint="default"/>
        </w:rPr>
      </w:lvl>
    </w:lvlOverride>
    <w:lvlOverride w:ilvl="3">
      <w:lvl w:ilvl="3">
        <w:start w:val="1"/>
        <w:numFmt w:val="decimal"/>
        <w:lvlRestart w:val="0"/>
        <w:pStyle w:val="Titre4"/>
        <w:lvlText w:val="%2.%3.%4"/>
        <w:lvlJc w:val="left"/>
        <w:pPr>
          <w:tabs>
            <w:tab w:val="num" w:pos="2058"/>
          </w:tabs>
          <w:ind w:left="1701" w:firstLine="0"/>
        </w:pPr>
        <w:rPr>
          <w:rFonts w:hint="default"/>
        </w:rPr>
      </w:lvl>
    </w:lvlOverride>
    <w:lvlOverride w:ilvl="4">
      <w:lvl w:ilvl="4">
        <w:start w:val="1"/>
        <w:numFmt w:val="lowerLetter"/>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15">
    <w:abstractNumId w:val="13"/>
  </w:num>
  <w:num w:numId="16">
    <w:abstractNumId w:val="13"/>
  </w:num>
  <w:num w:numId="17">
    <w:abstractNumId w:val="13"/>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2"/>
  </w:num>
  <w:num w:numId="21">
    <w:abstractNumId w:val="13"/>
  </w:num>
  <w:num w:numId="22">
    <w:abstractNumId w:val="4"/>
  </w:num>
  <w:num w:numId="23">
    <w:abstractNumId w:val="0"/>
  </w:num>
  <w:num w:numId="24">
    <w:abstractNumId w:val="12"/>
  </w:num>
  <w:num w:numId="25">
    <w:abstractNumId w:val="13"/>
  </w:num>
  <w:num w:numId="26">
    <w:abstractNumId w:val="13"/>
  </w:num>
  <w:num w:numId="27">
    <w:abstractNumId w:val="13"/>
  </w:num>
  <w:num w:numId="28">
    <w:abstractNumId w:val="13"/>
  </w:num>
  <w:num w:numId="29">
    <w:abstractNumId w:val="13"/>
  </w:num>
  <w:num w:numId="30">
    <w:abstractNumId w:val="7"/>
  </w:num>
  <w:num w:numId="31">
    <w:abstractNumId w:val="7"/>
  </w:num>
  <w:num w:numId="32">
    <w:abstractNumId w:val="13"/>
  </w:num>
  <w:num w:numId="33">
    <w:abstractNumId w:val="8"/>
  </w:num>
  <w:num w:numId="34">
    <w:abstractNumId w:val="11"/>
  </w:num>
  <w:num w:numId="35">
    <w:abstractNumId w:val="3"/>
  </w:num>
  <w:num w:numId="36">
    <w:abstractNumId w:val="13"/>
    <w:lvlOverride w:ilvl="0">
      <w:startOverride w:val="1"/>
      <w:lvl w:ilvl="0">
        <w:start w:val="1"/>
        <w:numFmt w:val="none"/>
        <w:lvlRestart w:val="0"/>
        <w:lvlText w:val=""/>
        <w:lvlJc w:val="left"/>
        <w:pPr>
          <w:tabs>
            <w:tab w:val="num" w:pos="459"/>
          </w:tabs>
          <w:ind w:left="0" w:firstLine="0"/>
        </w:pPr>
        <w:rPr>
          <w:rFonts w:hint="default"/>
        </w:rPr>
      </w:lvl>
    </w:lvlOverride>
    <w:lvlOverride w:ilvl="1">
      <w:startOverride w:val="1"/>
      <w:lvl w:ilvl="1">
        <w:start w:val="1"/>
        <w:numFmt w:val="decimal"/>
        <w:lvlRestart w:val="0"/>
        <w:pStyle w:val="Titre2"/>
        <w:lvlText w:val="%1%2."/>
        <w:lvlJc w:val="left"/>
        <w:pPr>
          <w:ind w:left="0" w:firstLine="0"/>
        </w:pPr>
        <w:rPr>
          <w:rFonts w:hint="default"/>
          <w:color w:val="auto"/>
        </w:rPr>
      </w:lvl>
    </w:lvlOverride>
    <w:lvlOverride w:ilvl="2">
      <w:startOverride w:val="1"/>
      <w:lvl w:ilvl="2">
        <w:start w:val="1"/>
        <w:numFmt w:val="decimal"/>
        <w:lvlRestart w:val="0"/>
        <w:pStyle w:val="Titre3"/>
        <w:lvlText w:val="%1%2.%3."/>
        <w:lvlJc w:val="left"/>
        <w:pPr>
          <w:ind w:left="0" w:firstLine="0"/>
        </w:pPr>
        <w:rPr>
          <w:rFonts w:hint="default"/>
        </w:rPr>
      </w:lvl>
    </w:lvlOverride>
    <w:lvlOverride w:ilvl="3">
      <w:startOverride w:val="1"/>
      <w:lvl w:ilvl="3">
        <w:start w:val="1"/>
        <w:numFmt w:val="none"/>
        <w:lvlRestart w:val="0"/>
        <w:pStyle w:val="Titre4"/>
        <w:lvlText w:val=""/>
        <w:lvlJc w:val="left"/>
        <w:pPr>
          <w:tabs>
            <w:tab w:val="num" w:pos="2058"/>
          </w:tabs>
          <w:ind w:left="1701" w:firstLine="0"/>
        </w:pPr>
        <w:rPr>
          <w:rFonts w:hint="default"/>
        </w:rPr>
      </w:lvl>
    </w:lvlOverride>
    <w:lvlOverride w:ilvl="4">
      <w:startOverride w:val="1"/>
      <w:lvl w:ilvl="4">
        <w:start w:val="1"/>
        <w:numFmt w:val="lowerLetter"/>
        <w:lvlRestart w:val="0"/>
        <w:lvlText w:val="%1(%5)"/>
        <w:lvlJc w:val="left"/>
        <w:pPr>
          <w:tabs>
            <w:tab w:val="num" w:pos="3345"/>
          </w:tabs>
          <w:ind w:left="2268" w:firstLine="0"/>
        </w:pPr>
        <w:rPr>
          <w:rFonts w:hint="default"/>
          <w:sz w:val="20"/>
        </w:rPr>
      </w:lvl>
    </w:lvlOverride>
    <w:lvlOverride w:ilvl="5">
      <w:startOverride w:val="1"/>
      <w:lvl w:ilvl="5">
        <w:start w:val="1"/>
        <w:numFmt w:val="decimal"/>
        <w:lvlText w:val="%1.%2.%3.%4.%5.%6"/>
        <w:lvlJc w:val="left"/>
        <w:pPr>
          <w:tabs>
            <w:tab w:val="num" w:pos="3912"/>
          </w:tabs>
          <w:ind w:left="2835" w:firstLine="0"/>
        </w:pPr>
        <w:rPr>
          <w:rFonts w:hint="default"/>
        </w:rPr>
      </w:lvl>
    </w:lvlOverride>
    <w:lvlOverride w:ilvl="6">
      <w:startOverride w:val="1"/>
      <w:lvl w:ilvl="6">
        <w:start w:val="1"/>
        <w:numFmt w:val="decimal"/>
        <w:lvlText w:val="%1.%2.%3.%4.%5.%6.%7"/>
        <w:lvlJc w:val="left"/>
        <w:pPr>
          <w:tabs>
            <w:tab w:val="num" w:pos="2432"/>
          </w:tabs>
          <w:ind w:left="2432" w:hanging="1298"/>
        </w:pPr>
        <w:rPr>
          <w:rFonts w:hint="default"/>
        </w:rPr>
      </w:lvl>
    </w:lvlOverride>
    <w:lvlOverride w:ilvl="7">
      <w:startOverride w:val="1"/>
      <w:lvl w:ilvl="7">
        <w:start w:val="1"/>
        <w:numFmt w:val="decimal"/>
        <w:lvlText w:val="%1.%2.%3.%4.%5.%6.%7.%8"/>
        <w:lvlJc w:val="left"/>
        <w:pPr>
          <w:tabs>
            <w:tab w:val="num" w:pos="2574"/>
          </w:tabs>
          <w:ind w:left="2574" w:hanging="1440"/>
        </w:pPr>
        <w:rPr>
          <w:rFonts w:hint="default"/>
        </w:rPr>
      </w:lvl>
    </w:lvlOverride>
    <w:lvlOverride w:ilvl="8">
      <w:startOverride w:val="1"/>
      <w:lvl w:ilvl="8">
        <w:start w:val="1"/>
        <w:numFmt w:val="decimal"/>
        <w:lvlText w:val="%1.%2.%3.%4.%5.%6.%7.%8.%9"/>
        <w:lvlJc w:val="left"/>
        <w:pPr>
          <w:tabs>
            <w:tab w:val="num" w:pos="2716"/>
          </w:tabs>
          <w:ind w:left="2716" w:hanging="1582"/>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activeWritingStyle w:appName="MSWord" w:lang="fr-FR" w:vendorID="64" w:dllVersion="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3074"/>
  </w:hdrShapeDefaults>
  <w:footnotePr>
    <w:footnote w:id="-1"/>
    <w:footnote w:id="0"/>
    <w:footnote w:id="1"/>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LG_chkAction" w:val="0"/>
    <w:docVar w:name="DLG_chkApproval" w:val="-1"/>
    <w:docVar w:name="DLG_chkClearance" w:val="0"/>
    <w:docVar w:name="DLG_chkDiscuss" w:val="0"/>
    <w:docVar w:name="DLG_chkDraft" w:val="0"/>
    <w:docVar w:name="DLG_chkFiling" w:val="0"/>
    <w:docVar w:name="DLG_chkInformation" w:val="0"/>
    <w:docVar w:name="DLG_chkPassOn" w:val="0"/>
    <w:docVar w:name="DLG_chkRCS" w:val="0"/>
    <w:docVar w:name="DLG_chkRequest" w:val="0"/>
    <w:docVar w:name="DLG_chkReturn" w:val="0"/>
    <w:docVar w:name="DLG_chkSignature" w:val="0"/>
    <w:docVar w:name="DLG_txtSubject" w:val="Subject"/>
    <w:docVar w:name="SEC_Classification" w:val="None"/>
    <w:docVar w:name="SEC_ConfidentialAttachments" w:val="False"/>
  </w:docVars>
  <w:rsids>
    <w:rsidRoot w:val="00037321"/>
    <w:rsid w:val="000229AB"/>
    <w:rsid w:val="0002569A"/>
    <w:rsid w:val="00037321"/>
    <w:rsid w:val="00043D04"/>
    <w:rsid w:val="0004567A"/>
    <w:rsid w:val="00067F47"/>
    <w:rsid w:val="00072D52"/>
    <w:rsid w:val="000806A9"/>
    <w:rsid w:val="00084459"/>
    <w:rsid w:val="00091834"/>
    <w:rsid w:val="00092ADD"/>
    <w:rsid w:val="00092E0B"/>
    <w:rsid w:val="00093A64"/>
    <w:rsid w:val="00093FA0"/>
    <w:rsid w:val="000A0299"/>
    <w:rsid w:val="000A2990"/>
    <w:rsid w:val="000A5C6B"/>
    <w:rsid w:val="000B64F5"/>
    <w:rsid w:val="000C4332"/>
    <w:rsid w:val="000D0A1E"/>
    <w:rsid w:val="000E5D68"/>
    <w:rsid w:val="000F7E94"/>
    <w:rsid w:val="001025CA"/>
    <w:rsid w:val="001119D6"/>
    <w:rsid w:val="001308F2"/>
    <w:rsid w:val="001313E8"/>
    <w:rsid w:val="00131684"/>
    <w:rsid w:val="00132E17"/>
    <w:rsid w:val="00136494"/>
    <w:rsid w:val="001369F1"/>
    <w:rsid w:val="001445CD"/>
    <w:rsid w:val="00163A44"/>
    <w:rsid w:val="001664CB"/>
    <w:rsid w:val="0016722D"/>
    <w:rsid w:val="00173348"/>
    <w:rsid w:val="00176334"/>
    <w:rsid w:val="00183BC4"/>
    <w:rsid w:val="001871C5"/>
    <w:rsid w:val="00192801"/>
    <w:rsid w:val="001976EA"/>
    <w:rsid w:val="001A59DD"/>
    <w:rsid w:val="001C1E30"/>
    <w:rsid w:val="001C4D5D"/>
    <w:rsid w:val="001C58F5"/>
    <w:rsid w:val="001D5CEE"/>
    <w:rsid w:val="001E742C"/>
    <w:rsid w:val="001F5B7D"/>
    <w:rsid w:val="002071D9"/>
    <w:rsid w:val="00211E6F"/>
    <w:rsid w:val="00226596"/>
    <w:rsid w:val="00232F4D"/>
    <w:rsid w:val="002339C4"/>
    <w:rsid w:val="002358F2"/>
    <w:rsid w:val="00256822"/>
    <w:rsid w:val="0026525A"/>
    <w:rsid w:val="00274790"/>
    <w:rsid w:val="00285755"/>
    <w:rsid w:val="002961BD"/>
    <w:rsid w:val="002A1F9C"/>
    <w:rsid w:val="002A4F1B"/>
    <w:rsid w:val="002B29C2"/>
    <w:rsid w:val="002B63D2"/>
    <w:rsid w:val="002C124D"/>
    <w:rsid w:val="002C29DB"/>
    <w:rsid w:val="002C4208"/>
    <w:rsid w:val="002C5B6A"/>
    <w:rsid w:val="002C681F"/>
    <w:rsid w:val="002D2A32"/>
    <w:rsid w:val="002E095B"/>
    <w:rsid w:val="002E3BA2"/>
    <w:rsid w:val="002F1EA8"/>
    <w:rsid w:val="002F7ED6"/>
    <w:rsid w:val="0031612B"/>
    <w:rsid w:val="003251F7"/>
    <w:rsid w:val="0033070F"/>
    <w:rsid w:val="003343DD"/>
    <w:rsid w:val="00340194"/>
    <w:rsid w:val="00352DE1"/>
    <w:rsid w:val="0036283B"/>
    <w:rsid w:val="003728E6"/>
    <w:rsid w:val="003861A6"/>
    <w:rsid w:val="00387115"/>
    <w:rsid w:val="00390592"/>
    <w:rsid w:val="00395A3F"/>
    <w:rsid w:val="00395AA2"/>
    <w:rsid w:val="003A2834"/>
    <w:rsid w:val="003A439C"/>
    <w:rsid w:val="003A4983"/>
    <w:rsid w:val="003B2DC9"/>
    <w:rsid w:val="003B59C5"/>
    <w:rsid w:val="003B5E0E"/>
    <w:rsid w:val="003C0180"/>
    <w:rsid w:val="003C44AA"/>
    <w:rsid w:val="003C6A5B"/>
    <w:rsid w:val="003D255A"/>
    <w:rsid w:val="003F3B3A"/>
    <w:rsid w:val="00416949"/>
    <w:rsid w:val="00417749"/>
    <w:rsid w:val="00423F27"/>
    <w:rsid w:val="00424F75"/>
    <w:rsid w:val="004370D8"/>
    <w:rsid w:val="004518F8"/>
    <w:rsid w:val="0046038D"/>
    <w:rsid w:val="00464282"/>
    <w:rsid w:val="00466114"/>
    <w:rsid w:val="004678F9"/>
    <w:rsid w:val="00472C43"/>
    <w:rsid w:val="00482CDC"/>
    <w:rsid w:val="00491708"/>
    <w:rsid w:val="0049426D"/>
    <w:rsid w:val="004A183F"/>
    <w:rsid w:val="004C1AE8"/>
    <w:rsid w:val="004C4CBD"/>
    <w:rsid w:val="004C52CC"/>
    <w:rsid w:val="004D3601"/>
    <w:rsid w:val="00520975"/>
    <w:rsid w:val="00530B85"/>
    <w:rsid w:val="00531B45"/>
    <w:rsid w:val="00536236"/>
    <w:rsid w:val="00537496"/>
    <w:rsid w:val="00540B87"/>
    <w:rsid w:val="00544ED3"/>
    <w:rsid w:val="005662DF"/>
    <w:rsid w:val="0058477B"/>
    <w:rsid w:val="00585333"/>
    <w:rsid w:val="0058654F"/>
    <w:rsid w:val="0059289F"/>
    <w:rsid w:val="00596ACA"/>
    <w:rsid w:val="005A58F3"/>
    <w:rsid w:val="005C2C2C"/>
    <w:rsid w:val="005C7BB3"/>
    <w:rsid w:val="005E0C5B"/>
    <w:rsid w:val="005E39BC"/>
    <w:rsid w:val="005E4E9F"/>
    <w:rsid w:val="005E7B48"/>
    <w:rsid w:val="005F00A0"/>
    <w:rsid w:val="006022FA"/>
    <w:rsid w:val="00621277"/>
    <w:rsid w:val="0062424E"/>
    <w:rsid w:val="006466AD"/>
    <w:rsid w:val="00647F33"/>
    <w:rsid w:val="00652FC2"/>
    <w:rsid w:val="00662532"/>
    <w:rsid w:val="006636A5"/>
    <w:rsid w:val="00682A0B"/>
    <w:rsid w:val="006853CC"/>
    <w:rsid w:val="006A6BBC"/>
    <w:rsid w:val="006A7451"/>
    <w:rsid w:val="006B2274"/>
    <w:rsid w:val="006C2CEB"/>
    <w:rsid w:val="006D492C"/>
    <w:rsid w:val="006E0232"/>
    <w:rsid w:val="006E5D9E"/>
    <w:rsid w:val="006F62F7"/>
    <w:rsid w:val="007009BE"/>
    <w:rsid w:val="00701D45"/>
    <w:rsid w:val="0071559D"/>
    <w:rsid w:val="00717C6F"/>
    <w:rsid w:val="00717F71"/>
    <w:rsid w:val="007404FD"/>
    <w:rsid w:val="007445DA"/>
    <w:rsid w:val="007664CA"/>
    <w:rsid w:val="00775082"/>
    <w:rsid w:val="007755DB"/>
    <w:rsid w:val="007768CE"/>
    <w:rsid w:val="007B4FD1"/>
    <w:rsid w:val="007B6709"/>
    <w:rsid w:val="007D4814"/>
    <w:rsid w:val="007E1322"/>
    <w:rsid w:val="007F091B"/>
    <w:rsid w:val="00800DFB"/>
    <w:rsid w:val="00802381"/>
    <w:rsid w:val="0080441B"/>
    <w:rsid w:val="0082423E"/>
    <w:rsid w:val="0083096A"/>
    <w:rsid w:val="0086164F"/>
    <w:rsid w:val="0086759F"/>
    <w:rsid w:val="00871F40"/>
    <w:rsid w:val="008735E7"/>
    <w:rsid w:val="00883848"/>
    <w:rsid w:val="008925EE"/>
    <w:rsid w:val="00897ED5"/>
    <w:rsid w:val="008A6D1A"/>
    <w:rsid w:val="008B2066"/>
    <w:rsid w:val="008B4B05"/>
    <w:rsid w:val="008B6BB9"/>
    <w:rsid w:val="008D4DB0"/>
    <w:rsid w:val="008D6B5A"/>
    <w:rsid w:val="008F0DDB"/>
    <w:rsid w:val="008F45B5"/>
    <w:rsid w:val="00911543"/>
    <w:rsid w:val="00915249"/>
    <w:rsid w:val="009408C5"/>
    <w:rsid w:val="009519C9"/>
    <w:rsid w:val="00997F27"/>
    <w:rsid w:val="009A4C7D"/>
    <w:rsid w:val="009C0B15"/>
    <w:rsid w:val="009D0B86"/>
    <w:rsid w:val="009D3334"/>
    <w:rsid w:val="009E0D5B"/>
    <w:rsid w:val="009E1558"/>
    <w:rsid w:val="00A01467"/>
    <w:rsid w:val="00A233D1"/>
    <w:rsid w:val="00A25D66"/>
    <w:rsid w:val="00A42898"/>
    <w:rsid w:val="00A50FE8"/>
    <w:rsid w:val="00A51DE6"/>
    <w:rsid w:val="00A57919"/>
    <w:rsid w:val="00A84CE4"/>
    <w:rsid w:val="00A95127"/>
    <w:rsid w:val="00AA08FF"/>
    <w:rsid w:val="00AB6ACE"/>
    <w:rsid w:val="00AC5A3A"/>
    <w:rsid w:val="00AC719C"/>
    <w:rsid w:val="00AF7783"/>
    <w:rsid w:val="00B07BC2"/>
    <w:rsid w:val="00B10C37"/>
    <w:rsid w:val="00B11ACE"/>
    <w:rsid w:val="00B2528D"/>
    <w:rsid w:val="00B36E68"/>
    <w:rsid w:val="00B47CA4"/>
    <w:rsid w:val="00B50FFF"/>
    <w:rsid w:val="00B604BE"/>
    <w:rsid w:val="00B64606"/>
    <w:rsid w:val="00B704D1"/>
    <w:rsid w:val="00B7186E"/>
    <w:rsid w:val="00B82FA5"/>
    <w:rsid w:val="00BA63BA"/>
    <w:rsid w:val="00BA7C40"/>
    <w:rsid w:val="00BB01A1"/>
    <w:rsid w:val="00BC23E6"/>
    <w:rsid w:val="00BD1400"/>
    <w:rsid w:val="00BD19E3"/>
    <w:rsid w:val="00BD2550"/>
    <w:rsid w:val="00BD605C"/>
    <w:rsid w:val="00BE2A76"/>
    <w:rsid w:val="00BF12D6"/>
    <w:rsid w:val="00BF5052"/>
    <w:rsid w:val="00C05E87"/>
    <w:rsid w:val="00C32F7B"/>
    <w:rsid w:val="00C40C66"/>
    <w:rsid w:val="00C4496B"/>
    <w:rsid w:val="00C55DC4"/>
    <w:rsid w:val="00C65E60"/>
    <w:rsid w:val="00C775F7"/>
    <w:rsid w:val="00C779E1"/>
    <w:rsid w:val="00CA0102"/>
    <w:rsid w:val="00CD482A"/>
    <w:rsid w:val="00CE4DCB"/>
    <w:rsid w:val="00CE5A52"/>
    <w:rsid w:val="00CE7FA6"/>
    <w:rsid w:val="00CF3BB2"/>
    <w:rsid w:val="00CF6E2B"/>
    <w:rsid w:val="00CF7AF3"/>
    <w:rsid w:val="00D25E8B"/>
    <w:rsid w:val="00D26ADA"/>
    <w:rsid w:val="00D274D5"/>
    <w:rsid w:val="00D27AFB"/>
    <w:rsid w:val="00D33DA3"/>
    <w:rsid w:val="00D35A78"/>
    <w:rsid w:val="00D36BF0"/>
    <w:rsid w:val="00D555A1"/>
    <w:rsid w:val="00D64DC2"/>
    <w:rsid w:val="00D976E2"/>
    <w:rsid w:val="00DA46CA"/>
    <w:rsid w:val="00DD2713"/>
    <w:rsid w:val="00DD66BC"/>
    <w:rsid w:val="00DF21EB"/>
    <w:rsid w:val="00DF4398"/>
    <w:rsid w:val="00E02410"/>
    <w:rsid w:val="00E0364C"/>
    <w:rsid w:val="00E05941"/>
    <w:rsid w:val="00E0759C"/>
    <w:rsid w:val="00E13B2B"/>
    <w:rsid w:val="00E14498"/>
    <w:rsid w:val="00E20E70"/>
    <w:rsid w:val="00E25B68"/>
    <w:rsid w:val="00E27FE3"/>
    <w:rsid w:val="00E3264B"/>
    <w:rsid w:val="00E378C6"/>
    <w:rsid w:val="00E409CA"/>
    <w:rsid w:val="00E45D7D"/>
    <w:rsid w:val="00E72EEE"/>
    <w:rsid w:val="00E74F62"/>
    <w:rsid w:val="00E7546E"/>
    <w:rsid w:val="00E84003"/>
    <w:rsid w:val="00E87048"/>
    <w:rsid w:val="00E943B8"/>
    <w:rsid w:val="00EA3795"/>
    <w:rsid w:val="00EA3B4B"/>
    <w:rsid w:val="00EB4961"/>
    <w:rsid w:val="00EC10FC"/>
    <w:rsid w:val="00EC27C0"/>
    <w:rsid w:val="00ED0A99"/>
    <w:rsid w:val="00EE0041"/>
    <w:rsid w:val="00EE29B9"/>
    <w:rsid w:val="00F004EE"/>
    <w:rsid w:val="00F13447"/>
    <w:rsid w:val="00F20A53"/>
    <w:rsid w:val="00F340DD"/>
    <w:rsid w:val="00F42E23"/>
    <w:rsid w:val="00F45EEE"/>
    <w:rsid w:val="00F50D1F"/>
    <w:rsid w:val="00F51E9C"/>
    <w:rsid w:val="00F523CA"/>
    <w:rsid w:val="00F6515A"/>
    <w:rsid w:val="00F67C55"/>
    <w:rsid w:val="00F74A9D"/>
    <w:rsid w:val="00F9301E"/>
    <w:rsid w:val="00FA1DFB"/>
    <w:rsid w:val="00FA3362"/>
    <w:rsid w:val="00FA3A30"/>
    <w:rsid w:val="00FC2082"/>
    <w:rsid w:val="00FF38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433FE039"/>
  <w15:docId w15:val="{1EA903AD-3624-4238-89D4-7D878EF85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1" w:defUIPriority="49" w:defSemiHidden="0" w:defUnhideWhenUsed="0" w:defQFormat="0" w:count="376">
    <w:lsdException w:name="Normal" w:locked="0"/>
    <w:lsdException w:name="heading 1" w:locked="0" w:uiPriority="0" w:qFormat="1"/>
    <w:lsdException w:name="heading 2" w:locked="0" w:uiPriority="4" w:qFormat="1"/>
    <w:lsdException w:name="heading 3" w:locked="0" w:uiPriority="4" w:qFormat="1"/>
    <w:lsdException w:name="heading 4" w:locked="0" w:uiPriority="0" w:qFormat="1"/>
    <w:lsdException w:name="heading 5" w:locked="0" w:uiPriority="0"/>
    <w:lsdException w:name="heading 6" w:locked="0" w:uiPriority="0"/>
    <w:lsdException w:name="heading 7" w:locked="0" w:semiHidden="1" w:uiPriority="0" w:unhideWhenUsed="1"/>
    <w:lsdException w:name="heading 8" w:locked="0" w:semiHidden="1" w:uiPriority="0" w:unhideWhenUsed="1"/>
    <w:lsdException w:name="heading 9" w:locked="0"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0" w:semiHidden="1" w:uiPriority="0" w:unhideWhenUsed="1"/>
    <w:lsdException w:name="annotation text" w:semiHidden="1" w:unhideWhenUsed="1"/>
    <w:lsdException w:name="header" w:locked="0" w:semiHidden="1" w:uiPriority="0" w:unhideWhenUsed="1"/>
    <w:lsdException w:name="footer" w:locked="0" w:semiHidden="1" w:uiPriority="99" w:unhideWhenUsed="1"/>
    <w:lsdException w:name="index heading" w:semiHidden="1" w:unhideWhenUsed="1"/>
    <w:lsdException w:name="caption" w:locked="0"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locked="0"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0"/>
    <w:lsdException w:name="Closing" w:semiHidden="1" w:unhideWhenUsed="1"/>
    <w:lsdException w:name="Signature" w:semiHidden="1" w:unhideWhenUsed="1"/>
    <w:lsdException w:name="Default Paragraph Font" w:locked="0" w:semiHidden="1" w:uiPriority="0" w:unhideWhenUsed="1"/>
    <w:lsdException w:name="Body Text" w:locked="0" w:semiHidden="1" w:uiPriority="0" w:unhideWhenUsed="1" w:qFormat="1"/>
    <w:lsdException w:name="Body Text Indent" w:locked="0"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0"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locked="0" w:semiHidden="1" w:uiPriority="0" w:unhideWhenUsed="1"/>
    <w:lsdException w:name="HTML Bottom of Form" w:locked="0" w:semiHidden="1" w:uiPriority="0" w:unhideWhenUsed="1"/>
    <w:lsdException w:name="Normal (Web)" w:semiHidden="1" w:unhideWhenUsed="1"/>
    <w:lsdException w:name="HTML Acronym" w:semiHidden="1" w:uiPriority="19" w:unhideWhenUsed="1"/>
    <w:lsdException w:name="HTML Address" w:semiHidden="1" w:uiPriority="1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iPriority="0" w:unhideWhenUsed="1"/>
    <w:lsdException w:name="annotation subject" w:semiHidden="1" w:unhideWhenUsed="1"/>
    <w:lsdException w:name="No List" w:locked="0"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locked="0" w:semiHidden="1" w:unhideWhenUsed="1"/>
    <w:lsdException w:name="Table Grid" w:locked="0" w:uiPriority="0"/>
    <w:lsdException w:name="Table Theme" w:semiHidden="1" w:uiPriority="0" w:unhideWhenUsed="1"/>
    <w:lsdException w:name="Placeholder Text"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uiPriority w:val="49"/>
    <w:rsid w:val="00CF7AF3"/>
    <w:pPr>
      <w:overflowPunct w:val="0"/>
      <w:autoSpaceDE w:val="0"/>
      <w:autoSpaceDN w:val="0"/>
      <w:adjustRightInd w:val="0"/>
      <w:textAlignment w:val="baseline"/>
    </w:pPr>
    <w:rPr>
      <w:sz w:val="22"/>
      <w:lang w:eastAsia="en-US"/>
    </w:rPr>
  </w:style>
  <w:style w:type="paragraph" w:styleId="Titre1">
    <w:name w:val="heading 1"/>
    <w:aliases w:val="Paper title"/>
    <w:next w:val="Sous-titre"/>
    <w:uiPriority w:val="4"/>
    <w:qFormat/>
    <w:rsid w:val="00EE29B9"/>
    <w:pPr>
      <w:spacing w:line="280" w:lineRule="atLeast"/>
      <w:ind w:left="567" w:right="567"/>
      <w:outlineLvl w:val="0"/>
    </w:pPr>
    <w:rPr>
      <w:rFonts w:ascii="Times New Roman Bold" w:hAnsi="Times New Roman Bold"/>
      <w:b/>
      <w:caps/>
      <w:sz w:val="24"/>
      <w:lang w:val="en-US" w:eastAsia="en-US"/>
    </w:rPr>
  </w:style>
  <w:style w:type="paragraph" w:styleId="Titre2">
    <w:name w:val="heading 2"/>
    <w:aliases w:val="1st level paper heading"/>
    <w:next w:val="Corpsdetexte"/>
    <w:uiPriority w:val="4"/>
    <w:qFormat/>
    <w:rsid w:val="00EE0041"/>
    <w:pPr>
      <w:widowControl w:val="0"/>
      <w:numPr>
        <w:ilvl w:val="1"/>
        <w:numId w:val="12"/>
      </w:numPr>
      <w:spacing w:before="100" w:beforeAutospacing="1" w:after="100" w:afterAutospacing="1" w:line="280" w:lineRule="atLeast"/>
      <w:outlineLvl w:val="1"/>
    </w:pPr>
    <w:rPr>
      <w:caps/>
      <w:lang w:eastAsia="en-US"/>
    </w:rPr>
  </w:style>
  <w:style w:type="paragraph" w:styleId="Titre3">
    <w:name w:val="heading 3"/>
    <w:aliases w:val="2nd level paper heading"/>
    <w:next w:val="Corpsdetexte"/>
    <w:uiPriority w:val="4"/>
    <w:qFormat/>
    <w:rsid w:val="00897ED5"/>
    <w:pPr>
      <w:widowControl w:val="0"/>
      <w:numPr>
        <w:ilvl w:val="2"/>
        <w:numId w:val="12"/>
      </w:numPr>
      <w:spacing w:before="240" w:after="240" w:line="240" w:lineRule="exact"/>
      <w:outlineLvl w:val="2"/>
    </w:pPr>
    <w:rPr>
      <w:b/>
      <w:lang w:eastAsia="en-US"/>
    </w:rPr>
  </w:style>
  <w:style w:type="paragraph" w:styleId="Titre4">
    <w:name w:val="heading 4"/>
    <w:aliases w:val="3rd level paper heading"/>
    <w:basedOn w:val="Normal"/>
    <w:next w:val="Corpsdetexte"/>
    <w:uiPriority w:val="4"/>
    <w:qFormat/>
    <w:rsid w:val="00E378C6"/>
    <w:pPr>
      <w:widowControl w:val="0"/>
      <w:numPr>
        <w:ilvl w:val="3"/>
        <w:numId w:val="12"/>
      </w:numPr>
      <w:spacing w:before="100" w:beforeAutospacing="1" w:after="100" w:afterAutospacing="1" w:line="240" w:lineRule="atLeast"/>
      <w:ind w:left="0"/>
      <w:jc w:val="both"/>
      <w:outlineLvl w:val="3"/>
    </w:pPr>
    <w:rPr>
      <w:i/>
      <w:sz w:val="20"/>
    </w:rPr>
  </w:style>
  <w:style w:type="paragraph" w:styleId="Titre5">
    <w:name w:val="heading 5"/>
    <w:basedOn w:val="Normal"/>
    <w:next w:val="Normal"/>
    <w:uiPriority w:val="19"/>
    <w:locked/>
    <w:pPr>
      <w:overflowPunct/>
      <w:autoSpaceDE/>
      <w:autoSpaceDN/>
      <w:adjustRightInd/>
      <w:spacing w:before="240" w:after="60"/>
      <w:textAlignment w:val="auto"/>
      <w:outlineLvl w:val="4"/>
    </w:pPr>
    <w:rPr>
      <w:b/>
      <w:bCs/>
      <w:i/>
      <w:iCs/>
      <w:sz w:val="26"/>
      <w:szCs w:val="26"/>
      <w:lang w:val="en-US"/>
    </w:rPr>
  </w:style>
  <w:style w:type="paragraph" w:styleId="Titre6">
    <w:name w:val="heading 6"/>
    <w:basedOn w:val="Normal"/>
    <w:next w:val="Normal"/>
    <w:uiPriority w:val="19"/>
    <w:locked/>
    <w:pPr>
      <w:overflowPunct/>
      <w:autoSpaceDE/>
      <w:autoSpaceDN/>
      <w:adjustRightInd/>
      <w:spacing w:before="240" w:after="60"/>
      <w:textAlignment w:val="auto"/>
      <w:outlineLvl w:val="5"/>
    </w:pPr>
    <w:rPr>
      <w:b/>
      <w:bCs/>
      <w:szCs w:val="22"/>
      <w:lang w:val="en-US"/>
    </w:rPr>
  </w:style>
  <w:style w:type="paragraph" w:styleId="Titre7">
    <w:name w:val="heading 7"/>
    <w:basedOn w:val="Normal"/>
    <w:next w:val="Normal"/>
    <w:uiPriority w:val="19"/>
    <w:locked/>
    <w:pPr>
      <w:overflowPunct/>
      <w:autoSpaceDE/>
      <w:autoSpaceDN/>
      <w:adjustRightInd/>
      <w:spacing w:before="240" w:after="60"/>
      <w:textAlignment w:val="auto"/>
      <w:outlineLvl w:val="6"/>
    </w:pPr>
    <w:rPr>
      <w:szCs w:val="24"/>
      <w:lang w:val="en-US"/>
    </w:rPr>
  </w:style>
  <w:style w:type="paragraph" w:styleId="Titre8">
    <w:name w:val="heading 8"/>
    <w:basedOn w:val="Normal"/>
    <w:next w:val="Normal"/>
    <w:uiPriority w:val="19"/>
    <w:locked/>
    <w:pPr>
      <w:overflowPunct/>
      <w:autoSpaceDE/>
      <w:autoSpaceDN/>
      <w:adjustRightInd/>
      <w:spacing w:before="240" w:after="60"/>
      <w:textAlignment w:val="auto"/>
      <w:outlineLvl w:val="7"/>
    </w:pPr>
    <w:rPr>
      <w:i/>
      <w:iCs/>
      <w:szCs w:val="24"/>
      <w:lang w:val="en-US"/>
    </w:rPr>
  </w:style>
  <w:style w:type="paragraph" w:styleId="Titre9">
    <w:name w:val="heading 9"/>
    <w:basedOn w:val="Normal"/>
    <w:next w:val="Normal"/>
    <w:uiPriority w:val="19"/>
    <w:locked/>
    <w:pPr>
      <w:overflowPunct/>
      <w:autoSpaceDE/>
      <w:autoSpaceDN/>
      <w:adjustRightInd/>
      <w:spacing w:before="240" w:after="60"/>
      <w:textAlignment w:val="auto"/>
      <w:outlineLvl w:val="8"/>
    </w:pPr>
    <w:rPr>
      <w:rFonts w:ascii="Arial" w:hAnsi="Arial" w:cs="Arial"/>
      <w:szCs w:val="22"/>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link w:val="CorpsdetexteCar"/>
    <w:qFormat/>
    <w:rsid w:val="00647F33"/>
    <w:pPr>
      <w:spacing w:line="260" w:lineRule="atLeast"/>
      <w:ind w:firstLine="567"/>
      <w:contextualSpacing/>
      <w:jc w:val="both"/>
    </w:pPr>
    <w:rPr>
      <w:lang w:eastAsia="en-US"/>
    </w:rPr>
  </w:style>
  <w:style w:type="paragraph" w:styleId="Retraitcorpsdetexte">
    <w:name w:val="Body Text Indent"/>
    <w:basedOn w:val="Corpsdetexte"/>
    <w:uiPriority w:val="49"/>
    <w:locked/>
    <w:pPr>
      <w:ind w:left="1134" w:hanging="675"/>
    </w:pPr>
  </w:style>
  <w:style w:type="paragraph" w:customStyle="1" w:styleId="BodyTextMultiline">
    <w:name w:val="Body Text Multiline"/>
    <w:basedOn w:val="Corpsdetexte"/>
    <w:locked/>
    <w:pPr>
      <w:numPr>
        <w:numId w:val="1"/>
      </w:numPr>
    </w:pPr>
  </w:style>
  <w:style w:type="paragraph" w:customStyle="1" w:styleId="BodyTextSummary">
    <w:name w:val="Body Text Summary"/>
    <w:uiPriority w:val="49"/>
    <w:locked/>
    <w:pPr>
      <w:numPr>
        <w:numId w:val="2"/>
      </w:numPr>
      <w:tabs>
        <w:tab w:val="clear" w:pos="720"/>
      </w:tabs>
      <w:spacing w:after="170" w:line="280" w:lineRule="atLeast"/>
      <w:ind w:left="572" w:hanging="459"/>
      <w:jc w:val="both"/>
    </w:pPr>
    <w:rPr>
      <w:sz w:val="22"/>
      <w:szCs w:val="22"/>
      <w:lang w:eastAsia="en-US"/>
    </w:rPr>
  </w:style>
  <w:style w:type="paragraph" w:styleId="Lgende">
    <w:name w:val="caption"/>
    <w:next w:val="Normal"/>
    <w:uiPriority w:val="49"/>
    <w:pPr>
      <w:spacing w:after="85"/>
    </w:pPr>
    <w:rPr>
      <w:bCs/>
      <w:sz w:val="18"/>
      <w:lang w:val="en-US" w:eastAsia="en-US"/>
    </w:rPr>
  </w:style>
  <w:style w:type="paragraph" w:styleId="Pieddepage">
    <w:name w:val="footer"/>
    <w:basedOn w:val="Normal"/>
    <w:link w:val="PieddepageCar"/>
    <w:uiPriority w:val="99"/>
    <w:locked/>
    <w:pPr>
      <w:overflowPunct/>
      <w:autoSpaceDE/>
      <w:autoSpaceDN/>
      <w:adjustRightInd/>
      <w:textAlignment w:val="auto"/>
    </w:pPr>
    <w:rPr>
      <w:sz w:val="2"/>
      <w:lang w:val="en-US"/>
    </w:rPr>
  </w:style>
  <w:style w:type="paragraph" w:styleId="Notedebasdepage">
    <w:name w:val="footnote text"/>
    <w:semiHidden/>
    <w:locked/>
    <w:pPr>
      <w:tabs>
        <w:tab w:val="left" w:pos="459"/>
      </w:tabs>
      <w:spacing w:before="142"/>
      <w:ind w:left="459"/>
      <w:jc w:val="both"/>
    </w:pPr>
    <w:rPr>
      <w:sz w:val="18"/>
      <w:lang w:eastAsia="en-US"/>
    </w:rPr>
  </w:style>
  <w:style w:type="paragraph" w:styleId="En-tte">
    <w:name w:val="header"/>
    <w:next w:val="Corpsdetexte"/>
    <w:uiPriority w:val="49"/>
    <w:locked/>
    <w:pPr>
      <w:spacing w:after="85"/>
    </w:pPr>
    <w:rPr>
      <w:sz w:val="18"/>
      <w:lang w:val="en-US" w:eastAsia="en-US"/>
    </w:rPr>
  </w:style>
  <w:style w:type="paragraph" w:customStyle="1" w:styleId="ListBulleted">
    <w:name w:val="List Bulleted"/>
    <w:uiPriority w:val="7"/>
    <w:qFormat/>
    <w:locked/>
    <w:pPr>
      <w:numPr>
        <w:numId w:val="6"/>
      </w:numPr>
      <w:tabs>
        <w:tab w:val="clear" w:pos="1179"/>
        <w:tab w:val="left" w:pos="919"/>
      </w:tabs>
      <w:ind w:left="918" w:right="1134" w:hanging="459"/>
      <w:jc w:val="both"/>
    </w:pPr>
    <w:rPr>
      <w:sz w:val="22"/>
      <w:lang w:eastAsia="en-US"/>
    </w:rPr>
  </w:style>
  <w:style w:type="paragraph" w:customStyle="1" w:styleId="ListEmdash">
    <w:name w:val="List Emdash"/>
    <w:basedOn w:val="Corpsdetexte"/>
    <w:uiPriority w:val="6"/>
    <w:qFormat/>
    <w:rsid w:val="00717C6F"/>
    <w:pPr>
      <w:numPr>
        <w:numId w:val="20"/>
      </w:numPr>
      <w:ind w:left="709"/>
    </w:pPr>
  </w:style>
  <w:style w:type="paragraph" w:customStyle="1" w:styleId="ListNumbered">
    <w:name w:val="List Numbered"/>
    <w:basedOn w:val="Corpsdetexte"/>
    <w:uiPriority w:val="5"/>
    <w:qFormat/>
    <w:locked/>
    <w:rsid w:val="00717C6F"/>
    <w:pPr>
      <w:numPr>
        <w:numId w:val="22"/>
      </w:numPr>
    </w:pPr>
  </w:style>
  <w:style w:type="paragraph" w:styleId="Titre">
    <w:name w:val="Title"/>
    <w:uiPriority w:val="2"/>
    <w:locked/>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Normal"/>
    <w:uiPriority w:val="49"/>
    <w:locked/>
    <w:pPr>
      <w:spacing w:after="20" w:line="220" w:lineRule="exact"/>
      <w:jc w:val="right"/>
    </w:pPr>
    <w:rPr>
      <w:rFonts w:ascii="Arial" w:hAnsi="Arial" w:cs="Arial"/>
      <w:color w:val="FF0000"/>
    </w:rPr>
  </w:style>
  <w:style w:type="paragraph" w:customStyle="1" w:styleId="zyxConfidRed">
    <w:name w:val="zyxConfidRed"/>
    <w:uiPriority w:val="49"/>
    <w:locked/>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uiPriority w:val="49"/>
    <w:locked/>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Normal"/>
    <w:uiPriority w:val="49"/>
    <w:locked/>
    <w:pPr>
      <w:framePr w:wrap="around" w:vAnchor="page" w:hAnchor="page" w:x="1390" w:y="15707"/>
      <w:widowControl w:val="0"/>
      <w:overflowPunct/>
      <w:autoSpaceDE/>
      <w:autoSpaceDN/>
      <w:adjustRightInd/>
      <w:spacing w:before="240" w:after="20"/>
      <w:ind w:left="142"/>
      <w:suppressOverlap/>
      <w:textAlignment w:val="auto"/>
    </w:pPr>
    <w:rPr>
      <w:rFonts w:ascii="Arial" w:hAnsi="Arial"/>
      <w:b/>
    </w:rPr>
  </w:style>
  <w:style w:type="paragraph" w:customStyle="1" w:styleId="zyxPrePrint">
    <w:name w:val="zyxPrePrint"/>
    <w:uiPriority w:val="49"/>
    <w:locked/>
    <w:pPr>
      <w:spacing w:after="60" w:line="280" w:lineRule="exact"/>
      <w:ind w:left="113"/>
    </w:pPr>
    <w:rPr>
      <w:sz w:val="22"/>
      <w:lang w:eastAsia="en-US"/>
    </w:rPr>
  </w:style>
  <w:style w:type="paragraph" w:customStyle="1" w:styleId="zyxFillIn">
    <w:name w:val="zyxFill_In"/>
    <w:basedOn w:val="zyxPrePrint"/>
    <w:uiPriority w:val="49"/>
    <w:locked/>
    <w:rPr>
      <w:b/>
    </w:rPr>
  </w:style>
  <w:style w:type="paragraph" w:customStyle="1" w:styleId="zyxLogo">
    <w:name w:val="zyxLogo"/>
    <w:basedOn w:val="Normal"/>
    <w:uiPriority w:val="49"/>
    <w:locked/>
    <w:pPr>
      <w:keepNext/>
      <w:spacing w:after="10"/>
    </w:pPr>
    <w:rPr>
      <w:rFonts w:ascii="Arial" w:hAnsi="Arial"/>
      <w:b/>
      <w:sz w:val="13"/>
    </w:rPr>
  </w:style>
  <w:style w:type="paragraph" w:customStyle="1" w:styleId="zyxP1Footer">
    <w:name w:val="zyxP1_Footer"/>
    <w:basedOn w:val="Normal"/>
    <w:uiPriority w:val="49"/>
    <w:locked/>
    <w:pPr>
      <w:widowControl w:val="0"/>
      <w:spacing w:line="160" w:lineRule="exact"/>
      <w:ind w:left="108"/>
    </w:pPr>
    <w:rPr>
      <w:sz w:val="14"/>
    </w:rPr>
  </w:style>
  <w:style w:type="paragraph" w:customStyle="1" w:styleId="zyxSensitivity">
    <w:name w:val="zyxSensitivity"/>
    <w:basedOn w:val="Normal"/>
    <w:uiPriority w:val="49"/>
    <w:locked/>
    <w:pPr>
      <w:framePr w:wrap="around" w:vAnchor="page" w:hAnchor="page" w:x="1390" w:y="15707"/>
      <w:widowControl w:val="0"/>
      <w:overflowPunct/>
      <w:autoSpaceDE/>
      <w:autoSpaceDN/>
      <w:adjustRightInd/>
      <w:spacing w:line="220" w:lineRule="exact"/>
      <w:ind w:left="142"/>
      <w:suppressOverlap/>
      <w:textAlignment w:val="auto"/>
    </w:pPr>
    <w:rPr>
      <w:rFonts w:ascii="Arial" w:hAnsi="Arial"/>
      <w:b/>
    </w:rPr>
  </w:style>
  <w:style w:type="paragraph" w:customStyle="1" w:styleId="zyxTitle">
    <w:name w:val="zyxTitle"/>
    <w:basedOn w:val="Normal"/>
    <w:uiPriority w:val="49"/>
    <w:locked/>
    <w:pPr>
      <w:keepNext/>
      <w:spacing w:line="420" w:lineRule="exact"/>
    </w:pPr>
    <w:rPr>
      <w:rFonts w:ascii="Arial" w:hAnsi="Arial"/>
      <w:sz w:val="40"/>
    </w:rPr>
  </w:style>
  <w:style w:type="character" w:styleId="Appelnotedebasdep">
    <w:name w:val="footnote reference"/>
    <w:basedOn w:val="Policepardfaut"/>
    <w:semiHidden/>
    <w:locked/>
    <w:rPr>
      <w:vertAlign w:val="superscript"/>
    </w:rPr>
  </w:style>
  <w:style w:type="paragraph" w:styleId="Sous-titre">
    <w:name w:val="Subtitle"/>
    <w:next w:val="Corpsdetexte"/>
    <w:uiPriority w:val="3"/>
    <w:qFormat/>
    <w:rsid w:val="00B82FA5"/>
    <w:pPr>
      <w:spacing w:after="100" w:afterAutospacing="1" w:line="280" w:lineRule="atLeast"/>
      <w:ind w:left="567" w:right="567"/>
      <w:contextualSpacing/>
    </w:pPr>
    <w:rPr>
      <w:rFonts w:cs="Arial"/>
      <w:b/>
      <w:i/>
      <w:sz w:val="24"/>
      <w:szCs w:val="24"/>
      <w:lang w:val="en-US" w:eastAsia="en-US"/>
    </w:rPr>
  </w:style>
  <w:style w:type="paragraph" w:customStyle="1" w:styleId="AgendaList">
    <w:name w:val="Agenda List"/>
    <w:uiPriority w:val="49"/>
    <w:locked/>
    <w:pPr>
      <w:numPr>
        <w:numId w:val="9"/>
      </w:numPr>
      <w:tabs>
        <w:tab w:val="clear" w:pos="459"/>
        <w:tab w:val="left" w:pos="919"/>
      </w:tabs>
      <w:spacing w:after="240" w:line="240" w:lineRule="exact"/>
      <w:ind w:left="918"/>
      <w:jc w:val="both"/>
    </w:pPr>
    <w:rPr>
      <w:sz w:val="22"/>
      <w:lang w:eastAsia="en-US"/>
    </w:rPr>
  </w:style>
  <w:style w:type="paragraph" w:customStyle="1" w:styleId="zyxClassification1">
    <w:name w:val="zyxClassification1"/>
    <w:basedOn w:val="Corpsdetexte"/>
    <w:uiPriority w:val="49"/>
    <w:locked/>
    <w:pPr>
      <w:spacing w:line="280" w:lineRule="exact"/>
      <w:jc w:val="right"/>
    </w:pPr>
    <w:rPr>
      <w:rFonts w:ascii="Arial" w:hAnsi="Arial" w:cs="Arial"/>
      <w:b/>
      <w:bCs/>
      <w:caps/>
      <w:sz w:val="24"/>
    </w:rPr>
  </w:style>
  <w:style w:type="paragraph" w:customStyle="1" w:styleId="zyxClassification2">
    <w:name w:val="zyxClassification2"/>
    <w:basedOn w:val="Pieddepage"/>
    <w:uiPriority w:val="49"/>
    <w:locked/>
    <w:pPr>
      <w:tabs>
        <w:tab w:val="center" w:pos="4320"/>
        <w:tab w:val="right" w:pos="8640"/>
      </w:tabs>
      <w:overflowPunct w:val="0"/>
      <w:autoSpaceDE w:val="0"/>
      <w:autoSpaceDN w:val="0"/>
      <w:adjustRightInd w:val="0"/>
      <w:ind w:firstLine="567"/>
      <w:jc w:val="right"/>
      <w:textAlignment w:val="baseline"/>
    </w:pPr>
    <w:rPr>
      <w:rFonts w:ascii="Arial" w:hAnsi="Arial" w:cs="Arial"/>
      <w:sz w:val="16"/>
      <w:lang w:val="en-GB"/>
    </w:rPr>
  </w:style>
  <w:style w:type="character" w:customStyle="1" w:styleId="PieddepageCar">
    <w:name w:val="Pied de page Car"/>
    <w:basedOn w:val="Policepardfaut"/>
    <w:link w:val="Pieddepage"/>
    <w:uiPriority w:val="99"/>
    <w:rsid w:val="00037321"/>
    <w:rPr>
      <w:sz w:val="2"/>
      <w:lang w:val="en-US" w:eastAsia="en-US"/>
    </w:rPr>
  </w:style>
  <w:style w:type="paragraph" w:customStyle="1" w:styleId="Runninghead">
    <w:name w:val="Running head"/>
    <w:basedOn w:val="Normal"/>
    <w:link w:val="RunningheadChar"/>
    <w:uiPriority w:val="49"/>
    <w:qFormat/>
    <w:rsid w:val="00B82FA5"/>
    <w:pPr>
      <w:jc w:val="center"/>
    </w:pPr>
    <w:rPr>
      <w:b/>
      <w:sz w:val="16"/>
      <w:szCs w:val="16"/>
    </w:rPr>
  </w:style>
  <w:style w:type="paragraph" w:customStyle="1" w:styleId="Authornameandaffiliation">
    <w:name w:val="Author name and affiliation"/>
    <w:link w:val="AuthornameandaffiliationChar"/>
    <w:uiPriority w:val="49"/>
    <w:qFormat/>
    <w:rsid w:val="00647F33"/>
    <w:pPr>
      <w:ind w:left="567"/>
      <w:contextualSpacing/>
    </w:pPr>
    <w:rPr>
      <w:lang w:val="en-US" w:eastAsia="en-US"/>
    </w:rPr>
  </w:style>
  <w:style w:type="character" w:customStyle="1" w:styleId="RunningheadChar">
    <w:name w:val="Running head Char"/>
    <w:basedOn w:val="Policepardfaut"/>
    <w:link w:val="Runninghead"/>
    <w:uiPriority w:val="49"/>
    <w:rsid w:val="00B82FA5"/>
    <w:rPr>
      <w:b/>
      <w:sz w:val="16"/>
      <w:szCs w:val="16"/>
      <w:lang w:eastAsia="en-US"/>
    </w:rPr>
  </w:style>
  <w:style w:type="paragraph" w:customStyle="1" w:styleId="Abstracttext">
    <w:name w:val="Abstract text"/>
    <w:basedOn w:val="Authornameandaffiliation"/>
    <w:link w:val="AbstracttextChar"/>
    <w:uiPriority w:val="49"/>
    <w:qFormat/>
    <w:rsid w:val="00BD605C"/>
    <w:pPr>
      <w:spacing w:line="240" w:lineRule="atLeast"/>
      <w:ind w:left="0" w:firstLine="567"/>
    </w:pPr>
    <w:rPr>
      <w:sz w:val="18"/>
    </w:rPr>
  </w:style>
  <w:style w:type="character" w:customStyle="1" w:styleId="CorpsdetexteCar">
    <w:name w:val="Corps de texte Car"/>
    <w:basedOn w:val="Policepardfaut"/>
    <w:link w:val="Corpsdetexte"/>
    <w:rsid w:val="00647F33"/>
    <w:rPr>
      <w:lang w:eastAsia="en-US"/>
    </w:rPr>
  </w:style>
  <w:style w:type="character" w:customStyle="1" w:styleId="AuthornameandaffiliationChar">
    <w:name w:val="Author name and affiliation Char"/>
    <w:basedOn w:val="CorpsdetexteCar"/>
    <w:link w:val="Authornameandaffiliation"/>
    <w:uiPriority w:val="49"/>
    <w:rsid w:val="00647F33"/>
    <w:rPr>
      <w:lang w:val="en-US" w:eastAsia="en-US"/>
    </w:rPr>
  </w:style>
  <w:style w:type="table" w:styleId="Grilledutableau">
    <w:name w:val="Table Grid"/>
    <w:basedOn w:val="TableauNormal"/>
    <w:locked/>
    <w:rsid w:val="00472C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tracttextChar">
    <w:name w:val="Abstract text Char"/>
    <w:basedOn w:val="AuthornameandaffiliationChar"/>
    <w:link w:val="Abstracttext"/>
    <w:uiPriority w:val="49"/>
    <w:rsid w:val="00BD605C"/>
    <w:rPr>
      <w:sz w:val="18"/>
      <w:lang w:val="en-US" w:eastAsia="en-US"/>
    </w:rPr>
  </w:style>
  <w:style w:type="paragraph" w:styleId="Textedebulles">
    <w:name w:val="Balloon Text"/>
    <w:basedOn w:val="Normal"/>
    <w:link w:val="TextedebullesCar"/>
    <w:uiPriority w:val="49"/>
    <w:locked/>
    <w:rsid w:val="005F00A0"/>
    <w:rPr>
      <w:rFonts w:ascii="Tahoma" w:hAnsi="Tahoma" w:cs="Tahoma"/>
      <w:sz w:val="16"/>
      <w:szCs w:val="16"/>
    </w:rPr>
  </w:style>
  <w:style w:type="character" w:customStyle="1" w:styleId="TextedebullesCar">
    <w:name w:val="Texte de bulles Car"/>
    <w:basedOn w:val="Policepardfaut"/>
    <w:link w:val="Textedebulles"/>
    <w:uiPriority w:val="49"/>
    <w:rsid w:val="005F00A0"/>
    <w:rPr>
      <w:rFonts w:ascii="Tahoma" w:hAnsi="Tahoma" w:cs="Tahoma"/>
      <w:sz w:val="16"/>
      <w:szCs w:val="16"/>
      <w:lang w:eastAsia="en-US"/>
    </w:rPr>
  </w:style>
  <w:style w:type="paragraph" w:customStyle="1" w:styleId="Figurecaption">
    <w:name w:val="Figure caption"/>
    <w:basedOn w:val="Corpsdetexte"/>
    <w:link w:val="FigurecaptionChar"/>
    <w:uiPriority w:val="49"/>
    <w:qFormat/>
    <w:locked/>
    <w:rsid w:val="00717C6F"/>
    <w:pPr>
      <w:jc w:val="center"/>
    </w:pPr>
    <w:rPr>
      <w:i/>
      <w:sz w:val="18"/>
    </w:rPr>
  </w:style>
  <w:style w:type="paragraph" w:customStyle="1" w:styleId="Otherunnumberedheadings">
    <w:name w:val="Other unnumbered headings"/>
    <w:next w:val="Corpsdetexte"/>
    <w:link w:val="OtherunnumberedheadingsChar"/>
    <w:uiPriority w:val="49"/>
    <w:qFormat/>
    <w:locked/>
    <w:rsid w:val="00D26ADA"/>
    <w:pPr>
      <w:spacing w:before="100" w:beforeAutospacing="1" w:after="100" w:afterAutospacing="1" w:line="260" w:lineRule="atLeast"/>
      <w:jc w:val="center"/>
    </w:pPr>
    <w:rPr>
      <w:rFonts w:ascii="Times New Roman Bold" w:hAnsi="Times New Roman Bold"/>
      <w:b/>
      <w:caps/>
      <w:lang w:eastAsia="en-US"/>
    </w:rPr>
  </w:style>
  <w:style w:type="character" w:customStyle="1" w:styleId="FigurecaptionChar">
    <w:name w:val="Figure caption Char"/>
    <w:basedOn w:val="CorpsdetexteCar"/>
    <w:link w:val="Figurecaption"/>
    <w:uiPriority w:val="49"/>
    <w:rsid w:val="00717C6F"/>
    <w:rPr>
      <w:i/>
      <w:sz w:val="18"/>
      <w:lang w:eastAsia="en-US"/>
    </w:rPr>
  </w:style>
  <w:style w:type="paragraph" w:customStyle="1" w:styleId="Referencelist">
    <w:name w:val="Reference list"/>
    <w:basedOn w:val="Corpsdetexte"/>
    <w:link w:val="ReferencelistChar"/>
    <w:uiPriority w:val="49"/>
    <w:qFormat/>
    <w:rsid w:val="009E0D5B"/>
    <w:pPr>
      <w:numPr>
        <w:numId w:val="30"/>
      </w:numPr>
    </w:pPr>
    <w:rPr>
      <w:sz w:val="18"/>
      <w:szCs w:val="18"/>
    </w:rPr>
  </w:style>
  <w:style w:type="character" w:customStyle="1" w:styleId="OtherunnumberedheadingsChar">
    <w:name w:val="Other unnumbered headings Char"/>
    <w:basedOn w:val="CorpsdetexteCar"/>
    <w:link w:val="Otherunnumberedheadings"/>
    <w:uiPriority w:val="49"/>
    <w:rsid w:val="00D26ADA"/>
    <w:rPr>
      <w:rFonts w:ascii="Times New Roman Bold" w:hAnsi="Times New Roman Bold"/>
      <w:b/>
      <w:caps/>
      <w:lang w:eastAsia="en-US"/>
    </w:rPr>
  </w:style>
  <w:style w:type="character" w:customStyle="1" w:styleId="ReferencelistChar">
    <w:name w:val="Reference list Char"/>
    <w:basedOn w:val="CorpsdetexteCar"/>
    <w:link w:val="Referencelist"/>
    <w:uiPriority w:val="49"/>
    <w:rsid w:val="009E0D5B"/>
    <w:rPr>
      <w:sz w:val="18"/>
      <w:szCs w:val="18"/>
      <w:lang w:eastAsia="en-US"/>
    </w:rPr>
  </w:style>
  <w:style w:type="paragraph" w:customStyle="1" w:styleId="Tabletext">
    <w:name w:val="Table text"/>
    <w:basedOn w:val="Corpsdetexte"/>
    <w:link w:val="TabletextChar"/>
    <w:uiPriority w:val="49"/>
    <w:qFormat/>
    <w:rsid w:val="00883848"/>
    <w:pPr>
      <w:ind w:firstLine="0"/>
    </w:pPr>
  </w:style>
  <w:style w:type="character" w:customStyle="1" w:styleId="TabletextChar">
    <w:name w:val="Table text Char"/>
    <w:basedOn w:val="CorpsdetexteCar"/>
    <w:link w:val="Tabletext"/>
    <w:uiPriority w:val="49"/>
    <w:rsid w:val="00883848"/>
    <w:rPr>
      <w:lang w:eastAsia="en-US"/>
    </w:rPr>
  </w:style>
  <w:style w:type="paragraph" w:styleId="NormalWeb">
    <w:name w:val="Normal (Web)"/>
    <w:basedOn w:val="Normal"/>
    <w:uiPriority w:val="49"/>
    <w:semiHidden/>
    <w:unhideWhenUsed/>
    <w:locked/>
    <w:rsid w:val="002C29DB"/>
    <w:rPr>
      <w:sz w:val="24"/>
      <w:szCs w:val="24"/>
    </w:rPr>
  </w:style>
  <w:style w:type="paragraph" w:customStyle="1" w:styleId="FIG-LONG">
    <w:name w:val="FIG-LONG"/>
    <w:basedOn w:val="Normal"/>
    <w:next w:val="Normal"/>
    <w:link w:val="FIG-LONGChar"/>
    <w:autoRedefine/>
    <w:qFormat/>
    <w:rsid w:val="002C29DB"/>
    <w:pPr>
      <w:tabs>
        <w:tab w:val="left" w:pos="709"/>
      </w:tabs>
      <w:overflowPunct/>
      <w:autoSpaceDE/>
      <w:autoSpaceDN/>
      <w:adjustRightInd/>
      <w:spacing w:after="120"/>
      <w:ind w:left="709" w:hanging="709"/>
      <w:textAlignment w:val="auto"/>
    </w:pPr>
    <w:rPr>
      <w:rFonts w:eastAsiaTheme="minorEastAsia"/>
      <w:i/>
      <w:iCs/>
      <w:sz w:val="18"/>
      <w:szCs w:val="18"/>
    </w:rPr>
  </w:style>
  <w:style w:type="character" w:customStyle="1" w:styleId="FIG-LONGChar">
    <w:name w:val="FIG-LONG Char"/>
    <w:basedOn w:val="Policepardfaut"/>
    <w:link w:val="FIG-LONG"/>
    <w:rsid w:val="002C29DB"/>
    <w:rPr>
      <w:rFonts w:eastAsiaTheme="minorEastAsia"/>
      <w:i/>
      <w:iCs/>
      <w:sz w:val="18"/>
      <w:szCs w:val="18"/>
      <w:lang w:eastAsia="en-US"/>
    </w:rPr>
  </w:style>
  <w:style w:type="table" w:customStyle="1" w:styleId="TableGrid1">
    <w:name w:val="Table Grid1"/>
    <w:basedOn w:val="TableauNormal"/>
    <w:next w:val="Grilledutableau"/>
    <w:uiPriority w:val="59"/>
    <w:rsid w:val="002C29DB"/>
    <w:rPr>
      <w:rFonts w:asciiTheme="minorHAnsi" w:eastAsiaTheme="minorEastAsia" w:hAnsiTheme="minorHAnsi" w:cstheme="minorBidi"/>
      <w:sz w:val="24"/>
      <w:szCs w:val="24"/>
      <w:lang w:val="it-IT"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49"/>
    <w:semiHidden/>
    <w:unhideWhenUsed/>
    <w:locked/>
    <w:rsid w:val="00A233D1"/>
    <w:rPr>
      <w:sz w:val="16"/>
      <w:szCs w:val="16"/>
    </w:rPr>
  </w:style>
  <w:style w:type="paragraph" w:styleId="Commentaire">
    <w:name w:val="annotation text"/>
    <w:basedOn w:val="Normal"/>
    <w:link w:val="CommentaireCar"/>
    <w:uiPriority w:val="49"/>
    <w:semiHidden/>
    <w:unhideWhenUsed/>
    <w:locked/>
    <w:rsid w:val="00A233D1"/>
    <w:rPr>
      <w:sz w:val="20"/>
    </w:rPr>
  </w:style>
  <w:style w:type="character" w:customStyle="1" w:styleId="CommentaireCar">
    <w:name w:val="Commentaire Car"/>
    <w:basedOn w:val="Policepardfaut"/>
    <w:link w:val="Commentaire"/>
    <w:uiPriority w:val="49"/>
    <w:semiHidden/>
    <w:rsid w:val="00A233D1"/>
    <w:rPr>
      <w:lang w:eastAsia="en-US"/>
    </w:rPr>
  </w:style>
  <w:style w:type="paragraph" w:styleId="Objetducommentaire">
    <w:name w:val="annotation subject"/>
    <w:basedOn w:val="Commentaire"/>
    <w:next w:val="Commentaire"/>
    <w:link w:val="ObjetducommentaireCar"/>
    <w:uiPriority w:val="49"/>
    <w:semiHidden/>
    <w:unhideWhenUsed/>
    <w:locked/>
    <w:rsid w:val="00A233D1"/>
    <w:rPr>
      <w:b/>
      <w:bCs/>
    </w:rPr>
  </w:style>
  <w:style w:type="character" w:customStyle="1" w:styleId="ObjetducommentaireCar">
    <w:name w:val="Objet du commentaire Car"/>
    <w:basedOn w:val="CommentaireCar"/>
    <w:link w:val="Objetducommentaire"/>
    <w:uiPriority w:val="49"/>
    <w:semiHidden/>
    <w:rsid w:val="00A233D1"/>
    <w:rPr>
      <w:b/>
      <w:bCs/>
      <w:lang w:eastAsia="en-US"/>
    </w:rPr>
  </w:style>
  <w:style w:type="table" w:styleId="Tableausimple2">
    <w:name w:val="Plain Table 2"/>
    <w:basedOn w:val="TableauNormal"/>
    <w:uiPriority w:val="42"/>
    <w:rsid w:val="00B7186E"/>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714389">
      <w:bodyDiv w:val="1"/>
      <w:marLeft w:val="0"/>
      <w:marRight w:val="0"/>
      <w:marTop w:val="0"/>
      <w:marBottom w:val="0"/>
      <w:divBdr>
        <w:top w:val="none" w:sz="0" w:space="0" w:color="auto"/>
        <w:left w:val="none" w:sz="0" w:space="0" w:color="auto"/>
        <w:bottom w:val="none" w:sz="0" w:space="0" w:color="auto"/>
        <w:right w:val="none" w:sz="0" w:space="0" w:color="auto"/>
      </w:divBdr>
    </w:div>
    <w:div w:id="196625252">
      <w:bodyDiv w:val="1"/>
      <w:marLeft w:val="0"/>
      <w:marRight w:val="0"/>
      <w:marTop w:val="0"/>
      <w:marBottom w:val="0"/>
      <w:divBdr>
        <w:top w:val="none" w:sz="0" w:space="0" w:color="auto"/>
        <w:left w:val="none" w:sz="0" w:space="0" w:color="auto"/>
        <w:bottom w:val="none" w:sz="0" w:space="0" w:color="auto"/>
        <w:right w:val="none" w:sz="0" w:space="0" w:color="auto"/>
      </w:divBdr>
    </w:div>
    <w:div w:id="382599777">
      <w:bodyDiv w:val="1"/>
      <w:marLeft w:val="0"/>
      <w:marRight w:val="0"/>
      <w:marTop w:val="0"/>
      <w:marBottom w:val="0"/>
      <w:divBdr>
        <w:top w:val="none" w:sz="0" w:space="0" w:color="auto"/>
        <w:left w:val="none" w:sz="0" w:space="0" w:color="auto"/>
        <w:bottom w:val="none" w:sz="0" w:space="0" w:color="auto"/>
        <w:right w:val="none" w:sz="0" w:space="0" w:color="auto"/>
      </w:divBdr>
    </w:div>
    <w:div w:id="644242768">
      <w:bodyDiv w:val="1"/>
      <w:marLeft w:val="0"/>
      <w:marRight w:val="0"/>
      <w:marTop w:val="0"/>
      <w:marBottom w:val="0"/>
      <w:divBdr>
        <w:top w:val="none" w:sz="0" w:space="0" w:color="auto"/>
        <w:left w:val="none" w:sz="0" w:space="0" w:color="auto"/>
        <w:bottom w:val="none" w:sz="0" w:space="0" w:color="auto"/>
        <w:right w:val="none" w:sz="0" w:space="0" w:color="auto"/>
      </w:divBdr>
    </w:div>
    <w:div w:id="972516128">
      <w:bodyDiv w:val="1"/>
      <w:marLeft w:val="0"/>
      <w:marRight w:val="0"/>
      <w:marTop w:val="0"/>
      <w:marBottom w:val="0"/>
      <w:divBdr>
        <w:top w:val="none" w:sz="0" w:space="0" w:color="auto"/>
        <w:left w:val="none" w:sz="0" w:space="0" w:color="auto"/>
        <w:bottom w:val="none" w:sz="0" w:space="0" w:color="auto"/>
        <w:right w:val="none" w:sz="0" w:space="0" w:color="auto"/>
      </w:divBdr>
      <w:divsChild>
        <w:div w:id="2120836331">
          <w:marLeft w:val="562"/>
          <w:marRight w:val="0"/>
          <w:marTop w:val="120"/>
          <w:marBottom w:val="0"/>
          <w:divBdr>
            <w:top w:val="none" w:sz="0" w:space="0" w:color="auto"/>
            <w:left w:val="none" w:sz="0" w:space="0" w:color="auto"/>
            <w:bottom w:val="none" w:sz="0" w:space="0" w:color="auto"/>
            <w:right w:val="none" w:sz="0" w:space="0" w:color="auto"/>
          </w:divBdr>
        </w:div>
      </w:divsChild>
    </w:div>
    <w:div w:id="1209533342">
      <w:bodyDiv w:val="1"/>
      <w:marLeft w:val="0"/>
      <w:marRight w:val="0"/>
      <w:marTop w:val="0"/>
      <w:marBottom w:val="0"/>
      <w:divBdr>
        <w:top w:val="none" w:sz="0" w:space="0" w:color="auto"/>
        <w:left w:val="none" w:sz="0" w:space="0" w:color="auto"/>
        <w:bottom w:val="none" w:sz="0" w:space="0" w:color="auto"/>
        <w:right w:val="none" w:sz="0" w:space="0" w:color="auto"/>
      </w:divBdr>
    </w:div>
    <w:div w:id="1233543774">
      <w:bodyDiv w:val="1"/>
      <w:marLeft w:val="0"/>
      <w:marRight w:val="0"/>
      <w:marTop w:val="0"/>
      <w:marBottom w:val="0"/>
      <w:divBdr>
        <w:top w:val="none" w:sz="0" w:space="0" w:color="auto"/>
        <w:left w:val="none" w:sz="0" w:space="0" w:color="auto"/>
        <w:bottom w:val="none" w:sz="0" w:space="0" w:color="auto"/>
        <w:right w:val="none" w:sz="0" w:space="0" w:color="auto"/>
      </w:divBdr>
    </w:div>
    <w:div w:id="1947688374">
      <w:bodyDiv w:val="1"/>
      <w:marLeft w:val="0"/>
      <w:marRight w:val="0"/>
      <w:marTop w:val="0"/>
      <w:marBottom w:val="0"/>
      <w:divBdr>
        <w:top w:val="none" w:sz="0" w:space="0" w:color="auto"/>
        <w:left w:val="none" w:sz="0" w:space="0" w:color="auto"/>
        <w:bottom w:val="none" w:sz="0" w:space="0" w:color="auto"/>
        <w:right w:val="none" w:sz="0" w:space="0" w:color="auto"/>
      </w:divBdr>
    </w:div>
    <w:div w:id="2025548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image" Target="media/image11.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14.png"/><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9.png"/><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header" Target="header2.xml"/><Relationship Id="rId30"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IAEA\Templates\O365\IAEA%20Blank%20(r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ISO690NmericalSquare.XSL" StyleName="ISO 690 - Numerical with Square Brackets"/>
</file>

<file path=customXml/item2.xml><?xml version="1.0" encoding="utf-8"?>
<ct:contentTypeSchema xmlns:ct="http://schemas.microsoft.com/office/2006/metadata/contentType" xmlns:ma="http://schemas.microsoft.com/office/2006/metadata/properties/metaAttributes" ct:_="" ma:_="" ma:contentTypeName="Document" ma:contentTypeID="0x0101008838DD521E3D1649B00AC0EC7F7B3842" ma:contentTypeVersion="10" ma:contentTypeDescription="Create a new document." ma:contentTypeScope="" ma:versionID="94b0f74c38da0e5bbc807271e51129ee">
  <xsd:schema xmlns:xsd="http://www.w3.org/2001/XMLSchema" xmlns:xs="http://www.w3.org/2001/XMLSchema" xmlns:p="http://schemas.microsoft.com/office/2006/metadata/properties" xmlns:ns3="62d4e713-4844-4419-ae48-2c18eef7e846" targetNamespace="http://schemas.microsoft.com/office/2006/metadata/properties" ma:root="true" ma:fieldsID="c1153f7212141daa7c6b5de910ecfe95" ns3:_="">
    <xsd:import namespace="62d4e713-4844-4419-ae48-2c18eef7e84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d4e713-4844-4419-ae48-2c18eef7e8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DBD0D0A-9F04-4A73-A9F4-8BE42B151A6B}">
  <ds:schemaRefs>
    <ds:schemaRef ds:uri="http://schemas.openxmlformats.org/officeDocument/2006/bibliography"/>
  </ds:schemaRefs>
</ds:datastoreItem>
</file>

<file path=customXml/itemProps2.xml><?xml version="1.0" encoding="utf-8"?>
<ds:datastoreItem xmlns:ds="http://schemas.openxmlformats.org/officeDocument/2006/customXml" ds:itemID="{376EC95F-5C71-4726-AD32-B59CE1A97C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d4e713-4844-4419-ae48-2c18eef7e8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806F98-CEA2-40D9-9554-BA9D4018F9BD}">
  <ds:schemaRefs>
    <ds:schemaRef ds:uri="http://schemas.microsoft.com/sharepoint/v3/contenttype/forms"/>
  </ds:schemaRefs>
</ds:datastoreItem>
</file>

<file path=customXml/itemProps4.xml><?xml version="1.0" encoding="utf-8"?>
<ds:datastoreItem xmlns:ds="http://schemas.openxmlformats.org/officeDocument/2006/customXml" ds:itemID="{BAA37EDD-2E1A-4759-89A8-5D2D8E84B97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IAEA Blank (r01).dotx</Template>
  <TotalTime>20</TotalTime>
  <Pages>10</Pages>
  <Words>4958</Words>
  <Characters>25824</Characters>
  <Application>Microsoft Office Word</Application>
  <DocSecurity>0</DocSecurity>
  <Lines>215</Lines>
  <Paragraphs>61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IAEA</vt:lpstr>
      <vt:lpstr>IAEA</vt:lpstr>
    </vt:vector>
  </TitlesOfParts>
  <Company>IAEA</Company>
  <LinksUpToDate>false</LinksUpToDate>
  <CharactersWithSpaces>30721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IAEA</dc:title>
  <dc:subject/>
  <dc:creator>Gemma Anna Ruffino</dc:creator>
  <cp:keywords/>
  <dc:description/>
  <cp:lastModifiedBy>GERARDIN Delphine</cp:lastModifiedBy>
  <cp:revision>4</cp:revision>
  <cp:lastPrinted>2021-11-09T17:19:00Z</cp:lastPrinted>
  <dcterms:created xsi:type="dcterms:W3CDTF">2022-03-29T14:40:00Z</dcterms:created>
  <dcterms:modified xsi:type="dcterms:W3CDTF">2022-03-29T15:01:00Z</dcterms:modified>
  <cp:category>IAEA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aeaClassification">
    <vt:lpwstr/>
  </property>
  <property fmtid="{D5CDD505-2E9C-101B-9397-08002B2CF9AE}" pid="3" name="IaeaSensitivity">
    <vt:lpwstr/>
  </property>
  <property fmtid="{D5CDD505-2E9C-101B-9397-08002B2CF9AE}" pid="4" name="IaeaDistribution">
    <vt:lpwstr/>
  </property>
  <property fmtid="{D5CDD505-2E9C-101B-9397-08002B2CF9AE}" pid="5" name="IaeaSecurityClassifier">
    <vt:lpwstr/>
  </property>
  <property fmtid="{D5CDD505-2E9C-101B-9397-08002B2CF9AE}" pid="6" name="IaeaClassificationDate">
    <vt:lpwstr/>
  </property>
  <property fmtid="{D5CDD505-2E9C-101B-9397-08002B2CF9AE}" pid="7" name="IaeaTransmission">
    <vt:lpwstr/>
  </property>
  <property fmtid="{D5CDD505-2E9C-101B-9397-08002B2CF9AE}" pid="8" name="IaeaConfidentialAttachments">
    <vt:lpwstr/>
  </property>
  <property fmtid="{D5CDD505-2E9C-101B-9397-08002B2CF9AE}" pid="9" name="Typist">
    <vt:lpwstr>Initials-Ext</vt:lpwstr>
  </property>
  <property fmtid="{D5CDD505-2E9C-101B-9397-08002B2CF9AE}" pid="10" name="IaeaClassification2">
    <vt:lpwstr/>
  </property>
  <property fmtid="{D5CDD505-2E9C-101B-9397-08002B2CF9AE}" pid="11" name="ContentTypeId">
    <vt:lpwstr>0x0101008838DD521E3D1649B00AC0EC7F7B3842</vt:lpwstr>
  </property>
  <property fmtid="{D5CDD505-2E9C-101B-9397-08002B2CF9AE}" pid="12" name="_dlc_DocIdItemGuid">
    <vt:lpwstr>624d8e63-e3f6-4681-83c2-57c583c02431</vt:lpwstr>
  </property>
  <property fmtid="{D5CDD505-2E9C-101B-9397-08002B2CF9AE}" pid="13" name="MSIP_Label_2d26f538-337a-4593-a7e6-123667b1a538_Enabled">
    <vt:lpwstr>true</vt:lpwstr>
  </property>
  <property fmtid="{D5CDD505-2E9C-101B-9397-08002B2CF9AE}" pid="14" name="MSIP_Label_2d26f538-337a-4593-a7e6-123667b1a538_SetDate">
    <vt:lpwstr>2022-03-24T17:03:14Z</vt:lpwstr>
  </property>
  <property fmtid="{D5CDD505-2E9C-101B-9397-08002B2CF9AE}" pid="15" name="MSIP_Label_2d26f538-337a-4593-a7e6-123667b1a538_Method">
    <vt:lpwstr>Standard</vt:lpwstr>
  </property>
  <property fmtid="{D5CDD505-2E9C-101B-9397-08002B2CF9AE}" pid="16" name="MSIP_Label_2d26f538-337a-4593-a7e6-123667b1a538_Name">
    <vt:lpwstr>C1 Interne</vt:lpwstr>
  </property>
  <property fmtid="{D5CDD505-2E9C-101B-9397-08002B2CF9AE}" pid="17" name="MSIP_Label_2d26f538-337a-4593-a7e6-123667b1a538_SiteId">
    <vt:lpwstr>e242425b-70fc-44dc-9ddf-c21e304e6c80</vt:lpwstr>
  </property>
  <property fmtid="{D5CDD505-2E9C-101B-9397-08002B2CF9AE}" pid="18" name="MSIP_Label_2d26f538-337a-4593-a7e6-123667b1a538_ActionId">
    <vt:lpwstr>da3e6cc9-e2bf-4181-812e-c442c40f9ebd</vt:lpwstr>
  </property>
  <property fmtid="{D5CDD505-2E9C-101B-9397-08002B2CF9AE}" pid="19" name="MSIP_Label_2d26f538-337a-4593-a7e6-123667b1a538_ContentBits">
    <vt:lpwstr>0</vt:lpwstr>
  </property>
</Properties>
</file>