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BACB" w14:textId="77777777" w:rsidR="00E14B79" w:rsidRDefault="00E14B79" w:rsidP="00537496">
      <w:pPr>
        <w:pStyle w:val="1"/>
      </w:pPr>
    </w:p>
    <w:p w14:paraId="4597DAD8" w14:textId="52827FEF" w:rsidR="00E14B79" w:rsidRPr="00E14B79" w:rsidRDefault="00E14B79">
      <w:pPr>
        <w:pStyle w:val="1"/>
      </w:pPr>
      <w:bookmarkStart w:id="0" w:name="_Hlk65324031"/>
      <w:bookmarkEnd w:id="0"/>
      <w:r w:rsidRPr="007B7161">
        <w:t>Safety Analysis of Small Modular Sodium Fast Reactors in Anticipated Transients Without Scram Scenarios</w:t>
      </w:r>
    </w:p>
    <w:p w14:paraId="433FE03F" w14:textId="06E1E1A4" w:rsidR="00802381" w:rsidRDefault="00802381" w:rsidP="00537496">
      <w:pPr>
        <w:pStyle w:val="Authornameandaffiliation"/>
      </w:pPr>
    </w:p>
    <w:p w14:paraId="49C8306B" w14:textId="2B6AD5B1" w:rsidR="00354E17" w:rsidRPr="00FF386F" w:rsidRDefault="00DB12CF" w:rsidP="00354E17">
      <w:pPr>
        <w:pStyle w:val="Authornameandaffiliation"/>
      </w:pPr>
      <w:r>
        <w:rPr>
          <w:rFonts w:hint="eastAsia"/>
          <w:lang w:eastAsia="zh-CN"/>
        </w:rPr>
        <w:t>Xin</w:t>
      </w:r>
      <w:r>
        <w:rPr>
          <w:lang w:eastAsia="zh-CN"/>
        </w:rPr>
        <w:t xml:space="preserve"> JIN</w:t>
      </w:r>
    </w:p>
    <w:p w14:paraId="1FF651F7" w14:textId="77777777" w:rsidR="00354E17" w:rsidRDefault="00354E17" w:rsidP="00354E17">
      <w:pPr>
        <w:pStyle w:val="Authornameandaffiliation"/>
      </w:pPr>
      <w:r w:rsidRPr="00E14B79">
        <w:t>School of Nuclear Science and Engineering</w:t>
      </w:r>
      <w:r>
        <w:t xml:space="preserve">, </w:t>
      </w:r>
      <w:r w:rsidRPr="00E14B79">
        <w:t>Shanghai Jiao Tong University</w:t>
      </w:r>
    </w:p>
    <w:p w14:paraId="433FE048" w14:textId="5909E8D3" w:rsidR="00FF386F" w:rsidRDefault="00354E17" w:rsidP="00F666D9">
      <w:pPr>
        <w:pStyle w:val="Authornameandaffiliation"/>
      </w:pPr>
      <w:r w:rsidRPr="00E14B79">
        <w:t>Shanghai, China</w:t>
      </w:r>
    </w:p>
    <w:p w14:paraId="6C35CECD" w14:textId="77777777" w:rsidR="00F666D9" w:rsidRDefault="00F666D9" w:rsidP="00F666D9">
      <w:pPr>
        <w:pStyle w:val="Authornameandaffiliation"/>
      </w:pPr>
    </w:p>
    <w:p w14:paraId="2847BD14" w14:textId="35151B0A" w:rsidR="00CD23B8" w:rsidRDefault="00CD11B7" w:rsidP="00537496">
      <w:pPr>
        <w:pStyle w:val="Authornameandaffiliation"/>
      </w:pPr>
      <w:proofErr w:type="spellStart"/>
      <w:r w:rsidRPr="00CD11B7">
        <w:t>Kuai</w:t>
      </w:r>
      <w:r w:rsidR="000F4449">
        <w:t>y</w:t>
      </w:r>
      <w:r w:rsidRPr="00CD11B7">
        <w:t>uan</w:t>
      </w:r>
      <w:proofErr w:type="spellEnd"/>
      <w:r w:rsidR="00851725">
        <w:t xml:space="preserve"> </w:t>
      </w:r>
      <w:r w:rsidR="00851725" w:rsidRPr="00CD11B7">
        <w:t>FENG</w:t>
      </w:r>
    </w:p>
    <w:p w14:paraId="6AD33DF0" w14:textId="77777777" w:rsidR="000E4934" w:rsidRDefault="000E4934" w:rsidP="000E4934">
      <w:pPr>
        <w:pStyle w:val="Authornameandaffiliation"/>
      </w:pPr>
      <w:r w:rsidRPr="00E14B79">
        <w:t>School of Nuclear Science and Engineering</w:t>
      </w:r>
      <w:r>
        <w:t xml:space="preserve">, </w:t>
      </w:r>
      <w:r w:rsidRPr="00E14B79">
        <w:t>Shanghai Jiao Tong University</w:t>
      </w:r>
    </w:p>
    <w:p w14:paraId="44FC15AD" w14:textId="77777777" w:rsidR="000E4934" w:rsidRDefault="000E4934" w:rsidP="000E4934">
      <w:pPr>
        <w:pStyle w:val="Authornameandaffiliation"/>
      </w:pPr>
      <w:r w:rsidRPr="00E14B79">
        <w:t>Shanghai, China</w:t>
      </w:r>
    </w:p>
    <w:p w14:paraId="3083CDCC" w14:textId="674B7ABE" w:rsidR="000E4934" w:rsidRDefault="000E4934" w:rsidP="00537496">
      <w:pPr>
        <w:pStyle w:val="Authornameandaffiliation"/>
      </w:pPr>
    </w:p>
    <w:p w14:paraId="776924A8" w14:textId="77777777" w:rsidR="00F666D9" w:rsidRDefault="00F666D9" w:rsidP="00F666D9">
      <w:pPr>
        <w:pStyle w:val="Authornameandaffiliation"/>
      </w:pPr>
      <w:r w:rsidRPr="00E14B79">
        <w:t>Hui G</w:t>
      </w:r>
      <w:r>
        <w:rPr>
          <w:rFonts w:hint="eastAsia"/>
          <w:lang w:eastAsia="zh-CN"/>
        </w:rPr>
        <w:t>UO</w:t>
      </w:r>
    </w:p>
    <w:p w14:paraId="17B040F0" w14:textId="77777777" w:rsidR="00F666D9" w:rsidRDefault="00F666D9" w:rsidP="00F666D9">
      <w:pPr>
        <w:pStyle w:val="Authornameandaffiliation"/>
      </w:pPr>
      <w:r w:rsidRPr="00E14B79">
        <w:t>School of Nuclear Science and Engineering</w:t>
      </w:r>
      <w:r>
        <w:t xml:space="preserve">, </w:t>
      </w:r>
      <w:r w:rsidRPr="00E14B79">
        <w:t>Shanghai Jiao Tong University</w:t>
      </w:r>
    </w:p>
    <w:p w14:paraId="5FB7ED0F" w14:textId="77777777" w:rsidR="00F666D9" w:rsidRDefault="00F666D9" w:rsidP="00F666D9">
      <w:pPr>
        <w:pStyle w:val="Authornameandaffiliation"/>
      </w:pPr>
      <w:r w:rsidRPr="00E14B79">
        <w:t>Shanghai, China</w:t>
      </w:r>
    </w:p>
    <w:p w14:paraId="2E0E494B" w14:textId="77777777" w:rsidR="00F666D9" w:rsidRDefault="00F666D9" w:rsidP="00F666D9">
      <w:pPr>
        <w:pStyle w:val="Authornameandaffiliation"/>
      </w:pPr>
      <w:r>
        <w:t xml:space="preserve">Email: </w:t>
      </w:r>
      <w:r w:rsidRPr="00E32E38">
        <w:t>hui.guo@sjtu.edu.cn</w:t>
      </w:r>
    </w:p>
    <w:p w14:paraId="55B0B6FE" w14:textId="77777777" w:rsidR="00F666D9" w:rsidRDefault="00F666D9" w:rsidP="00537496">
      <w:pPr>
        <w:pStyle w:val="Authornameandaffiliation"/>
      </w:pPr>
    </w:p>
    <w:p w14:paraId="44CDAE87" w14:textId="419B5347" w:rsidR="000E4934" w:rsidRDefault="00650D22" w:rsidP="00537496">
      <w:pPr>
        <w:pStyle w:val="Authornameandaffiliation"/>
        <w:rPr>
          <w:lang w:eastAsia="zh-CN"/>
        </w:rPr>
      </w:pPr>
      <w:r>
        <w:rPr>
          <w:lang w:eastAsia="zh-CN"/>
        </w:rPr>
        <w:t>H</w:t>
      </w:r>
      <w:r>
        <w:rPr>
          <w:rFonts w:hint="eastAsia"/>
          <w:lang w:eastAsia="zh-CN"/>
        </w:rPr>
        <w:t>an</w:t>
      </w:r>
      <w:r w:rsidR="000F4449">
        <w:rPr>
          <w:rFonts w:hint="eastAsia"/>
          <w:lang w:eastAsia="zh-CN"/>
        </w:rPr>
        <w:t>y</w:t>
      </w:r>
      <w:r>
        <w:rPr>
          <w:rFonts w:hint="eastAsia"/>
          <w:lang w:eastAsia="zh-CN"/>
        </w:rPr>
        <w:t>ang</w:t>
      </w:r>
      <w:r>
        <w:rPr>
          <w:lang w:eastAsia="zh-CN"/>
        </w:rPr>
        <w:t xml:space="preserve"> </w:t>
      </w:r>
      <w:r>
        <w:rPr>
          <w:rFonts w:hint="eastAsia"/>
          <w:lang w:eastAsia="zh-CN"/>
        </w:rPr>
        <w:t>GU</w:t>
      </w:r>
    </w:p>
    <w:p w14:paraId="65BF03C7" w14:textId="77777777" w:rsidR="00650D22" w:rsidRDefault="00650D22" w:rsidP="00650D22">
      <w:pPr>
        <w:pStyle w:val="Authornameandaffiliation"/>
      </w:pPr>
      <w:r w:rsidRPr="00E14B79">
        <w:t>School of Nuclear Science and Engineering</w:t>
      </w:r>
      <w:r>
        <w:t xml:space="preserve">, </w:t>
      </w:r>
      <w:r w:rsidRPr="00E14B79">
        <w:t>Shanghai Jiao Tong University</w:t>
      </w:r>
    </w:p>
    <w:p w14:paraId="6C00CEE5" w14:textId="77777777" w:rsidR="00650D22" w:rsidRDefault="00650D22" w:rsidP="00650D22">
      <w:pPr>
        <w:pStyle w:val="Authornameandaffiliation"/>
      </w:pPr>
      <w:r w:rsidRPr="00E14B79">
        <w:t>Shanghai, China</w:t>
      </w:r>
    </w:p>
    <w:p w14:paraId="6097FD80" w14:textId="77777777" w:rsidR="00CD23B8" w:rsidRDefault="00CD23B8"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20F51F04" w14:textId="0198445B" w:rsidR="00E14B79" w:rsidRPr="00BD605C" w:rsidRDefault="00E14B79" w:rsidP="007D12B8">
      <w:pPr>
        <w:pStyle w:val="Abstracttext"/>
        <w:jc w:val="both"/>
      </w:pPr>
      <w:r w:rsidRPr="00E14B79">
        <w:t>The small modular sodium-cooled fast reactor (SFR) is an important component of Generation-IV reactors. For SFR, one type beyond design basis accidents (BDBA) that has received special attention is the anticipated transients without scram (ATWS) events including unprotected loss of coolant flow (ULOF) accident, unprotected loss of heat sink (ULOHS) accident</w:t>
      </w:r>
      <w:r w:rsidR="009A4BDB">
        <w:t>,</w:t>
      </w:r>
      <w:r w:rsidRPr="00E14B79">
        <w:t xml:space="preserve"> and unprotected transient overpower (UTOP) accident. The modular design for multiple purposes and remote region operation requires usually </w:t>
      </w:r>
      <w:r w:rsidR="009A4BDB">
        <w:t xml:space="preserve">a </w:t>
      </w:r>
      <w:r w:rsidRPr="00E14B79">
        <w:t>very infrequent refueling strategy. During a long-lived operation, the neutronic characteristics of SFR core, for instance, the coolant void effect and the Doppler effect, vary and hence the reactor safety performance in ATWS events. Th</w:t>
      </w:r>
      <w:r w:rsidR="00D26BA6">
        <w:rPr>
          <w:rFonts w:hint="eastAsia"/>
          <w:lang w:eastAsia="zh-CN"/>
        </w:rPr>
        <w:t>e</w:t>
      </w:r>
      <w:r w:rsidRPr="00E14B79">
        <w:t xml:space="preserve"> paper focuses on the analysis of safety performance of a 300</w:t>
      </w:r>
      <w:r w:rsidR="00FB5A31" w:rsidRPr="00871F40">
        <w:t xml:space="preserve"> </w:t>
      </w:r>
      <w:proofErr w:type="gramStart"/>
      <w:r w:rsidR="00FB5A31" w:rsidRPr="00871F40">
        <w:t>MW(</w:t>
      </w:r>
      <w:proofErr w:type="spellStart"/>
      <w:proofErr w:type="gramEnd"/>
      <w:r w:rsidR="00FB5A31" w:rsidRPr="00871F40">
        <w:t>th</w:t>
      </w:r>
      <w:proofErr w:type="spellEnd"/>
      <w:r w:rsidR="00FB5A31" w:rsidRPr="00871F40">
        <w:t xml:space="preserve">) </w:t>
      </w:r>
      <w:r w:rsidRPr="00E14B79">
        <w:t xml:space="preserve">small modular MOX SFR from its beginning of life (BOL, 0 </w:t>
      </w:r>
      <w:proofErr w:type="spellStart"/>
      <w:r w:rsidRPr="00E14B79">
        <w:t>GW</w:t>
      </w:r>
      <w:r w:rsidR="00D71A2C">
        <w:t>∙</w:t>
      </w:r>
      <w:r w:rsidRPr="00E14B79">
        <w:t>d</w:t>
      </w:r>
      <w:proofErr w:type="spellEnd"/>
      <w:r w:rsidRPr="00E14B79">
        <w:t>/</w:t>
      </w:r>
      <w:proofErr w:type="spellStart"/>
      <w:r w:rsidRPr="00E14B79">
        <w:t>tHM</w:t>
      </w:r>
      <w:proofErr w:type="spellEnd"/>
      <w:r w:rsidRPr="00E14B79">
        <w:t xml:space="preserve">) to its end of life (EOL, 75 </w:t>
      </w:r>
      <w:proofErr w:type="spellStart"/>
      <w:r w:rsidRPr="00E14B79">
        <w:t>GW</w:t>
      </w:r>
      <w:r w:rsidR="000228E5">
        <w:t>∙</w:t>
      </w:r>
      <w:r w:rsidRPr="00E14B79">
        <w:t>d</w:t>
      </w:r>
      <w:proofErr w:type="spellEnd"/>
      <w:r w:rsidRPr="00E14B79">
        <w:t>/</w:t>
      </w:r>
      <w:proofErr w:type="spellStart"/>
      <w:r w:rsidRPr="00E14B79">
        <w:t>tHM</w:t>
      </w:r>
      <w:proofErr w:type="spellEnd"/>
      <w:r w:rsidRPr="00E14B79">
        <w:t xml:space="preserve">). </w:t>
      </w:r>
      <w:bookmarkStart w:id="1" w:name="_Hlk67771537"/>
      <w:r w:rsidRPr="00E14B79">
        <w:t>The burnup calculation is conducted by using Monte-Carlo code OpenMC with pin-by-pin depletion mesh</w:t>
      </w:r>
      <w:bookmarkEnd w:id="1"/>
      <w:r w:rsidRPr="00E14B79">
        <w:t xml:space="preserve">. The elementary reactivity feedback coefficients are compared at different burnup depth. The transient behavior is simulated by using </w:t>
      </w:r>
      <w:r w:rsidR="009F2C72">
        <w:rPr>
          <w:lang w:eastAsia="zh-CN"/>
        </w:rPr>
        <w:t>the</w:t>
      </w:r>
      <w:r w:rsidRPr="00E14B79">
        <w:t xml:space="preserve"> mono-channel point kinetic system code dedicated to fast reactors. The inherent reactivity feedback mechanism in ATWS is classified and discussed. Based on the results above, some suggestions or </w:t>
      </w:r>
      <w:r w:rsidR="00E61B95">
        <w:rPr>
          <w:rFonts w:hint="eastAsia"/>
          <w:lang w:eastAsia="zh-CN"/>
        </w:rPr>
        <w:t>mea</w:t>
      </w:r>
      <w:r w:rsidR="00E61B95">
        <w:t>sures</w:t>
      </w:r>
      <w:r w:rsidRPr="00E14B79">
        <w:t xml:space="preserve"> for reactor designing are proposed in the view of mitigation of the ATWS impact and the inherent safety performance for a long operating lifetime.</w:t>
      </w:r>
    </w:p>
    <w:p w14:paraId="433FE04C" w14:textId="77777777" w:rsidR="00647F33" w:rsidRDefault="00F523CA" w:rsidP="00537496">
      <w:pPr>
        <w:pStyle w:val="2"/>
        <w:numPr>
          <w:ilvl w:val="1"/>
          <w:numId w:val="10"/>
        </w:numPr>
      </w:pPr>
      <w:r>
        <w:t>INTRODUCTION</w:t>
      </w:r>
    </w:p>
    <w:p w14:paraId="7E93E420" w14:textId="2ECDC158" w:rsidR="00E14B79" w:rsidRDefault="00E14B79" w:rsidP="00E14B79">
      <w:pPr>
        <w:pStyle w:val="a1"/>
      </w:pPr>
      <w:r>
        <w:t xml:space="preserve">Fast neutron reactors have the flexibility to operate either as </w:t>
      </w:r>
      <w:r w:rsidR="002C174D">
        <w:t xml:space="preserve">a </w:t>
      </w:r>
      <w:r>
        <w:t xml:space="preserve">breeder to achieve the net creation of fissile fuel or operate as a </w:t>
      </w:r>
      <w:r w:rsidR="002C174D">
        <w:t>transmuter</w:t>
      </w:r>
      <w:r>
        <w:t xml:space="preserve"> to convert nuclear fission products and long-lived minor actinides</w:t>
      </w:r>
      <w:r w:rsidR="00861339">
        <w:t xml:space="preserve"> </w:t>
      </w:r>
      <w:r w:rsidR="00861339">
        <w:fldChar w:fldCharType="begin"/>
      </w:r>
      <w:r w:rsidR="007461E6">
        <w:instrText xml:space="preserve"> ADDIN ZOTERO_ITEM CSL_CITATION {"citationID":"y4vYQMnt","properties":{"formattedCitation":"[1]","plainCitation":"[1]","noteIndex":0},"citationItems":[{"id":88,"uris":["http://zotero.org/users/7114824/items/EUQX6AH8"],"uri":["http://zotero.org/users/7114824/items/EUQX6AH8"],"itemData":{"id":88,"type":"book","abstract":"This book is a complete update of the classic 1981 FAST BREEDER REACTORS textbook authored by Alan E. Waltar and Albert B. Reynolds, which , along with the Russian translation, served as a major reference book for fast reactors systems. Major updates include transmutation physics (a key technology to substantially ameliorate issues associated with the storage of high-level nuclear waste ), advances in fuels and materials technology (including metal fuels and cladding materials capable of high-temperature and high burnup), and new approaches to reactor safety (including passive safety technology), New chapters on gas-cooled and lead-cooled fast spectrum reactors are also included. Key international experts contributing to the text include Chaim Braun, (Stanford University) Ronald Omberg, (Pacific Northwest National Laboratory, Massimo Salvatores (CEA, France), Baldev Raj, (Indira Gandhi Center for Atomic Research, India) , John Sackett (Argonne National Laboratory), Kevan Weaver, (TerraPower Corporation) ,James Seinicki(Argonne National Laboratory). Russell Stachowski (General Electric), Toshikazu Takeda (University of Fukui, Japan), and Yoshitaka Chikazawa (Japan Atomic Energy Agency). © 2012 Springer Science+Business Media, LLC. All rights reserved.","ISBN":"978-1-4419-9571-1","note":"page: 720\nDOI: 10.1007/978-1-4419-9572-8","number-of-pages":"1","source":"ResearchGate","title":"Fast Spectrum Reactors","author":[{"family":"Waltar","given":"A.E."},{"family":"Todd","given":"D.R."},{"family":"Tsvetkov","given":"Pavel"}],"issued":{"date-parts":[["2012",10,1]]}}}],"schema":"https://github.com/citation-style-language/schema/raw/master/csl-citation.json"} </w:instrText>
      </w:r>
      <w:r w:rsidR="00861339">
        <w:fldChar w:fldCharType="separate"/>
      </w:r>
      <w:r w:rsidR="00861339" w:rsidRPr="00861339">
        <w:t>[1]</w:t>
      </w:r>
      <w:r w:rsidR="00861339">
        <w:fldChar w:fldCharType="end"/>
      </w:r>
      <w:r>
        <w:t xml:space="preserve">. Therefore, three fast neutron reactor systems have been selected by the Generation IV International Forum (GIF) for further research and development, in which the sodium-cooled fast reactor (SFR) is by far the most tested and promising candidate </w:t>
      </w:r>
      <w:r w:rsidR="00101726">
        <w:t>system</w:t>
      </w:r>
      <w:r w:rsidR="005B0860">
        <w:t xml:space="preserve"> </w:t>
      </w:r>
      <w:r w:rsidR="005B0860">
        <w:fldChar w:fldCharType="begin"/>
      </w:r>
      <w:r w:rsidR="007461E6">
        <w:instrText xml:space="preserve"> ADDIN ZOTERO_ITEM CSL_CITATION {"citationID":"OJKjg0eH","properties":{"formattedCitation":"[2\\uc0\\u8211{}4]","plainCitation":"[2–4]","noteIndex":0},"citationItems":[{"id":48,"uris":["http://zotero.org/users/7114824/items/WQDJNQBY"],"uri":["http://zotero.org/users/7114824/items/WQDJNQBY"],"itemData":{"id":48,"type":"webpage","title":"Fast Neutron Reactors | FBR - World Nuclear Association","URL":"https://www.world-nuclear.org/information-library/current-and-future-generation/fast-neutron-reactors.aspx","accessed":{"date-parts":[["2021",3,8]]}}},{"id":60,"uris":["http://zotero.org/users/7114824/items/SRQ8T3CE"],"uri":["http://zotero.org/users/7114824/items/SRQ8T3CE"],"itemData":{"id":60,"type":"webpage","title":"Small nuclear power reactors - World Nuclear Association","URL":"https://www.world-nuclear.org/information-library/nuclear-fuel-cycle/nuclear-power-reactors/small-nuclear-power-reactors.aspx","accessed":{"date-parts":[["2021",3,7]]}}},{"id":77,"uris":["http://zotero.org/users/7114824/items/YNE5K3GR"],"uri":["http://zotero.org/users/7114824/items/YNE5K3GR"],"itemData":{"id":77,"type":"article-journal","language":"en","page":"66","source":"Zotero","title":"Technology Roadmap Update for Generation IV Nuclear Energy Systems"}}],"schema":"https://github.com/citation-style-language/schema/raw/master/csl-citation.json"} </w:instrText>
      </w:r>
      <w:r w:rsidR="005B0860">
        <w:fldChar w:fldCharType="separate"/>
      </w:r>
      <w:r w:rsidR="00F505AD" w:rsidRPr="00F505AD">
        <w:rPr>
          <w:szCs w:val="24"/>
        </w:rPr>
        <w:t>[2–4]</w:t>
      </w:r>
      <w:r w:rsidR="005B0860">
        <w:fldChar w:fldCharType="end"/>
      </w:r>
      <w:r w:rsidR="002C174D">
        <w:t>.</w:t>
      </w:r>
    </w:p>
    <w:p w14:paraId="0AA391E5" w14:textId="16A52833" w:rsidR="00E14B79" w:rsidRDefault="00E14B79" w:rsidP="00E14B79">
      <w:pPr>
        <w:pStyle w:val="a1"/>
      </w:pPr>
      <w:r>
        <w:t>Important efforts have been devoted to developing the small modular sodium-cooled fast reactor (SMSFR), in order to reduce the impact of capital costs and achieve multiple purposes</w:t>
      </w:r>
      <w:r w:rsidR="007461E6">
        <w:t xml:space="preserve"> </w:t>
      </w:r>
      <w:r w:rsidR="007461E6">
        <w:fldChar w:fldCharType="begin"/>
      </w:r>
      <w:r w:rsidR="00DD74D0">
        <w:instrText xml:space="preserve"> ADDIN ZOTERO_ITEM CSL_CITATION {"citationID":"QZduwbPE","properties":{"formattedCitation":"[5\\uc0\\u8211{}7]","plainCitation":"[5–7]","noteIndex":0},"citationItems":[{"id":16,"uris":["http://zotero.org/users/7114824/items/IFNR6697"],"uri":["http://zotero.org/users/7114824/items/IFNR6697"],"itemData":{"id":16,"type":"chapter","abstract":"Small modular reactors (SMRs) are different than other reactors based on several reasons: (1) reduced power level; (2) reduced physical size and spatial foot prints; (3) increased modularity of reactor architecture; (4) increased safety margin; (5) increased security feature; (6) reduced financial risk of a reactor unit; and (7) increased flexibility of using the reactor unit for various energy needs. Among the new SMRs, US Department of Energy (DOE) has begun to support SMR activities in the US in the recent years by issuing solicitations, such as “Financial Assistance Funding Opportunity Announcement – Cost-Shared Development of Innovative Small Modular Reactor Designs.” US-DOE supports SMRs because of all these benefits. This chapter compares the advanced SMRs in different technical aspects.","collection-title":"Woodhead Publishing Series in Energy","container-title":"Handbook of Generation IV Nuclear Reactors","ISBN":"978-0-08-100149-3","language":"en","note":"DOI: 10.1016/B978-0-08-100149-3.00020-3","page":"661-699","publisher":"Woodhead Publishing","source":"ScienceDirect","title":"20 - Advanced small modular reactors","URL":"https://www.sciencedirect.com/science/article/pii/B9780081001493000203","author":[{"family":"Aydogan","given":"F."}],"editor":[{"family":"Pioro","given":"Igor L."}],"accessed":{"date-parts":[["2021",3,13]]},"issued":{"date-parts":[["2016",1,1]]}}},{"id":97,"uris":["http://zotero.org/users/7114824/items/9MJ7RHZ7"],"uri":["http://zotero.org/users/7114824/items/9MJ7RHZ7"],"itemData":{"id":97,"type":"article-journal","abstract":"The small modular sodium-cooled fast reactor (SMSFR) is an important component of Generation-IV reactors. The objective of this work is to improve the reactivity control in SMSFR by using innovative systems, including burnable poisons and optimized control rods. SMSFR with MOX fuel usually exhibits high burnup reactivity loss that leads to high excess reactivity and potential fuel melting in control rod withdrawal (CRW) accidents, which becomes an important constraint on the safety and economic efficiency of SMSFR. This work applies two types of burnable poisons in a SMSFR to reduce the excess reactivity. The first one homogenously loads minor actinides in the fuel. The second one combines absorber and moderators in specific assemblies. The influence of burnable poisons on the core characteristics is discussed and integrated into the analysis of CRW accidents. The results show that burnable poisons improve the safety performance of the core in a significant way. Burnable poisons also lessen the demand for the number, absorption ability, and insertion depth of control rods. Two optimized control rod designs with rare earth oxides (Eu2O3 and Gd2O3) and moderators are compared to the conventional design with natural boron carbide (B4C). The optimized designs show improved neutronic and safety performance.","container-title":"Nuclear Engineering and Technology","DOI":"10.1016/j.net.2019.12.015","ISSN":"1738-5733","issue":"7","journalAbbreviation":"Nuclear Engineering and Technology","language":"en","page":"1367-1379","source":"ScienceDirect","title":"Optimization of reactivity control in a small modular sodium-cooled fast reactor","volume":"52","author":[{"family":"Guo","given":"H."},{"family":"Buiron","given":"L."},{"family":"Sciora","given":"P."},{"family":"Kooyman","given":"T."}],"issued":{"date-parts":[["2020",7,1]]}}},{"id":607,"uris":["http://zotero.org/users/7114824/items/YRHVLVRB"],"uri":["http://zotero.org/users/7114824/items/YRHVLVRB"],"itemData":{"id":607,"type":"article-journal","abstract":"This paper reviews the smallness, modularity and reactor-design aspects of emerging small modular reactors (SMRs). It is shown that small (whether in physical size or power level) reactors are not new, but offer economic and ﬂexibility advantages that allow their use in a variety of applications. The different deﬁnitions of modularity are reviewed, including modularity in design, process intensiﬁcation, manufacturing and construction. It is shown that these forms of modularity when applied to SMRs have some advantages, but also have some challenges that need to be addressed if their full potential is to be realized. Even if these forms of modularity are not fully utilized, the lower power ( 300 MW electrical) of SMRs allows the formation of larger power plants by incremental addition of reactor units, in the so-called scale modularity. The paper reviews the unique features of emerging SMR designs, and compares them to those of the early era of nuclear power. It is shown that while many modern SMR designs incorporate well-proven features that were tested and proven in early reactors. others introduce aspects of Generation IV reactors, in terms of inherent and/or passive safety. Given the promise of SMRs as means to reduce greenhouse gas emissions and their ability to supply reliable and base-load power, the licensing of such reactors by national regulators will provide a boost to their acceptability and adaptability as a player in combating climate change.","container-title":"Physics Open","DOI":"10.1016/j.physo.2020.100038","ISSN":"26660326","journalAbbreviation":"Physics Open","language":"en","page":"100038","source":"DOI.org (Crossref)","title":"Emerging small modular nuclear power reactors: A critical review","title-short":"Emerging small modular nuclear power reactors","volume":"5","author":[{"family":"Hussein","given":"Esam M.A."}],"issued":{"date-parts":[["2020",12]]}}}],"schema":"https://github.com/citation-style-language/schema/raw/master/csl-citation.json"} </w:instrText>
      </w:r>
      <w:r w:rsidR="007461E6">
        <w:fldChar w:fldCharType="separate"/>
      </w:r>
      <w:r w:rsidR="00DD74D0" w:rsidRPr="00DD74D0">
        <w:rPr>
          <w:szCs w:val="24"/>
        </w:rPr>
        <w:t>[5–7]</w:t>
      </w:r>
      <w:r w:rsidR="007461E6">
        <w:fldChar w:fldCharType="end"/>
      </w:r>
      <w:r w:rsidR="007461E6">
        <w:rPr>
          <w:rFonts w:hint="eastAsia"/>
          <w:lang w:eastAsia="zh-CN"/>
        </w:rPr>
        <w:t>.</w:t>
      </w:r>
      <w:r>
        <w:t xml:space="preserve"> </w:t>
      </w:r>
      <w:r w:rsidR="002C174D">
        <w:t>O</w:t>
      </w:r>
      <w:r>
        <w:t xml:space="preserve">n some occasions, such as power supply in remote regions, </w:t>
      </w:r>
      <w:r w:rsidR="002C174D">
        <w:t>the non-refuelling strategy</w:t>
      </w:r>
      <w:r>
        <w:t xml:space="preserve"> is pursued </w:t>
      </w:r>
      <w:r w:rsidR="006F2249">
        <w:t xml:space="preserve">by </w:t>
      </w:r>
      <w:r>
        <w:t>SMSFR</w:t>
      </w:r>
      <w:r w:rsidR="00FE6576">
        <w:t xml:space="preserve"> for optimizing</w:t>
      </w:r>
      <w:r>
        <w:t xml:space="preserve"> the system economy and operability</w:t>
      </w:r>
      <w:r w:rsidR="00822843">
        <w:t xml:space="preserve"> </w:t>
      </w:r>
      <w:r w:rsidR="007647B2">
        <w:fldChar w:fldCharType="begin"/>
      </w:r>
      <w:r w:rsidR="00DD74D0">
        <w:instrText xml:space="preserve"> ADDIN ZOTERO_ITEM CSL_CITATION {"citationID":"QIJsXP8O","properties":{"formattedCitation":"[8, 9]","plainCitation":"[8, 9]","noteIndex":0},"citationItems":[{"id":632,"uris":["http://zotero.org/users/7114824/items/QU49GGZW"],"uri":["http://zotero.org/users/7114824/items/QU49GGZW"],"itemData":{"id":632,"type":"book","event-place":"Cambridge, UK","ISBN":"978-0-85709-851-1","language":"en","note":"DOI: 10.1016/C2013-0-16379-9","publisher":"Elsevier","publisher-place":"Cambridge, UK","source":"DOI.org (Crossref)","title":"Handbook of Small Modular Nuclear Reactors","URL":"https://linkinghub.elsevier.com/retrieve/pii/C20130163799","author":[{"literal":"M.D. Carelli, D.T. Ingersoll (Eds.)"}],"accessed":{"date-parts":[["2021",4,6]]},"issued":{"date-parts":[["2015"]]}}},{"id":633,"uris":["http://zotero.org/users/7114824/items/58KZXF3W"],"uri":["http://zotero.org/users/7114824/items/58KZXF3W"],"itemData":{"id":633,"type":"article-journal","abstract":"No abstract prepared.","source":"ResearchGate","title":"Small Modular Fast Reactor design description.","author":[{"family":"Chang","given":"Y."},{"family":"LoPinto","given":"P."},{"family":"Konomura","given":"M."},{"family":"Cahalan","given":"J."},{"family":"Dunn","given":"F."},{"family":"Farmer","given":"Mitch"},{"family":"Krajtl","given":"L."},{"family":"Moisseytsev","given":"A."},{"family":"Momozaki","given":"Yoichi"},{"family":"Sienicki","given":"James"},{"family":"Park","given":"Young"},{"family":"Tang","given":"Y."},{"family":"Reed","given":"Claude"},{"family":"Tzanos","given":"C."},{"family":"Wiedmeyer","given":"S."},{"family":"Yang","given":"Won"},{"family":"Allegre","given":"P."},{"family":"Astegiano","given":"J."},{"family":"Baqué","given":"François"},{"family":"Kamal","given":"Shokhan"}],"issued":{"date-parts":[["2005",6,23]]}}}],"schema":"https://github.com/citation-style-language/schema/raw/master/csl-citation.json"} </w:instrText>
      </w:r>
      <w:r w:rsidR="007647B2">
        <w:fldChar w:fldCharType="separate"/>
      </w:r>
      <w:r w:rsidR="00DD74D0" w:rsidRPr="00DD74D0">
        <w:t>[8, 9]</w:t>
      </w:r>
      <w:r w:rsidR="007647B2">
        <w:fldChar w:fldCharType="end"/>
      </w:r>
      <w:r>
        <w:t>. During a long-lived operation, neutronic characteristics of SMSFR core, for instance, the coolant void effect and the Doppler effect, vary and the impact on the intrinsic safety behaviour of SMSFR core should be evaluated</w:t>
      </w:r>
      <w:r w:rsidR="00822843">
        <w:t xml:space="preserve"> </w:t>
      </w:r>
      <w:r w:rsidR="00822843">
        <w:fldChar w:fldCharType="begin"/>
      </w:r>
      <w:r w:rsidR="00DD74D0">
        <w:instrText xml:space="preserve"> ADDIN ZOTERO_ITEM CSL_CITATION {"citationID":"vmut9sMj","properties":{"formattedCitation":"[10, 11]","plainCitation":"[10, 11]","noteIndex":0},"citationItems":[{"id":629,"uris":["http://zotero.org/users/7114824/items/2JBTKCPU"],"uri":["http://zotero.org/users/7114824/items/2JBTKCPU"],"itemData":{"id":629,"type":"article-journal","abstract":"Small fast reactors usually exhibit high neutron leakage and low breeding capability, while modular design demands long cycle length and compact core. These characteristics raise the requirement of control rods with strong absorption ability and long operating lifetime. In this paper, control rods with 90% 10B enriched B4C, 90% 10B enriched HfB2-90, and HfH1.62 are designed and assessed in a small sodium fast reactor. Results show that the operating lifetime of high 10B enriched B4C is limited by its burnup and temperature. Even with small pin design, 90% 10B enriched B4C is not able to stay safe as long as the fuel in a no refueling scenario. HfB2 can tolerate a longer residence time compared to the fuel. The absorption ability of HfB2 can be higher than B4C if the geometry effect is accounted for. HfH1.62 absorber is feasible in normal situations, but its absorption ability is inferior to B4C or HfB2 and will be significantly reduced at high temperature due to the hydrogen desorption issue. The spatial self-shielding effect increases with the absorption ability of control rods. In order to mitigate the heterogeneous distribution, two solutions are investigated in this paper. The radially mixed designs, with HfB2 at the outermost pins and B4C in the inner pins, do not extend the operating lifetime but increase the manufacturing complicity and the cost of raw materials. The substitution of absorber with a hydride moderator is able to keep high absorption ability and long operating lifetime of control rods while saving the investment of expensive absorber. Moreover, the local effects and hydrogen desorption of hydride moderators are acceptable.","container-title":"Nuclear Engineering and Design","DOI":"10.1016/j.nucengdes.2020.110799","ISSN":"0029-5493","journalAbbreviation":"Nuclear Engineering and Design","language":"en","page":"110799","source":"ScienceDirect","title":"Designs of control rods with strong absorption ability for small fast reactors","volume":"368","author":[{"family":"Guo","given":"H."},{"family":"Buiron","given":"L."},{"family":"Sciora","given":"P."},{"family":"Kooyman","given":"T."}],"issued":{"date-parts":[["2020",11,1]]}}},{"id":90,"uris":["http://zotero.org/users/7114824/items/PM3K9L8Y"],"uri":["http://zotero.org/users/7114824/items/PM3K9L8Y"],"itemData":{"id":90,"type":"article-journal","abstract":"Generation IV reactors are expected to exhibit significant safety improvements compared to current ones. In sodium-cooled fast reactors (SFRs), fuel melting during transient over power (TOP) should be avoided as this is identified as a relatively frequent accident. Among these TOP accidents, a control rod withdrawal (CRW) accident is the most likely to happen and its impact depends on the magnitude of the inserted reactivity. This paper presents the required excess reactivity for different core designs and the way to reduce the reactivity inserted during a CRW transient through the use of burnable poisons (BPs).After evaluating various candidate materials, it appears that a low-enrichment boron carbide combined with a zirconium hydride moderator is the most promising BP for use in sodium fast spectrum reactors. Burnable poisons are located in pins of particular assemblies, which are in fixed positions in the core over the entire fuel cycle.Four core designs with different loading schemes and BPs are investigated. Core designs with BPs display low reactivity loss over the fuel cycle and thus limit the required initial excess reactivity of the core to compensate with control rods.Another constraint comes from the core power distribution, which should remain almost stable through the fuel cycle. This core power distribution can be modified by a suitable loading of BP assemblies. However, as their positions are fixed over the fuel cycle, they can compensate only part of the local flux tilt. These BP core designs slightly improve the reactivity feedback coefficients as they contain light materials slowing down neutrons. It is finally shown that a CRW transient with BPs reduces significantly the maximal fuel centerline temperature compared to a design without BPs and that a fuel melting during a CRW transient is avoided in the large SFR core.","container-title":"Nuclear Technology","DOI":"10.1080/00295450.2019.1620054","ISSN":"0029-5450","issue":"11","note":"publisher: Taylor &amp; Francis\n_eprint: https://doi.org/10.1080/00295450.2019.1620054","page":"1433-1446","source":"Taylor and Francis+NEJM","title":"Application of Boron Carbide as Burnable Poison in Sodium Fast Reactors","volume":"205","author":[{"family":"Guo","given":"H."},{"family":"Sciora","given":"P."},{"family":"Kooyman","given":"T."},{"family":"Buiron","given":"L."},{"family":"Rimpault","given":"G."}],"issued":{"date-parts":[["2019",11,2]]}}}],"schema":"https://github.com/citation-style-language/schema/raw/master/csl-citation.json"} </w:instrText>
      </w:r>
      <w:r w:rsidR="00822843">
        <w:fldChar w:fldCharType="separate"/>
      </w:r>
      <w:r w:rsidR="00DD74D0" w:rsidRPr="00DD74D0">
        <w:t>[10, 11]</w:t>
      </w:r>
      <w:r w:rsidR="00822843">
        <w:fldChar w:fldCharType="end"/>
      </w:r>
      <w:r>
        <w:t>. The anticipated transient without scram (ATWS)</w:t>
      </w:r>
      <w:r w:rsidR="007F6EEB">
        <w:t xml:space="preserve"> </w:t>
      </w:r>
      <w:r w:rsidR="00D25E64">
        <w:fldChar w:fldCharType="begin"/>
      </w:r>
      <w:r w:rsidR="00DD74D0">
        <w:instrText xml:space="preserve"> ADDIN ZOTERO_ITEM CSL_CITATION {"citationID":"wBaN9yiF","properties":{"formattedCitation":"[12]","plainCitation":"[12]","noteIndex":0},"citationItems":[{"id":34,"uris":["http://zotero.org/users/7114824/items/CME3LG7I"],"uri":["http://zotero.org/users/7114824/items/CME3LG7I"],"itemData":{"id":34,"type":"article-journal","abstract":"4S reactor is a sodium-cooled fast reactor developed as a small-decentralized power supply. The name of “4S” in this reactor stands for Super-Safe, Small and Simple, and they show representative features of the reactor. The purpose of the present work is to evaluate quantitatively the super-safety of 4S reactor, and the safety performance is analyzed with ARGO-3, which is a plant dynamics code of a sodium-cooled fast reactor. In this evaluation, some events, such as Unprotected Loss of Flow (ULOF) and Unprotected Transient Overpower (UTOP), are selected as typical cases from various transients and accidents. After metrics concerned with safety design is defined for each event, it is evaluated with statistical methods whether each metric satisfies acceptance criteria in a given criteria level. Result about ULOF is as follows. The coolant temperature in the nominal hottest assembly outlet, “Tc” is selected as metric, and the upper side value of 95% confidential section in Tc is below 900°C that is acceptance criteria. Also in UTOP, it is shown that the fuel maximum temperature in the nominal hottest assembly, “Tf” satisfies acceptance criteria. This result shows that 4S reactor has margin for safety acceptance criteria.","collection-title":"Innovative Nuclear Energy Systems for Sustainable Development of the World. Proceedings of the Second COE-INES International Symposium, INES-2, November 26-30, 2006, Yokohama, Japan","container-title":"Progress in Nuclear Energy","DOI":"10.1016/j.pnucene.2007.10.017","ISSN":"0149-1970","issue":"2","journalAbbreviation":"Progress in Nuclear Energy","language":"en","page":"179-184","source":"ScienceDirect","title":"Safety performance of the 4S reactor on the ATWS events – statistical estimation of uncertainty","volume":"50","author":[{"family":"Horie","given":"Hideki"},{"family":"Miyagi","given":"Kazumi"},{"family":"Nakahara","given":"Katsuhiko"},{"family":"Matsumiya","given":"Hisato"}],"issued":{"date-parts":[["2008",3,1]]}}}],"schema":"https://github.com/citation-style-language/schema/raw/master/csl-citation.json"} </w:instrText>
      </w:r>
      <w:r w:rsidR="00D25E64">
        <w:fldChar w:fldCharType="separate"/>
      </w:r>
      <w:r w:rsidR="00DD74D0" w:rsidRPr="00DD74D0">
        <w:t>[12]</w:t>
      </w:r>
      <w:r w:rsidR="00D25E64">
        <w:fldChar w:fldCharType="end"/>
      </w:r>
      <w:r>
        <w:t xml:space="preserve"> event refer</w:t>
      </w:r>
      <w:r w:rsidR="001E6A1E">
        <w:t>s</w:t>
      </w:r>
      <w:r>
        <w:t xml:space="preserve"> to an event in which initiator occurs, but the plant protective system of the SFR fails to function. It has been demonstrated that a properly designed SFR can survive ATWS without damage to the fuel or other barriers to radiation release </w:t>
      </w:r>
      <w:r w:rsidR="00861339">
        <w:fldChar w:fldCharType="begin"/>
      </w:r>
      <w:r w:rsidR="007461E6">
        <w:instrText xml:space="preserve"> ADDIN ZOTERO_ITEM CSL_CITATION {"citationID":"SpHWYiQn","properties":{"formattedCitation":"[1]","plainCitation":"[1]","noteIndex":0},"citationItems":[{"id":88,"uris":["http://zotero.org/users/7114824/items/EUQX6AH8"],"uri":["http://zotero.org/users/7114824/items/EUQX6AH8"],"itemData":{"id":88,"type":"book","abstract":"This book is a complete update of the classic 1981 FAST BREEDER REACTORS textbook authored by Alan E. Waltar and Albert B. Reynolds, which , along with the Russian translation, served as a major reference book for fast reactors systems. Major updates include transmutation physics (a key technology to substantially ameliorate issues associated with the storage of high-level nuclear waste ), advances in fuels and materials technology (including metal fuels and cladding materials capable of high-temperature and high burnup), and new approaches to reactor safety (including passive safety technology), New chapters on gas-cooled and lead-cooled fast spectrum reactors are also included. Key international experts contributing to the text include Chaim Braun, (Stanford University) Ronald Omberg, (Pacific Northwest National Laboratory, Massimo Salvatores (CEA, France), Baldev Raj, (Indira Gandhi Center for Atomic Research, India) , John Sackett (Argonne National Laboratory), Kevan Weaver, (TerraPower Corporation) ,James Seinicki(Argonne National Laboratory). Russell Stachowski (General Electric), Toshikazu Takeda (University of Fukui, Japan), and Yoshitaka Chikazawa (Japan Atomic Energy Agency). © 2012 Springer Science+Business Media, LLC. All rights reserved.","ISBN":"978-1-4419-9571-1","note":"page: 720\nDOI: 10.1007/978-1-4419-9572-8","number-of-pages":"1","source":"ResearchGate","title":"Fast Spectrum Reactors","author":[{"family":"Waltar","given":"A.E."},{"family":"Todd","given":"D.R."},{"family":"Tsvetkov","given":"Pavel"}],"issued":{"date-parts":[["2012",10,1]]}}}],"schema":"https://github.com/citation-style-language/schema/raw/master/csl-citation.json"} </w:instrText>
      </w:r>
      <w:r w:rsidR="00861339">
        <w:fldChar w:fldCharType="separate"/>
      </w:r>
      <w:r w:rsidR="00861339" w:rsidRPr="00861339">
        <w:t>[1]</w:t>
      </w:r>
      <w:r w:rsidR="00861339">
        <w:fldChar w:fldCharType="end"/>
      </w:r>
      <w:r w:rsidR="00537080">
        <w:t>.</w:t>
      </w:r>
      <w:r>
        <w:t xml:space="preserve"> Given that ATWS transient safety analysis is the base of design and safe operation of fast reactors, it is necessary to evaluate the safety performance of the SMSFR in ATWS events during the </w:t>
      </w:r>
      <w:r w:rsidR="00D67869">
        <w:t xml:space="preserve">whole </w:t>
      </w:r>
      <w:r>
        <w:t>lifetime with the change of neutron characteristics</w:t>
      </w:r>
      <w:r w:rsidR="00DD74D0">
        <w:t xml:space="preserve"> </w:t>
      </w:r>
      <w:r w:rsidR="00DD74D0">
        <w:fldChar w:fldCharType="begin"/>
      </w:r>
      <w:r w:rsidR="00DD74D0">
        <w:instrText xml:space="preserve"> ADDIN ZOTERO_ITEM CSL_CITATION {"citationID":"3pS2Tx43","properties":{"formattedCitation":"[13]","plainCitation":"[13]","noteIndex":0},"citationItems":[{"id":608,"uris":["http://zotero.org/users/7114824/items/SQALNZU6"],"uri":["http://zotero.org/users/7114824/items/SQALNZU6"],"itemData":{"id":608,"type":"paper-conference","event":"ICAPP 2019 – International Congress on Advances in Nuclear Power Plants","event-place":"France, Juan-les-pins","publisher-place":"France, Juan-les-pins","title":"Evaluation of the Control Rods Withdrawal in a Small Modular Sodium Fast Reactor and Analysis of the Impact on the Core Design","author":[{"literal":"H. Guo, P. Sciora, T. Kooyman, L. Buiron"}],"issued":{"date-parts":[["2019",5,12]]}}}],"schema":"https://github.com/citation-style-language/schema/raw/master/csl-citation.json"} </w:instrText>
      </w:r>
      <w:r w:rsidR="00DD74D0">
        <w:fldChar w:fldCharType="separate"/>
      </w:r>
      <w:r w:rsidR="00DD74D0" w:rsidRPr="00DD74D0">
        <w:t>[13]</w:t>
      </w:r>
      <w:r w:rsidR="00DD74D0">
        <w:fldChar w:fldCharType="end"/>
      </w:r>
      <w:r>
        <w:t>.</w:t>
      </w:r>
    </w:p>
    <w:p w14:paraId="489138D3" w14:textId="10228287" w:rsidR="00E14B79" w:rsidRDefault="00E14B79" w:rsidP="00E14B79">
      <w:pPr>
        <w:pStyle w:val="a1"/>
      </w:pPr>
      <w:r>
        <w:lastRenderedPageBreak/>
        <w:t>Th</w:t>
      </w:r>
      <w:r w:rsidR="00E32E38">
        <w:rPr>
          <w:rFonts w:hint="eastAsia"/>
          <w:lang w:eastAsia="zh-CN"/>
        </w:rPr>
        <w:t>e</w:t>
      </w:r>
      <w:r>
        <w:t xml:space="preserve"> paper is based on a 300 </w:t>
      </w:r>
      <w:proofErr w:type="gramStart"/>
      <w:r w:rsidR="00FB5A31" w:rsidRPr="00871F40">
        <w:t>MW(</w:t>
      </w:r>
      <w:proofErr w:type="spellStart"/>
      <w:proofErr w:type="gramEnd"/>
      <w:r w:rsidR="00FB5A31" w:rsidRPr="00871F40">
        <w:t>th</w:t>
      </w:r>
      <w:proofErr w:type="spellEnd"/>
      <w:r w:rsidR="00FB5A31" w:rsidRPr="00871F40">
        <w:t>)</w:t>
      </w:r>
      <w:r>
        <w:t xml:space="preserve"> small modular MOX SMSFR</w:t>
      </w:r>
      <w:r w:rsidR="002C174D">
        <w:t xml:space="preserve"> in non-refuelling operation stra</w:t>
      </w:r>
      <w:r w:rsidR="00DC7CF6">
        <w:t>t</w:t>
      </w:r>
      <w:r w:rsidR="002C174D">
        <w:t>e</w:t>
      </w:r>
      <w:r w:rsidR="00DC7CF6">
        <w:t>g</w:t>
      </w:r>
      <w:r w:rsidR="002C174D">
        <w:t>y</w:t>
      </w:r>
      <w:r>
        <w:t xml:space="preserve">, from its beginning of life (BOL, 0 </w:t>
      </w:r>
      <w:proofErr w:type="spellStart"/>
      <w:r>
        <w:t>GW</w:t>
      </w:r>
      <w:r w:rsidR="000228E5">
        <w:t>∙</w:t>
      </w:r>
      <w:r>
        <w:t>d</w:t>
      </w:r>
      <w:proofErr w:type="spellEnd"/>
      <w:r>
        <w:t>/</w:t>
      </w:r>
      <w:proofErr w:type="spellStart"/>
      <w:r>
        <w:t>tHM</w:t>
      </w:r>
      <w:proofErr w:type="spellEnd"/>
      <w:r>
        <w:t xml:space="preserve">), to its end of life (EOL, 75 </w:t>
      </w:r>
      <w:proofErr w:type="spellStart"/>
      <w:r>
        <w:t>GW</w:t>
      </w:r>
      <w:r w:rsidR="000228E5">
        <w:t>∙</w:t>
      </w:r>
      <w:r>
        <w:t>d</w:t>
      </w:r>
      <w:proofErr w:type="spellEnd"/>
      <w:r>
        <w:t>/</w:t>
      </w:r>
      <w:proofErr w:type="spellStart"/>
      <w:r>
        <w:t>tHM</w:t>
      </w:r>
      <w:proofErr w:type="spellEnd"/>
      <w:r>
        <w:t xml:space="preserve">). </w:t>
      </w:r>
      <w:r w:rsidR="00B239F9">
        <w:t>D</w:t>
      </w:r>
      <w:r>
        <w:t>etail</w:t>
      </w:r>
      <w:r w:rsidR="00B239F9">
        <w:t>s</w:t>
      </w:r>
      <w:r>
        <w:t xml:space="preserve"> of the SMSFR model, </w:t>
      </w:r>
      <w:r w:rsidR="00B239F9">
        <w:t>the</w:t>
      </w:r>
      <w:r>
        <w:t xml:space="preserve"> method for burnup calculation and safety performance simulation </w:t>
      </w:r>
      <w:r w:rsidR="00B239F9">
        <w:rPr>
          <w:lang w:eastAsia="zh-CN"/>
        </w:rPr>
        <w:t>are</w:t>
      </w:r>
      <w:r>
        <w:t xml:space="preserve"> </w:t>
      </w:r>
      <w:r w:rsidR="00E61B95">
        <w:t xml:space="preserve">presented </w:t>
      </w:r>
      <w:r>
        <w:t xml:space="preserve">in Section </w:t>
      </w:r>
      <w:r w:rsidR="00115EB5">
        <w:t>2</w:t>
      </w:r>
      <w:r w:rsidR="00523872">
        <w:t>.</w:t>
      </w:r>
      <w:r w:rsidR="00115EB5">
        <w:t xml:space="preserve"> Section</w:t>
      </w:r>
      <w:r>
        <w:t xml:space="preserve"> 3 discusses the results of the simulation in ATWS, </w:t>
      </w:r>
      <w:r w:rsidR="00AC145D">
        <w:t>i</w:t>
      </w:r>
      <w:r>
        <w:t>n which the influence of the fuel burnup, the control rod positions are investigated. The conclusion is given in Section 4.</w:t>
      </w:r>
    </w:p>
    <w:p w14:paraId="433FE04F" w14:textId="5625C6CA" w:rsidR="00E25B68" w:rsidRDefault="00581E74" w:rsidP="0026525A">
      <w:pPr>
        <w:pStyle w:val="2"/>
        <w:numPr>
          <w:ilvl w:val="1"/>
          <w:numId w:val="10"/>
        </w:numPr>
      </w:pPr>
      <w:r w:rsidRPr="00581E74">
        <w:t>Models and Calculation tools</w:t>
      </w:r>
    </w:p>
    <w:p w14:paraId="4AF6FF4A" w14:textId="5733E7E5" w:rsidR="00941856" w:rsidRDefault="009E3CBE" w:rsidP="007B7161">
      <w:pPr>
        <w:pStyle w:val="3"/>
      </w:pPr>
      <w:r>
        <w:t>SMSFR core</w:t>
      </w:r>
      <w:r w:rsidR="00941856">
        <w:t xml:space="preserve"> </w:t>
      </w:r>
      <w:r w:rsidR="002C174D">
        <w:t>description</w:t>
      </w:r>
    </w:p>
    <w:p w14:paraId="2941913C" w14:textId="090AC0D2" w:rsidR="00941856" w:rsidRDefault="00941856" w:rsidP="00941856">
      <w:pPr>
        <w:pStyle w:val="a1"/>
      </w:pPr>
      <w:r>
        <w:t>The SMSFR studied in this work is a</w:t>
      </w:r>
      <w:r w:rsidR="00FB5A31">
        <w:t xml:space="preserve"> 300</w:t>
      </w:r>
      <w:r w:rsidR="00FB5A31" w:rsidRPr="00FB5A31">
        <w:t xml:space="preserve"> </w:t>
      </w:r>
      <w:proofErr w:type="gramStart"/>
      <w:r w:rsidR="00FB5A31" w:rsidRPr="00871F40">
        <w:t>MW(</w:t>
      </w:r>
      <w:proofErr w:type="spellStart"/>
      <w:proofErr w:type="gramEnd"/>
      <w:r w:rsidR="00FB5A31" w:rsidRPr="00871F40">
        <w:t>th</w:t>
      </w:r>
      <w:proofErr w:type="spellEnd"/>
      <w:r w:rsidR="00FB5A31" w:rsidRPr="00871F40">
        <w:t xml:space="preserve">) </w:t>
      </w:r>
      <w:r>
        <w:t xml:space="preserve">sodium fast reactor loaded with MOX fuel. The configuration of </w:t>
      </w:r>
      <w:r w:rsidR="00A141CB">
        <w:t xml:space="preserve">the </w:t>
      </w:r>
      <w:r>
        <w:t>core is illustrated in Fig.1. The assembly pitch is 13.4 cm. Two different plutonium content zones, 66 inner core assemblies and 84 outer core assemblies, are used to optimize the power distribution.</w:t>
      </w:r>
    </w:p>
    <w:p w14:paraId="49961FB8" w14:textId="0724BCCB" w:rsidR="004B2EE8" w:rsidRDefault="004B2EE8" w:rsidP="008544D1">
      <w:pPr>
        <w:pStyle w:val="a1"/>
        <w:ind w:firstLine="0"/>
      </w:pPr>
    </w:p>
    <w:p w14:paraId="709DAF44" w14:textId="58EAC3A3" w:rsidR="00FD1B3E" w:rsidRDefault="00FD1B3E" w:rsidP="007B7161">
      <w:pPr>
        <w:pStyle w:val="a1"/>
        <w:jc w:val="center"/>
      </w:pPr>
      <w:r w:rsidRPr="00FD1B3E">
        <w:rPr>
          <w:noProof/>
        </w:rPr>
        <w:drawing>
          <wp:inline distT="0" distB="0" distL="0" distR="0" wp14:anchorId="41601955" wp14:editId="5F0B05FD">
            <wp:extent cx="2961565" cy="2032118"/>
            <wp:effectExtent l="0" t="0" r="0" b="635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74583" cy="2109667"/>
                    </a:xfrm>
                    <a:prstGeom prst="rect">
                      <a:avLst/>
                    </a:prstGeom>
                  </pic:spPr>
                </pic:pic>
              </a:graphicData>
            </a:graphic>
          </wp:inline>
        </w:drawing>
      </w:r>
    </w:p>
    <w:p w14:paraId="7083F46F" w14:textId="79F74ACF" w:rsidR="004B2EE8" w:rsidRPr="007B7161" w:rsidRDefault="004B2EE8" w:rsidP="007B7161">
      <w:pPr>
        <w:pStyle w:val="a1"/>
        <w:jc w:val="center"/>
        <w:rPr>
          <w:i/>
          <w:caps/>
          <w:sz w:val="18"/>
          <w:lang w:eastAsia="es-ES"/>
        </w:rPr>
      </w:pPr>
      <w:r w:rsidRPr="007B7161">
        <w:rPr>
          <w:i/>
          <w:caps/>
          <w:sz w:val="18"/>
          <w:lang w:eastAsia="es-ES"/>
        </w:rPr>
        <w:t>Fig.1. C</w:t>
      </w:r>
      <w:r w:rsidR="006321B2" w:rsidRPr="007B7161">
        <w:rPr>
          <w:i/>
          <w:sz w:val="18"/>
          <w:lang w:eastAsia="es-ES"/>
        </w:rPr>
        <w:t xml:space="preserve">ore configuration of </w:t>
      </w:r>
      <w:r w:rsidRPr="007B7161">
        <w:rPr>
          <w:i/>
          <w:caps/>
          <w:sz w:val="18"/>
          <w:lang w:eastAsia="es-ES"/>
        </w:rPr>
        <w:t>SMSFR</w:t>
      </w:r>
    </w:p>
    <w:p w14:paraId="26EA5E3E" w14:textId="2483DAC8" w:rsidR="00810035" w:rsidRDefault="00810035" w:rsidP="00810035">
      <w:pPr>
        <w:pStyle w:val="a1"/>
      </w:pPr>
      <w:r w:rsidRPr="00941856">
        <w:t xml:space="preserve">The main characteristic of SMSFR </w:t>
      </w:r>
      <w:r w:rsidR="00C578FC">
        <w:t>is</w:t>
      </w:r>
      <w:r w:rsidR="00C578FC" w:rsidRPr="00941856">
        <w:t xml:space="preserve"> </w:t>
      </w:r>
      <w:r w:rsidRPr="00941856">
        <w:t>presented in Table 1. The total irradiation time of fuel is 1825 equivalent full power days (EFPD). The average power density in the fissile zone is 151 W/cm</w:t>
      </w:r>
      <w:r w:rsidRPr="007B7161">
        <w:rPr>
          <w:vertAlign w:val="superscript"/>
        </w:rPr>
        <w:t>3</w:t>
      </w:r>
      <w:r w:rsidRPr="00941856">
        <w:t xml:space="preserve"> corresponding to an average linear heat rating of 185 W/cm in fuel pins.</w:t>
      </w:r>
      <w:r w:rsidR="005210E2">
        <w:t xml:space="preserve"> </w:t>
      </w:r>
    </w:p>
    <w:p w14:paraId="463629B2" w14:textId="77777777" w:rsidR="00810035" w:rsidRDefault="00810035" w:rsidP="00941856">
      <w:pPr>
        <w:pStyle w:val="a1"/>
      </w:pPr>
    </w:p>
    <w:p w14:paraId="5A887D9F" w14:textId="29CA10D2" w:rsidR="00941856" w:rsidRDefault="00941856" w:rsidP="002C174D">
      <w:pPr>
        <w:pStyle w:val="a1"/>
        <w:ind w:firstLine="0"/>
        <w:jc w:val="center"/>
      </w:pPr>
      <w:r>
        <w:rPr>
          <w:rFonts w:hint="eastAsia"/>
        </w:rPr>
        <w:t>T</w:t>
      </w:r>
      <w:r w:rsidR="00810035">
        <w:t>ABLE</w:t>
      </w:r>
      <w:r>
        <w:t xml:space="preserve"> 1</w:t>
      </w:r>
      <w:r w:rsidR="00810035">
        <w:t>.</w:t>
      </w:r>
      <w:r w:rsidR="00810035" w:rsidRPr="00810035">
        <w:t xml:space="preserve"> </w:t>
      </w:r>
      <w:r w:rsidR="00810035">
        <w:tab/>
      </w:r>
      <w:r>
        <w:rPr>
          <w:rFonts w:hint="eastAsia"/>
        </w:rPr>
        <w:t>M</w:t>
      </w:r>
      <w:r>
        <w:t>ain characteristics of SMSFR</w:t>
      </w:r>
    </w:p>
    <w:tbl>
      <w:tblPr>
        <w:tblStyle w:val="ae"/>
        <w:tblW w:w="0" w:type="auto"/>
        <w:jc w:val="center"/>
        <w:tblBorders>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1698"/>
      </w:tblGrid>
      <w:tr w:rsidR="00941856" w14:paraId="7386FDBB" w14:textId="77777777" w:rsidTr="00EA5193">
        <w:trPr>
          <w:jc w:val="center"/>
        </w:trPr>
        <w:tc>
          <w:tcPr>
            <w:tcW w:w="0" w:type="auto"/>
            <w:tcBorders>
              <w:top w:val="single" w:sz="12" w:space="0" w:color="auto"/>
            </w:tcBorders>
          </w:tcPr>
          <w:p w14:paraId="41482716" w14:textId="6F53EA73" w:rsidR="00941856" w:rsidRPr="007B7161" w:rsidRDefault="00CE7D46" w:rsidP="002C174D">
            <w:pPr>
              <w:rPr>
                <w:sz w:val="20"/>
                <w:lang w:eastAsia="zh-CN"/>
              </w:rPr>
            </w:pPr>
            <w:r>
              <w:rPr>
                <w:sz w:val="20"/>
                <w:lang w:eastAsia="zh-CN"/>
              </w:rPr>
              <w:t>C</w:t>
            </w:r>
            <w:r w:rsidR="00941856" w:rsidRPr="007B7161">
              <w:rPr>
                <w:sz w:val="20"/>
                <w:lang w:eastAsia="zh-CN"/>
              </w:rPr>
              <w:t>ore power</w:t>
            </w:r>
          </w:p>
        </w:tc>
        <w:tc>
          <w:tcPr>
            <w:tcW w:w="0" w:type="auto"/>
            <w:tcBorders>
              <w:top w:val="single" w:sz="12" w:space="0" w:color="auto"/>
            </w:tcBorders>
          </w:tcPr>
          <w:p w14:paraId="0810472B" w14:textId="5363F324" w:rsidR="00941856" w:rsidRPr="007B7161" w:rsidRDefault="00941856" w:rsidP="00F50F30">
            <w:pPr>
              <w:jc w:val="center"/>
              <w:rPr>
                <w:sz w:val="20"/>
                <w:lang w:eastAsia="zh-CN"/>
              </w:rPr>
            </w:pPr>
            <w:r w:rsidRPr="007B7161">
              <w:rPr>
                <w:sz w:val="20"/>
                <w:lang w:eastAsia="zh-CN"/>
              </w:rPr>
              <w:t xml:space="preserve">300 </w:t>
            </w:r>
            <w:proofErr w:type="gramStart"/>
            <w:r w:rsidR="00FB5A31" w:rsidRPr="007B7161">
              <w:rPr>
                <w:sz w:val="20"/>
              </w:rPr>
              <w:t>MW(</w:t>
            </w:r>
            <w:proofErr w:type="spellStart"/>
            <w:proofErr w:type="gramEnd"/>
            <w:r w:rsidR="00FB5A31" w:rsidRPr="007B7161">
              <w:rPr>
                <w:sz w:val="20"/>
              </w:rPr>
              <w:t>th</w:t>
            </w:r>
            <w:proofErr w:type="spellEnd"/>
            <w:r w:rsidR="00FB5A31" w:rsidRPr="007B7161">
              <w:rPr>
                <w:sz w:val="20"/>
              </w:rPr>
              <w:t>)</w:t>
            </w:r>
          </w:p>
        </w:tc>
      </w:tr>
      <w:tr w:rsidR="00941856" w14:paraId="6C3F78FD" w14:textId="77777777" w:rsidTr="00EA5193">
        <w:trPr>
          <w:jc w:val="center"/>
        </w:trPr>
        <w:tc>
          <w:tcPr>
            <w:tcW w:w="0" w:type="auto"/>
          </w:tcPr>
          <w:p w14:paraId="1CC0E938" w14:textId="77777777" w:rsidR="00941856" w:rsidRPr="007B7161" w:rsidRDefault="00941856" w:rsidP="002C174D">
            <w:pPr>
              <w:rPr>
                <w:sz w:val="20"/>
                <w:lang w:eastAsia="zh-CN"/>
              </w:rPr>
            </w:pPr>
            <w:r w:rsidRPr="007B7161">
              <w:rPr>
                <w:sz w:val="20"/>
                <w:lang w:eastAsia="zh-CN"/>
              </w:rPr>
              <w:t>Fuel irradiation time</w:t>
            </w:r>
          </w:p>
        </w:tc>
        <w:tc>
          <w:tcPr>
            <w:tcW w:w="0" w:type="auto"/>
          </w:tcPr>
          <w:p w14:paraId="2FBFCD9B" w14:textId="77777777" w:rsidR="00941856" w:rsidRPr="007B7161" w:rsidRDefault="00941856" w:rsidP="00F50F30">
            <w:pPr>
              <w:jc w:val="center"/>
              <w:rPr>
                <w:sz w:val="20"/>
                <w:lang w:eastAsia="zh-CN"/>
              </w:rPr>
            </w:pPr>
            <w:r w:rsidRPr="007B7161">
              <w:rPr>
                <w:sz w:val="20"/>
                <w:lang w:eastAsia="zh-CN"/>
              </w:rPr>
              <w:t>1825 EFPD</w:t>
            </w:r>
          </w:p>
        </w:tc>
      </w:tr>
      <w:tr w:rsidR="00941856" w14:paraId="40D546AB" w14:textId="77777777" w:rsidTr="00EA5193">
        <w:trPr>
          <w:jc w:val="center"/>
        </w:trPr>
        <w:tc>
          <w:tcPr>
            <w:tcW w:w="0" w:type="auto"/>
          </w:tcPr>
          <w:p w14:paraId="5A117F44" w14:textId="77777777" w:rsidR="00941856" w:rsidRPr="007B7161" w:rsidRDefault="00941856" w:rsidP="002C174D">
            <w:pPr>
              <w:rPr>
                <w:sz w:val="20"/>
                <w:lang w:eastAsia="zh-CN"/>
              </w:rPr>
            </w:pPr>
            <w:r w:rsidRPr="007B7161">
              <w:rPr>
                <w:sz w:val="20"/>
                <w:lang w:eastAsia="zh-CN"/>
              </w:rPr>
              <w:t xml:space="preserve">Fuel assembly number (C1|C2) </w:t>
            </w:r>
          </w:p>
        </w:tc>
        <w:tc>
          <w:tcPr>
            <w:tcW w:w="0" w:type="auto"/>
          </w:tcPr>
          <w:p w14:paraId="6C4C2932" w14:textId="77777777" w:rsidR="00941856" w:rsidRPr="007B7161" w:rsidRDefault="00941856" w:rsidP="00F50F30">
            <w:pPr>
              <w:jc w:val="center"/>
              <w:rPr>
                <w:sz w:val="20"/>
                <w:lang w:eastAsia="zh-CN"/>
              </w:rPr>
            </w:pPr>
            <w:r w:rsidRPr="007B7161">
              <w:rPr>
                <w:sz w:val="20"/>
                <w:lang w:eastAsia="zh-CN"/>
              </w:rPr>
              <w:t>66 | 84</w:t>
            </w:r>
          </w:p>
        </w:tc>
      </w:tr>
      <w:tr w:rsidR="00941856" w14:paraId="2F479EC7" w14:textId="77777777" w:rsidTr="00EA5193">
        <w:trPr>
          <w:jc w:val="center"/>
        </w:trPr>
        <w:tc>
          <w:tcPr>
            <w:tcW w:w="0" w:type="auto"/>
          </w:tcPr>
          <w:p w14:paraId="5104F05A" w14:textId="77777777" w:rsidR="00941856" w:rsidRPr="007B7161" w:rsidRDefault="00941856" w:rsidP="002C174D">
            <w:pPr>
              <w:rPr>
                <w:sz w:val="20"/>
                <w:lang w:eastAsia="zh-CN"/>
              </w:rPr>
            </w:pPr>
            <w:r w:rsidRPr="007B7161">
              <w:rPr>
                <w:sz w:val="20"/>
                <w:lang w:eastAsia="zh-CN"/>
              </w:rPr>
              <w:t>Fuel type</w:t>
            </w:r>
          </w:p>
        </w:tc>
        <w:tc>
          <w:tcPr>
            <w:tcW w:w="0" w:type="auto"/>
          </w:tcPr>
          <w:p w14:paraId="45858B8E" w14:textId="77777777" w:rsidR="00941856" w:rsidRPr="007B7161" w:rsidRDefault="00941856" w:rsidP="00F50F30">
            <w:pPr>
              <w:jc w:val="center"/>
              <w:rPr>
                <w:sz w:val="20"/>
                <w:lang w:eastAsia="zh-CN"/>
              </w:rPr>
            </w:pPr>
            <w:r w:rsidRPr="007B7161">
              <w:rPr>
                <w:sz w:val="20"/>
                <w:lang w:eastAsia="zh-CN"/>
              </w:rPr>
              <w:t>MOX fuel</w:t>
            </w:r>
          </w:p>
        </w:tc>
      </w:tr>
      <w:tr w:rsidR="00941856" w14:paraId="4530A145" w14:textId="77777777" w:rsidTr="00EA5193">
        <w:trPr>
          <w:jc w:val="center"/>
        </w:trPr>
        <w:tc>
          <w:tcPr>
            <w:tcW w:w="0" w:type="auto"/>
          </w:tcPr>
          <w:p w14:paraId="69A30A1D" w14:textId="77777777" w:rsidR="00941856" w:rsidRPr="007B7161" w:rsidRDefault="00941856" w:rsidP="002C174D">
            <w:pPr>
              <w:rPr>
                <w:sz w:val="20"/>
                <w:lang w:eastAsia="zh-CN"/>
              </w:rPr>
            </w:pPr>
            <w:r w:rsidRPr="007B7161">
              <w:rPr>
                <w:sz w:val="20"/>
                <w:lang w:eastAsia="zh-CN"/>
              </w:rPr>
              <w:t>Primary coolant</w:t>
            </w:r>
          </w:p>
        </w:tc>
        <w:tc>
          <w:tcPr>
            <w:tcW w:w="0" w:type="auto"/>
          </w:tcPr>
          <w:p w14:paraId="2EC7E1DD" w14:textId="77777777" w:rsidR="00941856" w:rsidRPr="007B7161" w:rsidRDefault="00941856" w:rsidP="00F50F30">
            <w:pPr>
              <w:jc w:val="center"/>
              <w:rPr>
                <w:sz w:val="20"/>
                <w:lang w:eastAsia="zh-CN"/>
              </w:rPr>
            </w:pPr>
            <w:r w:rsidRPr="007B7161">
              <w:rPr>
                <w:sz w:val="20"/>
                <w:lang w:eastAsia="zh-CN"/>
              </w:rPr>
              <w:t>Sodium</w:t>
            </w:r>
          </w:p>
        </w:tc>
      </w:tr>
      <w:tr w:rsidR="00941856" w14:paraId="1D02BF7F" w14:textId="77777777" w:rsidTr="00EA5193">
        <w:trPr>
          <w:jc w:val="center"/>
        </w:trPr>
        <w:tc>
          <w:tcPr>
            <w:tcW w:w="0" w:type="auto"/>
          </w:tcPr>
          <w:p w14:paraId="75A7A091" w14:textId="77777777" w:rsidR="00941856" w:rsidRPr="007B7161" w:rsidRDefault="00941856" w:rsidP="002C174D">
            <w:pPr>
              <w:rPr>
                <w:sz w:val="20"/>
                <w:lang w:eastAsia="zh-CN"/>
              </w:rPr>
            </w:pPr>
            <w:r w:rsidRPr="007B7161">
              <w:rPr>
                <w:sz w:val="20"/>
                <w:lang w:eastAsia="zh-CN"/>
              </w:rPr>
              <w:t xml:space="preserve">Plutonium content (C1|C2) </w:t>
            </w:r>
          </w:p>
        </w:tc>
        <w:tc>
          <w:tcPr>
            <w:tcW w:w="0" w:type="auto"/>
          </w:tcPr>
          <w:p w14:paraId="3AC7C5F9" w14:textId="77777777" w:rsidR="00941856" w:rsidRPr="007B7161" w:rsidRDefault="00941856" w:rsidP="00F50F30">
            <w:pPr>
              <w:jc w:val="center"/>
              <w:rPr>
                <w:sz w:val="20"/>
                <w:lang w:eastAsia="zh-CN"/>
              </w:rPr>
            </w:pPr>
            <w:r w:rsidRPr="007B7161">
              <w:rPr>
                <w:sz w:val="20"/>
                <w:lang w:eastAsia="zh-CN"/>
              </w:rPr>
              <w:t>21.96% |26.87%</w:t>
            </w:r>
          </w:p>
        </w:tc>
      </w:tr>
      <w:tr w:rsidR="00941856" w14:paraId="044B1B52" w14:textId="77777777" w:rsidTr="00EA5193">
        <w:trPr>
          <w:jc w:val="center"/>
        </w:trPr>
        <w:tc>
          <w:tcPr>
            <w:tcW w:w="0" w:type="auto"/>
          </w:tcPr>
          <w:p w14:paraId="0B99E869" w14:textId="77777777" w:rsidR="00941856" w:rsidRPr="007B7161" w:rsidRDefault="00941856" w:rsidP="002C174D">
            <w:pPr>
              <w:rPr>
                <w:sz w:val="20"/>
                <w:lang w:eastAsia="zh-CN"/>
              </w:rPr>
            </w:pPr>
            <w:r w:rsidRPr="007B7161">
              <w:rPr>
                <w:sz w:val="20"/>
                <w:lang w:eastAsia="zh-CN"/>
              </w:rPr>
              <w:t>Core volume (</w:t>
            </w:r>
            <w:proofErr w:type="spellStart"/>
            <w:r w:rsidRPr="007B7161">
              <w:rPr>
                <w:sz w:val="20"/>
                <w:lang w:eastAsia="zh-CN"/>
              </w:rPr>
              <w:t>fissile|fertile</w:t>
            </w:r>
            <w:proofErr w:type="spellEnd"/>
            <w:r w:rsidRPr="007B7161">
              <w:rPr>
                <w:sz w:val="20"/>
                <w:lang w:eastAsia="zh-CN"/>
              </w:rPr>
              <w:t xml:space="preserve">) </w:t>
            </w:r>
          </w:p>
        </w:tc>
        <w:tc>
          <w:tcPr>
            <w:tcW w:w="0" w:type="auto"/>
          </w:tcPr>
          <w:p w14:paraId="2A75CD20" w14:textId="77777777" w:rsidR="00941856" w:rsidRPr="007B7161" w:rsidRDefault="00941856" w:rsidP="00F50F30">
            <w:pPr>
              <w:jc w:val="center"/>
              <w:rPr>
                <w:sz w:val="20"/>
                <w:lang w:eastAsia="zh-CN"/>
              </w:rPr>
            </w:pPr>
            <w:r w:rsidRPr="007B7161">
              <w:rPr>
                <w:sz w:val="20"/>
                <w:lang w:eastAsia="zh-CN"/>
              </w:rPr>
              <w:t>1.983 m</w:t>
            </w:r>
            <w:r w:rsidRPr="007B7161">
              <w:rPr>
                <w:sz w:val="20"/>
                <w:vertAlign w:val="superscript"/>
                <w:lang w:eastAsia="zh-CN"/>
              </w:rPr>
              <w:t>3</w:t>
            </w:r>
            <w:r w:rsidRPr="007B7161">
              <w:rPr>
                <w:sz w:val="20"/>
                <w:lang w:eastAsia="zh-CN"/>
              </w:rPr>
              <w:t xml:space="preserve"> | 0.45 m</w:t>
            </w:r>
            <w:r w:rsidRPr="007B7161">
              <w:rPr>
                <w:sz w:val="20"/>
                <w:vertAlign w:val="superscript"/>
                <w:lang w:eastAsia="zh-CN"/>
              </w:rPr>
              <w:t>3</w:t>
            </w:r>
          </w:p>
        </w:tc>
      </w:tr>
      <w:tr w:rsidR="00941856" w14:paraId="4101A369" w14:textId="77777777" w:rsidTr="00EA5193">
        <w:trPr>
          <w:jc w:val="center"/>
        </w:trPr>
        <w:tc>
          <w:tcPr>
            <w:tcW w:w="0" w:type="auto"/>
          </w:tcPr>
          <w:p w14:paraId="5063D255" w14:textId="77777777" w:rsidR="00941856" w:rsidRPr="007B7161" w:rsidRDefault="00941856" w:rsidP="002C174D">
            <w:pPr>
              <w:rPr>
                <w:sz w:val="20"/>
                <w:lang w:eastAsia="zh-CN"/>
              </w:rPr>
            </w:pPr>
            <w:r w:rsidRPr="007B7161">
              <w:rPr>
                <w:sz w:val="20"/>
                <w:lang w:eastAsia="zh-CN"/>
              </w:rPr>
              <w:t>Average power density in fissile zones</w:t>
            </w:r>
          </w:p>
        </w:tc>
        <w:tc>
          <w:tcPr>
            <w:tcW w:w="0" w:type="auto"/>
          </w:tcPr>
          <w:p w14:paraId="2088F3E7" w14:textId="77777777" w:rsidR="00941856" w:rsidRPr="007B7161" w:rsidRDefault="00941856" w:rsidP="00F50F30">
            <w:pPr>
              <w:jc w:val="center"/>
              <w:rPr>
                <w:sz w:val="20"/>
                <w:lang w:eastAsia="zh-CN"/>
              </w:rPr>
            </w:pPr>
            <w:r w:rsidRPr="007B7161">
              <w:rPr>
                <w:sz w:val="20"/>
                <w:lang w:eastAsia="zh-CN"/>
              </w:rPr>
              <w:t>151 W/cm</w:t>
            </w:r>
            <w:r w:rsidRPr="007B7161">
              <w:rPr>
                <w:sz w:val="20"/>
                <w:vertAlign w:val="superscript"/>
                <w:lang w:eastAsia="zh-CN"/>
              </w:rPr>
              <w:t>3</w:t>
            </w:r>
          </w:p>
        </w:tc>
      </w:tr>
      <w:tr w:rsidR="00941856" w14:paraId="16552B62" w14:textId="77777777" w:rsidTr="00EA5193">
        <w:trPr>
          <w:jc w:val="center"/>
        </w:trPr>
        <w:tc>
          <w:tcPr>
            <w:tcW w:w="0" w:type="auto"/>
          </w:tcPr>
          <w:p w14:paraId="76E6B959" w14:textId="77777777" w:rsidR="00941856" w:rsidRPr="007B7161" w:rsidRDefault="00941856" w:rsidP="002C174D">
            <w:pPr>
              <w:rPr>
                <w:sz w:val="20"/>
                <w:lang w:eastAsia="zh-CN"/>
              </w:rPr>
            </w:pPr>
            <w:r w:rsidRPr="007B7161">
              <w:rPr>
                <w:sz w:val="20"/>
                <w:lang w:eastAsia="zh-CN"/>
              </w:rPr>
              <w:t>Average linear heat rating</w:t>
            </w:r>
          </w:p>
        </w:tc>
        <w:tc>
          <w:tcPr>
            <w:tcW w:w="0" w:type="auto"/>
          </w:tcPr>
          <w:p w14:paraId="0C61931B" w14:textId="77777777" w:rsidR="00941856" w:rsidRPr="007B7161" w:rsidRDefault="00941856" w:rsidP="00F50F30">
            <w:pPr>
              <w:jc w:val="center"/>
              <w:rPr>
                <w:sz w:val="20"/>
                <w:lang w:eastAsia="zh-CN"/>
              </w:rPr>
            </w:pPr>
            <w:r w:rsidRPr="007B7161">
              <w:rPr>
                <w:sz w:val="20"/>
                <w:lang w:eastAsia="zh-CN"/>
              </w:rPr>
              <w:t>185 W/cm</w:t>
            </w:r>
          </w:p>
        </w:tc>
      </w:tr>
      <w:tr w:rsidR="00941856" w14:paraId="245E0DBF" w14:textId="77777777" w:rsidTr="00EA5193">
        <w:trPr>
          <w:jc w:val="center"/>
        </w:trPr>
        <w:tc>
          <w:tcPr>
            <w:tcW w:w="0" w:type="auto"/>
          </w:tcPr>
          <w:p w14:paraId="1E808764" w14:textId="1BB52276" w:rsidR="00941856" w:rsidRPr="007B7161" w:rsidRDefault="00941856" w:rsidP="002C174D">
            <w:pPr>
              <w:rPr>
                <w:sz w:val="20"/>
                <w:lang w:eastAsia="zh-CN"/>
              </w:rPr>
            </w:pPr>
            <w:r w:rsidRPr="007B7161">
              <w:rPr>
                <w:sz w:val="20"/>
                <w:lang w:eastAsia="zh-CN"/>
              </w:rPr>
              <w:t>Control rod assembly number</w:t>
            </w:r>
          </w:p>
        </w:tc>
        <w:tc>
          <w:tcPr>
            <w:tcW w:w="0" w:type="auto"/>
          </w:tcPr>
          <w:p w14:paraId="43D6D960" w14:textId="276B7C88" w:rsidR="00941856" w:rsidRPr="007B7161" w:rsidRDefault="00941856" w:rsidP="00F50F30">
            <w:pPr>
              <w:jc w:val="center"/>
              <w:rPr>
                <w:sz w:val="20"/>
                <w:lang w:eastAsia="zh-CN"/>
              </w:rPr>
            </w:pPr>
            <w:r w:rsidRPr="007B7161">
              <w:rPr>
                <w:sz w:val="20"/>
                <w:lang w:eastAsia="zh-CN"/>
              </w:rPr>
              <w:t>1</w:t>
            </w:r>
            <w:r w:rsidR="00E17D85">
              <w:rPr>
                <w:sz w:val="20"/>
                <w:lang w:eastAsia="zh-CN"/>
              </w:rPr>
              <w:t>8</w:t>
            </w:r>
          </w:p>
        </w:tc>
      </w:tr>
      <w:tr w:rsidR="00941856" w14:paraId="08E2F16E" w14:textId="77777777" w:rsidTr="00EA5193">
        <w:trPr>
          <w:jc w:val="center"/>
        </w:trPr>
        <w:tc>
          <w:tcPr>
            <w:tcW w:w="0" w:type="auto"/>
            <w:tcBorders>
              <w:bottom w:val="single" w:sz="12" w:space="0" w:color="auto"/>
            </w:tcBorders>
          </w:tcPr>
          <w:p w14:paraId="47421202" w14:textId="77777777" w:rsidR="00941856" w:rsidRPr="007B7161" w:rsidRDefault="00941856" w:rsidP="002C174D">
            <w:pPr>
              <w:rPr>
                <w:sz w:val="20"/>
                <w:lang w:eastAsia="zh-CN"/>
              </w:rPr>
            </w:pPr>
            <w:r w:rsidRPr="007B7161">
              <w:rPr>
                <w:sz w:val="20"/>
              </w:rPr>
              <w:t>Absorber material</w:t>
            </w:r>
          </w:p>
        </w:tc>
        <w:tc>
          <w:tcPr>
            <w:tcW w:w="0" w:type="auto"/>
            <w:tcBorders>
              <w:bottom w:val="single" w:sz="12" w:space="0" w:color="auto"/>
            </w:tcBorders>
          </w:tcPr>
          <w:p w14:paraId="4CB9A45A" w14:textId="77777777" w:rsidR="00941856" w:rsidRPr="007B7161" w:rsidRDefault="00941856" w:rsidP="00F50F30">
            <w:pPr>
              <w:jc w:val="center"/>
              <w:rPr>
                <w:sz w:val="20"/>
                <w:lang w:eastAsia="zh-CN"/>
              </w:rPr>
            </w:pPr>
            <w:r w:rsidRPr="007B7161">
              <w:rPr>
                <w:sz w:val="20"/>
              </w:rPr>
              <w:t>B</w:t>
            </w:r>
            <w:r w:rsidRPr="007B7161">
              <w:rPr>
                <w:sz w:val="20"/>
                <w:vertAlign w:val="subscript"/>
              </w:rPr>
              <w:t>4</w:t>
            </w:r>
            <w:r w:rsidRPr="007B7161">
              <w:rPr>
                <w:sz w:val="20"/>
              </w:rPr>
              <w:t>C in 90%</w:t>
            </w:r>
            <w:r w:rsidRPr="007B7161">
              <w:rPr>
                <w:sz w:val="20"/>
                <w:vertAlign w:val="superscript"/>
              </w:rPr>
              <w:t>10</w:t>
            </w:r>
            <w:r w:rsidRPr="007B7161">
              <w:rPr>
                <w:sz w:val="20"/>
              </w:rPr>
              <w:t>B</w:t>
            </w:r>
          </w:p>
        </w:tc>
      </w:tr>
    </w:tbl>
    <w:p w14:paraId="2E4B30E8" w14:textId="77777777" w:rsidR="00101C8C" w:rsidRDefault="00101C8C" w:rsidP="00941856">
      <w:pPr>
        <w:pStyle w:val="a1"/>
      </w:pPr>
    </w:p>
    <w:p w14:paraId="6B02E665" w14:textId="449F5888" w:rsidR="00810035" w:rsidRPr="007B7161" w:rsidRDefault="00951853" w:rsidP="007B7161">
      <w:pPr>
        <w:pStyle w:val="3"/>
      </w:pPr>
      <w:r>
        <w:t>N</w:t>
      </w:r>
      <w:r w:rsidR="00810035" w:rsidRPr="007B7161">
        <w:t>eutronic calculation</w:t>
      </w:r>
    </w:p>
    <w:p w14:paraId="694D8ECD" w14:textId="729045EE" w:rsidR="00810035" w:rsidRPr="007B7161" w:rsidRDefault="00810035" w:rsidP="007B7161">
      <w:pPr>
        <w:pStyle w:val="a1"/>
      </w:pPr>
      <w:r w:rsidRPr="007B7161">
        <w:t>To simulate the neutronic characteristic of SMSFR reactor, a community-developed Monte Carlo neutron and photon transport simulation code OpenMC</w:t>
      </w:r>
      <w:r w:rsidR="00C578FC">
        <w:t xml:space="preserve"> </w:t>
      </w:r>
      <w:r w:rsidRPr="007B7161">
        <w:t>is adopted</w:t>
      </w:r>
      <w:r w:rsidR="00861339">
        <w:t xml:space="preserve"> </w:t>
      </w:r>
      <w:r w:rsidR="00861339">
        <w:fldChar w:fldCharType="begin"/>
      </w:r>
      <w:r w:rsidR="00DD74D0">
        <w:instrText xml:space="preserve"> ADDIN ZOTERO_ITEM CSL_CITATION {"citationID":"zOEysN8y","properties":{"formattedCitation":"[14\\uc0\\u8211{}16]","plainCitation":"[14–16]","noteIndex":0},"citationItems":[{"id":96,"uris":["http://zotero.org/users/7114824/items/5GH9BLNY"],"uri":["http://zotero.org/users/7114824/items/5GH9BLNY"],"itemData":{"id":96,"type":"article-journal","abstract":"A depletion solver has been implemented in OpenMC and is described herein. The depletion solver is implemented in Python and interfaces with OpenMC’s transport solver through a C++ application programming interface, which enables an in-memory transport-depletion coupling. Multiple integration methods for advancing in time have been implemented and exhibit tradeoffs in cost, accuracy, and memory use. For all time integration methods, evaluation of the matrix exponential is performed by using the incomplete partial fraction form of the Chebyshev rational approximation method. Simulations of a pressurized water reactor (PWR) pincell and a sodium-cooled fast reactor (SFR) assembly were carried out with OpenMC and Serpent. For both problems, the use of a high-fidelity depletion chain results in predictions of keff that agree within 20–30 pcm between OpenMC and Serpent. Predicted actinide concentrations were found to agree to a fraction of a percent, and most fission product concentrations were found to agree within 1%. The few cases where larger differences were observed can be attributed either to differences in how the energy dependence of fission product yields is handled or deficiencies in the nuclear data used. OpenMC simulations of the PWR and SFR problems using a simplified 228-nuclide depletion chain demonstrate that it achieves accuracy close to that of the full, high-fidelity depletion chain with respect to the studied responses.","container-title":"Annals of Nuclear Energy","DOI":"10.1016/j.anucene.2020.107989","ISSN":"0306-4549","journalAbbreviation":"Annals of Nuclear Energy","language":"en","page":"107989","source":"ScienceDirect","title":"Depletion capabilities in the OpenMC Monte Carlo particle transport code","volume":"152","author":[{"family":"Romano","given":"Paul K."},{"family":"Josey","given":"Colin J."},{"family":"Johnson","given":"Andrew E."},{"family":"Liang","given":"Jingang"}],"issued":{"date-parts":[["2021",3,1]]}}},{"id":78,"uris":["http://zotero.org/users/7114824/items/EEDMSUYX"],"uri":["http://zotero.org/users/7114824/items/EEDMSUYX"],"itemData":{"id":78,"type":"book","abstract":"This paper gives an overview of OpenMC, an open source Monte Carlo particle transport code recently developed at the Massachusetts Institute of Technology. OpenMC uses continuous-energy cross sections and a constructive solid geometry representation, enabling high-fidelity modeling of nuclear reactors and other systems. Modern, portable input/output file formats are used in OpenMC: XML for input, and HDF5 for output. High performance parallel algorithms in OpenMC have demonstrated near-linear scaling to over 100,000 processors on modern supercomputers. Other topics discussed in this paper include plotting, CMFD acceleration, variance reduction, eigenvalue calculations, and software development processes.","note":"DOI: 10.1051/snamc/201406016\npage: 06016\ncontainer-title: Sna + Mc 2013 - Joint International Conference on Supercomputing in Nuclear Applications + Monte Carlo\nWOS:000408930200239","source":"Web of Science","title":"OpenMC: A State-of-the-Art Monte Carlo Code for Research and Development","title-short":"OpenMC","author":[{"family":"Romano","given":"Paul K."},{"family":"Horelik","given":"Nicholas E."},{"family":"Herman","given":"Bryan R."},{"family":"Nelson","given":"Adam G."},{"family":"Forget","given":"Benoit"},{"family":"Smith","given":"Kord"}],"editor":[{"family":"Caruge","given":"D."},{"family":"Calvin","given":"C."},{"family":"Diop","given":"C. M."},{"family":"Malvagi","given":"F."},{"family":"Trama","given":"J. C."}],"issued":{"date-parts":[["2014"]]}}},{"id":112,"uris":["http://zotero.org/users/7114824/items/AUY6ZH5A"],"uri":["http://zotero.org/users/7114824/items/AUY6ZH5A"],"itemData":{"id":112,"type":"article-journal","abstract":"A new Monte Carlo code called OpenMC is currently under development at the Massachusetts Institute of Technology as a tool for simulation on high-performance computing platforms. Given that many legacy codes do not scale well on existing and future parallel computer architectures, OpenMC has been developed from scratch with a focus on high performance scalable algorithms as well as modern software design practices. The present work describes the methods used in the OpenMC code and demonstrates the performance and accuracy of the code on a variety of problems.","container-title":"Paul Romano","ISSN":"0306-4549","language":"en_US","note":"Accepted: 2017-04-13T18:32:33Z\npublisher: Elsevier","source":"dspace.mit.edu","title":"The OpenMC Monte Carlo particle transport code","URL":"https://dspace.mit.edu/handle/1721.1/108130","author":[{"family":"Romano","given":"Paul K."},{"family":"Forget","given":"Benoit"}],"accessed":{"date-parts":[["2021",1,11]]},"issued":{"date-parts":[["2012",10]]}}}],"schema":"https://github.com/citation-style-language/schema/raw/master/csl-citation.json"} </w:instrText>
      </w:r>
      <w:r w:rsidR="00861339">
        <w:fldChar w:fldCharType="separate"/>
      </w:r>
      <w:r w:rsidR="00DD74D0" w:rsidRPr="00DD74D0">
        <w:rPr>
          <w:szCs w:val="24"/>
        </w:rPr>
        <w:t>[14–16]</w:t>
      </w:r>
      <w:r w:rsidR="00861339">
        <w:fldChar w:fldCharType="end"/>
      </w:r>
      <w:r w:rsidRPr="007B7161">
        <w:t xml:space="preserve">. OpenMC is designed as an extensible code for Multiphysics </w:t>
      </w:r>
      <w:proofErr w:type="spellStart"/>
      <w:r w:rsidR="002F1386" w:rsidRPr="007B7161">
        <w:t>modeling</w:t>
      </w:r>
      <w:proofErr w:type="spellEnd"/>
      <w:r w:rsidRPr="007B7161">
        <w:t xml:space="preserve"> and a scalable parallel algorithm for high-performance computers. </w:t>
      </w:r>
    </w:p>
    <w:p w14:paraId="5F6C2DB4" w14:textId="7C25B4CF" w:rsidR="00810035" w:rsidRDefault="00810035" w:rsidP="00810035">
      <w:pPr>
        <w:pStyle w:val="a1"/>
      </w:pPr>
      <w:r w:rsidRPr="007B7161">
        <w:t>The SMSFR OpenMC neutronic model is described in F</w:t>
      </w:r>
      <w:r w:rsidR="00570B8B">
        <w:t>ig.</w:t>
      </w:r>
      <w:r w:rsidRPr="007B7161">
        <w:t xml:space="preserve"> </w:t>
      </w:r>
      <w:r w:rsidR="007765F7">
        <w:t>2</w:t>
      </w:r>
      <w:r w:rsidRPr="007B7161">
        <w:t xml:space="preserve">. The geometry of </w:t>
      </w:r>
      <w:r w:rsidR="001C2B23">
        <w:t>fuel assemblies (</w:t>
      </w:r>
      <w:r w:rsidRPr="007B7161">
        <w:t>FA</w:t>
      </w:r>
      <w:r w:rsidR="001C2B23">
        <w:t>s)</w:t>
      </w:r>
      <w:r w:rsidRPr="007B7161">
        <w:t xml:space="preserve">, </w:t>
      </w:r>
      <w:r w:rsidR="001C2B23">
        <w:t>control rods (</w:t>
      </w:r>
      <w:r w:rsidRPr="007B7161">
        <w:t>CR</w:t>
      </w:r>
      <w:r w:rsidR="001C2B23">
        <w:t>s)</w:t>
      </w:r>
      <w:r w:rsidRPr="007B7161">
        <w:t xml:space="preserve">, and reflector assemblies are exactly depicted in a pin-by-pin way. The cross-section library ENDF-B-VII.1 is used. The reactivity feedback and the axial power density distribution </w:t>
      </w:r>
      <w:r w:rsidR="001C2B23">
        <w:t>are</w:t>
      </w:r>
      <w:r w:rsidR="001C2B23" w:rsidRPr="007B7161">
        <w:t xml:space="preserve"> </w:t>
      </w:r>
      <w:r w:rsidRPr="007B7161">
        <w:t xml:space="preserve">calculated by OpenMC and inserted into the mono-channel point kinetic system code. </w:t>
      </w:r>
    </w:p>
    <w:p w14:paraId="2D8A032E" w14:textId="2F495BF8" w:rsidR="00810035" w:rsidRDefault="00810035" w:rsidP="004B2EE8">
      <w:pPr>
        <w:pStyle w:val="a1"/>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CF464F" w14:paraId="3518423F" w14:textId="77777777" w:rsidTr="0079678B">
        <w:tc>
          <w:tcPr>
            <w:tcW w:w="4508" w:type="dxa"/>
            <w:shd w:val="clear" w:color="auto" w:fill="auto"/>
          </w:tcPr>
          <w:p w14:paraId="2F4CA0EC" w14:textId="7ECC11D7" w:rsidR="00CF464F" w:rsidRDefault="00CF464F" w:rsidP="004B2EE8">
            <w:pPr>
              <w:pStyle w:val="a1"/>
              <w:ind w:firstLine="0"/>
              <w:jc w:val="center"/>
            </w:pPr>
            <w:r w:rsidRPr="00FF2FB4">
              <w:rPr>
                <w:noProof/>
                <w:lang w:val="en-US" w:eastAsia="zh-CN"/>
              </w:rPr>
              <w:drawing>
                <wp:inline distT="0" distB="0" distL="0" distR="0" wp14:anchorId="75D54E27" wp14:editId="1324217C">
                  <wp:extent cx="1891834" cy="252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91834" cy="2520000"/>
                          </a:xfrm>
                          <a:prstGeom prst="rect">
                            <a:avLst/>
                          </a:prstGeom>
                          <a:ln>
                            <a:noFill/>
                          </a:ln>
                        </pic:spPr>
                      </pic:pic>
                    </a:graphicData>
                  </a:graphic>
                </wp:inline>
              </w:drawing>
            </w:r>
          </w:p>
        </w:tc>
        <w:tc>
          <w:tcPr>
            <w:tcW w:w="4509" w:type="dxa"/>
            <w:shd w:val="clear" w:color="auto" w:fill="auto"/>
          </w:tcPr>
          <w:p w14:paraId="29C63CD3" w14:textId="19D1DC86" w:rsidR="00CF464F" w:rsidRDefault="00CF464F" w:rsidP="004B2EE8">
            <w:pPr>
              <w:pStyle w:val="a1"/>
              <w:ind w:firstLine="0"/>
              <w:jc w:val="center"/>
            </w:pPr>
            <w:r>
              <w:rPr>
                <w:noProof/>
                <w:lang w:val="en-US" w:eastAsia="zh-CN"/>
              </w:rPr>
              <w:drawing>
                <wp:inline distT="0" distB="0" distL="0" distR="0" wp14:anchorId="2305BB0D" wp14:editId="2DE5A84E">
                  <wp:extent cx="1366204" cy="2520000"/>
                  <wp:effectExtent l="0" t="0" r="571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6204" cy="2520000"/>
                          </a:xfrm>
                          <a:prstGeom prst="rect">
                            <a:avLst/>
                          </a:prstGeom>
                          <a:noFill/>
                          <a:ln>
                            <a:noFill/>
                          </a:ln>
                        </pic:spPr>
                      </pic:pic>
                    </a:graphicData>
                  </a:graphic>
                </wp:inline>
              </w:drawing>
            </w:r>
          </w:p>
        </w:tc>
      </w:tr>
      <w:tr w:rsidR="00583715" w14:paraId="4E119C0D" w14:textId="77777777" w:rsidTr="0079678B">
        <w:tc>
          <w:tcPr>
            <w:tcW w:w="4508" w:type="dxa"/>
            <w:shd w:val="clear" w:color="auto" w:fill="auto"/>
            <w:vAlign w:val="center"/>
          </w:tcPr>
          <w:p w14:paraId="7EB22B52" w14:textId="1BDCDDFD" w:rsidR="00583715" w:rsidRDefault="00583715" w:rsidP="0079678B">
            <w:pPr>
              <w:pStyle w:val="af7"/>
              <w:ind w:firstLineChars="0" w:firstLine="0"/>
              <w:jc w:val="center"/>
            </w:pPr>
            <w:r w:rsidRPr="00DA5503">
              <w:rPr>
                <w:rFonts w:hint="eastAsia"/>
                <w:lang w:eastAsia="zh-CN"/>
              </w:rPr>
              <w:t>（</w:t>
            </w:r>
            <w:r w:rsidR="00DA5503" w:rsidRPr="0079678B">
              <w:rPr>
                <w:iCs/>
                <w:lang w:eastAsia="zh-CN"/>
              </w:rPr>
              <w:t>a</w:t>
            </w:r>
            <w:r w:rsidR="00DA5503">
              <w:rPr>
                <w:rFonts w:hint="eastAsia"/>
                <w:lang w:eastAsia="zh-CN"/>
              </w:rPr>
              <w:t>）</w:t>
            </w:r>
            <w:r w:rsidR="00DA5503">
              <w:rPr>
                <w:lang w:eastAsia="zh-CN"/>
              </w:rPr>
              <w:t xml:space="preserve"> </w:t>
            </w:r>
            <w:r w:rsidR="00DA5503">
              <w:t>1/12th core geometry</w:t>
            </w:r>
          </w:p>
        </w:tc>
        <w:tc>
          <w:tcPr>
            <w:tcW w:w="4509" w:type="dxa"/>
            <w:shd w:val="clear" w:color="auto" w:fill="auto"/>
            <w:vAlign w:val="center"/>
          </w:tcPr>
          <w:p w14:paraId="1434F116" w14:textId="5E081289" w:rsidR="00583715" w:rsidRDefault="00DA5503" w:rsidP="00583715">
            <w:pPr>
              <w:pStyle w:val="a1"/>
              <w:ind w:firstLine="0"/>
              <w:jc w:val="center"/>
            </w:pPr>
            <w:r w:rsidRPr="0079678B">
              <w:rPr>
                <w:caps/>
                <w:lang w:eastAsia="es-ES"/>
              </w:rPr>
              <w:t>(</w:t>
            </w:r>
            <w:r w:rsidRPr="0079678B">
              <w:rPr>
                <w:lang w:eastAsia="es-ES"/>
              </w:rPr>
              <w:t>b</w:t>
            </w:r>
            <w:r w:rsidRPr="0079678B">
              <w:rPr>
                <w:caps/>
                <w:lang w:eastAsia="es-ES"/>
              </w:rPr>
              <w:t>)</w:t>
            </w:r>
            <w:r>
              <w:rPr>
                <w:i/>
                <w:caps/>
                <w:lang w:eastAsia="es-ES"/>
              </w:rPr>
              <w:t xml:space="preserve"> </w:t>
            </w:r>
            <w:r>
              <w:rPr>
                <w:i/>
                <w:lang w:eastAsia="es-ES"/>
              </w:rPr>
              <w:t>L</w:t>
            </w:r>
            <w:r w:rsidRPr="00DA5503">
              <w:rPr>
                <w:i/>
                <w:lang w:eastAsia="es-ES"/>
              </w:rPr>
              <w:t>ongitudinal section view</w:t>
            </w:r>
            <w:r>
              <w:rPr>
                <w:i/>
                <w:lang w:eastAsia="es-ES"/>
              </w:rPr>
              <w:t xml:space="preserve"> of depletion structure</w:t>
            </w:r>
          </w:p>
        </w:tc>
      </w:tr>
    </w:tbl>
    <w:p w14:paraId="3CCEB457" w14:textId="73203F1F" w:rsidR="004B2EE8" w:rsidRDefault="004B2EE8" w:rsidP="007B7161">
      <w:pPr>
        <w:pStyle w:val="a1"/>
        <w:jc w:val="center"/>
        <w:rPr>
          <w:i/>
          <w:caps/>
          <w:sz w:val="18"/>
          <w:lang w:eastAsia="es-ES"/>
        </w:rPr>
      </w:pPr>
      <w:r w:rsidRPr="007B7161">
        <w:rPr>
          <w:i/>
          <w:caps/>
          <w:sz w:val="18"/>
          <w:lang w:eastAsia="es-ES"/>
        </w:rPr>
        <w:t xml:space="preserve">Fig. </w:t>
      </w:r>
      <w:r w:rsidR="00744C6F">
        <w:rPr>
          <w:i/>
          <w:caps/>
          <w:sz w:val="18"/>
          <w:lang w:eastAsia="es-ES"/>
        </w:rPr>
        <w:t>2</w:t>
      </w:r>
      <w:r w:rsidRPr="007B7161">
        <w:rPr>
          <w:i/>
          <w:caps/>
          <w:sz w:val="18"/>
          <w:lang w:eastAsia="es-ES"/>
        </w:rPr>
        <w:t>. C</w:t>
      </w:r>
      <w:r w:rsidR="00FD3A3D" w:rsidRPr="007B7161">
        <w:rPr>
          <w:i/>
          <w:sz w:val="18"/>
          <w:lang w:eastAsia="es-ES"/>
        </w:rPr>
        <w:t xml:space="preserve">ross-sections of </w:t>
      </w:r>
      <w:r w:rsidRPr="007B7161">
        <w:rPr>
          <w:i/>
          <w:caps/>
          <w:sz w:val="18"/>
          <w:lang w:eastAsia="es-ES"/>
        </w:rPr>
        <w:t>SMSFR O</w:t>
      </w:r>
      <w:r w:rsidR="00FD3A3D" w:rsidRPr="007B7161">
        <w:rPr>
          <w:i/>
          <w:sz w:val="18"/>
          <w:lang w:eastAsia="es-ES"/>
        </w:rPr>
        <w:t>pen</w:t>
      </w:r>
      <w:r w:rsidRPr="007B7161">
        <w:rPr>
          <w:i/>
          <w:caps/>
          <w:sz w:val="18"/>
          <w:lang w:eastAsia="es-ES"/>
        </w:rPr>
        <w:t xml:space="preserve">MC </w:t>
      </w:r>
      <w:r w:rsidR="00FD3A3D" w:rsidRPr="007B7161">
        <w:rPr>
          <w:i/>
          <w:sz w:val="18"/>
          <w:lang w:eastAsia="es-ES"/>
        </w:rPr>
        <w:t>model</w:t>
      </w:r>
    </w:p>
    <w:p w14:paraId="22882CAA" w14:textId="241A2B2D" w:rsidR="00DF2355" w:rsidRDefault="00BC299F" w:rsidP="00983E64">
      <w:pPr>
        <w:pStyle w:val="a1"/>
      </w:pPr>
      <w:r>
        <w:t>As shown in Table 2, w</w:t>
      </w:r>
      <w:r w:rsidR="00983E64" w:rsidRPr="005210E2">
        <w:t>ith the deepening of fuel burnup in reactor, the temperature coefficient of different reactivit</w:t>
      </w:r>
      <w:r w:rsidR="007B4997">
        <w:rPr>
          <w:lang w:eastAsia="zh-CN"/>
        </w:rPr>
        <w:t>ies</w:t>
      </w:r>
      <w:r w:rsidR="00983E64" w:rsidRPr="005210E2">
        <w:t xml:space="preserve"> show</w:t>
      </w:r>
      <w:r w:rsidR="001C2B23">
        <w:t>s</w:t>
      </w:r>
      <w:r w:rsidR="00983E64">
        <w:t xml:space="preserve"> </w:t>
      </w:r>
      <w:r w:rsidR="00983E64" w:rsidRPr="005210E2">
        <w:t>different trend</w:t>
      </w:r>
      <w:r w:rsidR="00983E64">
        <w:t>s</w:t>
      </w:r>
      <w:r w:rsidR="00983E64" w:rsidRPr="005210E2">
        <w:t>.</w:t>
      </w:r>
      <w:r w:rsidR="00983E64">
        <w:t xml:space="preserve"> </w:t>
      </w:r>
      <w:r w:rsidR="00983E64" w:rsidRPr="005210E2">
        <w:t>Among them, the obvious</w:t>
      </w:r>
      <w:r w:rsidR="00983E64">
        <w:t xml:space="preserve"> one</w:t>
      </w:r>
      <w:r w:rsidR="00983E64" w:rsidRPr="005210E2">
        <w:t xml:space="preserve"> is the coolant expansion coefficient turns from negative to positive with fuel </w:t>
      </w:r>
      <w:r w:rsidR="007E4A2D">
        <w:t>burnup</w:t>
      </w:r>
      <w:r w:rsidR="00983E64">
        <w:t>. Meanwhile,</w:t>
      </w:r>
      <w:r w:rsidR="00983E64" w:rsidRPr="005210E2">
        <w:t xml:space="preserve"> the Doppler constant decreases with the increase of fuel </w:t>
      </w:r>
      <w:r w:rsidR="000E4337">
        <w:t>burnup</w:t>
      </w:r>
      <w:r w:rsidR="00983E64">
        <w:t>,</w:t>
      </w:r>
      <w:r w:rsidR="00983E64" w:rsidRPr="005210E2">
        <w:t xml:space="preserve"> </w:t>
      </w:r>
      <w:r w:rsidR="00983E64">
        <w:t>standing for</w:t>
      </w:r>
      <w:r w:rsidR="00983E64" w:rsidRPr="005210E2">
        <w:t xml:space="preserve"> </w:t>
      </w:r>
      <w:r w:rsidR="00983E64">
        <w:t>a decreasing</w:t>
      </w:r>
      <w:r w:rsidR="00983E64" w:rsidRPr="005210E2">
        <w:t xml:space="preserve"> negative </w:t>
      </w:r>
      <w:r w:rsidR="00983E64">
        <w:t>feedback</w:t>
      </w:r>
      <w:r w:rsidR="00983E64" w:rsidRPr="005210E2">
        <w:t>.</w:t>
      </w:r>
      <w:r w:rsidR="00983E64">
        <w:t xml:space="preserve"> </w:t>
      </w:r>
      <w:r w:rsidR="00744C6F">
        <w:t>I</w:t>
      </w:r>
      <w:r w:rsidR="00983E64">
        <w:t xml:space="preserve">t could be seen that with the control rod upshifting to satisfy </w:t>
      </w:r>
      <w:r>
        <w:t>different</w:t>
      </w:r>
      <w:r w:rsidR="00983E64">
        <w:t xml:space="preserve"> excess reactivity control requirements along lifetime, the</w:t>
      </w:r>
      <w:r w:rsidR="00983E64" w:rsidRPr="000B3404">
        <w:t xml:space="preserve"> </w:t>
      </w:r>
      <w:r w:rsidR="00DF2355">
        <w:t xml:space="preserve">differential worth of </w:t>
      </w:r>
      <w:r w:rsidR="00304122">
        <w:t xml:space="preserve">the </w:t>
      </w:r>
      <w:r w:rsidR="00DF2355">
        <w:t>control rod declines.</w:t>
      </w:r>
    </w:p>
    <w:p w14:paraId="7E3CAA9E" w14:textId="5039D78C" w:rsidR="00E13875" w:rsidRDefault="00E13875" w:rsidP="00E13875">
      <w:pPr>
        <w:pStyle w:val="a1"/>
        <w:ind w:firstLine="0"/>
        <w:jc w:val="center"/>
      </w:pPr>
      <w:r>
        <w:rPr>
          <w:rFonts w:hint="eastAsia"/>
        </w:rPr>
        <w:t>T</w:t>
      </w:r>
      <w:r>
        <w:t>ABLE 2.</w:t>
      </w:r>
      <w:r w:rsidRPr="00810035">
        <w:t xml:space="preserve"> </w:t>
      </w:r>
      <w:r>
        <w:tab/>
      </w:r>
      <w:r w:rsidR="00744C6F">
        <w:t>Core kinetics</w:t>
      </w:r>
      <w:r>
        <w:t xml:space="preserve"> of SMSFR</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3"/>
        <w:gridCol w:w="633"/>
        <w:gridCol w:w="666"/>
        <w:gridCol w:w="683"/>
      </w:tblGrid>
      <w:tr w:rsidR="00E13875" w14:paraId="697B46E8" w14:textId="3F4E71A9" w:rsidTr="00F50F30">
        <w:trPr>
          <w:jc w:val="center"/>
        </w:trPr>
        <w:tc>
          <w:tcPr>
            <w:tcW w:w="0" w:type="auto"/>
            <w:tcBorders>
              <w:top w:val="single" w:sz="12" w:space="0" w:color="auto"/>
              <w:bottom w:val="single" w:sz="4" w:space="0" w:color="auto"/>
            </w:tcBorders>
            <w:vAlign w:val="center"/>
          </w:tcPr>
          <w:p w14:paraId="1C1C8E2C" w14:textId="77777777" w:rsidR="00E13875" w:rsidRPr="007B7161" w:rsidRDefault="00E13875" w:rsidP="00E13875">
            <w:pPr>
              <w:jc w:val="center"/>
              <w:rPr>
                <w:sz w:val="20"/>
                <w:lang w:eastAsia="zh-CN"/>
              </w:rPr>
            </w:pPr>
            <w:r>
              <w:rPr>
                <w:sz w:val="20"/>
                <w:lang w:eastAsia="zh-CN"/>
              </w:rPr>
              <w:t>C</w:t>
            </w:r>
            <w:r w:rsidRPr="007B7161">
              <w:rPr>
                <w:sz w:val="20"/>
                <w:lang w:eastAsia="zh-CN"/>
              </w:rPr>
              <w:t>ore power</w:t>
            </w:r>
          </w:p>
        </w:tc>
        <w:tc>
          <w:tcPr>
            <w:tcW w:w="0" w:type="auto"/>
            <w:tcBorders>
              <w:top w:val="single" w:sz="12" w:space="0" w:color="auto"/>
              <w:bottom w:val="single" w:sz="4" w:space="0" w:color="auto"/>
            </w:tcBorders>
            <w:vAlign w:val="center"/>
          </w:tcPr>
          <w:p w14:paraId="0E86EE93" w14:textId="3E5E6A63" w:rsidR="00E13875" w:rsidRPr="007B7161" w:rsidRDefault="00E13875" w:rsidP="00E13875">
            <w:pPr>
              <w:jc w:val="center"/>
              <w:rPr>
                <w:sz w:val="20"/>
                <w:lang w:eastAsia="zh-CN"/>
              </w:rPr>
            </w:pPr>
            <w:r>
              <w:rPr>
                <w:rFonts w:hint="eastAsia"/>
                <w:sz w:val="20"/>
                <w:lang w:eastAsia="zh-CN"/>
              </w:rPr>
              <w:t>BOL</w:t>
            </w:r>
          </w:p>
        </w:tc>
        <w:tc>
          <w:tcPr>
            <w:tcW w:w="0" w:type="auto"/>
            <w:tcBorders>
              <w:top w:val="single" w:sz="12" w:space="0" w:color="auto"/>
              <w:bottom w:val="single" w:sz="4" w:space="0" w:color="auto"/>
            </w:tcBorders>
            <w:vAlign w:val="center"/>
          </w:tcPr>
          <w:p w14:paraId="547F63AE" w14:textId="4724357A" w:rsidR="00E13875" w:rsidRPr="007B7161" w:rsidRDefault="00E13875" w:rsidP="00E13875">
            <w:pPr>
              <w:jc w:val="center"/>
              <w:rPr>
                <w:sz w:val="20"/>
                <w:lang w:eastAsia="zh-CN"/>
              </w:rPr>
            </w:pPr>
            <w:r>
              <w:rPr>
                <w:rFonts w:hint="eastAsia"/>
                <w:sz w:val="20"/>
                <w:lang w:eastAsia="zh-CN"/>
              </w:rPr>
              <w:t>MOL</w:t>
            </w:r>
          </w:p>
        </w:tc>
        <w:tc>
          <w:tcPr>
            <w:tcW w:w="0" w:type="auto"/>
            <w:tcBorders>
              <w:top w:val="single" w:sz="12" w:space="0" w:color="auto"/>
              <w:bottom w:val="single" w:sz="4" w:space="0" w:color="auto"/>
            </w:tcBorders>
            <w:vAlign w:val="center"/>
          </w:tcPr>
          <w:p w14:paraId="3F6B301E" w14:textId="5324572C" w:rsidR="00E13875" w:rsidRPr="007B7161" w:rsidRDefault="00E13875" w:rsidP="00E13875">
            <w:pPr>
              <w:jc w:val="center"/>
              <w:rPr>
                <w:sz w:val="20"/>
                <w:lang w:eastAsia="zh-CN"/>
              </w:rPr>
            </w:pPr>
            <w:r>
              <w:rPr>
                <w:rFonts w:hint="eastAsia"/>
                <w:sz w:val="20"/>
                <w:lang w:eastAsia="zh-CN"/>
              </w:rPr>
              <w:t>EOL</w:t>
            </w:r>
          </w:p>
        </w:tc>
      </w:tr>
      <w:tr w:rsidR="00E13875" w14:paraId="42DC139C" w14:textId="0E21D2EE" w:rsidTr="00F50F30">
        <w:trPr>
          <w:jc w:val="center"/>
        </w:trPr>
        <w:tc>
          <w:tcPr>
            <w:tcW w:w="0" w:type="auto"/>
            <w:tcBorders>
              <w:top w:val="single" w:sz="4" w:space="0" w:color="auto"/>
            </w:tcBorders>
            <w:vAlign w:val="center"/>
          </w:tcPr>
          <w:p w14:paraId="395C1364" w14:textId="1ABC7E38" w:rsidR="00E13875" w:rsidRPr="007B7161" w:rsidRDefault="003546A9" w:rsidP="00E13875">
            <w:pPr>
              <w:jc w:val="center"/>
              <w:rPr>
                <w:sz w:val="20"/>
                <w:lang w:eastAsia="zh-CN"/>
              </w:rPr>
            </w:pPr>
            <w:r>
              <w:rPr>
                <w:sz w:val="20"/>
                <w:lang w:eastAsia="zh-CN"/>
              </w:rPr>
              <w:t>Time</w:t>
            </w:r>
            <w:r w:rsidR="00CE2784">
              <w:rPr>
                <w:sz w:val="20"/>
                <w:lang w:eastAsia="zh-CN"/>
              </w:rPr>
              <w:t xml:space="preserve"> </w:t>
            </w:r>
            <w:r w:rsidR="004C6810">
              <w:rPr>
                <w:sz w:val="20"/>
                <w:lang w:eastAsia="zh-CN"/>
              </w:rPr>
              <w:t>(</w:t>
            </w:r>
            <w:r w:rsidR="00CE2784">
              <w:rPr>
                <w:sz w:val="20"/>
                <w:lang w:eastAsia="zh-CN"/>
              </w:rPr>
              <w:t>EFPD</w:t>
            </w:r>
            <w:r w:rsidR="004C6810">
              <w:rPr>
                <w:sz w:val="20"/>
                <w:lang w:eastAsia="zh-CN"/>
              </w:rPr>
              <w:t>)</w:t>
            </w:r>
          </w:p>
        </w:tc>
        <w:tc>
          <w:tcPr>
            <w:tcW w:w="0" w:type="auto"/>
            <w:tcBorders>
              <w:top w:val="single" w:sz="4" w:space="0" w:color="auto"/>
            </w:tcBorders>
            <w:vAlign w:val="center"/>
          </w:tcPr>
          <w:p w14:paraId="1C60A664" w14:textId="129885A1" w:rsidR="00E13875" w:rsidRPr="007B7161" w:rsidRDefault="00CE2784" w:rsidP="00E13875">
            <w:pPr>
              <w:jc w:val="center"/>
              <w:rPr>
                <w:sz w:val="20"/>
                <w:lang w:eastAsia="zh-CN"/>
              </w:rPr>
            </w:pPr>
            <w:r>
              <w:rPr>
                <w:sz w:val="20"/>
                <w:lang w:eastAsia="zh-CN"/>
              </w:rPr>
              <w:t>0</w:t>
            </w:r>
          </w:p>
        </w:tc>
        <w:tc>
          <w:tcPr>
            <w:tcW w:w="0" w:type="auto"/>
            <w:tcBorders>
              <w:top w:val="single" w:sz="4" w:space="0" w:color="auto"/>
            </w:tcBorders>
            <w:vAlign w:val="center"/>
          </w:tcPr>
          <w:p w14:paraId="034E17F0" w14:textId="24D4378B" w:rsidR="00E13875" w:rsidRPr="007B7161" w:rsidRDefault="00CE2784" w:rsidP="00E13875">
            <w:pPr>
              <w:jc w:val="center"/>
              <w:rPr>
                <w:sz w:val="20"/>
                <w:lang w:eastAsia="zh-CN"/>
              </w:rPr>
            </w:pPr>
            <w:r>
              <w:rPr>
                <w:sz w:val="20"/>
                <w:lang w:eastAsia="zh-CN"/>
              </w:rPr>
              <w:t>912.5</w:t>
            </w:r>
          </w:p>
        </w:tc>
        <w:tc>
          <w:tcPr>
            <w:tcW w:w="0" w:type="auto"/>
            <w:tcBorders>
              <w:top w:val="single" w:sz="4" w:space="0" w:color="auto"/>
            </w:tcBorders>
            <w:vAlign w:val="center"/>
          </w:tcPr>
          <w:p w14:paraId="42A5BABE" w14:textId="55BAB356" w:rsidR="00E13875" w:rsidRPr="007B7161" w:rsidRDefault="00CE2784" w:rsidP="00E13875">
            <w:pPr>
              <w:jc w:val="center"/>
              <w:rPr>
                <w:sz w:val="20"/>
                <w:lang w:eastAsia="zh-CN"/>
              </w:rPr>
            </w:pPr>
            <w:r>
              <w:rPr>
                <w:sz w:val="20"/>
                <w:lang w:eastAsia="zh-CN"/>
              </w:rPr>
              <w:t>1825</w:t>
            </w:r>
          </w:p>
        </w:tc>
      </w:tr>
      <w:tr w:rsidR="0087520B" w14:paraId="1E0100C1" w14:textId="77777777" w:rsidTr="00F50F30">
        <w:trPr>
          <w:jc w:val="center"/>
        </w:trPr>
        <w:tc>
          <w:tcPr>
            <w:tcW w:w="0" w:type="auto"/>
            <w:vAlign w:val="center"/>
          </w:tcPr>
          <w:p w14:paraId="0BFFD295" w14:textId="3D683BA8" w:rsidR="0087520B" w:rsidRPr="005F450F" w:rsidRDefault="0087520B" w:rsidP="00E13875">
            <w:pPr>
              <w:jc w:val="center"/>
              <w:rPr>
                <w:sz w:val="20"/>
                <w:lang w:eastAsia="zh-CN"/>
              </w:rPr>
            </w:pPr>
            <w:r>
              <w:rPr>
                <w:rFonts w:hint="eastAsia"/>
                <w:sz w:val="20"/>
                <w:lang w:eastAsia="zh-CN"/>
              </w:rPr>
              <w:t>A</w:t>
            </w:r>
            <w:r>
              <w:rPr>
                <w:sz w:val="20"/>
                <w:lang w:eastAsia="zh-CN"/>
              </w:rPr>
              <w:t>verage fuel burnup (</w:t>
            </w:r>
            <w:proofErr w:type="spellStart"/>
            <w:r w:rsidR="000228E5" w:rsidRPr="00E14B79">
              <w:t>GW</w:t>
            </w:r>
            <w:r w:rsidR="000228E5">
              <w:t>∙</w:t>
            </w:r>
            <w:r w:rsidR="000228E5" w:rsidRPr="00E14B79">
              <w:t>d</w:t>
            </w:r>
            <w:proofErr w:type="spellEnd"/>
            <w:r w:rsidR="000228E5" w:rsidRPr="00E14B79">
              <w:t>/</w:t>
            </w:r>
            <w:proofErr w:type="spellStart"/>
            <w:r w:rsidR="000228E5" w:rsidRPr="00E14B79">
              <w:t>tHM</w:t>
            </w:r>
            <w:proofErr w:type="spellEnd"/>
            <w:r>
              <w:rPr>
                <w:sz w:val="20"/>
                <w:lang w:eastAsia="zh-CN"/>
              </w:rPr>
              <w:t>)</w:t>
            </w:r>
          </w:p>
        </w:tc>
        <w:tc>
          <w:tcPr>
            <w:tcW w:w="0" w:type="auto"/>
            <w:vAlign w:val="center"/>
          </w:tcPr>
          <w:p w14:paraId="703E653C" w14:textId="525863DC" w:rsidR="0087520B" w:rsidRPr="007174EE" w:rsidRDefault="004C1E60" w:rsidP="00E13875">
            <w:pPr>
              <w:jc w:val="center"/>
              <w:rPr>
                <w:sz w:val="20"/>
                <w:lang w:eastAsia="zh-CN"/>
              </w:rPr>
            </w:pPr>
            <w:r>
              <w:rPr>
                <w:sz w:val="20"/>
                <w:lang w:eastAsia="zh-CN"/>
              </w:rPr>
              <w:t>0</w:t>
            </w:r>
          </w:p>
        </w:tc>
        <w:tc>
          <w:tcPr>
            <w:tcW w:w="0" w:type="auto"/>
            <w:vAlign w:val="center"/>
          </w:tcPr>
          <w:p w14:paraId="24BE9719" w14:textId="3CCFDCD8" w:rsidR="0087520B" w:rsidRDefault="004C1E60" w:rsidP="00E13875">
            <w:pPr>
              <w:jc w:val="center"/>
              <w:rPr>
                <w:sz w:val="20"/>
                <w:lang w:eastAsia="zh-CN"/>
              </w:rPr>
            </w:pPr>
            <w:r>
              <w:rPr>
                <w:sz w:val="20"/>
                <w:lang w:eastAsia="zh-CN"/>
              </w:rPr>
              <w:t>37.5</w:t>
            </w:r>
          </w:p>
        </w:tc>
        <w:tc>
          <w:tcPr>
            <w:tcW w:w="0" w:type="auto"/>
            <w:vAlign w:val="center"/>
          </w:tcPr>
          <w:p w14:paraId="3EB76DED" w14:textId="6E66B438" w:rsidR="0087520B" w:rsidRDefault="004C1E60" w:rsidP="00E13875">
            <w:pPr>
              <w:jc w:val="center"/>
              <w:rPr>
                <w:sz w:val="20"/>
                <w:lang w:eastAsia="zh-CN"/>
              </w:rPr>
            </w:pPr>
            <w:r>
              <w:rPr>
                <w:sz w:val="20"/>
                <w:lang w:eastAsia="zh-CN"/>
              </w:rPr>
              <w:t>75</w:t>
            </w:r>
          </w:p>
        </w:tc>
      </w:tr>
      <w:tr w:rsidR="00E13875" w14:paraId="4C690833" w14:textId="753FA62E" w:rsidTr="00F50F30">
        <w:trPr>
          <w:jc w:val="center"/>
        </w:trPr>
        <w:tc>
          <w:tcPr>
            <w:tcW w:w="0" w:type="auto"/>
            <w:vAlign w:val="center"/>
          </w:tcPr>
          <w:p w14:paraId="32A13655" w14:textId="51556BC0" w:rsidR="00E13875" w:rsidRPr="005F450F" w:rsidRDefault="00CE2784" w:rsidP="00E13875">
            <w:pPr>
              <w:jc w:val="center"/>
              <w:rPr>
                <w:sz w:val="20"/>
                <w:lang w:eastAsia="zh-CN"/>
              </w:rPr>
            </w:pPr>
            <w:r w:rsidRPr="005F450F">
              <w:rPr>
                <w:sz w:val="20"/>
                <w:lang w:eastAsia="zh-CN"/>
              </w:rPr>
              <w:t>Insertion depth</w:t>
            </w:r>
            <w:r w:rsidR="004C6810" w:rsidRPr="005F450F">
              <w:rPr>
                <w:sz w:val="20"/>
                <w:lang w:eastAsia="zh-CN"/>
              </w:rPr>
              <w:t xml:space="preserve"> (</w:t>
            </w:r>
            <w:r w:rsidRPr="005F450F">
              <w:rPr>
                <w:sz w:val="20"/>
                <w:lang w:eastAsia="zh-CN"/>
              </w:rPr>
              <w:t>cm</w:t>
            </w:r>
            <w:r w:rsidR="004C6810" w:rsidRPr="005F450F">
              <w:rPr>
                <w:sz w:val="20"/>
                <w:lang w:eastAsia="zh-CN"/>
              </w:rPr>
              <w:t>)</w:t>
            </w:r>
          </w:p>
        </w:tc>
        <w:tc>
          <w:tcPr>
            <w:tcW w:w="0" w:type="auto"/>
            <w:vAlign w:val="center"/>
          </w:tcPr>
          <w:p w14:paraId="6DAE225C" w14:textId="0BB085B2" w:rsidR="00E13875" w:rsidRPr="007B7161" w:rsidRDefault="00E23721" w:rsidP="00E13875">
            <w:pPr>
              <w:jc w:val="center"/>
              <w:rPr>
                <w:sz w:val="20"/>
                <w:lang w:eastAsia="zh-CN"/>
              </w:rPr>
            </w:pPr>
            <w:r>
              <w:rPr>
                <w:sz w:val="20"/>
                <w:lang w:eastAsia="zh-CN"/>
              </w:rPr>
              <w:t>55</w:t>
            </w:r>
          </w:p>
        </w:tc>
        <w:tc>
          <w:tcPr>
            <w:tcW w:w="0" w:type="auto"/>
            <w:vAlign w:val="center"/>
          </w:tcPr>
          <w:p w14:paraId="31E7B2DB" w14:textId="091C3E44" w:rsidR="00E13875" w:rsidRPr="007B7161" w:rsidRDefault="00E23721" w:rsidP="00E13875">
            <w:pPr>
              <w:jc w:val="center"/>
              <w:rPr>
                <w:sz w:val="20"/>
                <w:lang w:eastAsia="zh-CN"/>
              </w:rPr>
            </w:pPr>
            <w:r>
              <w:rPr>
                <w:sz w:val="20"/>
                <w:lang w:eastAsia="zh-CN"/>
              </w:rPr>
              <w:t>35</w:t>
            </w:r>
          </w:p>
        </w:tc>
        <w:tc>
          <w:tcPr>
            <w:tcW w:w="0" w:type="auto"/>
            <w:vAlign w:val="center"/>
          </w:tcPr>
          <w:p w14:paraId="25D72341" w14:textId="237C2728" w:rsidR="00E13875" w:rsidRPr="007B7161" w:rsidRDefault="005F450F" w:rsidP="00E13875">
            <w:pPr>
              <w:jc w:val="center"/>
              <w:rPr>
                <w:sz w:val="20"/>
                <w:lang w:eastAsia="zh-CN"/>
              </w:rPr>
            </w:pPr>
            <w:r>
              <w:rPr>
                <w:sz w:val="20"/>
                <w:lang w:eastAsia="zh-CN"/>
              </w:rPr>
              <w:t>0</w:t>
            </w:r>
          </w:p>
        </w:tc>
      </w:tr>
      <w:tr w:rsidR="001A0D4A" w14:paraId="35253860" w14:textId="77777777" w:rsidTr="00F50F30">
        <w:trPr>
          <w:jc w:val="center"/>
        </w:trPr>
        <w:tc>
          <w:tcPr>
            <w:tcW w:w="0" w:type="auto"/>
            <w:vAlign w:val="center"/>
          </w:tcPr>
          <w:p w14:paraId="069E8418" w14:textId="4100991A" w:rsidR="001A0D4A" w:rsidRPr="005F450F" w:rsidRDefault="005C4164" w:rsidP="00E13875">
            <w:pPr>
              <w:jc w:val="center"/>
              <w:rPr>
                <w:sz w:val="20"/>
                <w:lang w:eastAsia="zh-CN"/>
              </w:rPr>
            </w:pPr>
            <w:r>
              <w:rPr>
                <w:sz w:val="20"/>
                <w:lang w:eastAsia="zh-CN"/>
              </w:rPr>
              <w:t>Differential worth of control rod (pcm/cm)</w:t>
            </w:r>
          </w:p>
        </w:tc>
        <w:tc>
          <w:tcPr>
            <w:tcW w:w="0" w:type="auto"/>
            <w:vAlign w:val="center"/>
          </w:tcPr>
          <w:p w14:paraId="0A3E5062" w14:textId="23DFBD77" w:rsidR="001A0D4A" w:rsidRDefault="001C720E" w:rsidP="00E13875">
            <w:pPr>
              <w:jc w:val="center"/>
              <w:rPr>
                <w:sz w:val="20"/>
                <w:lang w:eastAsia="zh-CN"/>
              </w:rPr>
            </w:pPr>
            <w:r>
              <w:rPr>
                <w:sz w:val="20"/>
                <w:lang w:eastAsia="zh-CN"/>
              </w:rPr>
              <w:t>256</w:t>
            </w:r>
          </w:p>
        </w:tc>
        <w:tc>
          <w:tcPr>
            <w:tcW w:w="0" w:type="auto"/>
            <w:vAlign w:val="center"/>
          </w:tcPr>
          <w:p w14:paraId="139E73E8" w14:textId="288A9C7C" w:rsidR="001A0D4A" w:rsidRDefault="001C720E" w:rsidP="00E13875">
            <w:pPr>
              <w:jc w:val="center"/>
              <w:rPr>
                <w:sz w:val="20"/>
                <w:lang w:eastAsia="zh-CN"/>
              </w:rPr>
            </w:pPr>
            <w:r>
              <w:rPr>
                <w:sz w:val="20"/>
                <w:lang w:eastAsia="zh-CN"/>
              </w:rPr>
              <w:t>216</w:t>
            </w:r>
          </w:p>
        </w:tc>
        <w:tc>
          <w:tcPr>
            <w:tcW w:w="0" w:type="auto"/>
            <w:vAlign w:val="center"/>
          </w:tcPr>
          <w:p w14:paraId="40D13684" w14:textId="2A9B6E6B" w:rsidR="001A0D4A" w:rsidRDefault="001C720E" w:rsidP="00E13875">
            <w:pPr>
              <w:jc w:val="center"/>
              <w:rPr>
                <w:sz w:val="20"/>
                <w:lang w:eastAsia="zh-CN"/>
              </w:rPr>
            </w:pPr>
            <w:r>
              <w:rPr>
                <w:sz w:val="20"/>
                <w:lang w:eastAsia="zh-CN"/>
              </w:rPr>
              <w:t>25</w:t>
            </w:r>
          </w:p>
        </w:tc>
      </w:tr>
      <w:tr w:rsidR="004C6810" w14:paraId="502B7723" w14:textId="4D456393" w:rsidTr="00F50F30">
        <w:trPr>
          <w:jc w:val="center"/>
        </w:trPr>
        <w:tc>
          <w:tcPr>
            <w:tcW w:w="0" w:type="auto"/>
            <w:vAlign w:val="center"/>
          </w:tcPr>
          <w:p w14:paraId="1CD82B8D" w14:textId="12A15577" w:rsidR="004C6810" w:rsidRPr="007B7161" w:rsidRDefault="00722049" w:rsidP="004C6810">
            <w:pPr>
              <w:jc w:val="center"/>
              <w:rPr>
                <w:sz w:val="20"/>
                <w:lang w:eastAsia="zh-CN"/>
              </w:rPr>
            </w:pPr>
            <w:r>
              <w:rPr>
                <w:rFonts w:hint="eastAsia"/>
                <w:sz w:val="20"/>
                <w:lang w:eastAsia="zh-CN"/>
              </w:rPr>
              <w:t>Core</w:t>
            </w:r>
            <w:r>
              <w:rPr>
                <w:sz w:val="20"/>
                <w:lang w:eastAsia="zh-CN"/>
              </w:rPr>
              <w:t xml:space="preserve"> e</w:t>
            </w:r>
            <w:r w:rsidR="00344397">
              <w:rPr>
                <w:rFonts w:hint="eastAsia"/>
                <w:sz w:val="20"/>
                <w:lang w:eastAsia="zh-CN"/>
              </w:rPr>
              <w:t>x</w:t>
            </w:r>
            <w:r w:rsidR="00344397">
              <w:rPr>
                <w:sz w:val="20"/>
                <w:lang w:eastAsia="zh-CN"/>
              </w:rPr>
              <w:t>cess reactivity (pcm)</w:t>
            </w:r>
          </w:p>
        </w:tc>
        <w:tc>
          <w:tcPr>
            <w:tcW w:w="0" w:type="auto"/>
          </w:tcPr>
          <w:p w14:paraId="2C0B7F9D" w14:textId="78765FB4" w:rsidR="004C6810" w:rsidRPr="007B7161" w:rsidRDefault="00344397" w:rsidP="004C6810">
            <w:pPr>
              <w:jc w:val="center"/>
              <w:rPr>
                <w:sz w:val="20"/>
                <w:lang w:eastAsia="zh-CN"/>
              </w:rPr>
            </w:pPr>
            <w:r>
              <w:rPr>
                <w:sz w:val="20"/>
                <w:lang w:eastAsia="zh-CN"/>
              </w:rPr>
              <w:t>9173</w:t>
            </w:r>
          </w:p>
        </w:tc>
        <w:tc>
          <w:tcPr>
            <w:tcW w:w="0" w:type="auto"/>
          </w:tcPr>
          <w:p w14:paraId="418B1EA1" w14:textId="70AB6AD3" w:rsidR="004C6810" w:rsidRPr="007B7161" w:rsidRDefault="00344397" w:rsidP="004C6810">
            <w:pPr>
              <w:jc w:val="center"/>
              <w:rPr>
                <w:sz w:val="20"/>
                <w:lang w:eastAsia="zh-CN"/>
              </w:rPr>
            </w:pPr>
            <w:r>
              <w:rPr>
                <w:sz w:val="20"/>
                <w:lang w:eastAsia="zh-CN"/>
              </w:rPr>
              <w:t>4263</w:t>
            </w:r>
          </w:p>
        </w:tc>
        <w:tc>
          <w:tcPr>
            <w:tcW w:w="0" w:type="auto"/>
          </w:tcPr>
          <w:p w14:paraId="7A09D218" w14:textId="343EFCD7" w:rsidR="004C6810" w:rsidRPr="007B7161" w:rsidRDefault="00344397" w:rsidP="004C6810">
            <w:pPr>
              <w:jc w:val="center"/>
              <w:rPr>
                <w:sz w:val="20"/>
                <w:lang w:eastAsia="zh-CN"/>
              </w:rPr>
            </w:pPr>
            <w:r>
              <w:rPr>
                <w:sz w:val="20"/>
                <w:lang w:eastAsia="zh-CN"/>
              </w:rPr>
              <w:t>0</w:t>
            </w:r>
          </w:p>
        </w:tc>
      </w:tr>
      <w:tr w:rsidR="00E13875" w14:paraId="4B6ABFCE" w14:textId="1AA94027" w:rsidTr="00F50F30">
        <w:trPr>
          <w:jc w:val="center"/>
        </w:trPr>
        <w:tc>
          <w:tcPr>
            <w:tcW w:w="0" w:type="auto"/>
            <w:vAlign w:val="center"/>
          </w:tcPr>
          <w:p w14:paraId="5963EA55" w14:textId="2E957E2C" w:rsidR="00E13875" w:rsidRPr="00354E17" w:rsidRDefault="00CE2784" w:rsidP="00E13875">
            <w:pPr>
              <w:jc w:val="center"/>
              <w:rPr>
                <w:sz w:val="20"/>
                <w:lang w:val="fr-FR" w:eastAsia="zh-CN"/>
              </w:rPr>
            </w:pPr>
            <w:r w:rsidRPr="00354E17">
              <w:rPr>
                <w:sz w:val="20"/>
                <w:lang w:val="fr-FR" w:eastAsia="zh-CN"/>
              </w:rPr>
              <w:t>Coolant expansion coefficient</w:t>
            </w:r>
            <w:r w:rsidR="004C6810" w:rsidRPr="00354E17">
              <w:rPr>
                <w:sz w:val="20"/>
                <w:lang w:val="fr-FR" w:eastAsia="zh-CN"/>
              </w:rPr>
              <w:t xml:space="preserve"> (pcm/K)</w:t>
            </w:r>
          </w:p>
        </w:tc>
        <w:tc>
          <w:tcPr>
            <w:tcW w:w="0" w:type="auto"/>
            <w:vAlign w:val="center"/>
          </w:tcPr>
          <w:p w14:paraId="6921A95A" w14:textId="0C5297F9" w:rsidR="00E13875" w:rsidRPr="007B7161" w:rsidRDefault="004C6810" w:rsidP="00E13875">
            <w:pPr>
              <w:jc w:val="center"/>
              <w:rPr>
                <w:sz w:val="20"/>
                <w:lang w:eastAsia="zh-CN"/>
              </w:rPr>
            </w:pPr>
            <w:r>
              <w:rPr>
                <w:sz w:val="20"/>
                <w:lang w:eastAsia="zh-CN"/>
              </w:rPr>
              <w:t>-0.05</w:t>
            </w:r>
          </w:p>
        </w:tc>
        <w:tc>
          <w:tcPr>
            <w:tcW w:w="0" w:type="auto"/>
            <w:vAlign w:val="center"/>
          </w:tcPr>
          <w:p w14:paraId="21899C91" w14:textId="7B7C14C6" w:rsidR="00E13875" w:rsidRPr="007B7161" w:rsidRDefault="004C6810" w:rsidP="00E13875">
            <w:pPr>
              <w:jc w:val="center"/>
              <w:rPr>
                <w:sz w:val="20"/>
                <w:lang w:eastAsia="zh-CN"/>
              </w:rPr>
            </w:pPr>
            <w:r>
              <w:rPr>
                <w:sz w:val="20"/>
                <w:lang w:eastAsia="zh-CN"/>
              </w:rPr>
              <w:t>0.01</w:t>
            </w:r>
          </w:p>
        </w:tc>
        <w:tc>
          <w:tcPr>
            <w:tcW w:w="0" w:type="auto"/>
            <w:vAlign w:val="center"/>
          </w:tcPr>
          <w:p w14:paraId="6A0ED981" w14:textId="19730643" w:rsidR="00E13875" w:rsidRPr="007B7161" w:rsidRDefault="004C6810" w:rsidP="00E13875">
            <w:pPr>
              <w:jc w:val="center"/>
              <w:rPr>
                <w:sz w:val="20"/>
                <w:lang w:eastAsia="zh-CN"/>
              </w:rPr>
            </w:pPr>
            <w:r>
              <w:rPr>
                <w:sz w:val="20"/>
                <w:lang w:eastAsia="zh-CN"/>
              </w:rPr>
              <w:t>0.07</w:t>
            </w:r>
          </w:p>
        </w:tc>
      </w:tr>
      <w:tr w:rsidR="00E13875" w14:paraId="6BAEC8D5" w14:textId="56BB12B0" w:rsidTr="00F50F30">
        <w:trPr>
          <w:jc w:val="center"/>
        </w:trPr>
        <w:tc>
          <w:tcPr>
            <w:tcW w:w="0" w:type="auto"/>
            <w:vAlign w:val="center"/>
          </w:tcPr>
          <w:p w14:paraId="594D2112" w14:textId="4E7C1B1C" w:rsidR="00E13875" w:rsidRPr="00354E17" w:rsidRDefault="00CE2784" w:rsidP="00E13875">
            <w:pPr>
              <w:jc w:val="center"/>
              <w:rPr>
                <w:sz w:val="20"/>
                <w:lang w:val="fr-FR" w:eastAsia="zh-CN"/>
              </w:rPr>
            </w:pPr>
            <w:r w:rsidRPr="00354E17">
              <w:rPr>
                <w:sz w:val="20"/>
                <w:lang w:val="fr-FR" w:eastAsia="zh-CN"/>
              </w:rPr>
              <w:t>Structure expansion coefficient</w:t>
            </w:r>
            <w:r w:rsidR="004C6810" w:rsidRPr="00354E17">
              <w:rPr>
                <w:sz w:val="20"/>
                <w:lang w:val="fr-FR" w:eastAsia="zh-CN"/>
              </w:rPr>
              <w:t xml:space="preserve"> (pcm/K)</w:t>
            </w:r>
          </w:p>
        </w:tc>
        <w:tc>
          <w:tcPr>
            <w:tcW w:w="0" w:type="auto"/>
            <w:vAlign w:val="center"/>
          </w:tcPr>
          <w:p w14:paraId="7EFA8434" w14:textId="76303B49" w:rsidR="00E13875" w:rsidRPr="007B7161" w:rsidRDefault="004C6810" w:rsidP="00E13875">
            <w:pPr>
              <w:jc w:val="center"/>
              <w:rPr>
                <w:sz w:val="20"/>
                <w:lang w:eastAsia="zh-CN"/>
              </w:rPr>
            </w:pPr>
            <w:r>
              <w:rPr>
                <w:sz w:val="20"/>
                <w:lang w:eastAsia="zh-CN"/>
              </w:rPr>
              <w:t>0.05</w:t>
            </w:r>
          </w:p>
        </w:tc>
        <w:tc>
          <w:tcPr>
            <w:tcW w:w="0" w:type="auto"/>
            <w:vAlign w:val="center"/>
          </w:tcPr>
          <w:p w14:paraId="668FDFC6" w14:textId="7FBC2634" w:rsidR="00E13875" w:rsidRPr="007B7161" w:rsidRDefault="004C6810" w:rsidP="00E13875">
            <w:pPr>
              <w:jc w:val="center"/>
              <w:rPr>
                <w:sz w:val="20"/>
                <w:lang w:eastAsia="zh-CN"/>
              </w:rPr>
            </w:pPr>
            <w:r>
              <w:rPr>
                <w:sz w:val="20"/>
                <w:lang w:eastAsia="zh-CN"/>
              </w:rPr>
              <w:t>0.06</w:t>
            </w:r>
          </w:p>
        </w:tc>
        <w:tc>
          <w:tcPr>
            <w:tcW w:w="0" w:type="auto"/>
            <w:vAlign w:val="center"/>
          </w:tcPr>
          <w:p w14:paraId="61C8C832" w14:textId="6989B748" w:rsidR="00E13875" w:rsidRPr="007B7161" w:rsidRDefault="004C6810" w:rsidP="00E13875">
            <w:pPr>
              <w:jc w:val="center"/>
              <w:rPr>
                <w:sz w:val="20"/>
                <w:lang w:eastAsia="zh-CN"/>
              </w:rPr>
            </w:pPr>
            <w:r>
              <w:rPr>
                <w:sz w:val="20"/>
                <w:lang w:eastAsia="zh-CN"/>
              </w:rPr>
              <w:t>0.07</w:t>
            </w:r>
          </w:p>
        </w:tc>
      </w:tr>
      <w:tr w:rsidR="00E13875" w:rsidRPr="0001793F" w14:paraId="31B3BB31" w14:textId="6EB51355" w:rsidTr="00F50F30">
        <w:trPr>
          <w:jc w:val="center"/>
        </w:trPr>
        <w:tc>
          <w:tcPr>
            <w:tcW w:w="0" w:type="auto"/>
            <w:vAlign w:val="center"/>
          </w:tcPr>
          <w:p w14:paraId="2B5B7CA8" w14:textId="0A28D29F" w:rsidR="00E13875" w:rsidRPr="007B7161" w:rsidRDefault="00CE2784" w:rsidP="00E13875">
            <w:pPr>
              <w:jc w:val="center"/>
              <w:rPr>
                <w:sz w:val="20"/>
                <w:lang w:eastAsia="zh-CN"/>
              </w:rPr>
            </w:pPr>
            <w:r w:rsidRPr="007B7161">
              <w:rPr>
                <w:sz w:val="20"/>
                <w:lang w:eastAsia="zh-CN"/>
              </w:rPr>
              <w:t>Diagrid expansion coefficient</w:t>
            </w:r>
            <w:r w:rsidR="004C6810">
              <w:rPr>
                <w:sz w:val="20"/>
                <w:lang w:eastAsia="zh-CN"/>
              </w:rPr>
              <w:t xml:space="preserve"> (pcm/K)</w:t>
            </w:r>
          </w:p>
        </w:tc>
        <w:tc>
          <w:tcPr>
            <w:tcW w:w="0" w:type="auto"/>
            <w:vAlign w:val="center"/>
          </w:tcPr>
          <w:p w14:paraId="6FC9F472" w14:textId="44FEFE2F" w:rsidR="00E13875" w:rsidRPr="007B7161" w:rsidRDefault="004C6810" w:rsidP="00E13875">
            <w:pPr>
              <w:jc w:val="center"/>
              <w:rPr>
                <w:sz w:val="20"/>
                <w:lang w:eastAsia="zh-CN"/>
              </w:rPr>
            </w:pPr>
            <w:r>
              <w:rPr>
                <w:sz w:val="20"/>
                <w:lang w:eastAsia="zh-CN"/>
              </w:rPr>
              <w:t>-0.91</w:t>
            </w:r>
          </w:p>
        </w:tc>
        <w:tc>
          <w:tcPr>
            <w:tcW w:w="0" w:type="auto"/>
            <w:vAlign w:val="center"/>
          </w:tcPr>
          <w:p w14:paraId="6CD9325C" w14:textId="419DDB89" w:rsidR="00E13875" w:rsidRPr="007B7161" w:rsidRDefault="004C6810" w:rsidP="00E13875">
            <w:pPr>
              <w:jc w:val="center"/>
              <w:rPr>
                <w:sz w:val="20"/>
                <w:lang w:eastAsia="zh-CN"/>
              </w:rPr>
            </w:pPr>
            <w:r>
              <w:rPr>
                <w:sz w:val="20"/>
                <w:lang w:eastAsia="zh-CN"/>
              </w:rPr>
              <w:t>-0.93</w:t>
            </w:r>
          </w:p>
        </w:tc>
        <w:tc>
          <w:tcPr>
            <w:tcW w:w="0" w:type="auto"/>
            <w:vAlign w:val="center"/>
          </w:tcPr>
          <w:p w14:paraId="33B396AC" w14:textId="28EAFFB2" w:rsidR="00E13875" w:rsidRPr="007B7161" w:rsidRDefault="004C6810" w:rsidP="00E13875">
            <w:pPr>
              <w:jc w:val="center"/>
              <w:rPr>
                <w:sz w:val="20"/>
                <w:lang w:eastAsia="zh-CN"/>
              </w:rPr>
            </w:pPr>
            <w:r>
              <w:rPr>
                <w:sz w:val="20"/>
                <w:lang w:eastAsia="zh-CN"/>
              </w:rPr>
              <w:t>-0.97</w:t>
            </w:r>
          </w:p>
        </w:tc>
      </w:tr>
      <w:tr w:rsidR="00E13875" w14:paraId="622FDFF1" w14:textId="0BA80274" w:rsidTr="00F50F30">
        <w:trPr>
          <w:jc w:val="center"/>
        </w:trPr>
        <w:tc>
          <w:tcPr>
            <w:tcW w:w="0" w:type="auto"/>
            <w:vAlign w:val="center"/>
          </w:tcPr>
          <w:p w14:paraId="5721115A" w14:textId="5B24E23F" w:rsidR="00E13875" w:rsidRPr="00354E17" w:rsidRDefault="00CE2784" w:rsidP="00E13875">
            <w:pPr>
              <w:jc w:val="center"/>
              <w:rPr>
                <w:sz w:val="20"/>
                <w:lang w:val="fr-FR" w:eastAsia="zh-CN"/>
              </w:rPr>
            </w:pPr>
            <w:r w:rsidRPr="00354E17">
              <w:rPr>
                <w:sz w:val="20"/>
                <w:lang w:val="fr-FR" w:eastAsia="zh-CN"/>
              </w:rPr>
              <w:t>Axial fuel expansion coefficient</w:t>
            </w:r>
            <w:r w:rsidR="004C6810" w:rsidRPr="00354E17">
              <w:rPr>
                <w:sz w:val="20"/>
                <w:lang w:val="fr-FR" w:eastAsia="zh-CN"/>
              </w:rPr>
              <w:t xml:space="preserve"> (pcm/K)</w:t>
            </w:r>
          </w:p>
        </w:tc>
        <w:tc>
          <w:tcPr>
            <w:tcW w:w="0" w:type="auto"/>
            <w:vAlign w:val="center"/>
          </w:tcPr>
          <w:p w14:paraId="2AA39FA2" w14:textId="42B88C70" w:rsidR="00E13875" w:rsidRPr="007B7161" w:rsidRDefault="004C6810" w:rsidP="00E13875">
            <w:pPr>
              <w:jc w:val="center"/>
              <w:rPr>
                <w:sz w:val="20"/>
                <w:lang w:eastAsia="zh-CN"/>
              </w:rPr>
            </w:pPr>
            <w:r>
              <w:rPr>
                <w:sz w:val="20"/>
                <w:lang w:eastAsia="zh-CN"/>
              </w:rPr>
              <w:t>-0.13</w:t>
            </w:r>
          </w:p>
        </w:tc>
        <w:tc>
          <w:tcPr>
            <w:tcW w:w="0" w:type="auto"/>
            <w:vAlign w:val="center"/>
          </w:tcPr>
          <w:p w14:paraId="0A8185D0" w14:textId="5538CC4E" w:rsidR="00E13875" w:rsidRPr="007B7161" w:rsidRDefault="004C6810" w:rsidP="00E13875">
            <w:pPr>
              <w:jc w:val="center"/>
              <w:rPr>
                <w:sz w:val="20"/>
                <w:lang w:eastAsia="zh-CN"/>
              </w:rPr>
            </w:pPr>
            <w:r>
              <w:rPr>
                <w:sz w:val="20"/>
                <w:lang w:eastAsia="zh-CN"/>
              </w:rPr>
              <w:t>-0.14</w:t>
            </w:r>
          </w:p>
        </w:tc>
        <w:tc>
          <w:tcPr>
            <w:tcW w:w="0" w:type="auto"/>
            <w:vAlign w:val="center"/>
          </w:tcPr>
          <w:p w14:paraId="4772D7EF" w14:textId="7E62E856" w:rsidR="00E13875" w:rsidRPr="007B7161" w:rsidRDefault="004C6810" w:rsidP="00E13875">
            <w:pPr>
              <w:jc w:val="center"/>
              <w:rPr>
                <w:sz w:val="20"/>
                <w:lang w:eastAsia="zh-CN"/>
              </w:rPr>
            </w:pPr>
            <w:r>
              <w:rPr>
                <w:sz w:val="20"/>
                <w:lang w:eastAsia="zh-CN"/>
              </w:rPr>
              <w:t>-0.</w:t>
            </w:r>
            <w:r w:rsidR="00344397">
              <w:rPr>
                <w:sz w:val="20"/>
                <w:lang w:eastAsia="zh-CN"/>
              </w:rPr>
              <w:t xml:space="preserve"> </w:t>
            </w:r>
            <w:r>
              <w:rPr>
                <w:sz w:val="20"/>
                <w:lang w:eastAsia="zh-CN"/>
              </w:rPr>
              <w:t>16</w:t>
            </w:r>
          </w:p>
        </w:tc>
      </w:tr>
      <w:tr w:rsidR="00E13875" w14:paraId="7CFA4BEA" w14:textId="1BD2C3B8" w:rsidTr="00F50F30">
        <w:trPr>
          <w:jc w:val="center"/>
        </w:trPr>
        <w:tc>
          <w:tcPr>
            <w:tcW w:w="0" w:type="auto"/>
            <w:tcBorders>
              <w:bottom w:val="single" w:sz="12" w:space="0" w:color="auto"/>
            </w:tcBorders>
            <w:vAlign w:val="center"/>
          </w:tcPr>
          <w:p w14:paraId="61AF1570" w14:textId="1F4F17D2" w:rsidR="00E13875" w:rsidRPr="007B7161" w:rsidRDefault="00CE2784" w:rsidP="00E13875">
            <w:pPr>
              <w:jc w:val="center"/>
              <w:rPr>
                <w:sz w:val="20"/>
                <w:lang w:eastAsia="zh-CN"/>
              </w:rPr>
            </w:pPr>
            <w:r w:rsidRPr="007B7161">
              <w:rPr>
                <w:sz w:val="20"/>
                <w:lang w:eastAsia="zh-CN"/>
              </w:rPr>
              <w:t>Doppler constant</w:t>
            </w:r>
            <w:r w:rsidR="004C6810">
              <w:rPr>
                <w:sz w:val="20"/>
                <w:lang w:eastAsia="zh-CN"/>
              </w:rPr>
              <w:t xml:space="preserve"> (pcm)</w:t>
            </w:r>
          </w:p>
        </w:tc>
        <w:tc>
          <w:tcPr>
            <w:tcW w:w="0" w:type="auto"/>
            <w:tcBorders>
              <w:bottom w:val="single" w:sz="12" w:space="0" w:color="auto"/>
            </w:tcBorders>
            <w:vAlign w:val="center"/>
          </w:tcPr>
          <w:p w14:paraId="14D65151" w14:textId="6246BB79" w:rsidR="00E13875" w:rsidRPr="007B7161" w:rsidRDefault="00CE2784" w:rsidP="00E13875">
            <w:pPr>
              <w:jc w:val="center"/>
              <w:rPr>
                <w:sz w:val="20"/>
                <w:lang w:eastAsia="zh-CN"/>
              </w:rPr>
            </w:pPr>
            <w:r>
              <w:rPr>
                <w:sz w:val="20"/>
                <w:lang w:eastAsia="zh-CN"/>
              </w:rPr>
              <w:t>-628</w:t>
            </w:r>
          </w:p>
        </w:tc>
        <w:tc>
          <w:tcPr>
            <w:tcW w:w="0" w:type="auto"/>
            <w:tcBorders>
              <w:bottom w:val="single" w:sz="12" w:space="0" w:color="auto"/>
            </w:tcBorders>
            <w:vAlign w:val="center"/>
          </w:tcPr>
          <w:p w14:paraId="15B5EFEC" w14:textId="0116555A" w:rsidR="00E13875" w:rsidRPr="007B7161" w:rsidRDefault="00CE2784" w:rsidP="00E13875">
            <w:pPr>
              <w:jc w:val="center"/>
              <w:rPr>
                <w:sz w:val="20"/>
              </w:rPr>
            </w:pPr>
            <w:r>
              <w:rPr>
                <w:sz w:val="20"/>
              </w:rPr>
              <w:t>-572</w:t>
            </w:r>
          </w:p>
        </w:tc>
        <w:tc>
          <w:tcPr>
            <w:tcW w:w="0" w:type="auto"/>
            <w:tcBorders>
              <w:bottom w:val="single" w:sz="12" w:space="0" w:color="auto"/>
            </w:tcBorders>
            <w:vAlign w:val="center"/>
          </w:tcPr>
          <w:p w14:paraId="7FAB1FCA" w14:textId="5ADE3A64" w:rsidR="00E13875" w:rsidRPr="007B7161" w:rsidRDefault="00CE2784" w:rsidP="00E13875">
            <w:pPr>
              <w:jc w:val="center"/>
              <w:rPr>
                <w:sz w:val="20"/>
              </w:rPr>
            </w:pPr>
            <w:r>
              <w:rPr>
                <w:sz w:val="20"/>
              </w:rPr>
              <w:t>-565</w:t>
            </w:r>
          </w:p>
        </w:tc>
      </w:tr>
    </w:tbl>
    <w:p w14:paraId="13E688F8" w14:textId="1E2CA6D9" w:rsidR="004B2EE8" w:rsidRDefault="004B2EE8" w:rsidP="007B7161">
      <w:pPr>
        <w:pStyle w:val="3"/>
      </w:pPr>
      <w:r>
        <w:t>Summary of ATWS events</w:t>
      </w:r>
    </w:p>
    <w:p w14:paraId="0E214606" w14:textId="432F2B06" w:rsidR="004B2EE8" w:rsidRDefault="00951853" w:rsidP="004B2EE8">
      <w:pPr>
        <w:pStyle w:val="a1"/>
      </w:pPr>
      <w:r>
        <w:t xml:space="preserve">In this work, </w:t>
      </w:r>
      <w:r w:rsidR="00764A7D">
        <w:t>t</w:t>
      </w:r>
      <w:r w:rsidR="004B2EE8">
        <w:t xml:space="preserve">he ATWS event </w:t>
      </w:r>
      <w:r w:rsidR="00E91A1B">
        <w:t xml:space="preserve">is </w:t>
      </w:r>
      <w:r w:rsidR="004B2EE8">
        <w:t xml:space="preserve">investigated to obtain insights </w:t>
      </w:r>
      <w:r w:rsidR="00764A7D">
        <w:t>into</w:t>
      </w:r>
      <w:r w:rsidR="004B2EE8">
        <w:t xml:space="preserve"> the intrinsic safety behaviour of SMSFR. Given a steady-state condition in which the rate of heat generation is just balanced by the rate of heat removal, a damaging condition could arise due to an increase in the heat generation term, or due to a loss of heat removal </w:t>
      </w:r>
      <w:r w:rsidR="00237A66">
        <w:t xml:space="preserve">term </w:t>
      </w:r>
      <w:r w:rsidR="00861339">
        <w:fldChar w:fldCharType="begin"/>
      </w:r>
      <w:r w:rsidR="007461E6">
        <w:instrText xml:space="preserve"> ADDIN ZOTERO_ITEM CSL_CITATION {"citationID":"e38bPcdt","properties":{"formattedCitation":"[1]","plainCitation":"[1]","noteIndex":0},"citationItems":[{"id":88,"uris":["http://zotero.org/users/7114824/items/EUQX6AH8"],"uri":["http://zotero.org/users/7114824/items/EUQX6AH8"],"itemData":{"id":88,"type":"book","abstract":"This book is a complete update of the classic 1981 FAST BREEDER REACTORS textbook authored by Alan E. Waltar and Albert B. Reynolds, which , along with the Russian translation, served as a major reference book for fast reactors systems. Major updates include transmutation physics (a key technology to substantially ameliorate issues associated with the storage of high-level nuclear waste ), advances in fuels and materials technology (including metal fuels and cladding materials capable of high-temperature and high burnup), and new approaches to reactor safety (including passive safety technology), New chapters on gas-cooled and lead-cooled fast spectrum reactors are also included. Key international experts contributing to the text include Chaim Braun, (Stanford University) Ronald Omberg, (Pacific Northwest National Laboratory, Massimo Salvatores (CEA, France), Baldev Raj, (Indira Gandhi Center for Atomic Research, India) , John Sackett (Argonne National Laboratory), Kevan Weaver, (TerraPower Corporation) ,James Seinicki(Argonne National Laboratory). Russell Stachowski (General Electric), Toshikazu Takeda (University of Fukui, Japan), and Yoshitaka Chikazawa (Japan Atomic Energy Agency). © 2012 Springer Science+Business Media, LLC. All rights reserved.","ISBN":"978-1-4419-9571-1","note":"page: 720\nDOI: 10.1007/978-1-4419-9572-8","number-of-pages":"1","source":"ResearchGate","title":"Fast Spectrum Reactors","author":[{"family":"Waltar","given":"A.E."},{"family":"Todd","given":"D.R."},{"family":"Tsvetkov","given":"Pavel"}],"issued":{"date-parts":[["2012",10,1]]}}}],"schema":"https://github.com/citation-style-language/schema/raw/master/csl-citation.json"} </w:instrText>
      </w:r>
      <w:r w:rsidR="00861339">
        <w:fldChar w:fldCharType="separate"/>
      </w:r>
      <w:r w:rsidR="00861339" w:rsidRPr="00861339">
        <w:t>[1]</w:t>
      </w:r>
      <w:r w:rsidR="00861339">
        <w:fldChar w:fldCharType="end"/>
      </w:r>
      <w:r w:rsidR="004B2EE8">
        <w:t>. Hence, the ATWS event representative for the safety analysis of SMSFR could be identified as follows,</w:t>
      </w:r>
    </w:p>
    <w:p w14:paraId="2D8802F0" w14:textId="66B18040" w:rsidR="004B2EE8" w:rsidRDefault="004B2EE8" w:rsidP="0017419B">
      <w:pPr>
        <w:pStyle w:val="ListNumbered"/>
      </w:pPr>
      <w:r>
        <w:t xml:space="preserve">Unprotected transient over power (UTOP), in which a reactivity insertion </w:t>
      </w:r>
      <w:r w:rsidR="0017419B">
        <w:t>may be caused</w:t>
      </w:r>
      <w:r>
        <w:t xml:space="preserve"> by an uncontrolled withdrawal of a single control rod</w:t>
      </w:r>
      <w:r w:rsidR="0017419B">
        <w:t>, fuel assembly flow blockage</w:t>
      </w:r>
      <w:r w:rsidR="00F1037A">
        <w:t>,</w:t>
      </w:r>
      <w:r w:rsidR="0017419B">
        <w:t xml:space="preserve"> or core compaction</w:t>
      </w:r>
      <w:r w:rsidR="0053375E">
        <w:t xml:space="preserve"> </w:t>
      </w:r>
      <w:r w:rsidR="0017419B">
        <w:fldChar w:fldCharType="begin"/>
      </w:r>
      <w:r w:rsidR="00DD74D0">
        <w:instrText xml:space="preserve"> ADDIN ZOTERO_ITEM CSL_CITATION {"citationID":"jttguUi9","properties":{"formattedCitation":"[17]","plainCitation":"[17]","noteIndex":0},"citationItems":[{"id":53,"uris":["http://zotero.org/users/7114824/items/P3XZMF3A"],"uri":["http://zotero.org/users/7114824/items/P3XZMF3A"],"itemData":{"id":53,"type":"article-journal","abstract":"M2LFR-1000 is a medium-power modular lead-cooled fast reactor, developed by University of Science and Technology of China (USTC), aiming at achieving a reactor design fulfilling the Gen IV nuclear system requirements and meanwhile emphasizing the optimum safety and economics. In order to evaluate the safety performance of M2LFR-1000 reactor core, three typical transients are selected from initiating events, which are unprotected transient overpower (UTOP), unprotected loss of offsite power (ULOHS+ULOF) and increase of feedwater flowrate with primary pumps trip (IFW+PLOF). These three transients presented and discussed in this paper are performed with the code Analysis of THermal-hydraulics of LEaks and Transients (ATHLET), which is developed by Gesellschaft für Anlagen-und Reaktorsicherheit gGmbH (GRS). The results indicate that the M2LFR is safe enough under these three transients due to the good inherent safety features of the reactor, without human intervention, the reactor will reach a new steady state under UTOP condition.","container-title":"Nuclear Engineering and Technology","DOI":"10.1016/j.net.2018.08.011","ISSN":"1738-5733","issue":"1","journalAbbreviation":"Nuclear Engineering and Technology","language":"en","page":"116-124","source":"ScienceDirect","title":"Transient safety analysis of M2LFR-1000 reactor using ATHLET","volume":"51","author":[{"family":"Shen","given":"Chong"},{"family":"Zhang","given":"Xilin"},{"family":"Wang","given":"Chi"},{"family":"Cao","given":"Liankai"},{"family":"Chen","given":"Hongli"}],"issued":{"date-parts":[["2019",2,1]]}}}],"schema":"https://github.com/citation-style-language/schema/raw/master/csl-citation.json"} </w:instrText>
      </w:r>
      <w:r w:rsidR="0017419B">
        <w:fldChar w:fldCharType="separate"/>
      </w:r>
      <w:r w:rsidR="00DD74D0" w:rsidRPr="00DD74D0">
        <w:t>[17]</w:t>
      </w:r>
      <w:r w:rsidR="0017419B">
        <w:fldChar w:fldCharType="end"/>
      </w:r>
      <w:r w:rsidR="0053375E">
        <w:t>.</w:t>
      </w:r>
      <w:r w:rsidR="0017419B">
        <w:t xml:space="preserve"> Meanwhile, the primary circulation pumps</w:t>
      </w:r>
      <w:r w:rsidR="00BA46A0">
        <w:t xml:space="preserve"> as well as</w:t>
      </w:r>
      <w:r w:rsidR="0017419B">
        <w:t xml:space="preserve"> secondary circuit</w:t>
      </w:r>
      <w:r w:rsidR="00422EBB">
        <w:t>s</w:t>
      </w:r>
      <w:r w:rsidR="0017419B">
        <w:t xml:space="preserve"> work normally</w:t>
      </w:r>
      <w:r w:rsidR="00BA46A0">
        <w:t>.</w:t>
      </w:r>
    </w:p>
    <w:p w14:paraId="55E571D9" w14:textId="5903F728" w:rsidR="004B2EE8" w:rsidRDefault="004B2EE8" w:rsidP="007B7161">
      <w:pPr>
        <w:pStyle w:val="ListNumbered"/>
      </w:pPr>
      <w:r>
        <w:t>Unprotected loss of flow transient (ULOF), in which the transient is initiated by the loss of primary pumps, but the secondary circuits remain operation in forced circulation</w:t>
      </w:r>
      <w:r w:rsidR="00A96048">
        <w:t xml:space="preserve"> </w:t>
      </w:r>
      <w:r w:rsidR="00A96048">
        <w:fldChar w:fldCharType="begin"/>
      </w:r>
      <w:r w:rsidR="00DD74D0">
        <w:instrText xml:space="preserve"> ADDIN ZOTERO_ITEM CSL_CITATION {"citationID":"tohTIy4p","properties":{"formattedCitation":"[18]","plainCitation":"[18]","noteIndex":0},"citationItems":[{"id":453,"uris":["http://zotero.org/groups/2609867/items/KGU7QVA3"],"uri":["http://zotero.org/groups/2609867/items/KGU7QVA3"],"itemData":{"id":453,"type":"article-journal","abstract":"The conceptual design of the Advanced Lead Fast Reactor European Demonstrator (ALFRED) is under development within the LEADER project to meet the safety objectives of Gen-IV nuclear energy systems. This paper presents the main results of the safety analysis for beyond design basis conditions, namely design extension conditions (DEC), which include the failure of prevention and mitigation systems, like the reactor scram in the so-called unprotected transients. The main objective of this analysis is to evaluate the impact of the core and plant design features on the intrinsic safety behaviour of the ALFRED reactor. Several computer codes: SIM-LFR, RELAP5, CATHARE, SPECTRA and TRACE are applied to evaluate the consequences of representative unprotected accident scenarios such as Loss-of-Flow, Loss-of-Heat-Sink and Reactivity initiated accidents. Additionally, the consequences of steam generator tube rupture and partial sub-assembly flow blockage events are assessed by means of appropriate fluid-dynamic codes.","language":"en","page":"11","source":"Zotero","title":"Safety Analysis Results of Representative DEC Accidental Transients for the ALFRED Reactor","author":[{"family":"Bandini","given":"G"},{"family":"Bubelis","given":"E"},{"family":"Schikorr","given":"M"},{"family":"Stempnievicz","given":"M H"},{"family":"Lázaro","given":"A"},{"family":"Tucek","given":"K"},{"family":"Kudinov","given":"P"},{"family":"Kööp","given":"K"},{"family":"Jeltsov","given":"M"},{"family":"Mansani","given":"L"}]}}],"schema":"https://github.com/citation-style-language/schema/raw/master/csl-citation.json"} </w:instrText>
      </w:r>
      <w:r w:rsidR="00A96048">
        <w:fldChar w:fldCharType="separate"/>
      </w:r>
      <w:r w:rsidR="00DD74D0" w:rsidRPr="00DD74D0">
        <w:t>[18]</w:t>
      </w:r>
      <w:r w:rsidR="00A96048">
        <w:fldChar w:fldCharType="end"/>
      </w:r>
      <w:r>
        <w:t>.</w:t>
      </w:r>
    </w:p>
    <w:p w14:paraId="5E4D88AB" w14:textId="11C9340F" w:rsidR="004B2EE8" w:rsidRDefault="004B2EE8" w:rsidP="007B7161">
      <w:pPr>
        <w:pStyle w:val="ListNumbered"/>
      </w:pPr>
      <w:r>
        <w:t>Unprotected loss of heat sink transient (ULOHS)</w:t>
      </w:r>
      <w:r w:rsidR="00D73B81">
        <w:t>.</w:t>
      </w:r>
      <w:r>
        <w:t xml:space="preserve"> </w:t>
      </w:r>
      <w:r w:rsidR="00D73B81">
        <w:t>The transient could be initiated by the failure of secondary sodium pumps, secondary system piping</w:t>
      </w:r>
      <w:r w:rsidR="008C46FE">
        <w:t>, steam generators</w:t>
      </w:r>
      <w:r w:rsidR="00764A7D">
        <w:t>,</w:t>
      </w:r>
      <w:r w:rsidR="008C46FE">
        <w:t xml:space="preserve"> and decay heat removal systems</w:t>
      </w:r>
      <w:r>
        <w:t>.</w:t>
      </w:r>
    </w:p>
    <w:p w14:paraId="70D0FB82" w14:textId="3BD1B05A" w:rsidR="00810035" w:rsidRDefault="009C0861" w:rsidP="008C46FE">
      <w:pPr>
        <w:pStyle w:val="a1"/>
      </w:pPr>
      <w:r>
        <w:rPr>
          <w:rFonts w:hint="eastAsia"/>
          <w:lang w:eastAsia="zh-CN"/>
        </w:rPr>
        <w:t>This</w:t>
      </w:r>
      <w:r>
        <w:t xml:space="preserve"> paper </w:t>
      </w:r>
      <w:proofErr w:type="gramStart"/>
      <w:r>
        <w:t>use</w:t>
      </w:r>
      <w:proofErr w:type="gramEnd"/>
      <w:r w:rsidR="00DA317C">
        <w:t xml:space="preserve"> </w:t>
      </w:r>
      <w:r w:rsidR="00FB6202">
        <w:t xml:space="preserve">a </w:t>
      </w:r>
      <w:r w:rsidR="004B2EE8">
        <w:t xml:space="preserve">mono-channel point kinetic system code for </w:t>
      </w:r>
      <w:r w:rsidR="00DA317C">
        <w:t>fast reactor</w:t>
      </w:r>
      <w:r w:rsidR="007102E0">
        <w:t xml:space="preserve"> </w:t>
      </w:r>
      <w:r w:rsidR="004B2EE8">
        <w:t>to simulate the transient behaviour</w:t>
      </w:r>
      <w:r w:rsidR="002E009B">
        <w:t xml:space="preserve"> of the primary circuit</w:t>
      </w:r>
      <w:r w:rsidR="004B2EE8">
        <w:t>.</w:t>
      </w:r>
      <w:r>
        <w:t xml:space="preserve"> </w:t>
      </w:r>
      <w:r w:rsidR="00FB6202">
        <w:t>The accuracy of this homemade code should be further validated.</w:t>
      </w:r>
      <w:r w:rsidR="002E009B">
        <w:t xml:space="preserve"> </w:t>
      </w:r>
      <w:r w:rsidR="006E388A">
        <w:t>During the transient simulation, the CR adjustment is not considered</w:t>
      </w:r>
      <w:r w:rsidR="004B2EE8">
        <w:t xml:space="preserve"> </w:t>
      </w:r>
      <w:proofErr w:type="gramStart"/>
      <w:r w:rsidR="004B2EE8">
        <w:t>The</w:t>
      </w:r>
      <w:proofErr w:type="gramEnd"/>
      <w:r w:rsidR="004B2EE8">
        <w:t xml:space="preserve"> boiling and freezing point of coolant </w:t>
      </w:r>
      <w:r w:rsidR="005671D7">
        <w:t xml:space="preserve">are </w:t>
      </w:r>
      <w:r w:rsidR="004B2EE8">
        <w:t xml:space="preserve">880 ℃ and 98 ℃ in the SMSFR </w:t>
      </w:r>
      <w:r w:rsidR="00DA317C">
        <w:t>analysed</w:t>
      </w:r>
      <w:r w:rsidR="004B2EE8">
        <w:t xml:space="preserve">. Based on the plutonium enrichment of fuel in the core, the melting point of MOX fuel is </w:t>
      </w:r>
      <w:r w:rsidR="004B2EE8">
        <w:lastRenderedPageBreak/>
        <w:t>calculated as 2703</w:t>
      </w:r>
      <w:r w:rsidR="00DC7CF6">
        <w:t xml:space="preserve"> </w:t>
      </w:r>
      <w:r w:rsidR="004B2EE8">
        <w:t xml:space="preserve">℃ </w:t>
      </w:r>
      <w:r w:rsidR="00861339">
        <w:fldChar w:fldCharType="begin"/>
      </w:r>
      <w:r w:rsidR="00DD74D0">
        <w:instrText xml:space="preserve"> ADDIN ZOTERO_ITEM CSL_CITATION {"citationID":"AgdFVarY","properties":{"formattedCitation":"[19]","plainCitation":"[19]","noteIndex":0},"citationItems":[{"id":18,"uris":["http://zotero.org/users/7114824/items/WEG32YP7"],"uri":["http://zotero.org/users/7114824/items/WEG32YP7"],"itemData":{"id":18,"type":"article-journal","abstract":"A critical review of the thermophysical properties of UO2 and MOX fuels has been completed, and the best correlations for thermophysical properties have been selected. The properties reviewed are solidus and liquidus temperatures of the uranium/plutonium dioxide system (melting and solidification temperatures), thermal expansion and density, enthalpy and specific heat, enthalpy (or heat) of fusion, and thermal conductivity. Only fuel properties have been reviewed. The selected set of property correlations was compiled to be used in thermal-hydraulic codes to perform safety calculations.","container-title":"Journal of Nuclear Materials","DOI":"10.1016/S0022-3115(01)00692-4","ISSN":"0022-3115","issue":"3","journalAbbreviation":"Journal of Nuclear Materials","language":"en","page":"181-198","source":"ScienceDirect","title":"A review of the thermophysical properties of MOX and UO2 fuels","volume":"299","author":[{"family":"Carbajo","given":"Juan J"},{"family":"Yoder","given":"Gradyon L"},{"family":"Popov","given":"Sergey G"},{"family":"Ivanov","given":"Victor K"}],"issued":{"date-parts":[["2001",12,1]]}}}],"schema":"https://github.com/citation-style-language/schema/raw/master/csl-citation.json"} </w:instrText>
      </w:r>
      <w:r w:rsidR="00861339">
        <w:fldChar w:fldCharType="separate"/>
      </w:r>
      <w:r w:rsidR="00DD74D0" w:rsidRPr="00DD74D0">
        <w:t>[19]</w:t>
      </w:r>
      <w:r w:rsidR="00861339">
        <w:fldChar w:fldCharType="end"/>
      </w:r>
      <w:r w:rsidR="004B2EE8">
        <w:t>, while the cladding temperature should be less than 1427</w:t>
      </w:r>
      <w:r w:rsidR="00DC7CF6">
        <w:t xml:space="preserve"> </w:t>
      </w:r>
      <w:r w:rsidR="004B2EE8">
        <w:t>℃ under ATWS condition and 550</w:t>
      </w:r>
      <w:r w:rsidR="00DC7CF6">
        <w:t xml:space="preserve"> </w:t>
      </w:r>
      <w:r w:rsidR="004B2EE8">
        <w:t xml:space="preserve">℃ under normal condition, considering the choice of 316 stainless steel as cladding material </w:t>
      </w:r>
      <w:r w:rsidR="00861339">
        <w:fldChar w:fldCharType="begin"/>
      </w:r>
      <w:r w:rsidR="007461E6">
        <w:instrText xml:space="preserve"> ADDIN ZOTERO_ITEM CSL_CITATION {"citationID":"YxAfgHtI","properties":{"formattedCitation":"[1]","plainCitation":"[1]","noteIndex":0},"citationItems":[{"id":88,"uris":["http://zotero.org/users/7114824/items/EUQX6AH8"],"uri":["http://zotero.org/users/7114824/items/EUQX6AH8"],"itemData":{"id":88,"type":"book","abstract":"This book is a complete update of the classic 1981 FAST BREEDER REACTORS textbook authored by Alan E. Waltar and Albert B. Reynolds, which , along with the Russian translation, served as a major reference book for fast reactors systems. Major updates include transmutation physics (a key technology to substantially ameliorate issues associated with the storage of high-level nuclear waste ), advances in fuels and materials technology (including metal fuels and cladding materials capable of high-temperature and high burnup), and new approaches to reactor safety (including passive safety technology), New chapters on gas-cooled and lead-cooled fast spectrum reactors are also included. Key international experts contributing to the text include Chaim Braun, (Stanford University) Ronald Omberg, (Pacific Northwest National Laboratory, Massimo Salvatores (CEA, France), Baldev Raj, (Indira Gandhi Center for Atomic Research, India) , John Sackett (Argonne National Laboratory), Kevan Weaver, (TerraPower Corporation) ,James Seinicki(Argonne National Laboratory). Russell Stachowski (General Electric), Toshikazu Takeda (University of Fukui, Japan), and Yoshitaka Chikazawa (Japan Atomic Energy Agency). © 2012 Springer Science+Business Media, LLC. All rights reserved.","ISBN":"978-1-4419-9571-1","note":"page: 720\nDOI: 10.1007/978-1-4419-9572-8","number-of-pages":"1","source":"ResearchGate","title":"Fast Spectrum Reactors","author":[{"family":"Waltar","given":"A.E."},{"family":"Todd","given":"D.R."},{"family":"Tsvetkov","given":"Pavel"}],"issued":{"date-parts":[["2012",10,1]]}}}],"schema":"https://github.com/citation-style-language/schema/raw/master/csl-citation.json"} </w:instrText>
      </w:r>
      <w:r w:rsidR="00861339">
        <w:fldChar w:fldCharType="separate"/>
      </w:r>
      <w:r w:rsidR="00861339" w:rsidRPr="00861339">
        <w:t>[1]</w:t>
      </w:r>
      <w:r w:rsidR="00861339">
        <w:fldChar w:fldCharType="end"/>
      </w:r>
      <w:r w:rsidR="0053375E">
        <w:t>.</w:t>
      </w:r>
    </w:p>
    <w:p w14:paraId="511263B0" w14:textId="645D33CF" w:rsidR="004B2EE8" w:rsidRDefault="004B2EE8" w:rsidP="004B2EE8">
      <w:pPr>
        <w:pStyle w:val="2"/>
        <w:numPr>
          <w:ilvl w:val="1"/>
          <w:numId w:val="10"/>
        </w:numPr>
      </w:pPr>
      <w:r w:rsidRPr="007B7161">
        <w:t>Results and Discussion</w:t>
      </w:r>
    </w:p>
    <w:p w14:paraId="539F9900" w14:textId="7818E29E" w:rsidR="001045C3" w:rsidRDefault="004B2EE8" w:rsidP="00AF1565">
      <w:pPr>
        <w:pStyle w:val="3"/>
        <w:numPr>
          <w:ilvl w:val="2"/>
          <w:numId w:val="36"/>
        </w:numPr>
      </w:pPr>
      <w:r>
        <w:t>UTOP event analysis</w:t>
      </w:r>
    </w:p>
    <w:p w14:paraId="63402190" w14:textId="49465C3B" w:rsidR="004B2EE8" w:rsidRDefault="004B2EE8" w:rsidP="004B2EE8">
      <w:pPr>
        <w:pStyle w:val="a1"/>
      </w:pPr>
      <w:r>
        <w:t>In the UTOP transient, a</w:t>
      </w:r>
      <w:r w:rsidR="00861339">
        <w:rPr>
          <w:rFonts w:hint="eastAsia"/>
          <w:lang w:eastAsia="zh-CN"/>
        </w:rPr>
        <w:t>n</w:t>
      </w:r>
      <w:r w:rsidR="00861339">
        <w:rPr>
          <w:lang w:eastAsia="zh-CN"/>
        </w:rPr>
        <w:t xml:space="preserve"> abrupt</w:t>
      </w:r>
      <w:r>
        <w:t xml:space="preserve"> reactivity insertion of 250 pcm in 10</w:t>
      </w:r>
      <w:r w:rsidR="00DC7CF6">
        <w:t xml:space="preserve"> </w:t>
      </w:r>
      <w:r w:rsidR="00237A66">
        <w:t>s</w:t>
      </w:r>
      <w:r>
        <w:t xml:space="preserve"> is simulated with the reactor scram assumed to fail. Meanwhile, the primary and secondary circuits remain in </w:t>
      </w:r>
      <w:r w:rsidR="00764A7D">
        <w:t xml:space="preserve">the </w:t>
      </w:r>
      <w:r>
        <w:t>normal operation of forced circulation.</w:t>
      </w:r>
      <w:r w:rsidR="00475388">
        <w:t xml:space="preserve"> This </w:t>
      </w:r>
      <w:r w:rsidR="00475388" w:rsidRPr="00475388">
        <w:t>hypothetical</w:t>
      </w:r>
      <w:r w:rsidR="00475388">
        <w:t xml:space="preserve"> event is used to compare the reactor </w:t>
      </w:r>
      <w:r w:rsidR="00AB5632">
        <w:t>behaviour</w:t>
      </w:r>
      <w:r w:rsidR="00475388">
        <w:t xml:space="preserve"> at different burnup depth</w:t>
      </w:r>
      <w:r w:rsidR="009F7B4D">
        <w:t>.</w:t>
      </w:r>
    </w:p>
    <w:p w14:paraId="5557232E" w14:textId="4EC73435" w:rsidR="005F6044" w:rsidRDefault="005F6044" w:rsidP="005F6044">
      <w:pPr>
        <w:pStyle w:val="a1"/>
      </w:pPr>
      <w:r>
        <w:t>As can be seen in Fig. 3(a), the total reactivity of the core restores balance under the negative feedback effect brought by its inherent properties, after experiencing a positive pulse of 60 pcm. In Fig. 3(a), “Ext.” refers to external reactivity insertion; “Doppler” refers to reactivity brought by the Doppler effect of fuel; “coolant” stands for the reactivity caused by changing of sodium density</w:t>
      </w:r>
      <w:r w:rsidR="006E388A">
        <w:t xml:space="preserve"> in the whole assembly height</w:t>
      </w:r>
      <w:r>
        <w:t xml:space="preserve">; the “axial fuel Exp.”, “clad Exp.”, </w:t>
      </w:r>
      <w:r w:rsidR="00A31929">
        <w:t xml:space="preserve">as well as </w:t>
      </w:r>
      <w:r>
        <w:t>“Dia. Exp.” refers to the reactivity derives from the expansion of fuel, cladding and diagrid</w:t>
      </w:r>
      <w:r w:rsidR="006E388A">
        <w:t xml:space="preserve"> at the lower </w:t>
      </w:r>
      <w:proofErr w:type="spellStart"/>
      <w:r w:rsidR="006E388A">
        <w:t>positon</w:t>
      </w:r>
      <w:proofErr w:type="spellEnd"/>
      <w:r w:rsidR="006E388A">
        <w:t xml:space="preserve"> of assemblies</w:t>
      </w:r>
      <w:r>
        <w:t xml:space="preserve"> correspondingly, and the “ctr. Exp.” refers to the reactivity feedback due to the relative displacement between control rods and </w:t>
      </w:r>
      <w:r w:rsidR="00A31929">
        <w:t xml:space="preserve">the </w:t>
      </w:r>
      <w:r>
        <w:t>fuel fission zone. Among these reactivity feedbacks, the major contribution comes from the reactivity of “Doppler” and “</w:t>
      </w:r>
      <w:r w:rsidR="007A74EB">
        <w:t>Ctr</w:t>
      </w:r>
      <w:r>
        <w:t>. Exp.”.</w:t>
      </w:r>
    </w:p>
    <w:p w14:paraId="4E16A224" w14:textId="1B7E04B4" w:rsidR="005F6044" w:rsidRPr="005F6044" w:rsidRDefault="005F6044" w:rsidP="00F92D46">
      <w:pPr>
        <w:pStyle w:val="a1"/>
      </w:pPr>
      <w:r>
        <w:t>Fluctuations of total reactivity lead to changes</w:t>
      </w:r>
      <w:r w:rsidR="00E03B22">
        <w:t xml:space="preserve"> in the core power</w:t>
      </w:r>
      <w:r w:rsidR="00C00682">
        <w:t xml:space="preserve">, </w:t>
      </w:r>
      <w:r>
        <w:t xml:space="preserve">temperature of </w:t>
      </w:r>
      <w:r w:rsidR="00C00682">
        <w:t>coolant,</w:t>
      </w:r>
      <w:r>
        <w:t xml:space="preserve"> as well as fuel pellet and cladding (shown in Fig. 3(b)). The simulation results show that under the limitation of inherent properties, no </w:t>
      </w:r>
      <w:r w:rsidR="00933502">
        <w:t xml:space="preserve">sodium </w:t>
      </w:r>
      <w:r>
        <w:t xml:space="preserve">boiling, cladding melting and fuel melting accidents occur in the core (with the coolant temperature 691 ℃ </w:t>
      </w:r>
      <w:r w:rsidR="00933502">
        <w:t xml:space="preserve">in the hottest channel </w:t>
      </w:r>
      <w:r>
        <w:t>and peak fuel temperature 2154 ℃).</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266"/>
      </w:tblGrid>
      <w:tr w:rsidR="009F60A4" w14:paraId="609DB89F" w14:textId="77777777" w:rsidTr="001E6A1E">
        <w:trPr>
          <w:trHeight w:val="3280"/>
          <w:jc w:val="center"/>
        </w:trPr>
        <w:tc>
          <w:tcPr>
            <w:tcW w:w="4237" w:type="dxa"/>
          </w:tcPr>
          <w:p w14:paraId="5B329CD0" w14:textId="14838568" w:rsidR="007E2D13" w:rsidRDefault="007E2D13" w:rsidP="00EA5193">
            <w:pPr>
              <w:rPr>
                <w:rStyle w:val="fontstyle01"/>
                <w:rFonts w:hint="eastAsia"/>
                <w:sz w:val="24"/>
                <w:szCs w:val="24"/>
              </w:rPr>
            </w:pPr>
            <w:r>
              <w:rPr>
                <w:noProof/>
                <w:lang w:val="en-US" w:eastAsia="zh-CN"/>
              </w:rPr>
              <w:drawing>
                <wp:inline distT="0" distB="0" distL="0" distR="0" wp14:anchorId="1973A5CA" wp14:editId="5034CC04">
                  <wp:extent cx="2552700" cy="2113915"/>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113915"/>
                          </a:xfrm>
                          <a:prstGeom prst="rect">
                            <a:avLst/>
                          </a:prstGeom>
                          <a:noFill/>
                          <a:ln>
                            <a:noFill/>
                          </a:ln>
                        </pic:spPr>
                      </pic:pic>
                    </a:graphicData>
                  </a:graphic>
                </wp:inline>
              </w:drawing>
            </w:r>
          </w:p>
        </w:tc>
        <w:tc>
          <w:tcPr>
            <w:tcW w:w="4266" w:type="dxa"/>
          </w:tcPr>
          <w:p w14:paraId="3FB6BDD7" w14:textId="4C872A3B" w:rsidR="009F60A4" w:rsidRDefault="009634F1" w:rsidP="00EA5193">
            <w:pPr>
              <w:rPr>
                <w:rStyle w:val="fontstyle01"/>
                <w:rFonts w:hint="eastAsia"/>
                <w:sz w:val="24"/>
                <w:szCs w:val="24"/>
              </w:rPr>
            </w:pPr>
            <w:r>
              <w:rPr>
                <w:rStyle w:val="fontstyle01"/>
                <w:rFonts w:hint="eastAsia"/>
                <w:noProof/>
                <w:sz w:val="24"/>
                <w:szCs w:val="24"/>
              </w:rPr>
              <w:drawing>
                <wp:inline distT="0" distB="0" distL="0" distR="0" wp14:anchorId="6D3A8E4A" wp14:editId="4A34DC47">
                  <wp:extent cx="2568575" cy="2115185"/>
                  <wp:effectExtent l="0" t="0" r="317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8575" cy="2115185"/>
                          </a:xfrm>
                          <a:prstGeom prst="rect">
                            <a:avLst/>
                          </a:prstGeom>
                          <a:noFill/>
                          <a:ln>
                            <a:noFill/>
                          </a:ln>
                        </pic:spPr>
                      </pic:pic>
                    </a:graphicData>
                  </a:graphic>
                </wp:inline>
              </w:drawing>
            </w:r>
          </w:p>
        </w:tc>
      </w:tr>
      <w:tr w:rsidR="005B3BD5" w14:paraId="311737E8" w14:textId="77777777" w:rsidTr="001E6A1E">
        <w:trPr>
          <w:jc w:val="center"/>
        </w:trPr>
        <w:tc>
          <w:tcPr>
            <w:tcW w:w="4237" w:type="dxa"/>
            <w:vAlign w:val="center"/>
          </w:tcPr>
          <w:p w14:paraId="1DC08B99" w14:textId="786C0627" w:rsidR="009F60A4" w:rsidRPr="001E6A1E" w:rsidRDefault="009F60A4" w:rsidP="001E6A1E">
            <w:pPr>
              <w:pStyle w:val="af7"/>
              <w:numPr>
                <w:ilvl w:val="0"/>
                <w:numId w:val="51"/>
              </w:numPr>
              <w:ind w:firstLineChars="0"/>
              <w:jc w:val="center"/>
              <w:rPr>
                <w:rStyle w:val="fontstyle01"/>
                <w:rFonts w:hint="eastAsia"/>
                <w:sz w:val="18"/>
                <w:szCs w:val="18"/>
              </w:rPr>
            </w:pPr>
            <w:r w:rsidRPr="00791BD0">
              <w:rPr>
                <w:i/>
                <w:caps/>
                <w:lang w:eastAsia="es-ES"/>
              </w:rPr>
              <w:t>R</w:t>
            </w:r>
            <w:r w:rsidR="00FD3A3D" w:rsidRPr="00791BD0">
              <w:rPr>
                <w:i/>
                <w:lang w:eastAsia="es-ES"/>
              </w:rPr>
              <w:t>ea</w:t>
            </w:r>
            <w:r w:rsidR="00FD3A3D" w:rsidRPr="00791BD0">
              <w:rPr>
                <w:rFonts w:eastAsia="Times New Roman"/>
                <w:i/>
                <w:lang w:eastAsia="es-ES"/>
              </w:rPr>
              <w:t>ctivity feedback</w:t>
            </w:r>
          </w:p>
        </w:tc>
        <w:tc>
          <w:tcPr>
            <w:tcW w:w="4266" w:type="dxa"/>
            <w:vAlign w:val="center"/>
          </w:tcPr>
          <w:p w14:paraId="7A873C0A" w14:textId="102E5ECF" w:rsidR="009F60A4" w:rsidRPr="00791BD0" w:rsidRDefault="009F60A4" w:rsidP="001E6A1E">
            <w:pPr>
              <w:pStyle w:val="af7"/>
              <w:numPr>
                <w:ilvl w:val="0"/>
                <w:numId w:val="51"/>
              </w:numPr>
              <w:ind w:left="475" w:firstLineChars="0"/>
              <w:jc w:val="center"/>
              <w:rPr>
                <w:rStyle w:val="fontstyle01"/>
                <w:rFonts w:hint="eastAsia"/>
                <w:sz w:val="18"/>
                <w:szCs w:val="18"/>
                <w:lang w:eastAsia="zh-CN"/>
              </w:rPr>
            </w:pPr>
            <w:r w:rsidRPr="00791BD0">
              <w:rPr>
                <w:i/>
                <w:caps/>
                <w:lang w:eastAsia="es-ES"/>
              </w:rPr>
              <w:t>T</w:t>
            </w:r>
            <w:r w:rsidR="00FD3A3D" w:rsidRPr="00791BD0">
              <w:rPr>
                <w:i/>
                <w:lang w:eastAsia="es-ES"/>
              </w:rPr>
              <w:t>emperatures of coolant, fuel</w:t>
            </w:r>
            <w:r w:rsidR="00FD3A3D">
              <w:rPr>
                <w:i/>
                <w:lang w:eastAsia="es-ES"/>
              </w:rPr>
              <w:t xml:space="preserve"> </w:t>
            </w:r>
            <w:r w:rsidR="00FD3A3D" w:rsidRPr="001E6A1E">
              <w:rPr>
                <w:rFonts w:eastAsia="Times New Roman"/>
                <w:i/>
                <w:lang w:eastAsia="es-ES"/>
              </w:rPr>
              <w:t>and cladding in the hottest channel</w:t>
            </w:r>
          </w:p>
        </w:tc>
      </w:tr>
    </w:tbl>
    <w:p w14:paraId="37BBE9F7" w14:textId="16FF029A" w:rsidR="009F60A4" w:rsidRPr="007B7161" w:rsidRDefault="009F60A4" w:rsidP="007B7161">
      <w:pPr>
        <w:pStyle w:val="a1"/>
        <w:jc w:val="center"/>
        <w:rPr>
          <w:i/>
          <w:caps/>
          <w:sz w:val="18"/>
          <w:lang w:eastAsia="es-ES"/>
        </w:rPr>
      </w:pPr>
      <w:r w:rsidRPr="007B7161">
        <w:rPr>
          <w:i/>
          <w:caps/>
          <w:sz w:val="18"/>
          <w:lang w:eastAsia="es-ES"/>
        </w:rPr>
        <w:t xml:space="preserve">Fig. </w:t>
      </w:r>
      <w:r w:rsidR="00744C6F">
        <w:rPr>
          <w:i/>
          <w:caps/>
          <w:sz w:val="18"/>
          <w:lang w:eastAsia="es-ES"/>
        </w:rPr>
        <w:t>3</w:t>
      </w:r>
      <w:r w:rsidRPr="007B7161">
        <w:rPr>
          <w:i/>
          <w:caps/>
          <w:sz w:val="18"/>
          <w:lang w:eastAsia="es-ES"/>
        </w:rPr>
        <w:t>. R</w:t>
      </w:r>
      <w:r w:rsidR="00FD3A3D" w:rsidRPr="007B7161">
        <w:rPr>
          <w:i/>
          <w:sz w:val="18"/>
          <w:lang w:eastAsia="es-ES"/>
        </w:rPr>
        <w:t>esults fo</w:t>
      </w:r>
      <w:r w:rsidR="00A61A19" w:rsidRPr="007B7161">
        <w:rPr>
          <w:i/>
          <w:sz w:val="18"/>
          <w:lang w:eastAsia="es-ES"/>
        </w:rPr>
        <w:t>r</w:t>
      </w:r>
      <w:r w:rsidRPr="007B7161">
        <w:rPr>
          <w:i/>
          <w:caps/>
          <w:sz w:val="18"/>
          <w:lang w:eastAsia="es-ES"/>
        </w:rPr>
        <w:t xml:space="preserve"> UTOP </w:t>
      </w:r>
      <w:r w:rsidR="00FD3A3D" w:rsidRPr="007B7161">
        <w:rPr>
          <w:i/>
          <w:sz w:val="18"/>
          <w:lang w:eastAsia="es-ES"/>
        </w:rPr>
        <w:t>at</w:t>
      </w:r>
      <w:r w:rsidRPr="007B7161">
        <w:rPr>
          <w:i/>
          <w:caps/>
          <w:sz w:val="18"/>
          <w:lang w:eastAsia="es-ES"/>
        </w:rPr>
        <w:t xml:space="preserve"> BOL</w:t>
      </w:r>
    </w:p>
    <w:p w14:paraId="78C750BE" w14:textId="490DE934" w:rsidR="0098794C" w:rsidRDefault="00861339" w:rsidP="002849E1">
      <w:pPr>
        <w:pStyle w:val="a1"/>
      </w:pPr>
      <w:r>
        <w:t xml:space="preserve">The variation of core power over UTOP transient at different </w:t>
      </w:r>
      <w:r w:rsidR="00933502">
        <w:t xml:space="preserve">core </w:t>
      </w:r>
      <w:r>
        <w:t xml:space="preserve">life time shown in Fig. </w:t>
      </w:r>
      <w:r w:rsidR="00AF1565">
        <w:t>4</w:t>
      </w:r>
      <w:r>
        <w:t xml:space="preserve">(a) indicates that the deeper </w:t>
      </w:r>
      <w:r w:rsidR="002849E1">
        <w:t xml:space="preserve">the </w:t>
      </w:r>
      <w:r>
        <w:t xml:space="preserve">reactor burnup, the lager </w:t>
      </w:r>
      <w:r w:rsidR="002849E1">
        <w:t xml:space="preserve">the </w:t>
      </w:r>
      <w:r>
        <w:t>core power peak value caused by the same reactivity insertion.</w:t>
      </w:r>
      <w:r w:rsidR="004806E6" w:rsidRPr="004806E6">
        <w:t xml:space="preserve"> </w:t>
      </w:r>
      <w:r w:rsidR="004806E6" w:rsidRPr="000C1AC6">
        <w:t xml:space="preserve">Considering that control rods have </w:t>
      </w:r>
      <w:r w:rsidR="007C5170" w:rsidRPr="001E6A1E">
        <w:t xml:space="preserve">been </w:t>
      </w:r>
      <w:r w:rsidR="004806E6" w:rsidRPr="000C1AC6">
        <w:t xml:space="preserve">fully </w:t>
      </w:r>
      <w:r w:rsidR="007C5170" w:rsidRPr="001E6A1E">
        <w:t>withdrawn from</w:t>
      </w:r>
      <w:r w:rsidR="004806E6" w:rsidRPr="000C1AC6">
        <w:t xml:space="preserve"> the core at EOL, it is assumed that the UTOP event is caused by the other causes described in 2.3 (a)</w:t>
      </w:r>
      <w:r w:rsidR="007C5170" w:rsidRPr="001E6A1E">
        <w:t xml:space="preserve"> at EOL</w:t>
      </w:r>
      <w:r w:rsidR="004806E6" w:rsidRPr="000C1AC6">
        <w:t>.</w:t>
      </w:r>
      <w:r>
        <w:t xml:space="preserve"> </w:t>
      </w:r>
      <w:r w:rsidR="0098794C">
        <w:t>As mentioned earlier, the dominant feedbacks are that caused by “Doppler” and “</w:t>
      </w:r>
      <w:r w:rsidR="004607DA">
        <w:t>Ctr</w:t>
      </w:r>
      <w:r w:rsidR="0098794C">
        <w:t xml:space="preserve">. Exp.”. </w:t>
      </w:r>
      <w:r w:rsidR="004607DA">
        <w:t>T</w:t>
      </w:r>
      <w:r w:rsidR="0098794C">
        <w:t>he reactivity of the Doppler effect is mainly related to the Doppler constant (</w:t>
      </w:r>
      <w:proofErr w:type="spellStart"/>
      <w:r w:rsidR="0098794C" w:rsidRPr="007B7161">
        <w:rPr>
          <w:i/>
        </w:rPr>
        <w:t>K</w:t>
      </w:r>
      <w:r w:rsidR="0098794C" w:rsidRPr="007B7161">
        <w:rPr>
          <w:i/>
          <w:vertAlign w:val="subscript"/>
        </w:rPr>
        <w:t>Doppler</w:t>
      </w:r>
      <w:proofErr w:type="spellEnd"/>
      <w:r w:rsidR="0098794C">
        <w:t>) and change of fuel temperature (Equation 1)</w:t>
      </w:r>
      <w:r w:rsidR="00A96048">
        <w:t xml:space="preserve"> </w:t>
      </w:r>
      <w:r w:rsidR="00A96048">
        <w:fldChar w:fldCharType="begin"/>
      </w:r>
      <w:r w:rsidR="00DD74D0">
        <w:instrText xml:space="preserve"> ADDIN ZOTERO_ITEM CSL_CITATION {"citationID":"1THsVUAl","properties":{"formattedCitation":"[20]","plainCitation":"[20]","noteIndex":0},"citationItems":[{"id":92,"uris":["http://zotero.org/users/7114824/items/JSB5J5YT"],"uri":["http://zotero.org/users/7114824/items/JSB5J5YT"],"itemData":{"id":92,"type":"article-journal","abstract":"Generation-IV sodium fast reactors (SFR) will only become acceptable and accepted if they can safely prevent or accommodate reactivity insertion accidents that could lead to the release of large quantities of mechanical energy, in excess of the reactor containment's capacity. The CADOR approach based on reinforced Doppler reactivity feedback is shown to be an attractive means of effectively preventing such reactivity insertion accidents. The accrued Doppler feedback is achieved by combining two effects: (i) introducing a neutron moderator material in the core so as to soften the neutron spectrum; and (ii) lowering the fuel temperature in nominal conditions so as to increase the margin to fuel melting. This study shows that, by applying this CADOR approach to a Generation-IV oxide-fuelled SFR, the resulting core can be made inherently resistant to reactivity insertion accidents, while also having increased resistance to loss-of-coolant accidents. These preliminary results have to be confirmed and completed to meet multiple safety objectives. In particular, some margin gains have to be found to guarantee against the risk of sodium boiling during unprotected loss of supply power accidents. The main drawback of the CADOR concept is a drastically reduced core power density compared to conventional designs. This has a large impact on core size and other parameters.","container-title":"EPJ Nuclear Sciences &amp; Technologies","DOI":"10.1051/epjn/2018049","ISSN":"2491-9292","journalAbbreviation":"EPJ Nuclear Sci. Technol.","language":"en","note":"publisher: EDP Sciences","page":"1","source":"www.epj-n.org","title":"CADOR “Core with Adding DOppleR effect” concept application to sodium fast reactors","volume":"5","author":[{"family":"Zaetta","given":"Alain"},{"family":"Fontaine","given":"Bruno"},{"family":"Sciora","given":"Pierre"},{"family":"Lavastre","given":"Romain"},{"family":"Jacqmin","given":"Robert"},{"family":"Pascal","given":"Vincent"},{"family":"Pelletier","given":"Michel"},{"family":"Mignot","given":"Gérard"},{"family":"Jankowiak","given":"Aurélien"}],"issued":{"date-parts":[["2019"]]}}}],"schema":"https://github.com/citation-style-language/schema/raw/master/csl-citation.json"} </w:instrText>
      </w:r>
      <w:r w:rsidR="00A96048">
        <w:fldChar w:fldCharType="separate"/>
      </w:r>
      <w:r w:rsidR="00DD74D0" w:rsidRPr="00DD74D0">
        <w:t>[20]</w:t>
      </w:r>
      <w:r w:rsidR="00A96048">
        <w:fldChar w:fldCharType="end"/>
      </w:r>
      <w:r w:rsidR="0098794C">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663"/>
      </w:tblGrid>
      <w:tr w:rsidR="0098794C" w:rsidRPr="00871F40" w14:paraId="15C4C0C9" w14:textId="77777777" w:rsidTr="00EA5193">
        <w:tc>
          <w:tcPr>
            <w:tcW w:w="4633" w:type="pct"/>
            <w:vAlign w:val="center"/>
          </w:tcPr>
          <w:p w14:paraId="117186D5" w14:textId="77777777" w:rsidR="0098794C" w:rsidRPr="00871F40" w:rsidRDefault="0098794C" w:rsidP="00EA5193">
            <w:pPr>
              <w:overflowPunct/>
              <w:autoSpaceDE/>
              <w:autoSpaceDN/>
              <w:adjustRightInd/>
              <w:spacing w:before="120" w:after="120"/>
              <w:jc w:val="center"/>
              <w:textAlignment w:val="auto"/>
              <w:rPr>
                <w:rFonts w:ascii="Cambria Math" w:hAnsi="Cambria Math"/>
                <w:sz w:val="24"/>
                <w:szCs w:val="22"/>
              </w:rPr>
            </w:pPr>
            <w:r w:rsidRPr="006037B6">
              <w:rPr>
                <w:rFonts w:ascii="Times New Roman" w:eastAsia="宋体" w:hAnsi="Times New Roman" w:cs="Times New Roman"/>
                <w:position w:val="-30"/>
                <w:szCs w:val="20"/>
                <w:lang w:val="en-GB"/>
              </w:rPr>
              <w:object w:dxaOrig="2600" w:dyaOrig="680" w14:anchorId="799F8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pt;height:33.7pt" o:ole="">
                  <v:imagedata r:id="rId16" o:title=""/>
                </v:shape>
                <o:OLEObject Type="Embed" ProgID="Equation.DSMT4" ShapeID="_x0000_i1025" DrawAspect="Content" ObjectID="_1709578057" r:id="rId17"/>
              </w:object>
            </w:r>
          </w:p>
        </w:tc>
        <w:tc>
          <w:tcPr>
            <w:tcW w:w="367" w:type="pct"/>
            <w:vAlign w:val="center"/>
            <w:hideMark/>
          </w:tcPr>
          <w:p w14:paraId="4B4E4BF5" w14:textId="77777777" w:rsidR="0098794C" w:rsidRPr="00871F40" w:rsidRDefault="0098794C" w:rsidP="00EA5193">
            <w:pPr>
              <w:overflowPunct/>
              <w:autoSpaceDE/>
              <w:autoSpaceDN/>
              <w:adjustRightInd/>
              <w:spacing w:before="120" w:after="120"/>
              <w:jc w:val="right"/>
              <w:textAlignment w:val="auto"/>
              <w:rPr>
                <w:rFonts w:ascii="Cambria Math" w:hAnsi="Cambria Math"/>
                <w:sz w:val="24"/>
                <w:szCs w:val="22"/>
              </w:rPr>
            </w:pPr>
            <w:r w:rsidRPr="00871F40">
              <w:rPr>
                <w:rFonts w:ascii="Cambria Math" w:hAnsi="Cambria Math"/>
                <w:sz w:val="24"/>
                <w:szCs w:val="22"/>
              </w:rPr>
              <w:t>(</w:t>
            </w:r>
            <w:r w:rsidRPr="00871F40">
              <w:rPr>
                <w:rFonts w:ascii="Cambria Math" w:hAnsi="Cambria Math"/>
                <w:sz w:val="24"/>
                <w:szCs w:val="22"/>
              </w:rPr>
              <w:fldChar w:fldCharType="begin"/>
            </w:r>
            <w:r w:rsidRPr="00871F40">
              <w:rPr>
                <w:rFonts w:ascii="Cambria Math" w:hAnsi="Cambria Math"/>
                <w:sz w:val="24"/>
                <w:szCs w:val="22"/>
              </w:rPr>
              <w:instrText xml:space="preserve"> SEQ ( \* ARABIC </w:instrText>
            </w:r>
            <w:r w:rsidRPr="00871F40">
              <w:rPr>
                <w:rFonts w:ascii="Cambria Math" w:hAnsi="Cambria Math"/>
                <w:sz w:val="24"/>
                <w:szCs w:val="22"/>
              </w:rPr>
              <w:fldChar w:fldCharType="separate"/>
            </w:r>
            <w:r w:rsidRPr="00871F40">
              <w:rPr>
                <w:rFonts w:ascii="Cambria Math" w:hAnsi="Cambria Math"/>
                <w:noProof/>
                <w:sz w:val="24"/>
                <w:szCs w:val="22"/>
              </w:rPr>
              <w:t>1</w:t>
            </w:r>
            <w:r w:rsidRPr="00871F40">
              <w:rPr>
                <w:rFonts w:ascii="Cambria Math" w:hAnsi="Cambria Math"/>
                <w:sz w:val="24"/>
                <w:szCs w:val="22"/>
              </w:rPr>
              <w:fldChar w:fldCharType="end"/>
            </w:r>
            <w:r w:rsidRPr="00871F40">
              <w:rPr>
                <w:rFonts w:ascii="Cambria Math" w:hAnsi="Cambria Math"/>
                <w:sz w:val="24"/>
                <w:szCs w:val="22"/>
              </w:rPr>
              <w:t>)</w:t>
            </w:r>
          </w:p>
        </w:tc>
      </w:tr>
    </w:tbl>
    <w:p w14:paraId="38249D23" w14:textId="6EDDF8B4" w:rsidR="0098794C" w:rsidRDefault="0098794C" w:rsidP="0098794C">
      <w:pPr>
        <w:pStyle w:val="a1"/>
      </w:pPr>
      <w:r>
        <w:t xml:space="preserve">Although the Doppler constant decreases with the increase of fuel </w:t>
      </w:r>
      <w:r w:rsidR="007E4A2D">
        <w:t>burnup</w:t>
      </w:r>
      <w:r>
        <w:t xml:space="preserve"> (as shown in Table </w:t>
      </w:r>
      <w:r w:rsidR="00BF5583">
        <w:t>2</w:t>
      </w:r>
      <w:r>
        <w:t xml:space="preserve">), the significant increase in the range of fuel temperature change over UTOP (shown in </w:t>
      </w:r>
      <w:r w:rsidR="00FE1DE2">
        <w:t>Fig. 4</w:t>
      </w:r>
      <w:r w:rsidR="00FE1DE2" w:rsidDel="00FE1DE2">
        <w:t xml:space="preserve"> </w:t>
      </w:r>
      <w:r>
        <w:t xml:space="preserve">(b), in which </w:t>
      </w:r>
      <w:proofErr w:type="spellStart"/>
      <w:r>
        <w:t>Δt</w:t>
      </w:r>
      <w:r w:rsidRPr="000E38AC">
        <w:rPr>
          <w:vertAlign w:val="subscript"/>
        </w:rPr>
        <w:t>max</w:t>
      </w:r>
      <w:proofErr w:type="spellEnd"/>
      <w:r>
        <w:t xml:space="preserve">=768 ℃ at 1825 EFPD vs. </w:t>
      </w:r>
      <w:proofErr w:type="spellStart"/>
      <w:r>
        <w:t>Δt</w:t>
      </w:r>
      <w:r w:rsidRPr="000E38AC">
        <w:rPr>
          <w:vertAlign w:val="subscript"/>
        </w:rPr>
        <w:t>max</w:t>
      </w:r>
      <w:proofErr w:type="spellEnd"/>
      <w:r>
        <w:t xml:space="preserve">=407 ℃ at 0 EFPD) still makes the negative feedback caused by the Doppler effect increase as fuel </w:t>
      </w:r>
      <w:r w:rsidR="007E4A2D">
        <w:t>burnup</w:t>
      </w:r>
      <w:r>
        <w:t xml:space="preserve"> deepens (shown in </w:t>
      </w:r>
      <w:r w:rsidR="00FE1DE2">
        <w:t>Fig. 4</w:t>
      </w:r>
      <w:r w:rsidR="00FE1DE2" w:rsidDel="00FE1DE2">
        <w:t xml:space="preserve"> </w:t>
      </w:r>
      <w:r>
        <w:t>(c)).</w:t>
      </w:r>
    </w:p>
    <w:p w14:paraId="4B614A28" w14:textId="5C915F72" w:rsidR="00861339" w:rsidRPr="0098794C" w:rsidRDefault="0098794C" w:rsidP="00FE1DE2">
      <w:pPr>
        <w:pStyle w:val="a1"/>
      </w:pPr>
      <w:r>
        <w:t>When considering the reactivity feedback caused by the “</w:t>
      </w:r>
      <w:r w:rsidR="00267B62">
        <w:t>Ctr</w:t>
      </w:r>
      <w:r>
        <w:t xml:space="preserve">. Exp.”, it is noticed that the insertion depth of the control rod gradually decreases to </w:t>
      </w:r>
      <w:r w:rsidR="004B2B77">
        <w:t>compensate for</w:t>
      </w:r>
      <w:r>
        <w:t xml:space="preserve"> burnup reactivity</w:t>
      </w:r>
      <w:r w:rsidR="00267B62">
        <w:t xml:space="preserve">. </w:t>
      </w:r>
      <w:r>
        <w:t xml:space="preserve">This leads to differences in the </w:t>
      </w:r>
      <w:r>
        <w:lastRenderedPageBreak/>
        <w:t xml:space="preserve">reactivity feedback caused by the </w:t>
      </w:r>
      <w:r w:rsidRPr="009F593F">
        <w:t>differential value of control rods</w:t>
      </w:r>
      <w:r>
        <w:t xml:space="preserve">: a small depth increase at BOL has a much greater negative reactivity feedback than </w:t>
      </w:r>
      <w:r w:rsidR="000C1AC6">
        <w:t xml:space="preserve">that </w:t>
      </w:r>
      <w:r>
        <w:t xml:space="preserve">at EOL. This result is clearly shown in Fig. 4(d). This is the main reason </w:t>
      </w:r>
      <w:r w:rsidR="00C96933">
        <w:t>for the increase of</w:t>
      </w:r>
      <w:r>
        <w:t xml:space="preserve"> reactivity fluctuation with the </w:t>
      </w:r>
      <w:r w:rsidR="00C630BC">
        <w:t xml:space="preserve">deepening of </w:t>
      </w:r>
      <w:r>
        <w:t xml:space="preserve">fuel </w:t>
      </w:r>
      <w:r w:rsidR="007E4A2D">
        <w:t>burnup</w:t>
      </w:r>
      <w:r>
        <w: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278"/>
      </w:tblGrid>
      <w:tr w:rsidR="009F60A4" w14:paraId="155C52BA" w14:textId="77777777" w:rsidTr="00670AC8">
        <w:trPr>
          <w:jc w:val="center"/>
        </w:trPr>
        <w:tc>
          <w:tcPr>
            <w:tcW w:w="4237" w:type="dxa"/>
          </w:tcPr>
          <w:p w14:paraId="0127DCBF" w14:textId="5EC604FC" w:rsidR="00092DF2" w:rsidRDefault="00894655" w:rsidP="00EA5193">
            <w:pPr>
              <w:jc w:val="center"/>
              <w:rPr>
                <w:lang w:eastAsia="zh-CN"/>
              </w:rPr>
            </w:pPr>
            <w:r>
              <w:rPr>
                <w:noProof/>
                <w:lang w:val="en-US" w:eastAsia="zh-CN"/>
              </w:rPr>
              <w:drawing>
                <wp:inline distT="0" distB="0" distL="0" distR="0" wp14:anchorId="5CFC8F88" wp14:editId="03CCB19A">
                  <wp:extent cx="2494280" cy="2113915"/>
                  <wp:effectExtent l="0" t="0" r="127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4280" cy="2113915"/>
                          </a:xfrm>
                          <a:prstGeom prst="rect">
                            <a:avLst/>
                          </a:prstGeom>
                          <a:noFill/>
                          <a:ln>
                            <a:noFill/>
                          </a:ln>
                        </pic:spPr>
                      </pic:pic>
                    </a:graphicData>
                  </a:graphic>
                </wp:inline>
              </w:drawing>
            </w:r>
          </w:p>
        </w:tc>
        <w:tc>
          <w:tcPr>
            <w:tcW w:w="4278" w:type="dxa"/>
          </w:tcPr>
          <w:p w14:paraId="714C40BC" w14:textId="56C97333" w:rsidR="001B2081" w:rsidRDefault="009C1026" w:rsidP="00EA5193">
            <w:pPr>
              <w:jc w:val="center"/>
              <w:rPr>
                <w:lang w:eastAsia="zh-CN"/>
              </w:rPr>
            </w:pPr>
            <w:r>
              <w:rPr>
                <w:noProof/>
                <w:lang w:val="en-US" w:eastAsia="zh-CN"/>
              </w:rPr>
              <w:drawing>
                <wp:inline distT="0" distB="0" distL="0" distR="0" wp14:anchorId="122C9BF6" wp14:editId="5FCD01C3">
                  <wp:extent cx="2552700" cy="2128520"/>
                  <wp:effectExtent l="0" t="0" r="0" b="508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2700" cy="2128520"/>
                          </a:xfrm>
                          <a:prstGeom prst="rect">
                            <a:avLst/>
                          </a:prstGeom>
                          <a:noFill/>
                          <a:ln>
                            <a:noFill/>
                          </a:ln>
                        </pic:spPr>
                      </pic:pic>
                    </a:graphicData>
                  </a:graphic>
                </wp:inline>
              </w:drawing>
            </w:r>
          </w:p>
        </w:tc>
      </w:tr>
      <w:tr w:rsidR="009F60A4" w14:paraId="27838BB2" w14:textId="77777777" w:rsidTr="00670AC8">
        <w:trPr>
          <w:jc w:val="center"/>
        </w:trPr>
        <w:tc>
          <w:tcPr>
            <w:tcW w:w="4237" w:type="dxa"/>
            <w:vAlign w:val="center"/>
          </w:tcPr>
          <w:p w14:paraId="11DE7447" w14:textId="7BC61592" w:rsidR="009F60A4" w:rsidRDefault="009F60A4" w:rsidP="009F60A4">
            <w:pPr>
              <w:pStyle w:val="af7"/>
              <w:numPr>
                <w:ilvl w:val="0"/>
                <w:numId w:val="45"/>
              </w:numPr>
              <w:ind w:firstLineChars="0"/>
              <w:jc w:val="center"/>
              <w:rPr>
                <w:lang w:eastAsia="zh-CN"/>
              </w:rPr>
            </w:pPr>
            <w:r w:rsidRPr="007B7161">
              <w:rPr>
                <w:rFonts w:eastAsia="Times New Roman"/>
                <w:i/>
                <w:caps/>
                <w:color w:val="auto"/>
                <w:kern w:val="0"/>
                <w:szCs w:val="20"/>
                <w:lang w:val="en-GB" w:eastAsia="es-ES"/>
              </w:rPr>
              <w:t>N</w:t>
            </w:r>
            <w:r w:rsidR="00FD3A3D" w:rsidRPr="007B7161">
              <w:rPr>
                <w:rFonts w:eastAsia="Times New Roman"/>
                <w:i/>
                <w:color w:val="auto"/>
                <w:kern w:val="0"/>
                <w:szCs w:val="20"/>
                <w:lang w:val="en-GB" w:eastAsia="es-ES"/>
              </w:rPr>
              <w:t>ormalized core power</w:t>
            </w:r>
          </w:p>
        </w:tc>
        <w:tc>
          <w:tcPr>
            <w:tcW w:w="4278" w:type="dxa"/>
            <w:vAlign w:val="center"/>
          </w:tcPr>
          <w:p w14:paraId="3955B167" w14:textId="7F4DF87D" w:rsidR="009F60A4" w:rsidRDefault="00FD3A3D" w:rsidP="001E6A1E">
            <w:pPr>
              <w:pStyle w:val="af7"/>
              <w:numPr>
                <w:ilvl w:val="0"/>
                <w:numId w:val="45"/>
              </w:numPr>
              <w:ind w:left="333" w:firstLineChars="0" w:firstLine="0"/>
              <w:jc w:val="center"/>
              <w:rPr>
                <w:lang w:eastAsia="zh-CN"/>
              </w:rPr>
            </w:pPr>
            <w:r w:rsidRPr="002263EC">
              <w:rPr>
                <w:rFonts w:eastAsia="Times New Roman"/>
                <w:i/>
                <w:color w:val="auto"/>
                <w:kern w:val="0"/>
                <w:szCs w:val="20"/>
                <w:lang w:val="en-GB" w:eastAsia="es-ES"/>
              </w:rPr>
              <w:t>Temperature of fuel</w:t>
            </w:r>
            <w:r w:rsidR="0046084F">
              <w:rPr>
                <w:rFonts w:eastAsia="Times New Roman"/>
                <w:i/>
                <w:caps/>
                <w:color w:val="auto"/>
                <w:kern w:val="0"/>
                <w:szCs w:val="20"/>
                <w:lang w:val="en-GB" w:eastAsia="es-ES"/>
              </w:rPr>
              <w:t xml:space="preserve">, </w:t>
            </w:r>
            <w:r w:rsidRPr="002263EC">
              <w:rPr>
                <w:rFonts w:eastAsia="Times New Roman"/>
                <w:i/>
                <w:color w:val="auto"/>
                <w:kern w:val="0"/>
                <w:szCs w:val="20"/>
                <w:lang w:val="en-GB" w:eastAsia="es-ES"/>
              </w:rPr>
              <w:t>coolant</w:t>
            </w:r>
            <w:r>
              <w:rPr>
                <w:rFonts w:eastAsia="Times New Roman"/>
                <w:i/>
                <w:color w:val="auto"/>
                <w:kern w:val="0"/>
                <w:szCs w:val="20"/>
                <w:lang w:val="en-GB" w:eastAsia="es-ES"/>
              </w:rPr>
              <w:t xml:space="preserve"> in the</w:t>
            </w:r>
            <w:r w:rsidR="0046084F">
              <w:rPr>
                <w:rFonts w:eastAsia="Times New Roman"/>
                <w:i/>
                <w:caps/>
                <w:color w:val="auto"/>
                <w:kern w:val="0"/>
                <w:szCs w:val="20"/>
                <w:lang w:val="en-GB" w:eastAsia="es-ES"/>
              </w:rPr>
              <w:t xml:space="preserve"> </w:t>
            </w:r>
            <w:r>
              <w:rPr>
                <w:rFonts w:eastAsia="Times New Roman"/>
                <w:i/>
                <w:color w:val="auto"/>
                <w:kern w:val="0"/>
                <w:szCs w:val="20"/>
                <w:lang w:val="en-GB" w:eastAsia="es-ES"/>
              </w:rPr>
              <w:t>hottest channel</w:t>
            </w:r>
          </w:p>
        </w:tc>
      </w:tr>
      <w:tr w:rsidR="00082826" w14:paraId="2A89EE1D" w14:textId="77777777" w:rsidTr="00670AC8">
        <w:trPr>
          <w:jc w:val="center"/>
        </w:trPr>
        <w:tc>
          <w:tcPr>
            <w:tcW w:w="4237" w:type="dxa"/>
            <w:vAlign w:val="center"/>
          </w:tcPr>
          <w:p w14:paraId="07B15EF1" w14:textId="6E90AF69" w:rsidR="00082826" w:rsidRDefault="009C1026" w:rsidP="00EA5193">
            <w:pPr>
              <w:pStyle w:val="af7"/>
              <w:ind w:firstLineChars="0" w:firstLine="0"/>
              <w:jc w:val="center"/>
              <w:rPr>
                <w:lang w:eastAsia="zh-CN"/>
              </w:rPr>
            </w:pPr>
            <w:r>
              <w:rPr>
                <w:noProof/>
                <w:lang w:eastAsia="zh-CN"/>
              </w:rPr>
              <w:drawing>
                <wp:inline distT="0" distB="0" distL="0" distR="0" wp14:anchorId="04E669B2" wp14:editId="26F877C5">
                  <wp:extent cx="2551912" cy="2128266"/>
                  <wp:effectExtent l="0" t="0" r="1270" b="571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54099"/>
                          <a:stretch/>
                        </pic:blipFill>
                        <pic:spPr bwMode="auto">
                          <a:xfrm>
                            <a:off x="0" y="0"/>
                            <a:ext cx="2552700" cy="21289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78" w:type="dxa"/>
            <w:vAlign w:val="center"/>
          </w:tcPr>
          <w:p w14:paraId="7C92E5E1" w14:textId="347DD665" w:rsidR="00082826" w:rsidRDefault="009C1026" w:rsidP="00EA5193">
            <w:pPr>
              <w:pStyle w:val="af7"/>
              <w:ind w:firstLineChars="0" w:firstLine="0"/>
              <w:jc w:val="center"/>
              <w:rPr>
                <w:lang w:eastAsia="zh-CN"/>
              </w:rPr>
            </w:pPr>
            <w:r>
              <w:rPr>
                <w:noProof/>
                <w:lang w:eastAsia="zh-CN"/>
              </w:rPr>
              <w:drawing>
                <wp:inline distT="0" distB="0" distL="0" distR="0" wp14:anchorId="18F6B78E" wp14:editId="64D1F5D1">
                  <wp:extent cx="2552700" cy="2121408"/>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54261"/>
                          <a:stretch/>
                        </pic:blipFill>
                        <pic:spPr bwMode="auto">
                          <a:xfrm>
                            <a:off x="0" y="0"/>
                            <a:ext cx="2552700" cy="212140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82826" w14:paraId="46DFE98D" w14:textId="77777777" w:rsidTr="00670AC8">
        <w:trPr>
          <w:jc w:val="center"/>
        </w:trPr>
        <w:tc>
          <w:tcPr>
            <w:tcW w:w="4237" w:type="dxa"/>
          </w:tcPr>
          <w:p w14:paraId="36D7322C" w14:textId="75E87AB7" w:rsidR="00082826" w:rsidRDefault="00FD3A3D" w:rsidP="009F60A4">
            <w:pPr>
              <w:pStyle w:val="af7"/>
              <w:numPr>
                <w:ilvl w:val="0"/>
                <w:numId w:val="45"/>
              </w:numPr>
              <w:ind w:firstLineChars="0"/>
              <w:jc w:val="center"/>
              <w:rPr>
                <w:lang w:eastAsia="zh-CN"/>
              </w:rPr>
            </w:pPr>
            <w:r>
              <w:rPr>
                <w:rFonts w:eastAsia="Times New Roman"/>
                <w:i/>
                <w:color w:val="auto"/>
                <w:kern w:val="0"/>
                <w:szCs w:val="20"/>
                <w:lang w:val="en-GB" w:eastAsia="es-ES"/>
              </w:rPr>
              <w:t xml:space="preserve">Doppler </w:t>
            </w:r>
            <w:r w:rsidRPr="007B7161">
              <w:rPr>
                <w:rFonts w:eastAsia="Times New Roman"/>
                <w:i/>
                <w:color w:val="auto"/>
                <w:kern w:val="0"/>
                <w:szCs w:val="20"/>
                <w:lang w:val="en-GB" w:eastAsia="es-ES"/>
              </w:rPr>
              <w:t>reactivity feedback</w:t>
            </w:r>
          </w:p>
        </w:tc>
        <w:tc>
          <w:tcPr>
            <w:tcW w:w="4278" w:type="dxa"/>
          </w:tcPr>
          <w:p w14:paraId="08808E4E" w14:textId="34FC4B5F" w:rsidR="00082826" w:rsidRDefault="00FD3A3D" w:rsidP="009F60A4">
            <w:pPr>
              <w:pStyle w:val="af7"/>
              <w:numPr>
                <w:ilvl w:val="0"/>
                <w:numId w:val="45"/>
              </w:numPr>
              <w:ind w:firstLineChars="0"/>
              <w:jc w:val="center"/>
              <w:rPr>
                <w:lang w:eastAsia="zh-CN"/>
              </w:rPr>
            </w:pPr>
            <w:r w:rsidRPr="007B7161">
              <w:rPr>
                <w:rFonts w:eastAsia="Times New Roman"/>
                <w:i/>
                <w:color w:val="auto"/>
                <w:kern w:val="0"/>
                <w:szCs w:val="20"/>
                <w:lang w:val="en-GB" w:eastAsia="es-ES"/>
              </w:rPr>
              <w:t>Reactivity feedback</w:t>
            </w:r>
          </w:p>
        </w:tc>
      </w:tr>
    </w:tbl>
    <w:p w14:paraId="4E7C63B6" w14:textId="6D42DB41" w:rsidR="005B3BD5" w:rsidRDefault="005B3BD5" w:rsidP="005B3BD5">
      <w:pPr>
        <w:pStyle w:val="a1"/>
        <w:jc w:val="center"/>
        <w:rPr>
          <w:i/>
          <w:caps/>
          <w:sz w:val="18"/>
          <w:lang w:eastAsia="es-ES"/>
        </w:rPr>
      </w:pPr>
      <w:r w:rsidRPr="007B7161">
        <w:rPr>
          <w:i/>
          <w:caps/>
          <w:sz w:val="18"/>
          <w:lang w:eastAsia="es-ES"/>
        </w:rPr>
        <w:t xml:space="preserve">Fig. </w:t>
      </w:r>
      <w:r w:rsidR="00744C6F">
        <w:rPr>
          <w:i/>
          <w:caps/>
          <w:sz w:val="18"/>
          <w:lang w:eastAsia="es-ES"/>
        </w:rPr>
        <w:t>4</w:t>
      </w:r>
      <w:r w:rsidRPr="007B7161">
        <w:rPr>
          <w:i/>
          <w:caps/>
          <w:sz w:val="18"/>
          <w:lang w:eastAsia="es-ES"/>
        </w:rPr>
        <w:t xml:space="preserve">. </w:t>
      </w:r>
      <w:r w:rsidR="00FD3A3D" w:rsidRPr="007B7161">
        <w:rPr>
          <w:i/>
          <w:sz w:val="18"/>
          <w:lang w:eastAsia="es-ES"/>
        </w:rPr>
        <w:t xml:space="preserve">Results for </w:t>
      </w:r>
      <w:r w:rsidRPr="007B7161">
        <w:rPr>
          <w:i/>
          <w:caps/>
          <w:sz w:val="18"/>
          <w:lang w:eastAsia="es-ES"/>
        </w:rPr>
        <w:t xml:space="preserve">UTOP </w:t>
      </w:r>
      <w:r w:rsidR="00FD3A3D">
        <w:rPr>
          <w:i/>
          <w:sz w:val="18"/>
          <w:lang w:eastAsia="es-ES"/>
        </w:rPr>
        <w:t>with</w:t>
      </w:r>
      <w:r w:rsidR="00FD3A3D" w:rsidRPr="007B7161">
        <w:rPr>
          <w:i/>
          <w:sz w:val="18"/>
          <w:lang w:eastAsia="es-ES"/>
        </w:rPr>
        <w:t xml:space="preserve"> lifetime </w:t>
      </w:r>
      <w:r w:rsidRPr="007B7161">
        <w:rPr>
          <w:i/>
          <w:caps/>
          <w:sz w:val="18"/>
          <w:lang w:eastAsia="es-ES"/>
        </w:rPr>
        <w:t>(EFPD)</w:t>
      </w:r>
    </w:p>
    <w:p w14:paraId="62905C36" w14:textId="09D373B9" w:rsidR="0025411D" w:rsidRDefault="00810342">
      <w:pPr>
        <w:pStyle w:val="a1"/>
      </w:pPr>
      <w:r w:rsidRPr="00810342">
        <w:t xml:space="preserve">In order to clarify the safety performance of the </w:t>
      </w:r>
      <w:r>
        <w:t>core</w:t>
      </w:r>
      <w:r w:rsidRPr="00810342">
        <w:t xml:space="preserve"> under </w:t>
      </w:r>
      <w:r>
        <w:t>various reactivity insertions during lifetime</w:t>
      </w:r>
      <w:r w:rsidRPr="00810342">
        <w:t xml:space="preserve">, the </w:t>
      </w:r>
      <w:r w:rsidR="001D2F83">
        <w:t>maximal fuel and coolant temperature</w:t>
      </w:r>
      <w:r w:rsidRPr="00810342">
        <w:t xml:space="preserve"> </w:t>
      </w:r>
      <w:r w:rsidR="0082656E">
        <w:t>at</w:t>
      </w:r>
      <w:r w:rsidRPr="00810342">
        <w:t xml:space="preserve"> BOL and EOL are compared</w:t>
      </w:r>
      <w:r w:rsidR="00107821">
        <w:t xml:space="preserve"> here</w:t>
      </w:r>
      <w:r w:rsidRPr="00810342">
        <w:t>.</w:t>
      </w:r>
      <w:r w:rsidR="0082656E">
        <w:t xml:space="preserve"> </w:t>
      </w:r>
      <w:r>
        <w:t>T</w:t>
      </w:r>
      <w:r w:rsidRPr="00810342">
        <w:t xml:space="preserve">o avoid local boiling and fuel cladding melting accidents, there is an upper limit on the positive reactivity </w:t>
      </w:r>
      <w:r>
        <w:t>insertion</w:t>
      </w:r>
      <w:r w:rsidR="0082656E">
        <w:t xml:space="preserve"> in</w:t>
      </w:r>
      <w:r w:rsidR="00FA6F8A">
        <w:t>to</w:t>
      </w:r>
      <w:r w:rsidR="0082656E">
        <w:t xml:space="preserve"> the core</w:t>
      </w:r>
      <w:r w:rsidRPr="00810342">
        <w:t>.</w:t>
      </w:r>
      <w:r>
        <w:t xml:space="preserve"> </w:t>
      </w:r>
      <w:r w:rsidR="00107821" w:rsidRPr="00107821">
        <w:t>When reactivity is in</w:t>
      </w:r>
      <w:r w:rsidR="00107821">
        <w:t>sert</w:t>
      </w:r>
      <w:r w:rsidR="00107821" w:rsidRPr="00107821">
        <w:t>ed into the SMSFR</w:t>
      </w:r>
      <w:r w:rsidR="00107821">
        <w:t xml:space="preserve"> </w:t>
      </w:r>
      <w:r w:rsidR="00107821" w:rsidRPr="00107821">
        <w:t>accidentally, the effect of reactivity feedback due to the relative displacement of control rods c</w:t>
      </w:r>
      <w:r w:rsidR="00107821">
        <w:t>ould</w:t>
      </w:r>
      <w:r w:rsidR="00107821" w:rsidRPr="00107821">
        <w:t xml:space="preserve"> be seen in Fig</w:t>
      </w:r>
      <w:r w:rsidR="00107821">
        <w:t>.</w:t>
      </w:r>
      <w:r w:rsidR="00107821" w:rsidRPr="00107821">
        <w:t xml:space="preserve"> 5.</w:t>
      </w:r>
      <w:r w:rsidR="008B4AC7">
        <w:t xml:space="preserve"> </w:t>
      </w:r>
      <w:r w:rsidRPr="00810342">
        <w:t>It can be seen</w:t>
      </w:r>
      <w:r w:rsidR="00107821">
        <w:t xml:space="preserve"> in Fig</w:t>
      </w:r>
      <w:r w:rsidR="008B4AC7">
        <w:t>. 5(a)</w:t>
      </w:r>
      <w:r w:rsidRPr="00810342">
        <w:t xml:space="preserve"> that the</w:t>
      </w:r>
      <w:r w:rsidR="0082656E">
        <w:t xml:space="preserve"> </w:t>
      </w:r>
      <w:r w:rsidRPr="00810342">
        <w:t>reactivity in</w:t>
      </w:r>
      <w:r w:rsidR="0082656E">
        <w:t>sertion</w:t>
      </w:r>
      <w:r w:rsidRPr="00810342">
        <w:t xml:space="preserve"> </w:t>
      </w:r>
      <w:r w:rsidR="0082656E">
        <w:t>allowed</w:t>
      </w:r>
      <w:r w:rsidRPr="00810342">
        <w:t xml:space="preserve"> at </w:t>
      </w:r>
      <w:r w:rsidR="0082656E">
        <w:t>EOL</w:t>
      </w:r>
      <w:r w:rsidR="00B80099">
        <w:t xml:space="preserve"> </w:t>
      </w:r>
      <w:r w:rsidR="00EA5193">
        <w:rPr>
          <w:rFonts w:hint="eastAsia"/>
          <w:lang w:eastAsia="zh-CN"/>
        </w:rPr>
        <w:t>(</w:t>
      </w:r>
      <w:r w:rsidR="00EA5193">
        <w:rPr>
          <w:lang w:eastAsia="zh-CN"/>
        </w:rPr>
        <w:t>2</w:t>
      </w:r>
      <w:r w:rsidR="00B80099">
        <w:rPr>
          <w:lang w:eastAsia="zh-CN"/>
        </w:rPr>
        <w:t>25</w:t>
      </w:r>
      <w:r w:rsidR="00EA5193">
        <w:rPr>
          <w:lang w:eastAsia="zh-CN"/>
        </w:rPr>
        <w:t xml:space="preserve"> pcm)</w:t>
      </w:r>
      <w:r w:rsidR="00B80099">
        <w:rPr>
          <w:lang w:eastAsia="zh-CN"/>
        </w:rPr>
        <w:t xml:space="preserve"> </w:t>
      </w:r>
      <w:r w:rsidRPr="00810342">
        <w:t xml:space="preserve">is lower than </w:t>
      </w:r>
      <w:r w:rsidR="0082656E">
        <w:t xml:space="preserve">that </w:t>
      </w:r>
      <w:r w:rsidRPr="00810342">
        <w:t xml:space="preserve">at </w:t>
      </w:r>
      <w:r w:rsidR="0082656E">
        <w:t>BOL</w:t>
      </w:r>
      <w:r w:rsidR="00B80099">
        <w:t xml:space="preserve"> (250 pcm)</w:t>
      </w:r>
      <w:r w:rsidR="00107821">
        <w:t>.</w:t>
      </w:r>
      <w:r w:rsidR="008B4AC7">
        <w:t xml:space="preserve"> C</w:t>
      </w:r>
      <w:r w:rsidR="008B4AC7" w:rsidRPr="008B4AC7">
        <w:t>onsidering the effect of the reactivity feedback due to the relative displacement of control rods</w:t>
      </w:r>
      <w:r w:rsidR="00624813">
        <w:t xml:space="preserve"> (in Fig. 5(b))</w:t>
      </w:r>
      <w:r w:rsidR="008B4AC7" w:rsidRPr="008B4AC7">
        <w:t>, the allowable reactivity in</w:t>
      </w:r>
      <w:r w:rsidR="008B4AC7">
        <w:t>ser</w:t>
      </w:r>
      <w:r w:rsidR="008B4AC7" w:rsidRPr="008B4AC7">
        <w:t xml:space="preserve">tion value increases, especially at </w:t>
      </w:r>
      <w:r w:rsidR="008B4AC7">
        <w:t>BOL</w:t>
      </w:r>
      <w:r w:rsidR="008B4AC7" w:rsidRPr="008B4AC7">
        <w:t xml:space="preserve">: </w:t>
      </w:r>
      <w:r w:rsidR="008B4AC7">
        <w:t>550 pcm</w:t>
      </w:r>
      <w:r w:rsidR="008B4AC7" w:rsidRPr="008B4AC7">
        <w:t xml:space="preserve"> at </w:t>
      </w:r>
      <w:r w:rsidR="008B4AC7">
        <w:t>BOL</w:t>
      </w:r>
      <w:r w:rsidR="008B4AC7" w:rsidRPr="008B4AC7">
        <w:t xml:space="preserve"> and </w:t>
      </w:r>
      <w:r w:rsidR="008B4AC7">
        <w:t>280 pcm at EOL</w:t>
      </w:r>
      <w:r w:rsidR="00624813">
        <w:t>,</w:t>
      </w:r>
      <w:r w:rsidR="008B4AC7">
        <w:t xml:space="preserve"> </w:t>
      </w:r>
      <w:r w:rsidR="008B4AC7" w:rsidRPr="008B4AC7">
        <w:t>respectively.</w:t>
      </w:r>
      <w:r w:rsidR="008B4AC7">
        <w:t xml:space="preserve"> </w:t>
      </w:r>
      <w:r w:rsidRPr="00810342">
        <w:t xml:space="preserve">It should be noted that the </w:t>
      </w:r>
      <w:r w:rsidR="0082656E">
        <w:t xml:space="preserve">temperature </w:t>
      </w:r>
      <w:r w:rsidRPr="00810342">
        <w:t>limit</w:t>
      </w:r>
      <w:r w:rsidR="0082656E">
        <w:t>ation</w:t>
      </w:r>
      <w:r w:rsidRPr="00810342">
        <w:t xml:space="preserve"> in the </w:t>
      </w:r>
      <w:r w:rsidR="0082656E">
        <w:t>graph</w:t>
      </w:r>
      <w:r w:rsidRPr="00810342">
        <w:t xml:space="preserve"> </w:t>
      </w:r>
      <w:r w:rsidR="0025411D">
        <w:t xml:space="preserve">didn’t </w:t>
      </w:r>
      <w:r w:rsidR="0082656E">
        <w:t xml:space="preserve">take any safety </w:t>
      </w:r>
      <w:r w:rsidR="0082656E" w:rsidRPr="00810342">
        <w:t xml:space="preserve">margin </w:t>
      </w:r>
      <w:r w:rsidR="0082656E">
        <w:t>into</w:t>
      </w:r>
      <w:r w:rsidR="0025411D">
        <w:t xml:space="preserve"> account</w:t>
      </w:r>
      <w:r w:rsidRPr="00810342">
        <w:t>.</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4"/>
      </w:tblGrid>
      <w:tr w:rsidR="00855E90" w14:paraId="49FBF1C4" w14:textId="77777777" w:rsidTr="002903D4">
        <w:trPr>
          <w:jc w:val="center"/>
        </w:trPr>
        <w:tc>
          <w:tcPr>
            <w:tcW w:w="0" w:type="auto"/>
            <w:shd w:val="clear" w:color="auto" w:fill="auto"/>
          </w:tcPr>
          <w:p w14:paraId="1AC634ED" w14:textId="0118864C" w:rsidR="00855E90" w:rsidRDefault="008B4AC7" w:rsidP="002903D4">
            <w:pPr>
              <w:pStyle w:val="a1"/>
              <w:ind w:firstLine="0"/>
              <w:jc w:val="center"/>
            </w:pPr>
            <w:r>
              <w:rPr>
                <w:noProof/>
              </w:rPr>
              <w:drawing>
                <wp:inline distT="0" distB="0" distL="0" distR="0" wp14:anchorId="24E4B221" wp14:editId="74926F62">
                  <wp:extent cx="2808000" cy="2019311"/>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8000" cy="2019311"/>
                          </a:xfrm>
                          <a:prstGeom prst="rect">
                            <a:avLst/>
                          </a:prstGeom>
                          <a:noFill/>
                          <a:ln>
                            <a:noFill/>
                          </a:ln>
                        </pic:spPr>
                      </pic:pic>
                    </a:graphicData>
                  </a:graphic>
                </wp:inline>
              </w:drawing>
            </w:r>
          </w:p>
        </w:tc>
        <w:tc>
          <w:tcPr>
            <w:tcW w:w="0" w:type="auto"/>
            <w:shd w:val="clear" w:color="auto" w:fill="auto"/>
          </w:tcPr>
          <w:p w14:paraId="40E91CA0" w14:textId="4A6302AD" w:rsidR="00855E90" w:rsidRDefault="008B4AC7" w:rsidP="00C453CB">
            <w:pPr>
              <w:pStyle w:val="a1"/>
              <w:ind w:firstLine="0"/>
            </w:pPr>
            <w:r>
              <w:rPr>
                <w:noProof/>
              </w:rPr>
              <w:drawing>
                <wp:inline distT="0" distB="0" distL="0" distR="0" wp14:anchorId="536A73B9" wp14:editId="35E667FC">
                  <wp:extent cx="2808000" cy="201931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8000" cy="2019311"/>
                          </a:xfrm>
                          <a:prstGeom prst="rect">
                            <a:avLst/>
                          </a:prstGeom>
                          <a:noFill/>
                          <a:ln>
                            <a:noFill/>
                          </a:ln>
                        </pic:spPr>
                      </pic:pic>
                    </a:graphicData>
                  </a:graphic>
                </wp:inline>
              </w:drawing>
            </w:r>
          </w:p>
        </w:tc>
      </w:tr>
      <w:tr w:rsidR="00855E90" w14:paraId="4C86A00E" w14:textId="77777777" w:rsidTr="002903D4">
        <w:trPr>
          <w:jc w:val="center"/>
        </w:trPr>
        <w:tc>
          <w:tcPr>
            <w:tcW w:w="0" w:type="auto"/>
            <w:shd w:val="clear" w:color="auto" w:fill="auto"/>
          </w:tcPr>
          <w:p w14:paraId="6176C0DF" w14:textId="4A9E16AB" w:rsidR="00855E90" w:rsidRDefault="008B4AC7" w:rsidP="002903D4">
            <w:pPr>
              <w:pStyle w:val="a1"/>
              <w:numPr>
                <w:ilvl w:val="0"/>
                <w:numId w:val="53"/>
              </w:numPr>
              <w:jc w:val="center"/>
            </w:pPr>
            <w:r>
              <w:rPr>
                <w:rFonts w:hint="eastAsia"/>
                <w:i/>
                <w:caps/>
                <w:sz w:val="18"/>
                <w:lang w:eastAsia="zh-CN"/>
              </w:rPr>
              <w:lastRenderedPageBreak/>
              <w:t>R</w:t>
            </w:r>
            <w:r>
              <w:rPr>
                <w:i/>
                <w:sz w:val="18"/>
                <w:lang w:eastAsia="zh-CN"/>
              </w:rPr>
              <w:t>es</w:t>
            </w:r>
            <w:r>
              <w:rPr>
                <w:i/>
                <w:sz w:val="18"/>
                <w:lang w:eastAsia="es-ES"/>
              </w:rPr>
              <w:t xml:space="preserve">ponse of </w:t>
            </w:r>
            <w:r>
              <w:rPr>
                <w:i/>
                <w:caps/>
                <w:sz w:val="18"/>
                <w:lang w:eastAsia="es-ES"/>
              </w:rPr>
              <w:t xml:space="preserve">SMSFR </w:t>
            </w:r>
            <w:r>
              <w:rPr>
                <w:i/>
                <w:sz w:val="18"/>
                <w:lang w:eastAsia="es-ES"/>
              </w:rPr>
              <w:t>without consideration of control rods displacement</w:t>
            </w:r>
            <w:r w:rsidR="00FD1B3E">
              <w:rPr>
                <w:i/>
                <w:sz w:val="18"/>
                <w:lang w:eastAsia="es-ES"/>
              </w:rPr>
              <w:t xml:space="preserve"> influence</w:t>
            </w:r>
          </w:p>
        </w:tc>
        <w:tc>
          <w:tcPr>
            <w:tcW w:w="0" w:type="auto"/>
            <w:shd w:val="clear" w:color="auto" w:fill="auto"/>
          </w:tcPr>
          <w:p w14:paraId="23D20E98" w14:textId="3A1D1DED" w:rsidR="00855E90" w:rsidRDefault="008B4AC7" w:rsidP="002903D4">
            <w:pPr>
              <w:pStyle w:val="a1"/>
              <w:numPr>
                <w:ilvl w:val="0"/>
                <w:numId w:val="53"/>
              </w:numPr>
              <w:jc w:val="center"/>
            </w:pPr>
            <w:r>
              <w:rPr>
                <w:rFonts w:hint="eastAsia"/>
                <w:i/>
                <w:caps/>
                <w:sz w:val="18"/>
                <w:lang w:eastAsia="zh-CN"/>
              </w:rPr>
              <w:t>R</w:t>
            </w:r>
            <w:r>
              <w:rPr>
                <w:i/>
                <w:sz w:val="18"/>
                <w:lang w:eastAsia="zh-CN"/>
              </w:rPr>
              <w:t>es</w:t>
            </w:r>
            <w:r>
              <w:rPr>
                <w:i/>
                <w:sz w:val="18"/>
                <w:lang w:eastAsia="es-ES"/>
              </w:rPr>
              <w:t xml:space="preserve">ponse of </w:t>
            </w:r>
            <w:r>
              <w:rPr>
                <w:i/>
                <w:caps/>
                <w:sz w:val="18"/>
                <w:lang w:eastAsia="es-ES"/>
              </w:rPr>
              <w:t xml:space="preserve">SMSFR </w:t>
            </w:r>
            <w:r>
              <w:rPr>
                <w:i/>
                <w:sz w:val="18"/>
                <w:lang w:eastAsia="es-ES"/>
              </w:rPr>
              <w:t>with consideration of control rods displacement</w:t>
            </w:r>
            <w:r w:rsidR="00FD1B3E">
              <w:rPr>
                <w:i/>
                <w:sz w:val="18"/>
                <w:lang w:eastAsia="es-ES"/>
              </w:rPr>
              <w:t xml:space="preserve"> influence</w:t>
            </w:r>
          </w:p>
        </w:tc>
      </w:tr>
    </w:tbl>
    <w:p w14:paraId="0DC95709" w14:textId="77777777" w:rsidR="00855E90" w:rsidRDefault="00855E90" w:rsidP="00C453CB">
      <w:pPr>
        <w:pStyle w:val="a1"/>
      </w:pPr>
    </w:p>
    <w:p w14:paraId="5B0F6F54" w14:textId="2C8C292F" w:rsidR="00497420" w:rsidRPr="007B7161" w:rsidRDefault="00497420" w:rsidP="00497420">
      <w:pPr>
        <w:pStyle w:val="a1"/>
        <w:jc w:val="center"/>
        <w:rPr>
          <w:i/>
          <w:caps/>
          <w:sz w:val="18"/>
          <w:lang w:eastAsia="es-ES"/>
        </w:rPr>
      </w:pPr>
      <w:r w:rsidRPr="007B7161">
        <w:rPr>
          <w:i/>
          <w:caps/>
          <w:sz w:val="18"/>
          <w:lang w:eastAsia="es-ES"/>
        </w:rPr>
        <w:t xml:space="preserve">Fig. </w:t>
      </w:r>
      <w:r w:rsidR="00744C6F">
        <w:rPr>
          <w:i/>
          <w:caps/>
          <w:sz w:val="18"/>
          <w:lang w:eastAsia="es-ES"/>
        </w:rPr>
        <w:t>5</w:t>
      </w:r>
      <w:r w:rsidRPr="007B7161">
        <w:rPr>
          <w:i/>
          <w:caps/>
          <w:sz w:val="18"/>
          <w:lang w:eastAsia="es-ES"/>
        </w:rPr>
        <w:t xml:space="preserve">. </w:t>
      </w:r>
      <w:r w:rsidR="00F379A8">
        <w:rPr>
          <w:rFonts w:hint="eastAsia"/>
          <w:i/>
          <w:caps/>
          <w:sz w:val="18"/>
          <w:lang w:eastAsia="zh-CN"/>
        </w:rPr>
        <w:t>R</w:t>
      </w:r>
      <w:r w:rsidR="00FD3A3D">
        <w:rPr>
          <w:i/>
          <w:sz w:val="18"/>
          <w:lang w:eastAsia="zh-CN"/>
        </w:rPr>
        <w:t>es</w:t>
      </w:r>
      <w:r w:rsidR="00FD3A3D">
        <w:rPr>
          <w:i/>
          <w:sz w:val="18"/>
          <w:lang w:eastAsia="es-ES"/>
        </w:rPr>
        <w:t xml:space="preserve">ponse of </w:t>
      </w:r>
      <w:r w:rsidR="00F379A8">
        <w:rPr>
          <w:i/>
          <w:caps/>
          <w:sz w:val="18"/>
          <w:lang w:eastAsia="es-ES"/>
        </w:rPr>
        <w:t xml:space="preserve">SMSFR </w:t>
      </w:r>
      <w:r w:rsidR="00FD3A3D">
        <w:rPr>
          <w:i/>
          <w:sz w:val="18"/>
          <w:lang w:eastAsia="es-ES"/>
        </w:rPr>
        <w:t>to the reactivity insertion</w:t>
      </w:r>
    </w:p>
    <w:p w14:paraId="39C42E8A" w14:textId="7C2C0FF7" w:rsidR="004B2EE8" w:rsidRDefault="004B2EE8" w:rsidP="007B7161">
      <w:pPr>
        <w:pStyle w:val="3"/>
        <w:numPr>
          <w:ilvl w:val="2"/>
          <w:numId w:val="36"/>
        </w:numPr>
      </w:pPr>
      <w:r>
        <w:t>ULOF event analysis</w:t>
      </w:r>
    </w:p>
    <w:p w14:paraId="363A3954" w14:textId="475E6A79" w:rsidR="004B2EE8" w:rsidRDefault="004B2EE8" w:rsidP="004B2EE8">
      <w:pPr>
        <w:pStyle w:val="a1"/>
      </w:pPr>
      <w:r>
        <w:t>In the ULOF analysis, a transient is assumed that three of the four primary pumps lose power as t=0</w:t>
      </w:r>
      <w:r w:rsidR="00AE14BD">
        <w:t xml:space="preserve"> </w:t>
      </w:r>
      <w:r>
        <w:t>s, and the primary flow decays exponentially (with a half-time of 40</w:t>
      </w:r>
      <w:r w:rsidR="00121E70">
        <w:t xml:space="preserve"> </w:t>
      </w:r>
      <w:r>
        <w:t>s) to 25% of the initial value. Meanwhile, the secondary loop of the reactor maintains normal operation.</w:t>
      </w:r>
    </w:p>
    <w:p w14:paraId="63906D09" w14:textId="47FC21B1" w:rsidR="004B2EE8" w:rsidRDefault="003B7024" w:rsidP="004B2EE8">
      <w:pPr>
        <w:pStyle w:val="a1"/>
      </w:pPr>
      <w:r>
        <w:t xml:space="preserve">In </w:t>
      </w:r>
      <w:r w:rsidR="004B2EE8">
        <w:t xml:space="preserve">Fig. </w:t>
      </w:r>
      <w:r w:rsidR="00237A66">
        <w:t>6</w:t>
      </w:r>
      <w:r w:rsidR="00CD73DA">
        <w:t>(a)</w:t>
      </w:r>
      <w:r>
        <w:t>, the calculation result at BOL</w:t>
      </w:r>
      <w:r w:rsidR="004B2EE8">
        <w:t xml:space="preserve"> show</w:t>
      </w:r>
      <w:r w:rsidR="00CB67FA">
        <w:t>s</w:t>
      </w:r>
      <w:r w:rsidR="004B2EE8">
        <w:t xml:space="preserve"> that the core power reduced to an asymptotic value about </w:t>
      </w:r>
      <w:r w:rsidR="000772FB">
        <w:t>43</w:t>
      </w:r>
      <w:r w:rsidR="004B2EE8">
        <w:t>% of the initial value as the flow decreases. The temperature of the primary circuit coolant has a significant rise due to the mismatch between the core power and the coolant flow, and the corresponding peak temperature of the core outlet coolant is on the verge of boiling</w:t>
      </w:r>
      <w:r w:rsidR="00CD73DA">
        <w:t xml:space="preserve"> (Fig. 6(b))</w:t>
      </w:r>
      <w:r w:rsidR="004B2EE8">
        <w:t xml:space="preserve">. In Fig. </w:t>
      </w:r>
      <w:r w:rsidR="00AE14BD">
        <w:t>6(c)</w:t>
      </w:r>
      <w:r w:rsidR="004B2EE8">
        <w:t>, it can be seen that the reactivity feedback of “Doppler effect” (due to the decrease of fuel temperature) and “Dia. Exp.” (due to the diagrid shrinkage caused by decrease of core inlet temperature) bring positive effects, counterbalanced mainly by the negative feedback effects resulting from the coolant temperature rise. From the discussion in 3.1, the effect of “</w:t>
      </w:r>
      <w:r w:rsidR="00AB0900">
        <w:t>Ctr</w:t>
      </w:r>
      <w:r w:rsidR="004B2EE8">
        <w:t>. Exp.” is weakest at EOL, when the reactor is also in the most insecure state over lifetime</w:t>
      </w:r>
      <w:r w:rsidR="000772FB">
        <w:t>. As shown</w:t>
      </w:r>
      <w:r w:rsidR="00ED2D9F">
        <w:t xml:space="preserve"> in Fig. 6</w:t>
      </w:r>
      <w:r w:rsidR="000772FB">
        <w:t xml:space="preserve">, although the same </w:t>
      </w:r>
      <w:r w:rsidR="000772FB" w:rsidRPr="000772FB">
        <w:t>flow attenuation</w:t>
      </w:r>
      <w:r w:rsidR="000772FB">
        <w:t xml:space="preserve"> was initiated at EOL, the core reaches a new steady state with a higher power, fuel and medium temperature tha</w:t>
      </w:r>
      <w:r w:rsidR="009519BC">
        <w:t>n that at BOL. The reason could be found in Fig. 6(c), in which the negativity feedback brought by the control rod expansion at EOL is weaker than that at BOL.</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D054EC" w14:paraId="75AFFD70" w14:textId="77777777" w:rsidTr="001E6A1E">
        <w:tc>
          <w:tcPr>
            <w:tcW w:w="4508" w:type="dxa"/>
          </w:tcPr>
          <w:p w14:paraId="181B9DE7" w14:textId="43CFBBB3" w:rsidR="00D054EC" w:rsidRDefault="00690DDA" w:rsidP="001E6A1E">
            <w:pPr>
              <w:pStyle w:val="a1"/>
              <w:ind w:firstLine="0"/>
              <w:jc w:val="center"/>
            </w:pPr>
            <w:r>
              <w:rPr>
                <w:noProof/>
              </w:rPr>
              <w:drawing>
                <wp:inline distT="0" distB="0" distL="0" distR="0" wp14:anchorId="1B1C2A90" wp14:editId="7434AD79">
                  <wp:extent cx="2512695" cy="2130839"/>
                  <wp:effectExtent l="0" t="0" r="1905" b="317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54032"/>
                          <a:stretch/>
                        </pic:blipFill>
                        <pic:spPr bwMode="auto">
                          <a:xfrm>
                            <a:off x="0" y="0"/>
                            <a:ext cx="2512695" cy="21308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76855F90" w14:textId="5CC9E0AB" w:rsidR="00D054EC" w:rsidRDefault="00690DDA" w:rsidP="001E6A1E">
            <w:pPr>
              <w:pStyle w:val="a1"/>
              <w:ind w:firstLine="0"/>
              <w:jc w:val="center"/>
            </w:pPr>
            <w:r>
              <w:rPr>
                <w:noProof/>
              </w:rPr>
              <w:drawing>
                <wp:inline distT="0" distB="0" distL="0" distR="0" wp14:anchorId="0B2FF09B" wp14:editId="26B0DC8D">
                  <wp:extent cx="2512695" cy="2120900"/>
                  <wp:effectExtent l="0" t="0" r="190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54246"/>
                          <a:stretch/>
                        </pic:blipFill>
                        <pic:spPr bwMode="auto">
                          <a:xfrm>
                            <a:off x="0" y="0"/>
                            <a:ext cx="2512695" cy="21209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54EC" w14:paraId="39551474" w14:textId="77777777" w:rsidTr="001E6A1E">
        <w:tc>
          <w:tcPr>
            <w:tcW w:w="9017" w:type="dxa"/>
            <w:gridSpan w:val="2"/>
          </w:tcPr>
          <w:p w14:paraId="763A6582" w14:textId="1B688149" w:rsidR="00D054EC" w:rsidRDefault="00FD3A3D" w:rsidP="001E6A1E">
            <w:pPr>
              <w:pStyle w:val="af7"/>
              <w:numPr>
                <w:ilvl w:val="0"/>
                <w:numId w:val="46"/>
              </w:numPr>
              <w:ind w:firstLineChars="0"/>
              <w:jc w:val="center"/>
            </w:pPr>
            <w:r w:rsidRPr="007B7161">
              <w:rPr>
                <w:rFonts w:eastAsia="Times New Roman"/>
                <w:i/>
                <w:color w:val="auto"/>
                <w:kern w:val="0"/>
                <w:szCs w:val="20"/>
                <w:lang w:val="en-GB" w:eastAsia="es-ES"/>
              </w:rPr>
              <w:t>Normalized core power</w:t>
            </w:r>
          </w:p>
        </w:tc>
      </w:tr>
      <w:tr w:rsidR="00D054EC" w14:paraId="151932C2" w14:textId="77777777" w:rsidTr="001E6A1E">
        <w:tc>
          <w:tcPr>
            <w:tcW w:w="4508" w:type="dxa"/>
          </w:tcPr>
          <w:p w14:paraId="0FFE7318" w14:textId="7D2CE6F2" w:rsidR="00D054EC" w:rsidRDefault="00CD73DA" w:rsidP="001E6A1E">
            <w:pPr>
              <w:pStyle w:val="a1"/>
              <w:ind w:firstLine="0"/>
              <w:jc w:val="left"/>
            </w:pPr>
            <w:r>
              <w:rPr>
                <w:noProof/>
              </w:rPr>
              <w:drawing>
                <wp:inline distT="0" distB="0" distL="0" distR="0" wp14:anchorId="18BE1B1A" wp14:editId="4F9C5FC6">
                  <wp:extent cx="2584450" cy="2122888"/>
                  <wp:effectExtent l="0" t="0" r="635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4204"/>
                          <a:stretch/>
                        </pic:blipFill>
                        <pic:spPr bwMode="auto">
                          <a:xfrm>
                            <a:off x="0" y="0"/>
                            <a:ext cx="2584450" cy="21228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2F92281A" w14:textId="6E619E7C" w:rsidR="00D054EC" w:rsidRDefault="007562B4" w:rsidP="001E6A1E">
            <w:pPr>
              <w:pStyle w:val="a1"/>
              <w:ind w:firstLine="0"/>
              <w:jc w:val="left"/>
            </w:pPr>
            <w:r>
              <w:rPr>
                <w:noProof/>
              </w:rPr>
              <w:drawing>
                <wp:inline distT="0" distB="0" distL="0" distR="0" wp14:anchorId="36071E99" wp14:editId="717A9568">
                  <wp:extent cx="2584450" cy="2128520"/>
                  <wp:effectExtent l="0" t="0" r="6350" b="508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b="54082"/>
                          <a:stretch/>
                        </pic:blipFill>
                        <pic:spPr bwMode="auto">
                          <a:xfrm>
                            <a:off x="0" y="0"/>
                            <a:ext cx="2584450" cy="21285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54EC" w14:paraId="24D9D079" w14:textId="77777777" w:rsidTr="001E6A1E">
        <w:tc>
          <w:tcPr>
            <w:tcW w:w="9017" w:type="dxa"/>
            <w:gridSpan w:val="2"/>
          </w:tcPr>
          <w:p w14:paraId="25681427" w14:textId="5DF9895B" w:rsidR="00D054EC" w:rsidRDefault="00FD3A3D" w:rsidP="007D12B8">
            <w:pPr>
              <w:pStyle w:val="af7"/>
              <w:numPr>
                <w:ilvl w:val="0"/>
                <w:numId w:val="46"/>
              </w:numPr>
              <w:ind w:left="357" w:firstLineChars="0" w:hanging="357"/>
              <w:jc w:val="center"/>
            </w:pPr>
            <w:r w:rsidRPr="007B7161">
              <w:rPr>
                <w:rFonts w:eastAsia="Times New Roman"/>
                <w:i/>
                <w:color w:val="auto"/>
                <w:kern w:val="0"/>
                <w:szCs w:val="20"/>
                <w:lang w:val="en-GB" w:eastAsia="es-ES"/>
              </w:rPr>
              <w:t>Temperature of fuel and coolant (“fmax”,</w:t>
            </w:r>
            <w:r w:rsidR="00D054EC" w:rsidRPr="007B7161">
              <w:rPr>
                <w:rFonts w:eastAsia="Times New Roman"/>
                <w:i/>
                <w:caps/>
                <w:color w:val="auto"/>
                <w:kern w:val="0"/>
                <w:szCs w:val="20"/>
                <w:lang w:val="en-GB" w:eastAsia="es-ES"/>
              </w:rPr>
              <w:t xml:space="preserve"> “</w:t>
            </w:r>
            <w:proofErr w:type="spellStart"/>
            <w:r>
              <w:rPr>
                <w:rFonts w:eastAsia="Times New Roman"/>
                <w:i/>
                <w:color w:val="auto"/>
                <w:kern w:val="0"/>
                <w:szCs w:val="20"/>
                <w:lang w:val="en-GB" w:eastAsia="es-ES"/>
              </w:rPr>
              <w:t>c</w:t>
            </w:r>
            <w:r w:rsidRPr="007B7161">
              <w:rPr>
                <w:rFonts w:eastAsia="Times New Roman"/>
                <w:i/>
                <w:color w:val="auto"/>
                <w:kern w:val="0"/>
                <w:szCs w:val="20"/>
                <w:lang w:val="en-GB" w:eastAsia="es-ES"/>
              </w:rPr>
              <w:t>omax</w:t>
            </w:r>
            <w:proofErr w:type="spellEnd"/>
            <w:r w:rsidRPr="007B7161">
              <w:rPr>
                <w:rFonts w:eastAsia="Times New Roman"/>
                <w:i/>
                <w:color w:val="auto"/>
                <w:kern w:val="0"/>
                <w:szCs w:val="20"/>
                <w:lang w:val="en-GB" w:eastAsia="es-ES"/>
              </w:rPr>
              <w:t>” for the temperature of fuel and outlet coolant</w:t>
            </w:r>
            <w:r>
              <w:rPr>
                <w:rFonts w:eastAsia="Times New Roman"/>
                <w:i/>
                <w:color w:val="auto"/>
                <w:kern w:val="0"/>
                <w:szCs w:val="20"/>
                <w:lang w:val="en-GB" w:eastAsia="es-ES"/>
              </w:rPr>
              <w:t xml:space="preserve"> in the hottest channel</w:t>
            </w:r>
            <w:r w:rsidR="00D054EC" w:rsidRPr="007B7161">
              <w:rPr>
                <w:rFonts w:eastAsia="Times New Roman"/>
                <w:i/>
                <w:caps/>
                <w:color w:val="auto"/>
                <w:kern w:val="0"/>
                <w:szCs w:val="20"/>
                <w:lang w:val="en-GB" w:eastAsia="es-ES"/>
              </w:rPr>
              <w:t>)</w:t>
            </w:r>
          </w:p>
        </w:tc>
      </w:tr>
      <w:tr w:rsidR="00D054EC" w14:paraId="7C5EA07C" w14:textId="77777777" w:rsidTr="001E6A1E">
        <w:tc>
          <w:tcPr>
            <w:tcW w:w="4508" w:type="dxa"/>
          </w:tcPr>
          <w:p w14:paraId="531F7431" w14:textId="49174B7D" w:rsidR="00D054EC" w:rsidRDefault="00CD73DA" w:rsidP="004B2EE8">
            <w:pPr>
              <w:pStyle w:val="a1"/>
              <w:ind w:firstLine="0"/>
            </w:pPr>
            <w:r>
              <w:rPr>
                <w:noProof/>
              </w:rPr>
              <w:lastRenderedPageBreak/>
              <w:drawing>
                <wp:inline distT="0" distB="0" distL="0" distR="0" wp14:anchorId="6D3B6D14" wp14:editId="7E48A81F">
                  <wp:extent cx="2568575" cy="2114936"/>
                  <wp:effectExtent l="0" t="0" r="317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54375"/>
                          <a:stretch/>
                        </pic:blipFill>
                        <pic:spPr bwMode="auto">
                          <a:xfrm>
                            <a:off x="0" y="0"/>
                            <a:ext cx="2568575" cy="2114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78B96B84" w14:textId="76B10C10" w:rsidR="00D054EC" w:rsidRDefault="00CD73DA" w:rsidP="004B2EE8">
            <w:pPr>
              <w:pStyle w:val="a1"/>
              <w:ind w:firstLine="0"/>
            </w:pPr>
            <w:r>
              <w:rPr>
                <w:noProof/>
              </w:rPr>
              <w:drawing>
                <wp:inline distT="0" distB="0" distL="0" distR="0" wp14:anchorId="3684881B" wp14:editId="1858088E">
                  <wp:extent cx="2568575" cy="2121535"/>
                  <wp:effectExtent l="0" t="0" r="317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54233"/>
                          <a:stretch/>
                        </pic:blipFill>
                        <pic:spPr bwMode="auto">
                          <a:xfrm>
                            <a:off x="0" y="0"/>
                            <a:ext cx="2568575" cy="21215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054EC" w14:paraId="139D90FD" w14:textId="77777777" w:rsidTr="001E6A1E">
        <w:tc>
          <w:tcPr>
            <w:tcW w:w="9017" w:type="dxa"/>
            <w:gridSpan w:val="2"/>
          </w:tcPr>
          <w:p w14:paraId="05F142D5" w14:textId="3FF6CA19" w:rsidR="00D054EC" w:rsidRDefault="00FD3A3D" w:rsidP="001E6A1E">
            <w:pPr>
              <w:pStyle w:val="af7"/>
              <w:numPr>
                <w:ilvl w:val="0"/>
                <w:numId w:val="46"/>
              </w:numPr>
              <w:ind w:firstLineChars="0"/>
              <w:jc w:val="center"/>
            </w:pPr>
            <w:r w:rsidRPr="007B7161">
              <w:rPr>
                <w:rFonts w:eastAsia="Times New Roman"/>
                <w:i/>
                <w:color w:val="auto"/>
                <w:kern w:val="0"/>
                <w:szCs w:val="20"/>
                <w:lang w:val="en-GB" w:eastAsia="es-ES"/>
              </w:rPr>
              <w:t>Reactivity feedback</w:t>
            </w:r>
          </w:p>
        </w:tc>
      </w:tr>
      <w:tr w:rsidR="00D054EC" w14:paraId="3DE06A96" w14:textId="77777777" w:rsidTr="001E6A1E">
        <w:tc>
          <w:tcPr>
            <w:tcW w:w="9017" w:type="dxa"/>
            <w:gridSpan w:val="2"/>
          </w:tcPr>
          <w:p w14:paraId="2DEED14E" w14:textId="06BB9CAB" w:rsidR="00D054EC" w:rsidRPr="001E6A1E" w:rsidRDefault="00D054EC" w:rsidP="001E6A1E">
            <w:pPr>
              <w:pStyle w:val="a1"/>
              <w:jc w:val="center"/>
              <w:rPr>
                <w:i/>
                <w:caps/>
                <w:sz w:val="18"/>
                <w:lang w:eastAsia="es-ES"/>
              </w:rPr>
            </w:pPr>
            <w:r w:rsidRPr="007B7161">
              <w:rPr>
                <w:i/>
                <w:caps/>
                <w:sz w:val="18"/>
                <w:lang w:eastAsia="es-ES"/>
              </w:rPr>
              <w:t>Fig. 6. R</w:t>
            </w:r>
            <w:r w:rsidR="00FD3A3D" w:rsidRPr="007B7161">
              <w:rPr>
                <w:i/>
                <w:sz w:val="18"/>
                <w:lang w:eastAsia="es-ES"/>
              </w:rPr>
              <w:t xml:space="preserve">esults for </w:t>
            </w:r>
            <w:r w:rsidRPr="007B7161">
              <w:rPr>
                <w:i/>
                <w:caps/>
                <w:sz w:val="18"/>
                <w:lang w:eastAsia="es-ES"/>
              </w:rPr>
              <w:t>ULOF</w:t>
            </w:r>
          </w:p>
        </w:tc>
      </w:tr>
    </w:tbl>
    <w:p w14:paraId="174BDA10" w14:textId="093D1EB0" w:rsidR="009D0D32" w:rsidRDefault="004B2EE8">
      <w:pPr>
        <w:pStyle w:val="a1"/>
      </w:pPr>
      <w:r w:rsidRPr="004B2EE8">
        <w:t xml:space="preserve">Based on the assumption </w:t>
      </w:r>
      <w:r w:rsidR="00517065">
        <w:t>of the transient</w:t>
      </w:r>
      <w:r w:rsidRPr="004B2EE8">
        <w:t>, the impacts of the flow decay rate (measured by hal</w:t>
      </w:r>
      <w:r w:rsidR="008C1D8E">
        <w:t>ving</w:t>
      </w:r>
      <w:r w:rsidRPr="004B2EE8">
        <w:t xml:space="preserve"> time, T</w:t>
      </w:r>
      <w:r w:rsidRPr="00670AC8">
        <w:rPr>
          <w:vertAlign w:val="subscript"/>
        </w:rPr>
        <w:t>1/2</w:t>
      </w:r>
      <w:r w:rsidRPr="004B2EE8">
        <w:t>) and the</w:t>
      </w:r>
      <w:r w:rsidR="001106CE">
        <w:t xml:space="preserve"> steady</w:t>
      </w:r>
      <w:r w:rsidRPr="004B2EE8">
        <w:t xml:space="preserve"> flow after </w:t>
      </w:r>
      <w:r w:rsidR="001106CE">
        <w:t>transient</w:t>
      </w:r>
      <w:r w:rsidR="001106CE" w:rsidRPr="004B2EE8">
        <w:t xml:space="preserve"> </w:t>
      </w:r>
      <w:r w:rsidRPr="004B2EE8">
        <w:t xml:space="preserve">(measured by the proportion of the initial flow, q) on the safety performance are discussed here. As shown in Fig. </w:t>
      </w:r>
      <w:r w:rsidR="00237A66">
        <w:t>7</w:t>
      </w:r>
      <w:r w:rsidRPr="004B2EE8">
        <w:t xml:space="preserve"> and Fig. </w:t>
      </w:r>
      <w:r w:rsidR="00237A66">
        <w:t>8</w:t>
      </w:r>
      <w:r w:rsidRPr="004B2EE8">
        <w:t xml:space="preserve">, the corresponding temperature changes of the outlet coolant temperature </w:t>
      </w:r>
      <w:r w:rsidR="0007570D">
        <w:t xml:space="preserve">of the hottest channel </w:t>
      </w:r>
      <w:r w:rsidRPr="004B2EE8">
        <w:t xml:space="preserve">are obtained under different flow decay speeds and stable flow rates after ULOP. The result indicates that, a higher </w:t>
      </w:r>
      <w:r w:rsidR="00517148">
        <w:t xml:space="preserve">flow </w:t>
      </w:r>
      <w:r w:rsidRPr="004B2EE8">
        <w:t xml:space="preserve">stable </w:t>
      </w:r>
      <w:r w:rsidR="00517148">
        <w:t xml:space="preserve">value </w:t>
      </w:r>
      <w:r w:rsidRPr="004B2EE8">
        <w:t xml:space="preserve">and longer </w:t>
      </w:r>
      <w:r w:rsidR="00517148">
        <w:t>halving time</w:t>
      </w:r>
      <w:r w:rsidRPr="00670AC8">
        <w:rPr>
          <w:vertAlign w:val="subscript"/>
        </w:rPr>
        <w:t xml:space="preserve"> </w:t>
      </w:r>
      <w:r w:rsidRPr="004B2EE8">
        <w:t>is beneficial to avoid the sodium boiling, hence improve the safety performance</w:t>
      </w:r>
      <w:r w:rsidR="00517148">
        <w:t xml:space="preserve">, </w:t>
      </w:r>
      <w:r w:rsidR="008F2073">
        <w:t xml:space="preserve">no matter at </w:t>
      </w:r>
      <w:r w:rsidR="008F2073">
        <w:rPr>
          <w:rFonts w:hint="eastAsia"/>
          <w:lang w:eastAsia="zh-CN"/>
        </w:rPr>
        <w:t>BOL</w:t>
      </w:r>
      <w:r w:rsidR="008F2073">
        <w:t xml:space="preserve"> </w:t>
      </w:r>
      <w:r w:rsidR="008F2073">
        <w:rPr>
          <w:rFonts w:hint="eastAsia"/>
          <w:lang w:eastAsia="zh-CN"/>
        </w:rPr>
        <w:t>or</w:t>
      </w:r>
      <w:r w:rsidR="008F2073">
        <w:t xml:space="preserve"> </w:t>
      </w:r>
      <w:r w:rsidR="008F2073">
        <w:rPr>
          <w:rFonts w:hint="eastAsia"/>
          <w:lang w:eastAsia="zh-CN"/>
        </w:rPr>
        <w:t>EOL</w:t>
      </w:r>
      <w:r w:rsidRPr="004B2EE8">
        <w:t xml:space="preserve">. </w:t>
      </w:r>
      <w:r w:rsidR="00391E4D" w:rsidRPr="00391E4D">
        <w:t>For example, installing idler flywheel in main pump to increase inertia rotation time after shutdown. Moreover, some measures for increasing the natural circulating force, as well as reducing the flow resistance, such as lifting the relative height of heat trap, expanding the flow section within the assembly, will be beneficial to increasing post-transient flow.</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009"/>
        <w:gridCol w:w="3009"/>
      </w:tblGrid>
      <w:tr w:rsidR="00DC657D" w14:paraId="2BC65F71" w14:textId="4485134C" w:rsidTr="00407CB2">
        <w:tc>
          <w:tcPr>
            <w:tcW w:w="3527" w:type="dxa"/>
            <w:vAlign w:val="center"/>
          </w:tcPr>
          <w:p w14:paraId="1BB223F4" w14:textId="472A0DC8" w:rsidR="00DC657D" w:rsidRDefault="00353D2A" w:rsidP="00EA5193">
            <w:pPr>
              <w:pStyle w:val="af7"/>
              <w:ind w:firstLineChars="0" w:firstLine="0"/>
              <w:jc w:val="center"/>
              <w:rPr>
                <w:lang w:eastAsia="zh-CN"/>
              </w:rPr>
            </w:pPr>
            <w:bookmarkStart w:id="2" w:name="_Hlk66533339"/>
            <w:r>
              <w:rPr>
                <w:noProof/>
              </w:rPr>
              <w:drawing>
                <wp:inline distT="0" distB="0" distL="0" distR="0" wp14:anchorId="1A3B27E7" wp14:editId="6CA7F5F2">
                  <wp:extent cx="1836000" cy="1582436"/>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53530"/>
                          <a:stretch/>
                        </pic:blipFill>
                        <pic:spPr bwMode="auto">
                          <a:xfrm>
                            <a:off x="0" y="0"/>
                            <a:ext cx="1836000" cy="15824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63" w:type="dxa"/>
            <w:vAlign w:val="center"/>
          </w:tcPr>
          <w:p w14:paraId="1C19FB32" w14:textId="335F7A43" w:rsidR="00DC657D" w:rsidRDefault="00353D2A" w:rsidP="00407CB2">
            <w:pPr>
              <w:pStyle w:val="af7"/>
              <w:ind w:firstLineChars="0" w:firstLine="0"/>
              <w:jc w:val="center"/>
              <w:rPr>
                <w:lang w:eastAsia="zh-CN"/>
              </w:rPr>
            </w:pPr>
            <w:r>
              <w:rPr>
                <w:noProof/>
              </w:rPr>
              <w:drawing>
                <wp:inline distT="0" distB="0" distL="0" distR="0" wp14:anchorId="1DC23B50" wp14:editId="2C020CF1">
                  <wp:extent cx="1836000" cy="1504054"/>
                  <wp:effectExtent l="0" t="0" r="0" b="127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57340"/>
                          <a:stretch/>
                        </pic:blipFill>
                        <pic:spPr bwMode="auto">
                          <a:xfrm>
                            <a:off x="0" y="0"/>
                            <a:ext cx="1836000" cy="15040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7" w:type="dxa"/>
            <w:vAlign w:val="center"/>
          </w:tcPr>
          <w:p w14:paraId="40422D4A" w14:textId="70E2368D" w:rsidR="00DC657D" w:rsidRDefault="00353D2A" w:rsidP="00407CB2">
            <w:pPr>
              <w:pStyle w:val="af7"/>
              <w:ind w:firstLineChars="0" w:firstLine="0"/>
              <w:jc w:val="center"/>
              <w:rPr>
                <w:noProof/>
                <w:lang w:eastAsia="zh-CN"/>
              </w:rPr>
            </w:pPr>
            <w:r>
              <w:rPr>
                <w:noProof/>
              </w:rPr>
              <w:drawing>
                <wp:inline distT="0" distB="0" distL="0" distR="0" wp14:anchorId="5FD25DE5" wp14:editId="5E90260E">
                  <wp:extent cx="1836000" cy="1523067"/>
                  <wp:effectExtent l="0" t="0" r="0" b="127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56888"/>
                          <a:stretch/>
                        </pic:blipFill>
                        <pic:spPr bwMode="auto">
                          <a:xfrm>
                            <a:off x="0" y="0"/>
                            <a:ext cx="1836000" cy="1523067"/>
                          </a:xfrm>
                          <a:prstGeom prst="rect">
                            <a:avLst/>
                          </a:prstGeom>
                          <a:noFill/>
                          <a:ln>
                            <a:noFill/>
                          </a:ln>
                          <a:extLst>
                            <a:ext uri="{53640926-AAD7-44D8-BBD7-CCE9431645EC}">
                              <a14:shadowObscured xmlns:a14="http://schemas.microsoft.com/office/drawing/2010/main"/>
                            </a:ext>
                          </a:extLst>
                        </pic:spPr>
                      </pic:pic>
                    </a:graphicData>
                  </a:graphic>
                </wp:inline>
              </w:drawing>
            </w:r>
          </w:p>
        </w:tc>
      </w:tr>
    </w:tbl>
    <w:bookmarkEnd w:id="2"/>
    <w:p w14:paraId="5CDEC995" w14:textId="71301501" w:rsidR="00DC657D" w:rsidRDefault="005B3BD5" w:rsidP="00517148">
      <w:pPr>
        <w:pStyle w:val="a1"/>
        <w:jc w:val="center"/>
        <w:rPr>
          <w:i/>
          <w:caps/>
          <w:sz w:val="18"/>
          <w:lang w:eastAsia="es-ES"/>
        </w:rPr>
      </w:pPr>
      <w:r w:rsidRPr="007B7161">
        <w:rPr>
          <w:i/>
          <w:caps/>
          <w:sz w:val="18"/>
          <w:lang w:eastAsia="es-ES"/>
        </w:rPr>
        <w:t>Fig. 7. T</w:t>
      </w:r>
      <w:r w:rsidR="00FD3A3D" w:rsidRPr="007B7161">
        <w:rPr>
          <w:i/>
          <w:sz w:val="18"/>
          <w:lang w:eastAsia="es-ES"/>
        </w:rPr>
        <w:t xml:space="preserve">he influence of </w:t>
      </w:r>
      <w:r w:rsidRPr="007B7161">
        <w:rPr>
          <w:i/>
          <w:caps/>
          <w:sz w:val="18"/>
          <w:lang w:eastAsia="es-ES"/>
        </w:rPr>
        <w:t>T</w:t>
      </w:r>
      <w:r w:rsidRPr="00AB5E70">
        <w:rPr>
          <w:i/>
          <w:caps/>
          <w:sz w:val="18"/>
          <w:vertAlign w:val="subscript"/>
          <w:lang w:eastAsia="es-ES"/>
        </w:rPr>
        <w:t xml:space="preserve">1/2 </w:t>
      </w:r>
      <w:r w:rsidR="00FD3A3D" w:rsidRPr="00517148">
        <w:rPr>
          <w:i/>
          <w:sz w:val="18"/>
          <w:lang w:eastAsia="es-ES"/>
        </w:rPr>
        <w:t>(</w:t>
      </w:r>
      <w:r w:rsidR="00FD3A3D">
        <w:rPr>
          <w:i/>
          <w:sz w:val="18"/>
          <w:lang w:eastAsia="es-ES"/>
        </w:rPr>
        <w:t>halving</w:t>
      </w:r>
      <w:r w:rsidR="00FD3A3D" w:rsidRPr="00517148">
        <w:rPr>
          <w:i/>
          <w:sz w:val="18"/>
          <w:lang w:eastAsia="es-ES"/>
        </w:rPr>
        <w:t xml:space="preserve"> time)</w:t>
      </w:r>
      <w:r w:rsidR="00FD3A3D">
        <w:rPr>
          <w:i/>
          <w:sz w:val="18"/>
          <w:lang w:eastAsia="es-ES"/>
        </w:rPr>
        <w:t xml:space="preserve"> </w:t>
      </w:r>
      <w:r w:rsidR="00FD3A3D" w:rsidRPr="007B7161">
        <w:rPr>
          <w:i/>
          <w:sz w:val="18"/>
          <w:lang w:eastAsia="es-ES"/>
        </w:rPr>
        <w:t>on coolant outlet</w:t>
      </w:r>
      <w:r w:rsidR="00FD3A3D">
        <w:rPr>
          <w:i/>
          <w:sz w:val="18"/>
          <w:lang w:eastAsia="es-ES"/>
        </w:rPr>
        <w:t xml:space="preserve"> </w:t>
      </w:r>
      <w:proofErr w:type="gramStart"/>
      <w:r w:rsidR="00FD3A3D">
        <w:rPr>
          <w:i/>
          <w:sz w:val="18"/>
          <w:lang w:eastAsia="es-ES"/>
        </w:rPr>
        <w:t>temperature</w:t>
      </w:r>
      <w:r w:rsidR="00F41349">
        <w:rPr>
          <w:i/>
          <w:sz w:val="18"/>
          <w:lang w:eastAsia="es-ES"/>
        </w:rPr>
        <w:t>(</w:t>
      </w:r>
      <w:proofErr w:type="gramEnd"/>
      <w:r w:rsidR="00F41349">
        <w:rPr>
          <w:i/>
          <w:sz w:val="18"/>
          <w:lang w:eastAsia="es-ES"/>
        </w:rPr>
        <w:t>q = 0.25)</w:t>
      </w:r>
    </w:p>
    <w:tbl>
      <w:tblPr>
        <w:tblStyle w:val="ae"/>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5"/>
      </w:tblGrid>
      <w:tr w:rsidR="003E713B" w14:paraId="18B3F5DF" w14:textId="0E2CCC8F" w:rsidTr="003E713B">
        <w:tc>
          <w:tcPr>
            <w:tcW w:w="3005" w:type="dxa"/>
            <w:vAlign w:val="center"/>
          </w:tcPr>
          <w:p w14:paraId="3B4A2205" w14:textId="2556AB63" w:rsidR="00DC657D" w:rsidRDefault="00353D2A" w:rsidP="00407CB2">
            <w:pPr>
              <w:pStyle w:val="af7"/>
              <w:ind w:firstLineChars="0" w:firstLine="0"/>
              <w:jc w:val="left"/>
              <w:rPr>
                <w:lang w:eastAsia="zh-CN"/>
              </w:rPr>
            </w:pPr>
            <w:bookmarkStart w:id="3" w:name="_Hlk66533420"/>
            <w:r>
              <w:rPr>
                <w:noProof/>
              </w:rPr>
              <w:drawing>
                <wp:inline distT="0" distB="0" distL="0" distR="0" wp14:anchorId="7D133D70" wp14:editId="615AED47">
                  <wp:extent cx="1836000" cy="1662199"/>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51188"/>
                          <a:stretch/>
                        </pic:blipFill>
                        <pic:spPr bwMode="auto">
                          <a:xfrm>
                            <a:off x="0" y="0"/>
                            <a:ext cx="1836000" cy="16621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vAlign w:val="center"/>
          </w:tcPr>
          <w:p w14:paraId="2607EA4B" w14:textId="08F9AB24" w:rsidR="00DC657D" w:rsidRDefault="00353D2A" w:rsidP="00407CB2">
            <w:pPr>
              <w:pStyle w:val="af7"/>
              <w:ind w:firstLineChars="0" w:firstLine="0"/>
              <w:jc w:val="center"/>
              <w:rPr>
                <w:lang w:eastAsia="zh-CN"/>
              </w:rPr>
            </w:pPr>
            <w:r>
              <w:rPr>
                <w:noProof/>
              </w:rPr>
              <w:drawing>
                <wp:inline distT="0" distB="0" distL="0" distR="0" wp14:anchorId="56188454" wp14:editId="491A61A9">
                  <wp:extent cx="1836000" cy="1535817"/>
                  <wp:effectExtent l="0" t="0" r="0" b="762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56439"/>
                          <a:stretch/>
                        </pic:blipFill>
                        <pic:spPr bwMode="auto">
                          <a:xfrm>
                            <a:off x="0" y="0"/>
                            <a:ext cx="1836000" cy="153581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05" w:type="dxa"/>
            <w:vAlign w:val="center"/>
          </w:tcPr>
          <w:p w14:paraId="67B04D75" w14:textId="6D274411" w:rsidR="00DC657D" w:rsidRDefault="00353D2A" w:rsidP="00407CB2">
            <w:pPr>
              <w:pStyle w:val="af7"/>
              <w:ind w:firstLineChars="0" w:firstLine="0"/>
              <w:jc w:val="left"/>
              <w:rPr>
                <w:noProof/>
                <w:lang w:eastAsia="zh-CN"/>
              </w:rPr>
            </w:pPr>
            <w:r>
              <w:rPr>
                <w:noProof/>
              </w:rPr>
              <w:drawing>
                <wp:inline distT="0" distB="0" distL="0" distR="0" wp14:anchorId="5B699A1B" wp14:editId="7ADE0C1A">
                  <wp:extent cx="1836000" cy="1527486"/>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56763"/>
                          <a:stretch/>
                        </pic:blipFill>
                        <pic:spPr bwMode="auto">
                          <a:xfrm>
                            <a:off x="0" y="0"/>
                            <a:ext cx="1836000" cy="1527486"/>
                          </a:xfrm>
                          <a:prstGeom prst="rect">
                            <a:avLst/>
                          </a:prstGeom>
                          <a:noFill/>
                          <a:ln>
                            <a:noFill/>
                          </a:ln>
                          <a:extLst>
                            <a:ext uri="{53640926-AAD7-44D8-BBD7-CCE9431645EC}">
                              <a14:shadowObscured xmlns:a14="http://schemas.microsoft.com/office/drawing/2010/main"/>
                            </a:ext>
                          </a:extLst>
                        </pic:spPr>
                      </pic:pic>
                    </a:graphicData>
                  </a:graphic>
                </wp:inline>
              </w:drawing>
            </w:r>
          </w:p>
        </w:tc>
      </w:tr>
    </w:tbl>
    <w:bookmarkEnd w:id="3"/>
    <w:p w14:paraId="40B1D719" w14:textId="1734AC7F" w:rsidR="00DC657D" w:rsidRPr="00517148" w:rsidRDefault="005B3BD5" w:rsidP="00517148">
      <w:pPr>
        <w:pStyle w:val="a1"/>
        <w:jc w:val="center"/>
        <w:rPr>
          <w:i/>
          <w:caps/>
          <w:sz w:val="18"/>
          <w:lang w:eastAsia="es-ES"/>
        </w:rPr>
      </w:pPr>
      <w:r w:rsidRPr="007B7161">
        <w:rPr>
          <w:i/>
          <w:caps/>
          <w:sz w:val="18"/>
          <w:lang w:eastAsia="es-ES"/>
        </w:rPr>
        <w:t>Fig. 8. T</w:t>
      </w:r>
      <w:r w:rsidR="00FD3A3D" w:rsidRPr="007B7161">
        <w:rPr>
          <w:i/>
          <w:sz w:val="18"/>
          <w:lang w:eastAsia="es-ES"/>
        </w:rPr>
        <w:t xml:space="preserve">he influence of </w:t>
      </w:r>
      <w:r w:rsidR="004A1DCE" w:rsidRPr="007B7161">
        <w:rPr>
          <w:i/>
          <w:sz w:val="18"/>
          <w:lang w:eastAsia="es-ES"/>
        </w:rPr>
        <w:t>q</w:t>
      </w:r>
      <w:r w:rsidRPr="007B7161">
        <w:rPr>
          <w:i/>
          <w:caps/>
          <w:sz w:val="18"/>
          <w:lang w:eastAsia="es-ES"/>
        </w:rPr>
        <w:t xml:space="preserve"> </w:t>
      </w:r>
      <w:r w:rsidR="00353D2A" w:rsidRPr="007B7161">
        <w:rPr>
          <w:i/>
          <w:sz w:val="18"/>
          <w:lang w:eastAsia="es-ES"/>
        </w:rPr>
        <w:t>(</w:t>
      </w:r>
      <w:r w:rsidR="00353D2A" w:rsidRPr="00517148">
        <w:rPr>
          <w:i/>
          <w:sz w:val="18"/>
          <w:lang w:eastAsia="es-ES"/>
        </w:rPr>
        <w:t>proportion</w:t>
      </w:r>
      <w:r w:rsidR="00FD3A3D" w:rsidRPr="00517148">
        <w:rPr>
          <w:i/>
          <w:sz w:val="18"/>
          <w:lang w:eastAsia="es-ES"/>
        </w:rPr>
        <w:t xml:space="preserve"> of initial flow</w:t>
      </w:r>
      <w:r w:rsidR="00FD3A3D" w:rsidRPr="007B7161">
        <w:rPr>
          <w:i/>
          <w:sz w:val="18"/>
          <w:lang w:eastAsia="es-ES"/>
        </w:rPr>
        <w:t>)</w:t>
      </w:r>
      <w:r w:rsidR="00FD3A3D">
        <w:rPr>
          <w:i/>
          <w:sz w:val="18"/>
          <w:lang w:eastAsia="es-ES"/>
        </w:rPr>
        <w:t xml:space="preserve"> </w:t>
      </w:r>
      <w:r w:rsidR="00FD3A3D" w:rsidRPr="007B7161">
        <w:rPr>
          <w:i/>
          <w:sz w:val="18"/>
          <w:lang w:eastAsia="es-ES"/>
        </w:rPr>
        <w:t xml:space="preserve">on coolant </w:t>
      </w:r>
      <w:r w:rsidR="00FD3A3D">
        <w:rPr>
          <w:i/>
          <w:sz w:val="18"/>
          <w:lang w:eastAsia="es-ES"/>
        </w:rPr>
        <w:t xml:space="preserve">outlet </w:t>
      </w:r>
      <w:proofErr w:type="gramStart"/>
      <w:r w:rsidR="00FD3A3D" w:rsidRPr="007B7161">
        <w:rPr>
          <w:i/>
          <w:sz w:val="18"/>
          <w:lang w:eastAsia="es-ES"/>
        </w:rPr>
        <w:t>temperature</w:t>
      </w:r>
      <w:r w:rsidR="00F41349">
        <w:rPr>
          <w:i/>
          <w:sz w:val="18"/>
          <w:lang w:eastAsia="es-ES"/>
        </w:rPr>
        <w:t>(</w:t>
      </w:r>
      <w:proofErr w:type="gramEnd"/>
      <w:r w:rsidR="00F41349">
        <w:rPr>
          <w:i/>
          <w:sz w:val="18"/>
          <w:lang w:eastAsia="es-ES"/>
        </w:rPr>
        <w:t>T</w:t>
      </w:r>
      <w:r w:rsidR="00F41349" w:rsidRPr="0079678B">
        <w:rPr>
          <w:i/>
          <w:sz w:val="18"/>
          <w:vertAlign w:val="subscript"/>
          <w:lang w:eastAsia="es-ES"/>
        </w:rPr>
        <w:t>1/2</w:t>
      </w:r>
      <w:r w:rsidR="00F41349">
        <w:rPr>
          <w:i/>
          <w:sz w:val="18"/>
          <w:lang w:eastAsia="es-ES"/>
        </w:rPr>
        <w:t xml:space="preserve"> = 40 s)</w:t>
      </w:r>
    </w:p>
    <w:p w14:paraId="7AD0377C" w14:textId="12A8316E" w:rsidR="004B2EE8" w:rsidRDefault="004B2EE8" w:rsidP="007B7161">
      <w:pPr>
        <w:pStyle w:val="3"/>
        <w:numPr>
          <w:ilvl w:val="2"/>
          <w:numId w:val="36"/>
        </w:numPr>
      </w:pPr>
      <w:r>
        <w:t>ULOHS event analysis</w:t>
      </w:r>
    </w:p>
    <w:p w14:paraId="20ED9486" w14:textId="45FCA10B" w:rsidR="004B2EE8" w:rsidRDefault="004B2EE8" w:rsidP="004B2EE8">
      <w:pPr>
        <w:pStyle w:val="a1"/>
      </w:pPr>
      <w:r>
        <w:t xml:space="preserve">In this transient event, the sodium pumps in the secondary </w:t>
      </w:r>
      <w:r w:rsidR="006253B4">
        <w:t xml:space="preserve">loop </w:t>
      </w:r>
      <w:r>
        <w:t>were assumed to fail at t=0</w:t>
      </w:r>
      <w:r w:rsidR="00DC7CF6">
        <w:t xml:space="preserve"> </w:t>
      </w:r>
      <w:r>
        <w:t xml:space="preserve">s, while the primary pumps are assumed operational thereby assuring an efficient heat distribution throughout the primary cooling system with a nominal coolant flow rate. </w:t>
      </w:r>
    </w:p>
    <w:p w14:paraId="5FA939E4" w14:textId="07BB0648" w:rsidR="004B2EE8" w:rsidRDefault="004B2EE8" w:rsidP="00407CB2">
      <w:pPr>
        <w:pStyle w:val="a1"/>
      </w:pPr>
      <w:r>
        <w:lastRenderedPageBreak/>
        <w:t xml:space="preserve">Fig. </w:t>
      </w:r>
      <w:r w:rsidR="00237A66">
        <w:t>9</w:t>
      </w:r>
      <w:r>
        <w:t xml:space="preserve"> display</w:t>
      </w:r>
      <w:r w:rsidR="00237A66">
        <w:t>s</w:t>
      </w:r>
      <w:r>
        <w:t xml:space="preserve"> changes of the core reactivity feedback, temperature and power during ULOHS at BOL</w:t>
      </w:r>
      <w:r w:rsidR="00017E79">
        <w:t xml:space="preserve"> and EOL</w:t>
      </w:r>
      <w:r>
        <w:t>. Both of the inlet and outlet coolant temperature</w:t>
      </w:r>
      <w:r w:rsidR="007E37C5">
        <w:t xml:space="preserve"> of the hottest channel</w:t>
      </w:r>
      <w:r>
        <w:t xml:space="preserve"> increases sharply resulting from the loss of heat sink. Correspondingly, the reactivity feedbacks are generated, in which the negative feedback brought by the expansion of diagrid due to the inlet coolant temperature increasing is particularly significant. Under the limitation of the overall negative feedback, the core power experienced a rapid drop, and finally </w:t>
      </w:r>
      <w:r w:rsidR="00A64DCC">
        <w:rPr>
          <w:rFonts w:hint="eastAsia"/>
          <w:lang w:eastAsia="zh-CN"/>
        </w:rPr>
        <w:t>stabilise</w:t>
      </w:r>
      <w:r w:rsidR="00A64DCC">
        <w:t xml:space="preserve"> </w:t>
      </w:r>
      <w:r>
        <w:t xml:space="preserve">below 20% of the initial </w:t>
      </w:r>
      <w:r w:rsidR="00346CBE">
        <w:t>power</w:t>
      </w:r>
      <w:r>
        <w:t>, resulting in a significant decrease in fuel temperature (</w:t>
      </w:r>
      <w:r w:rsidR="00346CBE">
        <w:t xml:space="preserve">reason for </w:t>
      </w:r>
      <w:r>
        <w:t>the Doppler effect producing positive reactivity feedback). It is worth noting that the increas</w:t>
      </w:r>
      <w:r w:rsidR="007E37C5">
        <w:t>e</w:t>
      </w:r>
      <w:r>
        <w:t xml:space="preserve"> of coolant temperature will cause the control rod to expand and produce an “insertion” effect. But here in ULOHS, the significant drop in fuel temperature (over 800</w:t>
      </w:r>
      <w:r w:rsidR="00DC7CF6">
        <w:t xml:space="preserve"> </w:t>
      </w:r>
      <w:r>
        <w:t>°C) makes the reactor fuel contract toward the bottom of the core axially. The latter effect occupies the main position, generating a</w:t>
      </w:r>
      <w:r w:rsidR="00F52696">
        <w:t>n</w:t>
      </w:r>
      <w:r>
        <w:t xml:space="preserve"> </w:t>
      </w:r>
      <w:r w:rsidR="007E37C5">
        <w:t>“</w:t>
      </w:r>
      <w:r w:rsidR="00F52696">
        <w:t>up</w:t>
      </w:r>
      <w:r>
        <w:t>ward</w:t>
      </w:r>
      <w:r w:rsidR="007E37C5">
        <w:t>”</w:t>
      </w:r>
      <w:r>
        <w:t xml:space="preserve"> effect of the control rod, and introducing positive reactivity into the core. It can be predicted that as the </w:t>
      </w:r>
      <w:r w:rsidR="0087292A">
        <w:t xml:space="preserve">increase of </w:t>
      </w:r>
      <w:r>
        <w:t xml:space="preserve">lifetime </w:t>
      </w:r>
      <w:r w:rsidR="00115EB5">
        <w:t>while</w:t>
      </w:r>
      <w:r>
        <w:t xml:space="preserve"> the </w:t>
      </w:r>
      <w:r w:rsidR="00346CBE">
        <w:rPr>
          <w:lang w:eastAsia="zh-CN"/>
        </w:rPr>
        <w:t xml:space="preserve">differential worth of control rod </w:t>
      </w:r>
      <w:r>
        <w:t>decreases, this positive feedback effect will also weaken: this makes the reactor safer in ULOHS transients</w:t>
      </w:r>
      <w:r w:rsidR="007E37C5">
        <w:t xml:space="preserve"> at EOL</w:t>
      </w:r>
      <w:r>
        <w:t>.</w:t>
      </w:r>
    </w:p>
    <w:p w14:paraId="6C1CF109" w14:textId="4A5F7067" w:rsidR="000F518C" w:rsidRDefault="000F518C" w:rsidP="00D4216E">
      <w:pPr>
        <w:pStyle w:val="a1"/>
      </w:pPr>
      <w:r>
        <w:t xml:space="preserve">Since the core is </w:t>
      </w:r>
      <w:r w:rsidR="00E025D0">
        <w:t xml:space="preserve">still </w:t>
      </w:r>
      <w:r>
        <w:t>generating power (shown in Fig. 9</w:t>
      </w:r>
      <w:r>
        <w:rPr>
          <w:rFonts w:hint="eastAsia"/>
          <w:lang w:eastAsia="zh-CN"/>
        </w:rPr>
        <w:t>(</w:t>
      </w:r>
      <w:r>
        <w:rPr>
          <w:lang w:eastAsia="zh-CN"/>
        </w:rPr>
        <w:t>c)</w:t>
      </w:r>
      <w:r>
        <w:t>), the temperature of coolant in the core increases slowly with time</w:t>
      </w:r>
      <w:r w:rsidR="007E37C5">
        <w:t xml:space="preserve"> and </w:t>
      </w:r>
      <w:r>
        <w:t xml:space="preserve">eventually reaching the boiling point of sodium after </w:t>
      </w:r>
      <w:r w:rsidR="008E075D">
        <w:t>a time</w:t>
      </w:r>
      <w:r>
        <w:t xml:space="preserve"> (t=1472</w:t>
      </w:r>
      <w:r w:rsidR="00DC7CF6">
        <w:t xml:space="preserve"> </w:t>
      </w:r>
      <w:r>
        <w:t>s)</w:t>
      </w:r>
      <w:r w:rsidR="007E37C5">
        <w:t xml:space="preserve"> at BOL</w:t>
      </w:r>
      <w:r w:rsidR="00D4216E">
        <w:t>.</w:t>
      </w:r>
    </w:p>
    <w:p w14:paraId="526226ED" w14:textId="7A67ABA0" w:rsidR="00346CBE" w:rsidRDefault="00346CBE" w:rsidP="00346CBE">
      <w:pPr>
        <w:pStyle w:val="a1"/>
      </w:pPr>
      <w:r>
        <w:t>The calculation results of ULOHS transient at EOL</w:t>
      </w:r>
      <w:r w:rsidR="00D21863">
        <w:t xml:space="preserve"> shown in Fig. 9</w:t>
      </w:r>
      <w:r>
        <w:t xml:space="preserve"> confirm the above analysis: the positive reactivity introduced by the control rod is significantly reduced, and the coolant temperature is below the sodium boiling point </w:t>
      </w:r>
      <w:r w:rsidR="00D21863">
        <w:t>in</w:t>
      </w:r>
      <w:r>
        <w:t xml:space="preserve"> a </w:t>
      </w:r>
      <w:r w:rsidR="00D21863">
        <w:t>lengthy process</w:t>
      </w:r>
      <w: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5E7081" w14:paraId="49F82F05" w14:textId="77777777" w:rsidTr="001E6A1E">
        <w:tc>
          <w:tcPr>
            <w:tcW w:w="4508" w:type="dxa"/>
          </w:tcPr>
          <w:p w14:paraId="06053E5E" w14:textId="797EE665" w:rsidR="005E7081" w:rsidRDefault="000F50DF" w:rsidP="00D4216E">
            <w:pPr>
              <w:pStyle w:val="a1"/>
              <w:ind w:firstLine="0"/>
            </w:pPr>
            <w:r>
              <w:rPr>
                <w:noProof/>
              </w:rPr>
              <w:drawing>
                <wp:inline distT="0" distB="0" distL="0" distR="0" wp14:anchorId="59FE12FD" wp14:editId="4394B039">
                  <wp:extent cx="2507578" cy="2088000"/>
                  <wp:effectExtent l="0" t="0" r="7620" b="762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53860"/>
                          <a:stretch/>
                        </pic:blipFill>
                        <pic:spPr bwMode="auto">
                          <a:xfrm>
                            <a:off x="0" y="0"/>
                            <a:ext cx="2507578" cy="208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123658C5" w14:textId="2EA8F28C" w:rsidR="000F50DF" w:rsidRDefault="000F50DF" w:rsidP="00D4216E">
            <w:pPr>
              <w:pStyle w:val="a1"/>
              <w:ind w:firstLine="0"/>
            </w:pPr>
            <w:r>
              <w:rPr>
                <w:noProof/>
              </w:rPr>
              <w:drawing>
                <wp:inline distT="0" distB="0" distL="0" distR="0" wp14:anchorId="7CD42368" wp14:editId="170EAA56">
                  <wp:extent cx="2507542" cy="2088000"/>
                  <wp:effectExtent l="0" t="0" r="7620" b="762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53860"/>
                          <a:stretch/>
                        </pic:blipFill>
                        <pic:spPr bwMode="auto">
                          <a:xfrm>
                            <a:off x="0" y="0"/>
                            <a:ext cx="2507542" cy="2088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5B90" w14:paraId="455B5357" w14:textId="77777777" w:rsidTr="001E6A1E">
        <w:tc>
          <w:tcPr>
            <w:tcW w:w="9017" w:type="dxa"/>
            <w:gridSpan w:val="2"/>
          </w:tcPr>
          <w:p w14:paraId="52B00276" w14:textId="672C2E48" w:rsidR="00C25B90" w:rsidRDefault="00FD3A3D" w:rsidP="001E6A1E">
            <w:pPr>
              <w:pStyle w:val="af7"/>
              <w:numPr>
                <w:ilvl w:val="0"/>
                <w:numId w:val="47"/>
              </w:numPr>
              <w:ind w:firstLineChars="0"/>
              <w:jc w:val="center"/>
            </w:pPr>
            <w:r w:rsidRPr="007B7161">
              <w:rPr>
                <w:rFonts w:eastAsia="Times New Roman"/>
                <w:i/>
                <w:color w:val="auto"/>
                <w:kern w:val="0"/>
                <w:szCs w:val="20"/>
                <w:lang w:val="en-GB" w:eastAsia="es-ES"/>
              </w:rPr>
              <w:t>Reactivity feedback</w:t>
            </w:r>
          </w:p>
        </w:tc>
      </w:tr>
      <w:tr w:rsidR="005E7081" w14:paraId="506F7E26" w14:textId="77777777" w:rsidTr="001E6A1E">
        <w:tc>
          <w:tcPr>
            <w:tcW w:w="4508" w:type="dxa"/>
          </w:tcPr>
          <w:p w14:paraId="5B990EB7" w14:textId="626DE98A" w:rsidR="005E7081" w:rsidRDefault="000F50DF" w:rsidP="00D4216E">
            <w:pPr>
              <w:pStyle w:val="a1"/>
              <w:ind w:firstLine="0"/>
            </w:pPr>
            <w:r>
              <w:rPr>
                <w:noProof/>
              </w:rPr>
              <w:drawing>
                <wp:inline distT="0" distB="0" distL="0" distR="0" wp14:anchorId="2B861E12" wp14:editId="4F1B9931">
                  <wp:extent cx="2520000" cy="2062195"/>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54375"/>
                          <a:stretch/>
                        </pic:blipFill>
                        <pic:spPr bwMode="auto">
                          <a:xfrm>
                            <a:off x="0" y="0"/>
                            <a:ext cx="2520000" cy="20621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19D661B8" w14:textId="23A4E2FF" w:rsidR="005E7081" w:rsidRDefault="000F50DF" w:rsidP="00D4216E">
            <w:pPr>
              <w:pStyle w:val="a1"/>
              <w:ind w:firstLine="0"/>
            </w:pPr>
            <w:r>
              <w:rPr>
                <w:noProof/>
              </w:rPr>
              <w:drawing>
                <wp:inline distT="0" distB="0" distL="0" distR="0" wp14:anchorId="4A62CB7D" wp14:editId="065E10CC">
                  <wp:extent cx="2520000" cy="2061818"/>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b="54384"/>
                          <a:stretch/>
                        </pic:blipFill>
                        <pic:spPr bwMode="auto">
                          <a:xfrm>
                            <a:off x="0" y="0"/>
                            <a:ext cx="2520000" cy="206181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5B90" w14:paraId="37F73E36" w14:textId="77777777" w:rsidTr="001E6A1E">
        <w:tc>
          <w:tcPr>
            <w:tcW w:w="9017" w:type="dxa"/>
            <w:gridSpan w:val="2"/>
          </w:tcPr>
          <w:p w14:paraId="5ABE80A0" w14:textId="01A233B8" w:rsidR="00C25B90" w:rsidRPr="001E6A1E" w:rsidRDefault="00FD3A3D" w:rsidP="001E6A1E">
            <w:pPr>
              <w:pStyle w:val="af7"/>
              <w:numPr>
                <w:ilvl w:val="0"/>
                <w:numId w:val="47"/>
              </w:numPr>
              <w:ind w:firstLineChars="0"/>
              <w:jc w:val="center"/>
              <w:rPr>
                <w:rFonts w:eastAsia="宋体"/>
                <w:i/>
                <w:color w:val="auto"/>
                <w:kern w:val="0"/>
                <w:lang w:val="en-GB"/>
              </w:rPr>
            </w:pPr>
            <w:r w:rsidRPr="007E37C5">
              <w:rPr>
                <w:rFonts w:eastAsia="宋体"/>
                <w:i/>
                <w:color w:val="auto"/>
                <w:kern w:val="0"/>
                <w:lang w:val="en-GB"/>
              </w:rPr>
              <w:t>Temperatures of fuel, cladding</w:t>
            </w:r>
            <w:r>
              <w:rPr>
                <w:rFonts w:eastAsia="宋体"/>
                <w:i/>
                <w:color w:val="auto"/>
                <w:kern w:val="0"/>
                <w:lang w:val="en-GB"/>
              </w:rPr>
              <w:t xml:space="preserve"> and </w:t>
            </w:r>
            <w:r w:rsidRPr="007E37C5">
              <w:rPr>
                <w:rFonts w:eastAsia="宋体"/>
                <w:i/>
                <w:color w:val="auto"/>
                <w:kern w:val="0"/>
                <w:lang w:val="en-GB"/>
              </w:rPr>
              <w:t>coolant</w:t>
            </w:r>
          </w:p>
          <w:p w14:paraId="2C89A7CD" w14:textId="7642F70D" w:rsidR="00C25B90" w:rsidRPr="001E6A1E" w:rsidRDefault="00FD3A3D" w:rsidP="001E6A1E">
            <w:pPr>
              <w:pStyle w:val="af7"/>
              <w:ind w:left="1080" w:firstLineChars="0" w:firstLine="0"/>
              <w:jc w:val="center"/>
              <w:rPr>
                <w:rFonts w:eastAsia="Times New Roman"/>
                <w:i/>
                <w:caps/>
                <w:lang w:eastAsia="es-ES"/>
              </w:rPr>
            </w:pPr>
            <w:r w:rsidRPr="001E6A1E">
              <w:rPr>
                <w:rFonts w:eastAsia="宋体"/>
                <w:i/>
                <w:color w:val="auto"/>
                <w:kern w:val="0"/>
                <w:lang w:val="en-GB"/>
              </w:rPr>
              <w:t>in the hottest channel</w:t>
            </w:r>
          </w:p>
        </w:tc>
      </w:tr>
      <w:tr w:rsidR="005E7081" w14:paraId="066BB09A" w14:textId="77777777" w:rsidTr="001E6A1E">
        <w:tc>
          <w:tcPr>
            <w:tcW w:w="4508" w:type="dxa"/>
          </w:tcPr>
          <w:p w14:paraId="231A762F" w14:textId="46A6C527" w:rsidR="005E7081" w:rsidRDefault="000F50DF" w:rsidP="00D4216E">
            <w:pPr>
              <w:pStyle w:val="a1"/>
              <w:ind w:firstLine="0"/>
            </w:pPr>
            <w:r>
              <w:rPr>
                <w:noProof/>
              </w:rPr>
              <w:lastRenderedPageBreak/>
              <w:drawing>
                <wp:inline distT="0" distB="0" distL="0" distR="0" wp14:anchorId="78FCFBD0" wp14:editId="6825A540">
                  <wp:extent cx="2520000" cy="2088363"/>
                  <wp:effectExtent l="0" t="0" r="0" b="762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54375"/>
                          <a:stretch/>
                        </pic:blipFill>
                        <pic:spPr bwMode="auto">
                          <a:xfrm>
                            <a:off x="0" y="0"/>
                            <a:ext cx="2520000" cy="20883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9" w:type="dxa"/>
          </w:tcPr>
          <w:p w14:paraId="4934B760" w14:textId="198A14AA" w:rsidR="005E7081" w:rsidRDefault="000F50DF" w:rsidP="00D4216E">
            <w:pPr>
              <w:pStyle w:val="a1"/>
              <w:ind w:firstLine="0"/>
            </w:pPr>
            <w:r>
              <w:rPr>
                <w:noProof/>
              </w:rPr>
              <w:drawing>
                <wp:inline distT="0" distB="0" distL="0" distR="0" wp14:anchorId="0AB80D8E" wp14:editId="015904F0">
                  <wp:extent cx="2520000" cy="2087982"/>
                  <wp:effectExtent l="0" t="0" r="0" b="762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b="54384"/>
                          <a:stretch/>
                        </pic:blipFill>
                        <pic:spPr bwMode="auto">
                          <a:xfrm>
                            <a:off x="0" y="0"/>
                            <a:ext cx="2520000" cy="20879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C25B90" w14:paraId="6452070F" w14:textId="77777777" w:rsidTr="001E6A1E">
        <w:tc>
          <w:tcPr>
            <w:tcW w:w="9017" w:type="dxa"/>
            <w:gridSpan w:val="2"/>
          </w:tcPr>
          <w:p w14:paraId="1F719AF2" w14:textId="3F74BB86" w:rsidR="00C25B90" w:rsidRDefault="00FD3A3D" w:rsidP="001E6A1E">
            <w:pPr>
              <w:pStyle w:val="af7"/>
              <w:numPr>
                <w:ilvl w:val="0"/>
                <w:numId w:val="47"/>
              </w:numPr>
              <w:ind w:firstLineChars="0"/>
              <w:jc w:val="center"/>
            </w:pPr>
            <w:r w:rsidRPr="007B7161">
              <w:rPr>
                <w:rFonts w:eastAsia="Times New Roman"/>
                <w:i/>
                <w:color w:val="auto"/>
                <w:kern w:val="0"/>
                <w:szCs w:val="20"/>
                <w:lang w:val="en-GB" w:eastAsia="es-ES"/>
              </w:rPr>
              <w:t>Normalized core power</w:t>
            </w:r>
          </w:p>
        </w:tc>
      </w:tr>
      <w:tr w:rsidR="00C25B90" w14:paraId="7194FAD9" w14:textId="77777777" w:rsidTr="001E6A1E">
        <w:tc>
          <w:tcPr>
            <w:tcW w:w="9017" w:type="dxa"/>
            <w:gridSpan w:val="2"/>
          </w:tcPr>
          <w:p w14:paraId="3DFB6D18" w14:textId="1B78CFED" w:rsidR="00C25B90" w:rsidRPr="001E6A1E" w:rsidRDefault="00C25B90" w:rsidP="001E6A1E">
            <w:pPr>
              <w:pStyle w:val="a1"/>
              <w:jc w:val="center"/>
              <w:rPr>
                <w:i/>
                <w:caps/>
                <w:sz w:val="18"/>
                <w:lang w:eastAsia="es-ES"/>
              </w:rPr>
            </w:pPr>
            <w:r w:rsidRPr="007B7161">
              <w:rPr>
                <w:i/>
                <w:caps/>
                <w:sz w:val="18"/>
                <w:lang w:eastAsia="es-ES"/>
              </w:rPr>
              <w:t xml:space="preserve">Fig. 9. </w:t>
            </w:r>
            <w:r w:rsidR="00FD3A3D" w:rsidRPr="007B7161">
              <w:rPr>
                <w:i/>
                <w:sz w:val="18"/>
                <w:lang w:eastAsia="es-ES"/>
              </w:rPr>
              <w:t xml:space="preserve">Results </w:t>
            </w:r>
            <w:r w:rsidR="00FD3A3D">
              <w:rPr>
                <w:i/>
                <w:sz w:val="18"/>
                <w:lang w:eastAsia="es-ES"/>
              </w:rPr>
              <w:t>for</w:t>
            </w:r>
            <w:r w:rsidR="00FD3A3D" w:rsidRPr="007B7161">
              <w:rPr>
                <w:i/>
                <w:sz w:val="18"/>
                <w:lang w:eastAsia="es-ES"/>
              </w:rPr>
              <w:t xml:space="preserve"> ULOHS</w:t>
            </w:r>
          </w:p>
        </w:tc>
      </w:tr>
    </w:tbl>
    <w:p w14:paraId="32A2193C" w14:textId="0E8E2126" w:rsidR="004B2EE8" w:rsidRDefault="004B2EE8" w:rsidP="007B7161">
      <w:pPr>
        <w:pStyle w:val="2"/>
        <w:numPr>
          <w:ilvl w:val="1"/>
          <w:numId w:val="10"/>
        </w:numPr>
      </w:pPr>
      <w:r>
        <w:t>Conclusions</w:t>
      </w:r>
    </w:p>
    <w:p w14:paraId="086B9920" w14:textId="0CA12D20" w:rsidR="000E5316" w:rsidRDefault="003E6C4F" w:rsidP="003E6C4F">
      <w:pPr>
        <w:pStyle w:val="a1"/>
      </w:pPr>
      <w:r>
        <w:rPr>
          <w:rFonts w:hint="eastAsia"/>
          <w:lang w:eastAsia="zh-CN"/>
        </w:rPr>
        <w:t>In</w:t>
      </w:r>
      <w:r>
        <w:t xml:space="preserve"> the SMSFR with non-refuelling strategy, neutron characteristics of the core vary </w:t>
      </w:r>
      <w:r w:rsidR="008E075D">
        <w:t xml:space="preserve">considerably </w:t>
      </w:r>
      <w:r>
        <w:t xml:space="preserve">with the change of fuel burnup during lifetime, which will affect the safety </w:t>
      </w:r>
      <w:r w:rsidR="00706150">
        <w:t xml:space="preserve">performance </w:t>
      </w:r>
      <w:r>
        <w:t xml:space="preserve">of the reactor. </w:t>
      </w:r>
      <w:r w:rsidR="004B2EE8">
        <w:t xml:space="preserve">In this paper, </w:t>
      </w:r>
      <w:r>
        <w:t>t</w:t>
      </w:r>
      <w:r w:rsidRPr="00E14B79">
        <w:t>he burnup calculation is conducted</w:t>
      </w:r>
      <w:r>
        <w:t xml:space="preserve">, </w:t>
      </w:r>
      <w:r w:rsidR="008D2950">
        <w:t>the performance</w:t>
      </w:r>
      <w:r w:rsidR="004B2EE8">
        <w:t xml:space="preserve"> of SMSFR </w:t>
      </w:r>
      <w:r w:rsidR="008D2950">
        <w:t xml:space="preserve">in ATWS events </w:t>
      </w:r>
      <w:r w:rsidR="004B2EE8">
        <w:t xml:space="preserve">are </w:t>
      </w:r>
      <w:r w:rsidR="008D2950">
        <w:t>calculated</w:t>
      </w:r>
      <w:r w:rsidR="004A6F3E">
        <w:t xml:space="preserve">, and the </w:t>
      </w:r>
      <w:r w:rsidR="00A70709">
        <w:t>safety behaviour during lifetime</w:t>
      </w:r>
      <w:r w:rsidR="004B2EE8">
        <w:t xml:space="preserve"> is </w:t>
      </w:r>
      <w:r w:rsidR="00A70709">
        <w:t>analysed and compared.</w:t>
      </w:r>
    </w:p>
    <w:p w14:paraId="66E05469" w14:textId="4778913F" w:rsidR="001B1D2E" w:rsidRDefault="003E6C4F">
      <w:pPr>
        <w:pStyle w:val="a1"/>
      </w:pPr>
      <w:r>
        <w:t xml:space="preserve">With the deepening of fuel burnup, the </w:t>
      </w:r>
      <w:r w:rsidRPr="0079678B">
        <w:rPr>
          <w:lang w:val="en-US" w:eastAsia="zh-CN"/>
        </w:rPr>
        <w:t>coolant expansion coefficient changes from negative to positive, and the Doppler constant decreases gradually. Meanwhile, with the control rod</w:t>
      </w:r>
      <w:r w:rsidR="00A60C71" w:rsidRPr="0079678B">
        <w:rPr>
          <w:lang w:val="en-US" w:eastAsia="zh-CN"/>
        </w:rPr>
        <w:t>s</w:t>
      </w:r>
      <w:r w:rsidRPr="0079678B">
        <w:rPr>
          <w:lang w:val="en-US" w:eastAsia="zh-CN"/>
        </w:rPr>
        <w:t xml:space="preserve"> </w:t>
      </w:r>
      <w:r w:rsidR="001B1D2E" w:rsidRPr="0079678B">
        <w:rPr>
          <w:lang w:val="en-US" w:eastAsia="zh-CN"/>
        </w:rPr>
        <w:t>been withdrawn from the core, its differential value at EOL decreases significantly compared with that at BOL.</w:t>
      </w:r>
    </w:p>
    <w:p w14:paraId="45C6E877" w14:textId="6411E542" w:rsidR="001B1D2E" w:rsidRDefault="004B2EE8" w:rsidP="004B2EE8">
      <w:pPr>
        <w:pStyle w:val="a1"/>
      </w:pPr>
      <w:r>
        <w:t xml:space="preserve">In the UTOP </w:t>
      </w:r>
      <w:r w:rsidR="008D2950">
        <w:t>event</w:t>
      </w:r>
      <w:r>
        <w:t xml:space="preserve">, the negative reactivity feedback brought by the fuel Doppler effect and the relative insertion of the control rod is essential </w:t>
      </w:r>
      <w:r w:rsidR="00A763A7">
        <w:t xml:space="preserve">to </w:t>
      </w:r>
      <w:r>
        <w:t xml:space="preserve">the safety of the reactor. </w:t>
      </w:r>
      <w:r w:rsidR="001B1D2E" w:rsidRPr="001B1D2E">
        <w:t xml:space="preserve">Without considering the reactivity feedback caused by </w:t>
      </w:r>
      <w:r w:rsidR="00BB1510">
        <w:t>the expansion</w:t>
      </w:r>
      <w:r w:rsidR="001B1D2E">
        <w:t xml:space="preserve"> of control rods</w:t>
      </w:r>
      <w:r w:rsidR="001B1D2E" w:rsidRPr="001B1D2E">
        <w:t>, the reactivity in</w:t>
      </w:r>
      <w:r w:rsidR="00A763A7">
        <w:t>ser</w:t>
      </w:r>
      <w:r w:rsidR="001B1D2E" w:rsidRPr="001B1D2E">
        <w:t xml:space="preserve">tion that the core can withstand </w:t>
      </w:r>
      <w:r w:rsidR="00BB1510">
        <w:t>in</w:t>
      </w:r>
      <w:r w:rsidR="001B1D2E" w:rsidRPr="001B1D2E">
        <w:t xml:space="preserve"> the UTOP is about 250 </w:t>
      </w:r>
      <w:r w:rsidR="001B1D2E">
        <w:t>pcm</w:t>
      </w:r>
      <w:r w:rsidR="001B1D2E" w:rsidRPr="001B1D2E">
        <w:t xml:space="preserve"> at </w:t>
      </w:r>
      <w:r w:rsidR="001B1D2E">
        <w:t>BOL</w:t>
      </w:r>
      <w:r w:rsidR="001B1D2E" w:rsidRPr="001B1D2E">
        <w:t xml:space="preserve">, </w:t>
      </w:r>
      <w:r w:rsidR="001B1D2E">
        <w:t>which</w:t>
      </w:r>
      <w:r w:rsidR="001B1D2E" w:rsidRPr="001B1D2E">
        <w:t xml:space="preserve"> will gradually decrease with the increase of fuel </w:t>
      </w:r>
      <w:r w:rsidR="001B1D2E">
        <w:t>burnup</w:t>
      </w:r>
      <w:r w:rsidR="001B1D2E" w:rsidRPr="001B1D2E">
        <w:t>.</w:t>
      </w:r>
    </w:p>
    <w:p w14:paraId="63ABF783" w14:textId="1E4CD555" w:rsidR="001B1D2E" w:rsidRDefault="001B1D2E">
      <w:pPr>
        <w:pStyle w:val="a1"/>
      </w:pPr>
      <w:r>
        <w:t xml:space="preserve">With the increase of fuel burnup, </w:t>
      </w:r>
      <w:r w:rsidR="00E74224">
        <w:t xml:space="preserve">the challenge to core safety caused by ULOF event increases, </w:t>
      </w:r>
      <w:r w:rsidR="00BB1510">
        <w:t>resulting</w:t>
      </w:r>
      <w:r w:rsidR="00361757">
        <w:t xml:space="preserve"> from</w:t>
      </w:r>
      <w:r w:rsidR="00BB1510">
        <w:t xml:space="preserve"> the</w:t>
      </w:r>
      <w:r w:rsidR="00E74224">
        <w:t xml:space="preserve"> decreasing of the </w:t>
      </w:r>
      <w:r w:rsidR="00E74224" w:rsidRPr="00E74224">
        <w:t>negative feedba</w:t>
      </w:r>
      <w:r w:rsidR="00E74224">
        <w:t xml:space="preserve">ck </w:t>
      </w:r>
      <w:r w:rsidR="008E075D">
        <w:t xml:space="preserve">brought </w:t>
      </w:r>
      <w:r w:rsidR="00E74224">
        <w:t xml:space="preserve">by the </w:t>
      </w:r>
      <w:r w:rsidR="00BB1510">
        <w:t>expansion</w:t>
      </w:r>
      <w:r w:rsidR="00E74224">
        <w:t xml:space="preserve"> of control rods. </w:t>
      </w:r>
      <w:r w:rsidR="00E74224" w:rsidRPr="00E74224">
        <w:t>However, this negative influence can be mitigated by prolonging the flow decay time and increasing the post-transient steady flow.</w:t>
      </w:r>
    </w:p>
    <w:p w14:paraId="549BC7C1" w14:textId="512B8463" w:rsidR="00AF41B0" w:rsidRDefault="004B2EE8" w:rsidP="007D12B8">
      <w:pPr>
        <w:pStyle w:val="a1"/>
      </w:pPr>
      <w:r>
        <w:t xml:space="preserve">In the ULOHS </w:t>
      </w:r>
      <w:r w:rsidR="008D2950">
        <w:t>event</w:t>
      </w:r>
      <w:r w:rsidR="00361757">
        <w:t xml:space="preserve">, </w:t>
      </w:r>
      <w:r w:rsidR="00BB1510" w:rsidRPr="00BB1510">
        <w:t xml:space="preserve">the positive reactivity is </w:t>
      </w:r>
      <w:r w:rsidR="00CA4F36">
        <w:t>generated</w:t>
      </w:r>
      <w:r w:rsidR="00BB1510" w:rsidRPr="00BB1510">
        <w:t xml:space="preserve"> by </w:t>
      </w:r>
      <w:r w:rsidR="00BB1510">
        <w:t>the relative displacement of control rods</w:t>
      </w:r>
      <w:r w:rsidR="00BB1510" w:rsidRPr="00BB1510">
        <w:t xml:space="preserve">. This effect is especially obvious at </w:t>
      </w:r>
      <w:r w:rsidR="00BB1510">
        <w:t>BOL when control rods</w:t>
      </w:r>
      <w:r w:rsidR="000F736C">
        <w:t xml:space="preserve"> are</w:t>
      </w:r>
      <w:r w:rsidR="00BB1510">
        <w:t xml:space="preserve"> over-inserted</w:t>
      </w:r>
      <w:r w:rsidR="00BB1510" w:rsidRPr="00BB1510">
        <w:t>.</w:t>
      </w:r>
      <w:r w:rsidR="007D12B8">
        <w:t xml:space="preserve"> </w:t>
      </w:r>
      <w:r w:rsidR="00BB1510">
        <w:t xml:space="preserve">In conclusion, </w:t>
      </w:r>
      <w:r w:rsidR="00AF41B0">
        <w:t xml:space="preserve">over-deep insertion of control rods should be avoided </w:t>
      </w:r>
      <w:r w:rsidR="000F736C">
        <w:t>in</w:t>
      </w:r>
      <w:r w:rsidR="00AF41B0">
        <w:t xml:space="preserve"> the control of excess reactivity in SMSFR.</w:t>
      </w:r>
      <w:r w:rsidR="00AF41B0" w:rsidRPr="00AF41B0">
        <w:t xml:space="preserve"> </w:t>
      </w:r>
      <w:r w:rsidR="00AF41B0">
        <w:t>Even though</w:t>
      </w:r>
      <w:r w:rsidR="00AF41B0" w:rsidRPr="00AF41B0">
        <w:t xml:space="preserve"> </w:t>
      </w:r>
      <w:r w:rsidR="00AF41B0" w:rsidRPr="00FD7001">
        <w:t>a greater insertion depth of the control rod bring</w:t>
      </w:r>
      <w:r w:rsidR="00AF41B0">
        <w:t>s</w:t>
      </w:r>
      <w:r w:rsidR="00AF41B0" w:rsidRPr="00FD7001">
        <w:t xml:space="preserve"> </w:t>
      </w:r>
      <w:r w:rsidR="00AF41B0">
        <w:t>strong</w:t>
      </w:r>
      <w:r w:rsidR="00AF41B0" w:rsidRPr="00FD7001">
        <w:t>er negative feedback effects during</w:t>
      </w:r>
      <w:r w:rsidR="00AF41B0" w:rsidRPr="00AF41B0">
        <w:t xml:space="preserve"> UTOP and ULOF </w:t>
      </w:r>
      <w:r w:rsidR="00AF41B0">
        <w:t>event</w:t>
      </w:r>
      <w:r w:rsidR="00AF41B0" w:rsidRPr="00AF41B0">
        <w:t>s</w:t>
      </w:r>
      <w:r w:rsidR="00AF41B0">
        <w:t>, however</w:t>
      </w:r>
      <w:r w:rsidR="00AF41B0" w:rsidRPr="00AF41B0">
        <w:t xml:space="preserve">, it increases the risk of UTOP caused by the accidental ejection of the control rod: the deeper the </w:t>
      </w:r>
      <w:r w:rsidR="007F4283">
        <w:t>control rod position</w:t>
      </w:r>
      <w:r w:rsidR="00A763A7">
        <w:t>ed</w:t>
      </w:r>
      <w:r w:rsidR="00AF41B0" w:rsidRPr="00AF41B0">
        <w:t xml:space="preserve">, the </w:t>
      </w:r>
      <w:r w:rsidR="007F4283">
        <w:rPr>
          <w:rFonts w:hint="eastAsia"/>
          <w:lang w:eastAsia="zh-CN"/>
        </w:rPr>
        <w:t>lar</w:t>
      </w:r>
      <w:r w:rsidR="007F4283">
        <w:t>ger</w:t>
      </w:r>
      <w:r w:rsidR="00AF41B0" w:rsidRPr="00AF41B0">
        <w:t xml:space="preserve"> the </w:t>
      </w:r>
      <w:r w:rsidR="007F4283">
        <w:t xml:space="preserve">positive </w:t>
      </w:r>
      <w:r w:rsidR="00AF41B0" w:rsidRPr="00AF41B0">
        <w:t>reactivity</w:t>
      </w:r>
      <w:r w:rsidR="007F4283">
        <w:t xml:space="preserve"> insert</w:t>
      </w:r>
      <w:r w:rsidR="00A763A7">
        <w:t>ed</w:t>
      </w:r>
      <w:r w:rsidR="00AF41B0" w:rsidRPr="00AF41B0">
        <w:t>.</w:t>
      </w:r>
      <w:r w:rsidR="00AF41B0">
        <w:t xml:space="preserve"> </w:t>
      </w:r>
      <w:r w:rsidR="00AF41B0" w:rsidRPr="00AF41B0">
        <w:t xml:space="preserve">Moreover, a higher positive reactivity </w:t>
      </w:r>
      <w:r w:rsidR="00AF41B0">
        <w:t>will be</w:t>
      </w:r>
      <w:r w:rsidR="00AF41B0" w:rsidRPr="00AF41B0">
        <w:t xml:space="preserve"> </w:t>
      </w:r>
      <w:r w:rsidR="007F4283">
        <w:t>releas</w:t>
      </w:r>
      <w:r w:rsidR="00AF41B0" w:rsidRPr="00AF41B0">
        <w:t xml:space="preserve">ed in the ULOHS </w:t>
      </w:r>
      <w:r w:rsidR="007F4283">
        <w:t>event by a deeper insertion of control rods</w:t>
      </w:r>
      <w:r w:rsidR="00AF41B0" w:rsidRPr="00AF41B0">
        <w:t>.</w:t>
      </w:r>
      <w:r w:rsidR="007D12B8">
        <w:t xml:space="preserve"> </w:t>
      </w:r>
      <w:r w:rsidR="00AF41B0" w:rsidRPr="00BB1510">
        <w:t xml:space="preserve">Since the temperature safety margin and calculation uncertainties </w:t>
      </w:r>
      <w:r w:rsidR="00865387">
        <w:t>a</w:t>
      </w:r>
      <w:r w:rsidR="00AF41B0" w:rsidRPr="00BB1510">
        <w:t xml:space="preserve">re not considered in the analysis </w:t>
      </w:r>
      <w:r w:rsidR="007F4283">
        <w:t>of</w:t>
      </w:r>
      <w:r w:rsidR="00AF41B0" w:rsidRPr="00BB1510">
        <w:t xml:space="preserve"> this paper, the influence of these factors needs to be further studied.</w:t>
      </w:r>
    </w:p>
    <w:p w14:paraId="433FE095" w14:textId="77777777" w:rsidR="00285755" w:rsidRDefault="00285755" w:rsidP="00537496">
      <w:pPr>
        <w:pStyle w:val="Otherunnumberedheadings"/>
      </w:pPr>
      <w:r w:rsidRPr="00285755">
        <w:t>ACKNOWLEDGEMENTS</w:t>
      </w:r>
    </w:p>
    <w:p w14:paraId="433FE096" w14:textId="16DF2CA3" w:rsidR="00D26ADA" w:rsidRDefault="00FE7187" w:rsidP="00537496">
      <w:pPr>
        <w:pStyle w:val="a1"/>
      </w:pPr>
      <w:r w:rsidRPr="00FE7187">
        <w:t xml:space="preserve">This work is sponsored by Shanghai Sailing Program (No. 20YF1420700). The computations in this paper were run on the π 2.0 cluster supported by the </w:t>
      </w:r>
      <w:r w:rsidR="00E10B42" w:rsidRPr="00FE7187">
        <w:t>Centre</w:t>
      </w:r>
      <w:r w:rsidRPr="00FE7187">
        <w:t xml:space="preserve"> for High-Performance Computing at Shanghai Jiao Tong University.</w:t>
      </w:r>
    </w:p>
    <w:p w14:paraId="433FE097" w14:textId="77777777" w:rsidR="00D26ADA" w:rsidRPr="00285755" w:rsidRDefault="00D26ADA" w:rsidP="00537496">
      <w:pPr>
        <w:pStyle w:val="Otherunnumberedheadings"/>
      </w:pPr>
      <w:r>
        <w:t>References</w:t>
      </w:r>
    </w:p>
    <w:p w14:paraId="5F343D6E" w14:textId="77777777" w:rsidR="00DD74D0" w:rsidRPr="00DD74D0" w:rsidRDefault="00861339" w:rsidP="00DD74D0">
      <w:pPr>
        <w:pStyle w:val="af8"/>
      </w:pPr>
      <w:r>
        <w:rPr>
          <w:lang w:eastAsia="zh-CN"/>
        </w:rPr>
        <w:fldChar w:fldCharType="begin"/>
      </w:r>
      <w:r w:rsidR="007461E6">
        <w:rPr>
          <w:lang w:eastAsia="zh-CN"/>
        </w:rPr>
        <w:instrText xml:space="preserve"> ADDIN ZOTERO_BIBL {"uncited":[],"omitted":[],"custom":[]} CSL_BIBLIOGRAPHY </w:instrText>
      </w:r>
      <w:r>
        <w:rPr>
          <w:lang w:eastAsia="zh-CN"/>
        </w:rPr>
        <w:fldChar w:fldCharType="separate"/>
      </w:r>
      <w:r w:rsidR="00DD74D0" w:rsidRPr="00DD74D0">
        <w:t>[1]</w:t>
      </w:r>
      <w:r w:rsidR="00DD74D0" w:rsidRPr="00DD74D0">
        <w:tab/>
        <w:t>WALTAR, A.E., TODD, D.R., TSVETKOV, P., Fast Spectrum Reactors, (2012) p. 720.</w:t>
      </w:r>
    </w:p>
    <w:p w14:paraId="7225817F" w14:textId="77777777" w:rsidR="00DD74D0" w:rsidRPr="00DD74D0" w:rsidRDefault="00DD74D0" w:rsidP="00DD74D0">
      <w:pPr>
        <w:pStyle w:val="af8"/>
      </w:pPr>
      <w:r w:rsidRPr="00DD74D0">
        <w:t>[2]</w:t>
      </w:r>
      <w:r w:rsidRPr="00DD74D0">
        <w:tab/>
        <w:t>Fast Neutron Reactors | FBR - World Nuclear Association, https://www.world-nuclear.org/information-library/current-and-future-generation/fast-neutron-reactors.aspx.</w:t>
      </w:r>
    </w:p>
    <w:p w14:paraId="23E5CB7E" w14:textId="77777777" w:rsidR="00DD74D0" w:rsidRPr="00DD74D0" w:rsidRDefault="00DD74D0" w:rsidP="00DD74D0">
      <w:pPr>
        <w:pStyle w:val="af8"/>
      </w:pPr>
      <w:r w:rsidRPr="00DD74D0">
        <w:lastRenderedPageBreak/>
        <w:t>[3]</w:t>
      </w:r>
      <w:r w:rsidRPr="00DD74D0">
        <w:tab/>
        <w:t>Small nuclear power reactors - World Nuclear Association, https://www.world-nuclear.org/information-library/nuclear-fuel-cycle/nuclear-power-reactors/small-nuclear-power-reactors.aspx.</w:t>
      </w:r>
    </w:p>
    <w:p w14:paraId="41BC590B" w14:textId="77777777" w:rsidR="00DD74D0" w:rsidRPr="00DD74D0" w:rsidRDefault="00DD74D0" w:rsidP="00DD74D0">
      <w:pPr>
        <w:pStyle w:val="af8"/>
      </w:pPr>
      <w:r w:rsidRPr="00DD74D0">
        <w:t>[4]</w:t>
      </w:r>
      <w:r w:rsidRPr="00DD74D0">
        <w:tab/>
        <w:t>Technology Roadmap Update for Generation IV Nuclear Energy Systems, 66.</w:t>
      </w:r>
    </w:p>
    <w:p w14:paraId="71B0E4A4" w14:textId="77777777" w:rsidR="00DD74D0" w:rsidRPr="00DD74D0" w:rsidRDefault="00DD74D0" w:rsidP="00DD74D0">
      <w:pPr>
        <w:pStyle w:val="af8"/>
      </w:pPr>
      <w:r w:rsidRPr="00DD74D0">
        <w:t>[5]</w:t>
      </w:r>
      <w:r w:rsidRPr="00DD74D0">
        <w:tab/>
        <w:t>AYDOGAN, F., “20 - Advanced small modular reactors”, Handbook of Generation IV Nuclear Reactors, Woodhead Publishing Series in Energy (PIORO, I.L., Ed), Woodhead Publishing (2016) 661–699.</w:t>
      </w:r>
    </w:p>
    <w:p w14:paraId="2A406C21" w14:textId="77777777" w:rsidR="00DD74D0" w:rsidRPr="00DD74D0" w:rsidRDefault="00DD74D0" w:rsidP="00DD74D0">
      <w:pPr>
        <w:pStyle w:val="af8"/>
      </w:pPr>
      <w:r w:rsidRPr="00DD74D0">
        <w:t>[6]</w:t>
      </w:r>
      <w:r w:rsidRPr="00DD74D0">
        <w:tab/>
        <w:t xml:space="preserve">GUO, H., BUIRON, L., SCIORA, P., KOOYMAN, T., Optimization of reactivity control in a small modular sodium-cooled fast reactor, Nuclear Engineering and Technology </w:t>
      </w:r>
      <w:r w:rsidRPr="00DD74D0">
        <w:rPr>
          <w:b/>
          <w:bCs/>
        </w:rPr>
        <w:t>52</w:t>
      </w:r>
      <w:r w:rsidRPr="00DD74D0">
        <w:t xml:space="preserve"> 7 (2020) 1367.</w:t>
      </w:r>
    </w:p>
    <w:p w14:paraId="0480EDE8" w14:textId="77777777" w:rsidR="00DD74D0" w:rsidRPr="00DD74D0" w:rsidRDefault="00DD74D0" w:rsidP="00DD74D0">
      <w:pPr>
        <w:pStyle w:val="af8"/>
      </w:pPr>
      <w:r w:rsidRPr="00DD74D0">
        <w:t>[7]</w:t>
      </w:r>
      <w:r w:rsidRPr="00DD74D0">
        <w:tab/>
        <w:t xml:space="preserve">HUSSEIN, E.M.A., Emerging small modular nuclear power reactors: A critical review, Physics Open </w:t>
      </w:r>
      <w:r w:rsidRPr="00DD74D0">
        <w:rPr>
          <w:b/>
          <w:bCs/>
        </w:rPr>
        <w:t>5</w:t>
      </w:r>
      <w:r w:rsidRPr="00DD74D0">
        <w:t xml:space="preserve"> (2020) 100038.</w:t>
      </w:r>
    </w:p>
    <w:p w14:paraId="61338E6F" w14:textId="77777777" w:rsidR="00DD74D0" w:rsidRPr="00DD74D0" w:rsidRDefault="00DD74D0" w:rsidP="00DD74D0">
      <w:pPr>
        <w:pStyle w:val="af8"/>
      </w:pPr>
      <w:r w:rsidRPr="00DD74D0">
        <w:t>[8]</w:t>
      </w:r>
      <w:r w:rsidRPr="00DD74D0">
        <w:tab/>
        <w:t>M.D. CARELLI, D.T. INGERSOLL (EDS.), Handbook of Small Modular Nuclear Reactors, Elsevier, Cambridge, UK (2015).</w:t>
      </w:r>
    </w:p>
    <w:p w14:paraId="11EC1829" w14:textId="77777777" w:rsidR="00DD74D0" w:rsidRPr="00DD74D0" w:rsidRDefault="00DD74D0" w:rsidP="00DD74D0">
      <w:pPr>
        <w:pStyle w:val="af8"/>
      </w:pPr>
      <w:r w:rsidRPr="00DD74D0">
        <w:t>[9]</w:t>
      </w:r>
      <w:r w:rsidRPr="00DD74D0">
        <w:tab/>
        <w:t>CHANG, Y. et al., Small Modular Fast Reactor design description., (2005).</w:t>
      </w:r>
    </w:p>
    <w:p w14:paraId="29679C96" w14:textId="77777777" w:rsidR="00DD74D0" w:rsidRPr="00DD74D0" w:rsidRDefault="00DD74D0" w:rsidP="00DD74D0">
      <w:pPr>
        <w:pStyle w:val="af8"/>
      </w:pPr>
      <w:r w:rsidRPr="00DD74D0">
        <w:t>[10]</w:t>
      </w:r>
      <w:r w:rsidRPr="00DD74D0">
        <w:tab/>
        <w:t xml:space="preserve">GUO, H., BUIRON, L., SCIORA, P., KOOYMAN, T., Designs of control rods with strong absorption ability for small fast reactors, Nuclear Engineering and Design </w:t>
      </w:r>
      <w:r w:rsidRPr="00DD74D0">
        <w:rPr>
          <w:b/>
          <w:bCs/>
        </w:rPr>
        <w:t>368</w:t>
      </w:r>
      <w:r w:rsidRPr="00DD74D0">
        <w:t xml:space="preserve"> (2020) 110799.</w:t>
      </w:r>
    </w:p>
    <w:p w14:paraId="06EEE91B" w14:textId="77777777" w:rsidR="00DD74D0" w:rsidRPr="00DD74D0" w:rsidRDefault="00DD74D0" w:rsidP="00DD74D0">
      <w:pPr>
        <w:pStyle w:val="af8"/>
      </w:pPr>
      <w:r w:rsidRPr="00DD74D0">
        <w:t>[11]</w:t>
      </w:r>
      <w:r w:rsidRPr="00DD74D0">
        <w:tab/>
        <w:t xml:space="preserve">GUO, H., SCIORA, P., KOOYMAN, T., BUIRON, L., RIMPAULT, G., Application of Boron Carbide as Burnable Poison in Sodium Fast Reactors, Nuclear Technology </w:t>
      </w:r>
      <w:r w:rsidRPr="00DD74D0">
        <w:rPr>
          <w:b/>
          <w:bCs/>
        </w:rPr>
        <w:t>205</w:t>
      </w:r>
      <w:r w:rsidRPr="00DD74D0">
        <w:t xml:space="preserve"> 11 (2019) 1433.</w:t>
      </w:r>
    </w:p>
    <w:p w14:paraId="167176A5" w14:textId="77777777" w:rsidR="00DD74D0" w:rsidRPr="00DD74D0" w:rsidRDefault="00DD74D0" w:rsidP="00DD74D0">
      <w:pPr>
        <w:pStyle w:val="af8"/>
      </w:pPr>
      <w:r w:rsidRPr="00DD74D0">
        <w:t>[12]</w:t>
      </w:r>
      <w:r w:rsidRPr="00DD74D0">
        <w:tab/>
        <w:t xml:space="preserve">HORIE, H., MIYAGI, K., NAKAHARA, K., MATSUMIYA, H., Safety performance of the 4S reactor on the ATWS events – statistical estimation of uncertainty, Progress in Nuclear Energy </w:t>
      </w:r>
      <w:r w:rsidRPr="00DD74D0">
        <w:rPr>
          <w:b/>
          <w:bCs/>
        </w:rPr>
        <w:t>50</w:t>
      </w:r>
      <w:r w:rsidRPr="00DD74D0">
        <w:t xml:space="preserve"> 2 (2008) 179.</w:t>
      </w:r>
    </w:p>
    <w:p w14:paraId="19E15682" w14:textId="77777777" w:rsidR="00DD74D0" w:rsidRPr="00DD74D0" w:rsidRDefault="00DD74D0" w:rsidP="00DD74D0">
      <w:pPr>
        <w:pStyle w:val="af8"/>
      </w:pPr>
      <w:r w:rsidRPr="00DD74D0">
        <w:t>[13]</w:t>
      </w:r>
      <w:r w:rsidRPr="00DD74D0">
        <w:tab/>
        <w:t>H. GUO, P. SCIORA, T. KOOYMAN, L. BUIRON, Evaluation of the Control Rods Withdrawal in a Small Modular Sodium Fast Reactor and Analysis of the Impact on the Core Design, France, Juan-les-pins (2019).</w:t>
      </w:r>
    </w:p>
    <w:p w14:paraId="74C08666" w14:textId="77777777" w:rsidR="00DD74D0" w:rsidRPr="00DD74D0" w:rsidRDefault="00DD74D0" w:rsidP="00DD74D0">
      <w:pPr>
        <w:pStyle w:val="af8"/>
      </w:pPr>
      <w:r w:rsidRPr="00DD74D0">
        <w:t>[14]</w:t>
      </w:r>
      <w:r w:rsidRPr="00DD74D0">
        <w:tab/>
        <w:t xml:space="preserve">ROMANO, P.K., JOSEY, C.J., JOHNSON, A.E., LIANG, J., Depletion capabilities in the OpenMC Monte Carlo particle transport code, Annals of Nuclear Energy </w:t>
      </w:r>
      <w:r w:rsidRPr="00DD74D0">
        <w:rPr>
          <w:b/>
          <w:bCs/>
        </w:rPr>
        <w:t>152</w:t>
      </w:r>
      <w:r w:rsidRPr="00DD74D0">
        <w:t xml:space="preserve"> (2021) 107989.</w:t>
      </w:r>
    </w:p>
    <w:p w14:paraId="18F0FAB5" w14:textId="77777777" w:rsidR="00DD74D0" w:rsidRPr="00DD74D0" w:rsidRDefault="00DD74D0" w:rsidP="00DD74D0">
      <w:pPr>
        <w:pStyle w:val="af8"/>
      </w:pPr>
      <w:r w:rsidRPr="00DD74D0">
        <w:t>[15]</w:t>
      </w:r>
      <w:r w:rsidRPr="00DD74D0">
        <w:tab/>
        <w:t>ROMANO, P.K. et al., OpenMC: A State-of-the-Art Monte Carlo Code for Research and Development, CARUGE, D., CALVIN, C., DIOP, C.M., MALVAGI, F., TRAMA, J.C., Eds, (2014) p. 06016.</w:t>
      </w:r>
    </w:p>
    <w:p w14:paraId="6FCEAAC6" w14:textId="77777777" w:rsidR="00DD74D0" w:rsidRPr="00DD74D0" w:rsidRDefault="00DD74D0" w:rsidP="00DD74D0">
      <w:pPr>
        <w:pStyle w:val="af8"/>
      </w:pPr>
      <w:r w:rsidRPr="00DD74D0">
        <w:t>[16]</w:t>
      </w:r>
      <w:r w:rsidRPr="00DD74D0">
        <w:tab/>
        <w:t>ROMANO, P.K., FORGET, B., The OpenMC Monte Carlo particle transport code, Paul Romano (2012).</w:t>
      </w:r>
    </w:p>
    <w:p w14:paraId="667A5089" w14:textId="77777777" w:rsidR="00DD74D0" w:rsidRPr="00DD74D0" w:rsidRDefault="00DD74D0" w:rsidP="00DD74D0">
      <w:pPr>
        <w:pStyle w:val="af8"/>
      </w:pPr>
      <w:r w:rsidRPr="00DD74D0">
        <w:t>[17]</w:t>
      </w:r>
      <w:r w:rsidRPr="00DD74D0">
        <w:tab/>
        <w:t xml:space="preserve">SHEN, C., ZHANG, X., WANG, C., CAO, L., CHEN, H., Transient safety analysis of M2LFR-1000 reactor using ATHLET, Nuclear Engineering and Technology </w:t>
      </w:r>
      <w:r w:rsidRPr="00DD74D0">
        <w:rPr>
          <w:b/>
          <w:bCs/>
        </w:rPr>
        <w:t>51</w:t>
      </w:r>
      <w:r w:rsidRPr="00DD74D0">
        <w:t xml:space="preserve"> 1 (2019) 116.</w:t>
      </w:r>
    </w:p>
    <w:p w14:paraId="7D70731B" w14:textId="77777777" w:rsidR="00DD74D0" w:rsidRPr="00DD74D0" w:rsidRDefault="00DD74D0" w:rsidP="00DD74D0">
      <w:pPr>
        <w:pStyle w:val="af8"/>
      </w:pPr>
      <w:r w:rsidRPr="00DD74D0">
        <w:t>[18]</w:t>
      </w:r>
      <w:r w:rsidRPr="00DD74D0">
        <w:tab/>
        <w:t>BANDINI, G. et al., Safety Analysis Results of Representative DEC Accidental Transients for the ALFRED Reactor, 11.</w:t>
      </w:r>
    </w:p>
    <w:p w14:paraId="5DFCBCC1" w14:textId="77777777" w:rsidR="00DD74D0" w:rsidRPr="00DD74D0" w:rsidRDefault="00DD74D0" w:rsidP="00DD74D0">
      <w:pPr>
        <w:pStyle w:val="af8"/>
      </w:pPr>
      <w:r w:rsidRPr="00DD74D0">
        <w:t>[19]</w:t>
      </w:r>
      <w:r w:rsidRPr="00DD74D0">
        <w:tab/>
        <w:t xml:space="preserve">CARBAJO, J.J., YODER, G.L., POPOV, S.G., IVANOV, V.K., A review of the thermophysical properties of MOX and UO2 fuels, Journal of Nuclear Materials </w:t>
      </w:r>
      <w:r w:rsidRPr="00DD74D0">
        <w:rPr>
          <w:b/>
          <w:bCs/>
        </w:rPr>
        <w:t>299</w:t>
      </w:r>
      <w:r w:rsidRPr="00DD74D0">
        <w:t xml:space="preserve"> 3 (2001) 181.</w:t>
      </w:r>
    </w:p>
    <w:p w14:paraId="43E23252" w14:textId="77777777" w:rsidR="00DD74D0" w:rsidRPr="00DD74D0" w:rsidRDefault="00DD74D0" w:rsidP="00DD74D0">
      <w:pPr>
        <w:pStyle w:val="af8"/>
      </w:pPr>
      <w:r w:rsidRPr="00DD74D0">
        <w:t>[20]</w:t>
      </w:r>
      <w:r w:rsidRPr="00DD74D0">
        <w:tab/>
        <w:t xml:space="preserve">ZAETTA, A. et al., CADOR “Core with Adding DOppleR effect” concept application to sodium fast reactors, EPJ Nuclear Sci. Technol. </w:t>
      </w:r>
      <w:r w:rsidRPr="00DD74D0">
        <w:rPr>
          <w:b/>
          <w:bCs/>
        </w:rPr>
        <w:t>5</w:t>
      </w:r>
      <w:r w:rsidRPr="00DD74D0">
        <w:t xml:space="preserve"> (2019) 1.</w:t>
      </w:r>
    </w:p>
    <w:p w14:paraId="433FE0B6" w14:textId="49747A38" w:rsidR="00F45EEE" w:rsidRPr="00662532" w:rsidRDefault="00861339" w:rsidP="001E6A1E">
      <w:pPr>
        <w:pStyle w:val="Referencelist"/>
        <w:numPr>
          <w:ilvl w:val="0"/>
          <w:numId w:val="0"/>
        </w:numPr>
      </w:pPr>
      <w:r>
        <w:rPr>
          <w:lang w:eastAsia="zh-CN"/>
        </w:rPr>
        <w:fldChar w:fldCharType="end"/>
      </w:r>
    </w:p>
    <w:sectPr w:rsidR="00F45EEE" w:rsidRPr="00662532" w:rsidSect="0026525A">
      <w:headerReference w:type="even" r:id="rId32"/>
      <w:headerReference w:type="default" r:id="rId33"/>
      <w:footerReference w:type="even" r:id="rId34"/>
      <w:footerReference w:type="default" r:id="rId35"/>
      <w:headerReference w:type="first" r:id="rId36"/>
      <w:footerReference w:type="first" r:id="rId37"/>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E6A0" w14:textId="77777777" w:rsidR="00544C90" w:rsidRDefault="00544C90">
      <w:r>
        <w:separator/>
      </w:r>
    </w:p>
  </w:endnote>
  <w:endnote w:type="continuationSeparator" w:id="0">
    <w:p w14:paraId="315DC283" w14:textId="77777777" w:rsidR="00544C90" w:rsidRDefault="0054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Adobe 宋体 Std L">
    <w:altName w:val="宋体"/>
    <w:panose1 w:val="00000000000000000000"/>
    <w:charset w:val="86"/>
    <w:family w:val="roman"/>
    <w:notTrueType/>
    <w:pitch w:val="variable"/>
    <w:sig w:usb0="00000207" w:usb1="0A0F1810" w:usb2="00000016" w:usb3="00000000" w:csb0="0006000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6" w14:textId="77777777" w:rsidR="00EA5193" w:rsidRDefault="00EA5193">
    <w:pPr>
      <w:pStyle w:val="zyxClassification1"/>
    </w:pPr>
    <w:r>
      <w:fldChar w:fldCharType="begin"/>
    </w:r>
    <w:r>
      <w:instrText xml:space="preserve"> DOCPROPERTY "IaeaClassification"  \* MERGEFORMAT </w:instrText>
    </w:r>
    <w:r>
      <w:fldChar w:fldCharType="end"/>
    </w:r>
  </w:p>
  <w:p w14:paraId="433FE0C7" w14:textId="77777777" w:rsidR="00EA5193" w:rsidRDefault="00EA5193">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8" w14:textId="77777777" w:rsidR="00EA5193" w:rsidRDefault="00EA5193">
    <w:pPr>
      <w:pStyle w:val="zyxClassification1"/>
    </w:pPr>
    <w:r>
      <w:fldChar w:fldCharType="begin"/>
    </w:r>
    <w:r>
      <w:instrText xml:space="preserve"> DOCPROPERTY "IaeaClassification"  \* MERGEFORMAT </w:instrText>
    </w:r>
    <w:r>
      <w:fldChar w:fldCharType="end"/>
    </w:r>
  </w:p>
  <w:p w14:paraId="433FE0C9" w14:textId="04D17468" w:rsidR="00EA5193" w:rsidRPr="00037321" w:rsidRDefault="00EA5193">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A5193" w14:paraId="433FE0D8" w14:textId="77777777">
      <w:trPr>
        <w:cantSplit/>
      </w:trPr>
      <w:tc>
        <w:tcPr>
          <w:tcW w:w="4644" w:type="dxa"/>
        </w:tcPr>
        <w:p w14:paraId="433FE0D4" w14:textId="77777777" w:rsidR="00EA5193" w:rsidRDefault="00EA5193">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A5193" w:rsidRDefault="00EA5193">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5" w:name="DOC_bkmClassification2"/>
      <w:tc>
        <w:tcPr>
          <w:tcW w:w="5670" w:type="dxa"/>
          <w:tcMar>
            <w:right w:w="249" w:type="dxa"/>
          </w:tcMar>
        </w:tcPr>
        <w:p w14:paraId="433FE0D6" w14:textId="77777777" w:rsidR="00EA5193" w:rsidRDefault="00EA519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14:paraId="433FE0D7" w14:textId="77777777" w:rsidR="00EA5193" w:rsidRDefault="00EA5193">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6" w:name="DOC_bkmFileName"/>
  <w:p w14:paraId="433FE0D9" w14:textId="77777777" w:rsidR="00EA5193" w:rsidRDefault="00EA5193">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8EBD" w14:textId="77777777" w:rsidR="00544C90" w:rsidRDefault="00544C90">
      <w:r>
        <w:t>___________________________________________________________________________</w:t>
      </w:r>
    </w:p>
  </w:footnote>
  <w:footnote w:type="continuationSeparator" w:id="0">
    <w:p w14:paraId="66C75B35" w14:textId="77777777" w:rsidR="00544C90" w:rsidRDefault="00544C90">
      <w:r>
        <w:t>___________________________________________________________________________</w:t>
      </w:r>
    </w:p>
  </w:footnote>
  <w:footnote w:type="continuationNotice" w:id="1">
    <w:p w14:paraId="4FB48286" w14:textId="77777777" w:rsidR="00544C90" w:rsidRDefault="00544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0" w14:textId="65021688" w:rsidR="00EA5193" w:rsidRDefault="00EA5193" w:rsidP="00CF7AF3">
    <w:pPr>
      <w:pStyle w:val="Runninghead"/>
    </w:pPr>
    <w:r>
      <w:tab/>
      <w:t xml:space="preserve">FR21: IAEA-CN-291/70 </w:t>
    </w:r>
  </w:p>
  <w:p w14:paraId="433FE0C2" w14:textId="77777777" w:rsidR="00EA5193" w:rsidRDefault="00EA5193"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433FE0C3" w14:textId="77777777" w:rsidR="00EA5193" w:rsidRDefault="00EA5193">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FE0C4" w14:textId="6DA82577" w:rsidR="00EA5193" w:rsidRPr="00354E17" w:rsidRDefault="00EA5193" w:rsidP="00B82FA5">
    <w:pPr>
      <w:pStyle w:val="Runninghead"/>
      <w:rPr>
        <w:lang w:val="fr-FR"/>
      </w:rPr>
    </w:pPr>
    <w:r w:rsidRPr="00354E17">
      <w:rPr>
        <w:lang w:val="fr-FR"/>
      </w:rPr>
      <w:t>Hui Guo and Xin Jin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A5193" w14:paraId="433FE0CE" w14:textId="77777777">
      <w:trPr>
        <w:cantSplit/>
        <w:trHeight w:val="716"/>
      </w:trPr>
      <w:tc>
        <w:tcPr>
          <w:tcW w:w="979" w:type="dxa"/>
          <w:vMerge w:val="restart"/>
        </w:tcPr>
        <w:p w14:paraId="433FE0CA" w14:textId="77777777" w:rsidR="00EA5193" w:rsidRDefault="00EA5193">
          <w:pPr>
            <w:spacing w:before="180"/>
            <w:ind w:left="17"/>
          </w:pPr>
        </w:p>
      </w:tc>
      <w:tc>
        <w:tcPr>
          <w:tcW w:w="3638" w:type="dxa"/>
          <w:vAlign w:val="bottom"/>
        </w:tcPr>
        <w:p w14:paraId="433FE0CB" w14:textId="77777777" w:rsidR="00EA5193" w:rsidRDefault="00EA5193">
          <w:pPr>
            <w:spacing w:after="20"/>
          </w:pPr>
        </w:p>
      </w:tc>
      <w:bookmarkStart w:id="4" w:name="DOC_bkmClassification1"/>
      <w:tc>
        <w:tcPr>
          <w:tcW w:w="5702" w:type="dxa"/>
          <w:vMerge w:val="restart"/>
          <w:tcMar>
            <w:right w:w="193" w:type="dxa"/>
          </w:tcMar>
        </w:tcPr>
        <w:p w14:paraId="433FE0CC" w14:textId="77777777" w:rsidR="00EA5193" w:rsidRDefault="00EA5193">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
        <w:p w14:paraId="433FE0CD" w14:textId="77777777" w:rsidR="00EA5193" w:rsidRDefault="00EA5193">
          <w:pPr>
            <w:pStyle w:val="zyxConfid2Red"/>
          </w:pPr>
          <w:r>
            <w:fldChar w:fldCharType="begin"/>
          </w:r>
          <w:r>
            <w:instrText>DOCPROPERTY "IaeaClassification2"  \* MERGEFORMAT</w:instrText>
          </w:r>
          <w:r>
            <w:fldChar w:fldCharType="end"/>
          </w:r>
        </w:p>
      </w:tc>
    </w:tr>
    <w:tr w:rsidR="00EA5193" w14:paraId="433FE0D2" w14:textId="77777777">
      <w:trPr>
        <w:cantSplit/>
        <w:trHeight w:val="167"/>
      </w:trPr>
      <w:tc>
        <w:tcPr>
          <w:tcW w:w="979" w:type="dxa"/>
          <w:vMerge/>
        </w:tcPr>
        <w:p w14:paraId="433FE0CF" w14:textId="77777777" w:rsidR="00EA5193" w:rsidRDefault="00EA5193">
          <w:pPr>
            <w:spacing w:before="57"/>
          </w:pPr>
        </w:p>
      </w:tc>
      <w:tc>
        <w:tcPr>
          <w:tcW w:w="3638" w:type="dxa"/>
          <w:vAlign w:val="bottom"/>
        </w:tcPr>
        <w:p w14:paraId="433FE0D0" w14:textId="77777777" w:rsidR="00EA5193" w:rsidRDefault="00EA5193">
          <w:pPr>
            <w:pStyle w:val="9"/>
            <w:spacing w:before="0" w:after="10"/>
          </w:pPr>
        </w:p>
      </w:tc>
      <w:tc>
        <w:tcPr>
          <w:tcW w:w="5702" w:type="dxa"/>
          <w:vMerge/>
          <w:vAlign w:val="bottom"/>
        </w:tcPr>
        <w:p w14:paraId="433FE0D1" w14:textId="77777777" w:rsidR="00EA5193" w:rsidRDefault="00EA5193">
          <w:pPr>
            <w:pStyle w:val="9"/>
            <w:spacing w:before="0" w:after="10"/>
          </w:pPr>
        </w:p>
      </w:tc>
    </w:tr>
  </w:tbl>
  <w:p w14:paraId="433FE0D3" w14:textId="77777777" w:rsidR="00EA5193" w:rsidRDefault="00EA51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0E9C30E4"/>
    <w:multiLevelType w:val="hybridMultilevel"/>
    <w:tmpl w:val="0BDA01E4"/>
    <w:lvl w:ilvl="0" w:tplc="8D600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147E8D"/>
    <w:multiLevelType w:val="multilevel"/>
    <w:tmpl w:val="1D3017C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0F01B2B"/>
    <w:multiLevelType w:val="hybridMultilevel"/>
    <w:tmpl w:val="EA729C24"/>
    <w:lvl w:ilvl="0" w:tplc="7C4832B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5B60CF"/>
    <w:multiLevelType w:val="hybridMultilevel"/>
    <w:tmpl w:val="7BA4AE30"/>
    <w:lvl w:ilvl="0" w:tplc="0E40F5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12CFC"/>
    <w:multiLevelType w:val="hybridMultilevel"/>
    <w:tmpl w:val="0BDA01E4"/>
    <w:lvl w:ilvl="0" w:tplc="8D600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1E63CC6"/>
    <w:multiLevelType w:val="hybridMultilevel"/>
    <w:tmpl w:val="087E03F6"/>
    <w:lvl w:ilvl="0" w:tplc="7BBC6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452605"/>
    <w:multiLevelType w:val="hybridMultilevel"/>
    <w:tmpl w:val="1682E42C"/>
    <w:lvl w:ilvl="0" w:tplc="0804BC5A">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8" w15:restartNumberingAfterBreak="0">
    <w:nsid w:val="74274DD2"/>
    <w:multiLevelType w:val="hybridMultilevel"/>
    <w:tmpl w:val="62DE7CCE"/>
    <w:lvl w:ilvl="0" w:tplc="8D600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EAD0E0D"/>
    <w:multiLevelType w:val="hybridMultilevel"/>
    <w:tmpl w:val="0BDA01E4"/>
    <w:lvl w:ilvl="0" w:tplc="8D600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7"/>
  </w:num>
  <w:num w:numId="4">
    <w:abstractNumId w:val="17"/>
  </w:num>
  <w:num w:numId="5">
    <w:abstractNumId w:val="17"/>
  </w:num>
  <w:num w:numId="6">
    <w:abstractNumId w:val="7"/>
  </w:num>
  <w:num w:numId="7">
    <w:abstractNumId w:val="14"/>
  </w:num>
  <w:num w:numId="8">
    <w:abstractNumId w:val="19"/>
  </w:num>
  <w:num w:numId="9">
    <w:abstractNumId w:val="1"/>
  </w:num>
  <w:num w:numId="10">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7"/>
  </w:num>
  <w:num w:numId="12">
    <w:abstractNumId w:val="17"/>
  </w:num>
  <w:num w:numId="13">
    <w:abstractNumId w:val="17"/>
  </w:num>
  <w:num w:numId="14">
    <w:abstractNumId w:val="17"/>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7"/>
  </w:num>
  <w:num w:numId="16">
    <w:abstractNumId w:val="17"/>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
  </w:num>
  <w:num w:numId="21">
    <w:abstractNumId w:val="17"/>
  </w:num>
  <w:num w:numId="22">
    <w:abstractNumId w:val="5"/>
  </w:num>
  <w:num w:numId="23">
    <w:abstractNumId w:val="0"/>
  </w:num>
  <w:num w:numId="24">
    <w:abstractNumId w:val="16"/>
  </w:num>
  <w:num w:numId="25">
    <w:abstractNumId w:val="17"/>
  </w:num>
  <w:num w:numId="26">
    <w:abstractNumId w:val="17"/>
  </w:num>
  <w:num w:numId="27">
    <w:abstractNumId w:val="17"/>
  </w:num>
  <w:num w:numId="28">
    <w:abstractNumId w:val="17"/>
  </w:num>
  <w:num w:numId="29">
    <w:abstractNumId w:val="17"/>
  </w:num>
  <w:num w:numId="30">
    <w:abstractNumId w:val="9"/>
  </w:num>
  <w:num w:numId="31">
    <w:abstractNumId w:val="9"/>
  </w:num>
  <w:num w:numId="32">
    <w:abstractNumId w:val="17"/>
  </w:num>
  <w:num w:numId="33">
    <w:abstractNumId w:val="17"/>
  </w:num>
  <w:num w:numId="34">
    <w:abstractNumId w:val="4"/>
  </w:num>
  <w:num w:numId="35">
    <w:abstractNumId w:val="17"/>
  </w:num>
  <w:num w:numId="36">
    <w:abstractNumId w:val="17"/>
    <w:lvlOverride w:ilvl="0">
      <w:startOverride w:val="1"/>
      <w:lvl w:ilvl="0">
        <w:start w:val="1"/>
        <w:numFmt w:val="none"/>
        <w:lvlRestart w:val="0"/>
        <w:lvlText w:val=""/>
        <w:lvlJc w:val="left"/>
        <w:pPr>
          <w:tabs>
            <w:tab w:val="num" w:pos="459"/>
          </w:tabs>
          <w:ind w:left="0" w:firstLine="0"/>
        </w:pPr>
        <w:rPr>
          <w:rFonts w:hint="default"/>
        </w:rPr>
      </w:lvl>
    </w:lvlOverride>
    <w:lvlOverride w:ilvl="1">
      <w:startOverride w:val="1"/>
      <w:lvl w:ilvl="1">
        <w:start w:val="1"/>
        <w:numFmt w:val="decimal"/>
        <w:lvlRestart w:val="0"/>
        <w:pStyle w:val="2"/>
        <w:lvlText w:val="%1%2."/>
        <w:lvlJc w:val="left"/>
        <w:pPr>
          <w:ind w:left="0" w:firstLine="0"/>
        </w:pPr>
        <w:rPr>
          <w:rFonts w:hint="default"/>
          <w:color w:val="auto"/>
        </w:rPr>
      </w:lvl>
    </w:lvlOverride>
    <w:lvlOverride w:ilvl="2">
      <w:startOverride w:val="1"/>
      <w:lvl w:ilvl="2">
        <w:start w:val="1"/>
        <w:numFmt w:val="decimal"/>
        <w:lvlRestart w:val="0"/>
        <w:pStyle w:val="3"/>
        <w:lvlText w:val="%1%2.%3."/>
        <w:lvlJc w:val="left"/>
        <w:pPr>
          <w:ind w:left="0" w:firstLine="0"/>
        </w:pPr>
        <w:rPr>
          <w:rFonts w:hint="default"/>
        </w:rPr>
      </w:lvl>
    </w:lvlOverride>
    <w:lvlOverride w:ilvl="3">
      <w:startOverride w:val="1"/>
      <w:lvl w:ilvl="3">
        <w:start w:val="1"/>
        <w:numFmt w:val="none"/>
        <w:lvlRestart w:val="0"/>
        <w:pStyle w:val="4"/>
        <w:lvlText w:val=""/>
        <w:lvlJc w:val="left"/>
        <w:pPr>
          <w:tabs>
            <w:tab w:val="num" w:pos="2058"/>
          </w:tabs>
          <w:ind w:left="1701" w:firstLine="0"/>
        </w:pPr>
        <w:rPr>
          <w:rFonts w:hint="default"/>
        </w:rPr>
      </w:lvl>
    </w:lvlOverride>
    <w:lvlOverride w:ilvl="4">
      <w:startOverride w:val="1"/>
      <w:lvl w:ilvl="4">
        <w:start w:val="1"/>
        <w:numFmt w:val="lowerLetter"/>
        <w:lvlRestart w:val="0"/>
        <w:lvlText w:val="%1(%5)"/>
        <w:lvlJc w:val="left"/>
        <w:pPr>
          <w:tabs>
            <w:tab w:val="num" w:pos="3345"/>
          </w:tabs>
          <w:ind w:left="2268" w:firstLine="0"/>
        </w:pPr>
        <w:rPr>
          <w:rFonts w:hint="default"/>
          <w:sz w:val="20"/>
        </w:rPr>
      </w:lvl>
    </w:lvlOverride>
    <w:lvlOverride w:ilvl="5">
      <w:startOverride w:val="1"/>
      <w:lvl w:ilvl="5">
        <w:start w:val="1"/>
        <w:numFmt w:val="decimal"/>
        <w:lvlText w:val="%1.%2.%3.%4.%5.%6"/>
        <w:lvlJc w:val="left"/>
        <w:pPr>
          <w:tabs>
            <w:tab w:val="num" w:pos="3912"/>
          </w:tabs>
          <w:ind w:left="2835" w:firstLine="0"/>
        </w:pPr>
        <w:rPr>
          <w:rFonts w:hint="default"/>
        </w:rPr>
      </w:lvl>
    </w:lvlOverride>
    <w:lvlOverride w:ilvl="6">
      <w:startOverride w:val="1"/>
      <w:lvl w:ilvl="6">
        <w:start w:val="1"/>
        <w:numFmt w:val="decimal"/>
        <w:lvlText w:val="%1.%2.%3.%4.%5.%6.%7"/>
        <w:lvlJc w:val="left"/>
        <w:pPr>
          <w:tabs>
            <w:tab w:val="num" w:pos="2432"/>
          </w:tabs>
          <w:ind w:left="2432" w:hanging="1298"/>
        </w:pPr>
        <w:rPr>
          <w:rFonts w:hint="default"/>
        </w:rPr>
      </w:lvl>
    </w:lvlOverride>
    <w:lvlOverride w:ilvl="7">
      <w:startOverride w:val="1"/>
      <w:lvl w:ilvl="7">
        <w:start w:val="1"/>
        <w:numFmt w:val="decimal"/>
        <w:lvlText w:val="%1.%2.%3.%4.%5.%6.%7.%8"/>
        <w:lvlJc w:val="left"/>
        <w:pPr>
          <w:tabs>
            <w:tab w:val="num" w:pos="2574"/>
          </w:tabs>
          <w:ind w:left="2574" w:hanging="1440"/>
        </w:pPr>
        <w:rPr>
          <w:rFonts w:hint="default"/>
        </w:rPr>
      </w:lvl>
    </w:lvlOverride>
    <w:lvlOverride w:ilvl="8">
      <w:startOverride w:val="1"/>
      <w:lvl w:ilvl="8">
        <w:start w:val="1"/>
        <w:numFmt w:val="decimal"/>
        <w:lvlText w:val="%1.%2.%3.%4.%5.%6.%7.%8.%9"/>
        <w:lvlJc w:val="left"/>
        <w:pPr>
          <w:tabs>
            <w:tab w:val="num" w:pos="2716"/>
          </w:tabs>
          <w:ind w:left="2716" w:hanging="1582"/>
        </w:pPr>
        <w:rPr>
          <w:rFonts w:hint="default"/>
        </w:rPr>
      </w:lvl>
    </w:lvlOverride>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5"/>
  </w:num>
  <w:num w:numId="44">
    <w:abstractNumId w:val="5"/>
  </w:num>
  <w:num w:numId="45">
    <w:abstractNumId w:val="11"/>
  </w:num>
  <w:num w:numId="46">
    <w:abstractNumId w:val="2"/>
  </w:num>
  <w:num w:numId="47">
    <w:abstractNumId w:val="8"/>
  </w:num>
  <w:num w:numId="48">
    <w:abstractNumId w:val="13"/>
  </w:num>
  <w:num w:numId="49">
    <w:abstractNumId w:val="17"/>
  </w:num>
  <w:num w:numId="50">
    <w:abstractNumId w:val="20"/>
  </w:num>
  <w:num w:numId="51">
    <w:abstractNumId w:val="18"/>
  </w:num>
  <w:num w:numId="52">
    <w:abstractNumId w:val="10"/>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wNbcwMjU2M7cwMDZU0lEKTi0uzszPAykwrwUAvLNGcCw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36E7"/>
    <w:rsid w:val="00017E79"/>
    <w:rsid w:val="000228E5"/>
    <w:rsid w:val="000229AB"/>
    <w:rsid w:val="0002569A"/>
    <w:rsid w:val="00027F83"/>
    <w:rsid w:val="00037321"/>
    <w:rsid w:val="0003780C"/>
    <w:rsid w:val="00061A22"/>
    <w:rsid w:val="000655DC"/>
    <w:rsid w:val="0007570D"/>
    <w:rsid w:val="000772FB"/>
    <w:rsid w:val="00081CF4"/>
    <w:rsid w:val="00082826"/>
    <w:rsid w:val="0009122F"/>
    <w:rsid w:val="00092C6C"/>
    <w:rsid w:val="00092DF2"/>
    <w:rsid w:val="00093A64"/>
    <w:rsid w:val="00096681"/>
    <w:rsid w:val="000A0299"/>
    <w:rsid w:val="000A0462"/>
    <w:rsid w:val="000A2990"/>
    <w:rsid w:val="000A3EE0"/>
    <w:rsid w:val="000B3404"/>
    <w:rsid w:val="000C1AC6"/>
    <w:rsid w:val="000C4332"/>
    <w:rsid w:val="000D00B3"/>
    <w:rsid w:val="000D52CC"/>
    <w:rsid w:val="000E38AC"/>
    <w:rsid w:val="000E4337"/>
    <w:rsid w:val="000E4934"/>
    <w:rsid w:val="000E5316"/>
    <w:rsid w:val="000F369D"/>
    <w:rsid w:val="000F4214"/>
    <w:rsid w:val="000F4449"/>
    <w:rsid w:val="000F50DF"/>
    <w:rsid w:val="000F518C"/>
    <w:rsid w:val="000F736C"/>
    <w:rsid w:val="000F74E7"/>
    <w:rsid w:val="000F7AE4"/>
    <w:rsid w:val="000F7E94"/>
    <w:rsid w:val="00101726"/>
    <w:rsid w:val="00101C8C"/>
    <w:rsid w:val="001045C3"/>
    <w:rsid w:val="00107821"/>
    <w:rsid w:val="001106CE"/>
    <w:rsid w:val="00111641"/>
    <w:rsid w:val="001119D6"/>
    <w:rsid w:val="00115EB5"/>
    <w:rsid w:val="00117D7D"/>
    <w:rsid w:val="001204ED"/>
    <w:rsid w:val="001215FA"/>
    <w:rsid w:val="00121E70"/>
    <w:rsid w:val="001308F2"/>
    <w:rsid w:val="001313E8"/>
    <w:rsid w:val="00134E83"/>
    <w:rsid w:val="001545B1"/>
    <w:rsid w:val="0016446A"/>
    <w:rsid w:val="0017419B"/>
    <w:rsid w:val="0018289C"/>
    <w:rsid w:val="001831FD"/>
    <w:rsid w:val="00183BC4"/>
    <w:rsid w:val="0018533E"/>
    <w:rsid w:val="0018722D"/>
    <w:rsid w:val="001A0D4A"/>
    <w:rsid w:val="001B1D2E"/>
    <w:rsid w:val="001B2081"/>
    <w:rsid w:val="001B2A64"/>
    <w:rsid w:val="001C073E"/>
    <w:rsid w:val="001C2A9D"/>
    <w:rsid w:val="001C2B23"/>
    <w:rsid w:val="001C354F"/>
    <w:rsid w:val="001C58F5"/>
    <w:rsid w:val="001C720E"/>
    <w:rsid w:val="001D2F83"/>
    <w:rsid w:val="001D5CEE"/>
    <w:rsid w:val="001E4394"/>
    <w:rsid w:val="001E6A1E"/>
    <w:rsid w:val="0020541C"/>
    <w:rsid w:val="002071D9"/>
    <w:rsid w:val="00234548"/>
    <w:rsid w:val="00236C33"/>
    <w:rsid w:val="00237A66"/>
    <w:rsid w:val="0025411D"/>
    <w:rsid w:val="002554F1"/>
    <w:rsid w:val="00256822"/>
    <w:rsid w:val="00256B32"/>
    <w:rsid w:val="0026525A"/>
    <w:rsid w:val="00267B62"/>
    <w:rsid w:val="00274790"/>
    <w:rsid w:val="00277CBC"/>
    <w:rsid w:val="002849E1"/>
    <w:rsid w:val="00285755"/>
    <w:rsid w:val="002903D4"/>
    <w:rsid w:val="00297138"/>
    <w:rsid w:val="002A1F9C"/>
    <w:rsid w:val="002A6A1B"/>
    <w:rsid w:val="002B29C2"/>
    <w:rsid w:val="002C174D"/>
    <w:rsid w:val="002C29DB"/>
    <w:rsid w:val="002C4208"/>
    <w:rsid w:val="002C674B"/>
    <w:rsid w:val="002E009B"/>
    <w:rsid w:val="002E5447"/>
    <w:rsid w:val="002F1386"/>
    <w:rsid w:val="002F5BB4"/>
    <w:rsid w:val="00304122"/>
    <w:rsid w:val="00325615"/>
    <w:rsid w:val="00333302"/>
    <w:rsid w:val="003432AD"/>
    <w:rsid w:val="00344397"/>
    <w:rsid w:val="00345397"/>
    <w:rsid w:val="00346CBE"/>
    <w:rsid w:val="00350AE3"/>
    <w:rsid w:val="00352DE1"/>
    <w:rsid w:val="00353D2A"/>
    <w:rsid w:val="003546A9"/>
    <w:rsid w:val="00354E17"/>
    <w:rsid w:val="00361757"/>
    <w:rsid w:val="0036419C"/>
    <w:rsid w:val="0036730C"/>
    <w:rsid w:val="003728E6"/>
    <w:rsid w:val="003768BA"/>
    <w:rsid w:val="00390814"/>
    <w:rsid w:val="00391E4D"/>
    <w:rsid w:val="00395204"/>
    <w:rsid w:val="00395E37"/>
    <w:rsid w:val="003A2CDB"/>
    <w:rsid w:val="003A4E88"/>
    <w:rsid w:val="003B5E0E"/>
    <w:rsid w:val="003B7024"/>
    <w:rsid w:val="003D1D31"/>
    <w:rsid w:val="003D255A"/>
    <w:rsid w:val="003E1A24"/>
    <w:rsid w:val="003E6C4F"/>
    <w:rsid w:val="003E713B"/>
    <w:rsid w:val="003F4554"/>
    <w:rsid w:val="0040064A"/>
    <w:rsid w:val="004034A0"/>
    <w:rsid w:val="0040554E"/>
    <w:rsid w:val="00407CB2"/>
    <w:rsid w:val="00416949"/>
    <w:rsid w:val="00422EBB"/>
    <w:rsid w:val="004370D8"/>
    <w:rsid w:val="00437F4B"/>
    <w:rsid w:val="004510D5"/>
    <w:rsid w:val="004543CD"/>
    <w:rsid w:val="004607DA"/>
    <w:rsid w:val="0046084F"/>
    <w:rsid w:val="0047171F"/>
    <w:rsid w:val="00472C43"/>
    <w:rsid w:val="00475388"/>
    <w:rsid w:val="0047752B"/>
    <w:rsid w:val="004806E6"/>
    <w:rsid w:val="00497420"/>
    <w:rsid w:val="004A1DCE"/>
    <w:rsid w:val="004A6F3E"/>
    <w:rsid w:val="004B14C3"/>
    <w:rsid w:val="004B2B77"/>
    <w:rsid w:val="004B2EE8"/>
    <w:rsid w:val="004C1E60"/>
    <w:rsid w:val="004C6810"/>
    <w:rsid w:val="004D216D"/>
    <w:rsid w:val="004D251D"/>
    <w:rsid w:val="004D34C7"/>
    <w:rsid w:val="004E0430"/>
    <w:rsid w:val="004E2B7C"/>
    <w:rsid w:val="004E7607"/>
    <w:rsid w:val="004F75B8"/>
    <w:rsid w:val="004F7F8B"/>
    <w:rsid w:val="00511AD9"/>
    <w:rsid w:val="00512538"/>
    <w:rsid w:val="00517065"/>
    <w:rsid w:val="00517148"/>
    <w:rsid w:val="00517D2B"/>
    <w:rsid w:val="005210E2"/>
    <w:rsid w:val="00523037"/>
    <w:rsid w:val="00523872"/>
    <w:rsid w:val="0052733E"/>
    <w:rsid w:val="0053375E"/>
    <w:rsid w:val="00537080"/>
    <w:rsid w:val="00537496"/>
    <w:rsid w:val="00544C90"/>
    <w:rsid w:val="00544ED3"/>
    <w:rsid w:val="00545C47"/>
    <w:rsid w:val="005513F6"/>
    <w:rsid w:val="00556EBB"/>
    <w:rsid w:val="00566677"/>
    <w:rsid w:val="005671D7"/>
    <w:rsid w:val="00570667"/>
    <w:rsid w:val="00570B8B"/>
    <w:rsid w:val="00575B4D"/>
    <w:rsid w:val="00581E74"/>
    <w:rsid w:val="00583715"/>
    <w:rsid w:val="0058477B"/>
    <w:rsid w:val="0058654F"/>
    <w:rsid w:val="00596ACA"/>
    <w:rsid w:val="005A2CA9"/>
    <w:rsid w:val="005A6C03"/>
    <w:rsid w:val="005B0860"/>
    <w:rsid w:val="005B3BD5"/>
    <w:rsid w:val="005C4164"/>
    <w:rsid w:val="005D5ACA"/>
    <w:rsid w:val="005E1C1F"/>
    <w:rsid w:val="005E39BC"/>
    <w:rsid w:val="005E7081"/>
    <w:rsid w:val="005F00A0"/>
    <w:rsid w:val="005F2B8B"/>
    <w:rsid w:val="005F450F"/>
    <w:rsid w:val="005F5E73"/>
    <w:rsid w:val="005F6044"/>
    <w:rsid w:val="00615FC8"/>
    <w:rsid w:val="00624813"/>
    <w:rsid w:val="006253B4"/>
    <w:rsid w:val="00626A6D"/>
    <w:rsid w:val="006321B2"/>
    <w:rsid w:val="00636D6C"/>
    <w:rsid w:val="00647F33"/>
    <w:rsid w:val="00650D22"/>
    <w:rsid w:val="00654566"/>
    <w:rsid w:val="00656BA7"/>
    <w:rsid w:val="00660E4D"/>
    <w:rsid w:val="00662532"/>
    <w:rsid w:val="00670AC8"/>
    <w:rsid w:val="00672862"/>
    <w:rsid w:val="0067513F"/>
    <w:rsid w:val="00677613"/>
    <w:rsid w:val="00680DA7"/>
    <w:rsid w:val="00685177"/>
    <w:rsid w:val="00690DDA"/>
    <w:rsid w:val="006B2274"/>
    <w:rsid w:val="006B3BDE"/>
    <w:rsid w:val="006C072B"/>
    <w:rsid w:val="006C5779"/>
    <w:rsid w:val="006C5992"/>
    <w:rsid w:val="006D3150"/>
    <w:rsid w:val="006E388A"/>
    <w:rsid w:val="006F0FBE"/>
    <w:rsid w:val="006F2249"/>
    <w:rsid w:val="0070569D"/>
    <w:rsid w:val="00706150"/>
    <w:rsid w:val="007102E0"/>
    <w:rsid w:val="007174EE"/>
    <w:rsid w:val="00717C6F"/>
    <w:rsid w:val="00720069"/>
    <w:rsid w:val="00722049"/>
    <w:rsid w:val="0074102D"/>
    <w:rsid w:val="00743E5D"/>
    <w:rsid w:val="007445DA"/>
    <w:rsid w:val="00744C6F"/>
    <w:rsid w:val="007461E6"/>
    <w:rsid w:val="007524C4"/>
    <w:rsid w:val="007562B4"/>
    <w:rsid w:val="007647B2"/>
    <w:rsid w:val="00764A7D"/>
    <w:rsid w:val="00774488"/>
    <w:rsid w:val="007765F7"/>
    <w:rsid w:val="007808D4"/>
    <w:rsid w:val="007821F0"/>
    <w:rsid w:val="007855DE"/>
    <w:rsid w:val="00791BD0"/>
    <w:rsid w:val="0079678B"/>
    <w:rsid w:val="0079765D"/>
    <w:rsid w:val="007A0499"/>
    <w:rsid w:val="007A74EB"/>
    <w:rsid w:val="007B0FD1"/>
    <w:rsid w:val="007B4997"/>
    <w:rsid w:val="007B4FD1"/>
    <w:rsid w:val="007B50E7"/>
    <w:rsid w:val="007B7161"/>
    <w:rsid w:val="007C5170"/>
    <w:rsid w:val="007D0BDD"/>
    <w:rsid w:val="007D12B8"/>
    <w:rsid w:val="007D34D7"/>
    <w:rsid w:val="007E2D13"/>
    <w:rsid w:val="007E37C5"/>
    <w:rsid w:val="007E4A2D"/>
    <w:rsid w:val="007F4283"/>
    <w:rsid w:val="007F536A"/>
    <w:rsid w:val="007F6EEB"/>
    <w:rsid w:val="00802381"/>
    <w:rsid w:val="008049A4"/>
    <w:rsid w:val="00805F97"/>
    <w:rsid w:val="00810035"/>
    <w:rsid w:val="00810342"/>
    <w:rsid w:val="00822843"/>
    <w:rsid w:val="0082656E"/>
    <w:rsid w:val="0083096A"/>
    <w:rsid w:val="008368C4"/>
    <w:rsid w:val="00851725"/>
    <w:rsid w:val="008519F0"/>
    <w:rsid w:val="008544D1"/>
    <w:rsid w:val="00855E90"/>
    <w:rsid w:val="00861339"/>
    <w:rsid w:val="00865387"/>
    <w:rsid w:val="0086759F"/>
    <w:rsid w:val="00871F40"/>
    <w:rsid w:val="0087292A"/>
    <w:rsid w:val="00874AA5"/>
    <w:rsid w:val="0087520B"/>
    <w:rsid w:val="00875536"/>
    <w:rsid w:val="00883848"/>
    <w:rsid w:val="008925BC"/>
    <w:rsid w:val="00894655"/>
    <w:rsid w:val="00897ED5"/>
    <w:rsid w:val="008A3DF9"/>
    <w:rsid w:val="008B4AC7"/>
    <w:rsid w:val="008B6BB9"/>
    <w:rsid w:val="008B7FAC"/>
    <w:rsid w:val="008C0809"/>
    <w:rsid w:val="008C1D8E"/>
    <w:rsid w:val="008C46FE"/>
    <w:rsid w:val="008C48A8"/>
    <w:rsid w:val="008C543B"/>
    <w:rsid w:val="008D2950"/>
    <w:rsid w:val="008E075D"/>
    <w:rsid w:val="008E11C2"/>
    <w:rsid w:val="008F2073"/>
    <w:rsid w:val="008F3B57"/>
    <w:rsid w:val="009014F4"/>
    <w:rsid w:val="00911543"/>
    <w:rsid w:val="00926958"/>
    <w:rsid w:val="009315D0"/>
    <w:rsid w:val="00933502"/>
    <w:rsid w:val="00941856"/>
    <w:rsid w:val="00951853"/>
    <w:rsid w:val="009519BC"/>
    <w:rsid w:val="009519C9"/>
    <w:rsid w:val="009634F1"/>
    <w:rsid w:val="00966E96"/>
    <w:rsid w:val="00981964"/>
    <w:rsid w:val="00983208"/>
    <w:rsid w:val="00983E64"/>
    <w:rsid w:val="009856D5"/>
    <w:rsid w:val="0098794C"/>
    <w:rsid w:val="009A4BDB"/>
    <w:rsid w:val="009B1259"/>
    <w:rsid w:val="009C0861"/>
    <w:rsid w:val="009C1026"/>
    <w:rsid w:val="009C63EF"/>
    <w:rsid w:val="009C793C"/>
    <w:rsid w:val="009D0B86"/>
    <w:rsid w:val="009D0D32"/>
    <w:rsid w:val="009D2810"/>
    <w:rsid w:val="009D28D2"/>
    <w:rsid w:val="009E0D5B"/>
    <w:rsid w:val="009E1558"/>
    <w:rsid w:val="009E3CBE"/>
    <w:rsid w:val="009F2C72"/>
    <w:rsid w:val="009F593F"/>
    <w:rsid w:val="009F60A4"/>
    <w:rsid w:val="009F7B4D"/>
    <w:rsid w:val="00A01E8A"/>
    <w:rsid w:val="00A141CB"/>
    <w:rsid w:val="00A203EC"/>
    <w:rsid w:val="00A21785"/>
    <w:rsid w:val="00A22F47"/>
    <w:rsid w:val="00A233D1"/>
    <w:rsid w:val="00A31929"/>
    <w:rsid w:val="00A31A1C"/>
    <w:rsid w:val="00A42898"/>
    <w:rsid w:val="00A52AC7"/>
    <w:rsid w:val="00A53586"/>
    <w:rsid w:val="00A57919"/>
    <w:rsid w:val="00A5799C"/>
    <w:rsid w:val="00A60C71"/>
    <w:rsid w:val="00A61A19"/>
    <w:rsid w:val="00A64DCC"/>
    <w:rsid w:val="00A70709"/>
    <w:rsid w:val="00A74F63"/>
    <w:rsid w:val="00A763A7"/>
    <w:rsid w:val="00A864EE"/>
    <w:rsid w:val="00A96048"/>
    <w:rsid w:val="00A96146"/>
    <w:rsid w:val="00AA0120"/>
    <w:rsid w:val="00AA2A75"/>
    <w:rsid w:val="00AB0900"/>
    <w:rsid w:val="00AB5632"/>
    <w:rsid w:val="00AB5E70"/>
    <w:rsid w:val="00AB6ACE"/>
    <w:rsid w:val="00AC0F67"/>
    <w:rsid w:val="00AC145D"/>
    <w:rsid w:val="00AC5A3A"/>
    <w:rsid w:val="00AE14BD"/>
    <w:rsid w:val="00AE5842"/>
    <w:rsid w:val="00AE5AE9"/>
    <w:rsid w:val="00AE671D"/>
    <w:rsid w:val="00AF1565"/>
    <w:rsid w:val="00AF41B0"/>
    <w:rsid w:val="00AF6955"/>
    <w:rsid w:val="00AF7BEB"/>
    <w:rsid w:val="00B239F9"/>
    <w:rsid w:val="00B604BE"/>
    <w:rsid w:val="00B63735"/>
    <w:rsid w:val="00B70701"/>
    <w:rsid w:val="00B73633"/>
    <w:rsid w:val="00B80099"/>
    <w:rsid w:val="00B82FA5"/>
    <w:rsid w:val="00B87DCB"/>
    <w:rsid w:val="00B96A23"/>
    <w:rsid w:val="00BA46A0"/>
    <w:rsid w:val="00BB00CD"/>
    <w:rsid w:val="00BB1510"/>
    <w:rsid w:val="00BC299F"/>
    <w:rsid w:val="00BC30C2"/>
    <w:rsid w:val="00BD0B96"/>
    <w:rsid w:val="00BD1400"/>
    <w:rsid w:val="00BD605C"/>
    <w:rsid w:val="00BE01E4"/>
    <w:rsid w:val="00BE0E0F"/>
    <w:rsid w:val="00BE2A76"/>
    <w:rsid w:val="00BF5583"/>
    <w:rsid w:val="00BF78C1"/>
    <w:rsid w:val="00C00682"/>
    <w:rsid w:val="00C11F12"/>
    <w:rsid w:val="00C14C0F"/>
    <w:rsid w:val="00C25B90"/>
    <w:rsid w:val="00C3237E"/>
    <w:rsid w:val="00C33A79"/>
    <w:rsid w:val="00C453CB"/>
    <w:rsid w:val="00C46A7C"/>
    <w:rsid w:val="00C552A4"/>
    <w:rsid w:val="00C56B40"/>
    <w:rsid w:val="00C578FC"/>
    <w:rsid w:val="00C61AD5"/>
    <w:rsid w:val="00C630BC"/>
    <w:rsid w:val="00C65E60"/>
    <w:rsid w:val="00C6601E"/>
    <w:rsid w:val="00C70D6C"/>
    <w:rsid w:val="00C767C6"/>
    <w:rsid w:val="00C96933"/>
    <w:rsid w:val="00C9756F"/>
    <w:rsid w:val="00CA006E"/>
    <w:rsid w:val="00CA0102"/>
    <w:rsid w:val="00CA4F36"/>
    <w:rsid w:val="00CB67FA"/>
    <w:rsid w:val="00CD11B7"/>
    <w:rsid w:val="00CD23B8"/>
    <w:rsid w:val="00CD54E1"/>
    <w:rsid w:val="00CD73DA"/>
    <w:rsid w:val="00CE2784"/>
    <w:rsid w:val="00CE5A52"/>
    <w:rsid w:val="00CE7D46"/>
    <w:rsid w:val="00CF079F"/>
    <w:rsid w:val="00CF382A"/>
    <w:rsid w:val="00CF4578"/>
    <w:rsid w:val="00CF464F"/>
    <w:rsid w:val="00CF7AF3"/>
    <w:rsid w:val="00D01D67"/>
    <w:rsid w:val="00D054EC"/>
    <w:rsid w:val="00D0702C"/>
    <w:rsid w:val="00D106BB"/>
    <w:rsid w:val="00D108A0"/>
    <w:rsid w:val="00D21863"/>
    <w:rsid w:val="00D22EE7"/>
    <w:rsid w:val="00D25E64"/>
    <w:rsid w:val="00D26ADA"/>
    <w:rsid w:val="00D26BA6"/>
    <w:rsid w:val="00D35A78"/>
    <w:rsid w:val="00D3649F"/>
    <w:rsid w:val="00D4216E"/>
    <w:rsid w:val="00D42D15"/>
    <w:rsid w:val="00D42DE7"/>
    <w:rsid w:val="00D462AE"/>
    <w:rsid w:val="00D47FEC"/>
    <w:rsid w:val="00D555A1"/>
    <w:rsid w:val="00D62B3D"/>
    <w:rsid w:val="00D6418C"/>
    <w:rsid w:val="00D6429A"/>
    <w:rsid w:val="00D64DC2"/>
    <w:rsid w:val="00D676A7"/>
    <w:rsid w:val="00D67869"/>
    <w:rsid w:val="00D71A2C"/>
    <w:rsid w:val="00D735C4"/>
    <w:rsid w:val="00D73B81"/>
    <w:rsid w:val="00DA317C"/>
    <w:rsid w:val="00DA46CA"/>
    <w:rsid w:val="00DA5503"/>
    <w:rsid w:val="00DB0B69"/>
    <w:rsid w:val="00DB12CF"/>
    <w:rsid w:val="00DB30D5"/>
    <w:rsid w:val="00DC657D"/>
    <w:rsid w:val="00DC7CF6"/>
    <w:rsid w:val="00DD4B7F"/>
    <w:rsid w:val="00DD74D0"/>
    <w:rsid w:val="00DE05EE"/>
    <w:rsid w:val="00DF21EB"/>
    <w:rsid w:val="00DF2355"/>
    <w:rsid w:val="00E025D0"/>
    <w:rsid w:val="00E03B22"/>
    <w:rsid w:val="00E10B42"/>
    <w:rsid w:val="00E13875"/>
    <w:rsid w:val="00E14B79"/>
    <w:rsid w:val="00E156BF"/>
    <w:rsid w:val="00E17D85"/>
    <w:rsid w:val="00E20E70"/>
    <w:rsid w:val="00E20F34"/>
    <w:rsid w:val="00E23721"/>
    <w:rsid w:val="00E25231"/>
    <w:rsid w:val="00E25B68"/>
    <w:rsid w:val="00E32E38"/>
    <w:rsid w:val="00E478DC"/>
    <w:rsid w:val="00E57103"/>
    <w:rsid w:val="00E60AA6"/>
    <w:rsid w:val="00E61B95"/>
    <w:rsid w:val="00E628A1"/>
    <w:rsid w:val="00E676A3"/>
    <w:rsid w:val="00E7123E"/>
    <w:rsid w:val="00E71CA6"/>
    <w:rsid w:val="00E74224"/>
    <w:rsid w:val="00E84003"/>
    <w:rsid w:val="00E91A1B"/>
    <w:rsid w:val="00E95B5C"/>
    <w:rsid w:val="00EA0343"/>
    <w:rsid w:val="00EA5193"/>
    <w:rsid w:val="00EA5512"/>
    <w:rsid w:val="00EB50D6"/>
    <w:rsid w:val="00EB5F06"/>
    <w:rsid w:val="00EC10FC"/>
    <w:rsid w:val="00ED0A99"/>
    <w:rsid w:val="00ED1D82"/>
    <w:rsid w:val="00ED2D9F"/>
    <w:rsid w:val="00ED719D"/>
    <w:rsid w:val="00EE0041"/>
    <w:rsid w:val="00EE066F"/>
    <w:rsid w:val="00EE29B9"/>
    <w:rsid w:val="00EE5728"/>
    <w:rsid w:val="00EF1298"/>
    <w:rsid w:val="00EF5186"/>
    <w:rsid w:val="00F004EE"/>
    <w:rsid w:val="00F008F0"/>
    <w:rsid w:val="00F1037A"/>
    <w:rsid w:val="00F10DF2"/>
    <w:rsid w:val="00F234A9"/>
    <w:rsid w:val="00F251CB"/>
    <w:rsid w:val="00F379A8"/>
    <w:rsid w:val="00F41349"/>
    <w:rsid w:val="00F42E23"/>
    <w:rsid w:val="00F45EEE"/>
    <w:rsid w:val="00F505AD"/>
    <w:rsid w:val="00F50F30"/>
    <w:rsid w:val="00F51E9C"/>
    <w:rsid w:val="00F523CA"/>
    <w:rsid w:val="00F52696"/>
    <w:rsid w:val="00F57775"/>
    <w:rsid w:val="00F61933"/>
    <w:rsid w:val="00F666D9"/>
    <w:rsid w:val="00F70C60"/>
    <w:rsid w:val="00F71727"/>
    <w:rsid w:val="00F74A9D"/>
    <w:rsid w:val="00F85224"/>
    <w:rsid w:val="00F90DD3"/>
    <w:rsid w:val="00F90E22"/>
    <w:rsid w:val="00F92D46"/>
    <w:rsid w:val="00F93FA7"/>
    <w:rsid w:val="00FA2211"/>
    <w:rsid w:val="00FA6F8A"/>
    <w:rsid w:val="00FB26EE"/>
    <w:rsid w:val="00FB5A31"/>
    <w:rsid w:val="00FB6202"/>
    <w:rsid w:val="00FC7BFA"/>
    <w:rsid w:val="00FD1B3E"/>
    <w:rsid w:val="00FD3A3D"/>
    <w:rsid w:val="00FD7001"/>
    <w:rsid w:val="00FE1DE2"/>
    <w:rsid w:val="00FE6576"/>
    <w:rsid w:val="00FE7187"/>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4"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AE5AE9"/>
    <w:pPr>
      <w:widowControl w:val="0"/>
      <w:numPr>
        <w:ilvl w:val="1"/>
        <w:numId w:val="12"/>
      </w:numPr>
      <w:spacing w:before="100" w:beforeAutospacing="1" w:after="100" w:afterAutospacing="1" w:line="280" w:lineRule="atLeast"/>
      <w:outlineLvl w:val="1"/>
    </w:pPr>
    <w:rPr>
      <w:rFonts w:eastAsia="Times New Roman"/>
      <w:b/>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页脚 字符"/>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正文文本 字符"/>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uiPriority w:val="39"/>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批注框文本 字符"/>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批注文字 字符"/>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批注主题 字符"/>
    <w:basedOn w:val="af4"/>
    <w:link w:val="af5"/>
    <w:uiPriority w:val="49"/>
    <w:semiHidden/>
    <w:rsid w:val="00A233D1"/>
    <w:rPr>
      <w:b/>
      <w:bCs/>
      <w:lang w:eastAsia="en-US"/>
    </w:rPr>
  </w:style>
  <w:style w:type="character" w:customStyle="1" w:styleId="fontstyle01">
    <w:name w:val="fontstyle01"/>
    <w:basedOn w:val="a2"/>
    <w:rsid w:val="00810035"/>
    <w:rPr>
      <w:rFonts w:ascii="Times-Roman" w:hAnsi="Times-Roman" w:hint="default"/>
      <w:b w:val="0"/>
      <w:bCs w:val="0"/>
      <w:i w:val="0"/>
      <w:iCs w:val="0"/>
      <w:color w:val="131413"/>
      <w:sz w:val="20"/>
      <w:szCs w:val="20"/>
    </w:rPr>
  </w:style>
  <w:style w:type="paragraph" w:styleId="af7">
    <w:name w:val="List Paragraph"/>
    <w:basedOn w:val="a"/>
    <w:uiPriority w:val="34"/>
    <w:qFormat/>
    <w:locked/>
    <w:rsid w:val="00810035"/>
    <w:pPr>
      <w:widowControl w:val="0"/>
      <w:overflowPunct/>
      <w:autoSpaceDE/>
      <w:autoSpaceDN/>
      <w:adjustRightInd/>
      <w:ind w:firstLineChars="200" w:firstLine="420"/>
      <w:jc w:val="both"/>
      <w:textAlignment w:val="auto"/>
    </w:pPr>
    <w:rPr>
      <w:rFonts w:eastAsia="Adobe 宋体 Std L"/>
      <w:color w:val="131413"/>
      <w:kern w:val="2"/>
      <w:sz w:val="18"/>
      <w:szCs w:val="18"/>
      <w:lang w:val="en-US"/>
    </w:rPr>
  </w:style>
  <w:style w:type="paragraph" w:styleId="af8">
    <w:name w:val="Bibliography"/>
    <w:basedOn w:val="a"/>
    <w:next w:val="a"/>
    <w:uiPriority w:val="37"/>
    <w:unhideWhenUsed/>
    <w:locked/>
    <w:rsid w:val="00861339"/>
    <w:pPr>
      <w:tabs>
        <w:tab w:val="left" w:pos="384"/>
      </w:tabs>
      <w:ind w:left="384" w:hanging="384"/>
    </w:pPr>
  </w:style>
  <w:style w:type="paragraph" w:styleId="af9">
    <w:name w:val="Revision"/>
    <w:hidden/>
    <w:uiPriority w:val="99"/>
    <w:semiHidden/>
    <w:rsid w:val="00DB12C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image" Target="media/image14.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F16A58-DE8C-474D-83C2-7BED572A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4467</TotalTime>
  <Pages>10</Pages>
  <Words>9483</Words>
  <Characters>54057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63414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GUO Hui</cp:lastModifiedBy>
  <cp:revision>293</cp:revision>
  <cp:lastPrinted>2015-12-01T10:27:00Z</cp:lastPrinted>
  <dcterms:created xsi:type="dcterms:W3CDTF">2021-03-13T03:02:00Z</dcterms:created>
  <dcterms:modified xsi:type="dcterms:W3CDTF">2022-03-23T14:01:00Z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ZOTERO_PREF_1">
    <vt:lpwstr>&lt;data data-version="3" zotero-version="5.0.96"&gt;&lt;session id="OF3CAKIh"/&gt;&lt;style id="http://www.zotero.org/styles/international-atomic-energy-agency" hasBibliography="1" bibliographyStyleHasBeenSet="1"/&gt;&lt;prefs&gt;&lt;pref name="fieldType" value="Field"/&gt;&lt;/prefs&gt;&lt;/</vt:lpwstr>
  </property>
  <property fmtid="{D5CDD505-2E9C-101B-9397-08002B2CF9AE}" pid="14" name="ZOTERO_PREF_2">
    <vt:lpwstr>data&gt;</vt:lpwstr>
  </property>
</Properties>
</file>