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E03C" w14:textId="5F9CEBA0" w:rsidR="00E20E70" w:rsidRPr="00EE29B9" w:rsidRDefault="007939FB" w:rsidP="00537496">
      <w:pPr>
        <w:pStyle w:val="Heading1"/>
      </w:pPr>
      <w:r>
        <w:t xml:space="preserve">blind phase results for transient </w:t>
      </w:r>
      <w:r>
        <w:br/>
        <w:t xml:space="preserve">simulations of the FFTF Loss of flow </w:t>
      </w:r>
      <w:r>
        <w:br/>
        <w:t>WITHOUT SCRAM TEST #13</w:t>
      </w:r>
    </w:p>
    <w:p w14:paraId="433FE03F" w14:textId="77777777" w:rsidR="00802381" w:rsidRDefault="00802381" w:rsidP="00537496">
      <w:pPr>
        <w:pStyle w:val="Authornameandaffiliation"/>
      </w:pPr>
    </w:p>
    <w:p w14:paraId="6794BCA6" w14:textId="77777777" w:rsidR="007939FB" w:rsidRDefault="007939FB" w:rsidP="007939FB">
      <w:pPr>
        <w:pStyle w:val="Authornameandaffiliation"/>
      </w:pPr>
      <w:r>
        <w:t>T. SUMNER</w:t>
      </w:r>
    </w:p>
    <w:p w14:paraId="501626A9" w14:textId="77777777" w:rsidR="007939FB" w:rsidRDefault="007939FB" w:rsidP="007939FB">
      <w:pPr>
        <w:pStyle w:val="Authornameandaffiliation"/>
      </w:pPr>
      <w:r>
        <w:t>Argonne National Laboratory</w:t>
      </w:r>
    </w:p>
    <w:p w14:paraId="7CD612FC" w14:textId="77777777" w:rsidR="007939FB" w:rsidRDefault="007939FB" w:rsidP="007939FB">
      <w:pPr>
        <w:pStyle w:val="Authornameandaffiliation"/>
      </w:pPr>
      <w:r>
        <w:t>Argonne, IL, USA</w:t>
      </w:r>
    </w:p>
    <w:p w14:paraId="3BA33579" w14:textId="43102F62" w:rsidR="007939FB" w:rsidRDefault="007939FB" w:rsidP="007939FB">
      <w:pPr>
        <w:pStyle w:val="Authornameandaffiliation"/>
      </w:pPr>
      <w:r>
        <w:t xml:space="preserve">Email: </w:t>
      </w:r>
      <w:hyperlink r:id="rId11" w:history="1">
        <w:r w:rsidR="00D52A47" w:rsidRPr="003A6A53">
          <w:rPr>
            <w:rStyle w:val="Hyperlink"/>
          </w:rPr>
          <w:t>tsumner@anl.gov</w:t>
        </w:r>
      </w:hyperlink>
    </w:p>
    <w:p w14:paraId="7E78B3A9" w14:textId="5EF69F83" w:rsidR="00D52A47" w:rsidRDefault="00D52A47" w:rsidP="007939FB">
      <w:pPr>
        <w:pStyle w:val="Authornameandaffiliation"/>
      </w:pPr>
    </w:p>
    <w:p w14:paraId="0D8AC41E" w14:textId="77777777" w:rsidR="00D52A47" w:rsidRPr="00C73D35" w:rsidRDefault="00D52A47" w:rsidP="00D52A47">
      <w:pPr>
        <w:pStyle w:val="Authornameandaffiliation"/>
        <w:rPr>
          <w:color w:val="000000" w:themeColor="text1"/>
        </w:rPr>
      </w:pPr>
      <w:r>
        <w:rPr>
          <w:color w:val="000000" w:themeColor="text1"/>
        </w:rPr>
        <w:t xml:space="preserve">A. </w:t>
      </w:r>
      <w:r w:rsidRPr="00C73D35">
        <w:rPr>
          <w:color w:val="000000" w:themeColor="text1"/>
        </w:rPr>
        <w:t>MOISSEYTSEV</w:t>
      </w:r>
    </w:p>
    <w:p w14:paraId="1F926A1F" w14:textId="77777777" w:rsidR="00D52A47" w:rsidRPr="00C73D35" w:rsidRDefault="00D52A47" w:rsidP="00D52A47">
      <w:pPr>
        <w:pStyle w:val="Authornameandaffiliation"/>
        <w:rPr>
          <w:color w:val="000000" w:themeColor="text1"/>
        </w:rPr>
      </w:pPr>
      <w:r w:rsidRPr="00C73D35">
        <w:rPr>
          <w:color w:val="000000" w:themeColor="text1"/>
        </w:rPr>
        <w:t>Argonne National Laboratory</w:t>
      </w:r>
    </w:p>
    <w:p w14:paraId="4EFDFC14" w14:textId="77777777" w:rsidR="00D52A47" w:rsidRPr="00C73D35" w:rsidRDefault="00D52A47" w:rsidP="00D52A47">
      <w:pPr>
        <w:pStyle w:val="Authornameandaffiliation"/>
        <w:rPr>
          <w:color w:val="000000" w:themeColor="text1"/>
        </w:rPr>
      </w:pPr>
      <w:r w:rsidRPr="00C73D35">
        <w:rPr>
          <w:color w:val="000000" w:themeColor="text1"/>
        </w:rPr>
        <w:t>Argonne, IL, USA</w:t>
      </w:r>
    </w:p>
    <w:p w14:paraId="3652476C" w14:textId="15749387" w:rsidR="00D52A47" w:rsidRDefault="00D52A47" w:rsidP="007939FB">
      <w:pPr>
        <w:pStyle w:val="Authornameandaffiliation"/>
      </w:pPr>
    </w:p>
    <w:p w14:paraId="6FF25B8E" w14:textId="2B1F704B" w:rsidR="00D52A47" w:rsidRPr="00C73D35" w:rsidRDefault="00D52A47" w:rsidP="00D52A47">
      <w:pPr>
        <w:pStyle w:val="Authornameandaffiliation"/>
        <w:rPr>
          <w:color w:val="000000" w:themeColor="text1"/>
        </w:rPr>
      </w:pPr>
      <w:r>
        <w:rPr>
          <w:color w:val="000000" w:themeColor="text1"/>
        </w:rPr>
        <w:t>D. WOOTAN</w:t>
      </w:r>
    </w:p>
    <w:p w14:paraId="3FAF42B5" w14:textId="2F7A12E2" w:rsidR="00D52A47" w:rsidRPr="00C73D35" w:rsidRDefault="00D52A47" w:rsidP="00D52A47">
      <w:pPr>
        <w:pStyle w:val="Authornameandaffiliation"/>
        <w:rPr>
          <w:color w:val="000000" w:themeColor="text1"/>
        </w:rPr>
      </w:pPr>
      <w:r>
        <w:rPr>
          <w:color w:val="000000" w:themeColor="text1"/>
        </w:rPr>
        <w:t xml:space="preserve">Pacific Northwest </w:t>
      </w:r>
      <w:r w:rsidRPr="00C73D35">
        <w:rPr>
          <w:color w:val="000000" w:themeColor="text1"/>
        </w:rPr>
        <w:t>National Laboratory</w:t>
      </w:r>
    </w:p>
    <w:p w14:paraId="419EF7CA" w14:textId="6ED7F073" w:rsidR="00D52A47" w:rsidRPr="00C73D35" w:rsidRDefault="00D52A47" w:rsidP="00D52A47">
      <w:pPr>
        <w:pStyle w:val="Authornameandaffiliation"/>
        <w:rPr>
          <w:color w:val="000000" w:themeColor="text1"/>
        </w:rPr>
      </w:pPr>
      <w:r>
        <w:rPr>
          <w:color w:val="000000" w:themeColor="text1"/>
        </w:rPr>
        <w:t>Richland, WA</w:t>
      </w:r>
      <w:r w:rsidRPr="00C73D35">
        <w:rPr>
          <w:color w:val="000000" w:themeColor="text1"/>
        </w:rPr>
        <w:t>, USA</w:t>
      </w:r>
    </w:p>
    <w:p w14:paraId="344C58AB" w14:textId="77777777" w:rsidR="00D52A47" w:rsidRDefault="00D52A47" w:rsidP="007939FB">
      <w:pPr>
        <w:pStyle w:val="Authornameandaffiliation"/>
      </w:pPr>
    </w:p>
    <w:p w14:paraId="433FE044" w14:textId="71DB4CAD" w:rsidR="00FF386F" w:rsidRDefault="00D52A47" w:rsidP="00537496">
      <w:pPr>
        <w:pStyle w:val="Authornameandaffiliation"/>
      </w:pPr>
      <w:r>
        <w:t>A</w:t>
      </w:r>
      <w:r w:rsidR="007939FB">
        <w:t xml:space="preserve">dditional contributions </w:t>
      </w:r>
      <w:r>
        <w:t xml:space="preserve">were provided from </w:t>
      </w:r>
      <w:r w:rsidR="007939FB">
        <w:t>the following organizations:</w:t>
      </w:r>
    </w:p>
    <w:p w14:paraId="3B06E9F4" w14:textId="77777777" w:rsidR="007939FB" w:rsidRDefault="007939FB" w:rsidP="00537496">
      <w:pPr>
        <w:pStyle w:val="Authornameandaffiliation"/>
      </w:pPr>
      <w:r w:rsidRPr="0098473E">
        <w:t>China Institute of Atomic Energy</w:t>
      </w:r>
      <w:r>
        <w:t xml:space="preserve"> </w:t>
      </w:r>
    </w:p>
    <w:p w14:paraId="0098CCC0" w14:textId="77777777" w:rsidR="007939FB" w:rsidRDefault="007939FB" w:rsidP="00537496">
      <w:pPr>
        <w:pStyle w:val="Authornameandaffiliation"/>
      </w:pPr>
      <w:r w:rsidRPr="0098473E">
        <w:t>Institute of Nuclear Energy Safety</w:t>
      </w:r>
      <w:r>
        <w:t xml:space="preserve"> Technology </w:t>
      </w:r>
    </w:p>
    <w:p w14:paraId="69D497C9" w14:textId="77777777" w:rsidR="007939FB" w:rsidRDefault="007939FB" w:rsidP="00537496">
      <w:pPr>
        <w:pStyle w:val="Authornameandaffiliation"/>
      </w:pPr>
      <w:r w:rsidRPr="0098473E">
        <w:t>North China Electric Power University</w:t>
      </w:r>
      <w:r>
        <w:t xml:space="preserve"> </w:t>
      </w:r>
    </w:p>
    <w:p w14:paraId="3450B8EB" w14:textId="77777777" w:rsidR="007939FB" w:rsidRDefault="007939FB" w:rsidP="00537496">
      <w:pPr>
        <w:pStyle w:val="Authornameandaffiliation"/>
      </w:pPr>
      <w:r w:rsidRPr="0098473E">
        <w:t xml:space="preserve">Xi’an </w:t>
      </w:r>
      <w:proofErr w:type="spellStart"/>
      <w:r w:rsidRPr="0098473E">
        <w:t>Jiatong</w:t>
      </w:r>
      <w:proofErr w:type="spellEnd"/>
      <w:r w:rsidRPr="0098473E">
        <w:t xml:space="preserve"> University</w:t>
      </w:r>
      <w:r>
        <w:t xml:space="preserve"> </w:t>
      </w:r>
    </w:p>
    <w:p w14:paraId="3F75DBC6" w14:textId="77777777" w:rsidR="007939FB" w:rsidRDefault="007939FB" w:rsidP="00537496">
      <w:pPr>
        <w:pStyle w:val="Authornameandaffiliation"/>
      </w:pPr>
      <w:r w:rsidRPr="0098473E">
        <w:t>French Alternative Energies and Atomic Energy Commission</w:t>
      </w:r>
      <w:r>
        <w:t xml:space="preserve"> </w:t>
      </w:r>
    </w:p>
    <w:p w14:paraId="2FDD2B6A" w14:textId="77777777" w:rsidR="007939FB" w:rsidRDefault="007939FB" w:rsidP="00537496">
      <w:pPr>
        <w:pStyle w:val="Authornameandaffiliation"/>
      </w:pPr>
      <w:r w:rsidRPr="0098473E">
        <w:t>Karlsruhe Institute of Technology</w:t>
      </w:r>
      <w:r>
        <w:t xml:space="preserve"> </w:t>
      </w:r>
    </w:p>
    <w:p w14:paraId="1DBB5830" w14:textId="77777777" w:rsidR="007939FB" w:rsidRDefault="007939FB" w:rsidP="00537496">
      <w:pPr>
        <w:pStyle w:val="Authornameandaffiliation"/>
      </w:pPr>
      <w:r w:rsidRPr="0098473E">
        <w:t>Indira Gandhi Centre for Atomic Research</w:t>
      </w:r>
      <w:r>
        <w:t xml:space="preserve"> </w:t>
      </w:r>
    </w:p>
    <w:p w14:paraId="74AF7973" w14:textId="77777777" w:rsidR="007939FB" w:rsidRDefault="007939FB" w:rsidP="00537496">
      <w:pPr>
        <w:pStyle w:val="Authornameandaffiliation"/>
      </w:pPr>
      <w:r w:rsidRPr="0098473E">
        <w:t>Nuclear and Industrial Engineering</w:t>
      </w:r>
      <w:r>
        <w:t xml:space="preserve"> </w:t>
      </w:r>
    </w:p>
    <w:p w14:paraId="12DEDA36" w14:textId="092AD647" w:rsidR="007939FB" w:rsidRDefault="007939FB" w:rsidP="00537496">
      <w:pPr>
        <w:pStyle w:val="Authornameandaffiliation"/>
      </w:pPr>
      <w:r w:rsidRPr="0098473E">
        <w:t>Sapienza University of Rome</w:t>
      </w:r>
      <w:r>
        <w:t xml:space="preserve"> JAEA</w:t>
      </w:r>
    </w:p>
    <w:p w14:paraId="6E0F2951" w14:textId="77777777" w:rsidR="007939FB" w:rsidRDefault="007939FB" w:rsidP="00537496">
      <w:pPr>
        <w:pStyle w:val="Authornameandaffiliation"/>
      </w:pPr>
      <w:r w:rsidRPr="0098473E">
        <w:t>Korea Atomic Energy Research Institute</w:t>
      </w:r>
      <w:r>
        <w:t xml:space="preserve"> </w:t>
      </w:r>
    </w:p>
    <w:p w14:paraId="3594A042" w14:textId="5C4F4C27" w:rsidR="007939FB" w:rsidRDefault="007939FB" w:rsidP="00537496">
      <w:pPr>
        <w:pStyle w:val="Authornameandaffiliation"/>
      </w:pPr>
      <w:r w:rsidRPr="0098473E">
        <w:t>Nuclear Research and Consultancy Group</w:t>
      </w:r>
      <w:r>
        <w:t xml:space="preserve"> NRG</w:t>
      </w:r>
    </w:p>
    <w:p w14:paraId="78660C7B" w14:textId="77777777" w:rsidR="007939FB" w:rsidRDefault="007939FB" w:rsidP="00537496">
      <w:pPr>
        <w:pStyle w:val="Authornameandaffiliation"/>
      </w:pPr>
      <w:r w:rsidRPr="0098473E">
        <w:t xml:space="preserve">Centro de </w:t>
      </w:r>
      <w:proofErr w:type="spellStart"/>
      <w:r w:rsidRPr="0098473E">
        <w:t>Investigaciones</w:t>
      </w:r>
      <w:proofErr w:type="spellEnd"/>
      <w:r w:rsidRPr="0098473E">
        <w:t xml:space="preserve"> </w:t>
      </w:r>
      <w:proofErr w:type="spellStart"/>
      <w:r w:rsidRPr="0098473E">
        <w:t>Energeticas</w:t>
      </w:r>
      <w:proofErr w:type="spellEnd"/>
      <w:r w:rsidRPr="0098473E">
        <w:t xml:space="preserve">, </w:t>
      </w:r>
      <w:proofErr w:type="spellStart"/>
      <w:r w:rsidRPr="0098473E">
        <w:t>Medioambientales</w:t>
      </w:r>
      <w:proofErr w:type="spellEnd"/>
      <w:r w:rsidRPr="0098473E">
        <w:t xml:space="preserve"> y </w:t>
      </w:r>
      <w:proofErr w:type="spellStart"/>
      <w:r w:rsidRPr="0098473E">
        <w:t>Tecnologicas</w:t>
      </w:r>
      <w:proofErr w:type="spellEnd"/>
      <w:r>
        <w:t xml:space="preserve"> </w:t>
      </w:r>
    </w:p>
    <w:p w14:paraId="31177E1D" w14:textId="77777777" w:rsidR="007939FB" w:rsidRDefault="007939FB" w:rsidP="00537496">
      <w:pPr>
        <w:pStyle w:val="Authornameandaffiliation"/>
      </w:pPr>
      <w:r w:rsidRPr="0098473E">
        <w:t xml:space="preserve">Ecole Polytechnique </w:t>
      </w:r>
      <w:proofErr w:type="spellStart"/>
      <w:r w:rsidRPr="0098473E">
        <w:t>Federale</w:t>
      </w:r>
      <w:proofErr w:type="spellEnd"/>
      <w:r w:rsidRPr="0098473E">
        <w:t xml:space="preserve"> de Lausanne</w:t>
      </w:r>
      <w:r>
        <w:t xml:space="preserve"> </w:t>
      </w:r>
    </w:p>
    <w:p w14:paraId="5BAAA4D4" w14:textId="77777777" w:rsidR="007939FB" w:rsidRDefault="007939FB" w:rsidP="00537496">
      <w:pPr>
        <w:pStyle w:val="Authornameandaffiliation"/>
      </w:pPr>
      <w:r w:rsidRPr="0098473E">
        <w:t>Paul Scherrer Institute</w:t>
      </w:r>
      <w:r>
        <w:t xml:space="preserve"> </w:t>
      </w:r>
    </w:p>
    <w:p w14:paraId="681ECD56" w14:textId="77777777" w:rsidR="007939FB" w:rsidRDefault="007939FB" w:rsidP="00537496">
      <w:pPr>
        <w:pStyle w:val="Authornameandaffiliation"/>
      </w:pPr>
      <w:r w:rsidRPr="0098473E">
        <w:t>Texas A&amp;M University</w:t>
      </w:r>
      <w:r>
        <w:t xml:space="preserve"> </w:t>
      </w:r>
    </w:p>
    <w:p w14:paraId="433FE048" w14:textId="5618CCCE" w:rsidR="00FF386F" w:rsidRDefault="007939FB" w:rsidP="00537496">
      <w:pPr>
        <w:pStyle w:val="Authornameandaffiliation"/>
      </w:pPr>
      <w:r w:rsidRPr="0098473E">
        <w:t>Zachry Engineering</w:t>
      </w:r>
    </w:p>
    <w:p w14:paraId="1075E4A3" w14:textId="210BBC89" w:rsidR="007939FB" w:rsidRDefault="007939FB"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11CB7635" w:rsidR="00647F33" w:rsidRPr="00BD605C" w:rsidRDefault="005B12D1" w:rsidP="005B12D1">
      <w:pPr>
        <w:pStyle w:val="Abstracttext"/>
        <w:jc w:val="both"/>
      </w:pPr>
      <w:r>
        <w:t>Twenty-five organizations from thirteen countries participate in the International Atomic Energy Agency coordinated research project for benchmark analysis of the Fast Flux Test Facility Loss of Flow Without Scram Test #13. The blind phase of the benchmark project concluded</w:t>
      </w:r>
      <w:r w:rsidR="00B80C03">
        <w:t xml:space="preserve"> in October 2020</w:t>
      </w:r>
      <w:r>
        <w:t xml:space="preserve">. During the blind phase, each participant was tasked with performing their own independent model development and calculations of LOFWOS Test #13. </w:t>
      </w:r>
      <w:r w:rsidRPr="005B12D1">
        <w:t>The blind phase results were evaluated for agreement with the measured test data and amongst collective participant results. For some parameters, many participants achieved relatively good agreement with the measured data while for other parameters, fewer participants successfully predicted the measurements. The initial blind phase results provide confidence that many participants captured the transient progression of LOFWOS Test #13 well and that with further modeling improvement during the open phase, discrepancies with the measured test data can be reduced.</w:t>
      </w:r>
    </w:p>
    <w:p w14:paraId="433FE04C" w14:textId="77777777" w:rsidR="00647F33" w:rsidRDefault="00F523CA" w:rsidP="00537496">
      <w:pPr>
        <w:pStyle w:val="Heading2"/>
        <w:numPr>
          <w:ilvl w:val="1"/>
          <w:numId w:val="10"/>
        </w:numPr>
      </w:pPr>
      <w:r>
        <w:t>INTRODUCTION</w:t>
      </w:r>
    </w:p>
    <w:p w14:paraId="0B99C20F" w14:textId="780DFD26" w:rsidR="007939FB" w:rsidRDefault="007939FB" w:rsidP="007939FB">
      <w:pPr>
        <w:pStyle w:val="BodyText"/>
      </w:pPr>
      <w:r>
        <w:t>In 2018, the International Atomic Energy Agency (IAEA) established a coordinated research project (CRP) for benchmark analysis of the Fast Flux Test Facility (FFTF) Loss of Flow Without Scram (LOFWOS) Test #13</w:t>
      </w:r>
      <w:r w:rsidR="00BC7173">
        <w:t xml:space="preserve"> [1</w:t>
      </w:r>
      <w:r w:rsidR="00CA7058">
        <w:t>,2</w:t>
      </w:r>
      <w:r w:rsidR="00093F84">
        <w:t>,3</w:t>
      </w:r>
      <w:r w:rsidR="00BC7173">
        <w:t>]</w:t>
      </w:r>
      <w:r>
        <w:t>. Initiated at half power and full flow, LOFWOS Test #13 was an unprotected loss of flow without scram test that began when the three primary sodium pumps were tripped. Although the control rods were prevented from scramming, negative reactivity introduced by the Gas Expansion Modules (GEM), radial core expansion, and other reactivity feedbacks was sufficient to terminate the fission process and reduce power until natural circulation could be established to cool the reactor core.</w:t>
      </w:r>
    </w:p>
    <w:p w14:paraId="24B66762" w14:textId="4EB39676" w:rsidR="007939FB" w:rsidRDefault="00036AF0" w:rsidP="007939FB">
      <w:pPr>
        <w:pStyle w:val="BodyText"/>
      </w:pPr>
      <w:r>
        <w:lastRenderedPageBreak/>
        <w:t xml:space="preserve">Argonne National Laboratory and Pacific Northwest National Laboratory are the lead technical coordinators for the CRP. </w:t>
      </w:r>
      <w:r w:rsidR="007939FB">
        <w:t>Twenty-five organizations from thirteen countries participate in the CRP, for which the blind phase of the project was recently concluded</w:t>
      </w:r>
      <w:r w:rsidR="00093F84">
        <w:t xml:space="preserve"> [4]</w:t>
      </w:r>
      <w:r w:rsidR="007939FB">
        <w:t>. During the blind phase, each participant was tasked with performing their own independent model development and calculations of LOFWOS Test #13</w:t>
      </w:r>
      <w:r w:rsidR="001A6908">
        <w:t xml:space="preserve"> using the </w:t>
      </w:r>
      <w:r w:rsidR="00BB2A65">
        <w:t xml:space="preserve">information provided in the </w:t>
      </w:r>
      <w:r w:rsidR="001A6908">
        <w:t>benchmark specification</w:t>
      </w:r>
      <w:r w:rsidR="00BB2A65">
        <w:t xml:space="preserve">, but </w:t>
      </w:r>
      <w:r w:rsidR="001A6908">
        <w:t>without the measured data</w:t>
      </w:r>
      <w:r w:rsidR="007939FB">
        <w:t xml:space="preserve">. Only the information provided in the benchmark specification was to be used during the blind phase. A variety of parameters were selected for participants to calculate and submit during the blind phase. These parameters were compared both against the values other participants calculated, </w:t>
      </w:r>
      <w:proofErr w:type="gramStart"/>
      <w:r w:rsidR="007939FB">
        <w:t>i.e.</w:t>
      </w:r>
      <w:proofErr w:type="gramEnd"/>
      <w:r w:rsidR="007939FB">
        <w:t xml:space="preserve"> code-to-code comparisons, as well as against measured or calculated test data when available.</w:t>
      </w:r>
      <w:r w:rsidR="00BC7173">
        <w:t xml:space="preserve"> The paper presents the blind phase results and comparisons of the participants’ transient simulations. Additional blind phase results for the neutronics component of the benchmark are presented in Reference </w:t>
      </w:r>
      <w:r w:rsidR="00093F84">
        <w:t>5</w:t>
      </w:r>
      <w:r w:rsidR="00BC7173">
        <w:t>.</w:t>
      </w:r>
    </w:p>
    <w:p w14:paraId="433FE04F" w14:textId="7792B650" w:rsidR="00E25B68" w:rsidRDefault="00B80C03" w:rsidP="0026525A">
      <w:pPr>
        <w:pStyle w:val="Heading2"/>
        <w:numPr>
          <w:ilvl w:val="1"/>
          <w:numId w:val="10"/>
        </w:numPr>
      </w:pPr>
      <w:r>
        <w:t>OVERview of fftf and lofwos Test #13</w:t>
      </w:r>
    </w:p>
    <w:p w14:paraId="1780B990" w14:textId="6DBA6D9C" w:rsidR="00B80C03" w:rsidRDefault="00B80C03" w:rsidP="00B80C03">
      <w:pPr>
        <w:pStyle w:val="BodyText"/>
      </w:pPr>
      <w:r>
        <w:t>The Fast Flux Test Facility at the Hanford site in Washington was designed by the Westinghouse Electric Corporation for the U.S. Department of Energy (DOE)</w:t>
      </w:r>
      <w:r w:rsidR="0073069E">
        <w:t xml:space="preserve"> [6]</w:t>
      </w:r>
      <w:r>
        <w:t>. FFTF was a 400 MW thermal powered, oxide-fueled, liquid sodium cooled test reactor, built to assist development and testing of advanced fuels and materials for fast reactors. The reactor did not generate electricity, instead discharging heat to the atmosphere via air-cooled dump heat exchangers</w:t>
      </w:r>
      <w:r w:rsidR="007C6D79">
        <w:t xml:space="preserve"> (DHX)</w:t>
      </w:r>
      <w:r>
        <w:t>. After reaching criticality in 1980, FFTF operated until 1992, providing DOE with the means to test fuels, materials, and other components in a high fast neutron flux environment. FFTF was shut down in 1993 having completed most of its design missions.</w:t>
      </w:r>
    </w:p>
    <w:p w14:paraId="405B8076" w14:textId="59DE1B0D" w:rsidR="00B80C03" w:rsidRDefault="00B80C03" w:rsidP="00B80C03">
      <w:pPr>
        <w:pStyle w:val="BodyText"/>
      </w:pPr>
      <w:r>
        <w:t>In July 1986, a series of unprotected transients were performed in FFTF as part of the Passive Safety Testing (PST) program. Among these were thirteen unprotected</w:t>
      </w:r>
      <w:r w:rsidR="007C6D79">
        <w:t xml:space="preserve"> </w:t>
      </w:r>
      <w:proofErr w:type="gramStart"/>
      <w:r>
        <w:t>loss</w:t>
      </w:r>
      <w:proofErr w:type="gramEnd"/>
      <w:r>
        <w:t xml:space="preserve"> of flow without scram tests</w:t>
      </w:r>
      <w:r w:rsidR="007C6D79">
        <w:t xml:space="preserve"> with the plant protection system intentionally disabled</w:t>
      </w:r>
      <w:r>
        <w:t>. The goals of this program included confirming the safety margins of FFTF as a liquid metal reactor, providing data for computer code validation, and demonstrating the inherent and passive safety benefits of its specific design features.</w:t>
      </w:r>
    </w:p>
    <w:p w14:paraId="2322CA14" w14:textId="3A701590" w:rsidR="00B80C03" w:rsidRDefault="00B80C03" w:rsidP="00B80C03">
      <w:pPr>
        <w:pStyle w:val="BodyText"/>
      </w:pPr>
      <w:r w:rsidRPr="00745D63">
        <w:t xml:space="preserve">LOFWOS Test #13 was performed on July 18, 1986. Starting from 50% power and 100% flow, the test officially began when the three primary sodium pumps were simultaneously tripped, causing flow through the core to decrease and the power-to-flow ratio to increase. One minute before the official start of the test, </w:t>
      </w:r>
      <w:r>
        <w:t>dump heat exchanger</w:t>
      </w:r>
      <w:r w:rsidRPr="00745D63">
        <w:t xml:space="preserve"> blower speeds were </w:t>
      </w:r>
      <w:proofErr w:type="gramStart"/>
      <w:r w:rsidRPr="00745D63">
        <w:t>reduced</w:t>
      </w:r>
      <w:proofErr w:type="gramEnd"/>
      <w:r w:rsidRPr="00745D63">
        <w:t xml:space="preserve"> and DHX sodium outlet temperatures began to increase</w:t>
      </w:r>
      <w:r>
        <w:t xml:space="preserve">. The blower speeds were modified before the primary pumps were tripped </w:t>
      </w:r>
      <w:proofErr w:type="gramStart"/>
      <w:r>
        <w:t>in order to</w:t>
      </w:r>
      <w:proofErr w:type="gramEnd"/>
      <w:r>
        <w:t xml:space="preserve"> maintain a relatively constant core inlet temperature when the pumps did trip</w:t>
      </w:r>
      <w:r w:rsidRPr="00745D63">
        <w:t xml:space="preserve">. </w:t>
      </w:r>
    </w:p>
    <w:p w14:paraId="7F1F3ED2" w14:textId="7C8B10A5" w:rsidR="00860B76" w:rsidRDefault="00860B76" w:rsidP="00860B76">
      <w:pPr>
        <w:pStyle w:val="Heading2"/>
      </w:pPr>
      <w:r>
        <w:t>BLIND PHASE RESULTS</w:t>
      </w:r>
    </w:p>
    <w:p w14:paraId="3A404ED2" w14:textId="0A1EEDEE" w:rsidR="00860B76" w:rsidRDefault="00860B76" w:rsidP="00860B76">
      <w:pPr>
        <w:pStyle w:val="BodyText"/>
      </w:pPr>
      <w:r>
        <w:t xml:space="preserve">During the blind phase, each participant was tasked with performing their own independent model development and calculations of FFTF LOFWOS Test #13. Only the information provided in the benchmark specification was to be used during the blind phase. In addition to the model development and transient simulation activities for the loss of flow test, there was an optional neutronics benchmark component for which participants could submit results. </w:t>
      </w:r>
      <w:r w:rsidR="007C0B69">
        <w:t>Results from the blind phase of the neutronics component of the benchmark are presented in Reference 5</w:t>
      </w:r>
      <w:r>
        <w:t xml:space="preserve">. </w:t>
      </w:r>
    </w:p>
    <w:p w14:paraId="774B0192" w14:textId="191692F5" w:rsidR="00860B76" w:rsidRDefault="007C0B69" w:rsidP="00860B76">
      <w:pPr>
        <w:pStyle w:val="BodyText"/>
      </w:pPr>
      <w:r>
        <w:t>Table 1</w:t>
      </w:r>
      <w:r w:rsidR="00860B76">
        <w:t xml:space="preserve"> lists which parts of the benchmark each participant submitted results for. Nearly all participants submitted results for the blind phase of the benchmark. 18 organizations submitted transient test predictions, 11 organizations submitted results for the neutronics component of the benchmark, and 9 organizations submitted results for both. </w:t>
      </w:r>
    </w:p>
    <w:p w14:paraId="7FAEE655" w14:textId="3D96AAC8" w:rsidR="007C0B69" w:rsidRPr="00A923E2" w:rsidRDefault="007C0B69" w:rsidP="007C0B69">
      <w:pPr>
        <w:pStyle w:val="BodyText"/>
      </w:pPr>
      <w:r w:rsidRPr="007F193D">
        <w:t xml:space="preserve">The </w:t>
      </w:r>
      <w:r>
        <w:t>blind phase</w:t>
      </w:r>
      <w:r w:rsidRPr="007F193D">
        <w:t xml:space="preserve"> results were evaluated for agreement with the measured test data and amongst collective participant results. </w:t>
      </w:r>
      <w:r>
        <w:t>The figures</w:t>
      </w:r>
      <w:r w:rsidRPr="007F193D">
        <w:t xml:space="preserve"> below illustrate </w:t>
      </w:r>
      <w:r>
        <w:t>key</w:t>
      </w:r>
      <w:r w:rsidRPr="007F193D">
        <w:t xml:space="preserve"> blind phase test predictions. Measured test data is represented by a thick yellow line when measurements were available. For some parameters, many participants achieved relatively good agreement with the measured data while for other parameters, fewer participants successfully predicted the measurements. </w:t>
      </w:r>
      <w:r>
        <w:t xml:space="preserve">The initial blind phase results provided confidence that many participants captured the transient progression of LOFWOS Test #13 well and that with further modeling improvement during the open phase, they could reduce </w:t>
      </w:r>
      <w:r w:rsidRPr="00A923E2">
        <w:t xml:space="preserve">discrepancies with the measured test data. </w:t>
      </w:r>
    </w:p>
    <w:p w14:paraId="57A9E277" w14:textId="2B61CE04" w:rsidR="007C0B69" w:rsidRDefault="007C0B69" w:rsidP="00860B76">
      <w:pPr>
        <w:pStyle w:val="BodyText"/>
      </w:pPr>
    </w:p>
    <w:p w14:paraId="622940AC" w14:textId="77777777" w:rsidR="007C0B69" w:rsidRDefault="007C0B69" w:rsidP="00860B76">
      <w:pPr>
        <w:pStyle w:val="BodyText"/>
      </w:pPr>
    </w:p>
    <w:p w14:paraId="1316305F" w14:textId="554A683B" w:rsidR="00860B76" w:rsidRDefault="00860B76" w:rsidP="00860B76">
      <w:pPr>
        <w:pStyle w:val="BodyText"/>
      </w:pPr>
    </w:p>
    <w:p w14:paraId="0038F0E0" w14:textId="57A2434B" w:rsidR="005E7930" w:rsidRPr="00C73D35" w:rsidRDefault="005E7930" w:rsidP="005E7930">
      <w:pPr>
        <w:pStyle w:val="BodyText"/>
        <w:ind w:firstLine="0"/>
        <w:rPr>
          <w:color w:val="000000" w:themeColor="text1"/>
        </w:rPr>
      </w:pPr>
      <w:r w:rsidRPr="00C73D35">
        <w:rPr>
          <w:color w:val="000000" w:themeColor="text1"/>
        </w:rPr>
        <w:t>TABLE 1.</w:t>
      </w:r>
      <w:r w:rsidRPr="00C73D35">
        <w:rPr>
          <w:color w:val="000000" w:themeColor="text1"/>
        </w:rPr>
        <w:tab/>
      </w:r>
      <w:r>
        <w:rPr>
          <w:color w:val="000000" w:themeColor="text1"/>
        </w:rPr>
        <w:t>SUMMARY OF BLIND PHASE PARTICIPATION</w:t>
      </w:r>
      <w:r w:rsidRPr="00C73D35">
        <w:rPr>
          <w:color w:val="000000" w:themeColor="text1"/>
        </w:rPr>
        <w:t xml:space="preserve"> </w:t>
      </w:r>
    </w:p>
    <w:p w14:paraId="228D705C" w14:textId="271C337E" w:rsidR="00860B76" w:rsidRDefault="00860B76" w:rsidP="00860B76">
      <w:pPr>
        <w:pStyle w:val="BodyText"/>
      </w:pPr>
    </w:p>
    <w:tbl>
      <w:tblPr>
        <w:tblStyle w:val="TableGrid"/>
        <w:tblW w:w="86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1173"/>
        <w:gridCol w:w="1086"/>
        <w:gridCol w:w="1613"/>
        <w:gridCol w:w="1710"/>
      </w:tblGrid>
      <w:tr w:rsidR="005E7930" w:rsidRPr="00EA47DF" w14:paraId="39B893F3" w14:textId="07240DC2" w:rsidTr="007319D7">
        <w:trPr>
          <w:jc w:val="center"/>
        </w:trPr>
        <w:tc>
          <w:tcPr>
            <w:tcW w:w="3058" w:type="dxa"/>
            <w:tcBorders>
              <w:top w:val="single" w:sz="4" w:space="0" w:color="auto"/>
              <w:bottom w:val="single" w:sz="4" w:space="0" w:color="auto"/>
            </w:tcBorders>
            <w:vAlign w:val="center"/>
          </w:tcPr>
          <w:p w14:paraId="0C98A9A3" w14:textId="77777777" w:rsidR="005E7930" w:rsidRPr="005E7930" w:rsidRDefault="005E7930" w:rsidP="007319D7">
            <w:pPr>
              <w:pStyle w:val="TableCells"/>
              <w:jc w:val="left"/>
              <w:rPr>
                <w:sz w:val="18"/>
                <w:szCs w:val="18"/>
              </w:rPr>
            </w:pPr>
            <w:r w:rsidRPr="005E7930">
              <w:rPr>
                <w:sz w:val="18"/>
                <w:szCs w:val="18"/>
              </w:rPr>
              <w:t>Organization</w:t>
            </w:r>
          </w:p>
        </w:tc>
        <w:tc>
          <w:tcPr>
            <w:tcW w:w="1173" w:type="dxa"/>
            <w:tcBorders>
              <w:top w:val="single" w:sz="4" w:space="0" w:color="auto"/>
              <w:bottom w:val="single" w:sz="4" w:space="0" w:color="auto"/>
            </w:tcBorders>
            <w:vAlign w:val="center"/>
          </w:tcPr>
          <w:p w14:paraId="57B092F4" w14:textId="77777777" w:rsidR="005E7930" w:rsidRPr="005E7930" w:rsidRDefault="005E7930" w:rsidP="005E7930">
            <w:pPr>
              <w:pStyle w:val="TableCells"/>
              <w:rPr>
                <w:sz w:val="18"/>
                <w:szCs w:val="18"/>
              </w:rPr>
            </w:pPr>
            <w:r w:rsidRPr="005E7930">
              <w:rPr>
                <w:sz w:val="18"/>
                <w:szCs w:val="18"/>
              </w:rPr>
              <w:t>Abbreviation</w:t>
            </w:r>
          </w:p>
        </w:tc>
        <w:tc>
          <w:tcPr>
            <w:tcW w:w="1086" w:type="dxa"/>
            <w:tcBorders>
              <w:top w:val="single" w:sz="4" w:space="0" w:color="auto"/>
              <w:bottom w:val="single" w:sz="4" w:space="0" w:color="auto"/>
            </w:tcBorders>
            <w:vAlign w:val="center"/>
          </w:tcPr>
          <w:p w14:paraId="2C027215" w14:textId="77777777" w:rsidR="005E7930" w:rsidRPr="005E7930" w:rsidRDefault="005E7930" w:rsidP="008C2225">
            <w:pPr>
              <w:pStyle w:val="TableCells"/>
              <w:rPr>
                <w:sz w:val="18"/>
                <w:szCs w:val="18"/>
              </w:rPr>
            </w:pPr>
            <w:r w:rsidRPr="005E7930">
              <w:rPr>
                <w:sz w:val="18"/>
                <w:szCs w:val="18"/>
              </w:rPr>
              <w:t>Country</w:t>
            </w:r>
          </w:p>
        </w:tc>
        <w:tc>
          <w:tcPr>
            <w:tcW w:w="1613" w:type="dxa"/>
            <w:tcBorders>
              <w:top w:val="single" w:sz="4" w:space="0" w:color="auto"/>
              <w:bottom w:val="single" w:sz="4" w:space="0" w:color="auto"/>
            </w:tcBorders>
          </w:tcPr>
          <w:p w14:paraId="74DF687E" w14:textId="4115C87D" w:rsidR="005E7930" w:rsidRPr="005E7930" w:rsidRDefault="005E7930" w:rsidP="008C2225">
            <w:pPr>
              <w:pStyle w:val="TableCells"/>
              <w:rPr>
                <w:sz w:val="18"/>
                <w:szCs w:val="18"/>
              </w:rPr>
            </w:pPr>
            <w:r>
              <w:rPr>
                <w:sz w:val="18"/>
                <w:szCs w:val="18"/>
              </w:rPr>
              <w:t>Submitted</w:t>
            </w:r>
            <w:r>
              <w:rPr>
                <w:sz w:val="18"/>
                <w:szCs w:val="18"/>
              </w:rPr>
              <w:br/>
              <w:t>Transient Results?</w:t>
            </w:r>
          </w:p>
        </w:tc>
        <w:tc>
          <w:tcPr>
            <w:tcW w:w="1710" w:type="dxa"/>
            <w:tcBorders>
              <w:top w:val="single" w:sz="4" w:space="0" w:color="auto"/>
              <w:bottom w:val="single" w:sz="4" w:space="0" w:color="auto"/>
            </w:tcBorders>
          </w:tcPr>
          <w:p w14:paraId="0D30900A" w14:textId="1B224724" w:rsidR="005E7930" w:rsidRPr="005E7930" w:rsidRDefault="005E7930" w:rsidP="008C2225">
            <w:pPr>
              <w:pStyle w:val="TableCells"/>
              <w:rPr>
                <w:sz w:val="18"/>
                <w:szCs w:val="18"/>
              </w:rPr>
            </w:pPr>
            <w:r>
              <w:rPr>
                <w:sz w:val="18"/>
                <w:szCs w:val="18"/>
              </w:rPr>
              <w:t>Submitted</w:t>
            </w:r>
            <w:r>
              <w:rPr>
                <w:sz w:val="18"/>
                <w:szCs w:val="18"/>
              </w:rPr>
              <w:br/>
              <w:t>Neutronics Results?</w:t>
            </w:r>
          </w:p>
        </w:tc>
      </w:tr>
      <w:tr w:rsidR="005E7930" w:rsidRPr="00EA47DF" w14:paraId="4D40EA53" w14:textId="1B128AD4" w:rsidTr="005E7930">
        <w:trPr>
          <w:jc w:val="center"/>
        </w:trPr>
        <w:tc>
          <w:tcPr>
            <w:tcW w:w="3058" w:type="dxa"/>
            <w:tcBorders>
              <w:top w:val="single" w:sz="4" w:space="0" w:color="auto"/>
            </w:tcBorders>
            <w:vAlign w:val="center"/>
          </w:tcPr>
          <w:p w14:paraId="79109396" w14:textId="77777777" w:rsidR="005E7930" w:rsidRPr="005E7930" w:rsidRDefault="005E7930" w:rsidP="005E7930">
            <w:pPr>
              <w:pStyle w:val="TableCells"/>
              <w:jc w:val="left"/>
              <w:rPr>
                <w:sz w:val="18"/>
                <w:szCs w:val="18"/>
              </w:rPr>
            </w:pPr>
            <w:r w:rsidRPr="005E7930">
              <w:rPr>
                <w:sz w:val="18"/>
                <w:szCs w:val="18"/>
              </w:rPr>
              <w:t>China Institute of Atomic Energy</w:t>
            </w:r>
          </w:p>
        </w:tc>
        <w:tc>
          <w:tcPr>
            <w:tcW w:w="1173" w:type="dxa"/>
            <w:tcBorders>
              <w:top w:val="single" w:sz="4" w:space="0" w:color="auto"/>
            </w:tcBorders>
            <w:vAlign w:val="center"/>
          </w:tcPr>
          <w:p w14:paraId="0BFAD82F" w14:textId="77777777" w:rsidR="005E7930" w:rsidRPr="005E7930" w:rsidRDefault="005E7930" w:rsidP="005E7930">
            <w:pPr>
              <w:pStyle w:val="TableCells"/>
              <w:rPr>
                <w:sz w:val="18"/>
                <w:szCs w:val="18"/>
              </w:rPr>
            </w:pPr>
            <w:r w:rsidRPr="005E7930">
              <w:rPr>
                <w:sz w:val="18"/>
                <w:szCs w:val="18"/>
              </w:rPr>
              <w:t>CIAE</w:t>
            </w:r>
          </w:p>
        </w:tc>
        <w:tc>
          <w:tcPr>
            <w:tcW w:w="1086" w:type="dxa"/>
            <w:tcBorders>
              <w:top w:val="single" w:sz="4" w:space="0" w:color="auto"/>
            </w:tcBorders>
            <w:vAlign w:val="center"/>
          </w:tcPr>
          <w:p w14:paraId="31442BC3" w14:textId="77777777" w:rsidR="005E7930" w:rsidRPr="005E7930" w:rsidRDefault="005E7930" w:rsidP="005E7930">
            <w:pPr>
              <w:pStyle w:val="TableCells"/>
              <w:rPr>
                <w:sz w:val="18"/>
                <w:szCs w:val="18"/>
              </w:rPr>
            </w:pPr>
            <w:r w:rsidRPr="005E7930">
              <w:rPr>
                <w:sz w:val="18"/>
                <w:szCs w:val="18"/>
              </w:rPr>
              <w:t>China</w:t>
            </w:r>
          </w:p>
        </w:tc>
        <w:tc>
          <w:tcPr>
            <w:tcW w:w="1613" w:type="dxa"/>
            <w:tcBorders>
              <w:top w:val="single" w:sz="4" w:space="0" w:color="auto"/>
            </w:tcBorders>
            <w:vAlign w:val="center"/>
          </w:tcPr>
          <w:p w14:paraId="1F4FA385" w14:textId="0085CD97" w:rsidR="005E7930" w:rsidRPr="005E7930" w:rsidRDefault="005E7930" w:rsidP="005E7930">
            <w:pPr>
              <w:pStyle w:val="TableCells"/>
              <w:rPr>
                <w:sz w:val="18"/>
                <w:szCs w:val="18"/>
              </w:rPr>
            </w:pPr>
            <w:r w:rsidRPr="005E7930">
              <w:rPr>
                <w:sz w:val="18"/>
                <w:szCs w:val="18"/>
              </w:rPr>
              <w:t>Yes</w:t>
            </w:r>
          </w:p>
        </w:tc>
        <w:tc>
          <w:tcPr>
            <w:tcW w:w="1710" w:type="dxa"/>
            <w:tcBorders>
              <w:top w:val="single" w:sz="4" w:space="0" w:color="auto"/>
            </w:tcBorders>
            <w:vAlign w:val="center"/>
          </w:tcPr>
          <w:p w14:paraId="3164AD86" w14:textId="282CCBAF" w:rsidR="005E7930" w:rsidRPr="005E7930" w:rsidRDefault="005E7930" w:rsidP="005E7930">
            <w:pPr>
              <w:pStyle w:val="TableCells"/>
              <w:rPr>
                <w:sz w:val="18"/>
                <w:szCs w:val="18"/>
              </w:rPr>
            </w:pPr>
            <w:r w:rsidRPr="005E7930">
              <w:rPr>
                <w:sz w:val="18"/>
                <w:szCs w:val="18"/>
              </w:rPr>
              <w:t>-</w:t>
            </w:r>
          </w:p>
        </w:tc>
      </w:tr>
      <w:tr w:rsidR="005E7930" w:rsidRPr="00EA47DF" w14:paraId="140CE50C" w14:textId="7E61C498" w:rsidTr="005E7930">
        <w:trPr>
          <w:jc w:val="center"/>
        </w:trPr>
        <w:tc>
          <w:tcPr>
            <w:tcW w:w="3058" w:type="dxa"/>
            <w:vAlign w:val="center"/>
          </w:tcPr>
          <w:p w14:paraId="4E6A5728" w14:textId="77777777" w:rsidR="005E7930" w:rsidRPr="005E7930" w:rsidRDefault="005E7930" w:rsidP="005E7930">
            <w:pPr>
              <w:pStyle w:val="TableCells"/>
              <w:jc w:val="left"/>
              <w:rPr>
                <w:sz w:val="18"/>
                <w:szCs w:val="18"/>
              </w:rPr>
            </w:pPr>
            <w:r w:rsidRPr="005E7930">
              <w:rPr>
                <w:sz w:val="18"/>
                <w:szCs w:val="18"/>
              </w:rPr>
              <w:t>Institute of Nuclear Energy Safety Technology</w:t>
            </w:r>
          </w:p>
        </w:tc>
        <w:tc>
          <w:tcPr>
            <w:tcW w:w="1173" w:type="dxa"/>
            <w:vAlign w:val="center"/>
          </w:tcPr>
          <w:p w14:paraId="609E6DAD" w14:textId="77777777" w:rsidR="005E7930" w:rsidRPr="005E7930" w:rsidRDefault="005E7930" w:rsidP="005E7930">
            <w:pPr>
              <w:pStyle w:val="TableCells"/>
              <w:rPr>
                <w:sz w:val="18"/>
                <w:szCs w:val="18"/>
              </w:rPr>
            </w:pPr>
            <w:r w:rsidRPr="005E7930">
              <w:rPr>
                <w:sz w:val="18"/>
                <w:szCs w:val="18"/>
              </w:rPr>
              <w:t>INEST</w:t>
            </w:r>
          </w:p>
        </w:tc>
        <w:tc>
          <w:tcPr>
            <w:tcW w:w="1086" w:type="dxa"/>
            <w:vAlign w:val="center"/>
          </w:tcPr>
          <w:p w14:paraId="38E25F03" w14:textId="77777777" w:rsidR="005E7930" w:rsidRPr="005E7930" w:rsidRDefault="005E7930" w:rsidP="005E7930">
            <w:pPr>
              <w:pStyle w:val="TableCells"/>
              <w:rPr>
                <w:sz w:val="18"/>
                <w:szCs w:val="18"/>
              </w:rPr>
            </w:pPr>
            <w:r w:rsidRPr="005E7930">
              <w:rPr>
                <w:sz w:val="18"/>
                <w:szCs w:val="18"/>
              </w:rPr>
              <w:t>China</w:t>
            </w:r>
          </w:p>
        </w:tc>
        <w:tc>
          <w:tcPr>
            <w:tcW w:w="1613" w:type="dxa"/>
            <w:vAlign w:val="center"/>
          </w:tcPr>
          <w:p w14:paraId="5F63D5C6" w14:textId="598ECA65" w:rsidR="005E7930" w:rsidRPr="005E7930" w:rsidRDefault="005E7930" w:rsidP="005E7930">
            <w:pPr>
              <w:pStyle w:val="TableCells"/>
              <w:rPr>
                <w:sz w:val="18"/>
                <w:szCs w:val="18"/>
              </w:rPr>
            </w:pPr>
            <w:r w:rsidRPr="005E7930">
              <w:rPr>
                <w:sz w:val="18"/>
                <w:szCs w:val="18"/>
              </w:rPr>
              <w:t>Yes</w:t>
            </w:r>
          </w:p>
        </w:tc>
        <w:tc>
          <w:tcPr>
            <w:tcW w:w="1710" w:type="dxa"/>
            <w:vAlign w:val="center"/>
          </w:tcPr>
          <w:p w14:paraId="07BFF009" w14:textId="55F77785" w:rsidR="005E7930" w:rsidRPr="005E7930" w:rsidRDefault="005E7930" w:rsidP="005E7930">
            <w:pPr>
              <w:pStyle w:val="TableCells"/>
              <w:rPr>
                <w:sz w:val="18"/>
                <w:szCs w:val="18"/>
              </w:rPr>
            </w:pPr>
            <w:r w:rsidRPr="005E7930">
              <w:rPr>
                <w:sz w:val="18"/>
                <w:szCs w:val="18"/>
              </w:rPr>
              <w:t>Yes</w:t>
            </w:r>
          </w:p>
        </w:tc>
      </w:tr>
      <w:tr w:rsidR="005E7930" w:rsidRPr="00EA47DF" w14:paraId="447C4289" w14:textId="696843A3" w:rsidTr="005E7930">
        <w:trPr>
          <w:jc w:val="center"/>
        </w:trPr>
        <w:tc>
          <w:tcPr>
            <w:tcW w:w="3058" w:type="dxa"/>
            <w:vAlign w:val="center"/>
          </w:tcPr>
          <w:p w14:paraId="4DBBC836" w14:textId="77777777" w:rsidR="005E7930" w:rsidRPr="005E7930" w:rsidRDefault="005E7930" w:rsidP="005E7930">
            <w:pPr>
              <w:pStyle w:val="TableCells"/>
              <w:jc w:val="left"/>
              <w:rPr>
                <w:sz w:val="18"/>
                <w:szCs w:val="18"/>
              </w:rPr>
            </w:pPr>
            <w:r w:rsidRPr="005E7930">
              <w:rPr>
                <w:sz w:val="18"/>
                <w:szCs w:val="18"/>
              </w:rPr>
              <w:t>North China Electric Power University</w:t>
            </w:r>
          </w:p>
        </w:tc>
        <w:tc>
          <w:tcPr>
            <w:tcW w:w="1173" w:type="dxa"/>
            <w:vAlign w:val="center"/>
          </w:tcPr>
          <w:p w14:paraId="37FCAB11" w14:textId="77777777" w:rsidR="005E7930" w:rsidRPr="005E7930" w:rsidRDefault="005E7930" w:rsidP="005E7930">
            <w:pPr>
              <w:pStyle w:val="TableCells"/>
              <w:rPr>
                <w:sz w:val="18"/>
                <w:szCs w:val="18"/>
              </w:rPr>
            </w:pPr>
            <w:r w:rsidRPr="005E7930">
              <w:rPr>
                <w:sz w:val="18"/>
                <w:szCs w:val="18"/>
              </w:rPr>
              <w:t>NCEPU</w:t>
            </w:r>
          </w:p>
        </w:tc>
        <w:tc>
          <w:tcPr>
            <w:tcW w:w="1086" w:type="dxa"/>
            <w:vAlign w:val="center"/>
          </w:tcPr>
          <w:p w14:paraId="733B70C8" w14:textId="77777777" w:rsidR="005E7930" w:rsidRPr="005E7930" w:rsidRDefault="005E7930" w:rsidP="005E7930">
            <w:pPr>
              <w:pStyle w:val="TableCells"/>
              <w:rPr>
                <w:sz w:val="18"/>
                <w:szCs w:val="18"/>
              </w:rPr>
            </w:pPr>
            <w:r w:rsidRPr="005E7930">
              <w:rPr>
                <w:sz w:val="18"/>
                <w:szCs w:val="18"/>
              </w:rPr>
              <w:t>China</w:t>
            </w:r>
          </w:p>
        </w:tc>
        <w:tc>
          <w:tcPr>
            <w:tcW w:w="1613" w:type="dxa"/>
            <w:vAlign w:val="center"/>
          </w:tcPr>
          <w:p w14:paraId="4A629F0B" w14:textId="11B0FDFD" w:rsidR="005E7930" w:rsidRPr="005E7930" w:rsidRDefault="005E7930" w:rsidP="005E7930">
            <w:pPr>
              <w:pStyle w:val="TableCells"/>
              <w:rPr>
                <w:sz w:val="18"/>
                <w:szCs w:val="18"/>
              </w:rPr>
            </w:pPr>
            <w:r w:rsidRPr="005E7930">
              <w:rPr>
                <w:sz w:val="18"/>
                <w:szCs w:val="18"/>
              </w:rPr>
              <w:t>Yes</w:t>
            </w:r>
          </w:p>
        </w:tc>
        <w:tc>
          <w:tcPr>
            <w:tcW w:w="1710" w:type="dxa"/>
            <w:vAlign w:val="center"/>
          </w:tcPr>
          <w:p w14:paraId="5FF7B129" w14:textId="4E0C9020" w:rsidR="005E7930" w:rsidRPr="005E7930" w:rsidRDefault="005E7930" w:rsidP="005E7930">
            <w:pPr>
              <w:pStyle w:val="TableCells"/>
              <w:rPr>
                <w:sz w:val="18"/>
                <w:szCs w:val="18"/>
              </w:rPr>
            </w:pPr>
            <w:r w:rsidRPr="005E7930">
              <w:rPr>
                <w:sz w:val="18"/>
                <w:szCs w:val="18"/>
              </w:rPr>
              <w:t>Yes</w:t>
            </w:r>
          </w:p>
        </w:tc>
      </w:tr>
      <w:tr w:rsidR="005E7930" w:rsidRPr="00EA47DF" w14:paraId="159C5B64" w14:textId="3C544FC8" w:rsidTr="005E7930">
        <w:trPr>
          <w:jc w:val="center"/>
        </w:trPr>
        <w:tc>
          <w:tcPr>
            <w:tcW w:w="3058" w:type="dxa"/>
            <w:vAlign w:val="center"/>
          </w:tcPr>
          <w:p w14:paraId="6E115DEE" w14:textId="77777777" w:rsidR="005E7930" w:rsidRPr="005E7930" w:rsidRDefault="005E7930" w:rsidP="005E7930">
            <w:pPr>
              <w:pStyle w:val="TableCells"/>
              <w:jc w:val="left"/>
              <w:rPr>
                <w:sz w:val="18"/>
                <w:szCs w:val="18"/>
              </w:rPr>
            </w:pPr>
            <w:r w:rsidRPr="005E7930">
              <w:rPr>
                <w:sz w:val="18"/>
                <w:szCs w:val="18"/>
              </w:rPr>
              <w:t xml:space="preserve">Xi’an </w:t>
            </w:r>
            <w:proofErr w:type="spellStart"/>
            <w:r w:rsidRPr="005E7930">
              <w:rPr>
                <w:sz w:val="18"/>
                <w:szCs w:val="18"/>
              </w:rPr>
              <w:t>Jiatong</w:t>
            </w:r>
            <w:proofErr w:type="spellEnd"/>
            <w:r w:rsidRPr="005E7930">
              <w:rPr>
                <w:sz w:val="18"/>
                <w:szCs w:val="18"/>
              </w:rPr>
              <w:t xml:space="preserve"> University</w:t>
            </w:r>
          </w:p>
        </w:tc>
        <w:tc>
          <w:tcPr>
            <w:tcW w:w="1173" w:type="dxa"/>
            <w:vAlign w:val="center"/>
          </w:tcPr>
          <w:p w14:paraId="2B4D5D56" w14:textId="77777777" w:rsidR="005E7930" w:rsidRPr="005E7930" w:rsidRDefault="005E7930" w:rsidP="005E7930">
            <w:pPr>
              <w:pStyle w:val="TableCells"/>
              <w:rPr>
                <w:sz w:val="18"/>
                <w:szCs w:val="18"/>
              </w:rPr>
            </w:pPr>
            <w:r w:rsidRPr="005E7930">
              <w:rPr>
                <w:sz w:val="18"/>
                <w:szCs w:val="18"/>
              </w:rPr>
              <w:t>XJTU</w:t>
            </w:r>
          </w:p>
        </w:tc>
        <w:tc>
          <w:tcPr>
            <w:tcW w:w="1086" w:type="dxa"/>
            <w:vAlign w:val="center"/>
          </w:tcPr>
          <w:p w14:paraId="5202790B" w14:textId="77777777" w:rsidR="005E7930" w:rsidRPr="005E7930" w:rsidRDefault="005E7930" w:rsidP="005E7930">
            <w:pPr>
              <w:pStyle w:val="TableCells"/>
              <w:rPr>
                <w:sz w:val="18"/>
                <w:szCs w:val="18"/>
              </w:rPr>
            </w:pPr>
            <w:r w:rsidRPr="005E7930">
              <w:rPr>
                <w:sz w:val="18"/>
                <w:szCs w:val="18"/>
              </w:rPr>
              <w:t>China</w:t>
            </w:r>
          </w:p>
        </w:tc>
        <w:tc>
          <w:tcPr>
            <w:tcW w:w="1613" w:type="dxa"/>
            <w:vAlign w:val="center"/>
          </w:tcPr>
          <w:p w14:paraId="43EA7BCE" w14:textId="530204D3" w:rsidR="005E7930" w:rsidRPr="005E7930" w:rsidRDefault="005E7930" w:rsidP="005E7930">
            <w:pPr>
              <w:pStyle w:val="TableCells"/>
              <w:rPr>
                <w:sz w:val="18"/>
                <w:szCs w:val="18"/>
              </w:rPr>
            </w:pPr>
            <w:r w:rsidRPr="005E7930">
              <w:rPr>
                <w:sz w:val="18"/>
                <w:szCs w:val="18"/>
              </w:rPr>
              <w:t>Yes</w:t>
            </w:r>
          </w:p>
        </w:tc>
        <w:tc>
          <w:tcPr>
            <w:tcW w:w="1710" w:type="dxa"/>
            <w:vAlign w:val="center"/>
          </w:tcPr>
          <w:p w14:paraId="098575FD" w14:textId="0F7FED65" w:rsidR="005E7930" w:rsidRPr="005E7930" w:rsidRDefault="005E7930" w:rsidP="005E7930">
            <w:pPr>
              <w:pStyle w:val="TableCells"/>
              <w:rPr>
                <w:sz w:val="18"/>
                <w:szCs w:val="18"/>
              </w:rPr>
            </w:pPr>
            <w:r w:rsidRPr="005E7930">
              <w:rPr>
                <w:sz w:val="18"/>
                <w:szCs w:val="18"/>
              </w:rPr>
              <w:t>-</w:t>
            </w:r>
          </w:p>
        </w:tc>
      </w:tr>
      <w:tr w:rsidR="005E7930" w:rsidRPr="00EA47DF" w14:paraId="3E5E1F82" w14:textId="600C2594" w:rsidTr="005E7930">
        <w:trPr>
          <w:jc w:val="center"/>
        </w:trPr>
        <w:tc>
          <w:tcPr>
            <w:tcW w:w="3058" w:type="dxa"/>
            <w:vAlign w:val="center"/>
          </w:tcPr>
          <w:p w14:paraId="2A6ABEBB" w14:textId="77777777" w:rsidR="005E7930" w:rsidRPr="005E7930" w:rsidRDefault="005E7930" w:rsidP="005E7930">
            <w:pPr>
              <w:pStyle w:val="TableCells"/>
              <w:jc w:val="left"/>
              <w:rPr>
                <w:sz w:val="18"/>
                <w:szCs w:val="18"/>
              </w:rPr>
            </w:pPr>
            <w:r w:rsidRPr="005E7930">
              <w:rPr>
                <w:sz w:val="18"/>
                <w:szCs w:val="18"/>
              </w:rPr>
              <w:t>French Alternative Energies and Atomic Energy Commission</w:t>
            </w:r>
          </w:p>
        </w:tc>
        <w:tc>
          <w:tcPr>
            <w:tcW w:w="1173" w:type="dxa"/>
            <w:vAlign w:val="center"/>
          </w:tcPr>
          <w:p w14:paraId="5C23D6A3" w14:textId="77777777" w:rsidR="005E7930" w:rsidRPr="005E7930" w:rsidRDefault="005E7930" w:rsidP="005E7930">
            <w:pPr>
              <w:pStyle w:val="TableCells"/>
              <w:rPr>
                <w:sz w:val="18"/>
                <w:szCs w:val="18"/>
              </w:rPr>
            </w:pPr>
            <w:r w:rsidRPr="005E7930">
              <w:rPr>
                <w:sz w:val="18"/>
                <w:szCs w:val="18"/>
              </w:rPr>
              <w:t>CEA</w:t>
            </w:r>
          </w:p>
        </w:tc>
        <w:tc>
          <w:tcPr>
            <w:tcW w:w="1086" w:type="dxa"/>
            <w:vAlign w:val="center"/>
          </w:tcPr>
          <w:p w14:paraId="65EE08B9" w14:textId="77777777" w:rsidR="005E7930" w:rsidRPr="005E7930" w:rsidRDefault="005E7930" w:rsidP="005E7930">
            <w:pPr>
              <w:pStyle w:val="TableCells"/>
              <w:rPr>
                <w:sz w:val="18"/>
                <w:szCs w:val="18"/>
              </w:rPr>
            </w:pPr>
            <w:r w:rsidRPr="005E7930">
              <w:rPr>
                <w:sz w:val="18"/>
                <w:szCs w:val="18"/>
              </w:rPr>
              <w:t>France</w:t>
            </w:r>
          </w:p>
        </w:tc>
        <w:tc>
          <w:tcPr>
            <w:tcW w:w="1613" w:type="dxa"/>
            <w:vAlign w:val="center"/>
          </w:tcPr>
          <w:p w14:paraId="77D1956B" w14:textId="39C2EDE5" w:rsidR="005E7930" w:rsidRPr="005E7930" w:rsidRDefault="005E7930" w:rsidP="005E7930">
            <w:pPr>
              <w:pStyle w:val="TableCells"/>
              <w:rPr>
                <w:sz w:val="18"/>
                <w:szCs w:val="18"/>
              </w:rPr>
            </w:pPr>
            <w:r w:rsidRPr="005E7930">
              <w:rPr>
                <w:sz w:val="18"/>
                <w:szCs w:val="18"/>
              </w:rPr>
              <w:t>Yes</w:t>
            </w:r>
          </w:p>
        </w:tc>
        <w:tc>
          <w:tcPr>
            <w:tcW w:w="1710" w:type="dxa"/>
            <w:vAlign w:val="center"/>
          </w:tcPr>
          <w:p w14:paraId="4D0A8139" w14:textId="062D387F" w:rsidR="005E7930" w:rsidRPr="005E7930" w:rsidRDefault="005E7930" w:rsidP="005E7930">
            <w:pPr>
              <w:pStyle w:val="TableCells"/>
              <w:rPr>
                <w:sz w:val="18"/>
                <w:szCs w:val="18"/>
              </w:rPr>
            </w:pPr>
            <w:r w:rsidRPr="005E7930">
              <w:rPr>
                <w:sz w:val="18"/>
                <w:szCs w:val="18"/>
              </w:rPr>
              <w:t>-</w:t>
            </w:r>
          </w:p>
        </w:tc>
      </w:tr>
      <w:tr w:rsidR="005E7930" w:rsidRPr="00EA47DF" w14:paraId="5A47B186" w14:textId="270C351C" w:rsidTr="005E7930">
        <w:trPr>
          <w:jc w:val="center"/>
        </w:trPr>
        <w:tc>
          <w:tcPr>
            <w:tcW w:w="3058" w:type="dxa"/>
            <w:vAlign w:val="center"/>
          </w:tcPr>
          <w:p w14:paraId="3BEB9EF6" w14:textId="77777777" w:rsidR="005E7930" w:rsidRPr="005E7930" w:rsidRDefault="005E7930" w:rsidP="005E7930">
            <w:pPr>
              <w:pStyle w:val="TableCells"/>
              <w:jc w:val="left"/>
              <w:rPr>
                <w:sz w:val="18"/>
                <w:szCs w:val="18"/>
              </w:rPr>
            </w:pPr>
            <w:r w:rsidRPr="005E7930">
              <w:rPr>
                <w:sz w:val="18"/>
                <w:szCs w:val="18"/>
              </w:rPr>
              <w:t>Helmholtz-</w:t>
            </w:r>
            <w:proofErr w:type="spellStart"/>
            <w:r w:rsidRPr="005E7930">
              <w:rPr>
                <w:sz w:val="18"/>
                <w:szCs w:val="18"/>
              </w:rPr>
              <w:t>Zentrum</w:t>
            </w:r>
            <w:proofErr w:type="spellEnd"/>
            <w:r w:rsidRPr="005E7930">
              <w:rPr>
                <w:sz w:val="18"/>
                <w:szCs w:val="18"/>
              </w:rPr>
              <w:t xml:space="preserve"> Dresden-</w:t>
            </w:r>
            <w:proofErr w:type="spellStart"/>
            <w:r w:rsidRPr="005E7930">
              <w:rPr>
                <w:sz w:val="18"/>
                <w:szCs w:val="18"/>
              </w:rPr>
              <w:t>Rossendorf</w:t>
            </w:r>
            <w:proofErr w:type="spellEnd"/>
          </w:p>
        </w:tc>
        <w:tc>
          <w:tcPr>
            <w:tcW w:w="1173" w:type="dxa"/>
            <w:vAlign w:val="center"/>
          </w:tcPr>
          <w:p w14:paraId="593E09F3" w14:textId="77777777" w:rsidR="005E7930" w:rsidRPr="005E7930" w:rsidRDefault="005E7930" w:rsidP="005E7930">
            <w:pPr>
              <w:pStyle w:val="TableCells"/>
              <w:rPr>
                <w:sz w:val="18"/>
                <w:szCs w:val="18"/>
              </w:rPr>
            </w:pPr>
            <w:r w:rsidRPr="005E7930">
              <w:rPr>
                <w:sz w:val="18"/>
                <w:szCs w:val="18"/>
              </w:rPr>
              <w:t>HZDR</w:t>
            </w:r>
          </w:p>
        </w:tc>
        <w:tc>
          <w:tcPr>
            <w:tcW w:w="1086" w:type="dxa"/>
            <w:vAlign w:val="center"/>
          </w:tcPr>
          <w:p w14:paraId="3C108D2A" w14:textId="77777777" w:rsidR="005E7930" w:rsidRPr="005E7930" w:rsidRDefault="005E7930" w:rsidP="005E7930">
            <w:pPr>
              <w:pStyle w:val="TableCells"/>
              <w:rPr>
                <w:sz w:val="18"/>
                <w:szCs w:val="18"/>
              </w:rPr>
            </w:pPr>
            <w:r w:rsidRPr="005E7930">
              <w:rPr>
                <w:sz w:val="18"/>
                <w:szCs w:val="18"/>
              </w:rPr>
              <w:t>Germany</w:t>
            </w:r>
          </w:p>
        </w:tc>
        <w:tc>
          <w:tcPr>
            <w:tcW w:w="1613" w:type="dxa"/>
            <w:vAlign w:val="center"/>
          </w:tcPr>
          <w:p w14:paraId="62044E96" w14:textId="0FDD0C7F" w:rsidR="005E7930" w:rsidRPr="005E7930" w:rsidRDefault="005E7930" w:rsidP="005E7930">
            <w:pPr>
              <w:pStyle w:val="TableCells"/>
              <w:rPr>
                <w:sz w:val="18"/>
                <w:szCs w:val="18"/>
              </w:rPr>
            </w:pPr>
            <w:r w:rsidRPr="005E7930">
              <w:rPr>
                <w:sz w:val="18"/>
                <w:szCs w:val="18"/>
              </w:rPr>
              <w:t>-</w:t>
            </w:r>
          </w:p>
        </w:tc>
        <w:tc>
          <w:tcPr>
            <w:tcW w:w="1710" w:type="dxa"/>
            <w:vAlign w:val="center"/>
          </w:tcPr>
          <w:p w14:paraId="1A5E3F00" w14:textId="2E352BFF" w:rsidR="005E7930" w:rsidRPr="005E7930" w:rsidRDefault="005E7930" w:rsidP="005E7930">
            <w:pPr>
              <w:pStyle w:val="TableCells"/>
              <w:rPr>
                <w:sz w:val="18"/>
                <w:szCs w:val="18"/>
              </w:rPr>
            </w:pPr>
            <w:r w:rsidRPr="005E7930">
              <w:rPr>
                <w:sz w:val="18"/>
                <w:szCs w:val="18"/>
              </w:rPr>
              <w:t>Yes</w:t>
            </w:r>
          </w:p>
        </w:tc>
      </w:tr>
      <w:tr w:rsidR="005E7930" w:rsidRPr="00EA47DF" w14:paraId="13EA28B8" w14:textId="2CA3B5F2" w:rsidTr="005E7930">
        <w:trPr>
          <w:jc w:val="center"/>
        </w:trPr>
        <w:tc>
          <w:tcPr>
            <w:tcW w:w="3058" w:type="dxa"/>
            <w:vAlign w:val="center"/>
          </w:tcPr>
          <w:p w14:paraId="0B724424" w14:textId="77777777" w:rsidR="005E7930" w:rsidRPr="005E7930" w:rsidRDefault="005E7930" w:rsidP="005E7930">
            <w:pPr>
              <w:pStyle w:val="TableCells"/>
              <w:jc w:val="left"/>
              <w:rPr>
                <w:sz w:val="18"/>
                <w:szCs w:val="18"/>
              </w:rPr>
            </w:pPr>
            <w:r w:rsidRPr="005E7930">
              <w:rPr>
                <w:sz w:val="18"/>
                <w:szCs w:val="18"/>
              </w:rPr>
              <w:t>Karlsruhe Institute of Technology</w:t>
            </w:r>
          </w:p>
        </w:tc>
        <w:tc>
          <w:tcPr>
            <w:tcW w:w="1173" w:type="dxa"/>
            <w:vAlign w:val="center"/>
          </w:tcPr>
          <w:p w14:paraId="39ACC01E" w14:textId="77777777" w:rsidR="005E7930" w:rsidRPr="005E7930" w:rsidRDefault="005E7930" w:rsidP="005E7930">
            <w:pPr>
              <w:pStyle w:val="TableCells"/>
              <w:rPr>
                <w:sz w:val="18"/>
                <w:szCs w:val="18"/>
              </w:rPr>
            </w:pPr>
            <w:r w:rsidRPr="005E7930">
              <w:rPr>
                <w:sz w:val="18"/>
                <w:szCs w:val="18"/>
              </w:rPr>
              <w:t>KIT</w:t>
            </w:r>
          </w:p>
        </w:tc>
        <w:tc>
          <w:tcPr>
            <w:tcW w:w="1086" w:type="dxa"/>
            <w:vAlign w:val="center"/>
          </w:tcPr>
          <w:p w14:paraId="33530ABA" w14:textId="77777777" w:rsidR="005E7930" w:rsidRPr="005E7930" w:rsidRDefault="005E7930" w:rsidP="005E7930">
            <w:pPr>
              <w:pStyle w:val="TableCells"/>
              <w:rPr>
                <w:sz w:val="18"/>
                <w:szCs w:val="18"/>
              </w:rPr>
            </w:pPr>
            <w:r w:rsidRPr="005E7930">
              <w:rPr>
                <w:sz w:val="18"/>
                <w:szCs w:val="18"/>
              </w:rPr>
              <w:t>Germany</w:t>
            </w:r>
          </w:p>
        </w:tc>
        <w:tc>
          <w:tcPr>
            <w:tcW w:w="1613" w:type="dxa"/>
            <w:vAlign w:val="center"/>
          </w:tcPr>
          <w:p w14:paraId="13CF5485" w14:textId="48E59088" w:rsidR="005E7930" w:rsidRPr="005E7930" w:rsidRDefault="005E7930" w:rsidP="005E7930">
            <w:pPr>
              <w:pStyle w:val="TableCells"/>
              <w:rPr>
                <w:sz w:val="18"/>
                <w:szCs w:val="18"/>
              </w:rPr>
            </w:pPr>
            <w:r w:rsidRPr="005E7930">
              <w:rPr>
                <w:sz w:val="18"/>
                <w:szCs w:val="18"/>
              </w:rPr>
              <w:t>Yes</w:t>
            </w:r>
          </w:p>
        </w:tc>
        <w:tc>
          <w:tcPr>
            <w:tcW w:w="1710" w:type="dxa"/>
            <w:vAlign w:val="center"/>
          </w:tcPr>
          <w:p w14:paraId="1F87E1AD" w14:textId="29E68268" w:rsidR="005E7930" w:rsidRPr="005E7930" w:rsidRDefault="005E7930" w:rsidP="005E7930">
            <w:pPr>
              <w:pStyle w:val="TableCells"/>
              <w:rPr>
                <w:sz w:val="18"/>
                <w:szCs w:val="18"/>
              </w:rPr>
            </w:pPr>
            <w:r w:rsidRPr="005E7930">
              <w:rPr>
                <w:sz w:val="18"/>
                <w:szCs w:val="18"/>
              </w:rPr>
              <w:t>Yes</w:t>
            </w:r>
          </w:p>
        </w:tc>
      </w:tr>
      <w:tr w:rsidR="005E7930" w:rsidRPr="00EA47DF" w14:paraId="0370374B" w14:textId="3AE97EBE" w:rsidTr="005E7930">
        <w:trPr>
          <w:jc w:val="center"/>
        </w:trPr>
        <w:tc>
          <w:tcPr>
            <w:tcW w:w="3058" w:type="dxa"/>
            <w:vAlign w:val="center"/>
          </w:tcPr>
          <w:p w14:paraId="1928C960" w14:textId="77777777" w:rsidR="005E7930" w:rsidRPr="005E7930" w:rsidRDefault="005E7930" w:rsidP="005E7930">
            <w:pPr>
              <w:pStyle w:val="TableCells"/>
              <w:jc w:val="left"/>
              <w:rPr>
                <w:sz w:val="18"/>
                <w:szCs w:val="18"/>
              </w:rPr>
            </w:pPr>
            <w:r w:rsidRPr="005E7930">
              <w:rPr>
                <w:sz w:val="18"/>
                <w:szCs w:val="18"/>
              </w:rPr>
              <w:t>Indira Gandhi Centre for Atomic Research</w:t>
            </w:r>
          </w:p>
        </w:tc>
        <w:tc>
          <w:tcPr>
            <w:tcW w:w="1173" w:type="dxa"/>
            <w:vAlign w:val="center"/>
          </w:tcPr>
          <w:p w14:paraId="4CC239FF" w14:textId="77777777" w:rsidR="005E7930" w:rsidRPr="005E7930" w:rsidRDefault="005E7930" w:rsidP="005E7930">
            <w:pPr>
              <w:pStyle w:val="TableCells"/>
              <w:rPr>
                <w:sz w:val="18"/>
                <w:szCs w:val="18"/>
              </w:rPr>
            </w:pPr>
            <w:r w:rsidRPr="005E7930">
              <w:rPr>
                <w:sz w:val="18"/>
                <w:szCs w:val="18"/>
              </w:rPr>
              <w:t>IGCAR</w:t>
            </w:r>
          </w:p>
        </w:tc>
        <w:tc>
          <w:tcPr>
            <w:tcW w:w="1086" w:type="dxa"/>
            <w:vAlign w:val="center"/>
          </w:tcPr>
          <w:p w14:paraId="5237C879" w14:textId="77777777" w:rsidR="005E7930" w:rsidRPr="005E7930" w:rsidRDefault="005E7930" w:rsidP="005E7930">
            <w:pPr>
              <w:pStyle w:val="TableCells"/>
              <w:rPr>
                <w:sz w:val="18"/>
                <w:szCs w:val="18"/>
              </w:rPr>
            </w:pPr>
            <w:r w:rsidRPr="005E7930">
              <w:rPr>
                <w:sz w:val="18"/>
                <w:szCs w:val="18"/>
              </w:rPr>
              <w:t>India</w:t>
            </w:r>
          </w:p>
        </w:tc>
        <w:tc>
          <w:tcPr>
            <w:tcW w:w="1613" w:type="dxa"/>
            <w:vAlign w:val="center"/>
          </w:tcPr>
          <w:p w14:paraId="4112A5D2" w14:textId="0B2590D3" w:rsidR="005E7930" w:rsidRPr="005E7930" w:rsidRDefault="005E7930" w:rsidP="005E7930">
            <w:pPr>
              <w:pStyle w:val="TableCells"/>
              <w:rPr>
                <w:sz w:val="18"/>
                <w:szCs w:val="18"/>
              </w:rPr>
            </w:pPr>
            <w:r w:rsidRPr="005E7930">
              <w:rPr>
                <w:sz w:val="18"/>
                <w:szCs w:val="18"/>
              </w:rPr>
              <w:t>Yes</w:t>
            </w:r>
          </w:p>
        </w:tc>
        <w:tc>
          <w:tcPr>
            <w:tcW w:w="1710" w:type="dxa"/>
            <w:vAlign w:val="center"/>
          </w:tcPr>
          <w:p w14:paraId="2AB01125" w14:textId="3B31953E" w:rsidR="005E7930" w:rsidRPr="005E7930" w:rsidRDefault="005E7930" w:rsidP="005E7930">
            <w:pPr>
              <w:pStyle w:val="TableCells"/>
              <w:rPr>
                <w:sz w:val="18"/>
                <w:szCs w:val="18"/>
              </w:rPr>
            </w:pPr>
            <w:r w:rsidRPr="005E7930">
              <w:rPr>
                <w:sz w:val="18"/>
                <w:szCs w:val="18"/>
              </w:rPr>
              <w:t>Yes</w:t>
            </w:r>
          </w:p>
        </w:tc>
      </w:tr>
      <w:tr w:rsidR="005E7930" w:rsidRPr="00EA47DF" w14:paraId="535983A2" w14:textId="3F8E9547" w:rsidTr="005E7930">
        <w:trPr>
          <w:jc w:val="center"/>
        </w:trPr>
        <w:tc>
          <w:tcPr>
            <w:tcW w:w="3058" w:type="dxa"/>
            <w:vAlign w:val="center"/>
          </w:tcPr>
          <w:p w14:paraId="0305EF19" w14:textId="77777777" w:rsidR="005E7930" w:rsidRPr="005E7930" w:rsidRDefault="005E7930" w:rsidP="005E7930">
            <w:pPr>
              <w:pStyle w:val="TableCells"/>
              <w:jc w:val="left"/>
              <w:rPr>
                <w:sz w:val="18"/>
                <w:szCs w:val="18"/>
              </w:rPr>
            </w:pPr>
            <w:r w:rsidRPr="005E7930">
              <w:rPr>
                <w:sz w:val="18"/>
                <w:szCs w:val="18"/>
              </w:rPr>
              <w:t>Nuclear and Industrial Engineering</w:t>
            </w:r>
          </w:p>
        </w:tc>
        <w:tc>
          <w:tcPr>
            <w:tcW w:w="1173" w:type="dxa"/>
            <w:vAlign w:val="center"/>
          </w:tcPr>
          <w:p w14:paraId="15B24410" w14:textId="77777777" w:rsidR="005E7930" w:rsidRPr="005E7930" w:rsidRDefault="005E7930" w:rsidP="005E7930">
            <w:pPr>
              <w:pStyle w:val="TableCells"/>
              <w:rPr>
                <w:sz w:val="18"/>
                <w:szCs w:val="18"/>
              </w:rPr>
            </w:pPr>
            <w:r w:rsidRPr="005E7930">
              <w:rPr>
                <w:sz w:val="18"/>
                <w:szCs w:val="18"/>
              </w:rPr>
              <w:t>NINE</w:t>
            </w:r>
          </w:p>
        </w:tc>
        <w:tc>
          <w:tcPr>
            <w:tcW w:w="1086" w:type="dxa"/>
            <w:vAlign w:val="center"/>
          </w:tcPr>
          <w:p w14:paraId="72E9D335" w14:textId="77777777" w:rsidR="005E7930" w:rsidRPr="005E7930" w:rsidRDefault="005E7930" w:rsidP="005E7930">
            <w:pPr>
              <w:pStyle w:val="TableCells"/>
              <w:rPr>
                <w:sz w:val="18"/>
                <w:szCs w:val="18"/>
              </w:rPr>
            </w:pPr>
            <w:r w:rsidRPr="005E7930">
              <w:rPr>
                <w:sz w:val="18"/>
                <w:szCs w:val="18"/>
              </w:rPr>
              <w:t>Italy</w:t>
            </w:r>
          </w:p>
        </w:tc>
        <w:tc>
          <w:tcPr>
            <w:tcW w:w="1613" w:type="dxa"/>
            <w:vAlign w:val="center"/>
          </w:tcPr>
          <w:p w14:paraId="0F588E58" w14:textId="783733E7" w:rsidR="005E7930" w:rsidRPr="005E7930" w:rsidRDefault="005E7930" w:rsidP="005E7930">
            <w:pPr>
              <w:pStyle w:val="TableCells"/>
              <w:rPr>
                <w:sz w:val="18"/>
                <w:szCs w:val="18"/>
              </w:rPr>
            </w:pPr>
            <w:r w:rsidRPr="005E7930">
              <w:rPr>
                <w:sz w:val="18"/>
                <w:szCs w:val="18"/>
              </w:rPr>
              <w:t>Yes</w:t>
            </w:r>
          </w:p>
        </w:tc>
        <w:tc>
          <w:tcPr>
            <w:tcW w:w="1710" w:type="dxa"/>
            <w:vAlign w:val="center"/>
          </w:tcPr>
          <w:p w14:paraId="5C01A0A7" w14:textId="78CF1096" w:rsidR="005E7930" w:rsidRPr="005E7930" w:rsidRDefault="005E7930" w:rsidP="005E7930">
            <w:pPr>
              <w:pStyle w:val="TableCells"/>
              <w:rPr>
                <w:sz w:val="18"/>
                <w:szCs w:val="18"/>
              </w:rPr>
            </w:pPr>
            <w:r w:rsidRPr="005E7930">
              <w:rPr>
                <w:sz w:val="18"/>
                <w:szCs w:val="18"/>
              </w:rPr>
              <w:t>-</w:t>
            </w:r>
          </w:p>
        </w:tc>
      </w:tr>
      <w:tr w:rsidR="005E7930" w:rsidRPr="00EA47DF" w14:paraId="3030A6D2" w14:textId="457D1B08" w:rsidTr="005E7930">
        <w:trPr>
          <w:jc w:val="center"/>
        </w:trPr>
        <w:tc>
          <w:tcPr>
            <w:tcW w:w="3058" w:type="dxa"/>
            <w:vAlign w:val="center"/>
          </w:tcPr>
          <w:p w14:paraId="2C1BCA80" w14:textId="77777777" w:rsidR="005E7930" w:rsidRPr="005E7930" w:rsidRDefault="005E7930" w:rsidP="005E7930">
            <w:pPr>
              <w:pStyle w:val="TableCells"/>
              <w:jc w:val="left"/>
              <w:rPr>
                <w:sz w:val="18"/>
                <w:szCs w:val="18"/>
              </w:rPr>
            </w:pPr>
            <w:r w:rsidRPr="005E7930">
              <w:rPr>
                <w:sz w:val="18"/>
                <w:szCs w:val="18"/>
              </w:rPr>
              <w:t>Sapienza University of Rome</w:t>
            </w:r>
          </w:p>
        </w:tc>
        <w:tc>
          <w:tcPr>
            <w:tcW w:w="1173" w:type="dxa"/>
            <w:vAlign w:val="center"/>
          </w:tcPr>
          <w:p w14:paraId="41345283" w14:textId="77777777" w:rsidR="005E7930" w:rsidRPr="005E7930" w:rsidRDefault="005E7930" w:rsidP="005E7930">
            <w:pPr>
              <w:pStyle w:val="TableCells"/>
              <w:rPr>
                <w:sz w:val="18"/>
                <w:szCs w:val="18"/>
              </w:rPr>
            </w:pPr>
            <w:r w:rsidRPr="005E7930">
              <w:rPr>
                <w:sz w:val="18"/>
                <w:szCs w:val="18"/>
              </w:rPr>
              <w:t>Rome</w:t>
            </w:r>
          </w:p>
        </w:tc>
        <w:tc>
          <w:tcPr>
            <w:tcW w:w="1086" w:type="dxa"/>
            <w:vAlign w:val="center"/>
          </w:tcPr>
          <w:p w14:paraId="0F4E4668" w14:textId="77777777" w:rsidR="005E7930" w:rsidRPr="005E7930" w:rsidRDefault="005E7930" w:rsidP="005E7930">
            <w:pPr>
              <w:pStyle w:val="TableCells"/>
              <w:rPr>
                <w:sz w:val="18"/>
                <w:szCs w:val="18"/>
              </w:rPr>
            </w:pPr>
            <w:r w:rsidRPr="005E7930">
              <w:rPr>
                <w:sz w:val="18"/>
                <w:szCs w:val="18"/>
              </w:rPr>
              <w:t>Italy</w:t>
            </w:r>
          </w:p>
        </w:tc>
        <w:tc>
          <w:tcPr>
            <w:tcW w:w="1613" w:type="dxa"/>
            <w:vAlign w:val="center"/>
          </w:tcPr>
          <w:p w14:paraId="48EFBCF4" w14:textId="3ABC4B72" w:rsidR="005E7930" w:rsidRPr="005E7930" w:rsidRDefault="005E7930" w:rsidP="005E7930">
            <w:pPr>
              <w:pStyle w:val="TableCells"/>
              <w:rPr>
                <w:sz w:val="18"/>
                <w:szCs w:val="18"/>
              </w:rPr>
            </w:pPr>
            <w:r w:rsidRPr="005E7930">
              <w:rPr>
                <w:sz w:val="18"/>
                <w:szCs w:val="18"/>
              </w:rPr>
              <w:t>Yes</w:t>
            </w:r>
          </w:p>
        </w:tc>
        <w:tc>
          <w:tcPr>
            <w:tcW w:w="1710" w:type="dxa"/>
            <w:vAlign w:val="center"/>
          </w:tcPr>
          <w:p w14:paraId="6B82DF1D" w14:textId="64A71F1E" w:rsidR="005E7930" w:rsidRPr="005E7930" w:rsidRDefault="005E7930" w:rsidP="005E7930">
            <w:pPr>
              <w:pStyle w:val="TableCells"/>
              <w:rPr>
                <w:sz w:val="18"/>
                <w:szCs w:val="18"/>
              </w:rPr>
            </w:pPr>
            <w:r w:rsidRPr="005E7930">
              <w:rPr>
                <w:sz w:val="18"/>
                <w:szCs w:val="18"/>
              </w:rPr>
              <w:t>Yes</w:t>
            </w:r>
          </w:p>
        </w:tc>
      </w:tr>
      <w:tr w:rsidR="005E7930" w:rsidRPr="00EA47DF" w14:paraId="6794996D" w14:textId="16B65A3E" w:rsidTr="005E7930">
        <w:trPr>
          <w:jc w:val="center"/>
        </w:trPr>
        <w:tc>
          <w:tcPr>
            <w:tcW w:w="3058" w:type="dxa"/>
            <w:vAlign w:val="center"/>
          </w:tcPr>
          <w:p w14:paraId="557C9962" w14:textId="77777777" w:rsidR="005E7930" w:rsidRPr="005E7930" w:rsidRDefault="005E7930" w:rsidP="005E7930">
            <w:pPr>
              <w:pStyle w:val="TableCells"/>
              <w:jc w:val="left"/>
              <w:rPr>
                <w:sz w:val="18"/>
                <w:szCs w:val="18"/>
              </w:rPr>
            </w:pPr>
            <w:r w:rsidRPr="005E7930">
              <w:rPr>
                <w:sz w:val="18"/>
                <w:szCs w:val="18"/>
              </w:rPr>
              <w:t>Japan Atomic Energy Agency</w:t>
            </w:r>
          </w:p>
        </w:tc>
        <w:tc>
          <w:tcPr>
            <w:tcW w:w="1173" w:type="dxa"/>
            <w:vAlign w:val="center"/>
          </w:tcPr>
          <w:p w14:paraId="28152F4D" w14:textId="77777777" w:rsidR="005E7930" w:rsidRPr="005E7930" w:rsidRDefault="005E7930" w:rsidP="005E7930">
            <w:pPr>
              <w:pStyle w:val="TableCells"/>
              <w:rPr>
                <w:sz w:val="18"/>
                <w:szCs w:val="18"/>
              </w:rPr>
            </w:pPr>
            <w:r w:rsidRPr="005E7930">
              <w:rPr>
                <w:sz w:val="18"/>
                <w:szCs w:val="18"/>
              </w:rPr>
              <w:t>JAEA</w:t>
            </w:r>
          </w:p>
        </w:tc>
        <w:tc>
          <w:tcPr>
            <w:tcW w:w="1086" w:type="dxa"/>
            <w:vAlign w:val="center"/>
          </w:tcPr>
          <w:p w14:paraId="4FC469A0" w14:textId="77777777" w:rsidR="005E7930" w:rsidRPr="005E7930" w:rsidRDefault="005E7930" w:rsidP="005E7930">
            <w:pPr>
              <w:pStyle w:val="TableCells"/>
              <w:rPr>
                <w:sz w:val="18"/>
                <w:szCs w:val="18"/>
              </w:rPr>
            </w:pPr>
            <w:r w:rsidRPr="005E7930">
              <w:rPr>
                <w:sz w:val="18"/>
                <w:szCs w:val="18"/>
              </w:rPr>
              <w:t>Japan</w:t>
            </w:r>
          </w:p>
        </w:tc>
        <w:tc>
          <w:tcPr>
            <w:tcW w:w="1613" w:type="dxa"/>
            <w:vAlign w:val="center"/>
          </w:tcPr>
          <w:p w14:paraId="3D14F1FF" w14:textId="7A619F68" w:rsidR="005E7930" w:rsidRPr="005E7930" w:rsidRDefault="005E7930" w:rsidP="005E7930">
            <w:pPr>
              <w:pStyle w:val="TableCells"/>
              <w:rPr>
                <w:sz w:val="18"/>
                <w:szCs w:val="18"/>
              </w:rPr>
            </w:pPr>
            <w:r w:rsidRPr="005E7930">
              <w:rPr>
                <w:sz w:val="18"/>
                <w:szCs w:val="18"/>
              </w:rPr>
              <w:t>Yes</w:t>
            </w:r>
          </w:p>
        </w:tc>
        <w:tc>
          <w:tcPr>
            <w:tcW w:w="1710" w:type="dxa"/>
            <w:vAlign w:val="center"/>
          </w:tcPr>
          <w:p w14:paraId="6CB0B5FE" w14:textId="0E2D4D00" w:rsidR="005E7930" w:rsidRPr="005E7930" w:rsidRDefault="005E7930" w:rsidP="005E7930">
            <w:pPr>
              <w:pStyle w:val="TableCells"/>
              <w:rPr>
                <w:sz w:val="18"/>
                <w:szCs w:val="18"/>
              </w:rPr>
            </w:pPr>
            <w:r w:rsidRPr="005E7930">
              <w:rPr>
                <w:sz w:val="18"/>
                <w:szCs w:val="18"/>
              </w:rPr>
              <w:t>Yes</w:t>
            </w:r>
          </w:p>
        </w:tc>
      </w:tr>
      <w:tr w:rsidR="005E7930" w:rsidRPr="00EA47DF" w14:paraId="22F6F9BF" w14:textId="5242B753" w:rsidTr="005E7930">
        <w:trPr>
          <w:jc w:val="center"/>
        </w:trPr>
        <w:tc>
          <w:tcPr>
            <w:tcW w:w="3058" w:type="dxa"/>
            <w:vAlign w:val="center"/>
          </w:tcPr>
          <w:p w14:paraId="4ACEE9FA" w14:textId="77777777" w:rsidR="005E7930" w:rsidRPr="005E7930" w:rsidRDefault="005E7930" w:rsidP="005E7930">
            <w:pPr>
              <w:pStyle w:val="TableCells"/>
              <w:jc w:val="left"/>
              <w:rPr>
                <w:sz w:val="18"/>
                <w:szCs w:val="18"/>
              </w:rPr>
            </w:pPr>
            <w:r w:rsidRPr="005E7930">
              <w:rPr>
                <w:sz w:val="18"/>
                <w:szCs w:val="18"/>
              </w:rPr>
              <w:t>Korea Atomic Energy Research Institute</w:t>
            </w:r>
          </w:p>
        </w:tc>
        <w:tc>
          <w:tcPr>
            <w:tcW w:w="1173" w:type="dxa"/>
            <w:vAlign w:val="center"/>
          </w:tcPr>
          <w:p w14:paraId="7EF2ED90" w14:textId="77777777" w:rsidR="005E7930" w:rsidRPr="005E7930" w:rsidRDefault="005E7930" w:rsidP="005E7930">
            <w:pPr>
              <w:pStyle w:val="TableCells"/>
              <w:rPr>
                <w:sz w:val="18"/>
                <w:szCs w:val="18"/>
              </w:rPr>
            </w:pPr>
            <w:r w:rsidRPr="005E7930">
              <w:rPr>
                <w:sz w:val="18"/>
                <w:szCs w:val="18"/>
              </w:rPr>
              <w:t>KAERI</w:t>
            </w:r>
          </w:p>
        </w:tc>
        <w:tc>
          <w:tcPr>
            <w:tcW w:w="1086" w:type="dxa"/>
            <w:vAlign w:val="center"/>
          </w:tcPr>
          <w:p w14:paraId="4890B409" w14:textId="77777777" w:rsidR="005E7930" w:rsidRPr="005E7930" w:rsidRDefault="005E7930" w:rsidP="005E7930">
            <w:pPr>
              <w:pStyle w:val="TableCells"/>
              <w:rPr>
                <w:sz w:val="18"/>
                <w:szCs w:val="18"/>
              </w:rPr>
            </w:pPr>
            <w:r w:rsidRPr="005E7930">
              <w:rPr>
                <w:sz w:val="18"/>
                <w:szCs w:val="18"/>
              </w:rPr>
              <w:t>Republic of Korea</w:t>
            </w:r>
          </w:p>
        </w:tc>
        <w:tc>
          <w:tcPr>
            <w:tcW w:w="1613" w:type="dxa"/>
            <w:vAlign w:val="center"/>
          </w:tcPr>
          <w:p w14:paraId="72578785" w14:textId="7AEFA1FC" w:rsidR="005E7930" w:rsidRPr="005E7930" w:rsidRDefault="005E7930" w:rsidP="005E7930">
            <w:pPr>
              <w:pStyle w:val="TableCells"/>
              <w:rPr>
                <w:sz w:val="18"/>
                <w:szCs w:val="18"/>
              </w:rPr>
            </w:pPr>
            <w:r w:rsidRPr="005E7930">
              <w:rPr>
                <w:sz w:val="18"/>
                <w:szCs w:val="18"/>
              </w:rPr>
              <w:t>Yes</w:t>
            </w:r>
          </w:p>
        </w:tc>
        <w:tc>
          <w:tcPr>
            <w:tcW w:w="1710" w:type="dxa"/>
            <w:vAlign w:val="center"/>
          </w:tcPr>
          <w:p w14:paraId="647FD446" w14:textId="56262819" w:rsidR="005E7930" w:rsidRPr="005E7930" w:rsidRDefault="005E7930" w:rsidP="005E7930">
            <w:pPr>
              <w:pStyle w:val="TableCells"/>
              <w:rPr>
                <w:sz w:val="18"/>
                <w:szCs w:val="18"/>
              </w:rPr>
            </w:pPr>
            <w:r w:rsidRPr="005E7930">
              <w:rPr>
                <w:sz w:val="18"/>
                <w:szCs w:val="18"/>
              </w:rPr>
              <w:t>-</w:t>
            </w:r>
          </w:p>
        </w:tc>
      </w:tr>
      <w:tr w:rsidR="005E7930" w:rsidRPr="00EA47DF" w14:paraId="3BA5EC5F" w14:textId="16FF7B91" w:rsidTr="005E7930">
        <w:trPr>
          <w:jc w:val="center"/>
        </w:trPr>
        <w:tc>
          <w:tcPr>
            <w:tcW w:w="3058" w:type="dxa"/>
            <w:vAlign w:val="center"/>
          </w:tcPr>
          <w:p w14:paraId="77D7D4BF" w14:textId="77777777" w:rsidR="005E7930" w:rsidRPr="005E7930" w:rsidRDefault="005E7930" w:rsidP="005E7930">
            <w:pPr>
              <w:pStyle w:val="TableCells"/>
              <w:jc w:val="left"/>
              <w:rPr>
                <w:sz w:val="18"/>
                <w:szCs w:val="18"/>
              </w:rPr>
            </w:pPr>
            <w:r w:rsidRPr="005E7930">
              <w:rPr>
                <w:sz w:val="18"/>
                <w:szCs w:val="18"/>
              </w:rPr>
              <w:t>Nuclear Research and Consultancy Group</w:t>
            </w:r>
          </w:p>
        </w:tc>
        <w:tc>
          <w:tcPr>
            <w:tcW w:w="1173" w:type="dxa"/>
            <w:vAlign w:val="center"/>
          </w:tcPr>
          <w:p w14:paraId="2E09A4B7" w14:textId="77777777" w:rsidR="005E7930" w:rsidRPr="005E7930" w:rsidRDefault="005E7930" w:rsidP="005E7930">
            <w:pPr>
              <w:pStyle w:val="TableCells"/>
              <w:rPr>
                <w:sz w:val="18"/>
                <w:szCs w:val="18"/>
              </w:rPr>
            </w:pPr>
            <w:r w:rsidRPr="005E7930">
              <w:rPr>
                <w:sz w:val="18"/>
                <w:szCs w:val="18"/>
              </w:rPr>
              <w:t>NRG</w:t>
            </w:r>
          </w:p>
        </w:tc>
        <w:tc>
          <w:tcPr>
            <w:tcW w:w="1086" w:type="dxa"/>
            <w:vAlign w:val="center"/>
          </w:tcPr>
          <w:p w14:paraId="4300C7BD" w14:textId="77777777" w:rsidR="005E7930" w:rsidRPr="005E7930" w:rsidRDefault="005E7930" w:rsidP="005E7930">
            <w:pPr>
              <w:pStyle w:val="TableCells"/>
              <w:rPr>
                <w:sz w:val="18"/>
                <w:szCs w:val="18"/>
              </w:rPr>
            </w:pPr>
            <w:r w:rsidRPr="005E7930">
              <w:rPr>
                <w:sz w:val="18"/>
                <w:szCs w:val="18"/>
              </w:rPr>
              <w:t>Netherlands</w:t>
            </w:r>
          </w:p>
        </w:tc>
        <w:tc>
          <w:tcPr>
            <w:tcW w:w="1613" w:type="dxa"/>
            <w:vAlign w:val="center"/>
          </w:tcPr>
          <w:p w14:paraId="0FFB6D89" w14:textId="10DD2220" w:rsidR="005E7930" w:rsidRPr="005E7930" w:rsidRDefault="005E7930" w:rsidP="005E7930">
            <w:pPr>
              <w:pStyle w:val="TableCells"/>
              <w:rPr>
                <w:sz w:val="18"/>
                <w:szCs w:val="18"/>
              </w:rPr>
            </w:pPr>
            <w:r w:rsidRPr="005E7930">
              <w:rPr>
                <w:sz w:val="18"/>
                <w:szCs w:val="18"/>
              </w:rPr>
              <w:t>Yes</w:t>
            </w:r>
          </w:p>
        </w:tc>
        <w:tc>
          <w:tcPr>
            <w:tcW w:w="1710" w:type="dxa"/>
            <w:vAlign w:val="center"/>
          </w:tcPr>
          <w:p w14:paraId="62341FFF" w14:textId="0E72CD57" w:rsidR="005E7930" w:rsidRPr="005E7930" w:rsidRDefault="005E7930" w:rsidP="005E7930">
            <w:pPr>
              <w:pStyle w:val="TableCells"/>
              <w:rPr>
                <w:sz w:val="18"/>
                <w:szCs w:val="18"/>
              </w:rPr>
            </w:pPr>
            <w:r w:rsidRPr="005E7930">
              <w:rPr>
                <w:sz w:val="18"/>
                <w:szCs w:val="18"/>
              </w:rPr>
              <w:t>-</w:t>
            </w:r>
          </w:p>
        </w:tc>
      </w:tr>
      <w:tr w:rsidR="005E7930" w:rsidRPr="00EA47DF" w14:paraId="3031DF34" w14:textId="04BC6DEE" w:rsidTr="005E7930">
        <w:trPr>
          <w:jc w:val="center"/>
        </w:trPr>
        <w:tc>
          <w:tcPr>
            <w:tcW w:w="3058" w:type="dxa"/>
            <w:vAlign w:val="center"/>
          </w:tcPr>
          <w:p w14:paraId="6769DCEA" w14:textId="77777777" w:rsidR="005E7930" w:rsidRPr="005E7930" w:rsidRDefault="005E7930" w:rsidP="005E7930">
            <w:pPr>
              <w:pStyle w:val="TableCells"/>
              <w:jc w:val="left"/>
              <w:rPr>
                <w:sz w:val="18"/>
                <w:szCs w:val="18"/>
              </w:rPr>
            </w:pPr>
            <w:r w:rsidRPr="005E7930">
              <w:rPr>
                <w:sz w:val="18"/>
                <w:szCs w:val="18"/>
              </w:rPr>
              <w:t>Nuclear Safety Institute of the Russia Academy of Sciences</w:t>
            </w:r>
          </w:p>
        </w:tc>
        <w:tc>
          <w:tcPr>
            <w:tcW w:w="1173" w:type="dxa"/>
            <w:vAlign w:val="center"/>
          </w:tcPr>
          <w:p w14:paraId="634CE621" w14:textId="77777777" w:rsidR="005E7930" w:rsidRPr="005E7930" w:rsidRDefault="005E7930" w:rsidP="005E7930">
            <w:pPr>
              <w:pStyle w:val="TableCells"/>
              <w:rPr>
                <w:sz w:val="18"/>
                <w:szCs w:val="18"/>
              </w:rPr>
            </w:pPr>
            <w:r w:rsidRPr="005E7930">
              <w:rPr>
                <w:sz w:val="18"/>
                <w:szCs w:val="18"/>
              </w:rPr>
              <w:t>IBRAE</w:t>
            </w:r>
          </w:p>
        </w:tc>
        <w:tc>
          <w:tcPr>
            <w:tcW w:w="1086" w:type="dxa"/>
            <w:vAlign w:val="center"/>
          </w:tcPr>
          <w:p w14:paraId="18257A20" w14:textId="77777777" w:rsidR="005E7930" w:rsidRPr="005E7930" w:rsidRDefault="005E7930" w:rsidP="005E7930">
            <w:pPr>
              <w:pStyle w:val="TableCells"/>
              <w:rPr>
                <w:sz w:val="18"/>
                <w:szCs w:val="18"/>
              </w:rPr>
            </w:pPr>
            <w:r w:rsidRPr="005E7930">
              <w:rPr>
                <w:sz w:val="18"/>
                <w:szCs w:val="18"/>
              </w:rPr>
              <w:t>Russia</w:t>
            </w:r>
          </w:p>
        </w:tc>
        <w:tc>
          <w:tcPr>
            <w:tcW w:w="1613" w:type="dxa"/>
            <w:vAlign w:val="center"/>
          </w:tcPr>
          <w:p w14:paraId="70CAD3F2" w14:textId="653C406B" w:rsidR="005E7930" w:rsidRPr="005E7930" w:rsidRDefault="005E7930" w:rsidP="005E7930">
            <w:pPr>
              <w:pStyle w:val="TableCells"/>
              <w:rPr>
                <w:sz w:val="18"/>
                <w:szCs w:val="18"/>
              </w:rPr>
            </w:pPr>
            <w:r w:rsidRPr="005E7930">
              <w:rPr>
                <w:sz w:val="18"/>
                <w:szCs w:val="18"/>
              </w:rPr>
              <w:t>-</w:t>
            </w:r>
          </w:p>
        </w:tc>
        <w:tc>
          <w:tcPr>
            <w:tcW w:w="1710" w:type="dxa"/>
            <w:vAlign w:val="center"/>
          </w:tcPr>
          <w:p w14:paraId="4BD1F357" w14:textId="53804374" w:rsidR="005E7930" w:rsidRPr="005E7930" w:rsidRDefault="005E7930" w:rsidP="005E7930">
            <w:pPr>
              <w:pStyle w:val="TableCells"/>
              <w:rPr>
                <w:sz w:val="18"/>
                <w:szCs w:val="18"/>
              </w:rPr>
            </w:pPr>
            <w:r w:rsidRPr="005E7930">
              <w:rPr>
                <w:sz w:val="18"/>
                <w:szCs w:val="18"/>
              </w:rPr>
              <w:t>-</w:t>
            </w:r>
          </w:p>
        </w:tc>
      </w:tr>
      <w:tr w:rsidR="005E7930" w:rsidRPr="00EA47DF" w14:paraId="191D19A8" w14:textId="50712D11" w:rsidTr="005E7930">
        <w:trPr>
          <w:jc w:val="center"/>
        </w:trPr>
        <w:tc>
          <w:tcPr>
            <w:tcW w:w="3058" w:type="dxa"/>
            <w:vAlign w:val="center"/>
          </w:tcPr>
          <w:p w14:paraId="044CA423" w14:textId="77777777" w:rsidR="005E7930" w:rsidRPr="005E7930" w:rsidRDefault="005E7930" w:rsidP="005E7930">
            <w:pPr>
              <w:pStyle w:val="TableCells"/>
              <w:jc w:val="left"/>
              <w:rPr>
                <w:sz w:val="18"/>
                <w:szCs w:val="18"/>
              </w:rPr>
            </w:pPr>
            <w:r w:rsidRPr="005E7930">
              <w:rPr>
                <w:sz w:val="18"/>
                <w:szCs w:val="18"/>
              </w:rPr>
              <w:t>Institute of Physics and Power Engineering</w:t>
            </w:r>
          </w:p>
        </w:tc>
        <w:tc>
          <w:tcPr>
            <w:tcW w:w="1173" w:type="dxa"/>
            <w:vAlign w:val="center"/>
          </w:tcPr>
          <w:p w14:paraId="0B4188D1" w14:textId="77777777" w:rsidR="005E7930" w:rsidRPr="005E7930" w:rsidRDefault="005E7930" w:rsidP="005E7930">
            <w:pPr>
              <w:pStyle w:val="TableCells"/>
              <w:rPr>
                <w:sz w:val="18"/>
                <w:szCs w:val="18"/>
              </w:rPr>
            </w:pPr>
            <w:r w:rsidRPr="005E7930">
              <w:rPr>
                <w:sz w:val="18"/>
                <w:szCs w:val="18"/>
              </w:rPr>
              <w:t>IPPE</w:t>
            </w:r>
          </w:p>
        </w:tc>
        <w:tc>
          <w:tcPr>
            <w:tcW w:w="1086" w:type="dxa"/>
            <w:vAlign w:val="center"/>
          </w:tcPr>
          <w:p w14:paraId="6C2A72F2" w14:textId="77777777" w:rsidR="005E7930" w:rsidRPr="005E7930" w:rsidRDefault="005E7930" w:rsidP="005E7930">
            <w:pPr>
              <w:pStyle w:val="TableCells"/>
              <w:rPr>
                <w:sz w:val="18"/>
                <w:szCs w:val="18"/>
              </w:rPr>
            </w:pPr>
            <w:r w:rsidRPr="005E7930">
              <w:rPr>
                <w:sz w:val="18"/>
                <w:szCs w:val="18"/>
              </w:rPr>
              <w:t>Russia</w:t>
            </w:r>
          </w:p>
        </w:tc>
        <w:tc>
          <w:tcPr>
            <w:tcW w:w="1613" w:type="dxa"/>
            <w:vAlign w:val="center"/>
          </w:tcPr>
          <w:p w14:paraId="33889085" w14:textId="7AA89945" w:rsidR="005E7930" w:rsidRPr="005E7930" w:rsidRDefault="005E7930" w:rsidP="005E7930">
            <w:pPr>
              <w:pStyle w:val="TableCells"/>
              <w:rPr>
                <w:sz w:val="18"/>
                <w:szCs w:val="18"/>
              </w:rPr>
            </w:pPr>
            <w:r w:rsidRPr="005E7930">
              <w:rPr>
                <w:sz w:val="18"/>
                <w:szCs w:val="18"/>
              </w:rPr>
              <w:t>Yes</w:t>
            </w:r>
          </w:p>
        </w:tc>
        <w:tc>
          <w:tcPr>
            <w:tcW w:w="1710" w:type="dxa"/>
            <w:vAlign w:val="center"/>
          </w:tcPr>
          <w:p w14:paraId="20DAC490" w14:textId="310CEDFE" w:rsidR="005E7930" w:rsidRPr="005E7930" w:rsidRDefault="005E7930" w:rsidP="005E7930">
            <w:pPr>
              <w:pStyle w:val="TableCells"/>
              <w:rPr>
                <w:sz w:val="18"/>
                <w:szCs w:val="18"/>
              </w:rPr>
            </w:pPr>
            <w:r w:rsidRPr="005E7930">
              <w:rPr>
                <w:sz w:val="18"/>
                <w:szCs w:val="18"/>
              </w:rPr>
              <w:t>Yes</w:t>
            </w:r>
          </w:p>
        </w:tc>
      </w:tr>
      <w:tr w:rsidR="005E7930" w:rsidRPr="00EA47DF" w14:paraId="3635EC2A" w14:textId="03B3848F" w:rsidTr="005E7930">
        <w:trPr>
          <w:jc w:val="center"/>
        </w:trPr>
        <w:tc>
          <w:tcPr>
            <w:tcW w:w="3058" w:type="dxa"/>
            <w:vAlign w:val="center"/>
          </w:tcPr>
          <w:p w14:paraId="0C6E059F" w14:textId="77777777" w:rsidR="005E7930" w:rsidRPr="005E7930" w:rsidRDefault="005E7930" w:rsidP="005E7930">
            <w:pPr>
              <w:pStyle w:val="TableCells"/>
              <w:jc w:val="left"/>
              <w:rPr>
                <w:sz w:val="18"/>
                <w:szCs w:val="18"/>
              </w:rPr>
            </w:pPr>
            <w:r w:rsidRPr="005E7930">
              <w:rPr>
                <w:sz w:val="18"/>
                <w:szCs w:val="18"/>
              </w:rPr>
              <w:t xml:space="preserve">Centro de </w:t>
            </w:r>
            <w:proofErr w:type="spellStart"/>
            <w:r w:rsidRPr="005E7930">
              <w:rPr>
                <w:sz w:val="18"/>
                <w:szCs w:val="18"/>
              </w:rPr>
              <w:t>Investigaciones</w:t>
            </w:r>
            <w:proofErr w:type="spellEnd"/>
            <w:r w:rsidRPr="005E7930">
              <w:rPr>
                <w:sz w:val="18"/>
                <w:szCs w:val="18"/>
              </w:rPr>
              <w:t xml:space="preserve"> </w:t>
            </w:r>
            <w:proofErr w:type="spellStart"/>
            <w:r w:rsidRPr="005E7930">
              <w:rPr>
                <w:sz w:val="18"/>
                <w:szCs w:val="18"/>
              </w:rPr>
              <w:t>Energeticas</w:t>
            </w:r>
            <w:proofErr w:type="spellEnd"/>
            <w:r w:rsidRPr="005E7930">
              <w:rPr>
                <w:sz w:val="18"/>
                <w:szCs w:val="18"/>
              </w:rPr>
              <w:t xml:space="preserve">, </w:t>
            </w:r>
            <w:proofErr w:type="spellStart"/>
            <w:r w:rsidRPr="005E7930">
              <w:rPr>
                <w:sz w:val="18"/>
                <w:szCs w:val="18"/>
              </w:rPr>
              <w:t>Medioambientales</w:t>
            </w:r>
            <w:proofErr w:type="spellEnd"/>
            <w:r w:rsidRPr="005E7930">
              <w:rPr>
                <w:sz w:val="18"/>
                <w:szCs w:val="18"/>
              </w:rPr>
              <w:t xml:space="preserve"> y </w:t>
            </w:r>
            <w:proofErr w:type="spellStart"/>
            <w:r w:rsidRPr="005E7930">
              <w:rPr>
                <w:sz w:val="18"/>
                <w:szCs w:val="18"/>
              </w:rPr>
              <w:t>Tecnologicas</w:t>
            </w:r>
            <w:proofErr w:type="spellEnd"/>
          </w:p>
        </w:tc>
        <w:tc>
          <w:tcPr>
            <w:tcW w:w="1173" w:type="dxa"/>
            <w:vAlign w:val="center"/>
          </w:tcPr>
          <w:p w14:paraId="73DA5217" w14:textId="77777777" w:rsidR="005E7930" w:rsidRPr="005E7930" w:rsidRDefault="005E7930" w:rsidP="005E7930">
            <w:pPr>
              <w:pStyle w:val="TableCells"/>
              <w:rPr>
                <w:sz w:val="18"/>
                <w:szCs w:val="18"/>
              </w:rPr>
            </w:pPr>
            <w:r w:rsidRPr="005E7930">
              <w:rPr>
                <w:sz w:val="18"/>
                <w:szCs w:val="18"/>
              </w:rPr>
              <w:t>CIEMAT</w:t>
            </w:r>
          </w:p>
        </w:tc>
        <w:tc>
          <w:tcPr>
            <w:tcW w:w="1086" w:type="dxa"/>
            <w:vAlign w:val="center"/>
          </w:tcPr>
          <w:p w14:paraId="198C3870" w14:textId="77777777" w:rsidR="005E7930" w:rsidRPr="005E7930" w:rsidRDefault="005E7930" w:rsidP="005E7930">
            <w:pPr>
              <w:pStyle w:val="TableCells"/>
              <w:rPr>
                <w:sz w:val="18"/>
                <w:szCs w:val="18"/>
              </w:rPr>
            </w:pPr>
            <w:r w:rsidRPr="005E7930">
              <w:rPr>
                <w:sz w:val="18"/>
                <w:szCs w:val="18"/>
              </w:rPr>
              <w:t>Spain</w:t>
            </w:r>
          </w:p>
        </w:tc>
        <w:tc>
          <w:tcPr>
            <w:tcW w:w="1613" w:type="dxa"/>
            <w:vAlign w:val="center"/>
          </w:tcPr>
          <w:p w14:paraId="335DF2BC" w14:textId="581301EA" w:rsidR="005E7930" w:rsidRPr="005E7930" w:rsidRDefault="005E7930" w:rsidP="005E7930">
            <w:pPr>
              <w:pStyle w:val="TableCells"/>
              <w:rPr>
                <w:sz w:val="18"/>
                <w:szCs w:val="18"/>
              </w:rPr>
            </w:pPr>
            <w:r w:rsidRPr="005E7930">
              <w:rPr>
                <w:sz w:val="18"/>
                <w:szCs w:val="18"/>
              </w:rPr>
              <w:t>-</w:t>
            </w:r>
          </w:p>
        </w:tc>
        <w:tc>
          <w:tcPr>
            <w:tcW w:w="1710" w:type="dxa"/>
            <w:vAlign w:val="center"/>
          </w:tcPr>
          <w:p w14:paraId="18F116ED" w14:textId="6C3D4346" w:rsidR="005E7930" w:rsidRPr="005E7930" w:rsidRDefault="005E7930" w:rsidP="005E7930">
            <w:pPr>
              <w:pStyle w:val="TableCells"/>
              <w:rPr>
                <w:sz w:val="18"/>
                <w:szCs w:val="18"/>
              </w:rPr>
            </w:pPr>
            <w:r w:rsidRPr="005E7930">
              <w:rPr>
                <w:sz w:val="18"/>
                <w:szCs w:val="18"/>
              </w:rPr>
              <w:t>-</w:t>
            </w:r>
          </w:p>
        </w:tc>
      </w:tr>
      <w:tr w:rsidR="005E7930" w:rsidRPr="00EA47DF" w14:paraId="47431F84" w14:textId="740945AE" w:rsidTr="005E7930">
        <w:trPr>
          <w:jc w:val="center"/>
        </w:trPr>
        <w:tc>
          <w:tcPr>
            <w:tcW w:w="3058" w:type="dxa"/>
            <w:vAlign w:val="center"/>
          </w:tcPr>
          <w:p w14:paraId="4DB1E73E" w14:textId="77777777" w:rsidR="005E7930" w:rsidRPr="005E7930" w:rsidRDefault="005E7930" w:rsidP="005E7930">
            <w:pPr>
              <w:pStyle w:val="TableCells"/>
              <w:jc w:val="left"/>
              <w:rPr>
                <w:sz w:val="18"/>
                <w:szCs w:val="18"/>
              </w:rPr>
            </w:pPr>
            <w:r w:rsidRPr="005E7930">
              <w:rPr>
                <w:sz w:val="18"/>
                <w:szCs w:val="18"/>
              </w:rPr>
              <w:t>KTH Royal Institute of Technology</w:t>
            </w:r>
          </w:p>
        </w:tc>
        <w:tc>
          <w:tcPr>
            <w:tcW w:w="1173" w:type="dxa"/>
            <w:vAlign w:val="center"/>
          </w:tcPr>
          <w:p w14:paraId="3D010326" w14:textId="77777777" w:rsidR="005E7930" w:rsidRPr="005E7930" w:rsidRDefault="005E7930" w:rsidP="005E7930">
            <w:pPr>
              <w:pStyle w:val="TableCells"/>
              <w:rPr>
                <w:sz w:val="18"/>
                <w:szCs w:val="18"/>
              </w:rPr>
            </w:pPr>
            <w:r w:rsidRPr="005E7930">
              <w:rPr>
                <w:sz w:val="18"/>
                <w:szCs w:val="18"/>
              </w:rPr>
              <w:t>KTH</w:t>
            </w:r>
          </w:p>
        </w:tc>
        <w:tc>
          <w:tcPr>
            <w:tcW w:w="1086" w:type="dxa"/>
            <w:vAlign w:val="center"/>
          </w:tcPr>
          <w:p w14:paraId="6AE2A989" w14:textId="77777777" w:rsidR="005E7930" w:rsidRPr="005E7930" w:rsidRDefault="005E7930" w:rsidP="005E7930">
            <w:pPr>
              <w:pStyle w:val="TableCells"/>
              <w:rPr>
                <w:sz w:val="18"/>
                <w:szCs w:val="18"/>
              </w:rPr>
            </w:pPr>
            <w:r w:rsidRPr="005E7930">
              <w:rPr>
                <w:sz w:val="18"/>
                <w:szCs w:val="18"/>
              </w:rPr>
              <w:t>Sweden</w:t>
            </w:r>
          </w:p>
        </w:tc>
        <w:tc>
          <w:tcPr>
            <w:tcW w:w="1613" w:type="dxa"/>
            <w:vAlign w:val="center"/>
          </w:tcPr>
          <w:p w14:paraId="148ED9B8" w14:textId="054AC966" w:rsidR="005E7930" w:rsidRPr="005E7930" w:rsidRDefault="005E7930" w:rsidP="005E7930">
            <w:pPr>
              <w:pStyle w:val="TableCells"/>
              <w:rPr>
                <w:sz w:val="18"/>
                <w:szCs w:val="18"/>
              </w:rPr>
            </w:pPr>
            <w:r w:rsidRPr="005E7930">
              <w:rPr>
                <w:sz w:val="18"/>
                <w:szCs w:val="18"/>
              </w:rPr>
              <w:t>-</w:t>
            </w:r>
          </w:p>
        </w:tc>
        <w:tc>
          <w:tcPr>
            <w:tcW w:w="1710" w:type="dxa"/>
            <w:vAlign w:val="center"/>
          </w:tcPr>
          <w:p w14:paraId="22C31E45" w14:textId="211CF000" w:rsidR="005E7930" w:rsidRPr="005E7930" w:rsidRDefault="005E7930" w:rsidP="005E7930">
            <w:pPr>
              <w:pStyle w:val="TableCells"/>
              <w:rPr>
                <w:sz w:val="18"/>
                <w:szCs w:val="18"/>
              </w:rPr>
            </w:pPr>
            <w:r w:rsidRPr="005E7930">
              <w:rPr>
                <w:sz w:val="18"/>
                <w:szCs w:val="18"/>
              </w:rPr>
              <w:t>Yes</w:t>
            </w:r>
          </w:p>
        </w:tc>
      </w:tr>
      <w:tr w:rsidR="005E7930" w:rsidRPr="00EA47DF" w14:paraId="46F06471" w14:textId="326D12DC" w:rsidTr="005E7930">
        <w:trPr>
          <w:jc w:val="center"/>
        </w:trPr>
        <w:tc>
          <w:tcPr>
            <w:tcW w:w="3058" w:type="dxa"/>
            <w:vAlign w:val="center"/>
          </w:tcPr>
          <w:p w14:paraId="751CE337" w14:textId="77777777" w:rsidR="005E7930" w:rsidRPr="005E7930" w:rsidRDefault="005E7930" w:rsidP="005E7930">
            <w:pPr>
              <w:pStyle w:val="TableCells"/>
              <w:jc w:val="left"/>
              <w:rPr>
                <w:sz w:val="18"/>
                <w:szCs w:val="18"/>
              </w:rPr>
            </w:pPr>
            <w:r w:rsidRPr="005E7930">
              <w:rPr>
                <w:sz w:val="18"/>
                <w:szCs w:val="18"/>
              </w:rPr>
              <w:t xml:space="preserve">Ecole Polytechnique </w:t>
            </w:r>
            <w:proofErr w:type="spellStart"/>
            <w:r w:rsidRPr="005E7930">
              <w:rPr>
                <w:sz w:val="18"/>
                <w:szCs w:val="18"/>
              </w:rPr>
              <w:t>Federale</w:t>
            </w:r>
            <w:proofErr w:type="spellEnd"/>
            <w:r w:rsidRPr="005E7930">
              <w:rPr>
                <w:sz w:val="18"/>
                <w:szCs w:val="18"/>
              </w:rPr>
              <w:t xml:space="preserve"> de Lausanne</w:t>
            </w:r>
          </w:p>
        </w:tc>
        <w:tc>
          <w:tcPr>
            <w:tcW w:w="1173" w:type="dxa"/>
            <w:vAlign w:val="center"/>
          </w:tcPr>
          <w:p w14:paraId="7045B422" w14:textId="77777777" w:rsidR="005E7930" w:rsidRPr="005E7930" w:rsidRDefault="005E7930" w:rsidP="005E7930">
            <w:pPr>
              <w:pStyle w:val="TableCells"/>
              <w:rPr>
                <w:sz w:val="18"/>
                <w:szCs w:val="18"/>
              </w:rPr>
            </w:pPr>
            <w:r w:rsidRPr="005E7930">
              <w:rPr>
                <w:sz w:val="18"/>
                <w:szCs w:val="18"/>
              </w:rPr>
              <w:t>EPFL</w:t>
            </w:r>
          </w:p>
        </w:tc>
        <w:tc>
          <w:tcPr>
            <w:tcW w:w="1086" w:type="dxa"/>
            <w:vAlign w:val="center"/>
          </w:tcPr>
          <w:p w14:paraId="3D1C5FA2" w14:textId="77777777" w:rsidR="005E7930" w:rsidRPr="005E7930" w:rsidRDefault="005E7930" w:rsidP="005E7930">
            <w:pPr>
              <w:pStyle w:val="TableCells"/>
              <w:rPr>
                <w:sz w:val="18"/>
                <w:szCs w:val="18"/>
              </w:rPr>
            </w:pPr>
            <w:r w:rsidRPr="005E7930">
              <w:rPr>
                <w:sz w:val="18"/>
                <w:szCs w:val="18"/>
              </w:rPr>
              <w:t>Switzerland</w:t>
            </w:r>
          </w:p>
        </w:tc>
        <w:tc>
          <w:tcPr>
            <w:tcW w:w="1613" w:type="dxa"/>
            <w:vAlign w:val="center"/>
          </w:tcPr>
          <w:p w14:paraId="048D9742" w14:textId="6E2FEE56" w:rsidR="005E7930" w:rsidRPr="005E7930" w:rsidRDefault="005E7930" w:rsidP="005E7930">
            <w:pPr>
              <w:pStyle w:val="TableCells"/>
              <w:rPr>
                <w:sz w:val="18"/>
                <w:szCs w:val="18"/>
              </w:rPr>
            </w:pPr>
            <w:r w:rsidRPr="005E7930">
              <w:rPr>
                <w:sz w:val="18"/>
                <w:szCs w:val="18"/>
              </w:rPr>
              <w:t>Yes</w:t>
            </w:r>
          </w:p>
        </w:tc>
        <w:tc>
          <w:tcPr>
            <w:tcW w:w="1710" w:type="dxa"/>
            <w:vAlign w:val="center"/>
          </w:tcPr>
          <w:p w14:paraId="1D795AF0" w14:textId="3FD75E3E" w:rsidR="005E7930" w:rsidRPr="005E7930" w:rsidRDefault="005E7930" w:rsidP="005E7930">
            <w:pPr>
              <w:pStyle w:val="TableCells"/>
              <w:rPr>
                <w:sz w:val="18"/>
                <w:szCs w:val="18"/>
              </w:rPr>
            </w:pPr>
            <w:r w:rsidRPr="005E7930">
              <w:rPr>
                <w:sz w:val="18"/>
                <w:szCs w:val="18"/>
              </w:rPr>
              <w:t>-</w:t>
            </w:r>
          </w:p>
        </w:tc>
      </w:tr>
      <w:tr w:rsidR="005E7930" w:rsidRPr="00EA47DF" w14:paraId="7A283AE3" w14:textId="53A27AEF" w:rsidTr="005E7930">
        <w:trPr>
          <w:jc w:val="center"/>
        </w:trPr>
        <w:tc>
          <w:tcPr>
            <w:tcW w:w="3058" w:type="dxa"/>
            <w:vAlign w:val="center"/>
          </w:tcPr>
          <w:p w14:paraId="0F4A1600" w14:textId="77777777" w:rsidR="005E7930" w:rsidRPr="005E7930" w:rsidRDefault="005E7930" w:rsidP="005E7930">
            <w:pPr>
              <w:pStyle w:val="TableCells"/>
              <w:jc w:val="left"/>
              <w:rPr>
                <w:sz w:val="18"/>
                <w:szCs w:val="18"/>
              </w:rPr>
            </w:pPr>
            <w:r w:rsidRPr="005E7930">
              <w:rPr>
                <w:sz w:val="18"/>
                <w:szCs w:val="18"/>
              </w:rPr>
              <w:t>Paul Scherrer Institute</w:t>
            </w:r>
          </w:p>
        </w:tc>
        <w:tc>
          <w:tcPr>
            <w:tcW w:w="1173" w:type="dxa"/>
            <w:vAlign w:val="center"/>
          </w:tcPr>
          <w:p w14:paraId="283AB466" w14:textId="77777777" w:rsidR="005E7930" w:rsidRPr="005E7930" w:rsidRDefault="005E7930" w:rsidP="005E7930">
            <w:pPr>
              <w:pStyle w:val="TableCells"/>
              <w:rPr>
                <w:sz w:val="18"/>
                <w:szCs w:val="18"/>
              </w:rPr>
            </w:pPr>
            <w:r w:rsidRPr="005E7930">
              <w:rPr>
                <w:sz w:val="18"/>
                <w:szCs w:val="18"/>
              </w:rPr>
              <w:t>PSI</w:t>
            </w:r>
          </w:p>
        </w:tc>
        <w:tc>
          <w:tcPr>
            <w:tcW w:w="1086" w:type="dxa"/>
            <w:vAlign w:val="center"/>
          </w:tcPr>
          <w:p w14:paraId="6F2781F2" w14:textId="77777777" w:rsidR="005E7930" w:rsidRPr="005E7930" w:rsidRDefault="005E7930" w:rsidP="005E7930">
            <w:pPr>
              <w:pStyle w:val="TableCells"/>
              <w:rPr>
                <w:sz w:val="18"/>
                <w:szCs w:val="18"/>
              </w:rPr>
            </w:pPr>
            <w:r w:rsidRPr="005E7930">
              <w:rPr>
                <w:sz w:val="18"/>
                <w:szCs w:val="18"/>
              </w:rPr>
              <w:t>Switzerland</w:t>
            </w:r>
          </w:p>
        </w:tc>
        <w:tc>
          <w:tcPr>
            <w:tcW w:w="1613" w:type="dxa"/>
            <w:vAlign w:val="center"/>
          </w:tcPr>
          <w:p w14:paraId="59B11966" w14:textId="444733E2" w:rsidR="005E7930" w:rsidRPr="005E7930" w:rsidRDefault="005E7930" w:rsidP="005E7930">
            <w:pPr>
              <w:pStyle w:val="TableCells"/>
              <w:rPr>
                <w:sz w:val="18"/>
                <w:szCs w:val="18"/>
              </w:rPr>
            </w:pPr>
            <w:r w:rsidRPr="005E7930">
              <w:rPr>
                <w:sz w:val="18"/>
                <w:szCs w:val="18"/>
              </w:rPr>
              <w:t>Yes</w:t>
            </w:r>
          </w:p>
        </w:tc>
        <w:tc>
          <w:tcPr>
            <w:tcW w:w="1710" w:type="dxa"/>
            <w:vAlign w:val="center"/>
          </w:tcPr>
          <w:p w14:paraId="1B53032F" w14:textId="7A9E4A40" w:rsidR="005E7930" w:rsidRPr="005E7930" w:rsidRDefault="005E7930" w:rsidP="005E7930">
            <w:pPr>
              <w:pStyle w:val="TableCells"/>
              <w:rPr>
                <w:sz w:val="18"/>
                <w:szCs w:val="18"/>
              </w:rPr>
            </w:pPr>
            <w:r w:rsidRPr="005E7930">
              <w:rPr>
                <w:sz w:val="18"/>
                <w:szCs w:val="18"/>
              </w:rPr>
              <w:t>Yes</w:t>
            </w:r>
          </w:p>
        </w:tc>
      </w:tr>
      <w:tr w:rsidR="005E7930" w:rsidRPr="00EA47DF" w14:paraId="65235EB6" w14:textId="5AADEC2D" w:rsidTr="005E7930">
        <w:trPr>
          <w:jc w:val="center"/>
        </w:trPr>
        <w:tc>
          <w:tcPr>
            <w:tcW w:w="3058" w:type="dxa"/>
            <w:vAlign w:val="center"/>
          </w:tcPr>
          <w:p w14:paraId="746818B0" w14:textId="77777777" w:rsidR="005E7930" w:rsidRPr="005E7930" w:rsidRDefault="005E7930" w:rsidP="005E7930">
            <w:pPr>
              <w:pStyle w:val="TableCells"/>
              <w:jc w:val="left"/>
              <w:rPr>
                <w:sz w:val="18"/>
                <w:szCs w:val="18"/>
              </w:rPr>
            </w:pPr>
            <w:r w:rsidRPr="005E7930">
              <w:rPr>
                <w:sz w:val="18"/>
                <w:szCs w:val="18"/>
              </w:rPr>
              <w:t>Argonne National Laboratory</w:t>
            </w:r>
          </w:p>
        </w:tc>
        <w:tc>
          <w:tcPr>
            <w:tcW w:w="1173" w:type="dxa"/>
            <w:vAlign w:val="center"/>
          </w:tcPr>
          <w:p w14:paraId="58880C73" w14:textId="77777777" w:rsidR="005E7930" w:rsidRPr="005E7930" w:rsidRDefault="005E7930" w:rsidP="005E7930">
            <w:pPr>
              <w:pStyle w:val="TableCells"/>
              <w:rPr>
                <w:sz w:val="18"/>
                <w:szCs w:val="18"/>
              </w:rPr>
            </w:pPr>
            <w:r w:rsidRPr="005E7930">
              <w:rPr>
                <w:sz w:val="18"/>
                <w:szCs w:val="18"/>
              </w:rPr>
              <w:t>ANL</w:t>
            </w:r>
          </w:p>
        </w:tc>
        <w:tc>
          <w:tcPr>
            <w:tcW w:w="1086" w:type="dxa"/>
            <w:vAlign w:val="center"/>
          </w:tcPr>
          <w:p w14:paraId="765282FF" w14:textId="77777777" w:rsidR="005E7930" w:rsidRPr="005E7930" w:rsidRDefault="005E7930" w:rsidP="005E7930">
            <w:pPr>
              <w:pStyle w:val="TableCells"/>
              <w:rPr>
                <w:sz w:val="18"/>
                <w:szCs w:val="18"/>
              </w:rPr>
            </w:pPr>
            <w:r w:rsidRPr="005E7930">
              <w:rPr>
                <w:sz w:val="18"/>
                <w:szCs w:val="18"/>
              </w:rPr>
              <w:t>US</w:t>
            </w:r>
          </w:p>
        </w:tc>
        <w:tc>
          <w:tcPr>
            <w:tcW w:w="1613" w:type="dxa"/>
            <w:vAlign w:val="center"/>
          </w:tcPr>
          <w:p w14:paraId="56786E11" w14:textId="259381B2" w:rsidR="005E7930" w:rsidRPr="005E7930" w:rsidRDefault="005E7930" w:rsidP="005E7930">
            <w:pPr>
              <w:pStyle w:val="TableCells"/>
              <w:rPr>
                <w:sz w:val="18"/>
                <w:szCs w:val="18"/>
              </w:rPr>
            </w:pPr>
            <w:r w:rsidRPr="005E7930">
              <w:rPr>
                <w:sz w:val="18"/>
                <w:szCs w:val="18"/>
              </w:rPr>
              <w:t>Yes</w:t>
            </w:r>
          </w:p>
        </w:tc>
        <w:tc>
          <w:tcPr>
            <w:tcW w:w="1710" w:type="dxa"/>
            <w:vAlign w:val="center"/>
          </w:tcPr>
          <w:p w14:paraId="5D4A6CD6" w14:textId="26E35AAA" w:rsidR="005E7930" w:rsidRPr="005E7930" w:rsidRDefault="005E7930" w:rsidP="005E7930">
            <w:pPr>
              <w:pStyle w:val="TableCells"/>
              <w:rPr>
                <w:sz w:val="18"/>
                <w:szCs w:val="18"/>
              </w:rPr>
            </w:pPr>
            <w:r w:rsidRPr="005E7930">
              <w:rPr>
                <w:sz w:val="18"/>
                <w:szCs w:val="18"/>
              </w:rPr>
              <w:t>Yes</w:t>
            </w:r>
          </w:p>
        </w:tc>
      </w:tr>
      <w:tr w:rsidR="005E7930" w:rsidRPr="00EA47DF" w14:paraId="33C47D6A" w14:textId="0B3E3C91" w:rsidTr="005E7930">
        <w:trPr>
          <w:jc w:val="center"/>
        </w:trPr>
        <w:tc>
          <w:tcPr>
            <w:tcW w:w="3058" w:type="dxa"/>
            <w:vAlign w:val="center"/>
          </w:tcPr>
          <w:p w14:paraId="18F55279" w14:textId="77777777" w:rsidR="005E7930" w:rsidRPr="005E7930" w:rsidRDefault="005E7930" w:rsidP="005E7930">
            <w:pPr>
              <w:pStyle w:val="TableCells"/>
              <w:jc w:val="left"/>
              <w:rPr>
                <w:sz w:val="18"/>
                <w:szCs w:val="18"/>
              </w:rPr>
            </w:pPr>
            <w:r w:rsidRPr="005E7930">
              <w:rPr>
                <w:sz w:val="18"/>
                <w:szCs w:val="18"/>
              </w:rPr>
              <w:t>Nuclear Regulatory Commission</w:t>
            </w:r>
          </w:p>
        </w:tc>
        <w:tc>
          <w:tcPr>
            <w:tcW w:w="1173" w:type="dxa"/>
            <w:vAlign w:val="center"/>
          </w:tcPr>
          <w:p w14:paraId="1669A415" w14:textId="77777777" w:rsidR="005E7930" w:rsidRPr="005E7930" w:rsidRDefault="005E7930" w:rsidP="005E7930">
            <w:pPr>
              <w:pStyle w:val="TableCells"/>
              <w:rPr>
                <w:sz w:val="18"/>
                <w:szCs w:val="18"/>
              </w:rPr>
            </w:pPr>
            <w:r w:rsidRPr="005E7930">
              <w:rPr>
                <w:sz w:val="18"/>
                <w:szCs w:val="18"/>
              </w:rPr>
              <w:t>NRC</w:t>
            </w:r>
          </w:p>
        </w:tc>
        <w:tc>
          <w:tcPr>
            <w:tcW w:w="1086" w:type="dxa"/>
            <w:vAlign w:val="center"/>
          </w:tcPr>
          <w:p w14:paraId="6DC86EFA" w14:textId="77777777" w:rsidR="005E7930" w:rsidRPr="005E7930" w:rsidRDefault="005E7930" w:rsidP="005E7930">
            <w:pPr>
              <w:pStyle w:val="TableCells"/>
              <w:rPr>
                <w:sz w:val="18"/>
                <w:szCs w:val="18"/>
              </w:rPr>
            </w:pPr>
            <w:r w:rsidRPr="005E7930">
              <w:rPr>
                <w:sz w:val="18"/>
                <w:szCs w:val="18"/>
              </w:rPr>
              <w:t>US</w:t>
            </w:r>
          </w:p>
        </w:tc>
        <w:tc>
          <w:tcPr>
            <w:tcW w:w="1613" w:type="dxa"/>
            <w:vAlign w:val="center"/>
          </w:tcPr>
          <w:p w14:paraId="3D56533F" w14:textId="7B19ECCB" w:rsidR="005E7930" w:rsidRPr="005E7930" w:rsidRDefault="005E7930" w:rsidP="005E7930">
            <w:pPr>
              <w:pStyle w:val="TableCells"/>
              <w:rPr>
                <w:sz w:val="18"/>
                <w:szCs w:val="18"/>
              </w:rPr>
            </w:pPr>
            <w:r w:rsidRPr="005E7930">
              <w:rPr>
                <w:sz w:val="18"/>
                <w:szCs w:val="18"/>
              </w:rPr>
              <w:t>-</w:t>
            </w:r>
          </w:p>
        </w:tc>
        <w:tc>
          <w:tcPr>
            <w:tcW w:w="1710" w:type="dxa"/>
            <w:vAlign w:val="center"/>
          </w:tcPr>
          <w:p w14:paraId="6DA62C96" w14:textId="2C9E1B10" w:rsidR="005E7930" w:rsidRPr="005E7930" w:rsidRDefault="005E7930" w:rsidP="005E7930">
            <w:pPr>
              <w:pStyle w:val="TableCells"/>
              <w:rPr>
                <w:sz w:val="18"/>
                <w:szCs w:val="18"/>
              </w:rPr>
            </w:pPr>
            <w:r w:rsidRPr="005E7930">
              <w:rPr>
                <w:sz w:val="18"/>
                <w:szCs w:val="18"/>
              </w:rPr>
              <w:t>-</w:t>
            </w:r>
          </w:p>
        </w:tc>
      </w:tr>
      <w:tr w:rsidR="005E7930" w:rsidRPr="00EA47DF" w14:paraId="7D2569D2" w14:textId="450E0188" w:rsidTr="005E7930">
        <w:trPr>
          <w:jc w:val="center"/>
        </w:trPr>
        <w:tc>
          <w:tcPr>
            <w:tcW w:w="3058" w:type="dxa"/>
            <w:vAlign w:val="center"/>
          </w:tcPr>
          <w:p w14:paraId="24B05BA8" w14:textId="77777777" w:rsidR="005E7930" w:rsidRPr="005E7930" w:rsidRDefault="005E7930" w:rsidP="005E7930">
            <w:pPr>
              <w:pStyle w:val="TableCells"/>
              <w:jc w:val="left"/>
              <w:rPr>
                <w:sz w:val="18"/>
                <w:szCs w:val="18"/>
              </w:rPr>
            </w:pPr>
            <w:r w:rsidRPr="005E7930">
              <w:rPr>
                <w:sz w:val="18"/>
                <w:szCs w:val="18"/>
              </w:rPr>
              <w:t>Texas A&amp;M University</w:t>
            </w:r>
          </w:p>
        </w:tc>
        <w:tc>
          <w:tcPr>
            <w:tcW w:w="1173" w:type="dxa"/>
            <w:vAlign w:val="center"/>
          </w:tcPr>
          <w:p w14:paraId="1CB90769" w14:textId="77777777" w:rsidR="005E7930" w:rsidRPr="005E7930" w:rsidRDefault="005E7930" w:rsidP="005E7930">
            <w:pPr>
              <w:pStyle w:val="TableCells"/>
              <w:rPr>
                <w:sz w:val="18"/>
                <w:szCs w:val="18"/>
              </w:rPr>
            </w:pPr>
            <w:r w:rsidRPr="005E7930">
              <w:rPr>
                <w:sz w:val="18"/>
                <w:szCs w:val="18"/>
              </w:rPr>
              <w:t>TAMU</w:t>
            </w:r>
          </w:p>
        </w:tc>
        <w:tc>
          <w:tcPr>
            <w:tcW w:w="1086" w:type="dxa"/>
            <w:vAlign w:val="center"/>
          </w:tcPr>
          <w:p w14:paraId="015E16A6" w14:textId="77777777" w:rsidR="005E7930" w:rsidRPr="005E7930" w:rsidRDefault="005E7930" w:rsidP="005E7930">
            <w:pPr>
              <w:pStyle w:val="TableCells"/>
              <w:rPr>
                <w:sz w:val="18"/>
                <w:szCs w:val="18"/>
              </w:rPr>
            </w:pPr>
            <w:r w:rsidRPr="005E7930">
              <w:rPr>
                <w:sz w:val="18"/>
                <w:szCs w:val="18"/>
              </w:rPr>
              <w:t>US</w:t>
            </w:r>
          </w:p>
        </w:tc>
        <w:tc>
          <w:tcPr>
            <w:tcW w:w="1613" w:type="dxa"/>
            <w:vAlign w:val="center"/>
          </w:tcPr>
          <w:p w14:paraId="11978712" w14:textId="4CC3625C" w:rsidR="005E7930" w:rsidRPr="005E7930" w:rsidRDefault="005E7930" w:rsidP="005E7930">
            <w:pPr>
              <w:pStyle w:val="TableCells"/>
              <w:rPr>
                <w:sz w:val="18"/>
                <w:szCs w:val="18"/>
              </w:rPr>
            </w:pPr>
            <w:r w:rsidRPr="005E7930">
              <w:rPr>
                <w:sz w:val="18"/>
                <w:szCs w:val="18"/>
              </w:rPr>
              <w:t>Yes</w:t>
            </w:r>
          </w:p>
        </w:tc>
        <w:tc>
          <w:tcPr>
            <w:tcW w:w="1710" w:type="dxa"/>
            <w:vAlign w:val="center"/>
          </w:tcPr>
          <w:p w14:paraId="455D9DA4" w14:textId="7EA14DD1" w:rsidR="005E7930" w:rsidRPr="005E7930" w:rsidRDefault="005E7930" w:rsidP="005E7930">
            <w:pPr>
              <w:pStyle w:val="TableCells"/>
              <w:rPr>
                <w:sz w:val="18"/>
                <w:szCs w:val="18"/>
              </w:rPr>
            </w:pPr>
            <w:r w:rsidRPr="005E7930">
              <w:rPr>
                <w:sz w:val="18"/>
                <w:szCs w:val="18"/>
              </w:rPr>
              <w:t>-</w:t>
            </w:r>
          </w:p>
        </w:tc>
      </w:tr>
      <w:tr w:rsidR="005E7930" w:rsidRPr="00EA47DF" w14:paraId="217AB9EF" w14:textId="33757140" w:rsidTr="005E7930">
        <w:trPr>
          <w:jc w:val="center"/>
        </w:trPr>
        <w:tc>
          <w:tcPr>
            <w:tcW w:w="3058" w:type="dxa"/>
            <w:vAlign w:val="center"/>
          </w:tcPr>
          <w:p w14:paraId="1F59900B" w14:textId="77777777" w:rsidR="005E7930" w:rsidRPr="005E7930" w:rsidRDefault="005E7930" w:rsidP="005E7930">
            <w:pPr>
              <w:pStyle w:val="TableCells"/>
              <w:jc w:val="left"/>
              <w:rPr>
                <w:sz w:val="18"/>
                <w:szCs w:val="18"/>
              </w:rPr>
            </w:pPr>
            <w:proofErr w:type="spellStart"/>
            <w:r w:rsidRPr="005E7930">
              <w:rPr>
                <w:sz w:val="18"/>
                <w:szCs w:val="18"/>
              </w:rPr>
              <w:t>TerraPower</w:t>
            </w:r>
            <w:proofErr w:type="spellEnd"/>
          </w:p>
        </w:tc>
        <w:tc>
          <w:tcPr>
            <w:tcW w:w="1173" w:type="dxa"/>
            <w:vAlign w:val="center"/>
          </w:tcPr>
          <w:p w14:paraId="49F7C3B2" w14:textId="77777777" w:rsidR="005E7930" w:rsidRPr="005E7930" w:rsidRDefault="005E7930" w:rsidP="005E7930">
            <w:pPr>
              <w:pStyle w:val="TableCells"/>
              <w:rPr>
                <w:sz w:val="18"/>
                <w:szCs w:val="18"/>
              </w:rPr>
            </w:pPr>
            <w:r w:rsidRPr="005E7930">
              <w:rPr>
                <w:sz w:val="18"/>
                <w:szCs w:val="18"/>
              </w:rPr>
              <w:t>TP</w:t>
            </w:r>
          </w:p>
        </w:tc>
        <w:tc>
          <w:tcPr>
            <w:tcW w:w="1086" w:type="dxa"/>
            <w:vAlign w:val="center"/>
          </w:tcPr>
          <w:p w14:paraId="411B6B5D" w14:textId="77777777" w:rsidR="005E7930" w:rsidRPr="005E7930" w:rsidRDefault="005E7930" w:rsidP="005E7930">
            <w:pPr>
              <w:pStyle w:val="TableCells"/>
              <w:rPr>
                <w:sz w:val="18"/>
                <w:szCs w:val="18"/>
              </w:rPr>
            </w:pPr>
            <w:r w:rsidRPr="005E7930">
              <w:rPr>
                <w:sz w:val="18"/>
                <w:szCs w:val="18"/>
              </w:rPr>
              <w:t>US</w:t>
            </w:r>
          </w:p>
        </w:tc>
        <w:tc>
          <w:tcPr>
            <w:tcW w:w="1613" w:type="dxa"/>
            <w:vAlign w:val="center"/>
          </w:tcPr>
          <w:p w14:paraId="53F2B79C" w14:textId="0D33486F" w:rsidR="005E7930" w:rsidRPr="005E7930" w:rsidRDefault="005E7930" w:rsidP="005E7930">
            <w:pPr>
              <w:pStyle w:val="TableCells"/>
              <w:rPr>
                <w:sz w:val="18"/>
                <w:szCs w:val="18"/>
              </w:rPr>
            </w:pPr>
            <w:r w:rsidRPr="005E7930">
              <w:rPr>
                <w:sz w:val="18"/>
                <w:szCs w:val="18"/>
              </w:rPr>
              <w:t>-</w:t>
            </w:r>
          </w:p>
        </w:tc>
        <w:tc>
          <w:tcPr>
            <w:tcW w:w="1710" w:type="dxa"/>
            <w:vAlign w:val="center"/>
          </w:tcPr>
          <w:p w14:paraId="3B866178" w14:textId="036E8765" w:rsidR="005E7930" w:rsidRPr="005E7930" w:rsidRDefault="005E7930" w:rsidP="005E7930">
            <w:pPr>
              <w:pStyle w:val="TableCells"/>
              <w:rPr>
                <w:sz w:val="18"/>
                <w:szCs w:val="18"/>
              </w:rPr>
            </w:pPr>
            <w:r w:rsidRPr="005E7930">
              <w:rPr>
                <w:sz w:val="18"/>
                <w:szCs w:val="18"/>
              </w:rPr>
              <w:t>-</w:t>
            </w:r>
          </w:p>
        </w:tc>
      </w:tr>
      <w:tr w:rsidR="005E7930" w:rsidRPr="00EA47DF" w14:paraId="4ADD9EC3" w14:textId="2D55FB6E" w:rsidTr="005E7930">
        <w:trPr>
          <w:jc w:val="center"/>
        </w:trPr>
        <w:tc>
          <w:tcPr>
            <w:tcW w:w="3058" w:type="dxa"/>
            <w:vAlign w:val="center"/>
          </w:tcPr>
          <w:p w14:paraId="7C3BCCA1" w14:textId="77777777" w:rsidR="005E7930" w:rsidRPr="005E7930" w:rsidRDefault="005E7930" w:rsidP="005E7930">
            <w:pPr>
              <w:pStyle w:val="TableCells"/>
              <w:jc w:val="left"/>
              <w:rPr>
                <w:sz w:val="18"/>
                <w:szCs w:val="18"/>
              </w:rPr>
            </w:pPr>
            <w:r w:rsidRPr="005E7930">
              <w:rPr>
                <w:sz w:val="18"/>
                <w:szCs w:val="18"/>
              </w:rPr>
              <w:t>Zachry Engineering</w:t>
            </w:r>
          </w:p>
        </w:tc>
        <w:tc>
          <w:tcPr>
            <w:tcW w:w="1173" w:type="dxa"/>
            <w:vAlign w:val="center"/>
          </w:tcPr>
          <w:p w14:paraId="1D262F48" w14:textId="77777777" w:rsidR="005E7930" w:rsidRPr="005E7930" w:rsidRDefault="005E7930" w:rsidP="005E7930">
            <w:pPr>
              <w:pStyle w:val="TableCells"/>
              <w:rPr>
                <w:sz w:val="18"/>
                <w:szCs w:val="18"/>
              </w:rPr>
            </w:pPr>
            <w:r w:rsidRPr="005E7930">
              <w:rPr>
                <w:sz w:val="18"/>
                <w:szCs w:val="18"/>
              </w:rPr>
              <w:t>Zachry</w:t>
            </w:r>
          </w:p>
        </w:tc>
        <w:tc>
          <w:tcPr>
            <w:tcW w:w="1086" w:type="dxa"/>
            <w:vAlign w:val="center"/>
          </w:tcPr>
          <w:p w14:paraId="5CF09B1F" w14:textId="77777777" w:rsidR="005E7930" w:rsidRPr="005E7930" w:rsidRDefault="005E7930" w:rsidP="005E7930">
            <w:pPr>
              <w:pStyle w:val="TableCells"/>
              <w:rPr>
                <w:sz w:val="18"/>
                <w:szCs w:val="18"/>
              </w:rPr>
            </w:pPr>
            <w:r w:rsidRPr="005E7930">
              <w:rPr>
                <w:sz w:val="18"/>
                <w:szCs w:val="18"/>
              </w:rPr>
              <w:t>US</w:t>
            </w:r>
          </w:p>
        </w:tc>
        <w:tc>
          <w:tcPr>
            <w:tcW w:w="1613" w:type="dxa"/>
            <w:vAlign w:val="center"/>
          </w:tcPr>
          <w:p w14:paraId="157BD66C" w14:textId="424CE297" w:rsidR="005E7930" w:rsidRPr="005E7930" w:rsidRDefault="005E7930" w:rsidP="005E7930">
            <w:pPr>
              <w:pStyle w:val="TableCells"/>
              <w:rPr>
                <w:sz w:val="18"/>
                <w:szCs w:val="18"/>
              </w:rPr>
            </w:pPr>
            <w:r w:rsidRPr="005E7930">
              <w:rPr>
                <w:sz w:val="18"/>
                <w:szCs w:val="18"/>
              </w:rPr>
              <w:t>Yes</w:t>
            </w:r>
          </w:p>
        </w:tc>
        <w:tc>
          <w:tcPr>
            <w:tcW w:w="1710" w:type="dxa"/>
            <w:vAlign w:val="center"/>
          </w:tcPr>
          <w:p w14:paraId="569B85B3" w14:textId="1A9D9DD7" w:rsidR="005E7930" w:rsidRPr="005E7930" w:rsidRDefault="005E7930" w:rsidP="005E7930">
            <w:pPr>
              <w:pStyle w:val="TableCells"/>
              <w:rPr>
                <w:sz w:val="18"/>
                <w:szCs w:val="18"/>
              </w:rPr>
            </w:pPr>
            <w:r w:rsidRPr="005E7930">
              <w:rPr>
                <w:sz w:val="18"/>
                <w:szCs w:val="18"/>
              </w:rPr>
              <w:t>-</w:t>
            </w:r>
          </w:p>
        </w:tc>
      </w:tr>
    </w:tbl>
    <w:p w14:paraId="7FF039D8" w14:textId="3DE801D7" w:rsidR="00860B76" w:rsidRDefault="00860B76" w:rsidP="00860B76">
      <w:pPr>
        <w:pStyle w:val="BodyText"/>
      </w:pPr>
    </w:p>
    <w:p w14:paraId="4EE8B627" w14:textId="4B7268D0" w:rsidR="00860B76" w:rsidRDefault="00860B76">
      <w:pPr>
        <w:overflowPunct/>
        <w:autoSpaceDE/>
        <w:autoSpaceDN/>
        <w:adjustRightInd/>
        <w:textAlignment w:val="auto"/>
        <w:rPr>
          <w:sz w:val="20"/>
        </w:rPr>
      </w:pPr>
      <w:r>
        <w:br w:type="page"/>
      </w:r>
    </w:p>
    <w:p w14:paraId="1652B942" w14:textId="0E33E906" w:rsidR="00860B76" w:rsidRDefault="007C0B69" w:rsidP="00860B76">
      <w:pPr>
        <w:pStyle w:val="BodyText"/>
      </w:pPr>
      <w:r>
        <w:lastRenderedPageBreak/>
        <w:t>Fig. 1</w:t>
      </w:r>
      <w:r w:rsidR="00860B76" w:rsidRPr="00A923E2">
        <w:t xml:space="preserve"> illustrates the total core power during LOFWOS Test #13 and the blind phase predictions for it. Total power is the sum of the measured fission </w:t>
      </w:r>
      <w:r w:rsidR="00860B76" w:rsidRPr="00A923E2">
        <w:t xml:space="preserve">power and the calculated decay heat. Agreement between the measured and predicted total power was reasonably good for most </w:t>
      </w:r>
      <w:r w:rsidR="00742763">
        <w:t>participants</w:t>
      </w:r>
      <w:r w:rsidR="00860B76" w:rsidRPr="00A923E2">
        <w:t xml:space="preserve">. Discrepancies during the first 200 seconds of the transient are likely due to the reactivity feedback responses predicted by each </w:t>
      </w:r>
      <w:r w:rsidR="00742763">
        <w:t>participant</w:t>
      </w:r>
      <w:r w:rsidR="00860B76" w:rsidRPr="00A923E2">
        <w:t xml:space="preserve">, with a nearly equal number of </w:t>
      </w:r>
      <w:r w:rsidR="00742763">
        <w:t>participant</w:t>
      </w:r>
      <w:r w:rsidR="00860B76" w:rsidRPr="00A923E2">
        <w:t xml:space="preserve">s predicting fission power to decrease slightly faster or slightly slower than was measured during the actual test. Two </w:t>
      </w:r>
      <w:r w:rsidR="00742763">
        <w:t>participant</w:t>
      </w:r>
      <w:r w:rsidR="00860B76" w:rsidRPr="00A923E2">
        <w:t>s predicted an insufficient amount of negative reactivity during the test to bring fission power down to or below decay heat levels by the end of the test.</w:t>
      </w:r>
    </w:p>
    <w:p w14:paraId="2BCAD668" w14:textId="77777777" w:rsidR="007C0B69" w:rsidRDefault="007C0B69" w:rsidP="007C0B69">
      <w:pPr>
        <w:pStyle w:val="BodyText"/>
        <w:rPr>
          <w:color w:val="000000" w:themeColor="text1"/>
        </w:rPr>
      </w:pPr>
      <w:r>
        <w:rPr>
          <w:color w:val="000000" w:themeColor="text1"/>
        </w:rPr>
        <w:t>Decay heat generation during LOFWOS Test #13 was calculated after the conclusion of the test based on the FFTF decay heat database, which incorporated the power history for the core assemblies, and the measured fission power. This data and the blind phase decay heat predictions are illustrated in Fig. 2</w:t>
      </w:r>
      <w:r>
        <w:rPr>
          <w:color w:val="000000" w:themeColor="text1"/>
        </w:rPr>
        <w:fldChar w:fldCharType="begin"/>
      </w:r>
      <w:r>
        <w:rPr>
          <w:color w:val="000000" w:themeColor="text1"/>
        </w:rPr>
        <w:instrText xml:space="preserve"> REF _Ref50105528 \h </w:instrText>
      </w:r>
      <w:r>
        <w:rPr>
          <w:color w:val="000000" w:themeColor="text1"/>
        </w:rPr>
      </w:r>
      <w:r>
        <w:rPr>
          <w:color w:val="000000" w:themeColor="text1"/>
        </w:rPr>
        <w:fldChar w:fldCharType="end"/>
      </w:r>
      <w:r>
        <w:rPr>
          <w:color w:val="000000" w:themeColor="text1"/>
        </w:rPr>
        <w:t xml:space="preserve">. </w:t>
      </w:r>
    </w:p>
    <w:p w14:paraId="1F902BD3" w14:textId="3E474635" w:rsidR="007C0B69" w:rsidRDefault="007C0B69" w:rsidP="007C0B69">
      <w:pPr>
        <w:pStyle w:val="BodyText"/>
        <w:rPr>
          <w:color w:val="000000" w:themeColor="text1"/>
        </w:rPr>
      </w:pPr>
      <w:r>
        <w:rPr>
          <w:color w:val="000000" w:themeColor="text1"/>
        </w:rPr>
        <w:t xml:space="preserve">Before the pumps tripped, all but one </w:t>
      </w:r>
      <w:r w:rsidR="00742763">
        <w:t>participant</w:t>
      </w:r>
      <w:r>
        <w:rPr>
          <w:color w:val="000000" w:themeColor="text1"/>
        </w:rPr>
        <w:t xml:space="preserve"> predicted a higher steady-state decay heat level than the measured data. During the transient, CRP participants predicted a </w:t>
      </w:r>
      <w:r w:rsidR="00036AF0">
        <w:rPr>
          <w:color w:val="000000" w:themeColor="text1"/>
        </w:rPr>
        <w:t xml:space="preserve">relatively </w:t>
      </w:r>
      <w:r>
        <w:rPr>
          <w:color w:val="000000" w:themeColor="text1"/>
        </w:rPr>
        <w:t xml:space="preserve">wider spread for decay heat than for fission power. </w:t>
      </w:r>
      <w:proofErr w:type="gramStart"/>
      <w:r>
        <w:rPr>
          <w:color w:val="000000" w:themeColor="text1"/>
        </w:rPr>
        <w:t>All of</w:t>
      </w:r>
      <w:proofErr w:type="gramEnd"/>
      <w:r>
        <w:rPr>
          <w:color w:val="000000" w:themeColor="text1"/>
        </w:rPr>
        <w:t xml:space="preserve"> </w:t>
      </w:r>
      <w:r w:rsidRPr="00EB5560">
        <w:rPr>
          <w:color w:val="000000" w:themeColor="text1"/>
        </w:rPr>
        <w:t xml:space="preserve">the </w:t>
      </w:r>
      <w:r w:rsidR="00742763">
        <w:t>participant</w:t>
      </w:r>
      <w:r w:rsidRPr="00EB5560">
        <w:rPr>
          <w:color w:val="000000" w:themeColor="text1"/>
        </w:rPr>
        <w:t xml:space="preserve">s predicted a similar decay heat trend during the test, with </w:t>
      </w:r>
      <w:r>
        <w:rPr>
          <w:color w:val="000000" w:themeColor="text1"/>
        </w:rPr>
        <w:t>predictions continuing to be larger than the calculated value</w:t>
      </w:r>
      <w:r w:rsidRPr="00EB5560">
        <w:rPr>
          <w:color w:val="000000" w:themeColor="text1"/>
        </w:rPr>
        <w:t xml:space="preserve"> throughout</w:t>
      </w:r>
      <w:r>
        <w:rPr>
          <w:color w:val="000000" w:themeColor="text1"/>
        </w:rPr>
        <w:t xml:space="preserve"> the test</w:t>
      </w:r>
      <w:r w:rsidRPr="00EB5560">
        <w:rPr>
          <w:color w:val="000000" w:themeColor="text1"/>
        </w:rPr>
        <w:t xml:space="preserve">. By the end of the test, all but one </w:t>
      </w:r>
      <w:r w:rsidR="00742763">
        <w:t>participant</w:t>
      </w:r>
      <w:r w:rsidRPr="00EB5560">
        <w:rPr>
          <w:color w:val="000000" w:themeColor="text1"/>
        </w:rPr>
        <w:t xml:space="preserve"> predicted decay heat within a range of approximately 75% to 150% of the calculated end-of-test value. For some of these </w:t>
      </w:r>
      <w:r w:rsidR="00742763">
        <w:t>participant</w:t>
      </w:r>
      <w:r w:rsidRPr="00EB5560">
        <w:rPr>
          <w:color w:val="000000" w:themeColor="text1"/>
        </w:rPr>
        <w:t>s, excess fission power predicted at the end of the test is the likely reason for overpredict</w:t>
      </w:r>
      <w:r>
        <w:rPr>
          <w:color w:val="000000" w:themeColor="text1"/>
        </w:rPr>
        <w:t>ing</w:t>
      </w:r>
      <w:r w:rsidRPr="00EB5560">
        <w:rPr>
          <w:color w:val="000000" w:themeColor="text1"/>
        </w:rPr>
        <w:t xml:space="preserve"> decay heat. </w:t>
      </w:r>
    </w:p>
    <w:p w14:paraId="78EE0189" w14:textId="0E53E33C" w:rsidR="007C0B69" w:rsidRDefault="007C0B69" w:rsidP="007C0B69">
      <w:pPr>
        <w:pStyle w:val="BodyText"/>
      </w:pPr>
      <w:r>
        <w:t xml:space="preserve">Fig. 3 illustrates calculated and predicted net reactivity during the transient. Net reactivity was only calculated for the first three hundred seconds of the transients. The two most important reactivity feedbacks during the actual LOFWOS Test #13 transient were the negative GEM feedback and the positive Doppler feedback. </w:t>
      </w:r>
    </w:p>
    <w:p w14:paraId="5DBDD456" w14:textId="4F5D47C7" w:rsidR="007C0B69" w:rsidRDefault="007C0B69" w:rsidP="007C0B69">
      <w:pPr>
        <w:pStyle w:val="BodyText"/>
      </w:pPr>
      <w:r>
        <w:t xml:space="preserve">The large net reactivity decrease at the beginning of the test is primarily due to the negative reactivity from the GEMs. Discrepancies in the total worth of the GEM feedback predicted by the participants are responsible for much of the discrepancies with the calculated net reactivity. Most </w:t>
      </w:r>
      <w:r w:rsidR="00742763">
        <w:t>participant</w:t>
      </w:r>
      <w:r>
        <w:t xml:space="preserve">s predicted a total GEM feedback of between negative $1 to negative $1.5, with one outlier predicting negative $2.4 for the GEM feedback. </w:t>
      </w:r>
    </w:p>
    <w:p w14:paraId="5687D2EA" w14:textId="4897860B" w:rsidR="007C0B69" w:rsidRDefault="007C0B69" w:rsidP="007C0B69">
      <w:pPr>
        <w:pStyle w:val="BodyText"/>
      </w:pPr>
      <w:r>
        <w:t xml:space="preserve">As fission power decreased and the fuel cooled down, a large positive Doppler reactivity feedback was generated. For most </w:t>
      </w:r>
      <w:r w:rsidR="00742763">
        <w:t>participant</w:t>
      </w:r>
      <w:r>
        <w:t>s, Doppler was the largest source of positive reactivity in their simulation. There was a very wide spread of Doppler predictions, ranging from nearly zero up t</w:t>
      </w:r>
      <w:r>
        <w:t xml:space="preserve">o positive $1.2, with just over half of the participants’ Doppler predictions in the vicinity of one dollar. </w:t>
      </w:r>
    </w:p>
    <w:p w14:paraId="742C8174" w14:textId="6A6F2A5C" w:rsidR="00243939" w:rsidRDefault="00243939" w:rsidP="007C0B69">
      <w:pPr>
        <w:pStyle w:val="BodyText"/>
      </w:pPr>
    </w:p>
    <w:p w14:paraId="66984F73" w14:textId="77777777" w:rsidR="00243939" w:rsidRDefault="00243939" w:rsidP="00243939">
      <w:pPr>
        <w:pStyle w:val="FigureTyler"/>
      </w:pPr>
      <w:r>
        <w:drawing>
          <wp:inline distT="0" distB="0" distL="0" distR="0" wp14:anchorId="62042E6C" wp14:editId="5575E30A">
            <wp:extent cx="5759450" cy="337694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2">
                      <a:extLst>
                        <a:ext uri="{28A0092B-C50C-407E-A947-70E740481C1C}">
                          <a14:useLocalDpi xmlns:a14="http://schemas.microsoft.com/office/drawing/2010/main" val="0"/>
                        </a:ext>
                      </a:extLst>
                    </a:blip>
                    <a:srcRect t="11351" b="3963"/>
                    <a:stretch/>
                  </pic:blipFill>
                  <pic:spPr bwMode="auto">
                    <a:xfrm>
                      <a:off x="0" y="0"/>
                      <a:ext cx="5760720" cy="3377687"/>
                    </a:xfrm>
                    <a:prstGeom prst="rect">
                      <a:avLst/>
                    </a:prstGeom>
                    <a:ln>
                      <a:noFill/>
                    </a:ln>
                    <a:extLst>
                      <a:ext uri="{53640926-AAD7-44D8-BBD7-CCE9431645EC}">
                        <a14:shadowObscured xmlns:a14="http://schemas.microsoft.com/office/drawing/2010/main"/>
                      </a:ext>
                    </a:extLst>
                  </pic:spPr>
                </pic:pic>
              </a:graphicData>
            </a:graphic>
          </wp:inline>
        </w:drawing>
      </w:r>
    </w:p>
    <w:p w14:paraId="7C2CE96E" w14:textId="77777777" w:rsidR="00243939" w:rsidRDefault="00243939" w:rsidP="00243939">
      <w:pPr>
        <w:pStyle w:val="FIG-LONG"/>
      </w:pPr>
      <w:r w:rsidRPr="00FA5F27">
        <w:rPr>
          <w:caps/>
          <w:lang w:eastAsia="es-ES"/>
        </w:rPr>
        <w:t>Fig</w:t>
      </w:r>
      <w:r w:rsidRPr="00FA5F27">
        <w:rPr>
          <w:lang w:eastAsia="es-ES"/>
        </w:rPr>
        <w:t>.</w:t>
      </w:r>
      <w:r>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w:t>
      </w:r>
      <w:r w:rsidRPr="00DE3183">
        <w:tab/>
      </w:r>
      <w:r>
        <w:t>Blind Phase Results - Total Power.</w:t>
      </w:r>
    </w:p>
    <w:p w14:paraId="3439E31E" w14:textId="77777777" w:rsidR="007C0B69" w:rsidRPr="007C0B69" w:rsidRDefault="007C0B69" w:rsidP="007C0B69"/>
    <w:p w14:paraId="6D1C0BB9" w14:textId="77777777" w:rsidR="007B4CAA" w:rsidRDefault="007B4CAA" w:rsidP="007B4CAA">
      <w:pPr>
        <w:pStyle w:val="FigureTyler"/>
      </w:pPr>
      <w:r>
        <w:lastRenderedPageBreak/>
        <w:drawing>
          <wp:inline distT="0" distB="0" distL="0" distR="0" wp14:anchorId="174AF3DC" wp14:editId="317A0FFF">
            <wp:extent cx="5759795" cy="342221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a:extLst>
                        <a:ext uri="{28A0092B-C50C-407E-A947-70E740481C1C}">
                          <a14:useLocalDpi xmlns:a14="http://schemas.microsoft.com/office/drawing/2010/main" val="0"/>
                        </a:ext>
                      </a:extLst>
                    </a:blip>
                    <a:srcRect t="10668" b="3514"/>
                    <a:stretch/>
                  </pic:blipFill>
                  <pic:spPr bwMode="auto">
                    <a:xfrm>
                      <a:off x="0" y="0"/>
                      <a:ext cx="5760720" cy="3422759"/>
                    </a:xfrm>
                    <a:prstGeom prst="rect">
                      <a:avLst/>
                    </a:prstGeom>
                    <a:ln>
                      <a:noFill/>
                    </a:ln>
                    <a:extLst>
                      <a:ext uri="{53640926-AAD7-44D8-BBD7-CCE9431645EC}">
                        <a14:shadowObscured xmlns:a14="http://schemas.microsoft.com/office/drawing/2010/main"/>
                      </a:ext>
                    </a:extLst>
                  </pic:spPr>
                </pic:pic>
              </a:graphicData>
            </a:graphic>
          </wp:inline>
        </w:drawing>
      </w:r>
    </w:p>
    <w:p w14:paraId="5D161A1F" w14:textId="38D7B2E4" w:rsidR="007B4CAA" w:rsidRPr="00DE3183" w:rsidRDefault="007B4CAA" w:rsidP="007B4CAA">
      <w:pPr>
        <w:pStyle w:val="FIG-LONG"/>
      </w:pPr>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2</w:t>
      </w:r>
      <w:r w:rsidRPr="00FA5F27">
        <w:rPr>
          <w:b/>
          <w:lang w:eastAsia="es-ES"/>
        </w:rPr>
        <w:fldChar w:fldCharType="end"/>
      </w:r>
      <w:r w:rsidRPr="00FA5F27">
        <w:rPr>
          <w:lang w:eastAsia="es-ES"/>
        </w:rPr>
        <w:t>.</w:t>
      </w:r>
      <w:r w:rsidRPr="00DE3183">
        <w:tab/>
      </w:r>
      <w:r>
        <w:t>Blind Phase Results – Decay Heat.</w:t>
      </w:r>
    </w:p>
    <w:p w14:paraId="26A15263" w14:textId="77777777" w:rsidR="007B4CAA" w:rsidRPr="00A923E2" w:rsidRDefault="007B4CAA" w:rsidP="00860B76">
      <w:pPr>
        <w:pStyle w:val="BodyText"/>
      </w:pPr>
    </w:p>
    <w:p w14:paraId="39337658" w14:textId="1AB5717D" w:rsidR="007B4CAA" w:rsidRPr="00223996" w:rsidRDefault="00275D60" w:rsidP="007B4CAA">
      <w:pPr>
        <w:pStyle w:val="BodyText"/>
        <w:rPr>
          <w:color w:val="000000" w:themeColor="text1"/>
        </w:rPr>
      </w:pPr>
      <w:r>
        <w:rPr>
          <w:color w:val="000000" w:themeColor="text1"/>
        </w:rPr>
        <w:t>As the CRP progresses, d</w:t>
      </w:r>
      <w:r w:rsidR="007B4CAA">
        <w:rPr>
          <w:color w:val="000000" w:themeColor="text1"/>
        </w:rPr>
        <w:t>iscussions on t</w:t>
      </w:r>
      <w:r w:rsidR="007B4CAA" w:rsidRPr="007D3CBC">
        <w:rPr>
          <w:color w:val="000000" w:themeColor="text1"/>
        </w:rPr>
        <w:t xml:space="preserve">he Doppler reactivity feedback </w:t>
      </w:r>
      <w:r w:rsidR="007B4CAA">
        <w:rPr>
          <w:color w:val="000000" w:themeColor="text1"/>
        </w:rPr>
        <w:t xml:space="preserve">are </w:t>
      </w:r>
      <w:r>
        <w:rPr>
          <w:color w:val="000000" w:themeColor="text1"/>
        </w:rPr>
        <w:t>anticipated</w:t>
      </w:r>
      <w:r w:rsidR="007B4CAA">
        <w:rPr>
          <w:color w:val="000000" w:themeColor="text1"/>
        </w:rPr>
        <w:t xml:space="preserve"> to </w:t>
      </w:r>
      <w:r w:rsidR="00243939">
        <w:rPr>
          <w:color w:val="000000" w:themeColor="text1"/>
        </w:rPr>
        <w:t>focus</w:t>
      </w:r>
      <w:r w:rsidR="007B4CAA" w:rsidRPr="007D3CBC">
        <w:rPr>
          <w:color w:val="000000" w:themeColor="text1"/>
        </w:rPr>
        <w:t xml:space="preserve"> on </w:t>
      </w:r>
      <w:r w:rsidR="007B4CAA">
        <w:rPr>
          <w:color w:val="000000" w:themeColor="text1"/>
        </w:rPr>
        <w:t xml:space="preserve">fuel-cladding </w:t>
      </w:r>
      <w:r w:rsidR="007B4CAA" w:rsidRPr="007D3CBC">
        <w:rPr>
          <w:color w:val="000000" w:themeColor="text1"/>
        </w:rPr>
        <w:t xml:space="preserve">gap conductance modeling, which is one of the most significant factors in </w:t>
      </w:r>
      <w:r w:rsidR="007B4CAA">
        <w:rPr>
          <w:color w:val="000000" w:themeColor="text1"/>
        </w:rPr>
        <w:t>the oxide fuel temperatures</w:t>
      </w:r>
      <w:r w:rsidR="007B4CAA" w:rsidRPr="007D3CBC">
        <w:rPr>
          <w:color w:val="000000" w:themeColor="text1"/>
        </w:rPr>
        <w:t xml:space="preserve"> before and during the transient. </w:t>
      </w:r>
      <w:r w:rsidR="00243939">
        <w:rPr>
          <w:color w:val="000000" w:themeColor="text1"/>
        </w:rPr>
        <w:t>Fig. 4</w:t>
      </w:r>
      <w:r w:rsidR="007B4CAA" w:rsidRPr="007D3CBC">
        <w:rPr>
          <w:color w:val="000000" w:themeColor="text1"/>
        </w:rPr>
        <w:t xml:space="preserve"> illustrates that there is a wide range of peak fuel temperatures predicted at </w:t>
      </w:r>
      <w:proofErr w:type="gramStart"/>
      <w:r w:rsidR="007B4CAA" w:rsidRPr="007D3CBC">
        <w:rPr>
          <w:color w:val="000000" w:themeColor="text1"/>
        </w:rPr>
        <w:t>steady-state</w:t>
      </w:r>
      <w:proofErr w:type="gramEnd"/>
      <w:r w:rsidR="007B4CAA" w:rsidRPr="007D3CBC">
        <w:rPr>
          <w:color w:val="000000" w:themeColor="text1"/>
        </w:rPr>
        <w:t xml:space="preserve">. After 200s when core power had reduced to decay heat levels, most </w:t>
      </w:r>
      <w:r w:rsidR="00742763">
        <w:t>participant</w:t>
      </w:r>
      <w:r w:rsidR="007B4CAA" w:rsidRPr="007D3CBC">
        <w:rPr>
          <w:color w:val="000000" w:themeColor="text1"/>
        </w:rPr>
        <w:t xml:space="preserve">s peak fuel temperature </w:t>
      </w:r>
      <w:r w:rsidR="007B4CAA" w:rsidRPr="00223996">
        <w:rPr>
          <w:color w:val="000000" w:themeColor="text1"/>
        </w:rPr>
        <w:t>predictions were within a range of approximately 150°C. With a wider spread at the beginning of the transient, the varying changes in fuel temperatures predicted by the various participants helps explain the spread in the Doppler feedback prediction as well as the axial expansion feedback prediction.</w:t>
      </w:r>
    </w:p>
    <w:p w14:paraId="064FE231" w14:textId="1093DDD8" w:rsidR="007B4CAA" w:rsidRDefault="007B4CAA" w:rsidP="007B4CAA">
      <w:pPr>
        <w:pStyle w:val="BodyText"/>
        <w:rPr>
          <w:color w:val="000000" w:themeColor="text1"/>
        </w:rPr>
      </w:pPr>
      <w:r w:rsidRPr="00223996">
        <w:rPr>
          <w:color w:val="000000" w:themeColor="text1"/>
        </w:rPr>
        <w:t xml:space="preserve">The negative feedbacks from control rod driveline and radial core expansion </w:t>
      </w:r>
      <w:r w:rsidR="00243939">
        <w:rPr>
          <w:color w:val="000000" w:themeColor="text1"/>
        </w:rPr>
        <w:t>will</w:t>
      </w:r>
      <w:r>
        <w:rPr>
          <w:color w:val="000000" w:themeColor="text1"/>
        </w:rPr>
        <w:t xml:space="preserve"> also </w:t>
      </w:r>
      <w:r w:rsidR="00243939">
        <w:rPr>
          <w:color w:val="000000" w:themeColor="text1"/>
        </w:rPr>
        <w:t xml:space="preserve">likely be </w:t>
      </w:r>
      <w:r>
        <w:rPr>
          <w:color w:val="000000" w:themeColor="text1"/>
        </w:rPr>
        <w:t>important discussion topics during the open phase</w:t>
      </w:r>
      <w:r w:rsidRPr="00223996">
        <w:rPr>
          <w:color w:val="000000" w:themeColor="text1"/>
        </w:rPr>
        <w:t xml:space="preserve">. Radial core expansion </w:t>
      </w:r>
      <w:proofErr w:type="gramStart"/>
      <w:r w:rsidRPr="00223996">
        <w:rPr>
          <w:color w:val="000000" w:themeColor="text1"/>
        </w:rPr>
        <w:t xml:space="preserve">in particular </w:t>
      </w:r>
      <w:r w:rsidR="00036AF0">
        <w:rPr>
          <w:color w:val="000000" w:themeColor="text1"/>
        </w:rPr>
        <w:t>is</w:t>
      </w:r>
      <w:proofErr w:type="gramEnd"/>
      <w:r w:rsidR="00036AF0">
        <w:rPr>
          <w:color w:val="000000" w:themeColor="text1"/>
        </w:rPr>
        <w:t xml:space="preserve"> one of the key modeling challenges for the CRP in that it can be a difficult to capture reactivity feedback effect and the codes used by </w:t>
      </w:r>
      <w:r>
        <w:rPr>
          <w:color w:val="000000" w:themeColor="text1"/>
        </w:rPr>
        <w:t xml:space="preserve">some </w:t>
      </w:r>
      <w:r w:rsidR="00036AF0">
        <w:rPr>
          <w:color w:val="000000" w:themeColor="text1"/>
        </w:rPr>
        <w:t xml:space="preserve">participants cannot represent the transient performance of FFTF’s </w:t>
      </w:r>
      <w:r w:rsidRPr="00223996">
        <w:rPr>
          <w:color w:val="000000" w:themeColor="text1"/>
        </w:rPr>
        <w:t xml:space="preserve">limited free bow core restraint </w:t>
      </w:r>
      <w:r w:rsidR="00036AF0">
        <w:rPr>
          <w:color w:val="000000" w:themeColor="text1"/>
        </w:rPr>
        <w:t>system.</w:t>
      </w:r>
    </w:p>
    <w:p w14:paraId="34E4E6FC" w14:textId="36659B71" w:rsidR="00243939" w:rsidRDefault="00243939" w:rsidP="00243939">
      <w:pPr>
        <w:pStyle w:val="BodyText"/>
        <w:rPr>
          <w:color w:val="000000" w:themeColor="text1"/>
        </w:rPr>
      </w:pPr>
      <w:r>
        <w:rPr>
          <w:color w:val="000000" w:themeColor="text1"/>
        </w:rPr>
        <w:t>During</w:t>
      </w:r>
      <w:r w:rsidRPr="00223996">
        <w:rPr>
          <w:color w:val="000000" w:themeColor="text1"/>
        </w:rPr>
        <w:t xml:space="preserve"> the 1</w:t>
      </w:r>
      <w:r w:rsidRPr="00223996">
        <w:rPr>
          <w:color w:val="000000" w:themeColor="text1"/>
          <w:vertAlign w:val="superscript"/>
        </w:rPr>
        <w:t>st</w:t>
      </w:r>
      <w:r w:rsidRPr="00223996">
        <w:rPr>
          <w:color w:val="000000" w:themeColor="text1"/>
        </w:rPr>
        <w:t xml:space="preserve"> </w:t>
      </w:r>
      <w:r w:rsidR="00816780" w:rsidRPr="00223996">
        <w:rPr>
          <w:color w:val="000000" w:themeColor="text1"/>
        </w:rPr>
        <w:t>R</w:t>
      </w:r>
      <w:r w:rsidR="00816780">
        <w:rPr>
          <w:color w:val="000000" w:themeColor="text1"/>
        </w:rPr>
        <w:t xml:space="preserve">esearch </w:t>
      </w:r>
      <w:r w:rsidRPr="00223996">
        <w:rPr>
          <w:color w:val="000000" w:themeColor="text1"/>
        </w:rPr>
        <w:t>C</w:t>
      </w:r>
      <w:r w:rsidR="00816780">
        <w:rPr>
          <w:color w:val="000000" w:themeColor="text1"/>
        </w:rPr>
        <w:t xml:space="preserve">oordination </w:t>
      </w:r>
      <w:r w:rsidRPr="00223996">
        <w:rPr>
          <w:color w:val="000000" w:themeColor="text1"/>
        </w:rPr>
        <w:t>M</w:t>
      </w:r>
      <w:r w:rsidR="00816780">
        <w:rPr>
          <w:color w:val="000000" w:themeColor="text1"/>
        </w:rPr>
        <w:t>eeting</w:t>
      </w:r>
      <w:r>
        <w:rPr>
          <w:color w:val="000000" w:themeColor="text1"/>
        </w:rPr>
        <w:t xml:space="preserve"> </w:t>
      </w:r>
      <w:r w:rsidR="00742763">
        <w:rPr>
          <w:color w:val="000000" w:themeColor="text1"/>
        </w:rPr>
        <w:t xml:space="preserve">(RCM) </w:t>
      </w:r>
      <w:r>
        <w:rPr>
          <w:color w:val="000000" w:themeColor="text1"/>
        </w:rPr>
        <w:t xml:space="preserve">when the benchmark was first presented to the CRP participants, some </w:t>
      </w:r>
      <w:r w:rsidR="00742763">
        <w:t>participant</w:t>
      </w:r>
      <w:r>
        <w:rPr>
          <w:color w:val="000000" w:themeColor="text1"/>
        </w:rPr>
        <w:t xml:space="preserve">s </w:t>
      </w:r>
      <w:r w:rsidRPr="00223996">
        <w:rPr>
          <w:color w:val="000000" w:themeColor="text1"/>
        </w:rPr>
        <w:t>expressed concern</w:t>
      </w:r>
      <w:r>
        <w:rPr>
          <w:color w:val="000000" w:themeColor="text1"/>
        </w:rPr>
        <w:t xml:space="preserve"> for</w:t>
      </w:r>
      <w:r w:rsidRPr="00223996">
        <w:rPr>
          <w:color w:val="000000" w:themeColor="text1"/>
        </w:rPr>
        <w:t xml:space="preserve"> </w:t>
      </w:r>
      <w:r>
        <w:rPr>
          <w:color w:val="000000" w:themeColor="text1"/>
        </w:rPr>
        <w:t xml:space="preserve">being able to </w:t>
      </w:r>
      <w:r w:rsidRPr="00223996">
        <w:rPr>
          <w:color w:val="000000" w:themeColor="text1"/>
        </w:rPr>
        <w:t>accurately model the FFTF pump based on the models available in their simulation codes.</w:t>
      </w:r>
      <w:r>
        <w:rPr>
          <w:color w:val="000000" w:themeColor="text1"/>
        </w:rPr>
        <w:t xml:space="preserve"> This is important for accurately predicting the transition to natural circulation.</w:t>
      </w:r>
      <w:r w:rsidRPr="00223996">
        <w:rPr>
          <w:color w:val="000000" w:themeColor="text1"/>
        </w:rPr>
        <w:t xml:space="preserve"> </w:t>
      </w:r>
      <w:r>
        <w:rPr>
          <w:color w:val="000000" w:themeColor="text1"/>
        </w:rPr>
        <w:t>Fig. 5</w:t>
      </w:r>
      <w:r w:rsidRPr="00223996">
        <w:rPr>
          <w:color w:val="000000" w:themeColor="text1"/>
        </w:rPr>
        <w:t xml:space="preserve"> </w:t>
      </w:r>
      <w:r>
        <w:rPr>
          <w:color w:val="000000" w:themeColor="text1"/>
        </w:rPr>
        <w:t xml:space="preserve">illustrates the measured and predicted primary loop #1 mass flow rates during the transition to natural circulation. Almost </w:t>
      </w:r>
      <w:proofErr w:type="gramStart"/>
      <w:r>
        <w:rPr>
          <w:color w:val="000000" w:themeColor="text1"/>
        </w:rPr>
        <w:t>all of</w:t>
      </w:r>
      <w:proofErr w:type="gramEnd"/>
      <w:r>
        <w:rPr>
          <w:color w:val="000000" w:themeColor="text1"/>
        </w:rPr>
        <w:t xml:space="preserve"> the participants predicted a flow coastdown and transition to natural circulation that agrees very well with the measured test data. The agreement between the </w:t>
      </w:r>
      <w:r w:rsidR="00742763">
        <w:t>participant</w:t>
      </w:r>
      <w:r>
        <w:rPr>
          <w:color w:val="000000" w:themeColor="text1"/>
        </w:rPr>
        <w:t xml:space="preserve">s is consistent enough that the line for the measured test data is nearly obscured during the coastdown. Similar agreement was observed for primary loops #2 and #3. There is still some minor variation in the predictions immediately after the pumps trip. More than half of the </w:t>
      </w:r>
      <w:r w:rsidR="00742763">
        <w:t>participant</w:t>
      </w:r>
      <w:r>
        <w:rPr>
          <w:color w:val="000000" w:themeColor="text1"/>
        </w:rPr>
        <w:t>s predicted a slightly higher flow rate in the long-term in the three loops, but the low flow rates are where the measurements are most uncertain. Overall,</w:t>
      </w:r>
      <w:r>
        <w:rPr>
          <w:color w:val="000000" w:themeColor="text1"/>
        </w:rPr>
        <w:t xml:space="preserve"> the collective blind phase flow rate predictions </w:t>
      </w:r>
      <w:proofErr w:type="gramStart"/>
      <w:r>
        <w:rPr>
          <w:color w:val="000000" w:themeColor="text1"/>
        </w:rPr>
        <w:t>are considered to be</w:t>
      </w:r>
      <w:proofErr w:type="gramEnd"/>
      <w:r>
        <w:rPr>
          <w:color w:val="000000" w:themeColor="text1"/>
        </w:rPr>
        <w:t xml:space="preserve"> one of the biggest successes from the initial set of submissions. </w:t>
      </w:r>
    </w:p>
    <w:p w14:paraId="3C022432" w14:textId="77777777" w:rsidR="007B4CAA" w:rsidRDefault="007B4CAA" w:rsidP="00860B76">
      <w:pPr>
        <w:pStyle w:val="BodyText"/>
      </w:pPr>
    </w:p>
    <w:p w14:paraId="2F748D3D" w14:textId="77777777" w:rsidR="007B4CAA" w:rsidRDefault="007B4CAA" w:rsidP="007B4CAA">
      <w:pPr>
        <w:pStyle w:val="FigureTyler"/>
      </w:pPr>
      <w:r>
        <w:lastRenderedPageBreak/>
        <w:drawing>
          <wp:inline distT="0" distB="0" distL="0" distR="0" wp14:anchorId="3579C245" wp14:editId="1B1EA823">
            <wp:extent cx="5760057" cy="34222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a:extLst>
                        <a:ext uri="{28A0092B-C50C-407E-A947-70E740481C1C}">
                          <a14:useLocalDpi xmlns:a14="http://schemas.microsoft.com/office/drawing/2010/main" val="0"/>
                        </a:ext>
                      </a:extLst>
                    </a:blip>
                    <a:srcRect t="10896" b="3291"/>
                    <a:stretch/>
                  </pic:blipFill>
                  <pic:spPr bwMode="auto">
                    <a:xfrm>
                      <a:off x="0" y="0"/>
                      <a:ext cx="5760720" cy="3422604"/>
                    </a:xfrm>
                    <a:prstGeom prst="rect">
                      <a:avLst/>
                    </a:prstGeom>
                    <a:ln>
                      <a:noFill/>
                    </a:ln>
                    <a:extLst>
                      <a:ext uri="{53640926-AAD7-44D8-BBD7-CCE9431645EC}">
                        <a14:shadowObscured xmlns:a14="http://schemas.microsoft.com/office/drawing/2010/main"/>
                      </a:ext>
                    </a:extLst>
                  </pic:spPr>
                </pic:pic>
              </a:graphicData>
            </a:graphic>
          </wp:inline>
        </w:drawing>
      </w:r>
    </w:p>
    <w:p w14:paraId="5190D85D" w14:textId="36F3D37E" w:rsidR="007B4CAA" w:rsidRDefault="007B4CAA" w:rsidP="007B4CAA">
      <w:pPr>
        <w:pStyle w:val="FIG-LONG"/>
      </w:pPr>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3</w:t>
      </w:r>
      <w:r w:rsidRPr="00FA5F27">
        <w:rPr>
          <w:b/>
          <w:lang w:eastAsia="es-ES"/>
        </w:rPr>
        <w:fldChar w:fldCharType="end"/>
      </w:r>
      <w:r w:rsidRPr="00FA5F27">
        <w:rPr>
          <w:lang w:eastAsia="es-ES"/>
        </w:rPr>
        <w:t>.</w:t>
      </w:r>
      <w:r w:rsidRPr="00DE3183">
        <w:tab/>
      </w:r>
      <w:r>
        <w:t>Blind Phase Results – Net Reactivity.</w:t>
      </w:r>
    </w:p>
    <w:p w14:paraId="4305666F" w14:textId="77777777" w:rsidR="00243939" w:rsidRPr="00243939" w:rsidRDefault="00243939" w:rsidP="00243939"/>
    <w:p w14:paraId="4B0590D7" w14:textId="77777777" w:rsidR="007B4CAA" w:rsidRDefault="007B4CAA" w:rsidP="007B4CAA">
      <w:pPr>
        <w:pStyle w:val="FigureTyler"/>
      </w:pPr>
      <w:r>
        <w:drawing>
          <wp:inline distT="0" distB="0" distL="0" distR="0" wp14:anchorId="1EB8A798" wp14:editId="2D024697">
            <wp:extent cx="5760295" cy="344031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5">
                      <a:extLst>
                        <a:ext uri="{28A0092B-C50C-407E-A947-70E740481C1C}">
                          <a14:useLocalDpi xmlns:a14="http://schemas.microsoft.com/office/drawing/2010/main" val="0"/>
                        </a:ext>
                      </a:extLst>
                    </a:blip>
                    <a:srcRect t="10214" b="3522"/>
                    <a:stretch/>
                  </pic:blipFill>
                  <pic:spPr bwMode="auto">
                    <a:xfrm>
                      <a:off x="0" y="0"/>
                      <a:ext cx="5760720" cy="3440571"/>
                    </a:xfrm>
                    <a:prstGeom prst="rect">
                      <a:avLst/>
                    </a:prstGeom>
                    <a:ln>
                      <a:noFill/>
                    </a:ln>
                    <a:extLst>
                      <a:ext uri="{53640926-AAD7-44D8-BBD7-CCE9431645EC}">
                        <a14:shadowObscured xmlns:a14="http://schemas.microsoft.com/office/drawing/2010/main"/>
                      </a:ext>
                    </a:extLst>
                  </pic:spPr>
                </pic:pic>
              </a:graphicData>
            </a:graphic>
          </wp:inline>
        </w:drawing>
      </w:r>
    </w:p>
    <w:p w14:paraId="14A01F17" w14:textId="582D8404" w:rsidR="007B4CAA" w:rsidRPr="00DE3183" w:rsidRDefault="007B4CAA" w:rsidP="007B4CAA">
      <w:pPr>
        <w:pStyle w:val="FIG-LONG"/>
      </w:pPr>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4</w:t>
      </w:r>
      <w:r w:rsidRPr="00FA5F27">
        <w:rPr>
          <w:b/>
          <w:lang w:eastAsia="es-ES"/>
        </w:rPr>
        <w:fldChar w:fldCharType="end"/>
      </w:r>
      <w:r w:rsidRPr="00FA5F27">
        <w:rPr>
          <w:lang w:eastAsia="es-ES"/>
        </w:rPr>
        <w:t>.</w:t>
      </w:r>
      <w:r w:rsidRPr="00DE3183">
        <w:tab/>
      </w:r>
      <w:r>
        <w:t>Blind Phase Results – Peak Fuel Temperature.</w:t>
      </w:r>
    </w:p>
    <w:p w14:paraId="1BCAB81A" w14:textId="77777777" w:rsidR="007B4CAA" w:rsidRPr="00223996" w:rsidRDefault="007B4CAA" w:rsidP="00860B76">
      <w:pPr>
        <w:pStyle w:val="BodyText"/>
        <w:rPr>
          <w:color w:val="000000" w:themeColor="text1"/>
        </w:rPr>
      </w:pPr>
    </w:p>
    <w:p w14:paraId="1B3BB95C" w14:textId="77777777" w:rsidR="007B4CAA" w:rsidRDefault="007B4CAA" w:rsidP="007B4CAA">
      <w:pPr>
        <w:pStyle w:val="FigureTyler"/>
      </w:pPr>
      <w:r>
        <w:lastRenderedPageBreak/>
        <w:drawing>
          <wp:inline distT="0" distB="0" distL="0" distR="0" wp14:anchorId="63F187BD" wp14:editId="43F15C37">
            <wp:extent cx="5760033" cy="344031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6">
                      <a:extLst>
                        <a:ext uri="{28A0092B-C50C-407E-A947-70E740481C1C}">
                          <a14:useLocalDpi xmlns:a14="http://schemas.microsoft.com/office/drawing/2010/main" val="0"/>
                        </a:ext>
                      </a:extLst>
                    </a:blip>
                    <a:srcRect t="9987" b="3745"/>
                    <a:stretch/>
                  </pic:blipFill>
                  <pic:spPr bwMode="auto">
                    <a:xfrm>
                      <a:off x="0" y="0"/>
                      <a:ext cx="5760720" cy="3440727"/>
                    </a:xfrm>
                    <a:prstGeom prst="rect">
                      <a:avLst/>
                    </a:prstGeom>
                    <a:ln>
                      <a:noFill/>
                    </a:ln>
                    <a:extLst>
                      <a:ext uri="{53640926-AAD7-44D8-BBD7-CCE9431645EC}">
                        <a14:shadowObscured xmlns:a14="http://schemas.microsoft.com/office/drawing/2010/main"/>
                      </a:ext>
                    </a:extLst>
                  </pic:spPr>
                </pic:pic>
              </a:graphicData>
            </a:graphic>
          </wp:inline>
        </w:drawing>
      </w:r>
    </w:p>
    <w:p w14:paraId="5BD57FCA" w14:textId="15D24578" w:rsidR="007B4CAA" w:rsidRPr="00DE3183" w:rsidRDefault="007B4CAA" w:rsidP="007B4CAA">
      <w:pPr>
        <w:pStyle w:val="FIG-LONG"/>
      </w:pPr>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5</w:t>
      </w:r>
      <w:r w:rsidRPr="00FA5F27">
        <w:rPr>
          <w:b/>
          <w:lang w:eastAsia="es-ES"/>
        </w:rPr>
        <w:fldChar w:fldCharType="end"/>
      </w:r>
      <w:r w:rsidRPr="00FA5F27">
        <w:rPr>
          <w:lang w:eastAsia="es-ES"/>
        </w:rPr>
        <w:t>.</w:t>
      </w:r>
      <w:r w:rsidRPr="00DE3183">
        <w:tab/>
      </w:r>
      <w:r>
        <w:t>Blind Phase Results – Primary Loop #1 Mass Flow Rate.</w:t>
      </w:r>
    </w:p>
    <w:p w14:paraId="77B5F9C4" w14:textId="77777777" w:rsidR="007B4CAA" w:rsidRDefault="007B4CAA" w:rsidP="00860B76">
      <w:pPr>
        <w:pStyle w:val="BodyText"/>
      </w:pPr>
    </w:p>
    <w:p w14:paraId="5E8A5F03" w14:textId="730905D4" w:rsidR="00860B76" w:rsidRDefault="00860B76" w:rsidP="00860B76">
      <w:pPr>
        <w:pStyle w:val="BodyText"/>
        <w:rPr>
          <w:color w:val="000000" w:themeColor="text1"/>
        </w:rPr>
      </w:pPr>
      <w:proofErr w:type="gramStart"/>
      <w:r>
        <w:rPr>
          <w:color w:val="000000" w:themeColor="text1"/>
        </w:rPr>
        <w:t>A number of</w:t>
      </w:r>
      <w:proofErr w:type="gramEnd"/>
      <w:r>
        <w:rPr>
          <w:color w:val="000000" w:themeColor="text1"/>
        </w:rPr>
        <w:t xml:space="preserve"> parameters have been compared for the two </w:t>
      </w:r>
      <w:r w:rsidR="00036AF0">
        <w:rPr>
          <w:color w:val="000000" w:themeColor="text1"/>
        </w:rPr>
        <w:t xml:space="preserve">fast response </w:t>
      </w:r>
      <w:r>
        <w:rPr>
          <w:color w:val="000000" w:themeColor="text1"/>
        </w:rPr>
        <w:t>Proximity Instrumented Open Test Assemblies</w:t>
      </w:r>
      <w:r w:rsidR="00036AF0">
        <w:rPr>
          <w:color w:val="000000" w:themeColor="text1"/>
        </w:rPr>
        <w:t xml:space="preserve"> (PIOTA)</w:t>
      </w:r>
      <w:r>
        <w:rPr>
          <w:color w:val="000000" w:themeColor="text1"/>
        </w:rPr>
        <w:t>.</w:t>
      </w:r>
      <w:r w:rsidR="00036AF0">
        <w:rPr>
          <w:color w:val="000000" w:themeColor="text1"/>
        </w:rPr>
        <w:t xml:space="preserve"> The PIOTAs were special assemblies loaded with additional instrumentation to capture their performance during transients. The key </w:t>
      </w:r>
      <w:r w:rsidR="00036AF0">
        <w:rPr>
          <w:color w:val="000000" w:themeColor="text1"/>
        </w:rPr>
        <w:t>instrumentation for the fast response PIOTAs installed for the LOFWOS tests were thermocouples at the assembly outlets.</w:t>
      </w:r>
      <w:r>
        <w:rPr>
          <w:color w:val="000000" w:themeColor="text1"/>
        </w:rPr>
        <w:t xml:space="preserve"> </w:t>
      </w:r>
      <w:r w:rsidR="00243939">
        <w:rPr>
          <w:color w:val="000000" w:themeColor="text1"/>
        </w:rPr>
        <w:t>Fig. 6 and Fig. 7</w:t>
      </w:r>
      <w:r>
        <w:rPr>
          <w:color w:val="000000" w:themeColor="text1"/>
        </w:rPr>
        <w:t xml:space="preserve">, </w:t>
      </w:r>
      <w:r w:rsidR="00243939">
        <w:rPr>
          <w:color w:val="000000" w:themeColor="text1"/>
        </w:rPr>
        <w:t>present</w:t>
      </w:r>
      <w:r>
        <w:rPr>
          <w:color w:val="000000" w:themeColor="text1"/>
        </w:rPr>
        <w:t xml:space="preserve"> the </w:t>
      </w:r>
      <w:r w:rsidR="00036AF0">
        <w:rPr>
          <w:color w:val="000000" w:themeColor="text1"/>
        </w:rPr>
        <w:t>c</w:t>
      </w:r>
      <w:r w:rsidR="00036AF0" w:rsidRPr="0053554E">
        <w:rPr>
          <w:color w:val="000000" w:themeColor="text1"/>
        </w:rPr>
        <w:t xml:space="preserve">oolant </w:t>
      </w:r>
      <w:r w:rsidR="00036AF0">
        <w:rPr>
          <w:color w:val="000000" w:themeColor="text1"/>
        </w:rPr>
        <w:t>o</w:t>
      </w:r>
      <w:r w:rsidR="00036AF0" w:rsidRPr="0053554E">
        <w:rPr>
          <w:color w:val="000000" w:themeColor="text1"/>
        </w:rPr>
        <w:t xml:space="preserve">utlet </w:t>
      </w:r>
      <w:r w:rsidR="00036AF0">
        <w:rPr>
          <w:color w:val="000000" w:themeColor="text1"/>
        </w:rPr>
        <w:t>t</w:t>
      </w:r>
      <w:r w:rsidR="00036AF0" w:rsidRPr="0053554E">
        <w:rPr>
          <w:color w:val="000000" w:themeColor="text1"/>
        </w:rPr>
        <w:t>emp</w:t>
      </w:r>
      <w:r w:rsidR="00036AF0">
        <w:rPr>
          <w:color w:val="000000" w:themeColor="text1"/>
        </w:rPr>
        <w:t xml:space="preserve">eratures from the </w:t>
      </w:r>
      <w:r>
        <w:rPr>
          <w:color w:val="000000" w:themeColor="text1"/>
        </w:rPr>
        <w:t xml:space="preserve">Row </w:t>
      </w:r>
      <w:r w:rsidRPr="0053554E">
        <w:rPr>
          <w:color w:val="000000" w:themeColor="text1"/>
        </w:rPr>
        <w:t>2</w:t>
      </w:r>
      <w:r>
        <w:rPr>
          <w:color w:val="000000" w:themeColor="text1"/>
        </w:rPr>
        <w:t xml:space="preserve"> and Row 6 </w:t>
      </w:r>
      <w:r w:rsidR="00036AF0">
        <w:rPr>
          <w:color w:val="000000" w:themeColor="text1"/>
        </w:rPr>
        <w:t xml:space="preserve">fast response </w:t>
      </w:r>
      <w:r>
        <w:rPr>
          <w:color w:val="000000" w:themeColor="text1"/>
        </w:rPr>
        <w:t>PIOTA</w:t>
      </w:r>
      <w:r w:rsidR="00036AF0">
        <w:rPr>
          <w:color w:val="000000" w:themeColor="text1"/>
        </w:rPr>
        <w:t>s</w:t>
      </w:r>
      <w:r>
        <w:rPr>
          <w:color w:val="000000" w:themeColor="text1"/>
        </w:rPr>
        <w:t>, respectively</w:t>
      </w:r>
      <w:r w:rsidR="00243939">
        <w:rPr>
          <w:color w:val="000000" w:themeColor="text1"/>
        </w:rPr>
        <w:t>.</w:t>
      </w:r>
      <w:r>
        <w:rPr>
          <w:color w:val="000000" w:themeColor="text1"/>
        </w:rPr>
        <w:t xml:space="preserve"> </w:t>
      </w:r>
      <w:r w:rsidR="00243939">
        <w:rPr>
          <w:color w:val="000000" w:themeColor="text1"/>
        </w:rPr>
        <w:t>Additional comparisons are being performed for the blind phase predictions of the steady-state fuel, cladding, and coolant axial temperature distributions. These are not presented in the paper.</w:t>
      </w:r>
    </w:p>
    <w:p w14:paraId="7D6BEFD8" w14:textId="761C320E" w:rsidR="00860B76" w:rsidRDefault="00860B76" w:rsidP="00860B76">
      <w:pPr>
        <w:pStyle w:val="BodyText"/>
        <w:rPr>
          <w:color w:val="000000" w:themeColor="text1"/>
        </w:rPr>
      </w:pPr>
      <w:r>
        <w:rPr>
          <w:color w:val="000000" w:themeColor="text1"/>
        </w:rPr>
        <w:t xml:space="preserve">For the Row </w:t>
      </w:r>
      <w:r w:rsidRPr="0053554E">
        <w:rPr>
          <w:color w:val="000000" w:themeColor="text1"/>
        </w:rPr>
        <w:t>2</w:t>
      </w:r>
      <w:r>
        <w:rPr>
          <w:color w:val="000000" w:themeColor="text1"/>
        </w:rPr>
        <w:t xml:space="preserve"> PIOTA</w:t>
      </w:r>
      <w:r w:rsidRPr="0053554E">
        <w:rPr>
          <w:color w:val="000000" w:themeColor="text1"/>
        </w:rPr>
        <w:t xml:space="preserve"> </w:t>
      </w:r>
      <w:r>
        <w:rPr>
          <w:color w:val="000000" w:themeColor="text1"/>
        </w:rPr>
        <w:t>c</w:t>
      </w:r>
      <w:r w:rsidRPr="0053554E">
        <w:rPr>
          <w:color w:val="000000" w:themeColor="text1"/>
        </w:rPr>
        <w:t xml:space="preserve">oolant </w:t>
      </w:r>
      <w:r>
        <w:rPr>
          <w:color w:val="000000" w:themeColor="text1"/>
        </w:rPr>
        <w:t>o</w:t>
      </w:r>
      <w:r w:rsidRPr="0053554E">
        <w:rPr>
          <w:color w:val="000000" w:themeColor="text1"/>
        </w:rPr>
        <w:t xml:space="preserve">utlet </w:t>
      </w:r>
      <w:r>
        <w:rPr>
          <w:color w:val="000000" w:themeColor="text1"/>
        </w:rPr>
        <w:t>t</w:t>
      </w:r>
      <w:r w:rsidRPr="0053554E">
        <w:rPr>
          <w:color w:val="000000" w:themeColor="text1"/>
        </w:rPr>
        <w:t>emp</w:t>
      </w:r>
      <w:r>
        <w:rPr>
          <w:color w:val="000000" w:themeColor="text1"/>
        </w:rPr>
        <w:t xml:space="preserve">erature, several </w:t>
      </w:r>
      <w:r w:rsidR="00742763">
        <w:t>participant</w:t>
      </w:r>
      <w:r>
        <w:rPr>
          <w:color w:val="000000" w:themeColor="text1"/>
        </w:rPr>
        <w:t xml:space="preserve">s’ blind phase predictions agree very well with the measured test data. Smaller temperature increases were measured for the Row 6 PIOTA coolant outlet temperature, and fewer </w:t>
      </w:r>
      <w:r w:rsidR="00742763">
        <w:t>participant</w:t>
      </w:r>
      <w:r>
        <w:rPr>
          <w:color w:val="000000" w:themeColor="text1"/>
        </w:rPr>
        <w:t xml:space="preserve">s predicted this temperature with the same accuracy as for the Row 2 PIOTA. Most </w:t>
      </w:r>
      <w:r w:rsidR="00742763">
        <w:t>participant</w:t>
      </w:r>
      <w:r>
        <w:rPr>
          <w:color w:val="000000" w:themeColor="text1"/>
        </w:rPr>
        <w:t xml:space="preserve">s captured the initial rise in the coolant outlet temperatures and the subsequent drop due to the negative reactivity from the GEMs. After the GEMs had inserted </w:t>
      </w:r>
      <w:proofErr w:type="gramStart"/>
      <w:r>
        <w:rPr>
          <w:color w:val="000000" w:themeColor="text1"/>
        </w:rPr>
        <w:t>all of</w:t>
      </w:r>
      <w:proofErr w:type="gramEnd"/>
      <w:r>
        <w:rPr>
          <w:color w:val="000000" w:themeColor="text1"/>
        </w:rPr>
        <w:t xml:space="preserve"> their negative reactivity, temperatures gradually rose until reaching a peak due to the negative reactivity feedback from radial core expansion. Accurate predictions for power and natural circulation fl</w:t>
      </w:r>
      <w:r>
        <w:rPr>
          <w:color w:val="000000" w:themeColor="text1"/>
        </w:rPr>
        <w:t xml:space="preserve">ow rates are essential for capturing these temperatures, especially in the long-term. Addressing these aspects of the various participants’ models </w:t>
      </w:r>
      <w:r w:rsidR="00243939">
        <w:rPr>
          <w:color w:val="000000" w:themeColor="text1"/>
        </w:rPr>
        <w:t>is expected to be</w:t>
      </w:r>
      <w:r>
        <w:rPr>
          <w:color w:val="000000" w:themeColor="text1"/>
        </w:rPr>
        <w:t xml:space="preserve"> a focus during the open phase </w:t>
      </w:r>
      <w:r w:rsidR="00243939">
        <w:rPr>
          <w:color w:val="000000" w:themeColor="text1"/>
        </w:rPr>
        <w:t xml:space="preserve">of the CRP </w:t>
      </w:r>
      <w:r>
        <w:rPr>
          <w:color w:val="000000" w:themeColor="text1"/>
        </w:rPr>
        <w:t xml:space="preserve">to improve agreement with the measured test data. </w:t>
      </w:r>
    </w:p>
    <w:p w14:paraId="2D2F6119" w14:textId="77777777" w:rsidR="007B4CAA" w:rsidRDefault="007B4CAA" w:rsidP="007B4CAA">
      <w:pPr>
        <w:pStyle w:val="FigureTyler"/>
      </w:pPr>
      <w:r>
        <w:lastRenderedPageBreak/>
        <w:drawing>
          <wp:inline distT="0" distB="0" distL="0" distR="0" wp14:anchorId="699AB828" wp14:editId="6F97C739">
            <wp:extent cx="5760295" cy="3449370"/>
            <wp:effectExtent l="0" t="0" r="571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a:extLst>
                        <a:ext uri="{28A0092B-C50C-407E-A947-70E740481C1C}">
                          <a14:useLocalDpi xmlns:a14="http://schemas.microsoft.com/office/drawing/2010/main" val="0"/>
                        </a:ext>
                      </a:extLst>
                    </a:blip>
                    <a:srcRect t="10214" b="3295"/>
                    <a:stretch/>
                  </pic:blipFill>
                  <pic:spPr bwMode="auto">
                    <a:xfrm>
                      <a:off x="0" y="0"/>
                      <a:ext cx="5760720" cy="3449624"/>
                    </a:xfrm>
                    <a:prstGeom prst="rect">
                      <a:avLst/>
                    </a:prstGeom>
                    <a:ln>
                      <a:noFill/>
                    </a:ln>
                    <a:extLst>
                      <a:ext uri="{53640926-AAD7-44D8-BBD7-CCE9431645EC}">
                        <a14:shadowObscured xmlns:a14="http://schemas.microsoft.com/office/drawing/2010/main"/>
                      </a:ext>
                    </a:extLst>
                  </pic:spPr>
                </pic:pic>
              </a:graphicData>
            </a:graphic>
          </wp:inline>
        </w:drawing>
      </w:r>
    </w:p>
    <w:p w14:paraId="5FD93DBD" w14:textId="5F128EDF" w:rsidR="007B4CAA" w:rsidRPr="00DE3183" w:rsidRDefault="007B4CAA" w:rsidP="007B4CAA">
      <w:pPr>
        <w:pStyle w:val="FIG-LONG"/>
      </w:pPr>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6</w:t>
      </w:r>
      <w:r w:rsidRPr="00FA5F27">
        <w:rPr>
          <w:b/>
          <w:lang w:eastAsia="es-ES"/>
        </w:rPr>
        <w:fldChar w:fldCharType="end"/>
      </w:r>
      <w:r w:rsidRPr="00FA5F27">
        <w:rPr>
          <w:lang w:eastAsia="es-ES"/>
        </w:rPr>
        <w:t>.</w:t>
      </w:r>
      <w:r w:rsidRPr="00DE3183">
        <w:tab/>
      </w:r>
      <w:r>
        <w:t>Blind Phase Results – Row 2 PIOTA Coolant Outlet Temperature.</w:t>
      </w:r>
    </w:p>
    <w:p w14:paraId="38C3057D" w14:textId="77777777" w:rsidR="007B4CAA" w:rsidRDefault="007B4CAA" w:rsidP="007B4CAA">
      <w:pPr>
        <w:pStyle w:val="FigureTyler"/>
      </w:pPr>
      <w:r>
        <w:drawing>
          <wp:inline distT="0" distB="0" distL="0" distR="0" wp14:anchorId="2CC2B6BE" wp14:editId="44E95331">
            <wp:extent cx="5760322" cy="3413157"/>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a:extLst>
                        <a:ext uri="{28A0092B-C50C-407E-A947-70E740481C1C}">
                          <a14:useLocalDpi xmlns:a14="http://schemas.microsoft.com/office/drawing/2010/main" val="0"/>
                        </a:ext>
                      </a:extLst>
                    </a:blip>
                    <a:srcRect t="11124" b="3294"/>
                    <a:stretch/>
                  </pic:blipFill>
                  <pic:spPr bwMode="auto">
                    <a:xfrm>
                      <a:off x="0" y="0"/>
                      <a:ext cx="5760720" cy="3413393"/>
                    </a:xfrm>
                    <a:prstGeom prst="rect">
                      <a:avLst/>
                    </a:prstGeom>
                    <a:ln>
                      <a:noFill/>
                    </a:ln>
                    <a:extLst>
                      <a:ext uri="{53640926-AAD7-44D8-BBD7-CCE9431645EC}">
                        <a14:shadowObscured xmlns:a14="http://schemas.microsoft.com/office/drawing/2010/main"/>
                      </a:ext>
                    </a:extLst>
                  </pic:spPr>
                </pic:pic>
              </a:graphicData>
            </a:graphic>
          </wp:inline>
        </w:drawing>
      </w:r>
    </w:p>
    <w:p w14:paraId="35FA1163" w14:textId="24FFBD69" w:rsidR="007B4CAA" w:rsidRPr="00DE3183" w:rsidRDefault="007B4CAA" w:rsidP="007B4CAA">
      <w:pPr>
        <w:pStyle w:val="FIG-LONG"/>
      </w:pPr>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7</w:t>
      </w:r>
      <w:r w:rsidRPr="00FA5F27">
        <w:rPr>
          <w:b/>
          <w:lang w:eastAsia="es-ES"/>
        </w:rPr>
        <w:fldChar w:fldCharType="end"/>
      </w:r>
      <w:r w:rsidRPr="00FA5F27">
        <w:rPr>
          <w:lang w:eastAsia="es-ES"/>
        </w:rPr>
        <w:t>.</w:t>
      </w:r>
      <w:r w:rsidRPr="00DE3183">
        <w:tab/>
      </w:r>
      <w:r>
        <w:t>Blind Phase Results – Row 6 PIOTA Coolant Outlet Temperature.</w:t>
      </w:r>
    </w:p>
    <w:p w14:paraId="05F899C2" w14:textId="4AFE21A9" w:rsidR="00243939" w:rsidRDefault="00243939">
      <w:pPr>
        <w:overflowPunct/>
        <w:autoSpaceDE/>
        <w:autoSpaceDN/>
        <w:adjustRightInd/>
        <w:textAlignment w:val="auto"/>
        <w:rPr>
          <w:color w:val="000000" w:themeColor="text1"/>
          <w:sz w:val="20"/>
        </w:rPr>
      </w:pPr>
      <w:r>
        <w:rPr>
          <w:color w:val="000000" w:themeColor="text1"/>
        </w:rPr>
        <w:br w:type="page"/>
      </w:r>
    </w:p>
    <w:p w14:paraId="60DAF537" w14:textId="219EA6B8" w:rsidR="00243939" w:rsidRDefault="00243939" w:rsidP="00243939">
      <w:pPr>
        <w:pStyle w:val="BodyText"/>
        <w:rPr>
          <w:color w:val="000000" w:themeColor="text1"/>
        </w:rPr>
      </w:pPr>
      <w:r>
        <w:rPr>
          <w:color w:val="000000" w:themeColor="text1"/>
        </w:rPr>
        <w:lastRenderedPageBreak/>
        <w:t xml:space="preserve">Fig. 8 illustrates the hot leg temperature predictions and measurement for primary loop #1. While the trend of the temperature evolution was well-captured for the PIOTA outlet temperatures, </w:t>
      </w:r>
      <w:r w:rsidR="00896B91">
        <w:rPr>
          <w:color w:val="000000" w:themeColor="text1"/>
        </w:rPr>
        <w:t xml:space="preserve">the trend of the temperature progression was not as well predicted for the </w:t>
      </w:r>
      <w:r>
        <w:rPr>
          <w:color w:val="000000" w:themeColor="text1"/>
        </w:rPr>
        <w:t>primary loop hot leg temperature</w:t>
      </w:r>
      <w:r w:rsidR="00896B91">
        <w:rPr>
          <w:color w:val="000000" w:themeColor="text1"/>
        </w:rPr>
        <w:t>s</w:t>
      </w:r>
      <w:r>
        <w:rPr>
          <w:color w:val="000000" w:themeColor="text1"/>
        </w:rPr>
        <w:t xml:space="preserve">. The measured data demonstrated relatively constant hot leg temperatures, representing the temperature of sodium discharging from the reactor vessel, while most </w:t>
      </w:r>
      <w:r w:rsidR="00595373">
        <w:rPr>
          <w:color w:val="000000" w:themeColor="text1"/>
        </w:rPr>
        <w:t>participants</w:t>
      </w:r>
      <w:r>
        <w:rPr>
          <w:color w:val="000000" w:themeColor="text1"/>
        </w:rPr>
        <w:t xml:space="preserve"> predicted gradually increasing temperatures. </w:t>
      </w:r>
    </w:p>
    <w:p w14:paraId="7648C5D8" w14:textId="77777777" w:rsidR="00243939" w:rsidRDefault="00243939" w:rsidP="00860B76">
      <w:pPr>
        <w:pStyle w:val="BodyText"/>
        <w:rPr>
          <w:color w:val="000000" w:themeColor="text1"/>
        </w:rPr>
      </w:pPr>
    </w:p>
    <w:p w14:paraId="53AF7BFB" w14:textId="77777777" w:rsidR="00860B76" w:rsidRDefault="00860B76" w:rsidP="00860B76">
      <w:pPr>
        <w:pStyle w:val="FigureTyler"/>
      </w:pPr>
      <w:r>
        <w:drawing>
          <wp:inline distT="0" distB="0" distL="0" distR="0" wp14:anchorId="01810768" wp14:editId="4E05DEE5">
            <wp:extent cx="6048656" cy="37193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9">
                      <a:extLst>
                        <a:ext uri="{28A0092B-C50C-407E-A947-70E740481C1C}">
                          <a14:useLocalDpi xmlns:a14="http://schemas.microsoft.com/office/drawing/2010/main" val="0"/>
                        </a:ext>
                      </a:extLst>
                    </a:blip>
                    <a:srcRect t="7660" b="3525"/>
                    <a:stretch/>
                  </pic:blipFill>
                  <pic:spPr bwMode="auto">
                    <a:xfrm>
                      <a:off x="0" y="0"/>
                      <a:ext cx="6050240" cy="3720356"/>
                    </a:xfrm>
                    <a:prstGeom prst="rect">
                      <a:avLst/>
                    </a:prstGeom>
                    <a:ln>
                      <a:noFill/>
                    </a:ln>
                    <a:extLst>
                      <a:ext uri="{53640926-AAD7-44D8-BBD7-CCE9431645EC}">
                        <a14:shadowObscured xmlns:a14="http://schemas.microsoft.com/office/drawing/2010/main"/>
                      </a:ext>
                    </a:extLst>
                  </pic:spPr>
                </pic:pic>
              </a:graphicData>
            </a:graphic>
          </wp:inline>
        </w:drawing>
      </w:r>
    </w:p>
    <w:p w14:paraId="2A6492C7" w14:textId="0E131D3C" w:rsidR="00860B76" w:rsidRPr="00DE3183" w:rsidRDefault="00860B76" w:rsidP="00860B76">
      <w:pPr>
        <w:pStyle w:val="FIG-LONG"/>
      </w:pPr>
      <w:bookmarkStart w:id="0" w:name="_Ref57975600"/>
      <w:r w:rsidRPr="00FA5F27">
        <w:rPr>
          <w:caps/>
          <w:lang w:eastAsia="es-ES"/>
        </w:rPr>
        <w:t>Fig</w:t>
      </w:r>
      <w:r w:rsidRPr="00FA5F27">
        <w:rPr>
          <w:lang w:eastAsia="es-ES"/>
        </w:rPr>
        <w:t>.</w:t>
      </w:r>
      <w:r w:rsidR="007C0B69">
        <w:rPr>
          <w:lang w:eastAsia="es-ES"/>
        </w:rPr>
        <w:t xml:space="preserve">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7319D7">
        <w:rPr>
          <w:noProof/>
          <w:lang w:eastAsia="es-ES"/>
        </w:rPr>
        <w:t>8</w:t>
      </w:r>
      <w:r w:rsidRPr="00FA5F27">
        <w:rPr>
          <w:b/>
          <w:lang w:eastAsia="es-ES"/>
        </w:rPr>
        <w:fldChar w:fldCharType="end"/>
      </w:r>
      <w:bookmarkEnd w:id="0"/>
      <w:r w:rsidRPr="00FA5F27">
        <w:rPr>
          <w:lang w:eastAsia="es-ES"/>
        </w:rPr>
        <w:t>.</w:t>
      </w:r>
      <w:r w:rsidRPr="00DE3183">
        <w:tab/>
      </w:r>
      <w:r w:rsidR="007B4CAA">
        <w:t xml:space="preserve">Blind Phase Results - </w:t>
      </w:r>
      <w:r>
        <w:t>Primary Loop #1 Hot Leg Temperature</w:t>
      </w:r>
      <w:r w:rsidR="00AD3096">
        <w:t>.</w:t>
      </w:r>
    </w:p>
    <w:p w14:paraId="6CB9EA68" w14:textId="0D034FB6" w:rsidR="00860B76" w:rsidRDefault="00860B76" w:rsidP="00860B76">
      <w:pPr>
        <w:pStyle w:val="Heading2"/>
      </w:pPr>
      <w:r>
        <w:t>SUMMARY</w:t>
      </w:r>
    </w:p>
    <w:p w14:paraId="76401466" w14:textId="52B479C5" w:rsidR="00BC7173" w:rsidRDefault="00BC7173" w:rsidP="00BC7173">
      <w:pPr>
        <w:pStyle w:val="BodyText"/>
      </w:pPr>
      <w:r>
        <w:t xml:space="preserve">In 2018, the International Atomic Energy Agency established a coordinated research project for benchmark analysis of the Fast Flux Test Facility Loss of Flow Without Scram Test #13. Initiated at half power and full flow, LOFWOS Test #13 was an unprotected loss of flow without scram test that began when the three primary sodium pumps were tripped. </w:t>
      </w:r>
      <w:r w:rsidR="00B80C03">
        <w:t xml:space="preserve">The blind phase of the CRP concluded in October 2020. </w:t>
      </w:r>
      <w:r>
        <w:t xml:space="preserve">Results from the blind phase were evaluated for agreement with the measured test data and amongst collective participant results. For some parameters, many participants achieved relatively good agreement with the measured data while for other parameters, fewer participants successfully predicted the measurements. The initial blind phase results provide confidence that many participants captured the transient progression of LOFWOS Test #13 well and that with further modeling improvement during the open phase, discrepancies with the measured test data can be reduced. </w:t>
      </w:r>
    </w:p>
    <w:p w14:paraId="2FC66C83" w14:textId="77777777" w:rsidR="00BC7173" w:rsidRDefault="00BC7173" w:rsidP="00BC7173">
      <w:pPr>
        <w:pStyle w:val="Otherunnumberedheadings"/>
      </w:pPr>
      <w:r w:rsidRPr="00285755">
        <w:t>ACKNOWLEDGEMENTS</w:t>
      </w:r>
    </w:p>
    <w:p w14:paraId="6A3DB28E" w14:textId="42CBE2DB" w:rsidR="00BC7173" w:rsidRDefault="00CA7058" w:rsidP="00BC7173">
      <w:pPr>
        <w:pStyle w:val="BodyText"/>
      </w:pPr>
      <w:r w:rsidRPr="00CA7058">
        <w:t>The data and information presented in the paper are part of an ongoing IAEA coordinated research project on “Benchmark Analysis of Fast Flux Test Facility (FFTF) Loss of Flow Without Scram Test – CRP-I32011”</w:t>
      </w:r>
      <w:r>
        <w:t xml:space="preserve">. </w:t>
      </w:r>
      <w:r w:rsidR="00DC2BCF">
        <w:t xml:space="preserve">The submitted manuscript was developed by </w:t>
      </w:r>
      <w:r w:rsidR="00BC7173" w:rsidRPr="0079591B">
        <w:t>Argonne National Laboratory</w:t>
      </w:r>
      <w:r w:rsidR="00DC2BCF">
        <w:t>. Argonne</w:t>
      </w:r>
      <w:r w:rsidR="00BC7173" w:rsidRPr="0079591B">
        <w:t>'s work is supported by U.S. Department of Energy (DOE) under Contract number DE-AC02-06CH11357.</w:t>
      </w:r>
      <w:r w:rsidR="00BC7173">
        <w:t xml:space="preserve"> </w:t>
      </w:r>
    </w:p>
    <w:p w14:paraId="22CABFA1" w14:textId="0E3929A3" w:rsidR="00243939" w:rsidRDefault="00243939" w:rsidP="00BC7173">
      <w:pPr>
        <w:pStyle w:val="BodyText"/>
      </w:pPr>
    </w:p>
    <w:p w14:paraId="41FF0FBB" w14:textId="77777777" w:rsidR="00274D84" w:rsidRDefault="00274D84" w:rsidP="00BC7173">
      <w:pPr>
        <w:pStyle w:val="BodyText"/>
      </w:pPr>
    </w:p>
    <w:p w14:paraId="72B4EAE3" w14:textId="77777777" w:rsidR="00BC7173" w:rsidRPr="00285755" w:rsidRDefault="00BC7173" w:rsidP="00BC7173">
      <w:pPr>
        <w:pStyle w:val="Otherunnumberedheadings"/>
      </w:pPr>
      <w:r>
        <w:lastRenderedPageBreak/>
        <w:t>References</w:t>
      </w:r>
    </w:p>
    <w:p w14:paraId="21A4095E" w14:textId="12C6688A" w:rsidR="00BC7173" w:rsidRDefault="00BC7173" w:rsidP="00BC7173">
      <w:pPr>
        <w:pStyle w:val="Referencelist"/>
        <w:numPr>
          <w:ilvl w:val="0"/>
          <w:numId w:val="30"/>
        </w:numPr>
        <w:ind w:left="360"/>
      </w:pPr>
      <w:r>
        <w:t>KRIVENTSEV, V. et al., “IAEA’s coordinated research project on Benchmark Analysis of Fast Flux Test Facility (FFTF) Loss of Flow Without Scram Test: an overview”, Fast Reactors and Related Fuel Cycles: Sustainable Clean Energy for the Future (FR21) (Proc. Int. Conf. Beijing, 2021), IAEA, Vienna.</w:t>
      </w:r>
    </w:p>
    <w:p w14:paraId="60A5202A" w14:textId="662FBABD" w:rsidR="00CA7058" w:rsidRDefault="00CA7058" w:rsidP="00BC7173">
      <w:pPr>
        <w:pStyle w:val="Referencelist"/>
        <w:numPr>
          <w:ilvl w:val="0"/>
          <w:numId w:val="30"/>
        </w:numPr>
        <w:ind w:left="360"/>
      </w:pPr>
      <w:r w:rsidRPr="00CA7058">
        <w:t xml:space="preserve">SUMNER T., </w:t>
      </w:r>
      <w:r>
        <w:t xml:space="preserve">et. al., </w:t>
      </w:r>
      <w:r w:rsidRPr="00CA7058">
        <w:t>Benchmark Analysis of Fast Flux Test Facility (FFTF) Loss of Flow Without Scram Test, IAEA CRP-I332011, ANL, USA, 2018.</w:t>
      </w:r>
    </w:p>
    <w:p w14:paraId="6B5706A0" w14:textId="6C077E6C" w:rsidR="00CA7058" w:rsidRDefault="00CA7058" w:rsidP="00BC7173">
      <w:pPr>
        <w:pStyle w:val="Referencelist"/>
        <w:numPr>
          <w:ilvl w:val="0"/>
          <w:numId w:val="30"/>
        </w:numPr>
        <w:ind w:left="360"/>
      </w:pPr>
      <w:r w:rsidRPr="00CA7058">
        <w:t xml:space="preserve">SUMNER T., </w:t>
      </w:r>
      <w:r>
        <w:t>et. al</w:t>
      </w:r>
      <w:r w:rsidRPr="00CA7058">
        <w:t xml:space="preserve">., </w:t>
      </w:r>
      <w:r>
        <w:t xml:space="preserve">“FFTF Benchmark Specifications”, </w:t>
      </w:r>
      <w:r w:rsidRPr="00CA7058">
        <w:t>Technical Specifications for the Benchmark Analysis of Fast Flux Test Facility (FFTF) Loss of Flow Without Scram Test, Presentation delivered at the 1st RCM of the IAEA CRP I31032, October 2018, Vienna, Austria (20</w:t>
      </w:r>
      <w:r>
        <w:t>1</w:t>
      </w:r>
      <w:r w:rsidRPr="00CA7058">
        <w:t>8)</w:t>
      </w:r>
      <w:r>
        <w:t>.</w:t>
      </w:r>
    </w:p>
    <w:p w14:paraId="2A5F3178" w14:textId="41DC8658" w:rsidR="00CA7058" w:rsidRDefault="00CA7058" w:rsidP="00BC7173">
      <w:pPr>
        <w:pStyle w:val="Referencelist"/>
        <w:numPr>
          <w:ilvl w:val="0"/>
          <w:numId w:val="30"/>
        </w:numPr>
        <w:ind w:left="360"/>
      </w:pPr>
      <w:r w:rsidRPr="00CA7058">
        <w:t xml:space="preserve">SUMNER T., </w:t>
      </w:r>
      <w:r>
        <w:t>et. al</w:t>
      </w:r>
      <w:r w:rsidRPr="00CA7058">
        <w:t xml:space="preserve">., </w:t>
      </w:r>
      <w:r>
        <w:t>“LOFWOS Test #13 Results from the Blind Phase”</w:t>
      </w:r>
      <w:r w:rsidRPr="00CA7058">
        <w:t>, Presentation delivered at the informal online meeting of the IAEA CRP I31032 on Benchmark Analysis of Fast Flux Test Facility (FFTF) Loss of Flow Without Scram Test, October 2020, Vienna, Austria (2020)</w:t>
      </w:r>
      <w:r>
        <w:t>.</w:t>
      </w:r>
    </w:p>
    <w:p w14:paraId="256CE556" w14:textId="7A58ADD9" w:rsidR="00BC7173" w:rsidRDefault="00BC7173" w:rsidP="00BC7173">
      <w:pPr>
        <w:pStyle w:val="Referencelist"/>
        <w:numPr>
          <w:ilvl w:val="0"/>
          <w:numId w:val="30"/>
        </w:numPr>
        <w:ind w:left="360"/>
      </w:pPr>
      <w:r>
        <w:t>STAUFF, N. E., et. al., “Blind-Phase Results of the FFTF Neutronics Benchmark”, Fast Reactors and Related Fuel Cycles: Sustainable Clean Energy for the Future (FR21) (Proc. Int. Conf. Beijing, 2021), IAEA, Vienna.</w:t>
      </w:r>
    </w:p>
    <w:p w14:paraId="37125C9D" w14:textId="25A7E0C1" w:rsidR="007D524A" w:rsidRDefault="0073069E" w:rsidP="00BC7173">
      <w:pPr>
        <w:pStyle w:val="Referencelist"/>
        <w:numPr>
          <w:ilvl w:val="0"/>
          <w:numId w:val="30"/>
        </w:numPr>
        <w:ind w:left="360"/>
      </w:pPr>
      <w:r>
        <w:t xml:space="preserve">CABELL, C.P., A Summary Description of the Fast Flux Test Facility, HEDL-400, Westinghouse Hanford Company, Richland, WA, </w:t>
      </w:r>
      <w:proofErr w:type="gramStart"/>
      <w:r>
        <w:t>December,</w:t>
      </w:r>
      <w:proofErr w:type="gramEnd"/>
      <w:r>
        <w:t xml:space="preserve"> 1980.</w:t>
      </w:r>
    </w:p>
    <w:p w14:paraId="1EA11B7A" w14:textId="3D6BA15A" w:rsidR="0073069E" w:rsidRPr="003A4F25" w:rsidRDefault="0073069E" w:rsidP="003A4F25">
      <w:pPr>
        <w:overflowPunct/>
        <w:autoSpaceDE/>
        <w:autoSpaceDN/>
        <w:adjustRightInd/>
        <w:textAlignment w:val="auto"/>
        <w:rPr>
          <w:sz w:val="18"/>
          <w:szCs w:val="18"/>
        </w:rPr>
      </w:pPr>
    </w:p>
    <w:sectPr w:rsidR="0073069E" w:rsidRPr="003A4F25" w:rsidSect="0026525A">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84D73" w14:textId="77777777" w:rsidR="001B054F" w:rsidRDefault="001B054F">
      <w:r>
        <w:separator/>
      </w:r>
    </w:p>
  </w:endnote>
  <w:endnote w:type="continuationSeparator" w:id="0">
    <w:p w14:paraId="5B5D654F" w14:textId="77777777" w:rsidR="001B054F" w:rsidRDefault="001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F19EE2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C2F77">
      <w:rPr>
        <w:rFonts w:ascii="Times New Roman" w:hAnsi="Times New Roman" w:cs="Times New Roman"/>
        <w:noProof/>
        <w:sz w:val="20"/>
      </w:rPr>
      <w:t>11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E1A7" w14:textId="77777777" w:rsidR="001B054F" w:rsidRDefault="001B054F">
      <w:r>
        <w:t>___________________________________________________________________________</w:t>
      </w:r>
    </w:p>
  </w:footnote>
  <w:footnote w:type="continuationSeparator" w:id="0">
    <w:p w14:paraId="1813092C" w14:textId="77777777" w:rsidR="001B054F" w:rsidRDefault="001B054F">
      <w:r>
        <w:t>___________________________________________________________________________</w:t>
      </w:r>
    </w:p>
  </w:footnote>
  <w:footnote w:type="continuationNotice" w:id="1">
    <w:p w14:paraId="79D130EC" w14:textId="77777777" w:rsidR="001B054F" w:rsidRDefault="001B0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071FDD61" w:rsidR="00CF7AF3" w:rsidRDefault="00CF7AF3" w:rsidP="00CF7AF3">
    <w:pPr>
      <w:pStyle w:val="Runninghead"/>
    </w:pPr>
    <w:r>
      <w:tab/>
    </w:r>
    <w:r w:rsidR="002C29DB">
      <w:t xml:space="preserve">FR21: </w:t>
    </w:r>
    <w:r>
      <w:t>IAEA-CN-</w:t>
    </w:r>
    <w:r w:rsidR="002C29DB">
      <w:t>291</w:t>
    </w:r>
    <w:r w:rsidR="007939FB">
      <w:t>534</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50883786" w:rsidR="00E20E70" w:rsidRDefault="007939FB" w:rsidP="00B82FA5">
    <w:pPr>
      <w:pStyle w:val="Runninghead"/>
    </w:pPr>
    <w:r>
      <w:t xml:space="preserve">SUMNER et. 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13F5088"/>
    <w:multiLevelType w:val="hybridMultilevel"/>
    <w:tmpl w:val="9014B8CC"/>
    <w:lvl w:ilvl="0" w:tplc="76E24FFA">
      <w:start w:val="1"/>
      <w:numFmt w:val="bullet"/>
      <w:lvlText w:val="ü"/>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077D7"/>
    <w:multiLevelType w:val="hybridMultilevel"/>
    <w:tmpl w:val="A56E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5C63273"/>
    <w:multiLevelType w:val="hybridMultilevel"/>
    <w:tmpl w:val="B8FC3BA6"/>
    <w:lvl w:ilvl="0" w:tplc="ED4C14B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3B03EEB"/>
    <w:multiLevelType w:val="hybridMultilevel"/>
    <w:tmpl w:val="A3241B1C"/>
    <w:lvl w:ilvl="0" w:tplc="7164A9FE">
      <w:start w:val="1"/>
      <w:numFmt w:val="bullet"/>
      <w:pStyle w:val="Bullets"/>
      <w:lvlText w:val=""/>
      <w:lvlJc w:val="left"/>
      <w:pPr>
        <w:ind w:left="1145" w:hanging="360"/>
      </w:pPr>
      <w:rPr>
        <w:rFonts w:ascii="Symbol" w:hAnsi="Symbol" w:hint="default"/>
      </w:rPr>
    </w:lvl>
    <w:lvl w:ilvl="1" w:tplc="38F808EC">
      <w:start w:val="1"/>
      <w:numFmt w:val="bullet"/>
      <w:pStyle w:val="BulletSecondLevel"/>
      <w:lvlText w:val="o"/>
      <w:lvlJc w:val="left"/>
      <w:pPr>
        <w:ind w:left="1865" w:hanging="360"/>
      </w:pPr>
      <w:rPr>
        <w:rFonts w:ascii="Courier New" w:hAnsi="Courier New" w:hint="default"/>
      </w:rPr>
    </w:lvl>
    <w:lvl w:ilvl="2" w:tplc="19A8BA14">
      <w:start w:val="1"/>
      <w:numFmt w:val="bullet"/>
      <w:pStyle w:val="BulletThirdLevel"/>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20482"/>
    <w:multiLevelType w:val="hybridMultilevel"/>
    <w:tmpl w:val="17D237C0"/>
    <w:lvl w:ilvl="0" w:tplc="A2EA6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E14176A"/>
    <w:multiLevelType w:val="hybridMultilevel"/>
    <w:tmpl w:val="FDDC7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6"/>
  </w:num>
  <w:num w:numId="5">
    <w:abstractNumId w:val="16"/>
  </w:num>
  <w:num w:numId="6">
    <w:abstractNumId w:val="7"/>
  </w:num>
  <w:num w:numId="7">
    <w:abstractNumId w:val="13"/>
  </w:num>
  <w:num w:numId="8">
    <w:abstractNumId w:val="17"/>
  </w:num>
  <w:num w:numId="9">
    <w:abstractNumId w:val="1"/>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4"/>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12"/>
  </w:num>
  <w:num w:numId="34">
    <w:abstractNumId w:val="5"/>
  </w:num>
  <w:num w:numId="35">
    <w:abstractNumId w:val="18"/>
  </w:num>
  <w:num w:numId="36">
    <w:abstractNumId w:val="14"/>
  </w:num>
  <w:num w:numId="37">
    <w:abstractNumId w:val="9"/>
  </w:num>
  <w:num w:numId="38">
    <w:abstractNumId w:val="2"/>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4D68"/>
    <w:rsid w:val="00036AF0"/>
    <w:rsid w:val="00037321"/>
    <w:rsid w:val="00093A64"/>
    <w:rsid w:val="00093F84"/>
    <w:rsid w:val="000A0299"/>
    <w:rsid w:val="000A2990"/>
    <w:rsid w:val="000C4332"/>
    <w:rsid w:val="000E7588"/>
    <w:rsid w:val="000F7E94"/>
    <w:rsid w:val="00106E12"/>
    <w:rsid w:val="001119D6"/>
    <w:rsid w:val="001308F2"/>
    <w:rsid w:val="001313E8"/>
    <w:rsid w:val="00183BC4"/>
    <w:rsid w:val="001A588E"/>
    <w:rsid w:val="001A6908"/>
    <w:rsid w:val="001B054F"/>
    <w:rsid w:val="001C2F77"/>
    <w:rsid w:val="001C58F5"/>
    <w:rsid w:val="001D5CEE"/>
    <w:rsid w:val="00201567"/>
    <w:rsid w:val="00206EBF"/>
    <w:rsid w:val="002071D9"/>
    <w:rsid w:val="00225002"/>
    <w:rsid w:val="00243939"/>
    <w:rsid w:val="00256822"/>
    <w:rsid w:val="0026525A"/>
    <w:rsid w:val="00274790"/>
    <w:rsid w:val="00274D84"/>
    <w:rsid w:val="00275D60"/>
    <w:rsid w:val="00284F1B"/>
    <w:rsid w:val="00285755"/>
    <w:rsid w:val="002A1F9C"/>
    <w:rsid w:val="002B29C2"/>
    <w:rsid w:val="002C29DB"/>
    <w:rsid w:val="002C307E"/>
    <w:rsid w:val="002C4208"/>
    <w:rsid w:val="00310605"/>
    <w:rsid w:val="00333483"/>
    <w:rsid w:val="00336CC9"/>
    <w:rsid w:val="00352DE1"/>
    <w:rsid w:val="003728E6"/>
    <w:rsid w:val="003A4F25"/>
    <w:rsid w:val="003B5E0E"/>
    <w:rsid w:val="003D255A"/>
    <w:rsid w:val="004064C1"/>
    <w:rsid w:val="00416949"/>
    <w:rsid w:val="004370D8"/>
    <w:rsid w:val="00472C43"/>
    <w:rsid w:val="004F32CE"/>
    <w:rsid w:val="00537496"/>
    <w:rsid w:val="00544ED3"/>
    <w:rsid w:val="0058477B"/>
    <w:rsid w:val="0058654F"/>
    <w:rsid w:val="00595373"/>
    <w:rsid w:val="00596ACA"/>
    <w:rsid w:val="005B12D1"/>
    <w:rsid w:val="005E39BC"/>
    <w:rsid w:val="005E7930"/>
    <w:rsid w:val="005F00A0"/>
    <w:rsid w:val="00642C53"/>
    <w:rsid w:val="00647F33"/>
    <w:rsid w:val="00656BC8"/>
    <w:rsid w:val="00662532"/>
    <w:rsid w:val="006B2274"/>
    <w:rsid w:val="00717C6F"/>
    <w:rsid w:val="0073069E"/>
    <w:rsid w:val="007319D7"/>
    <w:rsid w:val="00742763"/>
    <w:rsid w:val="007445DA"/>
    <w:rsid w:val="007939FB"/>
    <w:rsid w:val="007B4CAA"/>
    <w:rsid w:val="007B4FD1"/>
    <w:rsid w:val="007C0B69"/>
    <w:rsid w:val="007C6D79"/>
    <w:rsid w:val="007D524A"/>
    <w:rsid w:val="00802381"/>
    <w:rsid w:val="00816780"/>
    <w:rsid w:val="0083096A"/>
    <w:rsid w:val="00860B76"/>
    <w:rsid w:val="00864C6E"/>
    <w:rsid w:val="0086759F"/>
    <w:rsid w:val="00871F40"/>
    <w:rsid w:val="00883848"/>
    <w:rsid w:val="00896B91"/>
    <w:rsid w:val="00897ED5"/>
    <w:rsid w:val="008B6BB9"/>
    <w:rsid w:val="008D23D9"/>
    <w:rsid w:val="00911543"/>
    <w:rsid w:val="009519C9"/>
    <w:rsid w:val="009A3084"/>
    <w:rsid w:val="009D0B86"/>
    <w:rsid w:val="009E0D5B"/>
    <w:rsid w:val="009E1558"/>
    <w:rsid w:val="00A233D1"/>
    <w:rsid w:val="00A42898"/>
    <w:rsid w:val="00A57919"/>
    <w:rsid w:val="00AB6ACE"/>
    <w:rsid w:val="00AC5A3A"/>
    <w:rsid w:val="00AD3096"/>
    <w:rsid w:val="00B32EF9"/>
    <w:rsid w:val="00B50CAE"/>
    <w:rsid w:val="00B604BE"/>
    <w:rsid w:val="00B80C03"/>
    <w:rsid w:val="00B82FA5"/>
    <w:rsid w:val="00B845CD"/>
    <w:rsid w:val="00BB2A65"/>
    <w:rsid w:val="00BC7173"/>
    <w:rsid w:val="00BD1400"/>
    <w:rsid w:val="00BD605C"/>
    <w:rsid w:val="00BE2A76"/>
    <w:rsid w:val="00C65E60"/>
    <w:rsid w:val="00CA0102"/>
    <w:rsid w:val="00CA7058"/>
    <w:rsid w:val="00CE5A52"/>
    <w:rsid w:val="00CF7AF3"/>
    <w:rsid w:val="00D23647"/>
    <w:rsid w:val="00D26ADA"/>
    <w:rsid w:val="00D35A78"/>
    <w:rsid w:val="00D52A47"/>
    <w:rsid w:val="00D555A1"/>
    <w:rsid w:val="00D64DC2"/>
    <w:rsid w:val="00DA46CA"/>
    <w:rsid w:val="00DC2BCF"/>
    <w:rsid w:val="00DF21EB"/>
    <w:rsid w:val="00E20E70"/>
    <w:rsid w:val="00E25B68"/>
    <w:rsid w:val="00E84003"/>
    <w:rsid w:val="00EC10FC"/>
    <w:rsid w:val="00EC4539"/>
    <w:rsid w:val="00ED0A99"/>
    <w:rsid w:val="00EE0041"/>
    <w:rsid w:val="00EE29B9"/>
    <w:rsid w:val="00F004EE"/>
    <w:rsid w:val="00F309E8"/>
    <w:rsid w:val="00F42E23"/>
    <w:rsid w:val="00F45EEE"/>
    <w:rsid w:val="00F51E9C"/>
    <w:rsid w:val="00F523CA"/>
    <w:rsid w:val="00F61F98"/>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ind w:firstLine="0"/>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ind w:firstLine="0"/>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unhideWhenUsed/>
    <w:locked/>
    <w:rsid w:val="00A233D1"/>
    <w:rPr>
      <w:sz w:val="20"/>
    </w:rPr>
  </w:style>
  <w:style w:type="character" w:customStyle="1" w:styleId="CommentTextChar">
    <w:name w:val="Comment Text Char"/>
    <w:basedOn w:val="DefaultParagraphFont"/>
    <w:link w:val="CommentText"/>
    <w:uiPriority w:val="49"/>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Revision">
    <w:name w:val="Revision"/>
    <w:hidden/>
    <w:uiPriority w:val="99"/>
    <w:semiHidden/>
    <w:rsid w:val="007939FB"/>
    <w:rPr>
      <w:sz w:val="22"/>
      <w:lang w:eastAsia="en-US"/>
    </w:rPr>
  </w:style>
  <w:style w:type="character" w:styleId="Hyperlink">
    <w:name w:val="Hyperlink"/>
    <w:basedOn w:val="DefaultParagraphFont"/>
    <w:uiPriority w:val="49"/>
    <w:unhideWhenUsed/>
    <w:locked/>
    <w:rsid w:val="00D52A47"/>
    <w:rPr>
      <w:color w:val="0000FF" w:themeColor="hyperlink"/>
      <w:u w:val="single"/>
    </w:rPr>
  </w:style>
  <w:style w:type="character" w:customStyle="1" w:styleId="UnresolvedMention1">
    <w:name w:val="Unresolved Mention1"/>
    <w:basedOn w:val="DefaultParagraphFont"/>
    <w:uiPriority w:val="99"/>
    <w:semiHidden/>
    <w:unhideWhenUsed/>
    <w:rsid w:val="00D52A47"/>
    <w:rPr>
      <w:color w:val="605E5C"/>
      <w:shd w:val="clear" w:color="auto" w:fill="E1DFDD"/>
    </w:rPr>
  </w:style>
  <w:style w:type="paragraph" w:customStyle="1" w:styleId="Bullets">
    <w:name w:val="Bullets"/>
    <w:basedOn w:val="BodyText"/>
    <w:uiPriority w:val="99"/>
    <w:qFormat/>
    <w:rsid w:val="00860B76"/>
    <w:pPr>
      <w:numPr>
        <w:numId w:val="33"/>
      </w:numPr>
      <w:spacing w:before="120" w:after="120" w:line="240" w:lineRule="auto"/>
      <w:ind w:left="720"/>
      <w:contextualSpacing w:val="0"/>
    </w:pPr>
    <w:rPr>
      <w:rFonts w:eastAsia="Cambria"/>
      <w:color w:val="000000" w:themeColor="text1"/>
      <w:sz w:val="24"/>
      <w:szCs w:val="24"/>
      <w:lang w:val="en-US"/>
    </w:rPr>
  </w:style>
  <w:style w:type="paragraph" w:customStyle="1" w:styleId="BodyText-NoIndent">
    <w:name w:val="Body Text - No Indent"/>
    <w:basedOn w:val="BodyText"/>
    <w:uiPriority w:val="99"/>
    <w:qFormat/>
    <w:rsid w:val="00860B76"/>
    <w:pPr>
      <w:spacing w:before="120" w:after="120" w:line="240" w:lineRule="auto"/>
      <w:ind w:firstLine="0"/>
      <w:contextualSpacing w:val="0"/>
    </w:pPr>
    <w:rPr>
      <w:rFonts w:eastAsia="Cambria"/>
      <w:sz w:val="24"/>
      <w:szCs w:val="24"/>
      <w:lang w:val="en-US"/>
    </w:rPr>
  </w:style>
  <w:style w:type="paragraph" w:customStyle="1" w:styleId="BulletSecondLevel">
    <w:name w:val="Bullet Second Level"/>
    <w:basedOn w:val="Bullets"/>
    <w:qFormat/>
    <w:rsid w:val="00860B76"/>
    <w:pPr>
      <w:numPr>
        <w:ilvl w:val="1"/>
      </w:numPr>
      <w:tabs>
        <w:tab w:val="num" w:pos="360"/>
        <w:tab w:val="left" w:pos="1440"/>
      </w:tabs>
      <w:ind w:left="1080"/>
    </w:pPr>
  </w:style>
  <w:style w:type="paragraph" w:customStyle="1" w:styleId="BulletThirdLevel">
    <w:name w:val="Bullet Third Level"/>
    <w:basedOn w:val="Bullets"/>
    <w:qFormat/>
    <w:rsid w:val="00860B76"/>
    <w:pPr>
      <w:numPr>
        <w:ilvl w:val="2"/>
      </w:numPr>
      <w:tabs>
        <w:tab w:val="num" w:pos="360"/>
      </w:tabs>
      <w:ind w:left="1440"/>
    </w:pPr>
  </w:style>
  <w:style w:type="paragraph" w:styleId="ListParagraph">
    <w:name w:val="List Paragraph"/>
    <w:basedOn w:val="Normal"/>
    <w:uiPriority w:val="34"/>
    <w:qFormat/>
    <w:locked/>
    <w:rsid w:val="00860B76"/>
    <w:pPr>
      <w:spacing w:after="120"/>
      <w:ind w:left="720"/>
      <w:jc w:val="both"/>
    </w:pPr>
    <w:rPr>
      <w:sz w:val="24"/>
    </w:rPr>
  </w:style>
  <w:style w:type="paragraph" w:customStyle="1" w:styleId="FigureCaption0">
    <w:name w:val="Figure Caption"/>
    <w:basedOn w:val="Normal"/>
    <w:qFormat/>
    <w:rsid w:val="00860B76"/>
    <w:pPr>
      <w:overflowPunct/>
      <w:autoSpaceDE/>
      <w:autoSpaceDN/>
      <w:adjustRightInd/>
      <w:spacing w:before="120" w:after="240"/>
      <w:jc w:val="center"/>
      <w:textAlignment w:val="auto"/>
    </w:pPr>
    <w:rPr>
      <w:sz w:val="24"/>
      <w:szCs w:val="24"/>
      <w:lang w:val="en-US"/>
    </w:rPr>
  </w:style>
  <w:style w:type="paragraph" w:customStyle="1" w:styleId="FigureTyler">
    <w:name w:val="Figure Tyler"/>
    <w:basedOn w:val="BodyText"/>
    <w:qFormat/>
    <w:rsid w:val="00860B76"/>
    <w:pPr>
      <w:spacing w:before="120" w:after="120" w:line="240" w:lineRule="auto"/>
      <w:ind w:firstLine="0"/>
      <w:contextualSpacing w:val="0"/>
      <w:jc w:val="center"/>
    </w:pPr>
    <w:rPr>
      <w:rFonts w:eastAsia="Cambria"/>
      <w:noProof/>
      <w:sz w:val="24"/>
      <w:szCs w:val="24"/>
      <w:lang w:val="en-US"/>
    </w:rPr>
  </w:style>
  <w:style w:type="paragraph" w:customStyle="1" w:styleId="TableCells">
    <w:name w:val="Table Cells"/>
    <w:basedOn w:val="BodyText"/>
    <w:rsid w:val="005E7930"/>
    <w:pPr>
      <w:keepNext/>
      <w:spacing w:after="120" w:line="240" w:lineRule="auto"/>
      <w:ind w:firstLine="0"/>
      <w:contextualSpacing w:val="0"/>
      <w:jc w:val="center"/>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25321">
      <w:bodyDiv w:val="1"/>
      <w:marLeft w:val="0"/>
      <w:marRight w:val="0"/>
      <w:marTop w:val="0"/>
      <w:marBottom w:val="0"/>
      <w:divBdr>
        <w:top w:val="none" w:sz="0" w:space="0" w:color="auto"/>
        <w:left w:val="none" w:sz="0" w:space="0" w:color="auto"/>
        <w:bottom w:val="none" w:sz="0" w:space="0" w:color="auto"/>
        <w:right w:val="none" w:sz="0" w:space="0" w:color="auto"/>
      </w:divBdr>
    </w:div>
    <w:div w:id="1088308343">
      <w:bodyDiv w:val="1"/>
      <w:marLeft w:val="0"/>
      <w:marRight w:val="0"/>
      <w:marTop w:val="0"/>
      <w:marBottom w:val="0"/>
      <w:divBdr>
        <w:top w:val="none" w:sz="0" w:space="0" w:color="auto"/>
        <w:left w:val="none" w:sz="0" w:space="0" w:color="auto"/>
        <w:bottom w:val="none" w:sz="0" w:space="0" w:color="auto"/>
        <w:right w:val="none" w:sz="0" w:space="0" w:color="auto"/>
      </w:divBdr>
    </w:div>
    <w:div w:id="1402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umner@anl.go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5C684-DBAC-4EA8-AB0A-491F8880257F}">
  <ds:schemaRefs>
    <ds:schemaRef ds:uri="http://schemas.openxmlformats.org/officeDocument/2006/bibliography"/>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4</TotalTime>
  <Pages>10</Pages>
  <Words>3075</Words>
  <Characters>16670</Characters>
  <Application>Microsoft Office Word</Application>
  <DocSecurity>0</DocSecurity>
  <Lines>245</Lines>
  <Paragraphs>72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Sumner, Tyler S.</cp:lastModifiedBy>
  <cp:revision>4</cp:revision>
  <cp:lastPrinted>2015-12-01T10:27:00Z</cp:lastPrinted>
  <dcterms:created xsi:type="dcterms:W3CDTF">2021-06-01T17:12:00Z</dcterms:created>
  <dcterms:modified xsi:type="dcterms:W3CDTF">2021-06-24T14:45:00Z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