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64FC8833" w:rsidR="00E20E70" w:rsidRPr="00460414" w:rsidRDefault="008567C5" w:rsidP="008567C5">
      <w:pPr>
        <w:pStyle w:val="Heading1"/>
        <w:rPr>
          <w:rFonts w:ascii="Times New Roman" w:hAnsi="Times New Roman" w:cs="Arial"/>
          <w:i/>
          <w:caps w:val="0"/>
          <w:szCs w:val="24"/>
        </w:rPr>
      </w:pPr>
      <w:r>
        <w:t xml:space="preserve">Neutronics Benchmark of cefr start-up tests: </w:t>
      </w:r>
      <w:r>
        <w:br/>
      </w:r>
      <w:r w:rsidRPr="00460414">
        <w:rPr>
          <w:rFonts w:ascii="Times New Roman" w:hAnsi="Times New Roman" w:cs="Arial"/>
          <w:i/>
          <w:caps w:val="0"/>
          <w:szCs w:val="24"/>
        </w:rPr>
        <w:t xml:space="preserve">reaction rates and integral reactivity coefficients </w:t>
      </w:r>
    </w:p>
    <w:p w14:paraId="433FE03F" w14:textId="77777777" w:rsidR="00802381" w:rsidRDefault="00802381" w:rsidP="00537496">
      <w:pPr>
        <w:pStyle w:val="Authornameandaffiliation"/>
      </w:pPr>
    </w:p>
    <w:p w14:paraId="433FE040" w14:textId="4D8035B2" w:rsidR="003B5E0E" w:rsidRDefault="008567C5" w:rsidP="00537496">
      <w:pPr>
        <w:pStyle w:val="Authornameandaffiliation"/>
      </w:pPr>
      <w:r>
        <w:t>T. K. Kim, M. Jarrett</w:t>
      </w:r>
    </w:p>
    <w:p w14:paraId="433FE041" w14:textId="228BD6C3" w:rsidR="00FF386F" w:rsidRDefault="008567C5" w:rsidP="00537496">
      <w:pPr>
        <w:pStyle w:val="Authornameandaffiliation"/>
      </w:pPr>
      <w:r>
        <w:t>Argonne National Laboratory</w:t>
      </w:r>
    </w:p>
    <w:p w14:paraId="433FE042" w14:textId="78960926" w:rsidR="00FF386F" w:rsidRDefault="008567C5" w:rsidP="00537496">
      <w:pPr>
        <w:pStyle w:val="Authornameandaffiliation"/>
      </w:pPr>
      <w:r>
        <w:t>Argonne, IL. U.S.A</w:t>
      </w:r>
    </w:p>
    <w:p w14:paraId="433FE044" w14:textId="5537F09F" w:rsidR="00FF386F" w:rsidRDefault="000D2166" w:rsidP="00537496">
      <w:pPr>
        <w:pStyle w:val="Authornameandaffiliation"/>
      </w:pPr>
      <w:hyperlink r:id="rId11" w:history="1">
        <w:r w:rsidR="008567C5" w:rsidRPr="00006E6A">
          <w:rPr>
            <w:rStyle w:val="Hyperlink"/>
          </w:rPr>
          <w:t>tkkim@anl.gov</w:t>
        </w:r>
      </w:hyperlink>
    </w:p>
    <w:p w14:paraId="26E2FB13" w14:textId="77777777" w:rsidR="008567C5" w:rsidRDefault="008567C5" w:rsidP="00537496">
      <w:pPr>
        <w:pStyle w:val="Authornameandaffiliation"/>
      </w:pPr>
    </w:p>
    <w:p w14:paraId="433FE045" w14:textId="387CBA27" w:rsidR="00FF386F" w:rsidRPr="00FF386F" w:rsidRDefault="008567C5" w:rsidP="00537496">
      <w:pPr>
        <w:pStyle w:val="Authornameandaffiliation"/>
      </w:pPr>
      <w:r>
        <w:t xml:space="preserve">P. </w:t>
      </w:r>
      <w:proofErr w:type="spellStart"/>
      <w:r>
        <w:t>Sciora</w:t>
      </w:r>
      <w:proofErr w:type="spellEnd"/>
    </w:p>
    <w:p w14:paraId="5CD442A2" w14:textId="50AE9F7F" w:rsidR="008567C5" w:rsidRDefault="008567C5" w:rsidP="008567C5">
      <w:pPr>
        <w:pStyle w:val="Authornameandaffiliation"/>
      </w:pPr>
      <w:r>
        <w:t>French Alternative Energies and Atomic Energy Commission (CEA)</w:t>
      </w:r>
    </w:p>
    <w:p w14:paraId="09AABB0A" w14:textId="560D20C2" w:rsidR="008567C5" w:rsidRDefault="008567C5" w:rsidP="008567C5">
      <w:pPr>
        <w:pStyle w:val="Authornameandaffiliation"/>
      </w:pPr>
      <w:r>
        <w:t>France</w:t>
      </w:r>
    </w:p>
    <w:p w14:paraId="51E888DF" w14:textId="4A40EED8" w:rsidR="008567C5" w:rsidRDefault="008567C5" w:rsidP="00537496">
      <w:pPr>
        <w:pStyle w:val="Authornameandaffiliation"/>
      </w:pPr>
    </w:p>
    <w:p w14:paraId="1450400B" w14:textId="2AD1E3A8" w:rsidR="008567C5" w:rsidRDefault="008567C5" w:rsidP="008567C5">
      <w:pPr>
        <w:pStyle w:val="Authornameandaffiliation"/>
        <w:rPr>
          <w:vertAlign w:val="superscript"/>
        </w:rPr>
      </w:pPr>
      <w:r>
        <w:t>K. Devan</w:t>
      </w:r>
      <w:r w:rsidR="006143E5">
        <w:t xml:space="preserve">, </w:t>
      </w:r>
      <w:r w:rsidR="001402C2">
        <w:t xml:space="preserve">S. V. </w:t>
      </w:r>
      <w:proofErr w:type="spellStart"/>
      <w:r w:rsidR="001402C2">
        <w:t>Vedharathinam</w:t>
      </w:r>
      <w:proofErr w:type="spellEnd"/>
    </w:p>
    <w:p w14:paraId="683D5F47" w14:textId="27529008" w:rsidR="008567C5" w:rsidRDefault="008567C5" w:rsidP="00537496">
      <w:pPr>
        <w:pStyle w:val="Authornameandaffiliation"/>
      </w:pPr>
      <w:r>
        <w:t>Indira Gandhi Centre for Atomic Research</w:t>
      </w:r>
      <w:r w:rsidR="00B375E3">
        <w:t xml:space="preserve"> (IGCAR)</w:t>
      </w:r>
    </w:p>
    <w:p w14:paraId="3817B7AD" w14:textId="6FD18EC2" w:rsidR="008567C5" w:rsidRDefault="008567C5" w:rsidP="00537496">
      <w:pPr>
        <w:pStyle w:val="Authornameandaffiliation"/>
      </w:pPr>
      <w:r>
        <w:t>India</w:t>
      </w:r>
    </w:p>
    <w:p w14:paraId="555EAB3A" w14:textId="77777777" w:rsidR="008567C5" w:rsidRDefault="008567C5" w:rsidP="00537496">
      <w:pPr>
        <w:pStyle w:val="Authornameandaffiliation"/>
      </w:pPr>
    </w:p>
    <w:p w14:paraId="68055A89" w14:textId="73793A91" w:rsidR="008567C5" w:rsidRPr="00FF386F" w:rsidRDefault="008567C5" w:rsidP="008567C5">
      <w:pPr>
        <w:pStyle w:val="Authornameandaffiliation"/>
      </w:pPr>
      <w:r w:rsidRPr="007145EF">
        <w:t>C</w:t>
      </w:r>
      <w:r>
        <w:t xml:space="preserve">. </w:t>
      </w:r>
      <w:r w:rsidRPr="007145EF">
        <w:t>Batra</w:t>
      </w:r>
      <w:r>
        <w:t xml:space="preserve">, </w:t>
      </w:r>
      <w:r w:rsidRPr="007145EF">
        <w:t>V</w:t>
      </w:r>
      <w:r>
        <w:t>.</w:t>
      </w:r>
      <w:r w:rsidRPr="007145EF">
        <w:t xml:space="preserve"> </w:t>
      </w:r>
      <w:proofErr w:type="spellStart"/>
      <w:r w:rsidRPr="00BF5464">
        <w:t>Kriv</w:t>
      </w:r>
      <w:r>
        <w:t>entsev</w:t>
      </w:r>
      <w:proofErr w:type="spellEnd"/>
    </w:p>
    <w:p w14:paraId="29E2483B" w14:textId="77777777" w:rsidR="008567C5" w:rsidRDefault="008567C5" w:rsidP="008567C5">
      <w:pPr>
        <w:pStyle w:val="Authornameandaffiliation"/>
      </w:pPr>
      <w:r w:rsidRPr="007145EF">
        <w:t>International Atomic Energy Agency</w:t>
      </w:r>
    </w:p>
    <w:p w14:paraId="1A1B9BEE" w14:textId="34A14509" w:rsidR="008567C5" w:rsidRDefault="008567C5" w:rsidP="008567C5">
      <w:pPr>
        <w:pStyle w:val="Authornameandaffiliation"/>
      </w:pPr>
      <w:r w:rsidRPr="007145EF">
        <w:t>Vienna, Austria</w:t>
      </w:r>
      <w:r w:rsidRPr="00FF386F">
        <w:t xml:space="preserve"> </w:t>
      </w:r>
    </w:p>
    <w:p w14:paraId="13A2CFAA" w14:textId="38432D5D" w:rsidR="008567C5" w:rsidRDefault="008567C5" w:rsidP="00537496">
      <w:pPr>
        <w:pStyle w:val="Authornameandaffiliation"/>
      </w:pPr>
    </w:p>
    <w:p w14:paraId="0E990F88" w14:textId="5583697C" w:rsidR="008567C5" w:rsidRDefault="008567C5" w:rsidP="008567C5">
      <w:pPr>
        <w:pStyle w:val="Authornameandaffiliation"/>
      </w:pPr>
      <w:r>
        <w:t xml:space="preserve">J. </w:t>
      </w:r>
      <w:proofErr w:type="spellStart"/>
      <w:r>
        <w:t>Bodi</w:t>
      </w:r>
      <w:proofErr w:type="spellEnd"/>
      <w:r w:rsidR="00B765C7">
        <w:t xml:space="preserve">, </w:t>
      </w:r>
      <w:r w:rsidR="00B765C7" w:rsidRPr="00BF5464">
        <w:t xml:space="preserve">K. </w:t>
      </w:r>
      <w:proofErr w:type="spellStart"/>
      <w:r w:rsidR="00B765C7" w:rsidRPr="00BF5464">
        <w:t>Mikityuk</w:t>
      </w:r>
      <w:proofErr w:type="spellEnd"/>
    </w:p>
    <w:p w14:paraId="1FBA6816" w14:textId="26B47CA3" w:rsidR="008567C5" w:rsidRDefault="008567C5" w:rsidP="008567C5">
      <w:pPr>
        <w:ind w:firstLine="567"/>
        <w:rPr>
          <w:sz w:val="20"/>
          <w:lang w:val="de-CH"/>
        </w:rPr>
      </w:pPr>
      <w:proofErr w:type="gramStart"/>
      <w:r w:rsidRPr="00C83162">
        <w:rPr>
          <w:sz w:val="20"/>
          <w:lang w:val="de-CH"/>
        </w:rPr>
        <w:t>Paul Scherrer Institut</w:t>
      </w:r>
      <w:r w:rsidRPr="000760CC">
        <w:rPr>
          <w:sz w:val="20"/>
          <w:lang w:val="de-CH"/>
        </w:rPr>
        <w:t>e</w:t>
      </w:r>
      <w:proofErr w:type="gramEnd"/>
      <w:r w:rsidRPr="00C83162">
        <w:rPr>
          <w:sz w:val="20"/>
          <w:lang w:val="de-CH"/>
        </w:rPr>
        <w:t xml:space="preserve"> </w:t>
      </w:r>
    </w:p>
    <w:p w14:paraId="4FA41C00" w14:textId="6ED29566" w:rsidR="008567C5" w:rsidRPr="00C83162" w:rsidRDefault="008567C5" w:rsidP="008567C5">
      <w:pPr>
        <w:ind w:firstLine="567"/>
        <w:rPr>
          <w:sz w:val="20"/>
          <w:lang w:val="de-CH"/>
        </w:rPr>
      </w:pPr>
      <w:r w:rsidRPr="00C83162">
        <w:rPr>
          <w:sz w:val="20"/>
          <w:lang w:val="de-CH"/>
        </w:rPr>
        <w:t>Switzerland</w:t>
      </w:r>
    </w:p>
    <w:p w14:paraId="043013A4" w14:textId="5FE6B186" w:rsidR="008567C5" w:rsidRDefault="008567C5" w:rsidP="00537496">
      <w:pPr>
        <w:pStyle w:val="Authornameandaffiliation"/>
      </w:pPr>
    </w:p>
    <w:p w14:paraId="123E14A9" w14:textId="069E579F" w:rsidR="00B765C7" w:rsidRDefault="00B765C7" w:rsidP="008567C5">
      <w:pPr>
        <w:pStyle w:val="Authornameandaffiliation"/>
        <w:rPr>
          <w:vertAlign w:val="superscript"/>
        </w:rPr>
      </w:pPr>
      <w:proofErr w:type="spellStart"/>
      <w:r w:rsidRPr="00BF5464">
        <w:t>Youqi</w:t>
      </w:r>
      <w:proofErr w:type="spellEnd"/>
      <w:r w:rsidRPr="00BF5464">
        <w:t xml:space="preserve"> Zheng</w:t>
      </w:r>
      <w:r>
        <w:t xml:space="preserve">, </w:t>
      </w:r>
      <w:proofErr w:type="spellStart"/>
      <w:r w:rsidRPr="00BF5464">
        <w:t>Xianan</w:t>
      </w:r>
      <w:proofErr w:type="spellEnd"/>
      <w:r w:rsidRPr="00BF5464">
        <w:t xml:space="preserve"> Du</w:t>
      </w:r>
    </w:p>
    <w:p w14:paraId="1790CB6E" w14:textId="77777777" w:rsidR="00B765C7" w:rsidRDefault="00B765C7" w:rsidP="00537496">
      <w:pPr>
        <w:pStyle w:val="Authornameandaffiliation"/>
        <w:rPr>
          <w:lang w:eastAsia="zh-CN"/>
        </w:rPr>
      </w:pPr>
      <w:r w:rsidRPr="000760CC">
        <w:rPr>
          <w:lang w:eastAsia="zh-CN"/>
        </w:rPr>
        <w:t xml:space="preserve">School of Nuclear Science and Technology, Xi’an </w:t>
      </w:r>
      <w:proofErr w:type="spellStart"/>
      <w:r w:rsidRPr="000760CC">
        <w:rPr>
          <w:lang w:eastAsia="zh-CN"/>
        </w:rPr>
        <w:t>Jiaotong</w:t>
      </w:r>
      <w:proofErr w:type="spellEnd"/>
      <w:r w:rsidRPr="000760CC">
        <w:rPr>
          <w:lang w:eastAsia="zh-CN"/>
        </w:rPr>
        <w:t xml:space="preserve"> University</w:t>
      </w:r>
    </w:p>
    <w:p w14:paraId="30353DEB" w14:textId="2C7D26A4" w:rsidR="008567C5" w:rsidRDefault="00B765C7" w:rsidP="00537496">
      <w:pPr>
        <w:pStyle w:val="Authornameandaffiliation"/>
        <w:rPr>
          <w:lang w:eastAsia="zh-CN"/>
        </w:rPr>
      </w:pPr>
      <w:r w:rsidRPr="000760CC">
        <w:rPr>
          <w:lang w:eastAsia="zh-CN"/>
        </w:rPr>
        <w:t>Xi’an, China</w:t>
      </w:r>
    </w:p>
    <w:p w14:paraId="05DCD483" w14:textId="77777777" w:rsidR="00B765C7" w:rsidRDefault="00B765C7" w:rsidP="00537496">
      <w:pPr>
        <w:pStyle w:val="Authornameandaffiliation"/>
      </w:pPr>
    </w:p>
    <w:p w14:paraId="25401127" w14:textId="77777777" w:rsidR="00B765C7" w:rsidRDefault="00B765C7" w:rsidP="008567C5">
      <w:pPr>
        <w:pStyle w:val="Authornameandaffiliation"/>
        <w:rPr>
          <w:lang w:eastAsia="zh-CN"/>
        </w:rPr>
      </w:pPr>
      <w:proofErr w:type="spellStart"/>
      <w:r w:rsidRPr="000760CC">
        <w:rPr>
          <w:lang w:eastAsia="zh-CN"/>
        </w:rPr>
        <w:t>Deokjung</w:t>
      </w:r>
      <w:proofErr w:type="spellEnd"/>
      <w:r w:rsidRPr="000760CC">
        <w:rPr>
          <w:lang w:eastAsia="zh-CN"/>
        </w:rPr>
        <w:t xml:space="preserve"> Lee, Tuan Quoc Tran, </w:t>
      </w:r>
      <w:proofErr w:type="spellStart"/>
      <w:r w:rsidRPr="000760CC">
        <w:rPr>
          <w:lang w:eastAsia="zh-CN"/>
        </w:rPr>
        <w:t>Jiwon</w:t>
      </w:r>
      <w:proofErr w:type="spellEnd"/>
      <w:r w:rsidRPr="000760CC">
        <w:rPr>
          <w:lang w:eastAsia="zh-CN"/>
        </w:rPr>
        <w:t xml:space="preserve"> Choe</w:t>
      </w:r>
    </w:p>
    <w:p w14:paraId="43A93CDD" w14:textId="77777777" w:rsidR="00B765C7" w:rsidRDefault="00B765C7" w:rsidP="00B765C7">
      <w:pPr>
        <w:ind w:firstLine="567"/>
        <w:rPr>
          <w:sz w:val="20"/>
        </w:rPr>
      </w:pPr>
      <w:r w:rsidRPr="000760CC">
        <w:rPr>
          <w:sz w:val="20"/>
        </w:rPr>
        <w:t xml:space="preserve">Ulsan National Institute of Science and Technology </w:t>
      </w:r>
    </w:p>
    <w:p w14:paraId="5D098310" w14:textId="13374588" w:rsidR="00B765C7" w:rsidRDefault="00B765C7" w:rsidP="00B765C7">
      <w:pPr>
        <w:ind w:firstLine="567"/>
        <w:rPr>
          <w:sz w:val="20"/>
        </w:rPr>
      </w:pPr>
      <w:r w:rsidRPr="000760CC">
        <w:rPr>
          <w:sz w:val="20"/>
        </w:rPr>
        <w:t>Republic of Korea</w:t>
      </w:r>
    </w:p>
    <w:p w14:paraId="5C881823" w14:textId="1E63EBD5" w:rsidR="008567C5" w:rsidRDefault="008567C5" w:rsidP="00537496">
      <w:pPr>
        <w:pStyle w:val="Authornameandaffiliation"/>
      </w:pPr>
    </w:p>
    <w:p w14:paraId="3D792E71" w14:textId="77777777" w:rsidR="00B765C7" w:rsidRDefault="00B765C7" w:rsidP="008567C5">
      <w:pPr>
        <w:pStyle w:val="Authornameandaffiliation"/>
        <w:rPr>
          <w:vertAlign w:val="superscript"/>
          <w:lang w:eastAsia="zh-CN"/>
        </w:rPr>
      </w:pPr>
      <w:r>
        <w:rPr>
          <w:lang w:eastAsia="zh-CN"/>
        </w:rPr>
        <w:t xml:space="preserve">H. </w:t>
      </w:r>
      <w:proofErr w:type="spellStart"/>
      <w:r>
        <w:rPr>
          <w:lang w:eastAsia="zh-CN"/>
        </w:rPr>
        <w:t>Taninaka</w:t>
      </w:r>
      <w:proofErr w:type="spellEnd"/>
    </w:p>
    <w:p w14:paraId="07C4BFA4" w14:textId="51FFA4D0" w:rsidR="00B765C7" w:rsidRDefault="00B765C7" w:rsidP="00B765C7">
      <w:pPr>
        <w:ind w:left="567"/>
        <w:rPr>
          <w:sz w:val="20"/>
        </w:rPr>
      </w:pPr>
      <w:r w:rsidRPr="00B765C7">
        <w:rPr>
          <w:sz w:val="20"/>
        </w:rPr>
        <w:t>J</w:t>
      </w:r>
      <w:r w:rsidRPr="00460E59">
        <w:rPr>
          <w:sz w:val="20"/>
        </w:rPr>
        <w:t>apan Atomic Energy Agency</w:t>
      </w:r>
      <w:r>
        <w:rPr>
          <w:sz w:val="20"/>
        </w:rPr>
        <w:br/>
      </w:r>
      <w:r w:rsidRPr="00460E59">
        <w:rPr>
          <w:sz w:val="20"/>
        </w:rPr>
        <w:t>Japan</w:t>
      </w:r>
    </w:p>
    <w:p w14:paraId="5762AE61" w14:textId="7FC8B1E0" w:rsidR="00F83E28" w:rsidRDefault="00F83E28" w:rsidP="00B765C7">
      <w:pPr>
        <w:ind w:left="567"/>
        <w:rPr>
          <w:sz w:val="20"/>
        </w:rPr>
      </w:pPr>
    </w:p>
    <w:p w14:paraId="515CDB21" w14:textId="140784DC" w:rsidR="00F83E28" w:rsidRDefault="00F83E28" w:rsidP="00B765C7">
      <w:pPr>
        <w:ind w:left="567"/>
        <w:rPr>
          <w:sz w:val="20"/>
        </w:rPr>
      </w:pPr>
      <w:r>
        <w:rPr>
          <w:sz w:val="20"/>
        </w:rPr>
        <w:t>A.</w:t>
      </w:r>
      <w:r w:rsidRPr="00F83E28">
        <w:rPr>
          <w:sz w:val="20"/>
        </w:rPr>
        <w:t xml:space="preserve"> Gómez-Torres, </w:t>
      </w:r>
      <w:r>
        <w:rPr>
          <w:sz w:val="20"/>
        </w:rPr>
        <w:t>R.</w:t>
      </w:r>
      <w:r w:rsidRPr="00F83E28">
        <w:rPr>
          <w:sz w:val="20"/>
        </w:rPr>
        <w:t xml:space="preserve"> López-Solís, J</w:t>
      </w:r>
      <w:r>
        <w:rPr>
          <w:sz w:val="20"/>
        </w:rPr>
        <w:t xml:space="preserve">. </w:t>
      </w:r>
      <w:r w:rsidRPr="00F83E28">
        <w:rPr>
          <w:sz w:val="20"/>
        </w:rPr>
        <w:t>Galicia-Aragon, E</w:t>
      </w:r>
      <w:r>
        <w:rPr>
          <w:sz w:val="20"/>
        </w:rPr>
        <w:t xml:space="preserve">. </w:t>
      </w:r>
      <w:r w:rsidRPr="00F83E28">
        <w:rPr>
          <w:sz w:val="20"/>
        </w:rPr>
        <w:t>del Valle-Gallegos</w:t>
      </w:r>
    </w:p>
    <w:p w14:paraId="39992ED5" w14:textId="33B2D918" w:rsidR="00F83E28" w:rsidRDefault="00F83E28" w:rsidP="00B765C7">
      <w:pPr>
        <w:ind w:left="567"/>
        <w:rPr>
          <w:sz w:val="20"/>
        </w:rPr>
      </w:pPr>
      <w:r w:rsidRPr="00F83E28">
        <w:rPr>
          <w:sz w:val="20"/>
        </w:rPr>
        <w:t>National Institute of Nuclear Research</w:t>
      </w:r>
    </w:p>
    <w:p w14:paraId="6F3F4DC6" w14:textId="7F809C19" w:rsidR="00F83E28" w:rsidRDefault="00F83E28" w:rsidP="00B765C7">
      <w:pPr>
        <w:ind w:left="567"/>
        <w:rPr>
          <w:sz w:val="20"/>
        </w:rPr>
      </w:pPr>
      <w:r>
        <w:rPr>
          <w:sz w:val="20"/>
        </w:rPr>
        <w:t>Mexico</w:t>
      </w:r>
    </w:p>
    <w:p w14:paraId="03F1636C" w14:textId="5E7FCEEB" w:rsidR="00F83E28" w:rsidRDefault="00F83E28" w:rsidP="00B765C7">
      <w:pPr>
        <w:ind w:left="567"/>
        <w:rPr>
          <w:sz w:val="20"/>
        </w:rPr>
      </w:pPr>
    </w:p>
    <w:p w14:paraId="6831FF69" w14:textId="333D9E14" w:rsidR="00F83E28" w:rsidRDefault="00F83E28" w:rsidP="00B765C7">
      <w:pPr>
        <w:ind w:left="567"/>
        <w:rPr>
          <w:sz w:val="20"/>
        </w:rPr>
      </w:pPr>
      <w:r>
        <w:rPr>
          <w:sz w:val="20"/>
        </w:rPr>
        <w:t>S.</w:t>
      </w:r>
      <w:r w:rsidRPr="00F83E28">
        <w:rPr>
          <w:sz w:val="20"/>
        </w:rPr>
        <w:t xml:space="preserve"> Di Pasquale, V</w:t>
      </w:r>
      <w:r>
        <w:rPr>
          <w:sz w:val="20"/>
        </w:rPr>
        <w:t>.</w:t>
      </w:r>
      <w:r w:rsidRPr="00F83E28">
        <w:rPr>
          <w:sz w:val="20"/>
        </w:rPr>
        <w:t xml:space="preserve"> Giusti, A</w:t>
      </w:r>
      <w:r>
        <w:rPr>
          <w:sz w:val="20"/>
        </w:rPr>
        <w:t>.</w:t>
      </w:r>
      <w:r w:rsidRPr="00F83E28">
        <w:rPr>
          <w:sz w:val="20"/>
        </w:rPr>
        <w:t xml:space="preserve"> </w:t>
      </w:r>
      <w:proofErr w:type="spellStart"/>
      <w:r w:rsidRPr="00F83E28">
        <w:rPr>
          <w:sz w:val="20"/>
        </w:rPr>
        <w:t>Petruzzi</w:t>
      </w:r>
      <w:proofErr w:type="spellEnd"/>
    </w:p>
    <w:p w14:paraId="272DA9AA" w14:textId="09E4FAF7" w:rsidR="004F6509" w:rsidRDefault="004F6509" w:rsidP="00B765C7">
      <w:pPr>
        <w:ind w:left="567"/>
        <w:rPr>
          <w:sz w:val="20"/>
        </w:rPr>
      </w:pPr>
      <w:r>
        <w:rPr>
          <w:sz w:val="20"/>
        </w:rPr>
        <w:t>Nuclear and Industrial Engineering and University of Pisa</w:t>
      </w:r>
    </w:p>
    <w:p w14:paraId="5DE63117" w14:textId="13E083D1" w:rsidR="00F83E28" w:rsidRPr="000760CC" w:rsidRDefault="004F6509" w:rsidP="00B765C7">
      <w:pPr>
        <w:ind w:left="567"/>
        <w:rPr>
          <w:sz w:val="20"/>
        </w:rPr>
      </w:pPr>
      <w:r>
        <w:rPr>
          <w:sz w:val="20"/>
        </w:rPr>
        <w:t>Italy</w:t>
      </w:r>
    </w:p>
    <w:p w14:paraId="433FE048" w14:textId="0FFE1829"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18706D8D" w14:textId="18DBDCAC" w:rsidR="00B87784" w:rsidRPr="00C16781" w:rsidRDefault="00374B2E" w:rsidP="00AF3F67">
      <w:pPr>
        <w:pStyle w:val="BodyText"/>
      </w:pPr>
      <w:r w:rsidRPr="00C16781">
        <w:t>A coordinated research project (CRP) entitled “Neutronics Benchmark of CEFR Start-up Tests” has been conduct</w:t>
      </w:r>
      <w:r w:rsidR="003F6E5F">
        <w:t>ed</w:t>
      </w:r>
      <w:r w:rsidR="00B87784" w:rsidRPr="00C16781">
        <w:t xml:space="preserve"> </w:t>
      </w:r>
      <w:r w:rsidRPr="00C16781">
        <w:t xml:space="preserve">for improvement of analytical capabilities of fast reactor modelling and simulations. Among the six experiments and two numerical benchmarks, two benchmarks of reaction rate measurements from foil activations and the integral reactivity coefficient are documented in this paper. Sixteen and ten international organizations participated in the reaction rate benchmark and evaluation of integral reactivity coefficients, respectively, using various deterministic and stochastic computation codes and </w:t>
      </w:r>
      <w:r w:rsidR="00B87784" w:rsidRPr="00C16781">
        <w:t xml:space="preserve">evaluated </w:t>
      </w:r>
      <w:r w:rsidRPr="00C16781">
        <w:t>nuclear data libraries of EN</w:t>
      </w:r>
      <w:r w:rsidR="008A476A">
        <w:t>D</w:t>
      </w:r>
      <w:r w:rsidRPr="00C16781">
        <w:t>F/B</w:t>
      </w:r>
      <w:r w:rsidR="00461C6B" w:rsidRPr="00C16781">
        <w:t xml:space="preserve">, </w:t>
      </w:r>
      <w:r w:rsidRPr="00C16781">
        <w:t>JEFF, and JENDL</w:t>
      </w:r>
      <w:r w:rsidR="00461C6B" w:rsidRPr="00C16781">
        <w:t>.</w:t>
      </w:r>
      <w:r w:rsidR="00B87784" w:rsidRPr="00C16781">
        <w:t xml:space="preserve"> </w:t>
      </w:r>
      <w:r w:rsidRPr="00C16781">
        <w:t xml:space="preserve">For the reaction rate measurement by foil activations, stochastic and deterministic codes used in this study gives results in good agreement with the experiment, axially and radially. </w:t>
      </w:r>
      <w:r w:rsidR="00AF3F67" w:rsidRPr="00C16781">
        <w:t xml:space="preserve">However, a relatively large variation </w:t>
      </w:r>
      <w:r w:rsidR="005574BD">
        <w:t xml:space="preserve">is </w:t>
      </w:r>
      <w:r w:rsidR="00AF3F67" w:rsidRPr="00C16781">
        <w:t>observed in</w:t>
      </w:r>
      <w:r w:rsidR="005574BD">
        <w:t xml:space="preserve"> the </w:t>
      </w:r>
      <w:proofErr w:type="gramStart"/>
      <w:r w:rsidR="005574BD">
        <w:t xml:space="preserve">estimated </w:t>
      </w:r>
      <w:r w:rsidR="00AF3F67" w:rsidRPr="00C16781">
        <w:t xml:space="preserve"> </w:t>
      </w:r>
      <w:r w:rsidR="005574BD" w:rsidRPr="00624338">
        <w:rPr>
          <w:vertAlign w:val="superscript"/>
        </w:rPr>
        <w:t>197</w:t>
      </w:r>
      <w:proofErr w:type="gramEnd"/>
      <w:r w:rsidRPr="00C16781">
        <w:t xml:space="preserve">Au (n, γ) reaction </w:t>
      </w:r>
      <w:r w:rsidR="00AF3F67" w:rsidRPr="00C16781">
        <w:t xml:space="preserve">rate </w:t>
      </w:r>
      <w:r w:rsidR="005574BD">
        <w:t xml:space="preserve">values </w:t>
      </w:r>
      <w:r w:rsidR="00AF3F67" w:rsidRPr="00C16781">
        <w:t xml:space="preserve">, in particular, </w:t>
      </w:r>
      <w:r w:rsidRPr="00C16781">
        <w:t xml:space="preserve">at points far from the </w:t>
      </w:r>
      <w:r w:rsidR="003F6E5F">
        <w:t>fueled</w:t>
      </w:r>
      <w:r w:rsidR="00A24169">
        <w:t>-</w:t>
      </w:r>
      <w:r w:rsidR="003F6E5F">
        <w:t xml:space="preserve"> region</w:t>
      </w:r>
      <w:r w:rsidRPr="00C16781">
        <w:t xml:space="preserve">. </w:t>
      </w:r>
      <w:r w:rsidR="00B87784" w:rsidRPr="00C16781">
        <w:t xml:space="preserve">Except for several outliers, the evaluated integral reactivity coefficients </w:t>
      </w:r>
      <w:r w:rsidR="003F6E5F">
        <w:t>show</w:t>
      </w:r>
      <w:r w:rsidR="003F6E5F" w:rsidRPr="00C16781">
        <w:t xml:space="preserve"> </w:t>
      </w:r>
      <w:r w:rsidR="00B87784" w:rsidRPr="00C16781">
        <w:t>generally good agree</w:t>
      </w:r>
      <w:r w:rsidR="003F6E5F">
        <w:t>ment</w:t>
      </w:r>
      <w:r w:rsidR="00B87784" w:rsidRPr="00C16781">
        <w:t xml:space="preserve"> </w:t>
      </w:r>
      <w:r w:rsidR="00C16781" w:rsidRPr="00C16781">
        <w:t xml:space="preserve">between participants </w:t>
      </w:r>
      <w:r w:rsidR="00B87784" w:rsidRPr="00C16781">
        <w:t xml:space="preserve">regardless </w:t>
      </w:r>
      <w:r w:rsidR="00D02115">
        <w:t xml:space="preserve">of </w:t>
      </w:r>
      <w:r w:rsidR="00B87784" w:rsidRPr="00C16781">
        <w:t>deterministic and stochastic calculation</w:t>
      </w:r>
      <w:r w:rsidR="003F6E5F">
        <w:t xml:space="preserve"> method</w:t>
      </w:r>
      <w:r w:rsidR="00B87784" w:rsidRPr="00C16781">
        <w:t>s.</w:t>
      </w:r>
    </w:p>
    <w:p w14:paraId="433FE04C" w14:textId="77777777" w:rsidR="00647F33" w:rsidRDefault="00F523CA" w:rsidP="0088113D">
      <w:pPr>
        <w:pStyle w:val="Heading2"/>
        <w:numPr>
          <w:ilvl w:val="1"/>
          <w:numId w:val="5"/>
        </w:numPr>
      </w:pPr>
      <w:r>
        <w:lastRenderedPageBreak/>
        <w:t>INTRODUCTION</w:t>
      </w:r>
    </w:p>
    <w:p w14:paraId="761E992D" w14:textId="5B0299CC" w:rsidR="001A3519" w:rsidRDefault="001A3519" w:rsidP="001A3519">
      <w:pPr>
        <w:pStyle w:val="BodyText"/>
      </w:pPr>
      <w:r>
        <w:t xml:space="preserve">China Experimental Fast Reactor (CEFR) is a 65 MW pool-type sodium-cooled fast reactor with highly enriched uranium dioxide fuels and stainless-steel reflectors. CEFR reached the first criticality in 2010 and conducted multiple experiments as start-up physics tests, including measurements of criticality, control rod worth, reactivity coefficients, foil activations, etc. The experiments made an essential part of the reactor start-up procedures, but the results can also be utilized to validate </w:t>
      </w:r>
      <w:r w:rsidR="0088139D">
        <w:t>modelling</w:t>
      </w:r>
      <w:r>
        <w:t xml:space="preserve"> and simulation capabilities for SFR design and analysis. Under the framework of coordinated research activities of the International Atomic Energy Agency (IAEA), the China Institute of Atomic Energy (CIAE) proposed a coordinated research project (CRP) entitled “Neutronics Benchmark of CEFR Start-up Tests,” targeting for improvement of member countries’ analytical capabilities in the field of fast reactor </w:t>
      </w:r>
      <w:r w:rsidR="0088139D">
        <w:t>modelling</w:t>
      </w:r>
      <w:r>
        <w:t xml:space="preserve"> and simulations. </w:t>
      </w:r>
    </w:p>
    <w:p w14:paraId="0EE7482A" w14:textId="4816E6DE" w:rsidR="001A3519" w:rsidRDefault="001A3519" w:rsidP="001A3519">
      <w:pPr>
        <w:pStyle w:val="BodyText"/>
      </w:pPr>
      <w:r>
        <w:t xml:space="preserve">About 30 </w:t>
      </w:r>
      <w:r w:rsidR="00EA0F73">
        <w:t xml:space="preserve">international </w:t>
      </w:r>
      <w:r>
        <w:t>organizations from multiple member countries are participating at the CRP. CIAE has proposed detailed design parameters of the CEFR (i.e., dimensions, compositions, uncertainties, etc.) and experiment information</w:t>
      </w:r>
      <w:r w:rsidR="00EA0F73">
        <w:t xml:space="preserve"> and measurements</w:t>
      </w:r>
      <w:r>
        <w:t xml:space="preserve">, and the benchmark specifications have been finalized by joint efforts of participants [1]. The benchmark consists of six experiments, including criticality per fuel loading, control rod worth measurement, sodium void reactivity, temperature reactivity, subassembly swap reactivity, and foil activation measurement. </w:t>
      </w:r>
      <w:r w:rsidR="00C50E2D">
        <w:t>P</w:t>
      </w:r>
      <w:r>
        <w:t xml:space="preserve">articipants </w:t>
      </w:r>
      <w:r w:rsidR="00C50E2D">
        <w:t xml:space="preserve">also </w:t>
      </w:r>
      <w:r>
        <w:t xml:space="preserve">agreed on two more </w:t>
      </w:r>
      <w:r w:rsidR="00EA0F73">
        <w:t xml:space="preserve">numerical </w:t>
      </w:r>
      <w:r>
        <w:t>benchmark</w:t>
      </w:r>
      <w:r w:rsidR="00EA0F73">
        <w:t xml:space="preserve">s </w:t>
      </w:r>
      <w:r>
        <w:t xml:space="preserve">of </w:t>
      </w:r>
      <w:r w:rsidR="00EA0F73">
        <w:t xml:space="preserve">the </w:t>
      </w:r>
      <w:r>
        <w:t>evaluation of integral reactivity coefficients and analyses of sensitivity and uncertainty propagation for understanding the integral safety feature of the CEFR even though t</w:t>
      </w:r>
      <w:r w:rsidR="00EA0F73">
        <w:t xml:space="preserve">hose </w:t>
      </w:r>
      <w:r>
        <w:t>have not been measured in the CEFR start-up tests.</w:t>
      </w:r>
    </w:p>
    <w:p w14:paraId="433FE04E" w14:textId="50965A7D" w:rsidR="00EE0041" w:rsidRDefault="001A3519" w:rsidP="001A3519">
      <w:pPr>
        <w:pStyle w:val="BodyText"/>
      </w:pPr>
      <w:r>
        <w:t xml:space="preserve">Among eight benchmark items, reaction rate measurements from foil activations and the integral reactivity coefficient are documented in this paper. The CRP consists of two benchmark steps: blind benchmark without measured data from the CEFR start-up test and open benchmark with measured data. In the open benchmark, all participants </w:t>
      </w:r>
      <w:r w:rsidR="00EA0F73">
        <w:t>could</w:t>
      </w:r>
      <w:r>
        <w:t xml:space="preserve"> access the measured data and refine</w:t>
      </w:r>
      <w:r w:rsidR="00EA0F73">
        <w:t>d</w:t>
      </w:r>
      <w:r>
        <w:t xml:space="preserve"> the calculations when there were discrepancies between the calculated results and measured data. The results of the open benchmark were compared in this paper. </w:t>
      </w:r>
      <w:r w:rsidR="00552A8D" w:rsidRPr="00552A8D">
        <w:t xml:space="preserve"> </w:t>
      </w:r>
    </w:p>
    <w:p w14:paraId="433FE04F" w14:textId="6EA75699" w:rsidR="00E25B68" w:rsidRDefault="00552A8D" w:rsidP="0088113D">
      <w:pPr>
        <w:pStyle w:val="Heading2"/>
        <w:numPr>
          <w:ilvl w:val="1"/>
          <w:numId w:val="5"/>
        </w:numPr>
      </w:pPr>
      <w:r>
        <w:t>reaction rates</w:t>
      </w:r>
    </w:p>
    <w:p w14:paraId="4ADB0A59" w14:textId="77777777" w:rsidR="00552A8D" w:rsidRDefault="00552A8D" w:rsidP="001112FF">
      <w:pPr>
        <w:pStyle w:val="Heading3"/>
      </w:pPr>
      <w:r>
        <w:t>Measurement of reaction rates in CEFR</w:t>
      </w:r>
    </w:p>
    <w:p w14:paraId="43ED7E42" w14:textId="78203397" w:rsidR="00596AAF" w:rsidRPr="00CB421C" w:rsidRDefault="00596AAF" w:rsidP="00596AAF">
      <w:pPr>
        <w:pStyle w:val="BodyText"/>
      </w:pPr>
      <w:r>
        <w:t>The neutron activation measurements were performed with the help of specially manufactured experimental subassemblies having provisions to insert and withdraw an irradiation device loaded with activation foils/balls. The</w:t>
      </w:r>
      <w:r w:rsidRPr="004C2B9F">
        <w:t xml:space="preserve"> special </w:t>
      </w:r>
      <w:r>
        <w:t>sub</w:t>
      </w:r>
      <w:r w:rsidRPr="004C2B9F">
        <w:t xml:space="preserve">assembly </w:t>
      </w:r>
      <w:r>
        <w:t xml:space="preserve">meant for loading in the fissile zone </w:t>
      </w:r>
      <w:r w:rsidRPr="004C2B9F">
        <w:t xml:space="preserve">was similar to a fuel assembly </w:t>
      </w:r>
      <w:r>
        <w:t xml:space="preserve">in which 7 </w:t>
      </w:r>
      <w:r w:rsidRPr="004C2B9F">
        <w:t xml:space="preserve">fuel pins </w:t>
      </w:r>
      <w:r>
        <w:t xml:space="preserve">at the centre were removed. </w:t>
      </w:r>
      <w:r w:rsidRPr="004C2B9F">
        <w:t xml:space="preserve">Similarly, </w:t>
      </w:r>
      <w:r>
        <w:t>a</w:t>
      </w:r>
      <w:r w:rsidRPr="004C2B9F">
        <w:t xml:space="preserve"> reflector assembly </w:t>
      </w:r>
      <w:r>
        <w:t xml:space="preserve">with empty central pin was also used for reaction rate measurements in the reflector zone. </w:t>
      </w:r>
      <w:r w:rsidRPr="00A26181">
        <w:t xml:space="preserve">For this benchmark, six different reactions were studied: </w:t>
      </w:r>
      <w:r w:rsidRPr="00A26181">
        <w:rPr>
          <w:vertAlign w:val="superscript"/>
        </w:rPr>
        <w:t>235</w:t>
      </w:r>
      <w:r>
        <w:t xml:space="preserve">U </w:t>
      </w:r>
      <w:r w:rsidRPr="00A26181">
        <w:t>(n,</w:t>
      </w:r>
      <w:r>
        <w:t xml:space="preserve"> </w:t>
      </w:r>
      <w:r w:rsidRPr="00A26181">
        <w:t xml:space="preserve">f), </w:t>
      </w:r>
      <w:r w:rsidRPr="00A26181">
        <w:rPr>
          <w:vertAlign w:val="superscript"/>
        </w:rPr>
        <w:t>238</w:t>
      </w:r>
      <w:r w:rsidRPr="00A26181">
        <w:t>U</w:t>
      </w:r>
      <w:r>
        <w:t xml:space="preserve"> </w:t>
      </w:r>
      <w:r w:rsidRPr="00A26181">
        <w:t>(n,</w:t>
      </w:r>
      <w:r>
        <w:t xml:space="preserve"> </w:t>
      </w:r>
      <w:r w:rsidRPr="00A26181">
        <w:t xml:space="preserve">f), </w:t>
      </w:r>
      <w:r w:rsidRPr="00A26181">
        <w:rPr>
          <w:vertAlign w:val="superscript"/>
        </w:rPr>
        <w:t>237</w:t>
      </w:r>
      <w:r>
        <w:t xml:space="preserve">Np </w:t>
      </w:r>
      <w:r w:rsidRPr="00A26181">
        <w:t>(n,</w:t>
      </w:r>
      <w:r>
        <w:t xml:space="preserve"> </w:t>
      </w:r>
      <w:r w:rsidRPr="00A26181">
        <w:t xml:space="preserve">f), </w:t>
      </w:r>
      <w:r w:rsidRPr="00A26181">
        <w:rPr>
          <w:vertAlign w:val="superscript"/>
        </w:rPr>
        <w:t>197</w:t>
      </w:r>
      <w:r>
        <w:t xml:space="preserve">Au </w:t>
      </w:r>
      <w:r w:rsidRPr="00A26181">
        <w:t xml:space="preserve">(n, γ), </w:t>
      </w:r>
      <w:r w:rsidRPr="00A26181">
        <w:rPr>
          <w:vertAlign w:val="superscript"/>
        </w:rPr>
        <w:t>58</w:t>
      </w:r>
      <w:r w:rsidRPr="00A26181">
        <w:t>Ni (n,</w:t>
      </w:r>
      <w:r>
        <w:t xml:space="preserve"> </w:t>
      </w:r>
      <w:r w:rsidRPr="00A26181">
        <w:t xml:space="preserve">p), </w:t>
      </w:r>
      <w:r w:rsidRPr="00A26181">
        <w:rPr>
          <w:vertAlign w:val="superscript"/>
        </w:rPr>
        <w:t>27</w:t>
      </w:r>
      <w:r w:rsidRPr="00A26181">
        <w:t xml:space="preserve">Al (n, α). </w:t>
      </w:r>
      <w:r>
        <w:t xml:space="preserve">These foils were selected based on their responses to neutron spectrum. </w:t>
      </w:r>
    </w:p>
    <w:p w14:paraId="5FE958AC" w14:textId="6E48799F" w:rsidR="00460414" w:rsidRPr="00CB421C" w:rsidRDefault="00596AAF" w:rsidP="00596AAF">
      <w:pPr>
        <w:pStyle w:val="BodyText"/>
      </w:pPr>
      <w:r w:rsidRPr="008F57BB">
        <w:rPr>
          <w:rFonts w:eastAsiaTheme="minorHAnsi"/>
          <w:lang w:val="en-US"/>
        </w:rPr>
        <w:t xml:space="preserve">The activation foils were introduced into the core by </w:t>
      </w:r>
      <w:r w:rsidRPr="00EF7A37">
        <w:rPr>
          <w:rFonts w:eastAsiaTheme="minorHAnsi"/>
          <w:lang w:val="en-US"/>
        </w:rPr>
        <w:t xml:space="preserve">loading an </w:t>
      </w:r>
      <w:r w:rsidRPr="008F57BB">
        <w:rPr>
          <w:rFonts w:eastAsiaTheme="minorHAnsi"/>
          <w:lang w:val="en-US"/>
        </w:rPr>
        <w:t>experimental fuel</w:t>
      </w:r>
      <w:r w:rsidR="00C50E2D">
        <w:rPr>
          <w:rFonts w:eastAsiaTheme="minorHAnsi"/>
          <w:lang w:val="en-US"/>
        </w:rPr>
        <w:t xml:space="preserve"> or steel </w:t>
      </w:r>
      <w:r w:rsidR="00A24169">
        <w:rPr>
          <w:rFonts w:eastAsiaTheme="minorHAnsi"/>
          <w:lang w:val="en-US"/>
        </w:rPr>
        <w:t>sub</w:t>
      </w:r>
      <w:r w:rsidR="00C50E2D">
        <w:rPr>
          <w:rFonts w:eastAsiaTheme="minorHAnsi"/>
          <w:lang w:val="en-US"/>
        </w:rPr>
        <w:t>assembly</w:t>
      </w:r>
      <w:r w:rsidRPr="008F57BB">
        <w:rPr>
          <w:rFonts w:eastAsiaTheme="minorHAnsi"/>
          <w:lang w:val="en-US"/>
        </w:rPr>
        <w:t xml:space="preserve"> </w:t>
      </w:r>
      <w:r w:rsidRPr="00EF7A37">
        <w:rPr>
          <w:rFonts w:eastAsiaTheme="minorHAnsi"/>
          <w:lang w:val="en-US"/>
        </w:rPr>
        <w:t xml:space="preserve">depending on </w:t>
      </w:r>
      <w:r w:rsidRPr="008F57BB">
        <w:rPr>
          <w:rFonts w:eastAsiaTheme="minorHAnsi"/>
          <w:lang w:val="en-US"/>
        </w:rPr>
        <w:t xml:space="preserve">the measurement </w:t>
      </w:r>
      <w:proofErr w:type="gramStart"/>
      <w:r w:rsidRPr="008F57BB">
        <w:rPr>
          <w:rFonts w:eastAsiaTheme="minorHAnsi"/>
          <w:lang w:val="en-US"/>
        </w:rPr>
        <w:t>position</w:t>
      </w:r>
      <w:r w:rsidRPr="00EF7A37">
        <w:rPr>
          <w:rFonts w:eastAsiaTheme="minorHAnsi"/>
          <w:lang w:val="en-US"/>
        </w:rPr>
        <w:t>;</w:t>
      </w:r>
      <w:proofErr w:type="gramEnd"/>
      <w:r w:rsidRPr="008F57BB">
        <w:rPr>
          <w:rFonts w:eastAsiaTheme="minorHAnsi"/>
          <w:lang w:val="en-US"/>
        </w:rPr>
        <w:t xml:space="preserve"> </w:t>
      </w:r>
      <w:r w:rsidRPr="00EF7A37">
        <w:rPr>
          <w:rFonts w:eastAsiaTheme="minorHAnsi"/>
          <w:lang w:val="en-US"/>
        </w:rPr>
        <w:t>fissile</w:t>
      </w:r>
      <w:r w:rsidRPr="008F57BB">
        <w:rPr>
          <w:rFonts w:eastAsiaTheme="minorHAnsi"/>
          <w:lang w:val="en-US"/>
        </w:rPr>
        <w:t xml:space="preserve"> or </w:t>
      </w:r>
      <w:r w:rsidRPr="00EF7A37">
        <w:rPr>
          <w:rFonts w:eastAsiaTheme="minorHAnsi"/>
          <w:lang w:val="en-US"/>
        </w:rPr>
        <w:t>reflector zone.</w:t>
      </w:r>
      <w:r>
        <w:rPr>
          <w:rFonts w:eastAsiaTheme="minorHAnsi"/>
          <w:lang w:val="en-US"/>
        </w:rPr>
        <w:t xml:space="preserve"> </w:t>
      </w:r>
      <w:r w:rsidRPr="008F57BB">
        <w:rPr>
          <w:rFonts w:eastAsiaTheme="minorHAnsi"/>
          <w:lang w:val="en-US"/>
        </w:rPr>
        <w:t xml:space="preserve">After placing the special </w:t>
      </w:r>
      <w:r>
        <w:t>sub</w:t>
      </w:r>
      <w:r w:rsidRPr="004C2B9F">
        <w:t xml:space="preserve">assembly </w:t>
      </w:r>
      <w:r w:rsidRPr="008F57BB">
        <w:rPr>
          <w:rFonts w:eastAsiaTheme="minorHAnsi"/>
          <w:lang w:val="en-US"/>
        </w:rPr>
        <w:t xml:space="preserve">and foils, irradiation power was </w:t>
      </w:r>
      <w:r w:rsidR="0088139D" w:rsidRPr="008F57BB">
        <w:rPr>
          <w:rFonts w:eastAsiaTheme="minorHAnsi"/>
          <w:lang w:val="en-US"/>
        </w:rPr>
        <w:t>attained,</w:t>
      </w:r>
      <w:r w:rsidRPr="008F57BB">
        <w:rPr>
          <w:rFonts w:eastAsiaTheme="minorHAnsi"/>
          <w:lang w:val="en-US"/>
        </w:rPr>
        <w:t xml:space="preserve"> and reactor kept in critical state for 2 hours. After irradiation</w:t>
      </w:r>
      <w:r>
        <w:rPr>
          <w:rFonts w:eastAsiaTheme="minorHAnsi"/>
          <w:lang w:val="en-US"/>
        </w:rPr>
        <w:t>,</w:t>
      </w:r>
      <w:r w:rsidRPr="008F57BB">
        <w:rPr>
          <w:rFonts w:eastAsiaTheme="minorHAnsi"/>
          <w:lang w:val="en-US"/>
        </w:rPr>
        <w:t xml:space="preserve"> </w:t>
      </w:r>
      <w:r w:rsidR="00C50E2D">
        <w:rPr>
          <w:rFonts w:eastAsiaTheme="minorHAnsi"/>
          <w:lang w:val="en-US"/>
        </w:rPr>
        <w:t xml:space="preserve">the </w:t>
      </w:r>
      <w:r w:rsidRPr="008F57BB">
        <w:rPr>
          <w:rFonts w:eastAsiaTheme="minorHAnsi"/>
          <w:lang w:val="en-US"/>
        </w:rPr>
        <w:t>reactor was shut</w:t>
      </w:r>
      <w:r w:rsidRPr="00EF7A37">
        <w:rPr>
          <w:rFonts w:eastAsiaTheme="minorHAnsi"/>
          <w:lang w:val="en-US"/>
        </w:rPr>
        <w:t xml:space="preserve"> </w:t>
      </w:r>
      <w:r w:rsidRPr="008F57BB">
        <w:rPr>
          <w:rFonts w:eastAsiaTheme="minorHAnsi"/>
          <w:lang w:val="en-US"/>
        </w:rPr>
        <w:t xml:space="preserve">down quickly by rod-drop. As only one special </w:t>
      </w:r>
      <w:r>
        <w:t>sub</w:t>
      </w:r>
      <w:r w:rsidRPr="004C2B9F">
        <w:t xml:space="preserve">assembly </w:t>
      </w:r>
      <w:r w:rsidRPr="008F57BB">
        <w:rPr>
          <w:rFonts w:eastAsiaTheme="minorHAnsi"/>
          <w:lang w:val="en-US"/>
        </w:rPr>
        <w:t xml:space="preserve">each (fuel and </w:t>
      </w:r>
      <w:r>
        <w:rPr>
          <w:rFonts w:eastAsiaTheme="minorHAnsi"/>
          <w:lang w:val="en-US"/>
        </w:rPr>
        <w:t>stainless steel</w:t>
      </w:r>
      <w:r w:rsidRPr="008F57BB">
        <w:rPr>
          <w:rFonts w:eastAsiaTheme="minorHAnsi"/>
          <w:lang w:val="en-US"/>
        </w:rPr>
        <w:t>) were available, a power monitoring foil wa</w:t>
      </w:r>
      <w:r w:rsidRPr="00EF7A37">
        <w:rPr>
          <w:rFonts w:eastAsiaTheme="minorHAnsi"/>
          <w:lang w:val="en-US"/>
        </w:rPr>
        <w:t xml:space="preserve">s kept in a neutral position in </w:t>
      </w:r>
      <w:r w:rsidRPr="008F57BB">
        <w:rPr>
          <w:rFonts w:eastAsiaTheme="minorHAnsi"/>
          <w:lang w:val="en-US"/>
        </w:rPr>
        <w:t>order to account for minor variations in power and the required normalization thereafter. This step is irrelevant in the simulation part. Radial reaction rate distribution was measured by placing the foils at ei</w:t>
      </w:r>
      <w:r w:rsidRPr="00EF7A37">
        <w:rPr>
          <w:rFonts w:eastAsiaTheme="minorHAnsi"/>
          <w:lang w:val="en-US"/>
        </w:rPr>
        <w:t xml:space="preserve">ght different radial positions; five in the fissile zone and three in the reflectors (Fig. 1). </w:t>
      </w:r>
      <w:r w:rsidRPr="008F57BB">
        <w:rPr>
          <w:rFonts w:eastAsiaTheme="minorHAnsi"/>
          <w:lang w:val="en-US"/>
        </w:rPr>
        <w:t>Axial reaction rate distribution was measured at only one position (2-2)</w:t>
      </w:r>
      <w:r>
        <w:rPr>
          <w:rFonts w:eastAsiaTheme="minorHAnsi"/>
          <w:lang w:val="en-US"/>
        </w:rPr>
        <w:t xml:space="preserve">; 13 to 14 axial positions </w:t>
      </w:r>
      <w:r w:rsidRPr="009B4CA9">
        <w:rPr>
          <w:rFonts w:eastAsiaTheme="minorHAnsi"/>
          <w:lang w:val="en-US"/>
        </w:rPr>
        <w:t>from lower interface of fertile blanket to the top of the sodium plenum zone, including fissile zone, upper fertile blanket, upper gas plenum and plug</w:t>
      </w:r>
      <w:r w:rsidRPr="008F57BB">
        <w:rPr>
          <w:rFonts w:eastAsiaTheme="minorHAnsi"/>
          <w:lang w:val="en-US"/>
        </w:rPr>
        <w:t>.</w:t>
      </w:r>
      <w:r w:rsidRPr="00EF7A37">
        <w:rPr>
          <w:rFonts w:eastAsiaTheme="minorHAnsi"/>
          <w:lang w:val="en-US"/>
        </w:rPr>
        <w:t xml:space="preserve"> Activities of the irradiated foils/balls were measured with a high purity germanium detec</w:t>
      </w:r>
      <w:r>
        <w:rPr>
          <w:rFonts w:eastAsiaTheme="minorHAnsi"/>
          <w:lang w:val="en-US"/>
        </w:rPr>
        <w:t xml:space="preserve">tor to deduce the reaction rate. </w:t>
      </w:r>
    </w:p>
    <w:p w14:paraId="5108F69A" w14:textId="77777777" w:rsidR="00460414" w:rsidRDefault="00460414" w:rsidP="00552A8D">
      <w:pPr>
        <w:pStyle w:val="BodyText"/>
      </w:pPr>
    </w:p>
    <w:p w14:paraId="734119F7" w14:textId="77777777" w:rsidR="00552A8D" w:rsidRDefault="00552A8D" w:rsidP="00552A8D">
      <w:pPr>
        <w:jc w:val="center"/>
      </w:pPr>
      <w:r w:rsidRPr="004B35EA">
        <w:rPr>
          <w:noProof/>
        </w:rPr>
        <w:lastRenderedPageBreak/>
        <w:drawing>
          <wp:inline distT="0" distB="0" distL="0" distR="0" wp14:anchorId="19040CC1" wp14:editId="4B69F5D2">
            <wp:extent cx="3004457" cy="2357950"/>
            <wp:effectExtent l="0" t="0" r="571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764" cy="2380950"/>
                    </a:xfrm>
                    <a:prstGeom prst="rect">
                      <a:avLst/>
                    </a:prstGeom>
                    <a:noFill/>
                    <a:ln>
                      <a:noFill/>
                    </a:ln>
                  </pic:spPr>
                </pic:pic>
              </a:graphicData>
            </a:graphic>
          </wp:inline>
        </w:drawing>
      </w:r>
    </w:p>
    <w:p w14:paraId="238DFBDD" w14:textId="29CC7E1A" w:rsidR="00552A8D" w:rsidRPr="00552A8D" w:rsidRDefault="00552A8D" w:rsidP="00552A8D">
      <w:pPr>
        <w:pStyle w:val="Figurecaption"/>
        <w:rPr>
          <w:caps/>
          <w:lang w:eastAsia="es-ES"/>
        </w:rPr>
      </w:pPr>
      <w:r w:rsidRPr="00552A8D">
        <w:rPr>
          <w:caps/>
          <w:lang w:eastAsia="es-ES"/>
        </w:rPr>
        <w:t>Fig</w:t>
      </w:r>
      <w:r>
        <w:rPr>
          <w:caps/>
          <w:lang w:eastAsia="es-ES"/>
        </w:rPr>
        <w:t>.</w:t>
      </w:r>
      <w:r w:rsidRPr="00552A8D">
        <w:rPr>
          <w:caps/>
          <w:lang w:eastAsia="es-ES"/>
        </w:rPr>
        <w:t xml:space="preserve"> 1. </w:t>
      </w:r>
      <w:r w:rsidRPr="00552A8D">
        <w:rPr>
          <w:lang w:eastAsia="es-ES"/>
        </w:rPr>
        <w:t>Radial positions for irradiation foils</w:t>
      </w:r>
    </w:p>
    <w:p w14:paraId="240DC63D" w14:textId="77777777" w:rsidR="00552A8D" w:rsidRDefault="00552A8D" w:rsidP="001112FF">
      <w:pPr>
        <w:pStyle w:val="Heading3"/>
      </w:pPr>
      <w:r>
        <w:t xml:space="preserve">Comparison of reaction rates </w:t>
      </w:r>
    </w:p>
    <w:p w14:paraId="68C9FA26" w14:textId="7B16A753" w:rsidR="00552A8D" w:rsidRDefault="00596AAF" w:rsidP="00552A8D">
      <w:pPr>
        <w:pStyle w:val="BodyText"/>
      </w:pPr>
      <w:r>
        <w:t>The reaction rates</w:t>
      </w:r>
      <w:r w:rsidR="00C50E2D">
        <w:t>,</w:t>
      </w:r>
      <w:r>
        <w:t xml:space="preserve"> </w:t>
      </w:r>
      <w:r w:rsidRPr="00CB421C">
        <w:t xml:space="preserve">normalized </w:t>
      </w:r>
      <w:r>
        <w:t>to that of a reference point (i.e.</w:t>
      </w:r>
      <w:r w:rsidR="00A24169">
        <w:t>,</w:t>
      </w:r>
      <w:r>
        <w:t xml:space="preserve"> at position no. 1 (2-2) for radial and at </w:t>
      </w:r>
      <w:r w:rsidRPr="004E7044">
        <w:t>-40 mm or -32 mm</w:t>
      </w:r>
      <w:r>
        <w:t xml:space="preserve"> axial position with respect to core centre</w:t>
      </w:r>
      <w:r w:rsidRPr="004E7044">
        <w:t xml:space="preserve">, depending on the </w:t>
      </w:r>
      <w:r>
        <w:t xml:space="preserve">type of </w:t>
      </w:r>
      <w:r w:rsidRPr="004E7044">
        <w:t>reaction rates</w:t>
      </w:r>
      <w:r>
        <w:t>, for axial)</w:t>
      </w:r>
      <w:r w:rsidR="00C50E2D">
        <w:t>,</w:t>
      </w:r>
      <w:r w:rsidRPr="004E7044">
        <w:t xml:space="preserve"> </w:t>
      </w:r>
      <w:r>
        <w:t>were computed by all the participants for comparison. This work package was analysed by 1</w:t>
      </w:r>
      <w:r w:rsidRPr="00CB421C">
        <w:t xml:space="preserve">6 organisations </w:t>
      </w:r>
      <w:r>
        <w:t>and the details of institution</w:t>
      </w:r>
      <w:r w:rsidRPr="00CB421C">
        <w:t xml:space="preserve">, codes and library used are presented in </w:t>
      </w:r>
      <w:r>
        <w:t>Table 1</w:t>
      </w:r>
      <w:r w:rsidRPr="00CB421C">
        <w:t xml:space="preserve">. </w:t>
      </w:r>
      <w:r>
        <w:t>This benchmark was separated into two phases. The first one, the blind phase, was analysed by some participants without the knowledge of experimental values and the exact geometry description of the foils.  The second phase, the refined phase, was done after knowing the exact geometrical description of foils and the experimental values. Not all participants produced results for refined phase. In such cases, blind phase results are interpreted here as refined phase results also.</w:t>
      </w:r>
    </w:p>
    <w:p w14:paraId="3F7AD36C" w14:textId="5E511CC7" w:rsidR="00552A8D" w:rsidRDefault="00552A8D" w:rsidP="00552A8D">
      <w:pPr>
        <w:pStyle w:val="BodyText"/>
      </w:pPr>
      <w:r w:rsidRPr="00CB421C">
        <w:t xml:space="preserve"> </w:t>
      </w:r>
    </w:p>
    <w:p w14:paraId="660DB817" w14:textId="3B51CD02" w:rsidR="00552A8D" w:rsidRDefault="00596AAF" w:rsidP="00552A8D">
      <w:pPr>
        <w:pStyle w:val="BodyText"/>
        <w:ind w:firstLine="0"/>
      </w:pPr>
      <w:r>
        <w:t>TABLE</w:t>
      </w:r>
      <w:r w:rsidR="00552A8D" w:rsidRPr="00552A8D">
        <w:t xml:space="preserve"> 1. LIST OF PARTICIPANTS TO REACTION RATE EVALUATIONS</w:t>
      </w:r>
    </w:p>
    <w:p w14:paraId="16D50F93" w14:textId="77777777" w:rsidR="00552A8D" w:rsidRPr="00552A8D" w:rsidRDefault="00552A8D" w:rsidP="00552A8D">
      <w:pPr>
        <w:pStyle w:val="BodyText"/>
        <w:ind w:firstLine="0"/>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8" w:type="dxa"/>
          <w:right w:w="78" w:type="dxa"/>
        </w:tblCellMar>
        <w:tblLook w:val="04A0" w:firstRow="1" w:lastRow="0" w:firstColumn="1" w:lastColumn="0" w:noHBand="0" w:noVBand="1"/>
      </w:tblPr>
      <w:tblGrid>
        <w:gridCol w:w="940"/>
        <w:gridCol w:w="1351"/>
        <w:gridCol w:w="1706"/>
        <w:gridCol w:w="1757"/>
        <w:gridCol w:w="813"/>
        <w:gridCol w:w="1022"/>
        <w:gridCol w:w="1150"/>
      </w:tblGrid>
      <w:tr w:rsidR="00552A8D" w:rsidRPr="00BE231B" w14:paraId="5BA594BD" w14:textId="77777777" w:rsidTr="00455456">
        <w:trPr>
          <w:trHeight w:val="14"/>
        </w:trPr>
        <w:tc>
          <w:tcPr>
            <w:tcW w:w="538" w:type="pct"/>
            <w:shd w:val="clear" w:color="auto" w:fill="auto"/>
            <w:noWrap/>
            <w:vAlign w:val="center"/>
            <w:hideMark/>
          </w:tcPr>
          <w:p w14:paraId="375C2CBD" w14:textId="77777777" w:rsidR="00552A8D" w:rsidRPr="00552A8D" w:rsidRDefault="00552A8D" w:rsidP="00D31893">
            <w:pPr>
              <w:jc w:val="center"/>
              <w:rPr>
                <w:rFonts w:cstheme="minorHAnsi"/>
                <w:b/>
                <w:bCs/>
                <w:color w:val="000000" w:themeColor="text1"/>
                <w:sz w:val="20"/>
              </w:rPr>
            </w:pPr>
            <w:r w:rsidRPr="00552A8D">
              <w:rPr>
                <w:rFonts w:cstheme="minorHAnsi"/>
                <w:b/>
                <w:bCs/>
                <w:color w:val="000000" w:themeColor="text1"/>
                <w:sz w:val="20"/>
              </w:rPr>
              <w:t>Country</w:t>
            </w:r>
          </w:p>
        </w:tc>
        <w:tc>
          <w:tcPr>
            <w:tcW w:w="773" w:type="pct"/>
            <w:shd w:val="clear" w:color="auto" w:fill="auto"/>
            <w:noWrap/>
            <w:vAlign w:val="center"/>
            <w:hideMark/>
          </w:tcPr>
          <w:p w14:paraId="662D1517" w14:textId="77777777" w:rsidR="00552A8D" w:rsidRPr="00552A8D" w:rsidRDefault="00552A8D" w:rsidP="00D31893">
            <w:pPr>
              <w:jc w:val="center"/>
              <w:rPr>
                <w:rFonts w:cstheme="minorHAnsi"/>
                <w:b/>
                <w:bCs/>
                <w:color w:val="000000" w:themeColor="text1"/>
                <w:sz w:val="20"/>
              </w:rPr>
            </w:pPr>
            <w:r w:rsidRPr="00552A8D">
              <w:rPr>
                <w:rFonts w:cstheme="minorHAnsi"/>
                <w:b/>
                <w:bCs/>
                <w:color w:val="000000" w:themeColor="text1"/>
                <w:sz w:val="20"/>
              </w:rPr>
              <w:t>Organization</w:t>
            </w:r>
          </w:p>
        </w:tc>
        <w:tc>
          <w:tcPr>
            <w:tcW w:w="976" w:type="pct"/>
            <w:shd w:val="clear" w:color="auto" w:fill="auto"/>
            <w:noWrap/>
            <w:vAlign w:val="center"/>
            <w:hideMark/>
          </w:tcPr>
          <w:p w14:paraId="6A8F09AA" w14:textId="32E8ABC1" w:rsidR="00552A8D" w:rsidRPr="00552A8D" w:rsidRDefault="00552A8D" w:rsidP="00D31893">
            <w:pPr>
              <w:jc w:val="center"/>
              <w:rPr>
                <w:rFonts w:cstheme="minorHAnsi"/>
                <w:b/>
                <w:bCs/>
                <w:color w:val="000000" w:themeColor="text1"/>
                <w:sz w:val="20"/>
              </w:rPr>
            </w:pPr>
            <w:r>
              <w:rPr>
                <w:rFonts w:cstheme="minorHAnsi"/>
                <w:b/>
                <w:bCs/>
                <w:color w:val="000000" w:themeColor="text1"/>
                <w:sz w:val="20"/>
              </w:rPr>
              <w:t>Code</w:t>
            </w:r>
          </w:p>
        </w:tc>
        <w:tc>
          <w:tcPr>
            <w:tcW w:w="1005" w:type="pct"/>
            <w:shd w:val="clear" w:color="auto" w:fill="auto"/>
            <w:vAlign w:val="center"/>
            <w:hideMark/>
          </w:tcPr>
          <w:p w14:paraId="0C72B7B2" w14:textId="77777777" w:rsidR="00552A8D" w:rsidRPr="00552A8D" w:rsidRDefault="00552A8D" w:rsidP="00D31893">
            <w:pPr>
              <w:jc w:val="center"/>
              <w:rPr>
                <w:rFonts w:eastAsia="Malgun Gothic" w:cstheme="minorHAnsi"/>
                <w:b/>
                <w:bCs/>
                <w:color w:val="000000" w:themeColor="text1"/>
                <w:sz w:val="20"/>
                <w:lang w:eastAsia="ko-KR"/>
              </w:rPr>
            </w:pPr>
            <w:r w:rsidRPr="00552A8D">
              <w:rPr>
                <w:rFonts w:eastAsia="Malgun Gothic" w:cstheme="minorHAnsi"/>
                <w:b/>
                <w:bCs/>
                <w:color w:val="000000" w:themeColor="text1"/>
                <w:sz w:val="20"/>
                <w:lang w:eastAsia="ko-KR"/>
              </w:rPr>
              <w:t>Library</w:t>
            </w:r>
          </w:p>
        </w:tc>
        <w:tc>
          <w:tcPr>
            <w:tcW w:w="465" w:type="pct"/>
            <w:vAlign w:val="center"/>
          </w:tcPr>
          <w:p w14:paraId="27FDE196" w14:textId="77777777" w:rsidR="00552A8D" w:rsidRPr="00552A8D" w:rsidRDefault="00552A8D" w:rsidP="00D31893">
            <w:pPr>
              <w:jc w:val="center"/>
              <w:rPr>
                <w:rFonts w:eastAsia="Malgun Gothic" w:cstheme="minorHAnsi"/>
                <w:b/>
                <w:bCs/>
                <w:color w:val="000000" w:themeColor="text1"/>
                <w:sz w:val="20"/>
                <w:lang w:eastAsia="ko-KR"/>
              </w:rPr>
            </w:pPr>
            <w:r w:rsidRPr="00552A8D">
              <w:rPr>
                <w:rFonts w:eastAsia="Malgun Gothic" w:cstheme="minorHAnsi"/>
                <w:b/>
                <w:bCs/>
                <w:color w:val="000000" w:themeColor="text1"/>
                <w:sz w:val="20"/>
                <w:lang w:eastAsia="ko-KR"/>
              </w:rPr>
              <w:t>Blind phase</w:t>
            </w:r>
          </w:p>
        </w:tc>
        <w:tc>
          <w:tcPr>
            <w:tcW w:w="585" w:type="pct"/>
            <w:shd w:val="clear" w:color="auto" w:fill="auto"/>
            <w:vAlign w:val="center"/>
            <w:hideMark/>
          </w:tcPr>
          <w:p w14:paraId="51C3FAA1" w14:textId="50B9BD87" w:rsidR="00552A8D" w:rsidRPr="00552A8D" w:rsidRDefault="00552A8D" w:rsidP="00D31893">
            <w:pPr>
              <w:jc w:val="center"/>
              <w:rPr>
                <w:rFonts w:cstheme="minorHAnsi"/>
                <w:b/>
                <w:bCs/>
                <w:color w:val="000000" w:themeColor="text1"/>
                <w:sz w:val="20"/>
              </w:rPr>
            </w:pPr>
            <w:r w:rsidRPr="00552A8D">
              <w:rPr>
                <w:rFonts w:eastAsia="Malgun Gothic" w:cstheme="minorHAnsi"/>
                <w:b/>
                <w:bCs/>
                <w:color w:val="000000" w:themeColor="text1"/>
                <w:sz w:val="20"/>
                <w:lang w:eastAsia="ko-KR"/>
              </w:rPr>
              <w:t>Deter</w:t>
            </w:r>
            <w:r>
              <w:rPr>
                <w:rFonts w:eastAsia="Malgun Gothic" w:cstheme="minorHAnsi"/>
                <w:b/>
                <w:bCs/>
                <w:color w:val="000000" w:themeColor="text1"/>
                <w:sz w:val="20"/>
                <w:lang w:eastAsia="ko-KR"/>
              </w:rPr>
              <w:t>-</w:t>
            </w:r>
            <w:r w:rsidR="00FD7777">
              <w:rPr>
                <w:rFonts w:eastAsia="Malgun Gothic" w:cstheme="minorHAnsi"/>
                <w:b/>
                <w:bCs/>
                <w:color w:val="000000" w:themeColor="text1"/>
                <w:sz w:val="20"/>
                <w:lang w:eastAsia="ko-KR"/>
              </w:rPr>
              <w:br/>
            </w:r>
            <w:proofErr w:type="spellStart"/>
            <w:r w:rsidR="00FD7777">
              <w:rPr>
                <w:rFonts w:eastAsia="Malgun Gothic" w:cstheme="minorHAnsi"/>
                <w:b/>
                <w:bCs/>
                <w:color w:val="000000" w:themeColor="text1"/>
                <w:sz w:val="20"/>
                <w:lang w:eastAsia="ko-KR"/>
              </w:rPr>
              <w:t>m</w:t>
            </w:r>
            <w:r w:rsidRPr="00552A8D">
              <w:rPr>
                <w:rFonts w:eastAsia="Malgun Gothic" w:cstheme="minorHAnsi"/>
                <w:b/>
                <w:bCs/>
                <w:color w:val="000000" w:themeColor="text1"/>
                <w:sz w:val="20"/>
                <w:lang w:eastAsia="ko-KR"/>
              </w:rPr>
              <w:t>inistic</w:t>
            </w:r>
            <w:proofErr w:type="spellEnd"/>
          </w:p>
        </w:tc>
        <w:tc>
          <w:tcPr>
            <w:tcW w:w="658" w:type="pct"/>
            <w:shd w:val="clear" w:color="auto" w:fill="auto"/>
            <w:vAlign w:val="center"/>
            <w:hideMark/>
          </w:tcPr>
          <w:p w14:paraId="6672C2BC" w14:textId="77777777" w:rsidR="00552A8D" w:rsidRPr="00552A8D" w:rsidRDefault="00552A8D" w:rsidP="00D31893">
            <w:pPr>
              <w:jc w:val="center"/>
              <w:rPr>
                <w:rFonts w:cstheme="minorHAnsi"/>
                <w:b/>
                <w:bCs/>
                <w:color w:val="000000" w:themeColor="text1"/>
                <w:sz w:val="20"/>
              </w:rPr>
            </w:pPr>
            <w:r w:rsidRPr="00552A8D">
              <w:rPr>
                <w:rFonts w:cstheme="minorHAnsi"/>
                <w:b/>
                <w:bCs/>
                <w:color w:val="000000" w:themeColor="text1"/>
                <w:sz w:val="20"/>
              </w:rPr>
              <w:t>Stochastic</w:t>
            </w:r>
          </w:p>
        </w:tc>
      </w:tr>
      <w:tr w:rsidR="00552A8D" w:rsidRPr="00BE231B" w14:paraId="2A33CB3A" w14:textId="77777777" w:rsidTr="00455456">
        <w:trPr>
          <w:trHeight w:val="14"/>
        </w:trPr>
        <w:tc>
          <w:tcPr>
            <w:tcW w:w="538" w:type="pct"/>
            <w:shd w:val="clear" w:color="auto" w:fill="auto"/>
            <w:noWrap/>
            <w:vAlign w:val="center"/>
            <w:hideMark/>
          </w:tcPr>
          <w:p w14:paraId="7A480CD2" w14:textId="77777777" w:rsidR="00552A8D" w:rsidRPr="00552A8D" w:rsidRDefault="00552A8D" w:rsidP="00D31893">
            <w:pPr>
              <w:jc w:val="center"/>
              <w:rPr>
                <w:rFonts w:cstheme="minorHAnsi"/>
                <w:color w:val="000000"/>
                <w:sz w:val="20"/>
              </w:rPr>
            </w:pPr>
            <w:r w:rsidRPr="00552A8D">
              <w:rPr>
                <w:rFonts w:cstheme="minorHAnsi"/>
                <w:color w:val="000000"/>
                <w:sz w:val="20"/>
              </w:rPr>
              <w:t>China</w:t>
            </w:r>
          </w:p>
        </w:tc>
        <w:tc>
          <w:tcPr>
            <w:tcW w:w="773" w:type="pct"/>
            <w:shd w:val="clear" w:color="auto" w:fill="auto"/>
            <w:noWrap/>
            <w:vAlign w:val="center"/>
            <w:hideMark/>
          </w:tcPr>
          <w:p w14:paraId="3920BF4A" w14:textId="77777777" w:rsidR="00552A8D" w:rsidRPr="00552A8D" w:rsidRDefault="00552A8D" w:rsidP="00D31893">
            <w:pPr>
              <w:jc w:val="center"/>
              <w:rPr>
                <w:rFonts w:cstheme="minorHAnsi"/>
                <w:color w:val="000000"/>
                <w:sz w:val="20"/>
              </w:rPr>
            </w:pPr>
            <w:r w:rsidRPr="00552A8D">
              <w:rPr>
                <w:rFonts w:cstheme="minorHAnsi"/>
                <w:color w:val="000000"/>
                <w:sz w:val="20"/>
              </w:rPr>
              <w:t>INEST</w:t>
            </w:r>
          </w:p>
        </w:tc>
        <w:tc>
          <w:tcPr>
            <w:tcW w:w="976" w:type="pct"/>
            <w:shd w:val="clear" w:color="auto" w:fill="auto"/>
            <w:noWrap/>
            <w:vAlign w:val="center"/>
            <w:hideMark/>
          </w:tcPr>
          <w:p w14:paraId="38573C0C" w14:textId="77777777" w:rsidR="00552A8D" w:rsidRPr="00552A8D" w:rsidRDefault="00552A8D" w:rsidP="00D31893">
            <w:pPr>
              <w:jc w:val="center"/>
              <w:rPr>
                <w:rFonts w:cstheme="minorHAnsi"/>
                <w:color w:val="000000"/>
                <w:sz w:val="20"/>
              </w:rPr>
            </w:pPr>
            <w:proofErr w:type="spellStart"/>
            <w:r w:rsidRPr="00552A8D">
              <w:rPr>
                <w:rFonts w:cstheme="minorHAnsi"/>
                <w:color w:val="000000"/>
                <w:sz w:val="20"/>
              </w:rPr>
              <w:t>SuperMC</w:t>
            </w:r>
            <w:proofErr w:type="spellEnd"/>
          </w:p>
        </w:tc>
        <w:tc>
          <w:tcPr>
            <w:tcW w:w="1005" w:type="pct"/>
            <w:shd w:val="clear" w:color="auto" w:fill="auto"/>
            <w:vAlign w:val="center"/>
          </w:tcPr>
          <w:p w14:paraId="05A75AC0" w14:textId="225A5B9B" w:rsidR="00552A8D" w:rsidRPr="00552A8D" w:rsidRDefault="00540911" w:rsidP="00D31893">
            <w:pPr>
              <w:jc w:val="center"/>
              <w:rPr>
                <w:rFonts w:cstheme="minorHAnsi"/>
                <w:color w:val="000000" w:themeColor="text1"/>
                <w:sz w:val="20"/>
              </w:rPr>
            </w:pPr>
            <w:r w:rsidRPr="00540911">
              <w:rPr>
                <w:rFonts w:cstheme="minorHAnsi"/>
                <w:color w:val="000000" w:themeColor="text1"/>
                <w:sz w:val="20"/>
              </w:rPr>
              <w:t>HENDL-3.0</w:t>
            </w:r>
          </w:p>
        </w:tc>
        <w:tc>
          <w:tcPr>
            <w:tcW w:w="465" w:type="pct"/>
            <w:vAlign w:val="center"/>
          </w:tcPr>
          <w:p w14:paraId="005128AF" w14:textId="77777777" w:rsidR="00552A8D" w:rsidRPr="00552A8D" w:rsidRDefault="00552A8D" w:rsidP="00D31893">
            <w:pPr>
              <w:jc w:val="center"/>
              <w:rPr>
                <w:rFonts w:cstheme="minorHAnsi"/>
                <w:color w:val="000000" w:themeColor="text1"/>
                <w:sz w:val="20"/>
              </w:rPr>
            </w:pPr>
            <w:r w:rsidRPr="00552A8D">
              <w:rPr>
                <w:rFonts w:cstheme="minorHAnsi"/>
                <w:color w:val="000000" w:themeColor="text1"/>
                <w:sz w:val="20"/>
              </w:rPr>
              <w:t>X</w:t>
            </w:r>
          </w:p>
        </w:tc>
        <w:tc>
          <w:tcPr>
            <w:tcW w:w="585" w:type="pct"/>
            <w:shd w:val="clear" w:color="auto" w:fill="auto"/>
            <w:noWrap/>
            <w:vAlign w:val="center"/>
          </w:tcPr>
          <w:p w14:paraId="44926624" w14:textId="77777777" w:rsidR="00552A8D" w:rsidRPr="00552A8D" w:rsidRDefault="00552A8D" w:rsidP="00D31893">
            <w:pPr>
              <w:jc w:val="center"/>
              <w:rPr>
                <w:rFonts w:cstheme="minorHAnsi"/>
                <w:color w:val="000000"/>
                <w:sz w:val="20"/>
              </w:rPr>
            </w:pPr>
          </w:p>
        </w:tc>
        <w:tc>
          <w:tcPr>
            <w:tcW w:w="658" w:type="pct"/>
            <w:shd w:val="clear" w:color="auto" w:fill="auto"/>
            <w:noWrap/>
            <w:vAlign w:val="center"/>
          </w:tcPr>
          <w:p w14:paraId="3F653F22" w14:textId="49DA29BE" w:rsidR="00552A8D" w:rsidRPr="00552A8D" w:rsidRDefault="0018488F" w:rsidP="00D31893">
            <w:pPr>
              <w:jc w:val="center"/>
              <w:rPr>
                <w:rFonts w:cstheme="minorHAnsi"/>
                <w:color w:val="000000"/>
                <w:sz w:val="20"/>
              </w:rPr>
            </w:pPr>
            <w:r>
              <w:rPr>
                <w:rFonts w:cstheme="minorHAnsi"/>
                <w:color w:val="000000"/>
                <w:sz w:val="20"/>
              </w:rPr>
              <w:t>X</w:t>
            </w:r>
          </w:p>
        </w:tc>
      </w:tr>
      <w:tr w:rsidR="00552A8D" w:rsidRPr="00BE231B" w14:paraId="2337F4B4" w14:textId="77777777" w:rsidTr="00455456">
        <w:trPr>
          <w:trHeight w:val="14"/>
        </w:trPr>
        <w:tc>
          <w:tcPr>
            <w:tcW w:w="538" w:type="pct"/>
            <w:shd w:val="clear" w:color="auto" w:fill="auto"/>
            <w:noWrap/>
            <w:vAlign w:val="center"/>
            <w:hideMark/>
          </w:tcPr>
          <w:p w14:paraId="20083BAD" w14:textId="77777777" w:rsidR="00552A8D" w:rsidRPr="00552A8D" w:rsidRDefault="00552A8D" w:rsidP="00D31893">
            <w:pPr>
              <w:jc w:val="center"/>
              <w:rPr>
                <w:rFonts w:cstheme="minorHAnsi"/>
                <w:color w:val="000000"/>
                <w:sz w:val="20"/>
              </w:rPr>
            </w:pPr>
            <w:r w:rsidRPr="00552A8D">
              <w:rPr>
                <w:rFonts w:cstheme="minorHAnsi"/>
                <w:color w:val="000000"/>
                <w:sz w:val="20"/>
              </w:rPr>
              <w:t>China</w:t>
            </w:r>
          </w:p>
        </w:tc>
        <w:tc>
          <w:tcPr>
            <w:tcW w:w="773" w:type="pct"/>
            <w:shd w:val="clear" w:color="auto" w:fill="auto"/>
            <w:noWrap/>
            <w:vAlign w:val="center"/>
            <w:hideMark/>
          </w:tcPr>
          <w:p w14:paraId="76E619E3" w14:textId="77777777" w:rsidR="00552A8D" w:rsidRPr="00552A8D" w:rsidRDefault="00552A8D" w:rsidP="00D31893">
            <w:pPr>
              <w:jc w:val="center"/>
              <w:rPr>
                <w:rFonts w:cstheme="minorHAnsi"/>
                <w:color w:val="000000"/>
                <w:sz w:val="20"/>
              </w:rPr>
            </w:pPr>
            <w:r w:rsidRPr="00552A8D">
              <w:rPr>
                <w:rFonts w:cstheme="minorHAnsi"/>
                <w:color w:val="000000"/>
                <w:sz w:val="20"/>
              </w:rPr>
              <w:t>CIAE</w:t>
            </w:r>
          </w:p>
        </w:tc>
        <w:tc>
          <w:tcPr>
            <w:tcW w:w="976" w:type="pct"/>
            <w:shd w:val="clear" w:color="auto" w:fill="auto"/>
            <w:noWrap/>
            <w:vAlign w:val="center"/>
            <w:hideMark/>
          </w:tcPr>
          <w:p w14:paraId="747C0296" w14:textId="77777777" w:rsidR="00552A8D" w:rsidRPr="00552A8D" w:rsidRDefault="00552A8D" w:rsidP="00D31893">
            <w:pPr>
              <w:jc w:val="center"/>
              <w:rPr>
                <w:rFonts w:cstheme="minorHAnsi"/>
                <w:color w:val="000000"/>
                <w:sz w:val="20"/>
              </w:rPr>
            </w:pPr>
            <w:r w:rsidRPr="00552A8D">
              <w:rPr>
                <w:rFonts w:cstheme="minorHAnsi"/>
                <w:color w:val="000000"/>
                <w:sz w:val="20"/>
              </w:rPr>
              <w:t>NAS, RMC</w:t>
            </w:r>
          </w:p>
        </w:tc>
        <w:tc>
          <w:tcPr>
            <w:tcW w:w="1005" w:type="pct"/>
            <w:shd w:val="clear" w:color="auto" w:fill="auto"/>
            <w:vAlign w:val="center"/>
          </w:tcPr>
          <w:p w14:paraId="547C2EB3" w14:textId="5B96447C"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3B186CC2"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X</w:t>
            </w:r>
          </w:p>
        </w:tc>
        <w:tc>
          <w:tcPr>
            <w:tcW w:w="585" w:type="pct"/>
            <w:shd w:val="clear" w:color="auto" w:fill="auto"/>
            <w:noWrap/>
            <w:vAlign w:val="center"/>
            <w:hideMark/>
          </w:tcPr>
          <w:p w14:paraId="33111F40"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c>
          <w:tcPr>
            <w:tcW w:w="658" w:type="pct"/>
            <w:shd w:val="clear" w:color="auto" w:fill="auto"/>
            <w:noWrap/>
            <w:vAlign w:val="center"/>
            <w:hideMark/>
          </w:tcPr>
          <w:p w14:paraId="32E8ACBF"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67CA650E" w14:textId="77777777" w:rsidTr="00455456">
        <w:trPr>
          <w:trHeight w:val="14"/>
        </w:trPr>
        <w:tc>
          <w:tcPr>
            <w:tcW w:w="538" w:type="pct"/>
            <w:shd w:val="clear" w:color="auto" w:fill="auto"/>
            <w:noWrap/>
            <w:vAlign w:val="center"/>
            <w:hideMark/>
          </w:tcPr>
          <w:p w14:paraId="34B364A6"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China</w:t>
            </w:r>
          </w:p>
        </w:tc>
        <w:tc>
          <w:tcPr>
            <w:tcW w:w="773" w:type="pct"/>
            <w:shd w:val="clear" w:color="auto" w:fill="auto"/>
            <w:noWrap/>
            <w:vAlign w:val="center"/>
            <w:hideMark/>
          </w:tcPr>
          <w:p w14:paraId="6129042D"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XJTU</w:t>
            </w:r>
          </w:p>
        </w:tc>
        <w:tc>
          <w:tcPr>
            <w:tcW w:w="976" w:type="pct"/>
            <w:shd w:val="clear" w:color="auto" w:fill="auto"/>
            <w:noWrap/>
            <w:vAlign w:val="center"/>
            <w:hideMark/>
          </w:tcPr>
          <w:p w14:paraId="7D92244F"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themeColor="text1"/>
                <w:sz w:val="20"/>
                <w:lang w:eastAsia="ko-KR"/>
              </w:rPr>
              <w:t>SARAX</w:t>
            </w:r>
          </w:p>
        </w:tc>
        <w:tc>
          <w:tcPr>
            <w:tcW w:w="1005" w:type="pct"/>
            <w:shd w:val="clear" w:color="auto" w:fill="auto"/>
            <w:vAlign w:val="center"/>
          </w:tcPr>
          <w:p w14:paraId="6A87F577" w14:textId="35D807BB"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7CE0BF5A" w14:textId="77777777" w:rsidR="00552A8D" w:rsidRPr="00552A8D" w:rsidRDefault="00552A8D" w:rsidP="00D31893">
            <w:pPr>
              <w:jc w:val="center"/>
              <w:rPr>
                <w:rFonts w:eastAsia="Malgun Gothic" w:cstheme="minorHAnsi"/>
                <w:color w:val="000000" w:themeColor="text1"/>
                <w:sz w:val="20"/>
                <w:lang w:eastAsia="ko-KR"/>
              </w:rPr>
            </w:pPr>
          </w:p>
        </w:tc>
        <w:tc>
          <w:tcPr>
            <w:tcW w:w="585" w:type="pct"/>
            <w:shd w:val="clear" w:color="auto" w:fill="auto"/>
            <w:noWrap/>
            <w:vAlign w:val="center"/>
            <w:hideMark/>
          </w:tcPr>
          <w:p w14:paraId="5519D9D4"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c>
          <w:tcPr>
            <w:tcW w:w="658" w:type="pct"/>
            <w:shd w:val="clear" w:color="auto" w:fill="auto"/>
            <w:noWrap/>
            <w:vAlign w:val="center"/>
          </w:tcPr>
          <w:p w14:paraId="5BC676DA" w14:textId="77777777" w:rsidR="00552A8D" w:rsidRPr="00552A8D" w:rsidRDefault="00552A8D" w:rsidP="00D31893">
            <w:pPr>
              <w:jc w:val="center"/>
              <w:rPr>
                <w:rFonts w:cstheme="minorHAnsi"/>
                <w:color w:val="000000"/>
                <w:sz w:val="20"/>
              </w:rPr>
            </w:pPr>
          </w:p>
        </w:tc>
      </w:tr>
      <w:tr w:rsidR="00552A8D" w:rsidRPr="00BE231B" w14:paraId="1570B8FF" w14:textId="77777777" w:rsidTr="00455456">
        <w:trPr>
          <w:trHeight w:val="14"/>
        </w:trPr>
        <w:tc>
          <w:tcPr>
            <w:tcW w:w="538" w:type="pct"/>
            <w:shd w:val="clear" w:color="auto" w:fill="auto"/>
            <w:noWrap/>
            <w:vAlign w:val="center"/>
            <w:hideMark/>
          </w:tcPr>
          <w:p w14:paraId="5A93BE73" w14:textId="77777777" w:rsidR="00552A8D" w:rsidRPr="00552A8D" w:rsidRDefault="00552A8D" w:rsidP="00D31893">
            <w:pPr>
              <w:jc w:val="center"/>
              <w:rPr>
                <w:rFonts w:cstheme="minorHAnsi"/>
                <w:color w:val="000000"/>
                <w:sz w:val="20"/>
              </w:rPr>
            </w:pPr>
            <w:r w:rsidRPr="00552A8D">
              <w:rPr>
                <w:rFonts w:cstheme="minorHAnsi"/>
                <w:color w:val="000000"/>
                <w:sz w:val="20"/>
              </w:rPr>
              <w:t>France</w:t>
            </w:r>
          </w:p>
        </w:tc>
        <w:tc>
          <w:tcPr>
            <w:tcW w:w="773" w:type="pct"/>
            <w:shd w:val="clear" w:color="auto" w:fill="auto"/>
            <w:noWrap/>
            <w:vAlign w:val="center"/>
            <w:hideMark/>
          </w:tcPr>
          <w:p w14:paraId="70FE1EFC" w14:textId="77777777" w:rsidR="00552A8D" w:rsidRPr="00552A8D" w:rsidRDefault="00552A8D" w:rsidP="00D31893">
            <w:pPr>
              <w:jc w:val="center"/>
              <w:rPr>
                <w:rFonts w:cstheme="minorHAnsi"/>
                <w:color w:val="000000"/>
                <w:sz w:val="20"/>
              </w:rPr>
            </w:pPr>
            <w:r w:rsidRPr="00552A8D">
              <w:rPr>
                <w:rFonts w:cstheme="minorHAnsi"/>
                <w:color w:val="000000"/>
                <w:sz w:val="20"/>
              </w:rPr>
              <w:t>CEA</w:t>
            </w:r>
          </w:p>
        </w:tc>
        <w:tc>
          <w:tcPr>
            <w:tcW w:w="976" w:type="pct"/>
            <w:shd w:val="clear" w:color="auto" w:fill="auto"/>
            <w:noWrap/>
            <w:vAlign w:val="center"/>
            <w:hideMark/>
          </w:tcPr>
          <w:p w14:paraId="5FF7A840" w14:textId="18446E78" w:rsidR="00552A8D" w:rsidRPr="00552A8D" w:rsidRDefault="00552A8D" w:rsidP="00D31893">
            <w:pPr>
              <w:jc w:val="center"/>
              <w:rPr>
                <w:rFonts w:cstheme="minorHAnsi"/>
                <w:color w:val="000000"/>
                <w:sz w:val="20"/>
              </w:rPr>
            </w:pPr>
            <w:r w:rsidRPr="00552A8D">
              <w:rPr>
                <w:rFonts w:cstheme="minorHAnsi"/>
                <w:color w:val="000000"/>
                <w:sz w:val="20"/>
              </w:rPr>
              <w:t>ERANO</w:t>
            </w:r>
            <w:r>
              <w:rPr>
                <w:rFonts w:cstheme="minorHAnsi"/>
                <w:color w:val="000000"/>
                <w:sz w:val="20"/>
              </w:rPr>
              <w:t>S</w:t>
            </w:r>
            <w:r w:rsidR="00DA0D66">
              <w:rPr>
                <w:rFonts w:cstheme="minorHAnsi"/>
                <w:color w:val="000000"/>
                <w:sz w:val="20"/>
              </w:rPr>
              <w:t xml:space="preserve"> [2]</w:t>
            </w:r>
          </w:p>
        </w:tc>
        <w:tc>
          <w:tcPr>
            <w:tcW w:w="1005" w:type="pct"/>
            <w:shd w:val="clear" w:color="auto" w:fill="auto"/>
            <w:vAlign w:val="center"/>
          </w:tcPr>
          <w:p w14:paraId="3AFE7F15" w14:textId="274ABEC8"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 xml:space="preserve">JEFF 3.1 </w:t>
            </w:r>
            <w:r w:rsidRPr="00552A8D">
              <w:rPr>
                <w:rFonts w:eastAsia="Malgun Gothic" w:cstheme="minorHAnsi"/>
                <w:color w:val="000000" w:themeColor="text1"/>
                <w:sz w:val="20"/>
                <w:lang w:eastAsia="ko-KR"/>
              </w:rPr>
              <w:fldChar w:fldCharType="begin"/>
            </w:r>
            <w:r w:rsidRPr="00552A8D">
              <w:rPr>
                <w:rFonts w:eastAsia="Malgun Gothic" w:cstheme="minorHAnsi"/>
                <w:color w:val="000000" w:themeColor="text1"/>
                <w:sz w:val="20"/>
                <w:lang w:eastAsia="ko-KR"/>
              </w:rPr>
              <w:instrText xml:space="preserve"> REF _Ref64478698 \r \h </w:instrText>
            </w:r>
            <w:r>
              <w:rPr>
                <w:rFonts w:eastAsia="Malgun Gothic" w:cstheme="minorHAnsi"/>
                <w:color w:val="000000" w:themeColor="text1"/>
                <w:sz w:val="20"/>
                <w:lang w:eastAsia="ko-KR"/>
              </w:rPr>
              <w:instrText xml:space="preserve"> \* MERGEFORMAT </w:instrText>
            </w:r>
            <w:r w:rsidRPr="00552A8D">
              <w:rPr>
                <w:rFonts w:eastAsia="Malgun Gothic" w:cstheme="minorHAnsi"/>
                <w:color w:val="000000" w:themeColor="text1"/>
                <w:sz w:val="20"/>
                <w:lang w:eastAsia="ko-KR"/>
              </w:rPr>
            </w:r>
            <w:r w:rsidRPr="00552A8D">
              <w:rPr>
                <w:rFonts w:eastAsia="Malgun Gothic" w:cstheme="minorHAnsi"/>
                <w:color w:val="000000" w:themeColor="text1"/>
                <w:sz w:val="20"/>
                <w:lang w:eastAsia="ko-KR"/>
              </w:rPr>
              <w:fldChar w:fldCharType="separate"/>
            </w:r>
            <w:r w:rsidRPr="00552A8D">
              <w:rPr>
                <w:rFonts w:eastAsia="Malgun Gothic" w:cstheme="minorHAnsi"/>
                <w:color w:val="000000" w:themeColor="text1"/>
                <w:sz w:val="20"/>
                <w:lang w:eastAsia="ko-KR"/>
              </w:rPr>
              <w:t>[</w:t>
            </w:r>
            <w:r w:rsidR="00DA0D66">
              <w:rPr>
                <w:rFonts w:eastAsia="Malgun Gothic" w:cstheme="minorHAnsi"/>
                <w:color w:val="000000" w:themeColor="text1"/>
                <w:sz w:val="20"/>
                <w:lang w:eastAsia="ko-KR"/>
              </w:rPr>
              <w:t>3</w:t>
            </w:r>
            <w:r w:rsidRPr="00552A8D">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fldChar w:fldCharType="end"/>
            </w:r>
          </w:p>
        </w:tc>
        <w:tc>
          <w:tcPr>
            <w:tcW w:w="465" w:type="pct"/>
            <w:vAlign w:val="center"/>
          </w:tcPr>
          <w:p w14:paraId="505E2EAE"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X</w:t>
            </w:r>
          </w:p>
        </w:tc>
        <w:tc>
          <w:tcPr>
            <w:tcW w:w="585" w:type="pct"/>
            <w:shd w:val="clear" w:color="auto" w:fill="auto"/>
            <w:noWrap/>
            <w:vAlign w:val="center"/>
            <w:hideMark/>
          </w:tcPr>
          <w:p w14:paraId="4831B22F"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c>
          <w:tcPr>
            <w:tcW w:w="658" w:type="pct"/>
            <w:shd w:val="clear" w:color="auto" w:fill="auto"/>
            <w:noWrap/>
            <w:vAlign w:val="center"/>
            <w:hideMark/>
          </w:tcPr>
          <w:p w14:paraId="358DA146"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20039D48" w14:textId="77777777" w:rsidTr="00455456">
        <w:trPr>
          <w:trHeight w:val="14"/>
        </w:trPr>
        <w:tc>
          <w:tcPr>
            <w:tcW w:w="538" w:type="pct"/>
            <w:shd w:val="clear" w:color="auto" w:fill="auto"/>
            <w:noWrap/>
            <w:vAlign w:val="center"/>
          </w:tcPr>
          <w:p w14:paraId="2075DBD1" w14:textId="77777777" w:rsidR="00552A8D" w:rsidRPr="00552A8D" w:rsidRDefault="00552A8D" w:rsidP="00D31893">
            <w:pPr>
              <w:jc w:val="center"/>
              <w:rPr>
                <w:rFonts w:cstheme="minorHAnsi"/>
                <w:color w:val="000000"/>
                <w:sz w:val="20"/>
              </w:rPr>
            </w:pPr>
            <w:r w:rsidRPr="00552A8D">
              <w:rPr>
                <w:rFonts w:cstheme="minorHAnsi"/>
                <w:color w:val="000000"/>
                <w:sz w:val="20"/>
              </w:rPr>
              <w:t>Germany</w:t>
            </w:r>
          </w:p>
        </w:tc>
        <w:tc>
          <w:tcPr>
            <w:tcW w:w="773" w:type="pct"/>
            <w:shd w:val="clear" w:color="auto" w:fill="auto"/>
            <w:noWrap/>
            <w:vAlign w:val="center"/>
          </w:tcPr>
          <w:p w14:paraId="647E97D9" w14:textId="77777777" w:rsidR="00552A8D" w:rsidRPr="00552A8D" w:rsidRDefault="00552A8D" w:rsidP="00D31893">
            <w:pPr>
              <w:jc w:val="center"/>
              <w:rPr>
                <w:rFonts w:cstheme="minorHAnsi"/>
                <w:color w:val="000000"/>
                <w:sz w:val="20"/>
              </w:rPr>
            </w:pPr>
            <w:r w:rsidRPr="00552A8D">
              <w:rPr>
                <w:rFonts w:cstheme="minorHAnsi"/>
                <w:color w:val="000000"/>
                <w:sz w:val="20"/>
              </w:rPr>
              <w:t>HZDR</w:t>
            </w:r>
          </w:p>
        </w:tc>
        <w:tc>
          <w:tcPr>
            <w:tcW w:w="976" w:type="pct"/>
            <w:shd w:val="clear" w:color="auto" w:fill="auto"/>
            <w:noWrap/>
            <w:vAlign w:val="center"/>
          </w:tcPr>
          <w:p w14:paraId="67943F24" w14:textId="5E6643C3" w:rsidR="00552A8D" w:rsidRPr="00552A8D" w:rsidRDefault="00BC0AEF" w:rsidP="00D31893">
            <w:pPr>
              <w:jc w:val="center"/>
              <w:rPr>
                <w:rFonts w:cstheme="minorHAnsi"/>
                <w:color w:val="000000"/>
                <w:sz w:val="20"/>
              </w:rPr>
            </w:pPr>
            <w:proofErr w:type="spellStart"/>
            <w:r>
              <w:rPr>
                <w:rFonts w:cstheme="minorHAnsi"/>
                <w:color w:val="000000"/>
                <w:sz w:val="20"/>
              </w:rPr>
              <w:t>Sepent</w:t>
            </w:r>
            <w:proofErr w:type="spellEnd"/>
          </w:p>
        </w:tc>
        <w:tc>
          <w:tcPr>
            <w:tcW w:w="1005" w:type="pct"/>
            <w:shd w:val="clear" w:color="auto" w:fill="auto"/>
            <w:vAlign w:val="center"/>
          </w:tcPr>
          <w:p w14:paraId="3D4723B7"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JEFF 3.1</w:t>
            </w:r>
          </w:p>
        </w:tc>
        <w:tc>
          <w:tcPr>
            <w:tcW w:w="465" w:type="pct"/>
            <w:vAlign w:val="center"/>
          </w:tcPr>
          <w:p w14:paraId="6D3202F0" w14:textId="77777777" w:rsidR="00552A8D" w:rsidRPr="00552A8D" w:rsidRDefault="00552A8D" w:rsidP="00D31893">
            <w:pPr>
              <w:jc w:val="center"/>
              <w:rPr>
                <w:rFonts w:eastAsia="Malgun Gothic" w:cstheme="minorHAnsi"/>
                <w:color w:val="000000" w:themeColor="text1"/>
                <w:sz w:val="20"/>
                <w:lang w:eastAsia="ko-KR"/>
              </w:rPr>
            </w:pPr>
          </w:p>
        </w:tc>
        <w:tc>
          <w:tcPr>
            <w:tcW w:w="585" w:type="pct"/>
            <w:shd w:val="clear" w:color="auto" w:fill="auto"/>
            <w:noWrap/>
            <w:vAlign w:val="center"/>
          </w:tcPr>
          <w:p w14:paraId="32A79AC3" w14:textId="77777777" w:rsidR="00552A8D" w:rsidRPr="00552A8D" w:rsidRDefault="00552A8D" w:rsidP="00D31893">
            <w:pPr>
              <w:jc w:val="center"/>
              <w:rPr>
                <w:rFonts w:eastAsia="Malgun Gothic" w:cstheme="minorHAnsi"/>
                <w:color w:val="000000"/>
                <w:sz w:val="20"/>
                <w:lang w:eastAsia="ko-KR"/>
              </w:rPr>
            </w:pPr>
          </w:p>
        </w:tc>
        <w:tc>
          <w:tcPr>
            <w:tcW w:w="658" w:type="pct"/>
            <w:shd w:val="clear" w:color="auto" w:fill="auto"/>
            <w:noWrap/>
            <w:vAlign w:val="center"/>
          </w:tcPr>
          <w:p w14:paraId="62E90221"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0575C57A" w14:textId="77777777" w:rsidTr="00455456">
        <w:trPr>
          <w:trHeight w:val="14"/>
        </w:trPr>
        <w:tc>
          <w:tcPr>
            <w:tcW w:w="538" w:type="pct"/>
            <w:shd w:val="clear" w:color="auto" w:fill="auto"/>
            <w:noWrap/>
            <w:vAlign w:val="center"/>
            <w:hideMark/>
          </w:tcPr>
          <w:p w14:paraId="45B59F35" w14:textId="77777777" w:rsidR="00552A8D" w:rsidRPr="00552A8D" w:rsidRDefault="00552A8D" w:rsidP="00D31893">
            <w:pPr>
              <w:jc w:val="center"/>
              <w:rPr>
                <w:rFonts w:cstheme="minorHAnsi"/>
                <w:color w:val="000000"/>
                <w:sz w:val="20"/>
              </w:rPr>
            </w:pPr>
            <w:r w:rsidRPr="00552A8D">
              <w:rPr>
                <w:rFonts w:cstheme="minorHAnsi"/>
                <w:color w:val="000000"/>
                <w:sz w:val="20"/>
              </w:rPr>
              <w:t>Hungary</w:t>
            </w:r>
          </w:p>
        </w:tc>
        <w:tc>
          <w:tcPr>
            <w:tcW w:w="773" w:type="pct"/>
            <w:shd w:val="clear" w:color="auto" w:fill="auto"/>
            <w:noWrap/>
            <w:vAlign w:val="center"/>
            <w:hideMark/>
          </w:tcPr>
          <w:p w14:paraId="63A99C1A" w14:textId="77777777" w:rsidR="00552A8D" w:rsidRPr="00552A8D" w:rsidRDefault="00552A8D" w:rsidP="00D31893">
            <w:pPr>
              <w:jc w:val="center"/>
              <w:rPr>
                <w:rFonts w:cstheme="minorHAnsi"/>
                <w:color w:val="000000"/>
                <w:sz w:val="20"/>
              </w:rPr>
            </w:pPr>
            <w:r w:rsidRPr="00552A8D">
              <w:rPr>
                <w:rFonts w:cstheme="minorHAnsi"/>
                <w:color w:val="000000"/>
                <w:sz w:val="20"/>
              </w:rPr>
              <w:t>MTA / CER</w:t>
            </w:r>
          </w:p>
        </w:tc>
        <w:tc>
          <w:tcPr>
            <w:tcW w:w="976" w:type="pct"/>
            <w:shd w:val="clear" w:color="auto" w:fill="auto"/>
            <w:noWrap/>
            <w:vAlign w:val="center"/>
            <w:hideMark/>
          </w:tcPr>
          <w:p w14:paraId="7CD68834" w14:textId="666BA47F" w:rsidR="00552A8D" w:rsidRPr="00552A8D" w:rsidRDefault="00BC0AEF" w:rsidP="00D31893">
            <w:pPr>
              <w:jc w:val="center"/>
              <w:rPr>
                <w:rFonts w:cstheme="minorHAnsi"/>
                <w:color w:val="000000"/>
                <w:sz w:val="20"/>
              </w:rPr>
            </w:pPr>
            <w:proofErr w:type="spellStart"/>
            <w:r>
              <w:rPr>
                <w:rFonts w:cstheme="minorHAnsi"/>
                <w:color w:val="000000"/>
                <w:sz w:val="20"/>
              </w:rPr>
              <w:t>Sepent</w:t>
            </w:r>
            <w:proofErr w:type="spellEnd"/>
          </w:p>
        </w:tc>
        <w:tc>
          <w:tcPr>
            <w:tcW w:w="1005" w:type="pct"/>
            <w:shd w:val="clear" w:color="auto" w:fill="auto"/>
            <w:vAlign w:val="center"/>
          </w:tcPr>
          <w:p w14:paraId="4D342F45" w14:textId="06EE9F38"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660657FC"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X</w:t>
            </w:r>
          </w:p>
        </w:tc>
        <w:tc>
          <w:tcPr>
            <w:tcW w:w="585" w:type="pct"/>
            <w:shd w:val="clear" w:color="auto" w:fill="auto"/>
            <w:noWrap/>
            <w:vAlign w:val="center"/>
            <w:hideMark/>
          </w:tcPr>
          <w:p w14:paraId="1C6A4A4C" w14:textId="7127E431" w:rsidR="00552A8D" w:rsidRPr="00552A8D" w:rsidRDefault="00552A8D" w:rsidP="00D31893">
            <w:pPr>
              <w:jc w:val="center"/>
              <w:rPr>
                <w:rFonts w:eastAsia="Malgun Gothic" w:cstheme="minorHAnsi"/>
                <w:color w:val="000000"/>
                <w:sz w:val="20"/>
                <w:lang w:eastAsia="ko-KR"/>
              </w:rPr>
            </w:pPr>
          </w:p>
        </w:tc>
        <w:tc>
          <w:tcPr>
            <w:tcW w:w="658" w:type="pct"/>
            <w:shd w:val="clear" w:color="auto" w:fill="auto"/>
            <w:noWrap/>
            <w:vAlign w:val="center"/>
            <w:hideMark/>
          </w:tcPr>
          <w:p w14:paraId="34B100BB"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30727CE9" w14:textId="77777777" w:rsidTr="00455456">
        <w:trPr>
          <w:trHeight w:val="14"/>
        </w:trPr>
        <w:tc>
          <w:tcPr>
            <w:tcW w:w="538" w:type="pct"/>
            <w:shd w:val="clear" w:color="auto" w:fill="auto"/>
            <w:noWrap/>
            <w:vAlign w:val="center"/>
            <w:hideMark/>
          </w:tcPr>
          <w:p w14:paraId="12258DFF" w14:textId="77777777" w:rsidR="00552A8D" w:rsidRPr="00552A8D" w:rsidRDefault="00552A8D" w:rsidP="00D31893">
            <w:pPr>
              <w:jc w:val="center"/>
              <w:rPr>
                <w:rFonts w:cstheme="minorHAnsi"/>
                <w:color w:val="000000"/>
                <w:sz w:val="20"/>
              </w:rPr>
            </w:pPr>
            <w:r w:rsidRPr="00552A8D">
              <w:rPr>
                <w:rFonts w:cstheme="minorHAnsi"/>
                <w:color w:val="000000"/>
                <w:sz w:val="20"/>
              </w:rPr>
              <w:t>India</w:t>
            </w:r>
          </w:p>
        </w:tc>
        <w:tc>
          <w:tcPr>
            <w:tcW w:w="773" w:type="pct"/>
            <w:shd w:val="clear" w:color="auto" w:fill="auto"/>
            <w:noWrap/>
            <w:vAlign w:val="center"/>
            <w:hideMark/>
          </w:tcPr>
          <w:p w14:paraId="45C53DB6" w14:textId="77777777" w:rsidR="00552A8D" w:rsidRPr="00552A8D" w:rsidRDefault="00552A8D" w:rsidP="00D31893">
            <w:pPr>
              <w:jc w:val="center"/>
              <w:rPr>
                <w:rFonts w:cstheme="minorHAnsi"/>
                <w:color w:val="000000"/>
                <w:sz w:val="20"/>
              </w:rPr>
            </w:pPr>
            <w:r w:rsidRPr="00552A8D">
              <w:rPr>
                <w:rFonts w:cstheme="minorHAnsi"/>
                <w:color w:val="000000"/>
                <w:sz w:val="20"/>
              </w:rPr>
              <w:t>IGCAR</w:t>
            </w:r>
          </w:p>
        </w:tc>
        <w:tc>
          <w:tcPr>
            <w:tcW w:w="976" w:type="pct"/>
            <w:shd w:val="clear" w:color="auto" w:fill="auto"/>
            <w:noWrap/>
            <w:vAlign w:val="center"/>
            <w:hideMark/>
          </w:tcPr>
          <w:p w14:paraId="3ADD534C" w14:textId="0B5ECE03" w:rsidR="00552A8D" w:rsidRPr="00552A8D" w:rsidRDefault="00552A8D" w:rsidP="00D31893">
            <w:pPr>
              <w:jc w:val="center"/>
              <w:rPr>
                <w:rFonts w:cstheme="minorHAnsi"/>
                <w:color w:val="000000"/>
                <w:sz w:val="20"/>
              </w:rPr>
            </w:pPr>
            <w:proofErr w:type="spellStart"/>
            <w:r w:rsidRPr="00552A8D">
              <w:rPr>
                <w:rFonts w:cstheme="minorHAnsi"/>
                <w:color w:val="000000"/>
                <w:sz w:val="20"/>
              </w:rPr>
              <w:t>OpenMC</w:t>
            </w:r>
            <w:proofErr w:type="spellEnd"/>
            <w:r w:rsidR="00B73BC0">
              <w:rPr>
                <w:rFonts w:cstheme="minorHAnsi"/>
                <w:color w:val="000000"/>
                <w:sz w:val="20"/>
              </w:rPr>
              <w:t xml:space="preserve"> </w:t>
            </w:r>
            <w:r w:rsidR="00B375E3">
              <w:rPr>
                <w:rFonts w:cstheme="minorHAnsi"/>
                <w:color w:val="000000"/>
                <w:sz w:val="20"/>
              </w:rPr>
              <w:t>[4]</w:t>
            </w:r>
          </w:p>
        </w:tc>
        <w:tc>
          <w:tcPr>
            <w:tcW w:w="1005" w:type="pct"/>
            <w:shd w:val="clear" w:color="auto" w:fill="auto"/>
            <w:vAlign w:val="center"/>
          </w:tcPr>
          <w:p w14:paraId="57D15ED4" w14:textId="189F961F" w:rsidR="00CD2871"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162FCB27"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X</w:t>
            </w:r>
          </w:p>
        </w:tc>
        <w:tc>
          <w:tcPr>
            <w:tcW w:w="585" w:type="pct"/>
            <w:shd w:val="clear" w:color="auto" w:fill="auto"/>
            <w:noWrap/>
            <w:vAlign w:val="center"/>
            <w:hideMark/>
          </w:tcPr>
          <w:p w14:paraId="42914C5E" w14:textId="5D9AF53C" w:rsidR="00552A8D" w:rsidRPr="00455456" w:rsidRDefault="00552A8D" w:rsidP="00D31893">
            <w:pPr>
              <w:jc w:val="center"/>
              <w:rPr>
                <w:rFonts w:eastAsia="Malgun Gothic" w:cstheme="minorHAnsi"/>
                <w:strike/>
                <w:color w:val="000000"/>
                <w:sz w:val="20"/>
                <w:lang w:eastAsia="ko-KR"/>
              </w:rPr>
            </w:pPr>
          </w:p>
        </w:tc>
        <w:tc>
          <w:tcPr>
            <w:tcW w:w="658" w:type="pct"/>
            <w:shd w:val="clear" w:color="auto" w:fill="auto"/>
            <w:noWrap/>
            <w:vAlign w:val="center"/>
            <w:hideMark/>
          </w:tcPr>
          <w:p w14:paraId="5B2B8AA3"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5EAA86A7" w14:textId="77777777" w:rsidTr="00455456">
        <w:trPr>
          <w:trHeight w:val="14"/>
        </w:trPr>
        <w:tc>
          <w:tcPr>
            <w:tcW w:w="538" w:type="pct"/>
            <w:shd w:val="clear" w:color="auto" w:fill="auto"/>
            <w:noWrap/>
            <w:vAlign w:val="center"/>
            <w:hideMark/>
          </w:tcPr>
          <w:p w14:paraId="332ECD7D" w14:textId="77777777" w:rsidR="00552A8D" w:rsidRPr="00552A8D" w:rsidRDefault="00552A8D" w:rsidP="00D31893">
            <w:pPr>
              <w:jc w:val="center"/>
              <w:rPr>
                <w:rFonts w:cstheme="minorHAnsi"/>
                <w:color w:val="000000"/>
                <w:sz w:val="20"/>
              </w:rPr>
            </w:pPr>
            <w:r w:rsidRPr="00552A8D">
              <w:rPr>
                <w:rFonts w:cstheme="minorHAnsi"/>
                <w:color w:val="000000"/>
                <w:sz w:val="20"/>
              </w:rPr>
              <w:t>Italy</w:t>
            </w:r>
          </w:p>
        </w:tc>
        <w:tc>
          <w:tcPr>
            <w:tcW w:w="773" w:type="pct"/>
            <w:shd w:val="clear" w:color="auto" w:fill="auto"/>
            <w:noWrap/>
            <w:vAlign w:val="center"/>
            <w:hideMark/>
          </w:tcPr>
          <w:p w14:paraId="258DFBE5" w14:textId="77777777" w:rsidR="00552A8D" w:rsidRPr="00552A8D" w:rsidRDefault="00552A8D" w:rsidP="00D31893">
            <w:pPr>
              <w:jc w:val="center"/>
              <w:rPr>
                <w:rFonts w:cstheme="minorHAnsi"/>
                <w:color w:val="000000"/>
                <w:sz w:val="20"/>
              </w:rPr>
            </w:pPr>
            <w:r w:rsidRPr="00552A8D">
              <w:rPr>
                <w:rFonts w:cstheme="minorHAnsi"/>
                <w:color w:val="000000"/>
                <w:sz w:val="20"/>
              </w:rPr>
              <w:t>NINE/UNIPI</w:t>
            </w:r>
          </w:p>
        </w:tc>
        <w:tc>
          <w:tcPr>
            <w:tcW w:w="976" w:type="pct"/>
            <w:shd w:val="clear" w:color="auto" w:fill="auto"/>
            <w:noWrap/>
            <w:vAlign w:val="center"/>
            <w:hideMark/>
          </w:tcPr>
          <w:p w14:paraId="53053E9B" w14:textId="6FEFE78D" w:rsidR="00552A8D" w:rsidRPr="00552A8D" w:rsidRDefault="00BC0AEF" w:rsidP="00D31893">
            <w:pPr>
              <w:jc w:val="center"/>
              <w:rPr>
                <w:rFonts w:cstheme="minorHAnsi"/>
                <w:color w:val="000000"/>
                <w:sz w:val="20"/>
              </w:rPr>
            </w:pPr>
            <w:proofErr w:type="spellStart"/>
            <w:r>
              <w:rPr>
                <w:rFonts w:cstheme="minorHAnsi"/>
                <w:color w:val="000000"/>
                <w:sz w:val="20"/>
              </w:rPr>
              <w:t>Sepent</w:t>
            </w:r>
            <w:proofErr w:type="spellEnd"/>
          </w:p>
        </w:tc>
        <w:tc>
          <w:tcPr>
            <w:tcW w:w="1005" w:type="pct"/>
            <w:shd w:val="clear" w:color="auto" w:fill="auto"/>
            <w:vAlign w:val="center"/>
          </w:tcPr>
          <w:p w14:paraId="0B3FA5EA" w14:textId="1865163C"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23CCC12D" w14:textId="77777777" w:rsidR="00552A8D" w:rsidRPr="00552A8D" w:rsidRDefault="00552A8D" w:rsidP="00D31893">
            <w:pPr>
              <w:jc w:val="center"/>
              <w:rPr>
                <w:rFonts w:cstheme="minorHAnsi"/>
                <w:color w:val="000000" w:themeColor="text1"/>
                <w:sz w:val="20"/>
              </w:rPr>
            </w:pPr>
          </w:p>
        </w:tc>
        <w:tc>
          <w:tcPr>
            <w:tcW w:w="585" w:type="pct"/>
            <w:shd w:val="clear" w:color="auto" w:fill="auto"/>
            <w:noWrap/>
            <w:vAlign w:val="center"/>
          </w:tcPr>
          <w:p w14:paraId="011B938C" w14:textId="77777777" w:rsidR="00552A8D" w:rsidRPr="00552A8D" w:rsidRDefault="00552A8D" w:rsidP="00D31893">
            <w:pPr>
              <w:jc w:val="center"/>
              <w:rPr>
                <w:rFonts w:cstheme="minorHAnsi"/>
                <w:color w:val="000000"/>
                <w:sz w:val="20"/>
              </w:rPr>
            </w:pPr>
          </w:p>
        </w:tc>
        <w:tc>
          <w:tcPr>
            <w:tcW w:w="658" w:type="pct"/>
            <w:shd w:val="clear" w:color="auto" w:fill="auto"/>
            <w:noWrap/>
            <w:vAlign w:val="center"/>
            <w:hideMark/>
          </w:tcPr>
          <w:p w14:paraId="19F81E2E"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40DE9F8B" w14:textId="77777777" w:rsidTr="00455456">
        <w:trPr>
          <w:trHeight w:val="14"/>
        </w:trPr>
        <w:tc>
          <w:tcPr>
            <w:tcW w:w="538" w:type="pct"/>
            <w:shd w:val="clear" w:color="auto" w:fill="auto"/>
            <w:noWrap/>
            <w:vAlign w:val="center"/>
            <w:hideMark/>
          </w:tcPr>
          <w:p w14:paraId="4EFCA5FF" w14:textId="77777777" w:rsidR="00552A8D" w:rsidRPr="00552A8D" w:rsidRDefault="00552A8D" w:rsidP="00D31893">
            <w:pPr>
              <w:jc w:val="center"/>
              <w:rPr>
                <w:rFonts w:cstheme="minorHAnsi"/>
                <w:color w:val="000000"/>
                <w:sz w:val="20"/>
              </w:rPr>
            </w:pPr>
            <w:r w:rsidRPr="00552A8D">
              <w:rPr>
                <w:rFonts w:cstheme="minorHAnsi"/>
                <w:color w:val="000000"/>
                <w:sz w:val="20"/>
              </w:rPr>
              <w:t>Japan</w:t>
            </w:r>
          </w:p>
        </w:tc>
        <w:tc>
          <w:tcPr>
            <w:tcW w:w="773" w:type="pct"/>
            <w:shd w:val="clear" w:color="auto" w:fill="auto"/>
            <w:noWrap/>
            <w:vAlign w:val="center"/>
            <w:hideMark/>
          </w:tcPr>
          <w:p w14:paraId="4D790A64" w14:textId="77777777" w:rsidR="00552A8D" w:rsidRPr="00552A8D" w:rsidRDefault="00552A8D" w:rsidP="00D31893">
            <w:pPr>
              <w:jc w:val="center"/>
              <w:rPr>
                <w:rFonts w:cstheme="minorHAnsi"/>
                <w:color w:val="000000"/>
                <w:sz w:val="20"/>
              </w:rPr>
            </w:pPr>
            <w:r w:rsidRPr="00552A8D">
              <w:rPr>
                <w:rFonts w:cstheme="minorHAnsi"/>
                <w:color w:val="000000"/>
                <w:sz w:val="20"/>
              </w:rPr>
              <w:t>JAEA</w:t>
            </w:r>
          </w:p>
        </w:tc>
        <w:tc>
          <w:tcPr>
            <w:tcW w:w="976" w:type="pct"/>
            <w:shd w:val="clear" w:color="auto" w:fill="auto"/>
            <w:noWrap/>
            <w:vAlign w:val="center"/>
            <w:hideMark/>
          </w:tcPr>
          <w:p w14:paraId="3790879A" w14:textId="3C65BAC4" w:rsidR="00552A8D" w:rsidRPr="00552A8D" w:rsidRDefault="00552A8D" w:rsidP="00D31893">
            <w:pPr>
              <w:jc w:val="center"/>
              <w:rPr>
                <w:rFonts w:cstheme="minorHAnsi"/>
                <w:color w:val="000000"/>
                <w:sz w:val="20"/>
              </w:rPr>
            </w:pPr>
            <w:r w:rsidRPr="00552A8D">
              <w:rPr>
                <w:rFonts w:cstheme="minorHAnsi"/>
                <w:color w:val="000000"/>
                <w:sz w:val="20"/>
              </w:rPr>
              <w:t>PARTISN, MVP</w:t>
            </w:r>
          </w:p>
        </w:tc>
        <w:tc>
          <w:tcPr>
            <w:tcW w:w="1005" w:type="pct"/>
            <w:shd w:val="clear" w:color="auto" w:fill="auto"/>
            <w:vAlign w:val="center"/>
          </w:tcPr>
          <w:p w14:paraId="3EAF00A7"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JENDL-4.0</w:t>
            </w:r>
          </w:p>
        </w:tc>
        <w:tc>
          <w:tcPr>
            <w:tcW w:w="465" w:type="pct"/>
            <w:vAlign w:val="center"/>
          </w:tcPr>
          <w:p w14:paraId="5AB8DB1C" w14:textId="77777777" w:rsidR="00552A8D" w:rsidRPr="00552A8D" w:rsidRDefault="00552A8D" w:rsidP="00D31893">
            <w:pPr>
              <w:jc w:val="center"/>
              <w:rPr>
                <w:rFonts w:eastAsia="Malgun Gothic" w:cstheme="minorHAnsi"/>
                <w:color w:val="000000" w:themeColor="text1"/>
                <w:sz w:val="20"/>
                <w:lang w:eastAsia="ko-KR"/>
              </w:rPr>
            </w:pPr>
          </w:p>
        </w:tc>
        <w:tc>
          <w:tcPr>
            <w:tcW w:w="585" w:type="pct"/>
            <w:shd w:val="clear" w:color="auto" w:fill="auto"/>
            <w:noWrap/>
            <w:vAlign w:val="center"/>
            <w:hideMark/>
          </w:tcPr>
          <w:p w14:paraId="00BAB637"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c>
          <w:tcPr>
            <w:tcW w:w="658" w:type="pct"/>
            <w:shd w:val="clear" w:color="auto" w:fill="auto"/>
            <w:noWrap/>
            <w:vAlign w:val="center"/>
            <w:hideMark/>
          </w:tcPr>
          <w:p w14:paraId="15ED04D2"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0E587D13" w14:textId="77777777" w:rsidTr="00455456">
        <w:trPr>
          <w:trHeight w:val="14"/>
        </w:trPr>
        <w:tc>
          <w:tcPr>
            <w:tcW w:w="538" w:type="pct"/>
            <w:shd w:val="clear" w:color="auto" w:fill="auto"/>
            <w:noWrap/>
            <w:vAlign w:val="center"/>
            <w:hideMark/>
          </w:tcPr>
          <w:p w14:paraId="379B5FC4" w14:textId="77777777" w:rsidR="00552A8D" w:rsidRPr="00552A8D" w:rsidRDefault="00552A8D" w:rsidP="00D31893">
            <w:pPr>
              <w:jc w:val="center"/>
              <w:rPr>
                <w:rFonts w:cstheme="minorHAnsi"/>
                <w:color w:val="000000"/>
                <w:sz w:val="20"/>
              </w:rPr>
            </w:pPr>
            <w:r w:rsidRPr="00552A8D">
              <w:rPr>
                <w:rFonts w:cstheme="minorHAnsi"/>
                <w:color w:val="000000"/>
                <w:sz w:val="20"/>
              </w:rPr>
              <w:t>Korea</w:t>
            </w:r>
          </w:p>
        </w:tc>
        <w:tc>
          <w:tcPr>
            <w:tcW w:w="773" w:type="pct"/>
            <w:shd w:val="clear" w:color="auto" w:fill="auto"/>
            <w:noWrap/>
            <w:vAlign w:val="center"/>
            <w:hideMark/>
          </w:tcPr>
          <w:p w14:paraId="5EB5B047" w14:textId="77777777" w:rsidR="00552A8D" w:rsidRPr="00552A8D" w:rsidRDefault="00552A8D" w:rsidP="00D31893">
            <w:pPr>
              <w:jc w:val="center"/>
              <w:rPr>
                <w:rFonts w:cstheme="minorHAnsi"/>
                <w:color w:val="000000"/>
                <w:sz w:val="20"/>
              </w:rPr>
            </w:pPr>
            <w:r w:rsidRPr="00552A8D">
              <w:rPr>
                <w:rFonts w:cstheme="minorHAnsi"/>
                <w:color w:val="000000"/>
                <w:sz w:val="20"/>
              </w:rPr>
              <w:t>UNIST</w:t>
            </w:r>
          </w:p>
        </w:tc>
        <w:tc>
          <w:tcPr>
            <w:tcW w:w="976" w:type="pct"/>
            <w:shd w:val="clear" w:color="auto" w:fill="auto"/>
            <w:noWrap/>
            <w:vAlign w:val="center"/>
            <w:hideMark/>
          </w:tcPr>
          <w:p w14:paraId="7B3877F8" w14:textId="77777777" w:rsidR="00552A8D" w:rsidRPr="00552A8D" w:rsidRDefault="00552A8D" w:rsidP="00D31893">
            <w:pPr>
              <w:jc w:val="center"/>
              <w:rPr>
                <w:rFonts w:cstheme="minorHAnsi"/>
                <w:color w:val="000000"/>
                <w:sz w:val="20"/>
              </w:rPr>
            </w:pPr>
            <w:r w:rsidRPr="00552A8D">
              <w:rPr>
                <w:rFonts w:cstheme="minorHAnsi"/>
                <w:color w:val="000000"/>
                <w:sz w:val="20"/>
              </w:rPr>
              <w:t>MCS</w:t>
            </w:r>
          </w:p>
        </w:tc>
        <w:tc>
          <w:tcPr>
            <w:tcW w:w="1005" w:type="pct"/>
            <w:shd w:val="clear" w:color="auto" w:fill="auto"/>
            <w:vAlign w:val="center"/>
          </w:tcPr>
          <w:p w14:paraId="405F5FAD" w14:textId="5EE8EA6F"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-VII.1</w:t>
            </w:r>
          </w:p>
        </w:tc>
        <w:tc>
          <w:tcPr>
            <w:tcW w:w="465" w:type="pct"/>
            <w:vAlign w:val="center"/>
          </w:tcPr>
          <w:p w14:paraId="25E64FFC" w14:textId="77777777" w:rsidR="00552A8D" w:rsidRPr="00552A8D" w:rsidRDefault="00552A8D" w:rsidP="00D31893">
            <w:pPr>
              <w:jc w:val="center"/>
              <w:rPr>
                <w:rFonts w:cstheme="minorHAnsi"/>
                <w:color w:val="000000" w:themeColor="text1"/>
                <w:sz w:val="20"/>
              </w:rPr>
            </w:pPr>
            <w:r w:rsidRPr="00552A8D">
              <w:rPr>
                <w:rFonts w:cstheme="minorHAnsi"/>
                <w:color w:val="000000" w:themeColor="text1"/>
                <w:sz w:val="20"/>
              </w:rPr>
              <w:t>X</w:t>
            </w:r>
          </w:p>
        </w:tc>
        <w:tc>
          <w:tcPr>
            <w:tcW w:w="585" w:type="pct"/>
            <w:shd w:val="clear" w:color="auto" w:fill="auto"/>
            <w:noWrap/>
            <w:vAlign w:val="center"/>
          </w:tcPr>
          <w:p w14:paraId="0F972BC0" w14:textId="77777777" w:rsidR="00552A8D" w:rsidRPr="00552A8D" w:rsidRDefault="00552A8D" w:rsidP="00D31893">
            <w:pPr>
              <w:jc w:val="center"/>
              <w:rPr>
                <w:rFonts w:cstheme="minorHAnsi"/>
                <w:color w:val="000000"/>
                <w:sz w:val="20"/>
              </w:rPr>
            </w:pPr>
          </w:p>
        </w:tc>
        <w:tc>
          <w:tcPr>
            <w:tcW w:w="658" w:type="pct"/>
            <w:shd w:val="clear" w:color="auto" w:fill="auto"/>
            <w:noWrap/>
            <w:vAlign w:val="center"/>
            <w:hideMark/>
          </w:tcPr>
          <w:p w14:paraId="357616E1"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5C5DB9E7" w14:textId="77777777" w:rsidTr="00455456">
        <w:trPr>
          <w:trHeight w:val="14"/>
        </w:trPr>
        <w:tc>
          <w:tcPr>
            <w:tcW w:w="538" w:type="pct"/>
            <w:shd w:val="clear" w:color="auto" w:fill="auto"/>
            <w:noWrap/>
            <w:vAlign w:val="center"/>
            <w:hideMark/>
          </w:tcPr>
          <w:p w14:paraId="73C2F261" w14:textId="77777777" w:rsidR="00552A8D" w:rsidRPr="00552A8D" w:rsidRDefault="00552A8D" w:rsidP="00D31893">
            <w:pPr>
              <w:jc w:val="center"/>
              <w:rPr>
                <w:rFonts w:cstheme="minorHAnsi"/>
                <w:color w:val="000000"/>
                <w:sz w:val="20"/>
              </w:rPr>
            </w:pPr>
            <w:r w:rsidRPr="00552A8D">
              <w:rPr>
                <w:rFonts w:cstheme="minorHAnsi"/>
                <w:color w:val="000000"/>
                <w:sz w:val="20"/>
              </w:rPr>
              <w:t>Korea</w:t>
            </w:r>
          </w:p>
        </w:tc>
        <w:tc>
          <w:tcPr>
            <w:tcW w:w="773" w:type="pct"/>
            <w:shd w:val="clear" w:color="auto" w:fill="auto"/>
            <w:noWrap/>
            <w:vAlign w:val="center"/>
            <w:hideMark/>
          </w:tcPr>
          <w:p w14:paraId="18D96116" w14:textId="77777777" w:rsidR="00552A8D" w:rsidRPr="00552A8D" w:rsidRDefault="00552A8D" w:rsidP="00D31893">
            <w:pPr>
              <w:jc w:val="center"/>
              <w:rPr>
                <w:rFonts w:cstheme="minorHAnsi"/>
                <w:color w:val="000000"/>
                <w:sz w:val="20"/>
              </w:rPr>
            </w:pPr>
            <w:r w:rsidRPr="00552A8D">
              <w:rPr>
                <w:rFonts w:cstheme="minorHAnsi"/>
                <w:color w:val="000000"/>
                <w:sz w:val="20"/>
              </w:rPr>
              <w:t>KAERI</w:t>
            </w:r>
          </w:p>
        </w:tc>
        <w:tc>
          <w:tcPr>
            <w:tcW w:w="976" w:type="pct"/>
            <w:shd w:val="clear" w:color="auto" w:fill="auto"/>
            <w:noWrap/>
            <w:vAlign w:val="center"/>
            <w:hideMark/>
          </w:tcPr>
          <w:p w14:paraId="666E478E" w14:textId="75EFC203" w:rsidR="00552A8D" w:rsidRPr="00552A8D" w:rsidRDefault="006901CD" w:rsidP="00D31893">
            <w:pPr>
              <w:jc w:val="center"/>
              <w:rPr>
                <w:rFonts w:cstheme="minorHAnsi"/>
                <w:color w:val="000000"/>
                <w:sz w:val="20"/>
              </w:rPr>
            </w:pPr>
            <w:r>
              <w:rPr>
                <w:rFonts w:cstheme="minorHAnsi"/>
                <w:color w:val="000000"/>
                <w:sz w:val="20"/>
              </w:rPr>
              <w:t>DIF3D</w:t>
            </w:r>
            <w:r w:rsidR="00552A8D" w:rsidRPr="00552A8D">
              <w:rPr>
                <w:rFonts w:cstheme="minorHAnsi"/>
                <w:color w:val="000000"/>
                <w:sz w:val="20"/>
              </w:rPr>
              <w:t xml:space="preserve">, </w:t>
            </w:r>
            <w:proofErr w:type="spellStart"/>
            <w:r w:rsidR="00552A8D" w:rsidRPr="00552A8D">
              <w:rPr>
                <w:rFonts w:cstheme="minorHAnsi"/>
                <w:color w:val="000000"/>
                <w:sz w:val="20"/>
              </w:rPr>
              <w:t>McCARD</w:t>
            </w:r>
            <w:proofErr w:type="spellEnd"/>
          </w:p>
        </w:tc>
        <w:tc>
          <w:tcPr>
            <w:tcW w:w="1005" w:type="pct"/>
            <w:shd w:val="clear" w:color="auto" w:fill="auto"/>
            <w:vAlign w:val="center"/>
          </w:tcPr>
          <w:p w14:paraId="2FBC0620" w14:textId="66BB8CF1"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-VII.0</w:t>
            </w:r>
          </w:p>
          <w:p w14:paraId="5B43D6E9" w14:textId="5859C4E4"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-VII.1</w:t>
            </w:r>
          </w:p>
        </w:tc>
        <w:tc>
          <w:tcPr>
            <w:tcW w:w="465" w:type="pct"/>
            <w:vAlign w:val="center"/>
          </w:tcPr>
          <w:p w14:paraId="549887F4" w14:textId="77777777"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X</w:t>
            </w:r>
            <w:r w:rsidRPr="00552A8D">
              <w:rPr>
                <w:rFonts w:eastAsia="Malgun Gothic" w:cstheme="minorHAnsi"/>
                <w:color w:val="000000" w:themeColor="text1"/>
                <w:sz w:val="20"/>
                <w:lang w:eastAsia="ko-KR"/>
              </w:rPr>
              <w:br/>
            </w:r>
          </w:p>
        </w:tc>
        <w:tc>
          <w:tcPr>
            <w:tcW w:w="585" w:type="pct"/>
            <w:shd w:val="clear" w:color="auto" w:fill="auto"/>
            <w:noWrap/>
            <w:vAlign w:val="center"/>
            <w:hideMark/>
          </w:tcPr>
          <w:p w14:paraId="7AA47746"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r w:rsidRPr="00552A8D">
              <w:rPr>
                <w:rFonts w:eastAsia="Malgun Gothic" w:cstheme="minorHAnsi"/>
                <w:color w:val="000000"/>
                <w:sz w:val="20"/>
                <w:lang w:eastAsia="ko-KR"/>
              </w:rPr>
              <w:br/>
            </w:r>
          </w:p>
          <w:p w14:paraId="1280BE41" w14:textId="77777777" w:rsidR="00552A8D" w:rsidRPr="00552A8D" w:rsidRDefault="00552A8D" w:rsidP="00D31893">
            <w:pPr>
              <w:jc w:val="center"/>
              <w:rPr>
                <w:rFonts w:eastAsia="Malgun Gothic" w:cstheme="minorHAnsi"/>
                <w:color w:val="000000"/>
                <w:sz w:val="20"/>
                <w:lang w:eastAsia="ko-KR"/>
              </w:rPr>
            </w:pPr>
          </w:p>
        </w:tc>
        <w:tc>
          <w:tcPr>
            <w:tcW w:w="658" w:type="pct"/>
            <w:shd w:val="clear" w:color="auto" w:fill="auto"/>
            <w:noWrap/>
            <w:vAlign w:val="center"/>
            <w:hideMark/>
          </w:tcPr>
          <w:p w14:paraId="700F86F9" w14:textId="77777777" w:rsidR="00552A8D" w:rsidRPr="00552A8D" w:rsidRDefault="00552A8D" w:rsidP="00D31893">
            <w:pPr>
              <w:jc w:val="center"/>
              <w:rPr>
                <w:rFonts w:eastAsia="Malgun Gothic" w:cstheme="minorHAnsi"/>
                <w:color w:val="000000"/>
                <w:sz w:val="20"/>
                <w:lang w:eastAsia="ko-KR"/>
              </w:rPr>
            </w:pPr>
          </w:p>
          <w:p w14:paraId="1EB9E39D"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4EED792B" w14:textId="77777777" w:rsidTr="00455456">
        <w:trPr>
          <w:trHeight w:val="14"/>
        </w:trPr>
        <w:tc>
          <w:tcPr>
            <w:tcW w:w="538" w:type="pct"/>
            <w:shd w:val="clear" w:color="auto" w:fill="auto"/>
            <w:noWrap/>
            <w:vAlign w:val="center"/>
            <w:hideMark/>
          </w:tcPr>
          <w:p w14:paraId="12B1B1C8" w14:textId="77777777" w:rsidR="00552A8D" w:rsidRPr="00552A8D" w:rsidRDefault="00552A8D" w:rsidP="00D31893">
            <w:pPr>
              <w:jc w:val="center"/>
              <w:rPr>
                <w:rFonts w:cstheme="minorHAnsi"/>
                <w:color w:val="000000"/>
                <w:sz w:val="20"/>
              </w:rPr>
            </w:pPr>
            <w:r w:rsidRPr="00552A8D">
              <w:rPr>
                <w:rFonts w:cstheme="minorHAnsi"/>
                <w:color w:val="000000"/>
                <w:sz w:val="20"/>
              </w:rPr>
              <w:t>Mexico</w:t>
            </w:r>
          </w:p>
        </w:tc>
        <w:tc>
          <w:tcPr>
            <w:tcW w:w="773" w:type="pct"/>
            <w:shd w:val="clear" w:color="auto" w:fill="auto"/>
            <w:noWrap/>
            <w:vAlign w:val="center"/>
            <w:hideMark/>
          </w:tcPr>
          <w:p w14:paraId="45FDF77C" w14:textId="77777777" w:rsidR="00552A8D" w:rsidRPr="00552A8D" w:rsidRDefault="00552A8D" w:rsidP="00D31893">
            <w:pPr>
              <w:jc w:val="center"/>
              <w:rPr>
                <w:rFonts w:cstheme="minorHAnsi"/>
                <w:color w:val="000000"/>
                <w:sz w:val="20"/>
              </w:rPr>
            </w:pPr>
            <w:r w:rsidRPr="00552A8D">
              <w:rPr>
                <w:rFonts w:cstheme="minorHAnsi"/>
                <w:color w:val="000000"/>
                <w:sz w:val="20"/>
              </w:rPr>
              <w:t>ININ</w:t>
            </w:r>
          </w:p>
        </w:tc>
        <w:tc>
          <w:tcPr>
            <w:tcW w:w="976" w:type="pct"/>
            <w:shd w:val="clear" w:color="auto" w:fill="auto"/>
            <w:noWrap/>
            <w:vAlign w:val="center"/>
            <w:hideMark/>
          </w:tcPr>
          <w:p w14:paraId="3B0C21DF" w14:textId="5B3D9526" w:rsidR="00552A8D" w:rsidRPr="00552A8D" w:rsidRDefault="00BC0AEF" w:rsidP="00D31893">
            <w:pPr>
              <w:jc w:val="center"/>
              <w:rPr>
                <w:rFonts w:cstheme="minorHAnsi"/>
                <w:color w:val="000000"/>
                <w:sz w:val="20"/>
              </w:rPr>
            </w:pPr>
            <w:proofErr w:type="spellStart"/>
            <w:r>
              <w:rPr>
                <w:rFonts w:cstheme="minorHAnsi"/>
                <w:color w:val="000000"/>
                <w:sz w:val="20"/>
              </w:rPr>
              <w:t>Sepent</w:t>
            </w:r>
            <w:proofErr w:type="spellEnd"/>
            <w:r>
              <w:rPr>
                <w:rFonts w:cstheme="minorHAnsi"/>
                <w:color w:val="000000"/>
                <w:sz w:val="20"/>
              </w:rPr>
              <w:t xml:space="preserve">, </w:t>
            </w:r>
            <w:proofErr w:type="spellStart"/>
            <w:r>
              <w:rPr>
                <w:rFonts w:cstheme="minorHAnsi"/>
                <w:color w:val="000000"/>
                <w:sz w:val="20"/>
              </w:rPr>
              <w:t>Aznhex</w:t>
            </w:r>
            <w:proofErr w:type="spellEnd"/>
          </w:p>
        </w:tc>
        <w:tc>
          <w:tcPr>
            <w:tcW w:w="1005" w:type="pct"/>
            <w:shd w:val="clear" w:color="auto" w:fill="auto"/>
            <w:vAlign w:val="center"/>
          </w:tcPr>
          <w:p w14:paraId="5B7C28F9" w14:textId="43FA57E6"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453CC4CE" w14:textId="77777777" w:rsidR="00552A8D" w:rsidRPr="00552A8D" w:rsidRDefault="00552A8D" w:rsidP="00D31893">
            <w:pPr>
              <w:jc w:val="center"/>
              <w:rPr>
                <w:rFonts w:eastAsia="Malgun Gothic" w:cstheme="minorHAnsi"/>
                <w:color w:val="000000" w:themeColor="text1"/>
                <w:sz w:val="20"/>
                <w:lang w:eastAsia="ko-KR"/>
              </w:rPr>
            </w:pPr>
          </w:p>
        </w:tc>
        <w:tc>
          <w:tcPr>
            <w:tcW w:w="585" w:type="pct"/>
            <w:shd w:val="clear" w:color="auto" w:fill="auto"/>
            <w:noWrap/>
            <w:vAlign w:val="center"/>
            <w:hideMark/>
          </w:tcPr>
          <w:p w14:paraId="4756DF56"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c>
          <w:tcPr>
            <w:tcW w:w="658" w:type="pct"/>
            <w:shd w:val="clear" w:color="auto" w:fill="auto"/>
            <w:noWrap/>
            <w:vAlign w:val="center"/>
            <w:hideMark/>
          </w:tcPr>
          <w:p w14:paraId="6AC2D18A"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13AE7DFE" w14:textId="77777777" w:rsidTr="00455456">
        <w:trPr>
          <w:trHeight w:val="14"/>
        </w:trPr>
        <w:tc>
          <w:tcPr>
            <w:tcW w:w="538" w:type="pct"/>
            <w:shd w:val="clear" w:color="auto" w:fill="auto"/>
            <w:noWrap/>
            <w:vAlign w:val="center"/>
            <w:hideMark/>
          </w:tcPr>
          <w:p w14:paraId="074E3EE4" w14:textId="77777777" w:rsidR="00552A8D" w:rsidRPr="00552A8D" w:rsidRDefault="00552A8D" w:rsidP="00D31893">
            <w:pPr>
              <w:jc w:val="center"/>
              <w:rPr>
                <w:rFonts w:cstheme="minorHAnsi"/>
                <w:color w:val="000000"/>
                <w:sz w:val="20"/>
              </w:rPr>
            </w:pPr>
            <w:r w:rsidRPr="00552A8D">
              <w:rPr>
                <w:rFonts w:cstheme="minorHAnsi"/>
                <w:color w:val="000000"/>
                <w:sz w:val="20"/>
              </w:rPr>
              <w:t>Romania</w:t>
            </w:r>
          </w:p>
        </w:tc>
        <w:tc>
          <w:tcPr>
            <w:tcW w:w="773" w:type="pct"/>
            <w:shd w:val="clear" w:color="auto" w:fill="auto"/>
            <w:noWrap/>
            <w:vAlign w:val="center"/>
            <w:hideMark/>
          </w:tcPr>
          <w:p w14:paraId="5FCF6341" w14:textId="77777777" w:rsidR="00552A8D" w:rsidRPr="00552A8D" w:rsidRDefault="00552A8D" w:rsidP="00D31893">
            <w:pPr>
              <w:jc w:val="center"/>
              <w:rPr>
                <w:rFonts w:cstheme="minorHAnsi"/>
                <w:color w:val="000000"/>
                <w:sz w:val="20"/>
              </w:rPr>
            </w:pPr>
            <w:r w:rsidRPr="00552A8D">
              <w:rPr>
                <w:rFonts w:cstheme="minorHAnsi"/>
                <w:color w:val="000000"/>
                <w:sz w:val="20"/>
              </w:rPr>
              <w:t>RATEN (ICN)</w:t>
            </w:r>
          </w:p>
        </w:tc>
        <w:tc>
          <w:tcPr>
            <w:tcW w:w="976" w:type="pct"/>
            <w:shd w:val="clear" w:color="auto" w:fill="auto"/>
            <w:noWrap/>
            <w:vAlign w:val="center"/>
            <w:hideMark/>
          </w:tcPr>
          <w:p w14:paraId="321F97D2" w14:textId="77777777" w:rsidR="00552A8D" w:rsidRPr="00552A8D" w:rsidRDefault="00552A8D" w:rsidP="00D31893">
            <w:pPr>
              <w:jc w:val="center"/>
              <w:rPr>
                <w:rFonts w:cstheme="minorHAnsi"/>
                <w:color w:val="000000"/>
                <w:sz w:val="20"/>
              </w:rPr>
            </w:pPr>
            <w:r w:rsidRPr="00552A8D">
              <w:rPr>
                <w:rFonts w:cstheme="minorHAnsi"/>
                <w:color w:val="000000"/>
                <w:sz w:val="20"/>
              </w:rPr>
              <w:t>MCNP</w:t>
            </w:r>
          </w:p>
        </w:tc>
        <w:tc>
          <w:tcPr>
            <w:tcW w:w="1005" w:type="pct"/>
            <w:shd w:val="clear" w:color="auto" w:fill="auto"/>
            <w:vAlign w:val="center"/>
          </w:tcPr>
          <w:p w14:paraId="011019A7" w14:textId="1938F19A"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-VIII.0</w:t>
            </w:r>
          </w:p>
        </w:tc>
        <w:tc>
          <w:tcPr>
            <w:tcW w:w="465" w:type="pct"/>
            <w:vAlign w:val="center"/>
          </w:tcPr>
          <w:p w14:paraId="61B4BE48" w14:textId="77777777" w:rsidR="00552A8D" w:rsidRPr="00552A8D" w:rsidRDefault="00552A8D" w:rsidP="00D31893">
            <w:pPr>
              <w:jc w:val="center"/>
              <w:rPr>
                <w:rFonts w:cstheme="minorHAnsi"/>
                <w:color w:val="000000" w:themeColor="text1"/>
                <w:sz w:val="20"/>
              </w:rPr>
            </w:pPr>
            <w:r w:rsidRPr="00552A8D">
              <w:rPr>
                <w:rFonts w:cstheme="minorHAnsi"/>
                <w:color w:val="000000" w:themeColor="text1"/>
                <w:sz w:val="20"/>
              </w:rPr>
              <w:t>X</w:t>
            </w:r>
          </w:p>
        </w:tc>
        <w:tc>
          <w:tcPr>
            <w:tcW w:w="585" w:type="pct"/>
            <w:shd w:val="clear" w:color="auto" w:fill="auto"/>
            <w:noWrap/>
            <w:vAlign w:val="center"/>
          </w:tcPr>
          <w:p w14:paraId="6DF4CD36" w14:textId="77777777" w:rsidR="00552A8D" w:rsidRPr="00552A8D" w:rsidRDefault="00552A8D" w:rsidP="00D31893">
            <w:pPr>
              <w:jc w:val="center"/>
              <w:rPr>
                <w:rFonts w:cstheme="minorHAnsi"/>
                <w:color w:val="000000"/>
                <w:sz w:val="20"/>
              </w:rPr>
            </w:pPr>
          </w:p>
        </w:tc>
        <w:tc>
          <w:tcPr>
            <w:tcW w:w="658" w:type="pct"/>
            <w:shd w:val="clear" w:color="auto" w:fill="auto"/>
            <w:noWrap/>
            <w:vAlign w:val="center"/>
            <w:hideMark/>
          </w:tcPr>
          <w:p w14:paraId="63717BFD"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165CCEB2" w14:textId="77777777" w:rsidTr="00455456">
        <w:trPr>
          <w:trHeight w:val="14"/>
        </w:trPr>
        <w:tc>
          <w:tcPr>
            <w:tcW w:w="538" w:type="pct"/>
            <w:shd w:val="clear" w:color="auto" w:fill="auto"/>
            <w:noWrap/>
            <w:vAlign w:val="center"/>
            <w:hideMark/>
          </w:tcPr>
          <w:p w14:paraId="28242E06" w14:textId="77777777" w:rsidR="00552A8D" w:rsidRPr="00552A8D" w:rsidRDefault="00552A8D" w:rsidP="00D31893">
            <w:pPr>
              <w:jc w:val="center"/>
              <w:rPr>
                <w:rFonts w:cstheme="minorHAnsi"/>
                <w:color w:val="000000"/>
                <w:sz w:val="20"/>
              </w:rPr>
            </w:pPr>
            <w:r w:rsidRPr="00552A8D">
              <w:rPr>
                <w:rFonts w:cstheme="minorHAnsi"/>
                <w:color w:val="000000"/>
                <w:sz w:val="20"/>
              </w:rPr>
              <w:t>Russia</w:t>
            </w:r>
          </w:p>
        </w:tc>
        <w:tc>
          <w:tcPr>
            <w:tcW w:w="773" w:type="pct"/>
            <w:shd w:val="clear" w:color="auto" w:fill="auto"/>
            <w:noWrap/>
            <w:vAlign w:val="center"/>
            <w:hideMark/>
          </w:tcPr>
          <w:p w14:paraId="0F06713A" w14:textId="77777777" w:rsidR="00552A8D" w:rsidRPr="00552A8D" w:rsidRDefault="00552A8D" w:rsidP="00D31893">
            <w:pPr>
              <w:jc w:val="center"/>
              <w:rPr>
                <w:rFonts w:cstheme="minorHAnsi"/>
                <w:color w:val="000000"/>
                <w:sz w:val="20"/>
              </w:rPr>
            </w:pPr>
            <w:r w:rsidRPr="00552A8D">
              <w:rPr>
                <w:rFonts w:cstheme="minorHAnsi"/>
                <w:color w:val="000000"/>
                <w:sz w:val="20"/>
              </w:rPr>
              <w:t>NRCKI</w:t>
            </w:r>
          </w:p>
        </w:tc>
        <w:tc>
          <w:tcPr>
            <w:tcW w:w="976" w:type="pct"/>
            <w:shd w:val="clear" w:color="auto" w:fill="auto"/>
            <w:noWrap/>
            <w:vAlign w:val="center"/>
            <w:hideMark/>
          </w:tcPr>
          <w:p w14:paraId="7C296ECB" w14:textId="1CA94F11" w:rsidR="00552A8D" w:rsidRPr="00552A8D" w:rsidRDefault="00552A8D" w:rsidP="00BC0AEF">
            <w:pPr>
              <w:jc w:val="center"/>
              <w:rPr>
                <w:rFonts w:cstheme="minorHAnsi"/>
                <w:color w:val="000000"/>
                <w:sz w:val="20"/>
              </w:rPr>
            </w:pPr>
            <w:r w:rsidRPr="00552A8D">
              <w:rPr>
                <w:rFonts w:cstheme="minorHAnsi"/>
                <w:color w:val="000000"/>
                <w:sz w:val="20"/>
              </w:rPr>
              <w:t>JARFR</w:t>
            </w:r>
            <w:r w:rsidR="00BC0AEF">
              <w:rPr>
                <w:rFonts w:cstheme="minorHAnsi"/>
                <w:color w:val="000000"/>
                <w:sz w:val="20"/>
              </w:rPr>
              <w:t xml:space="preserve">, </w:t>
            </w:r>
            <w:proofErr w:type="spellStart"/>
            <w:r w:rsidR="00BC0AEF">
              <w:rPr>
                <w:rFonts w:cstheme="minorHAnsi"/>
                <w:color w:val="000000"/>
                <w:sz w:val="20"/>
              </w:rPr>
              <w:t>Sepent</w:t>
            </w:r>
            <w:proofErr w:type="spellEnd"/>
          </w:p>
        </w:tc>
        <w:tc>
          <w:tcPr>
            <w:tcW w:w="1005" w:type="pct"/>
            <w:shd w:val="clear" w:color="auto" w:fill="auto"/>
            <w:vAlign w:val="center"/>
          </w:tcPr>
          <w:p w14:paraId="5C8C64B8" w14:textId="38996B5A" w:rsidR="00552A8D" w:rsidRPr="00552A8D" w:rsidRDefault="00552A8D" w:rsidP="00D31893">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ABBN-93,JEFF 3.3</w:t>
            </w:r>
          </w:p>
        </w:tc>
        <w:tc>
          <w:tcPr>
            <w:tcW w:w="465" w:type="pct"/>
            <w:vAlign w:val="center"/>
          </w:tcPr>
          <w:p w14:paraId="1100D42B" w14:textId="77777777" w:rsidR="00552A8D" w:rsidRPr="00552A8D" w:rsidRDefault="00552A8D" w:rsidP="00D31893">
            <w:pPr>
              <w:jc w:val="center"/>
              <w:rPr>
                <w:rFonts w:eastAsia="Malgun Gothic" w:cstheme="minorHAnsi"/>
                <w:color w:val="000000" w:themeColor="text1"/>
                <w:sz w:val="20"/>
                <w:lang w:eastAsia="ko-KR"/>
              </w:rPr>
            </w:pPr>
          </w:p>
        </w:tc>
        <w:tc>
          <w:tcPr>
            <w:tcW w:w="585" w:type="pct"/>
            <w:shd w:val="clear" w:color="auto" w:fill="auto"/>
            <w:noWrap/>
            <w:vAlign w:val="center"/>
            <w:hideMark/>
          </w:tcPr>
          <w:p w14:paraId="6AC194D9" w14:textId="70B81D54" w:rsidR="00552A8D" w:rsidRPr="00552A8D" w:rsidRDefault="00552A8D" w:rsidP="00F7050C">
            <w:pPr>
              <w:rPr>
                <w:rFonts w:eastAsia="Malgun Gothic" w:cstheme="minorHAnsi"/>
                <w:color w:val="000000"/>
                <w:sz w:val="20"/>
                <w:lang w:eastAsia="ko-KR"/>
              </w:rPr>
            </w:pPr>
            <w:r w:rsidRPr="00552A8D">
              <w:rPr>
                <w:rFonts w:eastAsia="Malgun Gothic" w:cstheme="minorHAnsi"/>
                <w:color w:val="000000"/>
                <w:sz w:val="20"/>
                <w:lang w:eastAsia="ko-KR"/>
              </w:rPr>
              <w:t>X</w:t>
            </w:r>
            <w:r w:rsidRPr="00552A8D">
              <w:rPr>
                <w:rFonts w:eastAsia="Malgun Gothic" w:cstheme="minorHAnsi"/>
                <w:color w:val="000000"/>
                <w:sz w:val="20"/>
                <w:lang w:eastAsia="ko-KR"/>
              </w:rPr>
              <w:br/>
            </w:r>
          </w:p>
        </w:tc>
        <w:tc>
          <w:tcPr>
            <w:tcW w:w="658" w:type="pct"/>
            <w:shd w:val="clear" w:color="auto" w:fill="auto"/>
            <w:noWrap/>
            <w:vAlign w:val="center"/>
            <w:hideMark/>
          </w:tcPr>
          <w:p w14:paraId="6032C282"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58A78C55" w14:textId="77777777" w:rsidTr="00455456">
        <w:trPr>
          <w:trHeight w:val="14"/>
        </w:trPr>
        <w:tc>
          <w:tcPr>
            <w:tcW w:w="538" w:type="pct"/>
            <w:shd w:val="clear" w:color="auto" w:fill="auto"/>
            <w:noWrap/>
            <w:vAlign w:val="center"/>
            <w:hideMark/>
          </w:tcPr>
          <w:p w14:paraId="01723180" w14:textId="77777777" w:rsidR="00552A8D" w:rsidRPr="00552A8D" w:rsidRDefault="00552A8D" w:rsidP="00D31893">
            <w:pPr>
              <w:jc w:val="center"/>
              <w:rPr>
                <w:rFonts w:cstheme="minorHAnsi"/>
                <w:color w:val="000000"/>
                <w:sz w:val="20"/>
              </w:rPr>
            </w:pPr>
            <w:r w:rsidRPr="00552A8D">
              <w:rPr>
                <w:rFonts w:cstheme="minorHAnsi"/>
                <w:color w:val="000000"/>
                <w:sz w:val="20"/>
              </w:rPr>
              <w:t>Slovakia</w:t>
            </w:r>
          </w:p>
        </w:tc>
        <w:tc>
          <w:tcPr>
            <w:tcW w:w="773" w:type="pct"/>
            <w:shd w:val="clear" w:color="auto" w:fill="auto"/>
            <w:noWrap/>
            <w:vAlign w:val="center"/>
            <w:hideMark/>
          </w:tcPr>
          <w:p w14:paraId="14E19CC5" w14:textId="77777777" w:rsidR="00552A8D" w:rsidRPr="00552A8D" w:rsidRDefault="00552A8D" w:rsidP="00D31893">
            <w:pPr>
              <w:jc w:val="center"/>
              <w:rPr>
                <w:rFonts w:cstheme="minorHAnsi"/>
                <w:color w:val="000000"/>
                <w:sz w:val="20"/>
              </w:rPr>
            </w:pPr>
            <w:r w:rsidRPr="00552A8D">
              <w:rPr>
                <w:rFonts w:cstheme="minorHAnsi"/>
                <w:color w:val="000000"/>
                <w:sz w:val="20"/>
              </w:rPr>
              <w:t>VUJE</w:t>
            </w:r>
          </w:p>
        </w:tc>
        <w:tc>
          <w:tcPr>
            <w:tcW w:w="976" w:type="pct"/>
            <w:shd w:val="clear" w:color="auto" w:fill="auto"/>
            <w:noWrap/>
            <w:vAlign w:val="center"/>
            <w:hideMark/>
          </w:tcPr>
          <w:p w14:paraId="2E47FDEC" w14:textId="7420D0AF" w:rsidR="00552A8D" w:rsidRPr="00552A8D" w:rsidRDefault="00BC0AEF" w:rsidP="00D31893">
            <w:pPr>
              <w:jc w:val="center"/>
              <w:rPr>
                <w:rFonts w:cstheme="minorHAnsi"/>
                <w:color w:val="000000"/>
                <w:sz w:val="20"/>
              </w:rPr>
            </w:pPr>
            <w:proofErr w:type="spellStart"/>
            <w:r>
              <w:rPr>
                <w:rFonts w:cstheme="minorHAnsi"/>
                <w:color w:val="000000"/>
                <w:sz w:val="20"/>
              </w:rPr>
              <w:t>Sepent</w:t>
            </w:r>
            <w:proofErr w:type="spellEnd"/>
          </w:p>
        </w:tc>
        <w:tc>
          <w:tcPr>
            <w:tcW w:w="1005" w:type="pct"/>
            <w:shd w:val="clear" w:color="auto" w:fill="auto"/>
            <w:vAlign w:val="center"/>
          </w:tcPr>
          <w:p w14:paraId="1AE5093C" w14:textId="515C1FD5" w:rsidR="00552A8D" w:rsidRPr="00552A8D" w:rsidRDefault="00552A8D" w:rsidP="00540911">
            <w:pPr>
              <w:jc w:val="center"/>
              <w:rPr>
                <w:rFonts w:eastAsia="Malgun Gothic" w:cstheme="minorHAnsi"/>
                <w:color w:val="000000" w:themeColor="text1"/>
                <w:sz w:val="20"/>
                <w:lang w:eastAsia="ko-KR"/>
              </w:rPr>
            </w:pPr>
            <w:r w:rsidRPr="00552A8D">
              <w:rPr>
                <w:rFonts w:eastAsia="Malgun Gothic" w:cstheme="minorHAnsi"/>
                <w:color w:val="000000" w:themeColor="text1"/>
                <w:sz w:val="20"/>
                <w:lang w:eastAsia="ko-KR"/>
              </w:rPr>
              <w:t>ENDF</w:t>
            </w:r>
            <w:r w:rsidR="00540911">
              <w:rPr>
                <w:rFonts w:eastAsia="Malgun Gothic" w:cstheme="minorHAnsi"/>
                <w:color w:val="000000" w:themeColor="text1"/>
                <w:sz w:val="20"/>
                <w:lang w:eastAsia="ko-KR"/>
              </w:rPr>
              <w:t>/</w:t>
            </w:r>
            <w:r w:rsidRPr="00552A8D">
              <w:rPr>
                <w:rFonts w:eastAsia="Malgun Gothic" w:cstheme="minorHAnsi"/>
                <w:color w:val="000000" w:themeColor="text1"/>
                <w:sz w:val="20"/>
                <w:lang w:eastAsia="ko-KR"/>
              </w:rPr>
              <w:t>B</w:t>
            </w:r>
            <w:r w:rsidR="00540911">
              <w:rPr>
                <w:rFonts w:eastAsia="Malgun Gothic" w:cstheme="minorHAnsi"/>
                <w:color w:val="000000" w:themeColor="text1"/>
                <w:sz w:val="20"/>
                <w:lang w:eastAsia="ko-KR"/>
              </w:rPr>
              <w:t>-VII.0</w:t>
            </w:r>
          </w:p>
        </w:tc>
        <w:tc>
          <w:tcPr>
            <w:tcW w:w="465" w:type="pct"/>
            <w:vAlign w:val="center"/>
          </w:tcPr>
          <w:p w14:paraId="5FA0115C" w14:textId="77777777" w:rsidR="00552A8D" w:rsidRPr="00552A8D" w:rsidRDefault="00552A8D" w:rsidP="00D31893">
            <w:pPr>
              <w:jc w:val="center"/>
              <w:rPr>
                <w:rFonts w:cstheme="minorHAnsi"/>
                <w:color w:val="000000" w:themeColor="text1"/>
                <w:sz w:val="20"/>
              </w:rPr>
            </w:pPr>
            <w:r w:rsidRPr="00552A8D">
              <w:rPr>
                <w:rFonts w:cstheme="minorHAnsi"/>
                <w:color w:val="000000" w:themeColor="text1"/>
                <w:sz w:val="20"/>
              </w:rPr>
              <w:t>X</w:t>
            </w:r>
          </w:p>
        </w:tc>
        <w:tc>
          <w:tcPr>
            <w:tcW w:w="585" w:type="pct"/>
            <w:shd w:val="clear" w:color="auto" w:fill="auto"/>
            <w:noWrap/>
            <w:vAlign w:val="center"/>
          </w:tcPr>
          <w:p w14:paraId="1AC6CE5A" w14:textId="77777777" w:rsidR="00552A8D" w:rsidRPr="00552A8D" w:rsidRDefault="00552A8D" w:rsidP="00D31893">
            <w:pPr>
              <w:jc w:val="center"/>
              <w:rPr>
                <w:rFonts w:cstheme="minorHAnsi"/>
                <w:color w:val="000000"/>
                <w:sz w:val="20"/>
              </w:rPr>
            </w:pPr>
          </w:p>
        </w:tc>
        <w:tc>
          <w:tcPr>
            <w:tcW w:w="658" w:type="pct"/>
            <w:shd w:val="clear" w:color="auto" w:fill="auto"/>
            <w:noWrap/>
            <w:vAlign w:val="center"/>
            <w:hideMark/>
          </w:tcPr>
          <w:p w14:paraId="57E71F45" w14:textId="77777777" w:rsidR="00552A8D" w:rsidRPr="00552A8D" w:rsidRDefault="00552A8D" w:rsidP="00D31893">
            <w:pPr>
              <w:jc w:val="center"/>
              <w:rPr>
                <w:rFonts w:eastAsia="Malgun Gothic" w:cstheme="minorHAnsi"/>
                <w:color w:val="000000"/>
                <w:sz w:val="20"/>
                <w:lang w:eastAsia="ko-KR"/>
              </w:rPr>
            </w:pPr>
            <w:r w:rsidRPr="00552A8D">
              <w:rPr>
                <w:rFonts w:eastAsia="Malgun Gothic" w:cstheme="minorHAnsi"/>
                <w:color w:val="000000"/>
                <w:sz w:val="20"/>
                <w:lang w:eastAsia="ko-KR"/>
              </w:rPr>
              <w:t>X</w:t>
            </w:r>
          </w:p>
        </w:tc>
      </w:tr>
      <w:tr w:rsidR="00552A8D" w:rsidRPr="00BE231B" w14:paraId="65C21325" w14:textId="77777777" w:rsidTr="00455456">
        <w:trPr>
          <w:trHeight w:val="14"/>
        </w:trPr>
        <w:tc>
          <w:tcPr>
            <w:tcW w:w="538" w:type="pct"/>
            <w:shd w:val="clear" w:color="auto" w:fill="auto"/>
            <w:noWrap/>
            <w:vAlign w:val="center"/>
          </w:tcPr>
          <w:p w14:paraId="2EBF72CB" w14:textId="77777777" w:rsidR="00552A8D" w:rsidRPr="00552A8D" w:rsidRDefault="00552A8D" w:rsidP="00D31893">
            <w:pPr>
              <w:jc w:val="center"/>
              <w:rPr>
                <w:rFonts w:cstheme="minorHAnsi"/>
                <w:color w:val="000000"/>
                <w:sz w:val="20"/>
              </w:rPr>
            </w:pPr>
            <w:r w:rsidRPr="00552A8D">
              <w:rPr>
                <w:rFonts w:cstheme="minorHAnsi"/>
                <w:color w:val="000000"/>
                <w:sz w:val="20"/>
              </w:rPr>
              <w:t>U.S.A</w:t>
            </w:r>
          </w:p>
        </w:tc>
        <w:tc>
          <w:tcPr>
            <w:tcW w:w="773" w:type="pct"/>
            <w:shd w:val="clear" w:color="auto" w:fill="auto"/>
            <w:noWrap/>
            <w:vAlign w:val="center"/>
          </w:tcPr>
          <w:p w14:paraId="01A3AE64" w14:textId="77777777" w:rsidR="00552A8D" w:rsidRPr="00552A8D" w:rsidRDefault="00552A8D" w:rsidP="00D31893">
            <w:pPr>
              <w:jc w:val="center"/>
              <w:rPr>
                <w:rFonts w:cstheme="minorHAnsi"/>
                <w:color w:val="000000"/>
                <w:sz w:val="20"/>
              </w:rPr>
            </w:pPr>
            <w:r w:rsidRPr="00552A8D">
              <w:rPr>
                <w:rFonts w:cstheme="minorHAnsi"/>
                <w:color w:val="000000"/>
                <w:sz w:val="20"/>
              </w:rPr>
              <w:t>ANL</w:t>
            </w:r>
          </w:p>
        </w:tc>
        <w:tc>
          <w:tcPr>
            <w:tcW w:w="976" w:type="pct"/>
            <w:shd w:val="clear" w:color="auto" w:fill="auto"/>
            <w:noWrap/>
            <w:vAlign w:val="center"/>
          </w:tcPr>
          <w:p w14:paraId="7F65E13B" w14:textId="64C28901" w:rsidR="00552A8D" w:rsidRPr="00552A8D" w:rsidRDefault="00C50E2D" w:rsidP="00D31893">
            <w:pPr>
              <w:jc w:val="center"/>
              <w:rPr>
                <w:rFonts w:cstheme="minorHAnsi"/>
                <w:color w:val="000000"/>
                <w:sz w:val="20"/>
              </w:rPr>
            </w:pPr>
            <w:r>
              <w:rPr>
                <w:rFonts w:cstheme="minorHAnsi"/>
                <w:color w:val="000000"/>
                <w:sz w:val="20"/>
              </w:rPr>
              <w:t>DIF3D</w:t>
            </w:r>
          </w:p>
        </w:tc>
        <w:tc>
          <w:tcPr>
            <w:tcW w:w="1005" w:type="pct"/>
            <w:shd w:val="clear" w:color="auto" w:fill="auto"/>
            <w:vAlign w:val="center"/>
          </w:tcPr>
          <w:p w14:paraId="027E8967" w14:textId="64A1691E" w:rsidR="00552A8D" w:rsidRPr="00552A8D" w:rsidRDefault="00C50E2D" w:rsidP="00D31893">
            <w:pPr>
              <w:jc w:val="center"/>
              <w:rPr>
                <w:rFonts w:eastAsia="Malgun Gothic" w:cstheme="minorHAnsi"/>
                <w:color w:val="000000" w:themeColor="text1"/>
                <w:sz w:val="20"/>
                <w:lang w:eastAsia="ko-KR"/>
              </w:rPr>
            </w:pPr>
            <w:r>
              <w:rPr>
                <w:rFonts w:eastAsia="Malgun Gothic" w:cstheme="minorHAnsi"/>
                <w:color w:val="000000" w:themeColor="text1"/>
                <w:sz w:val="20"/>
                <w:lang w:eastAsia="ko-KR"/>
              </w:rPr>
              <w:t>ENDF/B-VII.0</w:t>
            </w:r>
          </w:p>
        </w:tc>
        <w:tc>
          <w:tcPr>
            <w:tcW w:w="465" w:type="pct"/>
            <w:vAlign w:val="center"/>
          </w:tcPr>
          <w:p w14:paraId="4B69E1E6" w14:textId="77777777" w:rsidR="00552A8D" w:rsidRPr="00552A8D" w:rsidRDefault="00552A8D" w:rsidP="00D31893">
            <w:pPr>
              <w:jc w:val="center"/>
              <w:rPr>
                <w:rFonts w:cstheme="minorHAnsi"/>
                <w:color w:val="000000" w:themeColor="text1"/>
                <w:sz w:val="20"/>
              </w:rPr>
            </w:pPr>
            <w:r w:rsidRPr="00552A8D">
              <w:rPr>
                <w:rFonts w:cstheme="minorHAnsi"/>
                <w:color w:val="000000" w:themeColor="text1"/>
                <w:sz w:val="20"/>
              </w:rPr>
              <w:t>X</w:t>
            </w:r>
          </w:p>
        </w:tc>
        <w:tc>
          <w:tcPr>
            <w:tcW w:w="585" w:type="pct"/>
            <w:shd w:val="clear" w:color="auto" w:fill="auto"/>
            <w:noWrap/>
            <w:vAlign w:val="center"/>
          </w:tcPr>
          <w:p w14:paraId="380C1836" w14:textId="77777777" w:rsidR="00552A8D" w:rsidRPr="00552A8D" w:rsidRDefault="00552A8D" w:rsidP="00D31893">
            <w:pPr>
              <w:jc w:val="center"/>
              <w:rPr>
                <w:rFonts w:cstheme="minorHAnsi"/>
                <w:color w:val="000000"/>
                <w:sz w:val="20"/>
              </w:rPr>
            </w:pPr>
            <w:r w:rsidRPr="00552A8D">
              <w:rPr>
                <w:rFonts w:cstheme="minorHAnsi"/>
                <w:color w:val="000000"/>
                <w:sz w:val="20"/>
              </w:rPr>
              <w:t>X</w:t>
            </w:r>
          </w:p>
        </w:tc>
        <w:tc>
          <w:tcPr>
            <w:tcW w:w="658" w:type="pct"/>
            <w:shd w:val="clear" w:color="auto" w:fill="auto"/>
            <w:noWrap/>
            <w:vAlign w:val="center"/>
          </w:tcPr>
          <w:p w14:paraId="4309B06D" w14:textId="77777777" w:rsidR="00552A8D" w:rsidRPr="00552A8D" w:rsidRDefault="00552A8D" w:rsidP="00D31893">
            <w:pPr>
              <w:jc w:val="center"/>
              <w:rPr>
                <w:rFonts w:eastAsia="Malgun Gothic" w:cstheme="minorHAnsi"/>
                <w:color w:val="000000"/>
                <w:sz w:val="20"/>
                <w:lang w:eastAsia="ko-KR"/>
              </w:rPr>
            </w:pPr>
          </w:p>
        </w:tc>
      </w:tr>
    </w:tbl>
    <w:p w14:paraId="61657291" w14:textId="77777777" w:rsidR="00552A8D" w:rsidRDefault="00552A8D" w:rsidP="00552A8D">
      <w:pPr>
        <w:jc w:val="both"/>
      </w:pPr>
    </w:p>
    <w:p w14:paraId="261D0ADB" w14:textId="77777777" w:rsidR="00BC0AEF" w:rsidRDefault="00596AAF" w:rsidP="00BC0AEF">
      <w:pPr>
        <w:pStyle w:val="BodyText"/>
      </w:pPr>
      <w:r>
        <w:t xml:space="preserve">The relative deviation </w:t>
      </w:r>
      <w:r w:rsidR="00B613C5">
        <w:t>of the</w:t>
      </w:r>
      <w:r>
        <w:t xml:space="preserve"> participant </w:t>
      </w:r>
      <w:r w:rsidR="005E16DE">
        <w:t xml:space="preserve">results from </w:t>
      </w:r>
      <w:r>
        <w:t>the experimental values are presented in Fig 2</w:t>
      </w:r>
      <w:r w:rsidR="005E16DE">
        <w:t xml:space="preserve"> </w:t>
      </w:r>
      <w:r>
        <w:t>for each reaction rate</w:t>
      </w:r>
      <w:r w:rsidR="005E16DE">
        <w:t>.</w:t>
      </w:r>
      <w:r w:rsidR="00BC0AEF">
        <w:t xml:space="preserve"> </w:t>
      </w:r>
      <w:r w:rsidR="00BC0AEF">
        <w:t xml:space="preserve">CIAE </w:t>
      </w:r>
      <w:r w:rsidR="00BC0AEF" w:rsidRPr="00201893">
        <w:t xml:space="preserve">estimated the experimental uncertainties between 15% and 20%. </w:t>
      </w:r>
      <w:r w:rsidR="00BC0AEF">
        <w:t>M</w:t>
      </w:r>
      <w:r w:rsidR="00BC0AEF" w:rsidRPr="00201893">
        <w:t>ost of the</w:t>
      </w:r>
      <w:r w:rsidR="00BC0AEF">
        <w:t xml:space="preserve"> simulation</w:t>
      </w:r>
      <w:r w:rsidR="00BC0AEF" w:rsidRPr="00201893">
        <w:t xml:space="preserve"> results are within the range of this uncertainty</w:t>
      </w:r>
      <w:r w:rsidR="00BC0AEF">
        <w:t xml:space="preserve"> in the fissile zone</w:t>
      </w:r>
      <w:r w:rsidR="00BC0AEF" w:rsidRPr="00201893">
        <w:t xml:space="preserve">. The most chaotic distribution of results in this zone </w:t>
      </w:r>
      <w:r w:rsidR="00BC0AEF">
        <w:t>can be seen in the case of</w:t>
      </w:r>
      <w:r w:rsidR="00BC0AEF" w:rsidRPr="00201893">
        <w:t xml:space="preserve"> </w:t>
      </w:r>
      <w:r w:rsidR="00BC0AEF" w:rsidRPr="00155ADD">
        <w:rPr>
          <w:vertAlign w:val="superscript"/>
        </w:rPr>
        <w:t>27</w:t>
      </w:r>
      <w:r w:rsidR="00BC0AEF" w:rsidRPr="00201893">
        <w:t>Al reaction rate, because of the low absolute value obtained, in comparison with the other reaction rates</w:t>
      </w:r>
      <w:r w:rsidR="00BC0AEF">
        <w:t>.</w:t>
      </w:r>
    </w:p>
    <w:p w14:paraId="7E3C4D5D" w14:textId="43363592" w:rsidR="00E26FEC" w:rsidRDefault="00E26FEC" w:rsidP="00E26FEC">
      <w:pPr>
        <w:pStyle w:val="BodyText"/>
      </w:pPr>
    </w:p>
    <w:p w14:paraId="07F3F78A" w14:textId="77777777" w:rsidR="00552A8D" w:rsidRDefault="00552A8D" w:rsidP="00552A8D">
      <w:pPr>
        <w:jc w:val="both"/>
      </w:pPr>
      <w:r>
        <w:rPr>
          <w:noProof/>
        </w:rPr>
        <w:lastRenderedPageBreak/>
        <w:drawing>
          <wp:inline distT="0" distB="0" distL="0" distR="0" wp14:anchorId="7AB47AC3" wp14:editId="78D69681">
            <wp:extent cx="2836526" cy="1640446"/>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6-AxAl27-both-X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922" cy="1647037"/>
                    </a:xfrm>
                    <a:prstGeom prst="rect">
                      <a:avLst/>
                    </a:prstGeom>
                  </pic:spPr>
                </pic:pic>
              </a:graphicData>
            </a:graphic>
          </wp:inline>
        </w:drawing>
      </w:r>
      <w:r>
        <w:rPr>
          <w:noProof/>
        </w:rPr>
        <w:drawing>
          <wp:inline distT="0" distB="0" distL="0" distR="0" wp14:anchorId="5B58C2E1" wp14:editId="773920DB">
            <wp:extent cx="2855242" cy="1651270"/>
            <wp:effectExtent l="0" t="0" r="254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6-AxAu197-both-X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805" cy="1659692"/>
                    </a:xfrm>
                    <a:prstGeom prst="rect">
                      <a:avLst/>
                    </a:prstGeom>
                  </pic:spPr>
                </pic:pic>
              </a:graphicData>
            </a:graphic>
          </wp:inline>
        </w:drawing>
      </w:r>
      <w:r>
        <w:rPr>
          <w:noProof/>
        </w:rPr>
        <w:drawing>
          <wp:inline distT="0" distB="0" distL="0" distR="0" wp14:anchorId="65AE59B5" wp14:editId="6CB4612C">
            <wp:extent cx="2836526" cy="1640446"/>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6-AxNi58-both-X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008" cy="1650556"/>
                    </a:xfrm>
                    <a:prstGeom prst="rect">
                      <a:avLst/>
                    </a:prstGeom>
                  </pic:spPr>
                </pic:pic>
              </a:graphicData>
            </a:graphic>
          </wp:inline>
        </w:drawing>
      </w:r>
      <w:r>
        <w:rPr>
          <w:noProof/>
        </w:rPr>
        <w:drawing>
          <wp:inline distT="0" distB="0" distL="0" distR="0" wp14:anchorId="5F00CED1" wp14:editId="3D0B0F41">
            <wp:extent cx="2858797" cy="1653326"/>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6-AxNp237-both-X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097" cy="1659283"/>
                    </a:xfrm>
                    <a:prstGeom prst="rect">
                      <a:avLst/>
                    </a:prstGeom>
                  </pic:spPr>
                </pic:pic>
              </a:graphicData>
            </a:graphic>
          </wp:inline>
        </w:drawing>
      </w:r>
      <w:r>
        <w:rPr>
          <w:noProof/>
        </w:rPr>
        <w:drawing>
          <wp:inline distT="0" distB="0" distL="0" distR="0" wp14:anchorId="6C54F698" wp14:editId="12851816">
            <wp:extent cx="2847662" cy="16468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6-AxU8-both-X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56" cy="1658102"/>
                    </a:xfrm>
                    <a:prstGeom prst="rect">
                      <a:avLst/>
                    </a:prstGeom>
                  </pic:spPr>
                </pic:pic>
              </a:graphicData>
            </a:graphic>
          </wp:inline>
        </w:drawing>
      </w:r>
      <w:r>
        <w:rPr>
          <w:noProof/>
        </w:rPr>
        <w:drawing>
          <wp:inline distT="0" distB="0" distL="0" distR="0" wp14:anchorId="16F9C901" wp14:editId="07A0EA02">
            <wp:extent cx="2858797" cy="165332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6-AxU235-both-X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1217" cy="1666292"/>
                    </a:xfrm>
                    <a:prstGeom prst="rect">
                      <a:avLst/>
                    </a:prstGeom>
                  </pic:spPr>
                </pic:pic>
              </a:graphicData>
            </a:graphic>
          </wp:inline>
        </w:drawing>
      </w:r>
      <w:r>
        <w:rPr>
          <w:noProof/>
        </w:rPr>
        <w:drawing>
          <wp:inline distT="0" distB="0" distL="0" distR="0" wp14:anchorId="433DFC82" wp14:editId="3C0CE064">
            <wp:extent cx="2823137" cy="161268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6-RAl7-both-X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219" cy="1621871"/>
                    </a:xfrm>
                    <a:prstGeom prst="rect">
                      <a:avLst/>
                    </a:prstGeom>
                  </pic:spPr>
                </pic:pic>
              </a:graphicData>
            </a:graphic>
          </wp:inline>
        </w:drawing>
      </w:r>
      <w:r>
        <w:rPr>
          <w:noProof/>
        </w:rPr>
        <w:drawing>
          <wp:inline distT="0" distB="0" distL="0" distR="0" wp14:anchorId="55093C03" wp14:editId="5E501734">
            <wp:extent cx="2823830" cy="16343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6-RAu7-both-X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9705" cy="1649331"/>
                    </a:xfrm>
                    <a:prstGeom prst="rect">
                      <a:avLst/>
                    </a:prstGeom>
                  </pic:spPr>
                </pic:pic>
              </a:graphicData>
            </a:graphic>
          </wp:inline>
        </w:drawing>
      </w:r>
      <w:r>
        <w:rPr>
          <w:noProof/>
        </w:rPr>
        <w:lastRenderedPageBreak/>
        <w:drawing>
          <wp:inline distT="0" distB="0" distL="0" distR="0" wp14:anchorId="4197171C" wp14:editId="5C5E5241">
            <wp:extent cx="2820473" cy="1632412"/>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6-RNi8-both-X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6102" cy="1641458"/>
                    </a:xfrm>
                    <a:prstGeom prst="rect">
                      <a:avLst/>
                    </a:prstGeom>
                  </pic:spPr>
                </pic:pic>
              </a:graphicData>
            </a:graphic>
          </wp:inline>
        </w:drawing>
      </w:r>
      <w:r>
        <w:rPr>
          <w:noProof/>
        </w:rPr>
        <w:drawing>
          <wp:inline distT="0" distB="0" distL="0" distR="0" wp14:anchorId="29867396" wp14:editId="260D1184">
            <wp:extent cx="2875402" cy="1666115"/>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6-RNp7-both-X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4286" cy="1677057"/>
                    </a:xfrm>
                    <a:prstGeom prst="rect">
                      <a:avLst/>
                    </a:prstGeom>
                  </pic:spPr>
                </pic:pic>
              </a:graphicData>
            </a:graphic>
          </wp:inline>
        </w:drawing>
      </w:r>
      <w:r>
        <w:rPr>
          <w:noProof/>
        </w:rPr>
        <w:drawing>
          <wp:inline distT="0" distB="0" distL="0" distR="0" wp14:anchorId="5E65CE7E" wp14:editId="02AF93F0">
            <wp:extent cx="2871989" cy="166222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P6-RU5-both-X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5064" cy="1664007"/>
                    </a:xfrm>
                    <a:prstGeom prst="rect">
                      <a:avLst/>
                    </a:prstGeom>
                  </pic:spPr>
                </pic:pic>
              </a:graphicData>
            </a:graphic>
          </wp:inline>
        </w:drawing>
      </w:r>
      <w:r>
        <w:rPr>
          <w:noProof/>
        </w:rPr>
        <w:drawing>
          <wp:inline distT="0" distB="0" distL="0" distR="0" wp14:anchorId="24CB21B3" wp14:editId="1FD89CC2">
            <wp:extent cx="2833352" cy="1639866"/>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P6-RU8-both-X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7667" cy="1642363"/>
                    </a:xfrm>
                    <a:prstGeom prst="rect">
                      <a:avLst/>
                    </a:prstGeom>
                  </pic:spPr>
                </pic:pic>
              </a:graphicData>
            </a:graphic>
          </wp:inline>
        </w:drawing>
      </w:r>
    </w:p>
    <w:p w14:paraId="7C556643" w14:textId="563DFDA7" w:rsidR="00552A8D" w:rsidRDefault="00620F1A" w:rsidP="00E26FEC">
      <w:pPr>
        <w:pStyle w:val="Figurecaption"/>
        <w:rPr>
          <w:lang w:eastAsia="es-ES"/>
        </w:rPr>
      </w:pPr>
      <w:r>
        <w:rPr>
          <w:lang w:eastAsia="es-ES"/>
        </w:rPr>
        <w:t>FIG</w:t>
      </w:r>
      <w:r w:rsidR="00E26FEC">
        <w:rPr>
          <w:lang w:eastAsia="es-ES"/>
        </w:rPr>
        <w:t>.</w:t>
      </w:r>
      <w:r w:rsidR="00E26FEC" w:rsidRPr="00E26FEC">
        <w:rPr>
          <w:lang w:eastAsia="es-ES"/>
        </w:rPr>
        <w:t xml:space="preserve"> 2. </w:t>
      </w:r>
      <w:r w:rsidR="00E26FEC">
        <w:rPr>
          <w:lang w:eastAsia="es-ES"/>
        </w:rPr>
        <w:t>C</w:t>
      </w:r>
      <w:r w:rsidR="00E26FEC" w:rsidRPr="00E26FEC">
        <w:rPr>
          <w:lang w:eastAsia="es-ES"/>
        </w:rPr>
        <w:t xml:space="preserve">omparison of reaction rates </w:t>
      </w:r>
      <w:r w:rsidR="00945F47">
        <w:rPr>
          <w:lang w:eastAsia="es-ES"/>
        </w:rPr>
        <w:t>(Top: axial distribution, bottom: radial distribution)</w:t>
      </w:r>
    </w:p>
    <w:p w14:paraId="6D383220" w14:textId="1FE7F528" w:rsidR="00596AAF" w:rsidRDefault="00596AAF" w:rsidP="00596AAF">
      <w:pPr>
        <w:pStyle w:val="BodyText"/>
        <w:ind w:firstLine="0"/>
        <w:rPr>
          <w:lang w:eastAsia="es-ES"/>
        </w:rPr>
      </w:pPr>
    </w:p>
    <w:p w14:paraId="7A5CAAB2" w14:textId="77777777" w:rsidR="00596AAF" w:rsidRPr="00201893" w:rsidRDefault="00596AAF" w:rsidP="00596AAF">
      <w:pPr>
        <w:pStyle w:val="BodyText"/>
      </w:pPr>
      <w:r w:rsidRPr="00201893">
        <w:t xml:space="preserve">In the non-fissile zones, </w:t>
      </w:r>
      <w:r>
        <w:t>disagreements are seen</w:t>
      </w:r>
      <w:r w:rsidRPr="00201893">
        <w:t xml:space="preserve"> for </w:t>
      </w:r>
      <w:r>
        <w:t xml:space="preserve">most of the </w:t>
      </w:r>
      <w:r w:rsidRPr="00201893">
        <w:t>codes.</w:t>
      </w:r>
    </w:p>
    <w:p w14:paraId="500D5ADC" w14:textId="0B9B2F3B" w:rsidR="00596AAF" w:rsidRPr="00925AD6" w:rsidRDefault="00596AAF" w:rsidP="0088113D">
      <w:pPr>
        <w:pStyle w:val="BodyText"/>
        <w:numPr>
          <w:ilvl w:val="0"/>
          <w:numId w:val="11"/>
        </w:numPr>
      </w:pPr>
      <w:r w:rsidRPr="00201893">
        <w:t>For stocha</w:t>
      </w:r>
      <w:r>
        <w:t xml:space="preserve">stic codes, </w:t>
      </w:r>
      <w:r w:rsidRPr="00201893">
        <w:t xml:space="preserve">good agreement </w:t>
      </w:r>
      <w:r>
        <w:t xml:space="preserve">is seen among some codes </w:t>
      </w:r>
      <w:r w:rsidRPr="00201893">
        <w:t xml:space="preserve">because </w:t>
      </w:r>
      <w:r>
        <w:t xml:space="preserve">of </w:t>
      </w:r>
      <w:r w:rsidRPr="00201893">
        <w:t xml:space="preserve">good convergence, </w:t>
      </w:r>
      <w:r>
        <w:t>whereas</w:t>
      </w:r>
      <w:r w:rsidRPr="00201893">
        <w:t xml:space="preserve"> some </w:t>
      </w:r>
      <w:r>
        <w:t>had</w:t>
      </w:r>
      <w:r w:rsidRPr="00201893">
        <w:t xml:space="preserve"> chaotic </w:t>
      </w:r>
      <w:r>
        <w:t>distribution</w:t>
      </w:r>
      <w:r w:rsidRPr="00201893">
        <w:t xml:space="preserve"> </w:t>
      </w:r>
      <w:r>
        <w:t>due to high</w:t>
      </w:r>
      <w:r w:rsidRPr="00201893">
        <w:t xml:space="preserve"> </w:t>
      </w:r>
      <w:r>
        <w:t>statistical error</w:t>
      </w:r>
      <w:r w:rsidRPr="00201893">
        <w:t xml:space="preserve">. In the refined phase, some participants </w:t>
      </w:r>
      <w:r>
        <w:t>improved</w:t>
      </w:r>
      <w:r w:rsidRPr="00201893">
        <w:t xml:space="preserve"> their statistics, and their results</w:t>
      </w:r>
      <w:r>
        <w:t xml:space="preserve"> </w:t>
      </w:r>
      <w:r w:rsidR="00F7050C">
        <w:t>are seen</w:t>
      </w:r>
      <w:r>
        <w:t xml:space="preserve"> converging</w:t>
      </w:r>
      <w:r w:rsidRPr="00925AD6">
        <w:t xml:space="preserve"> </w:t>
      </w:r>
      <w:r>
        <w:t>with</w:t>
      </w:r>
      <w:r w:rsidRPr="00925AD6">
        <w:t xml:space="preserve">in the common band of results. However, in the non-fissile zone, it is difficult to see a better agreement between codes </w:t>
      </w:r>
      <w:r>
        <w:t>within</w:t>
      </w:r>
      <w:r w:rsidRPr="00925AD6">
        <w:t xml:space="preserve"> 20%.</w:t>
      </w:r>
    </w:p>
    <w:p w14:paraId="2B638EDA" w14:textId="2492C477" w:rsidR="00596AAF" w:rsidRPr="00201893" w:rsidRDefault="00596AAF" w:rsidP="0088113D">
      <w:pPr>
        <w:pStyle w:val="BodyText"/>
        <w:numPr>
          <w:ilvl w:val="0"/>
          <w:numId w:val="11"/>
        </w:numPr>
      </w:pPr>
      <w:r w:rsidRPr="00201893">
        <w:t xml:space="preserve">With deterministic codes, </w:t>
      </w:r>
      <w:r>
        <w:t>deviation</w:t>
      </w:r>
      <w:r w:rsidRPr="00201893">
        <w:t xml:space="preserve"> is </w:t>
      </w:r>
      <w:r>
        <w:t>similar</w:t>
      </w:r>
      <w:r w:rsidRPr="00201893">
        <w:t xml:space="preserve">, but it </w:t>
      </w:r>
      <w:r w:rsidR="00F7050C">
        <w:t xml:space="preserve">is </w:t>
      </w:r>
      <w:r w:rsidR="00F7050C" w:rsidRPr="00201893">
        <w:t>very</w:t>
      </w:r>
      <w:r w:rsidR="00037A93">
        <w:t xml:space="preserve"> </w:t>
      </w:r>
      <w:r w:rsidRPr="00201893">
        <w:t xml:space="preserve">difficult to </w:t>
      </w:r>
      <w:r>
        <w:t>see</w:t>
      </w:r>
      <w:r w:rsidRPr="00201893">
        <w:t xml:space="preserve"> a good agreement between all the codes in non-fissile zones. </w:t>
      </w:r>
      <w:r>
        <w:t>B</w:t>
      </w:r>
      <w:r w:rsidRPr="00201893">
        <w:t>etter cross-section</w:t>
      </w:r>
      <w:r>
        <w:t>s</w:t>
      </w:r>
      <w:r w:rsidRPr="00201893">
        <w:t xml:space="preserve"> </w:t>
      </w:r>
      <w:r w:rsidR="00182992">
        <w:t xml:space="preserve">with sufficient number of energy groups </w:t>
      </w:r>
      <w:r>
        <w:t>might be</w:t>
      </w:r>
      <w:r w:rsidRPr="00201893">
        <w:t xml:space="preserve"> needed to </w:t>
      </w:r>
      <w:r>
        <w:t>account for</w:t>
      </w:r>
      <w:r w:rsidRPr="00201893">
        <w:t xml:space="preserve"> </w:t>
      </w:r>
      <w:r w:rsidR="00182992">
        <w:t xml:space="preserve">neutron transport and </w:t>
      </w:r>
      <w:r w:rsidRPr="00201893">
        <w:t>leakage</w:t>
      </w:r>
      <w:r w:rsidR="00E71AAF">
        <w:t xml:space="preserve"> effects</w:t>
      </w:r>
      <w:r w:rsidR="00182992">
        <w:t xml:space="preserve">.  </w:t>
      </w:r>
    </w:p>
    <w:p w14:paraId="256C0E60" w14:textId="196C9F57" w:rsidR="00596AAF" w:rsidRDefault="00596AAF" w:rsidP="00596AAF">
      <w:pPr>
        <w:pStyle w:val="BodyText"/>
      </w:pPr>
      <w:r w:rsidRPr="00201893">
        <w:t xml:space="preserve">Radially, some calculated points </w:t>
      </w:r>
      <w:r w:rsidR="00F7050C">
        <w:t xml:space="preserve">are </w:t>
      </w:r>
      <w:r w:rsidR="00F7050C" w:rsidRPr="00201893">
        <w:t>not</w:t>
      </w:r>
      <w:r w:rsidRPr="00201893">
        <w:t xml:space="preserve"> coherent with the experiment: </w:t>
      </w:r>
      <w:r w:rsidR="00945F47">
        <w:t xml:space="preserve">positions </w:t>
      </w:r>
      <w:r>
        <w:t xml:space="preserve">#7 and #8 </w:t>
      </w:r>
      <w:r w:rsidRPr="00201893">
        <w:t xml:space="preserve">with </w:t>
      </w:r>
      <w:r w:rsidRPr="00201893">
        <w:rPr>
          <w:vertAlign w:val="superscript"/>
        </w:rPr>
        <w:t>237</w:t>
      </w:r>
      <w:r w:rsidRPr="00201893">
        <w:t xml:space="preserve">Np, and </w:t>
      </w:r>
      <w:r w:rsidR="00945F47">
        <w:t xml:space="preserve">position </w:t>
      </w:r>
      <w:r>
        <w:t xml:space="preserve">#8 </w:t>
      </w:r>
      <w:r w:rsidRPr="00201893">
        <w:t xml:space="preserve">with </w:t>
      </w:r>
      <w:r w:rsidRPr="00201893">
        <w:rPr>
          <w:vertAlign w:val="superscript"/>
        </w:rPr>
        <w:t>238</w:t>
      </w:r>
      <w:r w:rsidRPr="00201893">
        <w:t xml:space="preserve">U. However, the codes present a good agreement between them. There </w:t>
      </w:r>
      <w:r>
        <w:t>might be</w:t>
      </w:r>
      <w:r w:rsidRPr="00201893">
        <w:t xml:space="preserve"> a problem with the experimental value, or a </w:t>
      </w:r>
      <w:r>
        <w:t>significant</w:t>
      </w:r>
      <w:r w:rsidRPr="00201893">
        <w:t xml:space="preserve"> simplification in the model defined for this benchmark.</w:t>
      </w:r>
    </w:p>
    <w:p w14:paraId="3D702FCC" w14:textId="772997E8" w:rsidR="00596AAF" w:rsidRDefault="00596AAF" w:rsidP="00596AAF">
      <w:pPr>
        <w:pStyle w:val="BodyText"/>
      </w:pPr>
      <w:r>
        <w:t xml:space="preserve">With respect to </w:t>
      </w:r>
      <w:r w:rsidR="00E1330D" w:rsidRPr="00624338">
        <w:rPr>
          <w:vertAlign w:val="superscript"/>
        </w:rPr>
        <w:t>197</w:t>
      </w:r>
      <w:r>
        <w:t>Au simulations, only few participants have produced results with good agreement to measured values. This might be attributed to the exact foil dimensions not being used in stochastic codes or self-shielding not being accounted properly in deterministic codes.</w:t>
      </w:r>
    </w:p>
    <w:p w14:paraId="433FE053" w14:textId="11B58E2E" w:rsidR="00EE0041" w:rsidRDefault="001112FF" w:rsidP="0088113D">
      <w:pPr>
        <w:pStyle w:val="Heading2"/>
        <w:numPr>
          <w:ilvl w:val="1"/>
          <w:numId w:val="5"/>
        </w:numPr>
      </w:pPr>
      <w:r>
        <w:t>Integral Reactivity Coefficients</w:t>
      </w:r>
    </w:p>
    <w:p w14:paraId="18326DCE" w14:textId="77777777" w:rsidR="000F59D8" w:rsidRPr="000F59D8" w:rsidRDefault="000F59D8" w:rsidP="000F59D8">
      <w:pPr>
        <w:pStyle w:val="Heading3"/>
        <w:numPr>
          <w:ilvl w:val="2"/>
          <w:numId w:val="10"/>
        </w:numPr>
      </w:pPr>
      <w:r w:rsidRPr="000F59D8">
        <w:t>Definition of integral reactivity coefficients</w:t>
      </w:r>
    </w:p>
    <w:p w14:paraId="24D4A9AC" w14:textId="3E721DFC" w:rsidR="00611EEA" w:rsidRDefault="001112FF" w:rsidP="001112FF">
      <w:pPr>
        <w:pStyle w:val="BodyText"/>
      </w:pPr>
      <w:r>
        <w:t xml:space="preserve">The integral reactivity coefficients have been defined by perturbating various parameters from the normal operation condition at cold state (250 </w:t>
      </w:r>
      <w:proofErr w:type="spellStart"/>
      <w:r w:rsidRPr="00B418F2">
        <w:rPr>
          <w:vertAlign w:val="superscript"/>
        </w:rPr>
        <w:t>o</w:t>
      </w:r>
      <w:r>
        <w:t>C</w:t>
      </w:r>
      <w:proofErr w:type="spellEnd"/>
      <w:r>
        <w:t xml:space="preserve">). The normal operation core layout, material compositions, and control rods at critical state are provided in the CEFR benchmark technical specification. </w:t>
      </w:r>
    </w:p>
    <w:p w14:paraId="08F0D06B" w14:textId="3AF516F4" w:rsidR="001112FF" w:rsidRDefault="00611EEA" w:rsidP="001112FF">
      <w:pPr>
        <w:pStyle w:val="BodyText"/>
      </w:pPr>
      <w:r>
        <w:t>Axial and radial expa</w:t>
      </w:r>
      <w:r w:rsidR="001112FF" w:rsidRPr="009722B0">
        <w:t>nsion reactivity coefficient</w:t>
      </w:r>
      <w:r>
        <w:t>s</w:t>
      </w:r>
      <w:r w:rsidR="001112FF" w:rsidRPr="009722B0">
        <w:t xml:space="preserve"> </w:t>
      </w:r>
      <w:r>
        <w:t>are</w:t>
      </w:r>
      <w:r w:rsidR="001112FF">
        <w:t xml:space="preserve"> defined by the core multiplication change from the normal state to the 1% expanded state</w:t>
      </w:r>
      <w:r w:rsidR="00CD41F5">
        <w:t>s</w:t>
      </w:r>
      <w:r w:rsidR="001112FF">
        <w:t xml:space="preserve">,   </w:t>
      </w:r>
    </w:p>
    <w:p w14:paraId="1978587D" w14:textId="2ECE167F" w:rsidR="001112FF" w:rsidRPr="001112FF" w:rsidRDefault="000D2166" w:rsidP="001112FF">
      <w:pPr>
        <w:jc w:val="center"/>
        <w:rPr>
          <w:sz w:val="20"/>
        </w:rPr>
      </w:pPr>
      <m:oMath>
        <m:sSup>
          <m:sSupPr>
            <m:ctrlPr>
              <w:rPr>
                <w:rFonts w:ascii="Cambria Math" w:hAnsi="Cambria Math"/>
                <w:sz w:val="20"/>
              </w:rPr>
            </m:ctrlPr>
          </m:sSupPr>
          <m:e>
            <m:r>
              <w:rPr>
                <w:rFonts w:ascii="Cambria Math" w:hAnsi="Cambria Math"/>
                <w:sz w:val="20"/>
              </w:rPr>
              <m:t>∆ρ</m:t>
            </m:r>
          </m:e>
          <m:sup>
            <m:r>
              <w:rPr>
                <w:rFonts w:ascii="Cambria Math" w:hAnsi="Cambria Math"/>
                <w:sz w:val="20"/>
              </w:rPr>
              <m:t>exp.</m:t>
            </m:r>
          </m:sup>
        </m:sSup>
        <m:r>
          <w:rPr>
            <w:rFonts w:ascii="Cambria Math" w:hAnsi="Cambria Math"/>
            <w:sz w:val="20"/>
          </w:rPr>
          <m:t>(</m:t>
        </m:r>
        <m:f>
          <m:fPr>
            <m:ctrlPr>
              <w:rPr>
                <w:rFonts w:ascii="Cambria Math" w:hAnsi="Cambria Math"/>
                <w:i/>
                <w:sz w:val="20"/>
              </w:rPr>
            </m:ctrlPr>
          </m:fPr>
          <m:num>
            <m:r>
              <w:rPr>
                <w:rFonts w:ascii="Cambria Math" w:hAnsi="Cambria Math"/>
                <w:sz w:val="20"/>
              </w:rPr>
              <m:t>pcm</m:t>
            </m:r>
          </m:num>
          <m:den>
            <m:r>
              <w:rPr>
                <w:rFonts w:ascii="Cambria Math" w:hAnsi="Cambria Math"/>
                <w:sz w:val="20"/>
              </w:rPr>
              <m:t>%</m:t>
            </m:r>
          </m:den>
        </m:f>
        <m:r>
          <w:rPr>
            <w:rFonts w:ascii="Cambria Math" w:hAnsi="Cambria Math"/>
            <w:sz w:val="20"/>
          </w:rPr>
          <m:t>)=</m:t>
        </m:r>
        <m:f>
          <m:fPr>
            <m:ctrlPr>
              <w:rPr>
                <w:rFonts w:ascii="Cambria Math" w:hAnsi="Cambria Math"/>
                <w:sz w:val="20"/>
              </w:rPr>
            </m:ctrlPr>
          </m:fPr>
          <m:num>
            <m:sSup>
              <m:sSupPr>
                <m:ctrlPr>
                  <w:rPr>
                    <w:rFonts w:ascii="Cambria Math" w:hAnsi="Cambria Math"/>
                    <w:sz w:val="20"/>
                  </w:rPr>
                </m:ctrlPr>
              </m:sSupPr>
              <m:e>
                <m:r>
                  <w:rPr>
                    <w:rFonts w:ascii="Cambria Math" w:hAnsi="Cambria Math"/>
                    <w:sz w:val="20"/>
                  </w:rPr>
                  <m:t>k</m:t>
                </m:r>
              </m:e>
              <m:sup>
                <m:r>
                  <w:rPr>
                    <w:rFonts w:ascii="Cambria Math" w:hAnsi="Cambria Math"/>
                    <w:sz w:val="20"/>
                  </w:rPr>
                  <m:t>exp.</m:t>
                </m:r>
              </m:sup>
            </m:sSup>
            <m:r>
              <w:rPr>
                <w:rFonts w:ascii="Cambria Math" w:hAnsi="Cambria Math"/>
                <w:sz w:val="20"/>
              </w:rPr>
              <m:t xml:space="preserve">- </m:t>
            </m:r>
            <m:sSup>
              <m:sSupPr>
                <m:ctrlPr>
                  <w:rPr>
                    <w:rFonts w:ascii="Cambria Math" w:hAnsi="Cambria Math"/>
                    <w:sz w:val="20"/>
                  </w:rPr>
                </m:ctrlPr>
              </m:sSupPr>
              <m:e>
                <m:r>
                  <w:rPr>
                    <w:rFonts w:ascii="Cambria Math" w:hAnsi="Cambria Math"/>
                    <w:sz w:val="20"/>
                  </w:rPr>
                  <m:t>k</m:t>
                </m:r>
              </m:e>
              <m:sup>
                <m:r>
                  <w:rPr>
                    <w:rFonts w:ascii="Cambria Math" w:hAnsi="Cambria Math"/>
                    <w:sz w:val="20"/>
                  </w:rPr>
                  <m:t>normal</m:t>
                </m:r>
              </m:sup>
            </m:sSup>
          </m:num>
          <m:den>
            <m:r>
              <w:rPr>
                <w:rFonts w:ascii="Cambria Math" w:hAnsi="Cambria Math"/>
                <w:sz w:val="20"/>
              </w:rPr>
              <m:t>1% expansion</m:t>
            </m:r>
          </m:den>
        </m:f>
      </m:oMath>
      <w:r w:rsidR="001112FF" w:rsidRPr="001112FF">
        <w:rPr>
          <w:sz w:val="20"/>
        </w:rPr>
        <w:t xml:space="preserve"> ,</w:t>
      </w:r>
    </w:p>
    <w:p w14:paraId="627A2544" w14:textId="308F1EBB" w:rsidR="00611EEA" w:rsidRDefault="001112FF" w:rsidP="001112FF">
      <w:pPr>
        <w:pStyle w:val="BodyText"/>
        <w:ind w:firstLine="0"/>
      </w:pPr>
      <w:r>
        <w:t xml:space="preserve">where  </w:t>
      </w:r>
      <m:oMath>
        <m:sSup>
          <m:sSupPr>
            <m:ctrlPr>
              <w:rPr>
                <w:rFonts w:ascii="Cambria Math" w:hAnsi="Cambria Math"/>
              </w:rPr>
            </m:ctrlPr>
          </m:sSupPr>
          <m:e>
            <m:r>
              <w:rPr>
                <w:rFonts w:ascii="Cambria Math" w:hAnsi="Cambria Math"/>
              </w:rPr>
              <m:t>k</m:t>
            </m:r>
          </m:e>
          <m:sup>
            <m:r>
              <w:rPr>
                <w:rFonts w:ascii="Cambria Math" w:hAnsi="Cambria Math"/>
              </w:rPr>
              <m:t>exp.</m:t>
            </m:r>
          </m:sup>
        </m:sSup>
        <m:r>
          <w:rPr>
            <w:rFonts w:ascii="Cambria Math" w:hAnsi="Cambria Math"/>
          </w:rPr>
          <m:t xml:space="preserve"> a</m:t>
        </m:r>
      </m:oMath>
      <w:r>
        <w:t xml:space="preserve">nd </w:t>
      </w:r>
      <m:oMath>
        <m:sSup>
          <m:sSupPr>
            <m:ctrlPr>
              <w:rPr>
                <w:rFonts w:ascii="Cambria Math" w:hAnsi="Cambria Math"/>
              </w:rPr>
            </m:ctrlPr>
          </m:sSupPr>
          <m:e>
            <m:r>
              <w:rPr>
                <w:rFonts w:ascii="Cambria Math" w:hAnsi="Cambria Math"/>
              </w:rPr>
              <m:t>k</m:t>
            </m:r>
          </m:e>
          <m:sup>
            <m:r>
              <w:rPr>
                <w:rFonts w:ascii="Cambria Math" w:hAnsi="Cambria Math"/>
              </w:rPr>
              <m:t>normal</m:t>
            </m:r>
          </m:sup>
        </m:sSup>
      </m:oMath>
      <w:r>
        <w:t xml:space="preserve"> denote the core multiplication factors at the </w:t>
      </w:r>
      <w:r w:rsidR="00611EEA">
        <w:t>expanded</w:t>
      </w:r>
      <w:r>
        <w:t xml:space="preserve"> and normal states, respectively. </w:t>
      </w:r>
      <w:r w:rsidR="00611EEA">
        <w:t xml:space="preserve">Because </w:t>
      </w:r>
      <w:r>
        <w:t xml:space="preserve">fresh pellets are freely movable </w:t>
      </w:r>
      <w:r w:rsidR="00CD41F5">
        <w:t xml:space="preserve">in </w:t>
      </w:r>
      <w:r>
        <w:t xml:space="preserve">cladding, it was assumed that only both fuel and blanket pellets are axially expanded by 1% and other structures (cladding, duct, etc.) are not axially expanded. </w:t>
      </w:r>
      <w:r w:rsidR="00611EEA">
        <w:t xml:space="preserve">For the radial </w:t>
      </w:r>
      <w:r w:rsidR="00611EEA">
        <w:lastRenderedPageBreak/>
        <w:t xml:space="preserve">expansion, it was assumed that </w:t>
      </w:r>
      <w:r>
        <w:t>the radial expansion is dictated by the grid plate</w:t>
      </w:r>
      <w:r w:rsidR="00611EEA">
        <w:t xml:space="preserve"> and all subassemblies in the core are </w:t>
      </w:r>
      <w:r>
        <w:t>uniform</w:t>
      </w:r>
      <w:r w:rsidR="00611EEA">
        <w:t>ly</w:t>
      </w:r>
      <w:r>
        <w:t xml:space="preserve"> expan</w:t>
      </w:r>
      <w:r w:rsidR="00611EEA">
        <w:t xml:space="preserve">ded radially </w:t>
      </w:r>
      <w:r>
        <w:t xml:space="preserve">by 1%. </w:t>
      </w:r>
    </w:p>
    <w:p w14:paraId="05BB4270" w14:textId="395118FC" w:rsidR="00AA5E8D" w:rsidRPr="009722B0" w:rsidRDefault="001112FF" w:rsidP="00CD41F5">
      <w:pPr>
        <w:pStyle w:val="BodyText"/>
      </w:pPr>
      <w:r w:rsidRPr="009722B0">
        <w:t xml:space="preserve">Density reactivity coefficients of sodium, steel, and fuel are defined by the core multiplication </w:t>
      </w:r>
      <w:r w:rsidR="00786B15">
        <w:t xml:space="preserve">change </w:t>
      </w:r>
      <w:r w:rsidRPr="009722B0">
        <w:t>fr</w:t>
      </w:r>
      <w:r w:rsidR="005A12C3">
        <w:t>o</w:t>
      </w:r>
      <w:r w:rsidRPr="009722B0">
        <w:t xml:space="preserve">m the normal state to the density perturbed </w:t>
      </w:r>
      <w:proofErr w:type="gramStart"/>
      <w:r w:rsidRPr="009722B0">
        <w:t>states;</w:t>
      </w:r>
      <w:proofErr w:type="gramEnd"/>
    </w:p>
    <w:p w14:paraId="4C06E42D" w14:textId="50976038" w:rsidR="001112FF" w:rsidRPr="001112FF" w:rsidRDefault="000D2166" w:rsidP="001112FF">
      <w:pPr>
        <w:jc w:val="center"/>
        <w:rPr>
          <w:sz w:val="21"/>
        </w:rPr>
      </w:pPr>
      <m:oMath>
        <m:sSup>
          <m:sSupPr>
            <m:ctrlPr>
              <w:rPr>
                <w:rFonts w:ascii="Cambria Math" w:hAnsi="Cambria Math"/>
                <w:i/>
                <w:sz w:val="21"/>
              </w:rPr>
            </m:ctrlPr>
          </m:sSupPr>
          <m:e>
            <m:r>
              <w:rPr>
                <w:rFonts w:ascii="Cambria Math" w:hAnsi="Cambria Math"/>
                <w:sz w:val="21"/>
              </w:rPr>
              <m:t>∆ρ</m:t>
            </m:r>
          </m:e>
          <m:sup>
            <m:r>
              <w:rPr>
                <w:rFonts w:ascii="Cambria Math" w:hAnsi="Cambria Math"/>
                <w:sz w:val="21"/>
              </w:rPr>
              <m:t>density</m:t>
            </m:r>
          </m:sup>
        </m:sSup>
        <m:r>
          <w:rPr>
            <w:rFonts w:ascii="Cambria Math" w:hAnsi="Cambria Math"/>
            <w:sz w:val="21"/>
          </w:rPr>
          <m:t>(</m:t>
        </m:r>
        <m:f>
          <m:fPr>
            <m:ctrlPr>
              <w:rPr>
                <w:rFonts w:ascii="Cambria Math" w:hAnsi="Cambria Math"/>
                <w:i/>
                <w:sz w:val="21"/>
              </w:rPr>
            </m:ctrlPr>
          </m:fPr>
          <m:num>
            <m:r>
              <w:rPr>
                <w:rFonts w:ascii="Cambria Math" w:hAnsi="Cambria Math"/>
                <w:sz w:val="21"/>
              </w:rPr>
              <m:t>pcm</m:t>
            </m:r>
          </m:num>
          <m:den>
            <m:r>
              <w:rPr>
                <w:rFonts w:ascii="Cambria Math" w:hAnsi="Cambria Math"/>
                <w:sz w:val="21"/>
              </w:rPr>
              <m:t>%</m:t>
            </m:r>
          </m:den>
        </m:f>
        <m:r>
          <w:rPr>
            <w:rFonts w:ascii="Cambria Math" w:hAnsi="Cambria Math"/>
            <w:sz w:val="21"/>
          </w:rPr>
          <m:t>)=</m:t>
        </m:r>
        <m:f>
          <m:fPr>
            <m:ctrlPr>
              <w:rPr>
                <w:rFonts w:ascii="Cambria Math" w:hAnsi="Cambria Math"/>
                <w:i/>
                <w:sz w:val="21"/>
              </w:rPr>
            </m:ctrlPr>
          </m:fPr>
          <m:num>
            <m:sSubSup>
              <m:sSubSupPr>
                <m:ctrlPr>
                  <w:rPr>
                    <w:rFonts w:ascii="Cambria Math" w:hAnsi="Cambria Math"/>
                    <w:i/>
                    <w:sz w:val="21"/>
                  </w:rPr>
                </m:ctrlPr>
              </m:sSubSupPr>
              <m:e>
                <m:r>
                  <w:rPr>
                    <w:rFonts w:ascii="Cambria Math" w:hAnsi="Cambria Math"/>
                    <w:sz w:val="21"/>
                  </w:rPr>
                  <m:t>k</m:t>
                </m:r>
              </m:e>
              <m:sub/>
              <m:sup>
                <m:r>
                  <w:rPr>
                    <w:rFonts w:ascii="Cambria Math" w:hAnsi="Cambria Math"/>
                    <w:sz w:val="21"/>
                  </w:rPr>
                  <m:t>density</m:t>
                </m:r>
              </m:sup>
            </m:sSubSup>
            <m:r>
              <w:rPr>
                <w:rFonts w:ascii="Cambria Math" w:hAnsi="Cambria Math"/>
                <w:sz w:val="21"/>
              </w:rPr>
              <m:t xml:space="preserve">- </m:t>
            </m:r>
            <m:sSup>
              <m:sSupPr>
                <m:ctrlPr>
                  <w:rPr>
                    <w:rFonts w:ascii="Cambria Math" w:hAnsi="Cambria Math"/>
                    <w:sz w:val="21"/>
                  </w:rPr>
                </m:ctrlPr>
              </m:sSupPr>
              <m:e>
                <m:r>
                  <w:rPr>
                    <w:rFonts w:ascii="Cambria Math" w:hAnsi="Cambria Math"/>
                    <w:sz w:val="21"/>
                  </w:rPr>
                  <m:t>k</m:t>
                </m:r>
              </m:e>
              <m:sup>
                <m:r>
                  <w:rPr>
                    <w:rFonts w:ascii="Cambria Math" w:hAnsi="Cambria Math"/>
                    <w:sz w:val="21"/>
                  </w:rPr>
                  <m:t>normal</m:t>
                </m:r>
              </m:sup>
            </m:sSup>
          </m:num>
          <m:den>
            <m:r>
              <w:rPr>
                <w:rFonts w:ascii="Cambria Math" w:hAnsi="Cambria Math"/>
                <w:sz w:val="21"/>
              </w:rPr>
              <m:t xml:space="preserve">1% or 10% density change </m:t>
            </m:r>
          </m:den>
        </m:f>
      </m:oMath>
      <w:r w:rsidR="001112FF" w:rsidRPr="001112FF">
        <w:rPr>
          <w:sz w:val="21"/>
        </w:rPr>
        <w:t xml:space="preserve"> ,</w:t>
      </w:r>
    </w:p>
    <w:p w14:paraId="0277DA9C" w14:textId="5A1CB6F3" w:rsidR="00611EEA" w:rsidRDefault="001112FF" w:rsidP="001112FF">
      <w:pPr>
        <w:pStyle w:val="BodyText"/>
        <w:ind w:firstLine="0"/>
      </w:pPr>
      <w:r>
        <w:t xml:space="preserve">where </w:t>
      </w:r>
      <w:r>
        <w:tab/>
      </w:r>
      <m:oMath>
        <m:sSup>
          <m:sSupPr>
            <m:ctrlPr>
              <w:rPr>
                <w:rFonts w:ascii="Cambria Math" w:hAnsi="Cambria Math"/>
                <w:i/>
              </w:rPr>
            </m:ctrlPr>
          </m:sSupPr>
          <m:e>
            <m:r>
              <w:rPr>
                <w:rFonts w:ascii="Cambria Math" w:hAnsi="Cambria Math"/>
              </w:rPr>
              <m:t>k</m:t>
            </m:r>
          </m:e>
          <m:sup>
            <m:r>
              <w:rPr>
                <w:rFonts w:ascii="Cambria Math" w:hAnsi="Cambria Math"/>
              </w:rPr>
              <m:t>density</m:t>
            </m:r>
          </m:sup>
        </m:sSup>
      </m:oMath>
      <w:r>
        <w:t xml:space="preserve"> is the core multiplication factor of the density perturbed </w:t>
      </w:r>
      <w:proofErr w:type="gramStart"/>
      <w:r>
        <w:t>state.</w:t>
      </w:r>
      <w:proofErr w:type="gramEnd"/>
      <w:r>
        <w:t xml:space="preserve"> The density perturbed state</w:t>
      </w:r>
      <w:r w:rsidR="00CD41F5">
        <w:t xml:space="preserve"> i</w:t>
      </w:r>
      <w:r>
        <w:t xml:space="preserve">s defined by 1% density increase </w:t>
      </w:r>
      <w:r w:rsidR="00CD41F5">
        <w:t>in</w:t>
      </w:r>
      <w:r>
        <w:t xml:space="preserve"> sodium</w:t>
      </w:r>
      <w:r w:rsidR="00CD41F5">
        <w:t xml:space="preserve"> and </w:t>
      </w:r>
      <w:r>
        <w:t xml:space="preserve">fuel (including upper blanket) pellet, but the steel density is increased by 10%. For simplicity, it was assumed that the density changes are only happened in 79 fuel subassemblies (i.e., densities of other </w:t>
      </w:r>
      <w:r w:rsidR="00611EEA">
        <w:t>sub</w:t>
      </w:r>
      <w:r>
        <w:t xml:space="preserve">assemblies are not changed). </w:t>
      </w:r>
    </w:p>
    <w:p w14:paraId="3F6C631F" w14:textId="2E6F6F78" w:rsidR="001112FF" w:rsidRDefault="001112FF" w:rsidP="00611EEA">
      <w:pPr>
        <w:pStyle w:val="BodyText"/>
      </w:pPr>
      <w:r w:rsidRPr="009722B0">
        <w:t xml:space="preserve">Doppler constants </w:t>
      </w:r>
      <w:r w:rsidR="00CD41F5">
        <w:t>at</w:t>
      </w:r>
      <w:r w:rsidRPr="009722B0">
        <w:t xml:space="preserve"> normal and </w:t>
      </w:r>
      <w:r w:rsidR="00CD41F5">
        <w:t xml:space="preserve">flowing </w:t>
      </w:r>
      <w:r w:rsidRPr="009722B0">
        <w:t>sodium voided states</w:t>
      </w:r>
      <w:r>
        <w:t xml:space="preserve"> are defined by the core multiplication change from the normal state to fuel temperature perturbed </w:t>
      </w:r>
      <w:proofErr w:type="gramStart"/>
      <w:r>
        <w:t>states;</w:t>
      </w:r>
      <w:proofErr w:type="gramEnd"/>
    </w:p>
    <w:p w14:paraId="3C236EC2" w14:textId="62A54EB3" w:rsidR="001112FF" w:rsidRPr="001112FF" w:rsidRDefault="000D2166" w:rsidP="001112FF">
      <w:pPr>
        <w:jc w:val="center"/>
        <w:rPr>
          <w:sz w:val="20"/>
        </w:rPr>
      </w:pPr>
      <m:oMath>
        <m:sSubSup>
          <m:sSubSupPr>
            <m:ctrlPr>
              <w:rPr>
                <w:rFonts w:ascii="Cambria Math" w:hAnsi="Cambria Math"/>
                <w:i/>
                <w:sz w:val="20"/>
              </w:rPr>
            </m:ctrlPr>
          </m:sSubSupPr>
          <m:e>
            <m:r>
              <w:rPr>
                <w:rFonts w:ascii="Cambria Math" w:hAnsi="Cambria Math"/>
                <w:sz w:val="20"/>
              </w:rPr>
              <m:t>∆ρ</m:t>
            </m:r>
          </m:e>
          <m:sub>
            <m:r>
              <w:rPr>
                <w:rFonts w:ascii="Cambria Math" w:hAnsi="Cambria Math"/>
                <w:sz w:val="20"/>
              </w:rPr>
              <m:t>normal</m:t>
            </m:r>
          </m:sub>
          <m:sup>
            <m:r>
              <w:rPr>
                <w:rFonts w:ascii="Cambria Math" w:hAnsi="Cambria Math"/>
                <w:sz w:val="20"/>
              </w:rPr>
              <m:t>doppler</m:t>
            </m:r>
          </m:sup>
        </m:sSubSup>
        <m:r>
          <w:rPr>
            <w:rFonts w:ascii="Cambria Math" w:hAnsi="Cambria Math"/>
            <w:sz w:val="20"/>
          </w:rPr>
          <m:t>(</m:t>
        </m:r>
        <m:f>
          <m:fPr>
            <m:ctrlPr>
              <w:rPr>
                <w:rFonts w:ascii="Cambria Math" w:hAnsi="Cambria Math"/>
                <w:i/>
                <w:sz w:val="20"/>
              </w:rPr>
            </m:ctrlPr>
          </m:fPr>
          <m:num>
            <m:r>
              <w:rPr>
                <w:rFonts w:ascii="Cambria Math" w:hAnsi="Cambria Math"/>
                <w:sz w:val="20"/>
              </w:rPr>
              <m:t>pcm</m:t>
            </m:r>
          </m:num>
          <m:den>
            <m:r>
              <w:rPr>
                <w:rFonts w:ascii="Cambria Math" w:hAnsi="Cambria Math"/>
                <w:sz w:val="20"/>
              </w:rPr>
              <m:t>∆T</m:t>
            </m:r>
          </m:den>
        </m:f>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k</m:t>
                </m:r>
              </m:e>
              <m:sub>
                <m:r>
                  <w:rPr>
                    <w:rFonts w:ascii="Cambria Math" w:hAnsi="Cambria Math"/>
                    <w:sz w:val="20"/>
                  </w:rPr>
                  <m:t>normal</m:t>
                </m:r>
              </m:sub>
              <m:sup>
                <m:r>
                  <w:rPr>
                    <w:rFonts w:ascii="Cambria Math" w:hAnsi="Cambria Math"/>
                    <w:sz w:val="20"/>
                  </w:rPr>
                  <m:t xml:space="preserve">high temp. </m:t>
                </m:r>
              </m:sup>
            </m:sSubSup>
            <m:r>
              <w:rPr>
                <w:rFonts w:ascii="Cambria Math" w:hAnsi="Cambria Math"/>
                <w:sz w:val="20"/>
              </w:rPr>
              <m:t xml:space="preserve">- </m:t>
            </m:r>
            <m:sSup>
              <m:sSupPr>
                <m:ctrlPr>
                  <w:rPr>
                    <w:rFonts w:ascii="Cambria Math" w:hAnsi="Cambria Math"/>
                    <w:sz w:val="20"/>
                  </w:rPr>
                </m:ctrlPr>
              </m:sSupPr>
              <m:e>
                <m:r>
                  <w:rPr>
                    <w:rFonts w:ascii="Cambria Math" w:hAnsi="Cambria Math"/>
                    <w:sz w:val="20"/>
                  </w:rPr>
                  <m:t>k</m:t>
                </m:r>
              </m:e>
              <m:sup>
                <m:r>
                  <w:rPr>
                    <w:rFonts w:ascii="Cambria Math" w:hAnsi="Cambria Math"/>
                    <w:sz w:val="20"/>
                  </w:rPr>
                  <m:t>normal</m:t>
                </m:r>
              </m:sup>
            </m:sSup>
          </m:num>
          <m:den>
            <m:r>
              <w:rPr>
                <w:rFonts w:ascii="Cambria Math" w:hAnsi="Cambria Math"/>
                <w:sz w:val="20"/>
              </w:rPr>
              <m:t>250 K temperature change</m:t>
            </m:r>
          </m:den>
        </m:f>
      </m:oMath>
      <w:r w:rsidR="001112FF" w:rsidRPr="001112FF">
        <w:rPr>
          <w:sz w:val="20"/>
        </w:rPr>
        <w:t xml:space="preserve"> ,</w:t>
      </w:r>
    </w:p>
    <w:p w14:paraId="365CE1CB" w14:textId="64A2BBC2" w:rsidR="001112FF" w:rsidRPr="001112FF" w:rsidRDefault="000D2166" w:rsidP="001112FF">
      <w:pPr>
        <w:jc w:val="center"/>
        <w:rPr>
          <w:sz w:val="20"/>
        </w:rPr>
      </w:pPr>
      <m:oMath>
        <m:sSubSup>
          <m:sSubSupPr>
            <m:ctrlPr>
              <w:rPr>
                <w:rFonts w:ascii="Cambria Math" w:hAnsi="Cambria Math"/>
                <w:i/>
                <w:sz w:val="20"/>
              </w:rPr>
            </m:ctrlPr>
          </m:sSubSupPr>
          <m:e>
            <m:r>
              <w:rPr>
                <w:rFonts w:ascii="Cambria Math" w:hAnsi="Cambria Math"/>
                <w:sz w:val="20"/>
              </w:rPr>
              <m:t>∆ρ</m:t>
            </m:r>
          </m:e>
          <m:sub>
            <m:r>
              <w:rPr>
                <w:rFonts w:ascii="Cambria Math" w:hAnsi="Cambria Math"/>
                <w:sz w:val="20"/>
              </w:rPr>
              <m:t>voided</m:t>
            </m:r>
          </m:sub>
          <m:sup>
            <m:r>
              <w:rPr>
                <w:rFonts w:ascii="Cambria Math" w:hAnsi="Cambria Math"/>
                <w:sz w:val="20"/>
              </w:rPr>
              <m:t>doppler</m:t>
            </m:r>
          </m:sup>
        </m:sSubSup>
        <m:r>
          <w:rPr>
            <w:rFonts w:ascii="Cambria Math" w:hAnsi="Cambria Math"/>
            <w:sz w:val="20"/>
          </w:rPr>
          <m:t>(</m:t>
        </m:r>
        <m:f>
          <m:fPr>
            <m:ctrlPr>
              <w:rPr>
                <w:rFonts w:ascii="Cambria Math" w:hAnsi="Cambria Math"/>
                <w:i/>
                <w:sz w:val="20"/>
              </w:rPr>
            </m:ctrlPr>
          </m:fPr>
          <m:num>
            <m:r>
              <w:rPr>
                <w:rFonts w:ascii="Cambria Math" w:hAnsi="Cambria Math"/>
                <w:sz w:val="20"/>
              </w:rPr>
              <m:t>pcm</m:t>
            </m:r>
          </m:num>
          <m:den>
            <m:r>
              <w:rPr>
                <w:rFonts w:ascii="Cambria Math" w:hAnsi="Cambria Math"/>
                <w:sz w:val="20"/>
              </w:rPr>
              <m:t>∆T</m:t>
            </m:r>
          </m:den>
        </m:f>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k</m:t>
                </m:r>
              </m:e>
              <m:sub>
                <m:r>
                  <w:rPr>
                    <w:rFonts w:ascii="Cambria Math" w:hAnsi="Cambria Math"/>
                    <w:sz w:val="20"/>
                  </w:rPr>
                  <m:t>voided</m:t>
                </m:r>
              </m:sub>
              <m:sup>
                <m:r>
                  <w:rPr>
                    <w:rFonts w:ascii="Cambria Math" w:hAnsi="Cambria Math"/>
                    <w:sz w:val="20"/>
                  </w:rPr>
                  <m:t xml:space="preserve">high temp. </m:t>
                </m:r>
              </m:sup>
            </m:sSubSup>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k</m:t>
                </m:r>
              </m:e>
              <m:sub>
                <m:r>
                  <w:rPr>
                    <w:rFonts w:ascii="Cambria Math" w:hAnsi="Cambria Math"/>
                    <w:sz w:val="20"/>
                  </w:rPr>
                  <m:t>voided</m:t>
                </m:r>
              </m:sub>
              <m:sup>
                <m:r>
                  <w:rPr>
                    <w:rFonts w:ascii="Cambria Math" w:hAnsi="Cambria Math"/>
                    <w:sz w:val="20"/>
                  </w:rPr>
                  <m:t xml:space="preserve">normal </m:t>
                </m:r>
              </m:sup>
            </m:sSubSup>
          </m:num>
          <m:den>
            <m:r>
              <w:rPr>
                <w:rFonts w:ascii="Cambria Math" w:hAnsi="Cambria Math"/>
                <w:sz w:val="20"/>
              </w:rPr>
              <m:t>250 K temperature change</m:t>
            </m:r>
          </m:den>
        </m:f>
      </m:oMath>
      <w:r w:rsidR="001112FF" w:rsidRPr="001112FF">
        <w:rPr>
          <w:sz w:val="20"/>
        </w:rPr>
        <w:t xml:space="preserve"> ,</w:t>
      </w:r>
    </w:p>
    <w:p w14:paraId="7856D39D" w14:textId="221A52F1" w:rsidR="00611EEA" w:rsidRDefault="001112FF" w:rsidP="001112FF">
      <w:pPr>
        <w:pStyle w:val="BodyText"/>
        <w:ind w:firstLine="0"/>
      </w:pPr>
      <w:r>
        <w:t xml:space="preserve">where </w:t>
      </w:r>
      <m:oMath>
        <m:sSubSup>
          <m:sSubSupPr>
            <m:ctrlPr>
              <w:rPr>
                <w:rFonts w:ascii="Cambria Math" w:hAnsi="Cambria Math"/>
                <w:i/>
              </w:rPr>
            </m:ctrlPr>
          </m:sSubSupPr>
          <m:e>
            <m:r>
              <w:rPr>
                <w:rFonts w:ascii="Cambria Math" w:hAnsi="Cambria Math"/>
              </w:rPr>
              <m:t>k</m:t>
            </m:r>
          </m:e>
          <m:sub>
            <m:r>
              <w:rPr>
                <w:rFonts w:ascii="Cambria Math" w:hAnsi="Cambria Math"/>
              </w:rPr>
              <m:t>normal</m:t>
            </m:r>
          </m:sub>
          <m:sup>
            <m:r>
              <w:rPr>
                <w:rFonts w:ascii="Cambria Math" w:hAnsi="Cambria Math"/>
              </w:rPr>
              <m:t>high temp.</m:t>
            </m:r>
          </m:sup>
        </m:sSubSup>
      </m:oMath>
      <w:r>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voided</m:t>
            </m:r>
          </m:sub>
          <m:sup>
            <m:r>
              <w:rPr>
                <w:rFonts w:ascii="Cambria Math" w:hAnsi="Cambria Math"/>
              </w:rPr>
              <m:t xml:space="preserve">high temp. </m:t>
            </m:r>
          </m:sup>
        </m:sSubSup>
      </m:oMath>
      <w:r>
        <w:t xml:space="preserve"> , and </w:t>
      </w:r>
      <m:oMath>
        <m:sSubSup>
          <m:sSubSupPr>
            <m:ctrlPr>
              <w:rPr>
                <w:rFonts w:ascii="Cambria Math" w:hAnsi="Cambria Math"/>
                <w:i/>
              </w:rPr>
            </m:ctrlPr>
          </m:sSubSupPr>
          <m:e>
            <m:r>
              <w:rPr>
                <w:rFonts w:ascii="Cambria Math" w:hAnsi="Cambria Math"/>
              </w:rPr>
              <m:t>k</m:t>
            </m:r>
          </m:e>
          <m:sub>
            <m:r>
              <w:rPr>
                <w:rFonts w:ascii="Cambria Math" w:hAnsi="Cambria Math"/>
              </w:rPr>
              <m:t>voided</m:t>
            </m:r>
          </m:sub>
          <m:sup>
            <m:r>
              <w:rPr>
                <w:rFonts w:ascii="Cambria Math" w:hAnsi="Cambria Math"/>
              </w:rPr>
              <m:t xml:space="preserve">normal. </m:t>
            </m:r>
          </m:sup>
        </m:sSubSup>
      </m:oMath>
      <w:r>
        <w:t xml:space="preserve"> </w:t>
      </w:r>
      <w:r w:rsidR="00CD41F5">
        <w:t>d</w:t>
      </w:r>
      <w:r>
        <w:t xml:space="preserve">enote the core multiplication factors with high fuel temperature at the normal condition, high fuel temperature at the voided condition, and normal operating temperature at voided condition, respectively. For the fuel temperature perturbed case, the fuel temperature is increased to 500 </w:t>
      </w:r>
      <w:proofErr w:type="spellStart"/>
      <w:r w:rsidRPr="009D6923">
        <w:rPr>
          <w:vertAlign w:val="superscript"/>
        </w:rPr>
        <w:t>o</w:t>
      </w:r>
      <w:r>
        <w:t>C.</w:t>
      </w:r>
      <w:proofErr w:type="spellEnd"/>
      <w:r>
        <w:t xml:space="preserve"> The </w:t>
      </w:r>
      <w:r w:rsidR="00CD41F5">
        <w:t xml:space="preserve">sodium </w:t>
      </w:r>
      <w:r>
        <w:t xml:space="preserve">voided state is defined by the voided condition of flowing sodium inside duct of 79 fuel subassemblies from Lower Connector to Handling Head. Thus, the sodium in inter-fuel assemblies (i.e., outside of duct of fuel assemblies) and the sodium in non-fuel assemblies are not voided. </w:t>
      </w:r>
    </w:p>
    <w:p w14:paraId="244EF001" w14:textId="36609D8E" w:rsidR="001112FF" w:rsidRPr="00FE7B39" w:rsidRDefault="00611EEA" w:rsidP="00CD41F5">
      <w:pPr>
        <w:pStyle w:val="BodyText"/>
      </w:pPr>
      <w:r>
        <w:t>Finally, c</w:t>
      </w:r>
      <w:r w:rsidR="001112FF" w:rsidRPr="009722B0">
        <w:t>ontrol rod expansion reactivity coefficients</w:t>
      </w:r>
      <w:r w:rsidR="001112FF">
        <w:rPr>
          <w:b/>
        </w:rPr>
        <w:t xml:space="preserve"> </w:t>
      </w:r>
      <w:r w:rsidR="001112FF">
        <w:t xml:space="preserve">are defined by the core multiplication change from the normal state to the 10 cm control rod (CR) insertion </w:t>
      </w:r>
      <w:r>
        <w:t>by CR expansion</w:t>
      </w:r>
      <w:r w:rsidR="001112FF">
        <w:t xml:space="preserve">, </w:t>
      </w:r>
    </w:p>
    <w:p w14:paraId="035A263E" w14:textId="1A6F9829" w:rsidR="001112FF" w:rsidRPr="001112FF" w:rsidRDefault="000D2166" w:rsidP="001112FF">
      <w:pPr>
        <w:jc w:val="center"/>
        <w:rPr>
          <w:sz w:val="20"/>
        </w:rPr>
      </w:pPr>
      <m:oMath>
        <m:sSubSup>
          <m:sSubSupPr>
            <m:ctrlPr>
              <w:rPr>
                <w:rFonts w:ascii="Cambria Math" w:hAnsi="Cambria Math"/>
                <w:i/>
                <w:sz w:val="20"/>
              </w:rPr>
            </m:ctrlPr>
          </m:sSubSupPr>
          <m:e>
            <m:r>
              <w:rPr>
                <w:rFonts w:ascii="Cambria Math" w:hAnsi="Cambria Math"/>
                <w:sz w:val="20"/>
              </w:rPr>
              <m:t>∆ρ</m:t>
            </m:r>
          </m:e>
          <m:sub>
            <m:r>
              <w:rPr>
                <w:rFonts w:ascii="Cambria Math" w:hAnsi="Cambria Math"/>
                <w:sz w:val="20"/>
              </w:rPr>
              <m:t>regulating</m:t>
            </m:r>
          </m:sub>
          <m:sup>
            <m:r>
              <w:rPr>
                <w:rFonts w:ascii="Cambria Math" w:hAnsi="Cambria Math"/>
                <w:sz w:val="20"/>
              </w:rPr>
              <m:t>CR</m:t>
            </m:r>
          </m:sup>
        </m:sSubSup>
        <m:r>
          <w:rPr>
            <w:rFonts w:ascii="Cambria Math" w:hAnsi="Cambria Math"/>
            <w:sz w:val="20"/>
          </w:rPr>
          <m:t>(</m:t>
        </m:r>
        <m:f>
          <m:fPr>
            <m:ctrlPr>
              <w:rPr>
                <w:rFonts w:ascii="Cambria Math" w:hAnsi="Cambria Math"/>
                <w:i/>
                <w:sz w:val="20"/>
              </w:rPr>
            </m:ctrlPr>
          </m:fPr>
          <m:num>
            <m:r>
              <w:rPr>
                <w:rFonts w:ascii="Cambria Math" w:hAnsi="Cambria Math"/>
                <w:sz w:val="20"/>
              </w:rPr>
              <m:t>pcm</m:t>
            </m:r>
          </m:num>
          <m:den>
            <m:r>
              <w:rPr>
                <w:rFonts w:ascii="Cambria Math" w:hAnsi="Cambria Math"/>
                <w:sz w:val="20"/>
              </w:rPr>
              <m:t>cm</m:t>
            </m:r>
          </m:den>
        </m:f>
        <m:r>
          <w:rPr>
            <w:rFonts w:ascii="Cambria Math" w:hAnsi="Cambria Math"/>
            <w:sz w:val="20"/>
          </w:rPr>
          <m:t>)=</m:t>
        </m:r>
        <m:f>
          <m:fPr>
            <m:ctrlPr>
              <w:rPr>
                <w:rFonts w:ascii="Cambria Math" w:hAnsi="Cambria Math"/>
                <w:sz w:val="20"/>
              </w:rPr>
            </m:ctrlPr>
          </m:fPr>
          <m:num>
            <m:sSubSup>
              <m:sSubSupPr>
                <m:ctrlPr>
                  <w:rPr>
                    <w:rFonts w:ascii="Cambria Math" w:hAnsi="Cambria Math"/>
                    <w:sz w:val="20"/>
                  </w:rPr>
                </m:ctrlPr>
              </m:sSubSupPr>
              <m:e>
                <m:r>
                  <w:rPr>
                    <w:rFonts w:ascii="Cambria Math" w:hAnsi="Cambria Math"/>
                    <w:sz w:val="20"/>
                  </w:rPr>
                  <m:t>k</m:t>
                </m:r>
              </m:e>
              <m:sub>
                <m:r>
                  <w:rPr>
                    <w:rFonts w:ascii="Cambria Math" w:hAnsi="Cambria Math"/>
                    <w:sz w:val="20"/>
                  </w:rPr>
                  <m:t>regulating or shim</m:t>
                </m:r>
              </m:sub>
              <m:sup>
                <m:r>
                  <w:rPr>
                    <w:rFonts w:ascii="Cambria Math" w:hAnsi="Cambria Math"/>
                    <w:sz w:val="20"/>
                  </w:rPr>
                  <m:t xml:space="preserve">CR insertion </m:t>
                </m:r>
              </m:sup>
            </m:sSubSup>
            <m:r>
              <w:rPr>
                <w:rFonts w:ascii="Cambria Math" w:hAnsi="Cambria Math"/>
                <w:sz w:val="20"/>
              </w:rPr>
              <m:t xml:space="preserve">- </m:t>
            </m:r>
            <m:sSup>
              <m:sSupPr>
                <m:ctrlPr>
                  <w:rPr>
                    <w:rFonts w:ascii="Cambria Math" w:hAnsi="Cambria Math"/>
                    <w:sz w:val="20"/>
                  </w:rPr>
                </m:ctrlPr>
              </m:sSupPr>
              <m:e>
                <m:r>
                  <w:rPr>
                    <w:rFonts w:ascii="Cambria Math" w:hAnsi="Cambria Math"/>
                    <w:sz w:val="20"/>
                  </w:rPr>
                  <m:t>k</m:t>
                </m:r>
              </m:e>
              <m:sup>
                <m:r>
                  <w:rPr>
                    <w:rFonts w:ascii="Cambria Math" w:hAnsi="Cambria Math"/>
                    <w:sz w:val="20"/>
                  </w:rPr>
                  <m:t>normal</m:t>
                </m:r>
              </m:sup>
            </m:sSup>
          </m:num>
          <m:den>
            <m:r>
              <w:rPr>
                <w:rFonts w:ascii="Cambria Math" w:hAnsi="Cambria Math"/>
                <w:sz w:val="20"/>
              </w:rPr>
              <m:t>10 cm CR insertion</m:t>
            </m:r>
          </m:den>
        </m:f>
      </m:oMath>
      <w:r w:rsidR="001112FF" w:rsidRPr="001112FF">
        <w:rPr>
          <w:sz w:val="20"/>
        </w:rPr>
        <w:t xml:space="preserve"> ,</w:t>
      </w:r>
    </w:p>
    <w:p w14:paraId="3479BDC4" w14:textId="26D1C8A9" w:rsidR="001112FF" w:rsidRDefault="001112FF" w:rsidP="001112FF">
      <w:pPr>
        <w:pStyle w:val="BodyText"/>
        <w:ind w:firstLine="0"/>
      </w:pPr>
      <w:r>
        <w:t xml:space="preserve">where </w:t>
      </w:r>
      <m:oMath>
        <m:sSubSup>
          <m:sSubSupPr>
            <m:ctrlPr>
              <w:rPr>
                <w:rFonts w:ascii="Cambria Math" w:hAnsi="Cambria Math"/>
                <w:i/>
              </w:rPr>
            </m:ctrlPr>
          </m:sSubSupPr>
          <m:e>
            <m:r>
              <w:rPr>
                <w:rFonts w:ascii="Cambria Math" w:hAnsi="Cambria Math"/>
              </w:rPr>
              <m:t>k</m:t>
            </m:r>
          </m:e>
          <m:sub>
            <m:r>
              <w:rPr>
                <w:rFonts w:ascii="Cambria Math" w:hAnsi="Cambria Math"/>
              </w:rPr>
              <m:t>regulating, shim</m:t>
            </m:r>
          </m:sub>
          <m:sup>
            <m:r>
              <w:rPr>
                <w:rFonts w:ascii="Cambria Math" w:hAnsi="Cambria Math"/>
              </w:rPr>
              <m:t>CR insertion</m:t>
            </m:r>
          </m:sup>
        </m:sSubSup>
      </m:oMath>
      <w:r>
        <w:t xml:space="preserve"> is the core multiplication factor when regulating or shim CRs are inserted by 10 cm from </w:t>
      </w:r>
      <w:r w:rsidR="00611EEA">
        <w:t xml:space="preserve">the original </w:t>
      </w:r>
      <w:r>
        <w:t xml:space="preserve">critical </w:t>
      </w:r>
      <w:proofErr w:type="gramStart"/>
      <w:r>
        <w:t>position</w:t>
      </w:r>
      <w:r w:rsidR="00611EEA">
        <w:t>s</w:t>
      </w:r>
      <w:r>
        <w:t>.</w:t>
      </w:r>
      <w:proofErr w:type="gramEnd"/>
      <w:r>
        <w:t xml:space="preserve"> </w:t>
      </w:r>
      <w:r w:rsidR="00611EEA">
        <w:t>In the evaluation integral reactivity coefficient, t</w:t>
      </w:r>
      <w:r>
        <w:t>he appropriate adjustment of solid material densities is required to conserve the original loads in the perturbed states.</w:t>
      </w:r>
    </w:p>
    <w:p w14:paraId="3D71C63F" w14:textId="77777777" w:rsidR="001112FF" w:rsidRDefault="001112FF" w:rsidP="0088113D">
      <w:pPr>
        <w:pStyle w:val="Heading3"/>
        <w:numPr>
          <w:ilvl w:val="2"/>
          <w:numId w:val="10"/>
        </w:numPr>
      </w:pPr>
      <w:r>
        <w:t xml:space="preserve">Comparison of integral reactivity coefficients </w:t>
      </w:r>
    </w:p>
    <w:p w14:paraId="56DF23DB" w14:textId="493045D0" w:rsidR="006923AB" w:rsidRDefault="001112FF" w:rsidP="001112FF">
      <w:pPr>
        <w:pStyle w:val="BodyText"/>
      </w:pPr>
      <w:r>
        <w:t xml:space="preserve">The integral reactivity coefficients </w:t>
      </w:r>
      <w:r w:rsidR="00D31893">
        <w:t xml:space="preserve">calculated by deterministic and stochastic codes </w:t>
      </w:r>
      <w:r>
        <w:t xml:space="preserve">are </w:t>
      </w:r>
      <w:r w:rsidR="00D31893">
        <w:t xml:space="preserve">compared </w:t>
      </w:r>
      <w:r w:rsidR="00620F1A">
        <w:t xml:space="preserve">in this section. </w:t>
      </w:r>
      <w:r w:rsidR="00CD41F5">
        <w:t>Fig</w:t>
      </w:r>
      <w:r w:rsidR="00D27304">
        <w:t>ure</w:t>
      </w:r>
      <w:r w:rsidR="00CD41F5">
        <w:t xml:space="preserve"> 3 shows the axial and radial expansion coefficients. </w:t>
      </w:r>
      <w:r w:rsidR="006923AB">
        <w:t xml:space="preserve">The values obtained from deterministic and stochastic methods are plotted with blue and orange </w:t>
      </w:r>
      <w:r w:rsidR="006923AB" w:rsidRPr="002C12A9">
        <w:rPr>
          <w:lang w:val="en-US"/>
        </w:rPr>
        <w:t>colors</w:t>
      </w:r>
      <w:r w:rsidR="006923AB">
        <w:t xml:space="preserve"> for </w:t>
      </w:r>
      <w:r w:rsidR="006923AB" w:rsidRPr="00642073">
        <w:rPr>
          <w:lang w:val="en-US"/>
        </w:rPr>
        <w:t>comparison</w:t>
      </w:r>
      <w:r w:rsidR="006923AB">
        <w:t xml:space="preserve"> purpose.</w:t>
      </w:r>
      <w:r w:rsidR="00620F1A">
        <w:t xml:space="preserve"> </w:t>
      </w:r>
      <w:r w:rsidR="00326A48">
        <w:t>IGCAR(E) and IGCAR(J) indicate the results using the nuclear data library of ENDF</w:t>
      </w:r>
      <w:r w:rsidR="00D27304">
        <w:t>/B-VIII.0</w:t>
      </w:r>
      <w:r w:rsidR="00326A48">
        <w:t xml:space="preserve"> and JEFF</w:t>
      </w:r>
      <w:r w:rsidR="00D27304">
        <w:t xml:space="preserve"> 3.</w:t>
      </w:r>
      <w:r w:rsidR="00945F47">
        <w:t>3</w:t>
      </w:r>
      <w:r w:rsidR="00326A48">
        <w:t xml:space="preserve">, respectively. </w:t>
      </w:r>
      <w:r w:rsidR="00620F1A">
        <w:t>CEFR has expansion coefficients</w:t>
      </w:r>
      <w:r w:rsidR="00CD41F5">
        <w:t xml:space="preserve">, </w:t>
      </w:r>
      <w:r w:rsidR="00326A48">
        <w:t xml:space="preserve">and the most probable axial and radial expansion coefficients are </w:t>
      </w:r>
      <w:r w:rsidR="00620F1A">
        <w:t>about -355 pcm/%-expansion</w:t>
      </w:r>
      <w:r w:rsidR="00326A48">
        <w:t xml:space="preserve"> and -885 pcm/%-expansion</w:t>
      </w:r>
      <w:r w:rsidR="00703E5A">
        <w:t>, respectively</w:t>
      </w:r>
      <w:r w:rsidR="00326A48">
        <w:t xml:space="preserve">. </w:t>
      </w:r>
    </w:p>
    <w:p w14:paraId="5F4EBE40" w14:textId="2731A164" w:rsidR="006923AB" w:rsidRDefault="00943EB7" w:rsidP="00F7050C">
      <w:pPr>
        <w:pStyle w:val="BodyText"/>
        <w:ind w:firstLine="0"/>
        <w:jc w:val="center"/>
      </w:pPr>
      <w:r>
        <w:rPr>
          <w:noProof/>
          <w:lang w:val="en-US"/>
        </w:rPr>
        <w:drawing>
          <wp:inline distT="0" distB="0" distL="0" distR="0" wp14:anchorId="36094ADA" wp14:editId="70F4E62A">
            <wp:extent cx="2843784" cy="2057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3784" cy="2057400"/>
                    </a:xfrm>
                    <a:prstGeom prst="rect">
                      <a:avLst/>
                    </a:prstGeom>
                  </pic:spPr>
                </pic:pic>
              </a:graphicData>
            </a:graphic>
          </wp:inline>
        </w:drawing>
      </w:r>
      <w:r w:rsidR="006923AB">
        <w:rPr>
          <w:noProof/>
          <w:lang w:val="en-US"/>
        </w:rPr>
        <w:drawing>
          <wp:inline distT="0" distB="0" distL="0" distR="0" wp14:anchorId="246D2447" wp14:editId="7E2ED2B7">
            <wp:extent cx="283464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4640" cy="2057400"/>
                    </a:xfrm>
                    <a:prstGeom prst="rect">
                      <a:avLst/>
                    </a:prstGeom>
                  </pic:spPr>
                </pic:pic>
              </a:graphicData>
            </a:graphic>
          </wp:inline>
        </w:drawing>
      </w:r>
    </w:p>
    <w:p w14:paraId="595DBA3A" w14:textId="7A900126" w:rsidR="00620F1A" w:rsidRDefault="00620F1A" w:rsidP="00620F1A">
      <w:pPr>
        <w:pStyle w:val="BodyText"/>
        <w:ind w:firstLine="0"/>
        <w:jc w:val="center"/>
        <w:rPr>
          <w:i/>
          <w:sz w:val="18"/>
        </w:rPr>
      </w:pPr>
      <w:r w:rsidRPr="00620F1A">
        <w:rPr>
          <w:i/>
          <w:sz w:val="18"/>
        </w:rPr>
        <w:t>FIG. 3 Axial (left) and radial (right) expansion coefficients</w:t>
      </w:r>
      <w:r>
        <w:rPr>
          <w:i/>
          <w:sz w:val="18"/>
        </w:rPr>
        <w:t xml:space="preserve"> (pcm/%-expansion)</w:t>
      </w:r>
    </w:p>
    <w:p w14:paraId="455EDD96" w14:textId="77777777" w:rsidR="005A12C3" w:rsidRDefault="005A12C3" w:rsidP="0047786A">
      <w:pPr>
        <w:pStyle w:val="BodyText"/>
      </w:pPr>
    </w:p>
    <w:p w14:paraId="27BF872C" w14:textId="7738493F" w:rsidR="0047786A" w:rsidRDefault="0047786A" w:rsidP="0047786A">
      <w:pPr>
        <w:pStyle w:val="BodyText"/>
      </w:pPr>
      <w:r>
        <w:t>The density coefficients of fuel, steel, and sodium are compared in Fig. 4. CEFR</w:t>
      </w:r>
      <w:r w:rsidR="005B5388">
        <w:t xml:space="preserve"> has positive density coefficients for three materials. </w:t>
      </w:r>
      <w:r w:rsidR="00703E5A">
        <w:t>In particular, h</w:t>
      </w:r>
      <w:r w:rsidR="005B5388">
        <w:t xml:space="preserve">ighly enriched uranium oxide </w:t>
      </w:r>
      <w:r w:rsidR="005B5388" w:rsidRPr="00893D0D">
        <w:rPr>
          <w:lang w:val="en-US"/>
        </w:rPr>
        <w:t>fuel</w:t>
      </w:r>
      <w:r w:rsidR="005B5388">
        <w:rPr>
          <w:lang w:val="en-US"/>
        </w:rPr>
        <w:t xml:space="preserve"> and leaky core configuration </w:t>
      </w:r>
      <w:r w:rsidR="005B5388">
        <w:lastRenderedPageBreak/>
        <w:t xml:space="preserve">increase the reactivity per increase in sodium density. Except for one </w:t>
      </w:r>
      <w:r w:rsidR="00703E5A">
        <w:t>result</w:t>
      </w:r>
      <w:r w:rsidR="005B5388">
        <w:t xml:space="preserve"> in stochastic calculation</w:t>
      </w:r>
      <w:r w:rsidR="00703E5A">
        <w:t>s</w:t>
      </w:r>
      <w:r>
        <w:t>, there is good agreement o</w:t>
      </w:r>
      <w:r w:rsidR="00703E5A">
        <w:t xml:space="preserve">f </w:t>
      </w:r>
      <w:r>
        <w:t>the fuel density coefficient</w:t>
      </w:r>
      <w:r w:rsidR="009178A8">
        <w:t>s</w:t>
      </w:r>
      <w:r>
        <w:t xml:space="preserve">. The average fuel density coefficients are </w:t>
      </w:r>
      <w:r w:rsidR="00943EB7">
        <w:t xml:space="preserve">550 </w:t>
      </w:r>
      <w:r>
        <w:t>pcm/</w:t>
      </w:r>
      <w:r w:rsidR="00703E5A">
        <w:t>%-</w:t>
      </w:r>
      <w:r>
        <w:t>density-increase and 548 pcm/</w:t>
      </w:r>
      <w:r w:rsidR="00703E5A">
        <w:t>%-</w:t>
      </w:r>
      <w:r>
        <w:t xml:space="preserve">density-increase for the deterministic and stochastic calculations, respectively. For steel density coefficient, deterministic results are slightly more positive than the stochastic results. Except for few outlier results, the sodium density coefficients of both deterministic and stochastic results are within 31- </w:t>
      </w:r>
      <w:r w:rsidR="00943EB7">
        <w:t xml:space="preserve">35 </w:t>
      </w:r>
      <w:r>
        <w:t>pcm/</w:t>
      </w:r>
      <w:r w:rsidR="00703E5A">
        <w:t>%-</w:t>
      </w:r>
      <w:r>
        <w:t xml:space="preserve">density-increase. </w:t>
      </w:r>
    </w:p>
    <w:p w14:paraId="58A40779" w14:textId="77777777" w:rsidR="0047786A" w:rsidRDefault="0047786A" w:rsidP="0047786A">
      <w:pPr>
        <w:pStyle w:val="BodyText"/>
      </w:pPr>
    </w:p>
    <w:p w14:paraId="0F221550" w14:textId="77777777" w:rsidR="00620F1A" w:rsidRPr="00620F1A" w:rsidRDefault="00620F1A" w:rsidP="00620F1A">
      <w:pPr>
        <w:pStyle w:val="BodyText"/>
        <w:ind w:firstLine="0"/>
        <w:jc w:val="center"/>
        <w:rPr>
          <w:i/>
          <w:sz w:val="18"/>
        </w:rPr>
      </w:pPr>
    </w:p>
    <w:p w14:paraId="639CE10A" w14:textId="1E5E408D" w:rsidR="00AC2D8C" w:rsidRDefault="00943EB7" w:rsidP="00983A81">
      <w:pPr>
        <w:pStyle w:val="BodyText"/>
        <w:ind w:firstLine="0"/>
      </w:pPr>
      <w:r>
        <w:rPr>
          <w:noProof/>
          <w:lang w:val="en-US"/>
        </w:rPr>
        <w:drawing>
          <wp:inline distT="0" distB="0" distL="0" distR="0" wp14:anchorId="6A6F5176" wp14:editId="3F2A6918">
            <wp:extent cx="2843784" cy="20574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3784" cy="2057400"/>
                    </a:xfrm>
                    <a:prstGeom prst="rect">
                      <a:avLst/>
                    </a:prstGeom>
                  </pic:spPr>
                </pic:pic>
              </a:graphicData>
            </a:graphic>
          </wp:inline>
        </w:drawing>
      </w:r>
      <w:r>
        <w:rPr>
          <w:noProof/>
          <w:lang w:val="en-US"/>
        </w:rPr>
        <w:drawing>
          <wp:inline distT="0" distB="0" distL="0" distR="0" wp14:anchorId="20DF2C87" wp14:editId="2598EAA3">
            <wp:extent cx="2843784" cy="2057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3784" cy="2057400"/>
                    </a:xfrm>
                    <a:prstGeom prst="rect">
                      <a:avLst/>
                    </a:prstGeom>
                  </pic:spPr>
                </pic:pic>
              </a:graphicData>
            </a:graphic>
          </wp:inline>
        </w:drawing>
      </w:r>
    </w:p>
    <w:p w14:paraId="2506E040" w14:textId="0A089C7B" w:rsidR="00620F1A" w:rsidRDefault="00943EB7" w:rsidP="00983A81">
      <w:pPr>
        <w:pStyle w:val="BodyText"/>
        <w:ind w:firstLine="0"/>
      </w:pPr>
      <w:r>
        <w:rPr>
          <w:noProof/>
          <w:lang w:val="en-US"/>
        </w:rPr>
        <w:drawing>
          <wp:inline distT="0" distB="0" distL="0" distR="0" wp14:anchorId="0767E2B2" wp14:editId="6F38DD25">
            <wp:extent cx="2843784" cy="2057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3784" cy="2057400"/>
                    </a:xfrm>
                    <a:prstGeom prst="rect">
                      <a:avLst/>
                    </a:prstGeom>
                  </pic:spPr>
                </pic:pic>
              </a:graphicData>
            </a:graphic>
          </wp:inline>
        </w:drawing>
      </w:r>
    </w:p>
    <w:p w14:paraId="2B39BFC9" w14:textId="3976F22A" w:rsidR="00620F1A" w:rsidRDefault="00620F1A" w:rsidP="00620F1A">
      <w:pPr>
        <w:pStyle w:val="BodyText"/>
        <w:ind w:firstLine="0"/>
        <w:jc w:val="center"/>
        <w:rPr>
          <w:i/>
          <w:sz w:val="18"/>
        </w:rPr>
      </w:pPr>
      <w:r w:rsidRPr="00620F1A">
        <w:rPr>
          <w:i/>
          <w:sz w:val="18"/>
        </w:rPr>
        <w:t xml:space="preserve">FIG. </w:t>
      </w:r>
      <w:r>
        <w:rPr>
          <w:i/>
          <w:sz w:val="18"/>
        </w:rPr>
        <w:t>4</w:t>
      </w:r>
      <w:r w:rsidRPr="00620F1A">
        <w:rPr>
          <w:i/>
          <w:sz w:val="18"/>
        </w:rPr>
        <w:t xml:space="preserve"> </w:t>
      </w:r>
      <w:r>
        <w:rPr>
          <w:i/>
          <w:sz w:val="18"/>
        </w:rPr>
        <w:t xml:space="preserve">Fuel (upper </w:t>
      </w:r>
      <w:r w:rsidRPr="00620F1A">
        <w:rPr>
          <w:i/>
          <w:sz w:val="18"/>
        </w:rPr>
        <w:t>left)</w:t>
      </w:r>
      <w:r>
        <w:rPr>
          <w:i/>
          <w:sz w:val="18"/>
        </w:rPr>
        <w:t>, steel (upper right),</w:t>
      </w:r>
      <w:r w:rsidRPr="00620F1A">
        <w:rPr>
          <w:i/>
          <w:sz w:val="18"/>
        </w:rPr>
        <w:t xml:space="preserve"> and </w:t>
      </w:r>
      <w:r>
        <w:rPr>
          <w:i/>
          <w:sz w:val="18"/>
        </w:rPr>
        <w:t xml:space="preserve">sodium </w:t>
      </w:r>
      <w:r w:rsidRPr="00620F1A">
        <w:rPr>
          <w:i/>
          <w:sz w:val="18"/>
        </w:rPr>
        <w:t>(</w:t>
      </w:r>
      <w:r>
        <w:rPr>
          <w:i/>
          <w:sz w:val="18"/>
        </w:rPr>
        <w:t xml:space="preserve">bottom) density </w:t>
      </w:r>
      <w:r w:rsidRPr="00620F1A">
        <w:rPr>
          <w:i/>
          <w:sz w:val="18"/>
        </w:rPr>
        <w:t>coefficients</w:t>
      </w:r>
      <w:r>
        <w:rPr>
          <w:i/>
          <w:sz w:val="18"/>
        </w:rPr>
        <w:t xml:space="preserve"> (pcm/%density increase)</w:t>
      </w:r>
    </w:p>
    <w:p w14:paraId="2E3E5CC5" w14:textId="35989110" w:rsidR="00D31EA5" w:rsidRDefault="00D31EA5" w:rsidP="009178A8">
      <w:pPr>
        <w:pStyle w:val="BodyText"/>
      </w:pPr>
    </w:p>
    <w:p w14:paraId="187384C4" w14:textId="60632BC5" w:rsidR="009178A8" w:rsidRDefault="009178A8" w:rsidP="009178A8">
      <w:pPr>
        <w:pStyle w:val="BodyText"/>
      </w:pPr>
      <w:r>
        <w:t xml:space="preserve">Doppler constants at normal and sodium voided conditions are compared in Fig. 5. For Doppler constant at normal condition, both deterministic and stochastic results are agreed well </w:t>
      </w:r>
      <w:r w:rsidR="00703E5A">
        <w:t xml:space="preserve">at about </w:t>
      </w:r>
      <w:r>
        <w:t xml:space="preserve">-0.18 pcm/K, while Doppler constant at </w:t>
      </w:r>
      <w:r w:rsidR="00703E5A">
        <w:t xml:space="preserve">sodium </w:t>
      </w:r>
      <w:r>
        <w:t>voided condition has relatively large deviation</w:t>
      </w:r>
      <w:r w:rsidR="00703E5A">
        <w:t>s</w:t>
      </w:r>
      <w:r>
        <w:t xml:space="preserve">. Compared to Doppler constants at normal condition, Doppler constant at sodium voided condition is slightly </w:t>
      </w:r>
      <w:r w:rsidR="00943EB7">
        <w:t>less negative</w:t>
      </w:r>
      <w:r>
        <w:t xml:space="preserve"> because of the reduced Doppler effect with hardened neutron spectrum. </w:t>
      </w:r>
    </w:p>
    <w:p w14:paraId="3565C24E" w14:textId="1DA93765" w:rsidR="00C16781" w:rsidRDefault="00C16781" w:rsidP="00C16781">
      <w:pPr>
        <w:pStyle w:val="BodyText"/>
      </w:pPr>
      <w:r>
        <w:t>The regulating and shim control rod expansion coefficients are compared in Fig. 6. The average regulating control rod expansion coefficients are -8.</w:t>
      </w:r>
      <w:r w:rsidR="00943EB7">
        <w:t xml:space="preserve">4 </w:t>
      </w:r>
      <w:r>
        <w:t>pcm/cm-insertion and -7.7 pcm/cm-insertion for deterministic and stochastic calculations, respectively. The average shim control rod has much more negative expansion coefficients.</w:t>
      </w:r>
    </w:p>
    <w:p w14:paraId="5EC7AFFD" w14:textId="77777777" w:rsidR="00C16781" w:rsidRDefault="00C16781" w:rsidP="00C16781">
      <w:pPr>
        <w:pStyle w:val="BodyText"/>
      </w:pPr>
      <w:r>
        <w:t xml:space="preserve">Generally, the deterministic results have relatively large standard deviations compared to the stochastic results. For instance, the standard deviations of stochastic results are generally less than 10% (except for Doppler constants), while the standard deviations of deterministic results are larger than 10% (except for fuel density coefficient and regulating control rod worth). Wide diversity of deterministic methods could be a reason of the larger deviation in the deterministic results.    </w:t>
      </w:r>
    </w:p>
    <w:p w14:paraId="3901E323" w14:textId="77777777" w:rsidR="009178A8" w:rsidRPr="00C16781" w:rsidRDefault="009178A8" w:rsidP="009178A8">
      <w:pPr>
        <w:pStyle w:val="BodyText"/>
      </w:pPr>
    </w:p>
    <w:p w14:paraId="2BAEC149" w14:textId="1019AB0C" w:rsidR="005B5388" w:rsidRDefault="009178A8" w:rsidP="009178A8">
      <w:pPr>
        <w:pStyle w:val="BodyText"/>
        <w:ind w:firstLine="0"/>
      </w:pPr>
      <w:r>
        <w:rPr>
          <w:noProof/>
          <w:lang w:val="en-US"/>
        </w:rPr>
        <w:lastRenderedPageBreak/>
        <w:drawing>
          <wp:inline distT="0" distB="0" distL="0" distR="0" wp14:anchorId="16BFFF34" wp14:editId="594E644D">
            <wp:extent cx="2834640" cy="20482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4640" cy="2048256"/>
                    </a:xfrm>
                    <a:prstGeom prst="rect">
                      <a:avLst/>
                    </a:prstGeom>
                  </pic:spPr>
                </pic:pic>
              </a:graphicData>
            </a:graphic>
          </wp:inline>
        </w:drawing>
      </w:r>
      <w:r>
        <w:rPr>
          <w:noProof/>
          <w:lang w:val="en-US"/>
        </w:rPr>
        <w:drawing>
          <wp:inline distT="0" distB="0" distL="0" distR="0" wp14:anchorId="43C39FCF" wp14:editId="3FEDA17A">
            <wp:extent cx="283464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4640" cy="2057400"/>
                    </a:xfrm>
                    <a:prstGeom prst="rect">
                      <a:avLst/>
                    </a:prstGeom>
                  </pic:spPr>
                </pic:pic>
              </a:graphicData>
            </a:graphic>
          </wp:inline>
        </w:drawing>
      </w:r>
    </w:p>
    <w:p w14:paraId="47C7249D" w14:textId="77777777" w:rsidR="005B5388" w:rsidRDefault="005B5388" w:rsidP="005C405E">
      <w:pPr>
        <w:pStyle w:val="BodyText"/>
      </w:pPr>
    </w:p>
    <w:p w14:paraId="5F45B39E" w14:textId="77777777" w:rsidR="009178A8" w:rsidRDefault="009178A8" w:rsidP="009178A8">
      <w:pPr>
        <w:pStyle w:val="BodyText"/>
        <w:ind w:firstLine="0"/>
        <w:jc w:val="center"/>
        <w:rPr>
          <w:i/>
          <w:sz w:val="18"/>
        </w:rPr>
      </w:pPr>
      <w:r w:rsidRPr="00620F1A">
        <w:rPr>
          <w:i/>
          <w:sz w:val="18"/>
        </w:rPr>
        <w:t xml:space="preserve">FIG. </w:t>
      </w:r>
      <w:r>
        <w:rPr>
          <w:i/>
          <w:sz w:val="18"/>
        </w:rPr>
        <w:t>5</w:t>
      </w:r>
      <w:r w:rsidRPr="00620F1A">
        <w:rPr>
          <w:i/>
          <w:sz w:val="18"/>
        </w:rPr>
        <w:t xml:space="preserve"> </w:t>
      </w:r>
      <w:r>
        <w:rPr>
          <w:i/>
          <w:sz w:val="18"/>
        </w:rPr>
        <w:t>Doppler constant at normal (</w:t>
      </w:r>
      <w:r w:rsidRPr="00620F1A">
        <w:rPr>
          <w:i/>
          <w:sz w:val="18"/>
        </w:rPr>
        <w:t>left)</w:t>
      </w:r>
      <w:r>
        <w:rPr>
          <w:i/>
          <w:sz w:val="18"/>
        </w:rPr>
        <w:t xml:space="preserve"> and sodium voided (right) conditions</w:t>
      </w:r>
    </w:p>
    <w:p w14:paraId="7DDB3098" w14:textId="691A0BBD" w:rsidR="00A94E99" w:rsidRDefault="00943EB7" w:rsidP="009178A8">
      <w:pPr>
        <w:pStyle w:val="BodyText"/>
        <w:ind w:firstLine="0"/>
      </w:pPr>
      <w:r>
        <w:rPr>
          <w:noProof/>
          <w:lang w:val="en-US"/>
        </w:rPr>
        <w:drawing>
          <wp:inline distT="0" distB="0" distL="0" distR="0" wp14:anchorId="6F8489C4" wp14:editId="1932C4B0">
            <wp:extent cx="2843784" cy="20574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3784" cy="2057400"/>
                    </a:xfrm>
                    <a:prstGeom prst="rect">
                      <a:avLst/>
                    </a:prstGeom>
                  </pic:spPr>
                </pic:pic>
              </a:graphicData>
            </a:graphic>
          </wp:inline>
        </w:drawing>
      </w:r>
      <w:r>
        <w:rPr>
          <w:noProof/>
          <w:lang w:val="en-US"/>
        </w:rPr>
        <w:drawing>
          <wp:inline distT="0" distB="0" distL="0" distR="0" wp14:anchorId="27414966" wp14:editId="6F963B98">
            <wp:extent cx="2843784" cy="2057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3784" cy="2057400"/>
                    </a:xfrm>
                    <a:prstGeom prst="rect">
                      <a:avLst/>
                    </a:prstGeom>
                  </pic:spPr>
                </pic:pic>
              </a:graphicData>
            </a:graphic>
          </wp:inline>
        </w:drawing>
      </w:r>
    </w:p>
    <w:p w14:paraId="00F8C892" w14:textId="77777777" w:rsidR="009178A8" w:rsidRDefault="009178A8" w:rsidP="009178A8">
      <w:pPr>
        <w:pStyle w:val="BodyText"/>
        <w:ind w:firstLine="0"/>
        <w:jc w:val="center"/>
        <w:rPr>
          <w:i/>
          <w:sz w:val="18"/>
        </w:rPr>
      </w:pPr>
      <w:r w:rsidRPr="00620F1A">
        <w:rPr>
          <w:i/>
          <w:sz w:val="18"/>
        </w:rPr>
        <w:t xml:space="preserve">FIG. </w:t>
      </w:r>
      <w:r>
        <w:rPr>
          <w:i/>
          <w:sz w:val="18"/>
        </w:rPr>
        <w:t>6</w:t>
      </w:r>
      <w:r w:rsidRPr="00620F1A">
        <w:rPr>
          <w:i/>
          <w:sz w:val="18"/>
        </w:rPr>
        <w:t xml:space="preserve"> </w:t>
      </w:r>
      <w:r>
        <w:rPr>
          <w:i/>
          <w:sz w:val="18"/>
        </w:rPr>
        <w:t>Regulating (left) and shim (right) control rods expansion coefficients</w:t>
      </w:r>
    </w:p>
    <w:p w14:paraId="433FE059" w14:textId="585BADBB" w:rsidR="00F004EE" w:rsidRDefault="001E354A" w:rsidP="00537496">
      <w:pPr>
        <w:pStyle w:val="Heading2"/>
      </w:pPr>
      <w:r>
        <w:t>conclusions</w:t>
      </w:r>
    </w:p>
    <w:p w14:paraId="6B4D1EB6" w14:textId="791AB5BB" w:rsidR="006901CD" w:rsidRDefault="00201F53" w:rsidP="006901CD">
      <w:pPr>
        <w:pStyle w:val="BodyText"/>
      </w:pPr>
      <w:r>
        <w:t>A</w:t>
      </w:r>
      <w:r w:rsidRPr="00552A8D">
        <w:t xml:space="preserve"> coordinated research project (CRP) entitled “Neutronics Benchmark of CEFR Start-up Tests” </w:t>
      </w:r>
      <w:r>
        <w:t>has been i</w:t>
      </w:r>
      <w:r w:rsidR="00B375E3">
        <w:t>n</w:t>
      </w:r>
      <w:r>
        <w:t>it</w:t>
      </w:r>
      <w:r w:rsidR="00B375E3">
        <w:t>i</w:t>
      </w:r>
      <w:r>
        <w:t xml:space="preserve">ated under </w:t>
      </w:r>
      <w:r w:rsidRPr="00552A8D">
        <w:t>the framework of coordinated research activities of the International Atomic Energy Agency (IAEA)</w:t>
      </w:r>
      <w:r w:rsidR="006901CD">
        <w:t xml:space="preserve">. The primary objective of the CRP is to improve </w:t>
      </w:r>
      <w:r w:rsidRPr="00552A8D">
        <w:t>analytical capabilities</w:t>
      </w:r>
      <w:r w:rsidR="00B375E3">
        <w:t xml:space="preserve"> of </w:t>
      </w:r>
      <w:r w:rsidR="00B375E3" w:rsidRPr="00552A8D">
        <w:t>member countries</w:t>
      </w:r>
      <w:r w:rsidRPr="00552A8D">
        <w:t xml:space="preserve"> in the field of fast reactor modelling and simulations</w:t>
      </w:r>
      <w:r w:rsidR="006901CD">
        <w:t xml:space="preserve"> by comparing </w:t>
      </w:r>
      <w:r w:rsidR="00A93D57">
        <w:t xml:space="preserve">calculated </w:t>
      </w:r>
      <w:r w:rsidR="006901CD">
        <w:t>results with measured values in the CEFR start-up tests</w:t>
      </w:r>
      <w:r w:rsidRPr="00552A8D">
        <w:t>. The benchmark consists of six experiments</w:t>
      </w:r>
      <w:r w:rsidR="00A93D57">
        <w:t xml:space="preserve"> and two numerical </w:t>
      </w:r>
      <w:r w:rsidR="00A93D57" w:rsidRPr="00552A8D">
        <w:t>calculations</w:t>
      </w:r>
      <w:r w:rsidRPr="00552A8D">
        <w:t>, including criticality per fuel loading, control rod worth measurement, sodium void reactivity, temperature reactivity, subassembly swap reactivity, foil activation measurement</w:t>
      </w:r>
      <w:r>
        <w:t xml:space="preserve">, </w:t>
      </w:r>
      <w:r w:rsidRPr="00552A8D">
        <w:t>integral reactivity coefficients</w:t>
      </w:r>
      <w:r w:rsidR="00A93D57">
        <w:t xml:space="preserve">, </w:t>
      </w:r>
      <w:r w:rsidRPr="00552A8D">
        <w:t>and analyses of sensitivity and uncertainty.</w:t>
      </w:r>
      <w:r>
        <w:t xml:space="preserve"> </w:t>
      </w:r>
      <w:r w:rsidRPr="00552A8D">
        <w:t xml:space="preserve">About 30 </w:t>
      </w:r>
      <w:r w:rsidR="006901CD">
        <w:t xml:space="preserve">international </w:t>
      </w:r>
      <w:r w:rsidRPr="00552A8D">
        <w:t xml:space="preserve">organizations from multiple member countries </w:t>
      </w:r>
      <w:r w:rsidR="00A93D57">
        <w:t xml:space="preserve">have </w:t>
      </w:r>
      <w:r w:rsidR="00B375E3">
        <w:t>participated</w:t>
      </w:r>
      <w:r w:rsidR="00A93D57">
        <w:t xml:space="preserve"> </w:t>
      </w:r>
      <w:r w:rsidR="00B375E3">
        <w:t>in</w:t>
      </w:r>
      <w:r w:rsidRPr="00552A8D">
        <w:t xml:space="preserve"> the CRP</w:t>
      </w:r>
      <w:r w:rsidR="006901CD">
        <w:t xml:space="preserve">. </w:t>
      </w:r>
      <w:r w:rsidRPr="00552A8D">
        <w:t xml:space="preserve">Among </w:t>
      </w:r>
      <w:r w:rsidR="00A93D57">
        <w:t xml:space="preserve">the </w:t>
      </w:r>
      <w:r w:rsidRPr="00552A8D">
        <w:t xml:space="preserve">eight benchmark items, </w:t>
      </w:r>
      <w:r w:rsidR="00D93993">
        <w:t xml:space="preserve">the results estimated by the participants for </w:t>
      </w:r>
      <w:r w:rsidRPr="00552A8D">
        <w:t xml:space="preserve">two items </w:t>
      </w:r>
      <w:r w:rsidR="00B375E3">
        <w:t>namely,</w:t>
      </w:r>
      <w:r w:rsidRPr="00552A8D">
        <w:t xml:space="preserve"> reaction rate measurements from foil activations and integral reactivity coefficient</w:t>
      </w:r>
      <w:r w:rsidR="00B375E3">
        <w:t>,</w:t>
      </w:r>
      <w:r w:rsidRPr="00552A8D">
        <w:t xml:space="preserve"> are </w:t>
      </w:r>
      <w:r w:rsidR="00D93993">
        <w:t xml:space="preserve">compared and discussed </w:t>
      </w:r>
      <w:r w:rsidRPr="00552A8D">
        <w:t xml:space="preserve">in this paper. </w:t>
      </w:r>
    </w:p>
    <w:p w14:paraId="2C15D166" w14:textId="7F1EE293" w:rsidR="00601A94" w:rsidRDefault="006901CD" w:rsidP="00A93D57">
      <w:pPr>
        <w:pStyle w:val="BodyText"/>
      </w:pPr>
      <w:r>
        <w:t xml:space="preserve">Sixteen and ten international organizations </w:t>
      </w:r>
      <w:r w:rsidRPr="00201893">
        <w:t>participate</w:t>
      </w:r>
      <w:r>
        <w:t>d in the reaction rate benchmark and evaluation of integral reactivity coefficient</w:t>
      </w:r>
      <w:r w:rsidR="00A93D57">
        <w:t>s</w:t>
      </w:r>
      <w:r>
        <w:t>, respectively</w:t>
      </w:r>
      <w:r w:rsidR="00A93D57">
        <w:t xml:space="preserve">. The computation </w:t>
      </w:r>
      <w:r>
        <w:t>codes</w:t>
      </w:r>
      <w:r w:rsidR="00A93D57">
        <w:t xml:space="preserve"> </w:t>
      </w:r>
      <w:r w:rsidR="00B375E3">
        <w:t xml:space="preserve">used </w:t>
      </w:r>
      <w:r>
        <w:t>includ</w:t>
      </w:r>
      <w:r w:rsidR="00A93D57">
        <w:t xml:space="preserve">e </w:t>
      </w:r>
      <w:r>
        <w:t xml:space="preserve">the deterministic codes </w:t>
      </w:r>
      <w:r w:rsidR="00B93B34">
        <w:t xml:space="preserve">of </w:t>
      </w:r>
      <w:r w:rsidR="00B613C5">
        <w:t xml:space="preserve">AZNHEX, </w:t>
      </w:r>
      <w:r w:rsidR="00B93B34">
        <w:t>DIF</w:t>
      </w:r>
      <w:r w:rsidRPr="00201893">
        <w:t xml:space="preserve">3D, </w:t>
      </w:r>
      <w:r w:rsidR="00406F4A" w:rsidRPr="00201893">
        <w:t xml:space="preserve">ERANOS, </w:t>
      </w:r>
      <w:r w:rsidRPr="00201893">
        <w:t>JARFR</w:t>
      </w:r>
      <w:r>
        <w:t xml:space="preserve">, </w:t>
      </w:r>
      <w:r w:rsidR="00406F4A">
        <w:t>NAS</w:t>
      </w:r>
      <w:r w:rsidR="00406F4A" w:rsidRPr="00201893">
        <w:t>, PARTISN</w:t>
      </w:r>
      <w:r>
        <w:t xml:space="preserve">, PARCS, </w:t>
      </w:r>
      <w:r w:rsidRPr="00201893">
        <w:t>SARAX</w:t>
      </w:r>
      <w:r>
        <w:t xml:space="preserve">, </w:t>
      </w:r>
      <w:r w:rsidR="00406F4A" w:rsidRPr="00201893">
        <w:t xml:space="preserve">and </w:t>
      </w:r>
      <w:r>
        <w:t xml:space="preserve">stochastic codes of </w:t>
      </w:r>
      <w:proofErr w:type="spellStart"/>
      <w:r w:rsidR="00406F4A" w:rsidRPr="00201893">
        <w:t>McCard</w:t>
      </w:r>
      <w:proofErr w:type="spellEnd"/>
      <w:r w:rsidR="00601A94" w:rsidRPr="00201893">
        <w:t>, MCNP, MCS</w:t>
      </w:r>
      <w:r w:rsidR="00406F4A" w:rsidRPr="00201893">
        <w:t xml:space="preserve">, </w:t>
      </w:r>
      <w:r w:rsidR="00601A94" w:rsidRPr="00201893">
        <w:t>MVP</w:t>
      </w:r>
      <w:r w:rsidR="00601A94">
        <w:t>,</w:t>
      </w:r>
      <w:r w:rsidR="00601A94" w:rsidRPr="00201893">
        <w:t xml:space="preserve"> </w:t>
      </w:r>
      <w:proofErr w:type="spellStart"/>
      <w:r w:rsidR="00601A94" w:rsidRPr="00201893">
        <w:t>OpenMC</w:t>
      </w:r>
      <w:proofErr w:type="spellEnd"/>
      <w:r w:rsidR="00601A94" w:rsidRPr="00201893">
        <w:t>, RMC</w:t>
      </w:r>
      <w:r w:rsidR="00601A94">
        <w:t xml:space="preserve">, and </w:t>
      </w:r>
      <w:r w:rsidR="00406F4A" w:rsidRPr="00201893">
        <w:t>S</w:t>
      </w:r>
      <w:r w:rsidR="00601A94">
        <w:t xml:space="preserve">erpent. Cross sections were generated from </w:t>
      </w:r>
      <w:r w:rsidR="00A93D57">
        <w:t xml:space="preserve">evaluated </w:t>
      </w:r>
      <w:r w:rsidR="00601A94">
        <w:t>nuclear data libraries of EN</w:t>
      </w:r>
      <w:r w:rsidR="00786B15">
        <w:t>D</w:t>
      </w:r>
      <w:r w:rsidR="00601A94">
        <w:t xml:space="preserve">F/B (version </w:t>
      </w:r>
      <w:r w:rsidR="00B375E3">
        <w:t>VII</w:t>
      </w:r>
      <w:r w:rsidR="00601A94">
        <w:t xml:space="preserve">.0, </w:t>
      </w:r>
      <w:r w:rsidR="00B375E3">
        <w:t>VII</w:t>
      </w:r>
      <w:r w:rsidR="00601A94">
        <w:t xml:space="preserve">.1, and </w:t>
      </w:r>
      <w:r w:rsidR="00B375E3">
        <w:t>VIII</w:t>
      </w:r>
      <w:r w:rsidR="00601A94">
        <w:t xml:space="preserve">.0), JEFF (version 3.1, 3.1.1, and 3.3), and JENDL (version 4.0). </w:t>
      </w:r>
    </w:p>
    <w:p w14:paraId="5BFAE981" w14:textId="3DC45C0D" w:rsidR="005B55B8" w:rsidRDefault="00601A94" w:rsidP="00596AAF">
      <w:pPr>
        <w:pStyle w:val="BodyText"/>
      </w:pPr>
      <w:r>
        <w:t xml:space="preserve">For the reaction rate measurement by foil activations, </w:t>
      </w:r>
      <w:r w:rsidR="00596AAF">
        <w:t>a</w:t>
      </w:r>
      <w:r w:rsidR="00596AAF" w:rsidRPr="00201893">
        <w:t xml:space="preserve"> global agreement is observed in the fissile zone for the main axial and radial distributions. The convergence on the </w:t>
      </w:r>
      <w:r w:rsidR="00596AAF" w:rsidRPr="00201893">
        <w:rPr>
          <w:vertAlign w:val="superscript"/>
        </w:rPr>
        <w:t>197</w:t>
      </w:r>
      <w:r w:rsidR="00596AAF" w:rsidRPr="00201893">
        <w:t xml:space="preserve">Au at points far from the fissile core </w:t>
      </w:r>
      <w:r w:rsidR="00596AAF">
        <w:t>wa</w:t>
      </w:r>
      <w:r w:rsidR="00596AAF" w:rsidRPr="00201893">
        <w:t xml:space="preserve">s difficult to </w:t>
      </w:r>
      <w:r w:rsidR="00596AAF">
        <w:t>be seen</w:t>
      </w:r>
      <w:r w:rsidR="00596AAF" w:rsidRPr="00201893">
        <w:t xml:space="preserve"> with </w:t>
      </w:r>
      <w:r w:rsidR="0067521D">
        <w:t xml:space="preserve">both </w:t>
      </w:r>
      <w:r w:rsidR="00596AAF" w:rsidRPr="00201893">
        <w:t>stochastic and deterministic codes. The thermal resonance needs accurate model for deterministic codes and good statistics for stochastic codes.</w:t>
      </w:r>
      <w:r w:rsidR="00596AAF">
        <w:t xml:space="preserve"> Some improved results are seen in the refined phase (after disclosing of exact foil dimensions), indicating the positive effect of modelling accurately. </w:t>
      </w:r>
      <w:r w:rsidR="00596AAF" w:rsidRPr="00201893">
        <w:t xml:space="preserve"> Reaction rates on </w:t>
      </w:r>
      <w:r w:rsidR="00596AAF" w:rsidRPr="00201893">
        <w:rPr>
          <w:vertAlign w:val="superscript"/>
        </w:rPr>
        <w:t>235</w:t>
      </w:r>
      <w:r w:rsidR="00596AAF" w:rsidRPr="00201893">
        <w:t xml:space="preserve">U are in good agreement with the experiment </w:t>
      </w:r>
      <w:r w:rsidR="00596AAF">
        <w:t>throughout</w:t>
      </w:r>
      <w:r w:rsidR="00596AAF" w:rsidRPr="00201893">
        <w:t xml:space="preserve"> the profile, </w:t>
      </w:r>
      <w:r w:rsidR="00596AAF">
        <w:t>by most of</w:t>
      </w:r>
      <w:r w:rsidR="00596AAF" w:rsidRPr="00201893">
        <w:t xml:space="preserve"> the codes.</w:t>
      </w:r>
      <w:r w:rsidR="00596AAF">
        <w:t xml:space="preserve"> Probable existence </w:t>
      </w:r>
      <w:r w:rsidR="00596AAF">
        <w:lastRenderedPageBreak/>
        <w:t xml:space="preserve">of measurement </w:t>
      </w:r>
      <w:r w:rsidR="00D93993">
        <w:t xml:space="preserve">(systematic) </w:t>
      </w:r>
      <w:r w:rsidR="00596AAF">
        <w:t xml:space="preserve">error is indicated in some cases where the codes agree with each other, but the measured value shows deviation, as could be seen in the </w:t>
      </w:r>
      <w:r w:rsidR="00B375E3">
        <w:t xml:space="preserve">results </w:t>
      </w:r>
      <w:r w:rsidR="00596AAF">
        <w:t>of Np</w:t>
      </w:r>
      <w:r w:rsidR="00596AAF">
        <w:rPr>
          <w:vertAlign w:val="superscript"/>
        </w:rPr>
        <w:t xml:space="preserve">237 </w:t>
      </w:r>
      <w:r w:rsidR="00596AAF">
        <w:t>and U</w:t>
      </w:r>
      <w:r w:rsidR="00596AAF">
        <w:rPr>
          <w:vertAlign w:val="superscript"/>
        </w:rPr>
        <w:t>238</w:t>
      </w:r>
      <w:r w:rsidR="00596AAF">
        <w:t xml:space="preserve"> </w:t>
      </w:r>
      <w:r w:rsidR="00B375E3">
        <w:t xml:space="preserve">reaction rates </w:t>
      </w:r>
      <w:r w:rsidR="005B55B8">
        <w:t xml:space="preserve">in </w:t>
      </w:r>
      <w:r w:rsidR="00B375E3">
        <w:t>radial position #8</w:t>
      </w:r>
      <w:r w:rsidR="005B55B8">
        <w:t>.</w:t>
      </w:r>
    </w:p>
    <w:p w14:paraId="49901F16" w14:textId="21234EB5" w:rsidR="00596AAF" w:rsidRDefault="00596AAF" w:rsidP="00596AAF">
      <w:pPr>
        <w:pStyle w:val="BodyText"/>
      </w:pPr>
      <w:r>
        <w:t>Stochastic</w:t>
      </w:r>
      <w:r w:rsidRPr="00201893">
        <w:t xml:space="preserve"> and deterministic codes used in this study </w:t>
      </w:r>
      <w:r>
        <w:t xml:space="preserve">generally </w:t>
      </w:r>
      <w:r w:rsidRPr="00201893">
        <w:t>g</w:t>
      </w:r>
      <w:r>
        <w:t>a</w:t>
      </w:r>
      <w:r w:rsidRPr="00201893">
        <w:t>ve results in good agreement with the experiment</w:t>
      </w:r>
      <w:r>
        <w:t>, axially and radially</w:t>
      </w:r>
      <w:r w:rsidRPr="00201893">
        <w:t xml:space="preserve">. </w:t>
      </w:r>
      <w:r>
        <w:t>Attention is needed</w:t>
      </w:r>
      <w:r w:rsidRPr="00201893">
        <w:t xml:space="preserve"> </w:t>
      </w:r>
      <w:r>
        <w:t>towards</w:t>
      </w:r>
      <w:r w:rsidRPr="00201893">
        <w:t xml:space="preserve"> </w:t>
      </w:r>
      <w:r w:rsidR="00D93993">
        <w:t xml:space="preserve">improved interpretation of </w:t>
      </w:r>
      <w:r w:rsidRPr="00201893">
        <w:t>experiment</w:t>
      </w:r>
      <w:r w:rsidR="00D93993">
        <w:t xml:space="preserve">al </w:t>
      </w:r>
      <w:r w:rsidR="00FD7777">
        <w:t>results and</w:t>
      </w:r>
      <w:r>
        <w:t xml:space="preserve"> </w:t>
      </w:r>
      <w:r w:rsidR="00D93993">
        <w:t xml:space="preserve">faithful reproduction of </w:t>
      </w:r>
      <w:proofErr w:type="gramStart"/>
      <w:r>
        <w:t>model</w:t>
      </w:r>
      <w:r w:rsidR="00D93993">
        <w:t>s</w:t>
      </w:r>
      <w:r>
        <w:t xml:space="preserve">  in</w:t>
      </w:r>
      <w:proofErr w:type="gramEnd"/>
      <w:r>
        <w:t xml:space="preserve"> simulation </w:t>
      </w:r>
      <w:r w:rsidR="00D93993">
        <w:t>for</w:t>
      </w:r>
      <w:r>
        <w:t xml:space="preserve"> the following cases:</w:t>
      </w:r>
    </w:p>
    <w:p w14:paraId="39056BD4" w14:textId="374B4ECF" w:rsidR="00596AAF" w:rsidRDefault="00596AAF" w:rsidP="0088113D">
      <w:pPr>
        <w:pStyle w:val="BodyText"/>
        <w:numPr>
          <w:ilvl w:val="0"/>
          <w:numId w:val="12"/>
        </w:numPr>
      </w:pPr>
      <w:r w:rsidRPr="00595906">
        <w:t>reactions with low cross section (</w:t>
      </w:r>
      <w:r w:rsidRPr="00595906">
        <w:rPr>
          <w:vertAlign w:val="superscript"/>
        </w:rPr>
        <w:t>27</w:t>
      </w:r>
      <w:r w:rsidRPr="00595906">
        <w:t>Al)</w:t>
      </w:r>
      <w:r w:rsidR="00D93993">
        <w:t>.</w:t>
      </w:r>
      <w:r w:rsidRPr="00595906">
        <w:t xml:space="preserve">  </w:t>
      </w:r>
    </w:p>
    <w:p w14:paraId="20067FE1" w14:textId="20905B56" w:rsidR="00596AAF" w:rsidRDefault="00596AAF" w:rsidP="0088113D">
      <w:pPr>
        <w:pStyle w:val="BodyText"/>
        <w:numPr>
          <w:ilvl w:val="0"/>
          <w:numId w:val="12"/>
        </w:numPr>
      </w:pPr>
      <w:r w:rsidRPr="00595906">
        <w:t>reactions far from the fissile core, if the reaction rate is a threshold one (</w:t>
      </w:r>
      <w:r w:rsidRPr="00595906">
        <w:rPr>
          <w:vertAlign w:val="superscript"/>
        </w:rPr>
        <w:t>237</w:t>
      </w:r>
      <w:r w:rsidRPr="00595906">
        <w:t xml:space="preserve">Np or </w:t>
      </w:r>
      <w:r w:rsidRPr="00595906">
        <w:rPr>
          <w:vertAlign w:val="superscript"/>
        </w:rPr>
        <w:t>238</w:t>
      </w:r>
      <w:r w:rsidRPr="00595906">
        <w:t>U)</w:t>
      </w:r>
      <w:r w:rsidR="00D93993">
        <w:t>.</w:t>
      </w:r>
    </w:p>
    <w:p w14:paraId="23E412AD" w14:textId="233CA6D6" w:rsidR="002C29DB" w:rsidRDefault="00596AAF" w:rsidP="0088113D">
      <w:pPr>
        <w:pStyle w:val="BodyText"/>
        <w:numPr>
          <w:ilvl w:val="0"/>
          <w:numId w:val="12"/>
        </w:numPr>
      </w:pPr>
      <w:r w:rsidRPr="00595906">
        <w:t>reactions with strong thermal resonance (</w:t>
      </w:r>
      <w:r w:rsidRPr="00595906">
        <w:rPr>
          <w:vertAlign w:val="superscript"/>
        </w:rPr>
        <w:t>197</w:t>
      </w:r>
      <w:r w:rsidRPr="00595906">
        <w:t>Au)</w:t>
      </w:r>
      <w:r w:rsidR="00D93993">
        <w:t>.</w:t>
      </w:r>
    </w:p>
    <w:p w14:paraId="1CD794D9" w14:textId="5B02D6DC" w:rsidR="00E0022D" w:rsidRDefault="002A72D1" w:rsidP="00E0022D">
      <w:pPr>
        <w:pStyle w:val="BodyText"/>
      </w:pPr>
      <w:r>
        <w:t xml:space="preserve">For the integral reactivity coefficients, it is hard to </w:t>
      </w:r>
      <w:r w:rsidR="00D93993">
        <w:t xml:space="preserve">assess </w:t>
      </w:r>
      <w:r>
        <w:t>the accuracy of the results</w:t>
      </w:r>
      <w:r w:rsidRPr="002A72D1">
        <w:t xml:space="preserve"> </w:t>
      </w:r>
      <w:r>
        <w:t>because the</w:t>
      </w:r>
      <w:r w:rsidR="00D93993">
        <w:t>y</w:t>
      </w:r>
      <w:r>
        <w:t xml:space="preserve"> </w:t>
      </w:r>
      <w:r w:rsidR="00D93993">
        <w:t xml:space="preserve">were </w:t>
      </w:r>
      <w:r>
        <w:t>not measured in the CEFR start-up test</w:t>
      </w:r>
      <w:r w:rsidR="00D93993">
        <w:t>s</w:t>
      </w:r>
      <w:r>
        <w:t xml:space="preserve">. Except for several outlier </w:t>
      </w:r>
      <w:r w:rsidR="005B55B8">
        <w:t>results,</w:t>
      </w:r>
      <w:r>
        <w:t xml:space="preserve"> the predicted integral reactivity coefficients by participants are generally comparable regardless </w:t>
      </w:r>
      <w:r w:rsidR="00D93993">
        <w:t xml:space="preserve">of </w:t>
      </w:r>
      <w:r>
        <w:t xml:space="preserve">deterministic and stochastic calculations. However, it was observed that the deterministic results have relatively larger standard deviations compared to the stochastic results. </w:t>
      </w:r>
      <w:r w:rsidR="00E0022D">
        <w:t xml:space="preserve">A wide diversity of deterministic methods (approximations of angular dependency, condensation of cross section, homogenization of geometry, etc.) could be the potential reason </w:t>
      </w:r>
      <w:r w:rsidR="003C4AA0">
        <w:t xml:space="preserve">for </w:t>
      </w:r>
      <w:r w:rsidR="00E0022D">
        <w:t>larger standard deviations</w:t>
      </w:r>
      <w:r>
        <w:t xml:space="preserve"> in the deterministic results</w:t>
      </w:r>
      <w:r w:rsidR="00E0022D">
        <w:t>.</w:t>
      </w:r>
    </w:p>
    <w:p w14:paraId="433FE095" w14:textId="77777777" w:rsidR="00285755" w:rsidRDefault="00285755" w:rsidP="00537496">
      <w:pPr>
        <w:pStyle w:val="Otherunnumberedheadings"/>
      </w:pPr>
      <w:r w:rsidRPr="00285755">
        <w:t>ACKNOWLEDGEMENTS</w:t>
      </w:r>
    </w:p>
    <w:p w14:paraId="6216E1BA" w14:textId="1A89CF49" w:rsidR="00EF56C5" w:rsidRPr="00EF56C5" w:rsidRDefault="00EF56C5" w:rsidP="00505B80">
      <w:pPr>
        <w:pStyle w:val="BodyText"/>
        <w:rPr>
          <w:sz w:val="24"/>
          <w:szCs w:val="24"/>
          <w:lang w:eastAsia="ko-KR"/>
        </w:rPr>
      </w:pPr>
      <w:r w:rsidRPr="00EF56C5">
        <w:rPr>
          <w:lang w:eastAsia="ko-KR"/>
        </w:rPr>
        <w:t>Argonne National Laboratory’s work was supported by the U.S. Department of Energy, Office of Nuclear Energy under contract DE-AC02-06CH11357.</w:t>
      </w:r>
      <w:r w:rsidR="00B613C5">
        <w:rPr>
          <w:lang w:eastAsia="ko-KR"/>
        </w:rPr>
        <w:t xml:space="preserve"> </w:t>
      </w:r>
      <w:r w:rsidR="00B613C5" w:rsidRPr="002C0AC5">
        <w:t>The data and information presented in th</w:t>
      </w:r>
      <w:r w:rsidR="00B613C5">
        <w:t>is</w:t>
      </w:r>
      <w:r w:rsidR="00B613C5" w:rsidRPr="002C0AC5">
        <w:t xml:space="preserve"> paper are part of an ongoing IAEA coordinated research project on “Neutronics Benchmark of CEFR Start-Up Tests – CRP-I31032</w:t>
      </w:r>
      <w:r w:rsidR="00B613C5">
        <w:t>.”</w:t>
      </w:r>
    </w:p>
    <w:p w14:paraId="433FE097" w14:textId="77777777" w:rsidR="00D26ADA" w:rsidRPr="00285755" w:rsidRDefault="00D26ADA" w:rsidP="00537496">
      <w:pPr>
        <w:pStyle w:val="Otherunnumberedheadings"/>
      </w:pPr>
      <w:r>
        <w:t>References</w:t>
      </w:r>
    </w:p>
    <w:p w14:paraId="575645E7" w14:textId="77777777" w:rsidR="00EA0F73" w:rsidRPr="005C2C30" w:rsidRDefault="00EA0F73" w:rsidP="00EA0F73">
      <w:pPr>
        <w:pStyle w:val="Referencelist"/>
      </w:pPr>
      <w:bookmarkStart w:id="0" w:name="_Ref64478332"/>
      <w:r>
        <w:t>HUO, X. (2019), “Technical Specifications for Neutronics Benchmark of CEFR Start-up Tests, Version 7.0,” KY-IAEA-CEFRCRP-001, China Institute of Atomic Energy, December 2019.</w:t>
      </w:r>
    </w:p>
    <w:p w14:paraId="152A5E78" w14:textId="77777777" w:rsidR="002E1C07" w:rsidRPr="002E1C07" w:rsidRDefault="002E1C07" w:rsidP="002E1C07">
      <w:pPr>
        <w:pStyle w:val="Referencelist"/>
      </w:pPr>
      <w:r w:rsidRPr="002E1C07">
        <w:t>RIMPAULT, G., et al., “The ERANOS code and data system for reactor neutronic analyses”, Proc. of PHYSOR 2002, Seoul, 2002, (2002).</w:t>
      </w:r>
      <w:bookmarkEnd w:id="0"/>
    </w:p>
    <w:p w14:paraId="1576D17A" w14:textId="0C90AA80" w:rsidR="002E1C07" w:rsidRDefault="002E1C07" w:rsidP="002E1C07">
      <w:pPr>
        <w:pStyle w:val="Referencelist"/>
      </w:pPr>
      <w:bookmarkStart w:id="1" w:name="_Ref64478698"/>
      <w:r w:rsidRPr="002E1C07">
        <w:t>SANTAMARINA, A., et al., 2009. “</w:t>
      </w:r>
      <w:r w:rsidRPr="003107C8">
        <w:t>The JEFF-3.1.1 nuclear data library</w:t>
      </w:r>
      <w:r>
        <w:t>”</w:t>
      </w:r>
      <w:r w:rsidRPr="003107C8">
        <w:t>. JEFF report, 22(10.2), 2.</w:t>
      </w:r>
      <w:bookmarkEnd w:id="1"/>
    </w:p>
    <w:p w14:paraId="24E9A2DB" w14:textId="479ABEA4" w:rsidR="00B00298" w:rsidRPr="005D3C4D" w:rsidRDefault="00B375E3" w:rsidP="005629CA">
      <w:pPr>
        <w:pStyle w:val="Referencelist"/>
      </w:pPr>
      <w:r w:rsidRPr="00FB1B5D">
        <w:t xml:space="preserve">Paul K. Romano, Nicholas E. </w:t>
      </w:r>
      <w:proofErr w:type="spellStart"/>
      <w:r w:rsidRPr="00FB1B5D">
        <w:t>Horelik</w:t>
      </w:r>
      <w:proofErr w:type="spellEnd"/>
      <w:r w:rsidRPr="00FB1B5D">
        <w:t xml:space="preserve">, Bryan R. Herman, Adam G. Nelson, Benoit Forget, and </w:t>
      </w:r>
      <w:proofErr w:type="spellStart"/>
      <w:r w:rsidRPr="00FB1B5D">
        <w:t>Kord</w:t>
      </w:r>
      <w:proofErr w:type="spellEnd"/>
      <w:r w:rsidRPr="00FB1B5D">
        <w:t xml:space="preserve"> Smith, “</w:t>
      </w:r>
      <w:proofErr w:type="spellStart"/>
      <w:r w:rsidR="00A504B1">
        <w:fldChar w:fldCharType="begin"/>
      </w:r>
      <w:r w:rsidR="00A504B1">
        <w:instrText xml:space="preserve"> HYPERLINK "https://doi.org/10.1016/j.anucene.2014.07.048" </w:instrText>
      </w:r>
      <w:r w:rsidR="00A504B1">
        <w:fldChar w:fldCharType="separate"/>
      </w:r>
      <w:r w:rsidRPr="00F720AC">
        <w:t>OpenMC</w:t>
      </w:r>
      <w:proofErr w:type="spellEnd"/>
      <w:r w:rsidRPr="00F720AC">
        <w:t>: A State-of-the-Art Monte Carlo Code for Research and Development</w:t>
      </w:r>
      <w:r w:rsidR="00A504B1">
        <w:fldChar w:fldCharType="end"/>
      </w:r>
      <w:r w:rsidRPr="00F720AC">
        <w:t>,” </w:t>
      </w:r>
      <w:r w:rsidRPr="005D3C4D">
        <w:rPr>
          <w:i/>
          <w:iCs/>
        </w:rPr>
        <w:t xml:space="preserve">Ann. </w:t>
      </w:r>
      <w:proofErr w:type="spellStart"/>
      <w:r w:rsidRPr="005D3C4D">
        <w:rPr>
          <w:i/>
          <w:iCs/>
        </w:rPr>
        <w:t>Nucl</w:t>
      </w:r>
      <w:proofErr w:type="spellEnd"/>
      <w:r w:rsidRPr="005D3C4D">
        <w:rPr>
          <w:i/>
          <w:iCs/>
        </w:rPr>
        <w:t>. Energy</w:t>
      </w:r>
      <w:r w:rsidRPr="00FB1B5D">
        <w:t>, </w:t>
      </w:r>
      <w:r w:rsidRPr="00624338">
        <w:t>82</w:t>
      </w:r>
      <w:r w:rsidRPr="00FB1B5D">
        <w:t>, 90–97 (2015).</w:t>
      </w:r>
    </w:p>
    <w:sectPr w:rsidR="00B00298" w:rsidRPr="005D3C4D" w:rsidSect="0026525A">
      <w:headerReference w:type="even" r:id="rId34"/>
      <w:headerReference w:type="default" r:id="rId35"/>
      <w:footerReference w:type="even" r:id="rId36"/>
      <w:footerReference w:type="default" r:id="rId37"/>
      <w:headerReference w:type="first" r:id="rId38"/>
      <w:footerReference w:type="first" r:id="rId3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021B" w14:textId="77777777" w:rsidR="000D2166" w:rsidRDefault="000D2166">
      <w:r>
        <w:separator/>
      </w:r>
    </w:p>
  </w:endnote>
  <w:endnote w:type="continuationSeparator" w:id="0">
    <w:p w14:paraId="4176BE7E" w14:textId="77777777" w:rsidR="000D2166" w:rsidRDefault="000D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855732" w:rsidRDefault="00855732">
    <w:pPr>
      <w:pStyle w:val="zyxClassification1"/>
    </w:pPr>
    <w:r>
      <w:fldChar w:fldCharType="begin"/>
    </w:r>
    <w:r>
      <w:instrText xml:space="preserve"> DOCPROPERTY "IaeaClassification"  \* MERGEFORMAT </w:instrText>
    </w:r>
    <w:r>
      <w:fldChar w:fldCharType="end"/>
    </w:r>
  </w:p>
  <w:p w14:paraId="433FE0C7" w14:textId="77777777" w:rsidR="00855732" w:rsidRDefault="0085573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855732" w:rsidRDefault="00855732">
    <w:pPr>
      <w:pStyle w:val="zyxClassification1"/>
    </w:pPr>
    <w:r>
      <w:fldChar w:fldCharType="begin"/>
    </w:r>
    <w:r>
      <w:instrText xml:space="preserve"> DOCPROPERTY "IaeaClassification"  \* MERGEFORMAT </w:instrText>
    </w:r>
    <w:r>
      <w:fldChar w:fldCharType="end"/>
    </w:r>
  </w:p>
  <w:p w14:paraId="433FE0C9" w14:textId="15B30ABF" w:rsidR="00855732" w:rsidRPr="00037321" w:rsidRDefault="0085573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00298">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55732" w14:paraId="433FE0D8" w14:textId="77777777">
      <w:trPr>
        <w:cantSplit/>
      </w:trPr>
      <w:tc>
        <w:tcPr>
          <w:tcW w:w="4644" w:type="dxa"/>
        </w:tcPr>
        <w:p w14:paraId="433FE0D4" w14:textId="77777777" w:rsidR="00855732" w:rsidRDefault="0085573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855732" w:rsidRDefault="0085573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855732" w:rsidRDefault="0085573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855732" w:rsidRDefault="0085573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855732" w:rsidRDefault="00855732">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59ED" w14:textId="77777777" w:rsidR="000D2166" w:rsidRDefault="000D2166">
      <w:r>
        <w:t>___________________________________________________________________________</w:t>
      </w:r>
    </w:p>
  </w:footnote>
  <w:footnote w:type="continuationSeparator" w:id="0">
    <w:p w14:paraId="0D3B5D58" w14:textId="77777777" w:rsidR="000D2166" w:rsidRDefault="000D2166">
      <w:r>
        <w:t>___________________________________________________________________________</w:t>
      </w:r>
    </w:p>
  </w:footnote>
  <w:footnote w:type="continuationNotice" w:id="1">
    <w:p w14:paraId="642C1237" w14:textId="77777777" w:rsidR="000D2166" w:rsidRDefault="000D2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0CF3646F" w:rsidR="00855732" w:rsidRDefault="00855732" w:rsidP="00CF7AF3">
    <w:pPr>
      <w:pStyle w:val="Runninghead"/>
    </w:pPr>
    <w:r>
      <w:tab/>
      <w:t>FR21: IAEA-CN-291/</w:t>
    </w:r>
    <w:r w:rsidR="00A24169">
      <w:t>233</w:t>
    </w:r>
  </w:p>
  <w:p w14:paraId="433FE0C1" w14:textId="77777777" w:rsidR="00855732" w:rsidRPr="009E1558" w:rsidRDefault="00855732"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 xml:space="preserve">t bold capitals, </w:t>
    </w:r>
    <w:proofErr w:type="spellStart"/>
    <w:r w:rsidRPr="009E1558">
      <w:rPr>
        <w:color w:val="BFBFBF" w:themeColor="background1" w:themeShade="BF"/>
        <w:sz w:val="16"/>
        <w:szCs w:val="16"/>
      </w:rPr>
      <w:t>centred</w:t>
    </w:r>
    <w:proofErr w:type="spellEnd"/>
    <w:r w:rsidRPr="00AC5A3A">
      <w:rPr>
        <w:color w:val="BFBFBF" w:themeColor="background1" w:themeShade="BF"/>
        <w:sz w:val="16"/>
        <w:szCs w:val="16"/>
      </w:rPr>
      <w:t>]</w:t>
    </w:r>
  </w:p>
  <w:p w14:paraId="433FE0C2" w14:textId="77777777" w:rsidR="00855732" w:rsidRDefault="0085573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855732" w:rsidRDefault="0085573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03A31284" w:rsidR="00855732" w:rsidRDefault="00855732" w:rsidP="00B82FA5">
    <w:pPr>
      <w:pStyle w:val="Runninghead"/>
    </w:pPr>
    <w:r>
      <w:t xml:space="preserve">T. K. Kim, P. </w:t>
    </w:r>
    <w:proofErr w:type="spellStart"/>
    <w:r>
      <w:t>Sciora</w:t>
    </w:r>
    <w:proofErr w:type="spellEnd"/>
    <w:r>
      <w:t>, K. Devan, et al.</w:t>
    </w:r>
  </w:p>
  <w:p w14:paraId="433FE0C5" w14:textId="220A1205" w:rsidR="00855732" w:rsidRPr="009E1558" w:rsidRDefault="00855732"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55732" w14:paraId="433FE0CE" w14:textId="77777777">
      <w:trPr>
        <w:cantSplit/>
        <w:trHeight w:val="716"/>
      </w:trPr>
      <w:tc>
        <w:tcPr>
          <w:tcW w:w="979" w:type="dxa"/>
          <w:vMerge w:val="restart"/>
        </w:tcPr>
        <w:p w14:paraId="433FE0CA" w14:textId="77777777" w:rsidR="00855732" w:rsidRDefault="00855732">
          <w:pPr>
            <w:spacing w:before="180"/>
            <w:ind w:left="17"/>
          </w:pPr>
        </w:p>
      </w:tc>
      <w:tc>
        <w:tcPr>
          <w:tcW w:w="3638" w:type="dxa"/>
          <w:vAlign w:val="bottom"/>
        </w:tcPr>
        <w:p w14:paraId="433FE0CB" w14:textId="77777777" w:rsidR="00855732" w:rsidRDefault="00855732">
          <w:pPr>
            <w:spacing w:after="20"/>
          </w:pPr>
        </w:p>
      </w:tc>
      <w:bookmarkStart w:id="2" w:name="DOC_bkmClassification1"/>
      <w:tc>
        <w:tcPr>
          <w:tcW w:w="5702" w:type="dxa"/>
          <w:vMerge w:val="restart"/>
          <w:tcMar>
            <w:right w:w="193" w:type="dxa"/>
          </w:tcMar>
        </w:tcPr>
        <w:p w14:paraId="433FE0CC" w14:textId="77777777" w:rsidR="00855732" w:rsidRDefault="0085573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855732" w:rsidRDefault="00855732">
          <w:pPr>
            <w:pStyle w:val="zyxConfid2Red"/>
          </w:pPr>
          <w:r>
            <w:fldChar w:fldCharType="begin"/>
          </w:r>
          <w:r>
            <w:instrText>DOCPROPERTY "IaeaClassification2"  \* MERGEFORMAT</w:instrText>
          </w:r>
          <w:r>
            <w:fldChar w:fldCharType="end"/>
          </w:r>
        </w:p>
      </w:tc>
    </w:tr>
    <w:tr w:rsidR="00855732" w14:paraId="433FE0D2" w14:textId="77777777">
      <w:trPr>
        <w:cantSplit/>
        <w:trHeight w:val="167"/>
      </w:trPr>
      <w:tc>
        <w:tcPr>
          <w:tcW w:w="979" w:type="dxa"/>
          <w:vMerge/>
        </w:tcPr>
        <w:p w14:paraId="433FE0CF" w14:textId="77777777" w:rsidR="00855732" w:rsidRDefault="00855732">
          <w:pPr>
            <w:spacing w:before="57"/>
          </w:pPr>
        </w:p>
      </w:tc>
      <w:tc>
        <w:tcPr>
          <w:tcW w:w="3638" w:type="dxa"/>
          <w:vAlign w:val="bottom"/>
        </w:tcPr>
        <w:p w14:paraId="433FE0D0" w14:textId="77777777" w:rsidR="00855732" w:rsidRDefault="00855732">
          <w:pPr>
            <w:pStyle w:val="Heading9"/>
            <w:spacing w:before="0" w:after="10"/>
          </w:pPr>
        </w:p>
      </w:tc>
      <w:tc>
        <w:tcPr>
          <w:tcW w:w="5702" w:type="dxa"/>
          <w:vMerge/>
          <w:vAlign w:val="bottom"/>
        </w:tcPr>
        <w:p w14:paraId="433FE0D1" w14:textId="77777777" w:rsidR="00855732" w:rsidRDefault="00855732">
          <w:pPr>
            <w:pStyle w:val="Heading9"/>
            <w:spacing w:before="0" w:after="10"/>
          </w:pPr>
        </w:p>
      </w:tc>
    </w:tr>
  </w:tbl>
  <w:p w14:paraId="433FE0D3" w14:textId="77777777" w:rsidR="00855732" w:rsidRDefault="008557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9BB"/>
    <w:multiLevelType w:val="hybridMultilevel"/>
    <w:tmpl w:val="9CE21C44"/>
    <w:lvl w:ilvl="0" w:tplc="FA10F7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C0390"/>
    <w:multiLevelType w:val="hybridMultilevel"/>
    <w:tmpl w:val="13D087C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06E74AD"/>
    <w:multiLevelType w:val="hybridMultilevel"/>
    <w:tmpl w:val="CCEAC87E"/>
    <w:name w:val="HeadingTemplate32"/>
    <w:lvl w:ilvl="0" w:tplc="040C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1A70A78"/>
    <w:multiLevelType w:val="hybridMultilevel"/>
    <w:tmpl w:val="EB5A6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643813C6"/>
    <w:multiLevelType w:val="hybridMultilevel"/>
    <w:tmpl w:val="9F782B94"/>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441A3"/>
    <w:multiLevelType w:val="hybridMultilevel"/>
    <w:tmpl w:val="AE00AF04"/>
    <w:name w:val="HeadingTemplate3"/>
    <w:lvl w:ilvl="0" w:tplc="8A544670">
      <w:start w:val="3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6FD51093"/>
    <w:multiLevelType w:val="multilevel"/>
    <w:tmpl w:val="AD123E4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A514C46"/>
    <w:multiLevelType w:val="hybridMultilevel"/>
    <w:tmpl w:val="A10A8E06"/>
    <w:lvl w:ilvl="0" w:tplc="FA10F7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2"/>
  </w:num>
  <w:num w:numId="5">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4"/>
  </w:num>
  <w:num w:numId="7">
    <w:abstractNumId w:val="4"/>
  </w:num>
  <w:num w:numId="8">
    <w:abstractNumId w:val="5"/>
  </w:num>
  <w:num w:numId="9">
    <w:abstractNumId w:val="1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8"/>
  </w:num>
  <w:num w:numId="14">
    <w:abstractNumId w:val="9"/>
  </w:num>
  <w:num w:numId="15">
    <w:abstractNumId w:val="15"/>
  </w:num>
  <w:num w:numId="16">
    <w:abstractNumId w:val="16"/>
  </w:num>
  <w:num w:numId="17">
    <w:abstractNumId w:val="12"/>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FD2"/>
    <w:rsid w:val="00011033"/>
    <w:rsid w:val="000229AB"/>
    <w:rsid w:val="0002569A"/>
    <w:rsid w:val="00037321"/>
    <w:rsid w:val="00037A93"/>
    <w:rsid w:val="00052FF0"/>
    <w:rsid w:val="00093A64"/>
    <w:rsid w:val="000A0299"/>
    <w:rsid w:val="000A2990"/>
    <w:rsid w:val="000A32B2"/>
    <w:rsid w:val="000C2574"/>
    <w:rsid w:val="000C4332"/>
    <w:rsid w:val="000D2166"/>
    <w:rsid w:val="000F59D8"/>
    <w:rsid w:val="000F7E94"/>
    <w:rsid w:val="001112FF"/>
    <w:rsid w:val="001119D6"/>
    <w:rsid w:val="001308F2"/>
    <w:rsid w:val="001313E8"/>
    <w:rsid w:val="001402C2"/>
    <w:rsid w:val="0016015B"/>
    <w:rsid w:val="00166279"/>
    <w:rsid w:val="001777F5"/>
    <w:rsid w:val="00182992"/>
    <w:rsid w:val="0018348C"/>
    <w:rsid w:val="00183BC4"/>
    <w:rsid w:val="0018488F"/>
    <w:rsid w:val="001A3519"/>
    <w:rsid w:val="001C58F5"/>
    <w:rsid w:val="001D565E"/>
    <w:rsid w:val="001D5CEE"/>
    <w:rsid w:val="001E354A"/>
    <w:rsid w:val="001F4D38"/>
    <w:rsid w:val="00201F53"/>
    <w:rsid w:val="002071D9"/>
    <w:rsid w:val="00256822"/>
    <w:rsid w:val="0026525A"/>
    <w:rsid w:val="0027437A"/>
    <w:rsid w:val="00274790"/>
    <w:rsid w:val="00282E82"/>
    <w:rsid w:val="00285755"/>
    <w:rsid w:val="002A1F9C"/>
    <w:rsid w:val="002A72D1"/>
    <w:rsid w:val="002B29C2"/>
    <w:rsid w:val="002C29DB"/>
    <w:rsid w:val="002C4208"/>
    <w:rsid w:val="002E1C07"/>
    <w:rsid w:val="00313D66"/>
    <w:rsid w:val="00325E03"/>
    <w:rsid w:val="00326A48"/>
    <w:rsid w:val="00352DE1"/>
    <w:rsid w:val="003728E6"/>
    <w:rsid w:val="00374B2E"/>
    <w:rsid w:val="003B5E0E"/>
    <w:rsid w:val="003C4AA0"/>
    <w:rsid w:val="003D0279"/>
    <w:rsid w:val="003D255A"/>
    <w:rsid w:val="003F6E5F"/>
    <w:rsid w:val="00406F4A"/>
    <w:rsid w:val="00416949"/>
    <w:rsid w:val="004370D8"/>
    <w:rsid w:val="00455456"/>
    <w:rsid w:val="00460414"/>
    <w:rsid w:val="00461C6B"/>
    <w:rsid w:val="00463BDC"/>
    <w:rsid w:val="00472C43"/>
    <w:rsid w:val="0047786A"/>
    <w:rsid w:val="004D4CCB"/>
    <w:rsid w:val="004F6509"/>
    <w:rsid w:val="0050567C"/>
    <w:rsid w:val="00505B80"/>
    <w:rsid w:val="00537496"/>
    <w:rsid w:val="00540911"/>
    <w:rsid w:val="00544ED3"/>
    <w:rsid w:val="00552A8D"/>
    <w:rsid w:val="005574BD"/>
    <w:rsid w:val="0058477B"/>
    <w:rsid w:val="0058654F"/>
    <w:rsid w:val="0059598B"/>
    <w:rsid w:val="00596AAF"/>
    <w:rsid w:val="00596ACA"/>
    <w:rsid w:val="005A12C3"/>
    <w:rsid w:val="005B5388"/>
    <w:rsid w:val="005B55B8"/>
    <w:rsid w:val="005C405E"/>
    <w:rsid w:val="005D3C4D"/>
    <w:rsid w:val="005E16DE"/>
    <w:rsid w:val="005E39BC"/>
    <w:rsid w:val="005F00A0"/>
    <w:rsid w:val="00601A94"/>
    <w:rsid w:val="00611EEA"/>
    <w:rsid w:val="006143E5"/>
    <w:rsid w:val="00620F1A"/>
    <w:rsid w:val="00624338"/>
    <w:rsid w:val="00635E2F"/>
    <w:rsid w:val="006467B7"/>
    <w:rsid w:val="00647F33"/>
    <w:rsid w:val="00662532"/>
    <w:rsid w:val="0067521D"/>
    <w:rsid w:val="006901CD"/>
    <w:rsid w:val="006923AB"/>
    <w:rsid w:val="006B2274"/>
    <w:rsid w:val="006F2183"/>
    <w:rsid w:val="00703E5A"/>
    <w:rsid w:val="00717C6F"/>
    <w:rsid w:val="007445DA"/>
    <w:rsid w:val="0077120D"/>
    <w:rsid w:val="00786B15"/>
    <w:rsid w:val="007B11DC"/>
    <w:rsid w:val="007B1FAA"/>
    <w:rsid w:val="007B4FD1"/>
    <w:rsid w:val="00802381"/>
    <w:rsid w:val="0083096A"/>
    <w:rsid w:val="008520B5"/>
    <w:rsid w:val="00855732"/>
    <w:rsid w:val="008567C5"/>
    <w:rsid w:val="0086759F"/>
    <w:rsid w:val="00871F40"/>
    <w:rsid w:val="0088113D"/>
    <w:rsid w:val="0088139D"/>
    <w:rsid w:val="00883848"/>
    <w:rsid w:val="00893D0D"/>
    <w:rsid w:val="00897ED5"/>
    <w:rsid w:val="008A476A"/>
    <w:rsid w:val="008B6BB9"/>
    <w:rsid w:val="008D079F"/>
    <w:rsid w:val="009111B0"/>
    <w:rsid w:val="00911543"/>
    <w:rsid w:val="009178A8"/>
    <w:rsid w:val="00943EB7"/>
    <w:rsid w:val="00945F47"/>
    <w:rsid w:val="009519C9"/>
    <w:rsid w:val="00983A81"/>
    <w:rsid w:val="009903CF"/>
    <w:rsid w:val="009B6FB2"/>
    <w:rsid w:val="009D0B86"/>
    <w:rsid w:val="009E0D5B"/>
    <w:rsid w:val="009E1558"/>
    <w:rsid w:val="00A07CD5"/>
    <w:rsid w:val="00A14370"/>
    <w:rsid w:val="00A17A0D"/>
    <w:rsid w:val="00A233D1"/>
    <w:rsid w:val="00A24169"/>
    <w:rsid w:val="00A24678"/>
    <w:rsid w:val="00A42898"/>
    <w:rsid w:val="00A504B1"/>
    <w:rsid w:val="00A57919"/>
    <w:rsid w:val="00A67AA5"/>
    <w:rsid w:val="00A72617"/>
    <w:rsid w:val="00A75194"/>
    <w:rsid w:val="00A93D57"/>
    <w:rsid w:val="00A94E99"/>
    <w:rsid w:val="00AA5E8D"/>
    <w:rsid w:val="00AB6ACE"/>
    <w:rsid w:val="00AC2D8C"/>
    <w:rsid w:val="00AC5A3A"/>
    <w:rsid w:val="00AE07DD"/>
    <w:rsid w:val="00AF3F67"/>
    <w:rsid w:val="00B00298"/>
    <w:rsid w:val="00B375E3"/>
    <w:rsid w:val="00B418F2"/>
    <w:rsid w:val="00B604BE"/>
    <w:rsid w:val="00B613C5"/>
    <w:rsid w:val="00B73BC0"/>
    <w:rsid w:val="00B765C7"/>
    <w:rsid w:val="00B81EE5"/>
    <w:rsid w:val="00B82FA5"/>
    <w:rsid w:val="00B87784"/>
    <w:rsid w:val="00B93B34"/>
    <w:rsid w:val="00BC0AEF"/>
    <w:rsid w:val="00BD1400"/>
    <w:rsid w:val="00BD605C"/>
    <w:rsid w:val="00BE2A76"/>
    <w:rsid w:val="00BE31B9"/>
    <w:rsid w:val="00BF1369"/>
    <w:rsid w:val="00C16781"/>
    <w:rsid w:val="00C2329C"/>
    <w:rsid w:val="00C50E2D"/>
    <w:rsid w:val="00C65E60"/>
    <w:rsid w:val="00C927CB"/>
    <w:rsid w:val="00CA0102"/>
    <w:rsid w:val="00CD2871"/>
    <w:rsid w:val="00CD41F5"/>
    <w:rsid w:val="00CE5A52"/>
    <w:rsid w:val="00CE7A18"/>
    <w:rsid w:val="00CF7AF3"/>
    <w:rsid w:val="00D02115"/>
    <w:rsid w:val="00D0298D"/>
    <w:rsid w:val="00D26ADA"/>
    <w:rsid w:val="00D27304"/>
    <w:rsid w:val="00D31893"/>
    <w:rsid w:val="00D31EA5"/>
    <w:rsid w:val="00D35A78"/>
    <w:rsid w:val="00D555A1"/>
    <w:rsid w:val="00D64DC2"/>
    <w:rsid w:val="00D93993"/>
    <w:rsid w:val="00DA0D66"/>
    <w:rsid w:val="00DA46CA"/>
    <w:rsid w:val="00DB12D2"/>
    <w:rsid w:val="00DC2132"/>
    <w:rsid w:val="00DE05A4"/>
    <w:rsid w:val="00DF21EB"/>
    <w:rsid w:val="00E0022D"/>
    <w:rsid w:val="00E1330D"/>
    <w:rsid w:val="00E20E70"/>
    <w:rsid w:val="00E25B68"/>
    <w:rsid w:val="00E26FEC"/>
    <w:rsid w:val="00E402D9"/>
    <w:rsid w:val="00E6001F"/>
    <w:rsid w:val="00E64319"/>
    <w:rsid w:val="00E71AAF"/>
    <w:rsid w:val="00E84003"/>
    <w:rsid w:val="00EA0F73"/>
    <w:rsid w:val="00EC10FC"/>
    <w:rsid w:val="00ED0A99"/>
    <w:rsid w:val="00ED5751"/>
    <w:rsid w:val="00EE0041"/>
    <w:rsid w:val="00EE29B9"/>
    <w:rsid w:val="00EF56C5"/>
    <w:rsid w:val="00F004EE"/>
    <w:rsid w:val="00F3609B"/>
    <w:rsid w:val="00F42E23"/>
    <w:rsid w:val="00F45EEE"/>
    <w:rsid w:val="00F51E9C"/>
    <w:rsid w:val="00F523CA"/>
    <w:rsid w:val="00F7050C"/>
    <w:rsid w:val="00F74A9D"/>
    <w:rsid w:val="00F83E28"/>
    <w:rsid w:val="00FD7777"/>
    <w:rsid w:val="00FF33E3"/>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val="en-US" w:eastAsia="en-US"/>
    </w:rPr>
  </w:style>
  <w:style w:type="paragraph" w:styleId="Heading1">
    <w:name w:val="heading 1"/>
    <w:aliases w:val="Paper title"/>
    <w:next w:val="Subtitle"/>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9"/>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9"/>
    <w:qFormat/>
    <w:rsid w:val="001112FF"/>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9"/>
    <w:qFormat/>
    <w:rsid w:val="00897ED5"/>
    <w:pPr>
      <w:widowControl w:val="0"/>
      <w:numPr>
        <w:ilvl w:val="3"/>
        <w:numId w:val="6"/>
      </w:numPr>
      <w:spacing w:before="100" w:beforeAutospacing="1" w:after="100" w:afterAutospacing="1" w:line="240" w:lineRule="atLeast"/>
      <w:outlineLvl w:val="3"/>
    </w:pPr>
    <w:rPr>
      <w:i/>
      <w:sz w:val="20"/>
    </w:rPr>
  </w:style>
  <w:style w:type="paragraph" w:styleId="Heading5">
    <w:name w:val="heading 5"/>
    <w:basedOn w:val="Normal"/>
    <w:next w:val="Normal"/>
    <w:uiPriority w:val="9"/>
    <w:qFormat/>
    <w:locked/>
    <w:pPr>
      <w:overflowPunct/>
      <w:autoSpaceDE/>
      <w:autoSpaceDN/>
      <w:adjustRightInd/>
      <w:spacing w:before="240" w:after="60"/>
      <w:textAlignment w:val="auto"/>
      <w:outlineLvl w:val="4"/>
    </w:pPr>
    <w:rPr>
      <w:b/>
      <w:bCs/>
      <w:i/>
      <w:iCs/>
      <w:sz w:val="26"/>
      <w:szCs w:val="26"/>
    </w:rPr>
  </w:style>
  <w:style w:type="paragraph" w:styleId="Heading6">
    <w:name w:val="heading 6"/>
    <w:basedOn w:val="Normal"/>
    <w:next w:val="Normal"/>
    <w:uiPriority w:val="9"/>
    <w:qFormat/>
    <w:locked/>
    <w:pPr>
      <w:overflowPunct/>
      <w:autoSpaceDE/>
      <w:autoSpaceDN/>
      <w:adjustRightInd/>
      <w:spacing w:before="240" w:after="60"/>
      <w:textAlignment w:val="auto"/>
      <w:outlineLvl w:val="5"/>
    </w:pPr>
    <w:rPr>
      <w:b/>
      <w:bCs/>
      <w:szCs w:val="22"/>
    </w:rPr>
  </w:style>
  <w:style w:type="paragraph" w:styleId="Heading7">
    <w:name w:val="heading 7"/>
    <w:basedOn w:val="Normal"/>
    <w:next w:val="Normal"/>
    <w:uiPriority w:val="9"/>
    <w:qFormat/>
    <w:locked/>
    <w:pPr>
      <w:overflowPunct/>
      <w:autoSpaceDE/>
      <w:autoSpaceDN/>
      <w:adjustRightInd/>
      <w:spacing w:before="240" w:after="60"/>
      <w:textAlignment w:val="auto"/>
      <w:outlineLvl w:val="6"/>
    </w:pPr>
    <w:rPr>
      <w:szCs w:val="24"/>
    </w:rPr>
  </w:style>
  <w:style w:type="paragraph" w:styleId="Heading8">
    <w:name w:val="heading 8"/>
    <w:basedOn w:val="Normal"/>
    <w:next w:val="Normal"/>
    <w:uiPriority w:val="9"/>
    <w:qFormat/>
    <w:locked/>
    <w:pPr>
      <w:overflowPunct/>
      <w:autoSpaceDE/>
      <w:autoSpaceDN/>
      <w:adjustRightInd/>
      <w:spacing w:before="240" w:after="60"/>
      <w:textAlignment w:val="auto"/>
      <w:outlineLvl w:val="7"/>
    </w:pPr>
    <w:rPr>
      <w:i/>
      <w:iCs/>
      <w:szCs w:val="24"/>
    </w:rPr>
  </w:style>
  <w:style w:type="paragraph" w:styleId="Heading9">
    <w:name w:val="heading 9"/>
    <w:basedOn w:val="Normal"/>
    <w:next w:val="Normal"/>
    <w:uiPriority w:val="9"/>
    <w:qFormat/>
    <w:locked/>
    <w:pPr>
      <w:overflowPunct/>
      <w:autoSpaceDE/>
      <w:autoSpaceDN/>
      <w:adjustRightInd/>
      <w:spacing w:before="240" w:after="60"/>
      <w:textAlignment w:val="auto"/>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ind w:left="709"/>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99"/>
    <w:unhideWhenUsed/>
    <w:locked/>
    <w:rsid w:val="008567C5"/>
    <w:rPr>
      <w:color w:val="0000FF" w:themeColor="hyperlink"/>
      <w:u w:val="single"/>
    </w:rPr>
  </w:style>
  <w:style w:type="character" w:customStyle="1" w:styleId="UnresolvedMention1">
    <w:name w:val="Unresolved Mention1"/>
    <w:basedOn w:val="DefaultParagraphFont"/>
    <w:uiPriority w:val="99"/>
    <w:semiHidden/>
    <w:unhideWhenUsed/>
    <w:rsid w:val="008567C5"/>
    <w:rPr>
      <w:color w:val="605E5C"/>
      <w:shd w:val="clear" w:color="auto" w:fill="E1DFDD"/>
    </w:rPr>
  </w:style>
  <w:style w:type="paragraph" w:styleId="ListParagraph">
    <w:name w:val="List Paragraph"/>
    <w:basedOn w:val="Normal"/>
    <w:uiPriority w:val="34"/>
    <w:qFormat/>
    <w:locked/>
    <w:rsid w:val="00552A8D"/>
    <w:pPr>
      <w:overflowPunct/>
      <w:autoSpaceDE/>
      <w:autoSpaceDN/>
      <w:adjustRightInd/>
      <w:spacing w:after="160" w:line="259" w:lineRule="auto"/>
      <w:ind w:left="720"/>
      <w:contextualSpacing/>
      <w:textAlignment w:val="auto"/>
    </w:pPr>
    <w:rPr>
      <w:rFonts w:asciiTheme="minorHAnsi" w:eastAsia="SimSun" w:hAnsiTheme="minorHAnsi" w:cstheme="minorBidi"/>
      <w:szCs w:val="22"/>
    </w:rPr>
  </w:style>
  <w:style w:type="paragraph" w:styleId="NoSpacing">
    <w:name w:val="No Spacing"/>
    <w:uiPriority w:val="1"/>
    <w:qFormat/>
    <w:locked/>
    <w:rsid w:val="00552A8D"/>
    <w:rPr>
      <w:rFonts w:asciiTheme="minorHAnsi" w:eastAsia="SimSun"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456218">
      <w:bodyDiv w:val="1"/>
      <w:marLeft w:val="0"/>
      <w:marRight w:val="0"/>
      <w:marTop w:val="0"/>
      <w:marBottom w:val="0"/>
      <w:divBdr>
        <w:top w:val="none" w:sz="0" w:space="0" w:color="auto"/>
        <w:left w:val="none" w:sz="0" w:space="0" w:color="auto"/>
        <w:bottom w:val="none" w:sz="0" w:space="0" w:color="auto"/>
        <w:right w:val="none" w:sz="0" w:space="0" w:color="auto"/>
      </w:divBdr>
    </w:div>
    <w:div w:id="105978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kkim@anl.gov"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D34D396D-69AA-43E5-B385-0635A8F16DED}">
  <ds:schemaRefs>
    <ds:schemaRef ds:uri="http://schemas.openxmlformats.org/officeDocument/2006/bibliography"/>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7</TotalTime>
  <Pages>9</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Kim, Taek K.</cp:lastModifiedBy>
  <cp:revision>8</cp:revision>
  <cp:lastPrinted>2015-12-01T10:27:00Z</cp:lastPrinted>
  <dcterms:created xsi:type="dcterms:W3CDTF">2022-03-15T18:14:00Z</dcterms:created>
  <dcterms:modified xsi:type="dcterms:W3CDTF">2022-03-15T19:17:00Z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