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1237AD38" w:rsidR="00E20E70" w:rsidRPr="000D6EC9" w:rsidRDefault="000D6EC9" w:rsidP="00537496">
      <w:pPr>
        <w:pStyle w:val="1"/>
      </w:pPr>
      <w:r w:rsidRPr="000D6EC9">
        <w:t>KEY ASPECTS OF COMPETITIVENESS FOR INDUSTRIAL ENERGY COMPLEX WITH FR AND CLOSED NFC</w:t>
      </w:r>
    </w:p>
    <w:p w14:paraId="433FE03F" w14:textId="77777777" w:rsidR="00802381" w:rsidRPr="000D6EC9" w:rsidRDefault="00802381" w:rsidP="00537496">
      <w:pPr>
        <w:pStyle w:val="Authornameandaffiliation"/>
      </w:pPr>
    </w:p>
    <w:p w14:paraId="433FE040" w14:textId="59A2ACF3" w:rsidR="003B5E0E" w:rsidRPr="000D6EC9" w:rsidRDefault="000D6EC9" w:rsidP="00537496">
      <w:pPr>
        <w:pStyle w:val="Authornameandaffiliation"/>
      </w:pPr>
      <w:r>
        <w:t>D</w:t>
      </w:r>
      <w:r w:rsidR="007606F1" w:rsidRPr="000D6EC9">
        <w:t>.</w:t>
      </w:r>
      <w:r>
        <w:t>A</w:t>
      </w:r>
      <w:r w:rsidR="007606F1" w:rsidRPr="000D6EC9">
        <w:t xml:space="preserve">. </w:t>
      </w:r>
      <w:proofErr w:type="spellStart"/>
      <w:r>
        <w:t>Tolstoukhov</w:t>
      </w:r>
      <w:proofErr w:type="spellEnd"/>
      <w:r w:rsidR="007606F1" w:rsidRPr="000D6EC9">
        <w:t xml:space="preserve">, </w:t>
      </w:r>
      <w:r>
        <w:t>O</w:t>
      </w:r>
      <w:r w:rsidR="007606F1" w:rsidRPr="000D6EC9">
        <w:t>.</w:t>
      </w:r>
      <w:r>
        <w:t>M</w:t>
      </w:r>
      <w:r w:rsidR="007606F1" w:rsidRPr="000D6EC9">
        <w:t xml:space="preserve">. </w:t>
      </w:r>
      <w:proofErr w:type="spellStart"/>
      <w:r w:rsidRPr="005E75AF">
        <w:t>Garagulya</w:t>
      </w:r>
      <w:proofErr w:type="spellEnd"/>
      <w:r w:rsidR="007606F1" w:rsidRPr="000D6EC9">
        <w:t xml:space="preserve">, </w:t>
      </w:r>
      <w:r>
        <w:t>P</w:t>
      </w:r>
      <w:r w:rsidR="007606F1" w:rsidRPr="000D6EC9">
        <w:t>.</w:t>
      </w:r>
      <w:r>
        <w:t>V</w:t>
      </w:r>
      <w:r w:rsidR="007606F1" w:rsidRPr="000D6EC9">
        <w:t xml:space="preserve">. </w:t>
      </w:r>
      <w:proofErr w:type="spellStart"/>
      <w:r>
        <w:t>Atnyukova</w:t>
      </w:r>
      <w:proofErr w:type="spellEnd"/>
      <w:r w:rsidR="007606F1" w:rsidRPr="000D6EC9">
        <w:t xml:space="preserve">, </w:t>
      </w:r>
      <w:r>
        <w:t>S</w:t>
      </w:r>
      <w:r w:rsidR="007606F1" w:rsidRPr="000D6EC9">
        <w:t>.</w:t>
      </w:r>
      <w:r>
        <w:t>A</w:t>
      </w:r>
      <w:r w:rsidR="007606F1" w:rsidRPr="000D6EC9">
        <w:t xml:space="preserve">. </w:t>
      </w:r>
      <w:proofErr w:type="spellStart"/>
      <w:r>
        <w:t>Panov</w:t>
      </w:r>
      <w:proofErr w:type="spellEnd"/>
      <w:r w:rsidR="007606F1" w:rsidRPr="000D6EC9">
        <w:t xml:space="preserve">, </w:t>
      </w:r>
      <w:r>
        <w:t>I</w:t>
      </w:r>
      <w:r w:rsidR="007606F1" w:rsidRPr="000D6EC9">
        <w:t>.</w:t>
      </w:r>
      <w:r>
        <w:t>V</w:t>
      </w:r>
      <w:r w:rsidR="007606F1" w:rsidRPr="000D6EC9">
        <w:t xml:space="preserve">. </w:t>
      </w:r>
      <w:proofErr w:type="spellStart"/>
      <w:r>
        <w:t>Presnyakov</w:t>
      </w:r>
      <w:proofErr w:type="spellEnd"/>
    </w:p>
    <w:p w14:paraId="433FE041" w14:textId="70C5A076" w:rsidR="00FF386F" w:rsidRPr="00395E72" w:rsidRDefault="000D6EC9" w:rsidP="00537496">
      <w:pPr>
        <w:pStyle w:val="Authornameandaffiliation"/>
      </w:pPr>
      <w:r>
        <w:t>JSC</w:t>
      </w:r>
      <w:r w:rsidRPr="003A05CC">
        <w:t xml:space="preserve"> «</w:t>
      </w:r>
      <w:r>
        <w:t>Proryv»</w:t>
      </w:r>
    </w:p>
    <w:p w14:paraId="433FE042" w14:textId="5F4A1415" w:rsidR="00FF386F" w:rsidRPr="00395E72" w:rsidRDefault="000D6EC9" w:rsidP="00537496">
      <w:pPr>
        <w:pStyle w:val="Authornameandaffiliation"/>
      </w:pPr>
      <w:r>
        <w:t>Moscow</w:t>
      </w:r>
      <w:r w:rsidRPr="003A05CC">
        <w:t xml:space="preserve">, </w:t>
      </w:r>
      <w:r>
        <w:t>Russian Federation</w:t>
      </w:r>
    </w:p>
    <w:p w14:paraId="433FE043" w14:textId="13D3DE84" w:rsidR="00FF386F" w:rsidRPr="00395E72" w:rsidRDefault="00FF386F" w:rsidP="00537496">
      <w:pPr>
        <w:pStyle w:val="Authornameandaffiliation"/>
      </w:pPr>
      <w:r>
        <w:t>Email</w:t>
      </w:r>
      <w:r w:rsidRPr="00395E72">
        <w:t xml:space="preserve">: </w:t>
      </w:r>
      <w:r w:rsidR="00691BB2">
        <w:t>tda</w:t>
      </w:r>
      <w:r w:rsidRPr="00395E72">
        <w:t>@</w:t>
      </w:r>
      <w:r w:rsidR="00691BB2">
        <w:t>proryv</w:t>
      </w:r>
      <w:r w:rsidR="00691BB2" w:rsidRPr="00395E72">
        <w:t>2020</w:t>
      </w:r>
      <w:r w:rsidRPr="00395E72">
        <w:t>.</w:t>
      </w:r>
      <w:r w:rsidR="00691BB2">
        <w:t>ru</w:t>
      </w:r>
    </w:p>
    <w:p w14:paraId="433FE044" w14:textId="77777777" w:rsidR="00FF386F" w:rsidRPr="00B173AD" w:rsidRDefault="00FF386F" w:rsidP="00537496">
      <w:pPr>
        <w:pStyle w:val="Authornameandaffiliation"/>
      </w:pPr>
    </w:p>
    <w:p w14:paraId="46548444" w14:textId="77777777" w:rsidR="00B173AD" w:rsidRPr="000D6EC9" w:rsidRDefault="00B173AD" w:rsidP="00B173AD">
      <w:pPr>
        <w:pStyle w:val="Authornameandaffiliation"/>
      </w:pPr>
      <w:r>
        <w:t>D</w:t>
      </w:r>
      <w:r w:rsidRPr="000D6EC9">
        <w:t>.</w:t>
      </w:r>
      <w:r>
        <w:t>V</w:t>
      </w:r>
      <w:r w:rsidRPr="000D6EC9">
        <w:t xml:space="preserve">. </w:t>
      </w:r>
      <w:proofErr w:type="spellStart"/>
      <w:r>
        <w:t>Poprygin</w:t>
      </w:r>
      <w:proofErr w:type="spellEnd"/>
    </w:p>
    <w:p w14:paraId="336307E9" w14:textId="77777777" w:rsidR="00B173AD" w:rsidRPr="000D6EC9" w:rsidRDefault="00B173AD" w:rsidP="00B173AD">
      <w:pPr>
        <w:pStyle w:val="Authornameandaffiliation"/>
      </w:pPr>
      <w:r>
        <w:t>JSC</w:t>
      </w:r>
      <w:r w:rsidRPr="003A05CC">
        <w:t> «</w:t>
      </w:r>
      <w:proofErr w:type="spellStart"/>
      <w:r w:rsidRPr="005E75AF">
        <w:t>Atomenergoproekt</w:t>
      </w:r>
      <w:proofErr w:type="spellEnd"/>
      <w:r w:rsidRPr="003A05CC">
        <w:t>»</w:t>
      </w:r>
    </w:p>
    <w:p w14:paraId="0ED96DC3" w14:textId="79333C00" w:rsidR="00B173AD" w:rsidRPr="00A2639B" w:rsidRDefault="00B173AD" w:rsidP="00B173AD">
      <w:pPr>
        <w:pStyle w:val="Authornameandaffiliation"/>
      </w:pPr>
      <w:r>
        <w:t>Moscow</w:t>
      </w:r>
      <w:r w:rsidRPr="003A05CC">
        <w:t xml:space="preserve">, </w:t>
      </w:r>
      <w:r>
        <w:t>Russian Federation</w:t>
      </w:r>
    </w:p>
    <w:p w14:paraId="3D91BB58" w14:textId="77777777" w:rsidR="00B173AD" w:rsidRPr="00A2639B" w:rsidRDefault="00B173AD" w:rsidP="00B173AD">
      <w:pPr>
        <w:pStyle w:val="Authornameandaffiliation"/>
      </w:pPr>
    </w:p>
    <w:p w14:paraId="433FE049" w14:textId="1E38CA19" w:rsidR="00647F33" w:rsidRPr="000D6EC9" w:rsidRDefault="000D6EC9" w:rsidP="00537496">
      <w:pPr>
        <w:pStyle w:val="Authornameandaffiliation"/>
        <w:rPr>
          <w:b/>
        </w:rPr>
      </w:pPr>
      <w:r w:rsidRPr="000D6EC9">
        <w:rPr>
          <w:b/>
        </w:rPr>
        <w:t>Abstract</w:t>
      </w:r>
    </w:p>
    <w:p w14:paraId="433FE04A" w14:textId="77777777" w:rsidR="00647F33" w:rsidRPr="000D6EC9" w:rsidRDefault="00647F33" w:rsidP="00537496">
      <w:pPr>
        <w:pStyle w:val="Authornameandaffiliation"/>
      </w:pPr>
    </w:p>
    <w:p w14:paraId="433FE04B" w14:textId="64805424" w:rsidR="00647F33" w:rsidRPr="00B650C2" w:rsidRDefault="000D6EC9" w:rsidP="000D6EC9">
      <w:pPr>
        <w:pStyle w:val="Abstracttext"/>
        <w:jc w:val="both"/>
        <w:rPr>
          <w:sz w:val="20"/>
        </w:rPr>
      </w:pPr>
      <w:r w:rsidRPr="00B650C2">
        <w:rPr>
          <w:sz w:val="20"/>
        </w:rPr>
        <w:t>Long-term sustainable development of nuclear power in Russia and worldwide is possible only if NPPs are competitive in comparison with other types of generation. At the same time, it is crucial to demonstrate a cost-effective solution to the systemic problems of the industry, including the issue of accumulating the SNF. Modern NPPs with thermal reactors operated in an open NFC, given the achieved technical and economic indicators, cannot guarantee further effective competitive development of nuclear power. It prevents the growth of the share of nuclear power in the structure of energy production in the near future. As the report also reflects, the competitiveness of nuclear generation is determined not only by technical and economic indicators of promising NPP projects and corresponding NFC facilities. The competitiveness of NPPs is also influenced by technical and economic indicators of alternative energy technologies, taking into account the prospects for their optimization (improvement), the dynamics of prices for hydrocarbon fuel and the macroeconomic environment (discount rate). Current competitiveness requirements for NPPs with fast reactors and closed NFC, achievement of which ensures sustainable economic efficiency in comparison with alternative energy technologies, are reviewed as well</w:t>
      </w:r>
      <w:r w:rsidR="00647F33" w:rsidRPr="00B650C2">
        <w:rPr>
          <w:sz w:val="20"/>
        </w:rPr>
        <w:t>.</w:t>
      </w:r>
    </w:p>
    <w:p w14:paraId="433FE04C" w14:textId="4DF7CD6F" w:rsidR="00647F33" w:rsidRDefault="000D6EC9" w:rsidP="00537496">
      <w:pPr>
        <w:pStyle w:val="2"/>
        <w:numPr>
          <w:ilvl w:val="1"/>
          <w:numId w:val="10"/>
        </w:numPr>
      </w:pPr>
      <w:r>
        <w:t>INTRODUCTION</w:t>
      </w:r>
    </w:p>
    <w:p w14:paraId="5B7A928C" w14:textId="16E1E1F5" w:rsidR="0093579A" w:rsidRPr="00B650C2" w:rsidRDefault="009F098A" w:rsidP="006110A7">
      <w:pPr>
        <w:pStyle w:val="a1"/>
        <w:rPr>
          <w:sz w:val="21"/>
          <w:szCs w:val="21"/>
          <w:lang w:val="en-US"/>
        </w:rPr>
      </w:pPr>
      <w:r w:rsidRPr="00B650C2">
        <w:rPr>
          <w:sz w:val="21"/>
          <w:szCs w:val="21"/>
          <w:lang w:val="en-US"/>
        </w:rPr>
        <w:t>According for the current forecasts of the leading analytical agencies in the electric power industry</w:t>
      </w:r>
      <w:r w:rsidR="006110A7" w:rsidRPr="00B650C2">
        <w:rPr>
          <w:sz w:val="21"/>
          <w:szCs w:val="21"/>
        </w:rPr>
        <w:t xml:space="preserve"> (International Energy Agency, U.S. Energy Information Administration, </w:t>
      </w:r>
      <w:r w:rsidRPr="00B650C2">
        <w:rPr>
          <w:sz w:val="21"/>
          <w:szCs w:val="21"/>
          <w:lang w:val="en-US"/>
        </w:rPr>
        <w:t>ERI RAS</w:t>
      </w:r>
      <w:r w:rsidR="006110A7" w:rsidRPr="00B650C2">
        <w:rPr>
          <w:sz w:val="21"/>
          <w:szCs w:val="21"/>
        </w:rPr>
        <w:t xml:space="preserve"> </w:t>
      </w:r>
      <w:r w:rsidRPr="00B650C2">
        <w:rPr>
          <w:sz w:val="21"/>
          <w:szCs w:val="21"/>
          <w:lang w:val="en-US"/>
        </w:rPr>
        <w:t>and al</w:t>
      </w:r>
      <w:r w:rsidR="006110A7" w:rsidRPr="00B650C2">
        <w:rPr>
          <w:sz w:val="21"/>
          <w:szCs w:val="21"/>
        </w:rPr>
        <w:t>.</w:t>
      </w:r>
      <w:r w:rsidR="007F0283" w:rsidRPr="00B650C2">
        <w:rPr>
          <w:sz w:val="21"/>
          <w:szCs w:val="21"/>
        </w:rPr>
        <w:t xml:space="preserve"> </w:t>
      </w:r>
      <w:r w:rsidR="007F0283" w:rsidRPr="00B650C2">
        <w:rPr>
          <w:sz w:val="21"/>
          <w:szCs w:val="21"/>
          <w:lang w:val="en-US"/>
        </w:rPr>
        <w:t>[1, 2</w:t>
      </w:r>
      <w:r w:rsidR="00654032" w:rsidRPr="00B650C2">
        <w:rPr>
          <w:sz w:val="21"/>
          <w:szCs w:val="21"/>
          <w:lang w:val="en-US"/>
        </w:rPr>
        <w:t>, 3</w:t>
      </w:r>
      <w:r w:rsidR="007F0283" w:rsidRPr="00B650C2">
        <w:rPr>
          <w:sz w:val="21"/>
          <w:szCs w:val="21"/>
          <w:lang w:val="en-US"/>
        </w:rPr>
        <w:t>]</w:t>
      </w:r>
      <w:r w:rsidR="006110A7" w:rsidRPr="00B650C2">
        <w:rPr>
          <w:sz w:val="21"/>
          <w:szCs w:val="21"/>
          <w:lang w:val="en-US"/>
        </w:rPr>
        <w:t xml:space="preserve">), </w:t>
      </w:r>
      <w:r w:rsidRPr="00B650C2">
        <w:rPr>
          <w:sz w:val="21"/>
          <w:szCs w:val="21"/>
          <w:lang w:val="en-US"/>
        </w:rPr>
        <w:t>by the middle of 21st century, main part of the growth in global electricity production will be carbon-free types of power plants based on renewable energy sources</w:t>
      </w:r>
      <w:r w:rsidR="007C47FC" w:rsidRPr="00B650C2">
        <w:rPr>
          <w:sz w:val="21"/>
          <w:szCs w:val="21"/>
          <w:lang w:val="en-US"/>
        </w:rPr>
        <w:t xml:space="preserve"> (</w:t>
      </w:r>
      <w:r w:rsidRPr="00B650C2">
        <w:rPr>
          <w:sz w:val="21"/>
          <w:szCs w:val="21"/>
          <w:lang w:val="en-US"/>
        </w:rPr>
        <w:t>RES</w:t>
      </w:r>
      <w:r w:rsidR="007C47FC" w:rsidRPr="00B650C2">
        <w:rPr>
          <w:sz w:val="21"/>
          <w:szCs w:val="21"/>
          <w:lang w:val="en-US"/>
        </w:rPr>
        <w:t>)</w:t>
      </w:r>
      <w:r w:rsidR="006110A7" w:rsidRPr="00B650C2">
        <w:rPr>
          <w:sz w:val="21"/>
          <w:szCs w:val="21"/>
          <w:lang w:val="en-US"/>
        </w:rPr>
        <w:t xml:space="preserve">. </w:t>
      </w:r>
      <w:r w:rsidR="00A2639B" w:rsidRPr="00A2639B">
        <w:rPr>
          <w:sz w:val="21"/>
          <w:szCs w:val="21"/>
          <w:lang w:val="en-US"/>
        </w:rPr>
        <w:t>At the same time, the share of nuclear power plants in the global generation structure will remain steady at ~10%</w:t>
      </w:r>
      <w:r w:rsidR="0065134C" w:rsidRPr="00B650C2">
        <w:rPr>
          <w:sz w:val="21"/>
          <w:szCs w:val="21"/>
          <w:lang w:val="en-US"/>
        </w:rPr>
        <w:t xml:space="preserve">. </w:t>
      </w:r>
      <w:r w:rsidRPr="00B650C2">
        <w:rPr>
          <w:sz w:val="21"/>
          <w:szCs w:val="21"/>
          <w:lang w:val="en-US"/>
        </w:rPr>
        <w:t xml:space="preserve">Projected drop in share of nuclear </w:t>
      </w:r>
      <w:r w:rsidR="00BE0415" w:rsidRPr="00B650C2">
        <w:rPr>
          <w:sz w:val="21"/>
          <w:szCs w:val="21"/>
          <w:lang w:val="en-US"/>
        </w:rPr>
        <w:t>power</w:t>
      </w:r>
      <w:r w:rsidRPr="00B650C2">
        <w:rPr>
          <w:sz w:val="21"/>
          <w:szCs w:val="21"/>
          <w:lang w:val="en-US"/>
        </w:rPr>
        <w:t xml:space="preserve"> in Europe and United States is offset by growth in China and India</w:t>
      </w:r>
      <w:r w:rsidR="006110A7" w:rsidRPr="00B650C2">
        <w:rPr>
          <w:sz w:val="21"/>
          <w:szCs w:val="21"/>
          <w:lang w:val="en-US"/>
        </w:rPr>
        <w:t xml:space="preserve">. </w:t>
      </w:r>
    </w:p>
    <w:p w14:paraId="433FE04D" w14:textId="0596623B" w:rsidR="00647F33" w:rsidRPr="00B650C2" w:rsidRDefault="00BE0415" w:rsidP="006110A7">
      <w:pPr>
        <w:pStyle w:val="a1"/>
        <w:rPr>
          <w:sz w:val="21"/>
          <w:szCs w:val="21"/>
          <w:lang w:val="en-US"/>
        </w:rPr>
      </w:pPr>
      <w:r w:rsidRPr="00B650C2">
        <w:rPr>
          <w:sz w:val="21"/>
          <w:szCs w:val="21"/>
          <w:lang w:val="en-US"/>
        </w:rPr>
        <w:t>In Russia, share of nuclear power in the total electricity balance by the middle of 21st century may grow from the current 20% to ~25-30%</w:t>
      </w:r>
      <w:r w:rsidR="00AE73A2" w:rsidRPr="00B650C2">
        <w:rPr>
          <w:sz w:val="21"/>
          <w:szCs w:val="21"/>
          <w:lang w:val="en-US"/>
        </w:rPr>
        <w:t xml:space="preserve">. </w:t>
      </w:r>
      <w:r w:rsidRPr="00B650C2">
        <w:rPr>
          <w:sz w:val="21"/>
          <w:szCs w:val="21"/>
          <w:lang w:val="en-US"/>
        </w:rPr>
        <w:t>Sustainable competitiveness of nuclear power in the long term is traditionally determined by the level of capital investments, as well as by the regional conditions of placement</w:t>
      </w:r>
      <w:r w:rsidR="00EE0041" w:rsidRPr="00B650C2">
        <w:rPr>
          <w:sz w:val="21"/>
          <w:szCs w:val="21"/>
          <w:lang w:val="en-US"/>
        </w:rPr>
        <w:t>.</w:t>
      </w:r>
    </w:p>
    <w:p w14:paraId="433FE04F" w14:textId="66D0F78B" w:rsidR="00E25B68" w:rsidRPr="000D6EC9" w:rsidRDefault="000D6EC9" w:rsidP="000D6EC9">
      <w:pPr>
        <w:pStyle w:val="2"/>
        <w:numPr>
          <w:ilvl w:val="1"/>
          <w:numId w:val="10"/>
        </w:numPr>
        <w:rPr>
          <w:lang w:val="en-US"/>
        </w:rPr>
      </w:pPr>
      <w:r w:rsidRPr="000D6EC9">
        <w:rPr>
          <w:lang w:val="en-US"/>
        </w:rPr>
        <w:t>APPROACH TO ASSESSMENT COMPETITIVENESS OF ENERGY TECHNOLOGIES</w:t>
      </w:r>
    </w:p>
    <w:p w14:paraId="72FEDCDB" w14:textId="171FAAF2" w:rsidR="007C47FC" w:rsidRPr="00A2639B" w:rsidRDefault="00816607" w:rsidP="008D1113">
      <w:pPr>
        <w:pStyle w:val="a1"/>
        <w:rPr>
          <w:sz w:val="21"/>
          <w:szCs w:val="21"/>
          <w:lang w:val="en-US"/>
        </w:rPr>
      </w:pPr>
      <w:r w:rsidRPr="00B650C2">
        <w:rPr>
          <w:sz w:val="21"/>
          <w:szCs w:val="21"/>
          <w:lang w:val="en-US"/>
        </w:rPr>
        <w:t>Competing energy technologies in relation to their location in Russia: power units with combined cycle gas turbine</w:t>
      </w:r>
      <w:r w:rsidR="00666E30" w:rsidRPr="00B650C2">
        <w:rPr>
          <w:sz w:val="21"/>
          <w:szCs w:val="21"/>
          <w:lang w:val="en-US"/>
        </w:rPr>
        <w:t xml:space="preserve"> (CCGT), Solar and W</w:t>
      </w:r>
      <w:r w:rsidRPr="00B650C2">
        <w:rPr>
          <w:sz w:val="21"/>
          <w:szCs w:val="21"/>
          <w:lang w:val="en-US"/>
        </w:rPr>
        <w:t>ind power plants, NPPs with thermal neutron reactors (TR) and NPPs with fast neutron reactors (FR)</w:t>
      </w:r>
      <w:r w:rsidR="007C47FC" w:rsidRPr="00B650C2">
        <w:rPr>
          <w:sz w:val="21"/>
          <w:szCs w:val="21"/>
          <w:lang w:val="en-US"/>
        </w:rPr>
        <w:t>.</w:t>
      </w:r>
      <w:r w:rsidR="00F24F3E" w:rsidRPr="00B650C2">
        <w:rPr>
          <w:sz w:val="21"/>
          <w:szCs w:val="21"/>
          <w:lang w:val="en-US"/>
        </w:rPr>
        <w:t xml:space="preserve"> </w:t>
      </w:r>
      <w:r w:rsidR="00A2639B" w:rsidRPr="00A2639B">
        <w:rPr>
          <w:sz w:val="21"/>
          <w:szCs w:val="21"/>
          <w:lang w:val="en-US"/>
        </w:rPr>
        <w:t>Assumed</w:t>
      </w:r>
      <w:r w:rsidRPr="00B650C2">
        <w:rPr>
          <w:sz w:val="21"/>
          <w:szCs w:val="21"/>
          <w:lang w:val="en-US"/>
        </w:rPr>
        <w:t xml:space="preserve"> that NPPs with FR are part of industrial </w:t>
      </w:r>
      <w:r w:rsidR="00900AA9" w:rsidRPr="00B650C2">
        <w:rPr>
          <w:sz w:val="21"/>
          <w:szCs w:val="21"/>
          <w:lang w:val="en-US"/>
        </w:rPr>
        <w:t>energy complex</w:t>
      </w:r>
      <w:r w:rsidRPr="00B650C2">
        <w:rPr>
          <w:sz w:val="21"/>
          <w:szCs w:val="21"/>
          <w:lang w:val="en-US"/>
        </w:rPr>
        <w:t xml:space="preserve">, which include production facilities for reprocessing </w:t>
      </w:r>
      <w:r w:rsidR="000B02AD" w:rsidRPr="00B650C2">
        <w:rPr>
          <w:sz w:val="21"/>
          <w:szCs w:val="21"/>
          <w:lang w:val="en-US"/>
        </w:rPr>
        <w:t>SNF</w:t>
      </w:r>
      <w:r w:rsidRPr="00B650C2">
        <w:rPr>
          <w:sz w:val="21"/>
          <w:szCs w:val="21"/>
          <w:lang w:val="en-US"/>
        </w:rPr>
        <w:t xml:space="preserve"> and fabricating nuclear fuel</w:t>
      </w:r>
      <w:r w:rsidR="00014A79" w:rsidRPr="00014A79">
        <w:rPr>
          <w:sz w:val="21"/>
          <w:szCs w:val="21"/>
          <w:lang w:val="en-US"/>
        </w:rPr>
        <w:t xml:space="preserve"> </w:t>
      </w:r>
      <w:r w:rsidR="00014A79">
        <w:rPr>
          <w:sz w:val="21"/>
          <w:szCs w:val="21"/>
          <w:lang w:val="en-US"/>
        </w:rPr>
        <w:t xml:space="preserve">from </w:t>
      </w:r>
      <w:r w:rsidR="00014A79" w:rsidRPr="00014A79">
        <w:rPr>
          <w:sz w:val="21"/>
          <w:szCs w:val="21"/>
          <w:lang w:val="en-US"/>
        </w:rPr>
        <w:t>reprocessed</w:t>
      </w:r>
      <w:r w:rsidR="00432DF9">
        <w:rPr>
          <w:sz w:val="21"/>
          <w:szCs w:val="21"/>
          <w:lang w:val="en-US"/>
        </w:rPr>
        <w:t xml:space="preserve"> fuel (so called </w:t>
      </w:r>
      <w:r w:rsidR="006C479B" w:rsidRPr="006C479B">
        <w:rPr>
          <w:sz w:val="21"/>
          <w:szCs w:val="21"/>
          <w:lang w:val="en-US"/>
        </w:rPr>
        <w:t>«</w:t>
      </w:r>
      <w:r w:rsidR="00432DF9" w:rsidRPr="00432DF9">
        <w:rPr>
          <w:sz w:val="21"/>
          <w:szCs w:val="21"/>
          <w:lang w:val="en-US"/>
        </w:rPr>
        <w:t>regenerate</w:t>
      </w:r>
      <w:r w:rsidR="006C479B" w:rsidRPr="006C479B">
        <w:rPr>
          <w:sz w:val="21"/>
          <w:szCs w:val="21"/>
          <w:lang w:val="en-US"/>
        </w:rPr>
        <w:t>»</w:t>
      </w:r>
      <w:r w:rsidR="00432DF9">
        <w:rPr>
          <w:sz w:val="21"/>
          <w:szCs w:val="21"/>
          <w:lang w:val="en-US"/>
        </w:rPr>
        <w:t>)</w:t>
      </w:r>
      <w:r w:rsidR="00F24F3E" w:rsidRPr="00B650C2">
        <w:rPr>
          <w:sz w:val="21"/>
          <w:szCs w:val="21"/>
          <w:lang w:val="en-US"/>
        </w:rPr>
        <w:t>.</w:t>
      </w:r>
    </w:p>
    <w:p w14:paraId="1F78FE93" w14:textId="43891B31" w:rsidR="008D1113" w:rsidRPr="00B650C2" w:rsidRDefault="00900AA9" w:rsidP="008D1113">
      <w:pPr>
        <w:pStyle w:val="a1"/>
        <w:rPr>
          <w:sz w:val="21"/>
          <w:szCs w:val="21"/>
          <w:lang w:val="en-US"/>
        </w:rPr>
      </w:pPr>
      <w:r w:rsidRPr="00B650C2">
        <w:rPr>
          <w:sz w:val="21"/>
          <w:szCs w:val="21"/>
          <w:lang w:val="en-US"/>
        </w:rPr>
        <w:t>The competitiveness of energy technologies was carried out for the Russian conditions in terms of Levelized Cost of Electricity (LCOE), taking into account the predicted long-term inflation</w:t>
      </w:r>
      <w:r w:rsidR="008D1113" w:rsidRPr="00B650C2">
        <w:rPr>
          <w:sz w:val="21"/>
          <w:szCs w:val="21"/>
          <w:lang w:val="en-US"/>
        </w:rPr>
        <w:t xml:space="preserve">. </w:t>
      </w:r>
    </w:p>
    <w:p w14:paraId="338D4102" w14:textId="5844070B" w:rsidR="00B87626" w:rsidRPr="00B650C2" w:rsidRDefault="00900AA9" w:rsidP="00B87626">
      <w:pPr>
        <w:pStyle w:val="a1"/>
        <w:rPr>
          <w:sz w:val="21"/>
          <w:szCs w:val="21"/>
          <w:lang w:val="en-US"/>
        </w:rPr>
      </w:pPr>
      <w:r w:rsidRPr="00B650C2">
        <w:rPr>
          <w:sz w:val="21"/>
          <w:szCs w:val="21"/>
          <w:lang w:val="en-US"/>
        </w:rPr>
        <w:t>Dynamics of optimization (improvement) technical and economic</w:t>
      </w:r>
      <w:r w:rsidR="00666E30" w:rsidRPr="00B650C2">
        <w:rPr>
          <w:sz w:val="21"/>
          <w:szCs w:val="21"/>
          <w:lang w:val="en-US"/>
        </w:rPr>
        <w:t xml:space="preserve"> parameters (TEP) of</w:t>
      </w:r>
      <w:r w:rsidRPr="00B650C2">
        <w:rPr>
          <w:sz w:val="21"/>
          <w:szCs w:val="21"/>
          <w:lang w:val="en-US"/>
        </w:rPr>
        <w:t xml:space="preserve"> </w:t>
      </w:r>
      <w:r w:rsidR="00666E30" w:rsidRPr="00B650C2">
        <w:rPr>
          <w:sz w:val="21"/>
          <w:szCs w:val="21"/>
          <w:lang w:val="en-US"/>
        </w:rPr>
        <w:t>RES</w:t>
      </w:r>
      <w:r w:rsidRPr="00B650C2">
        <w:rPr>
          <w:sz w:val="21"/>
          <w:szCs w:val="21"/>
          <w:lang w:val="en-US"/>
        </w:rPr>
        <w:t xml:space="preserve"> </w:t>
      </w:r>
      <w:r w:rsidR="00666E30" w:rsidRPr="00B650C2">
        <w:rPr>
          <w:sz w:val="21"/>
          <w:szCs w:val="21"/>
          <w:lang w:val="en-US"/>
        </w:rPr>
        <w:t>forecast for</w:t>
      </w:r>
      <w:r w:rsidRPr="00B650C2">
        <w:rPr>
          <w:sz w:val="21"/>
          <w:szCs w:val="21"/>
          <w:lang w:val="en-US"/>
        </w:rPr>
        <w:t xml:space="preserve"> 2035-2040 adopted on the analysis global trends in the development of electric power industry, taking into account </w:t>
      </w:r>
      <w:r w:rsidR="00666E30" w:rsidRPr="00B650C2">
        <w:rPr>
          <w:sz w:val="21"/>
          <w:szCs w:val="21"/>
          <w:lang w:val="en-US"/>
        </w:rPr>
        <w:t>load factor</w:t>
      </w:r>
      <w:r w:rsidRPr="00B650C2">
        <w:rPr>
          <w:sz w:val="21"/>
          <w:szCs w:val="21"/>
          <w:lang w:val="en-US"/>
        </w:rPr>
        <w:t xml:space="preserve"> </w:t>
      </w:r>
      <w:r w:rsidR="00A2639B" w:rsidRPr="00A2639B">
        <w:rPr>
          <w:sz w:val="21"/>
          <w:szCs w:val="21"/>
          <w:lang w:val="en-US"/>
        </w:rPr>
        <w:t xml:space="preserve">of </w:t>
      </w:r>
      <w:r w:rsidR="00666E30" w:rsidRPr="00B650C2">
        <w:rPr>
          <w:sz w:val="21"/>
          <w:szCs w:val="21"/>
          <w:lang w:val="en-US"/>
        </w:rPr>
        <w:t>Wind</w:t>
      </w:r>
      <w:r w:rsidRPr="00B650C2">
        <w:rPr>
          <w:sz w:val="21"/>
          <w:szCs w:val="21"/>
          <w:lang w:val="en-US"/>
        </w:rPr>
        <w:t xml:space="preserve"> and S</w:t>
      </w:r>
      <w:r w:rsidR="00666E30" w:rsidRPr="00B650C2">
        <w:rPr>
          <w:sz w:val="21"/>
          <w:szCs w:val="21"/>
          <w:lang w:val="en-US"/>
        </w:rPr>
        <w:t>olar power plants</w:t>
      </w:r>
      <w:r w:rsidRPr="00B650C2">
        <w:rPr>
          <w:sz w:val="21"/>
          <w:szCs w:val="21"/>
          <w:lang w:val="en-US"/>
        </w:rPr>
        <w:t xml:space="preserve"> </w:t>
      </w:r>
      <w:r w:rsidR="00666E30" w:rsidRPr="00B650C2">
        <w:rPr>
          <w:sz w:val="21"/>
          <w:szCs w:val="21"/>
          <w:lang w:val="en-US"/>
        </w:rPr>
        <w:t>in</w:t>
      </w:r>
      <w:r w:rsidRPr="00B650C2">
        <w:rPr>
          <w:sz w:val="21"/>
          <w:szCs w:val="21"/>
          <w:lang w:val="en-US"/>
        </w:rPr>
        <w:t xml:space="preserve"> Russia</w:t>
      </w:r>
      <w:r w:rsidR="008D1113" w:rsidRPr="00B650C2">
        <w:rPr>
          <w:sz w:val="21"/>
          <w:szCs w:val="21"/>
          <w:lang w:val="en-US"/>
        </w:rPr>
        <w:t>.</w:t>
      </w:r>
    </w:p>
    <w:p w14:paraId="32B21302" w14:textId="50C90395" w:rsidR="00FE3C48" w:rsidRPr="00B650C2" w:rsidRDefault="00666E30" w:rsidP="00B87626">
      <w:pPr>
        <w:pStyle w:val="a1"/>
        <w:rPr>
          <w:sz w:val="21"/>
          <w:szCs w:val="21"/>
          <w:lang w:val="en-US"/>
        </w:rPr>
      </w:pPr>
      <w:r w:rsidRPr="00B650C2">
        <w:rPr>
          <w:sz w:val="21"/>
          <w:szCs w:val="21"/>
          <w:lang w:val="en-US"/>
        </w:rPr>
        <w:t>Predicted that on the horizon of 2035 in Russia there will be decrease</w:t>
      </w:r>
      <w:r w:rsidR="00442995" w:rsidRPr="00B650C2">
        <w:rPr>
          <w:sz w:val="21"/>
          <w:szCs w:val="21"/>
          <w:lang w:val="en-US"/>
        </w:rPr>
        <w:t xml:space="preserve"> by ~20%</w:t>
      </w:r>
      <w:r w:rsidRPr="00B650C2">
        <w:rPr>
          <w:sz w:val="21"/>
          <w:szCs w:val="21"/>
          <w:lang w:val="en-US"/>
        </w:rPr>
        <w:t xml:space="preserve"> in capital investments in the construction of power units with CCGT</w:t>
      </w:r>
      <w:r w:rsidR="00A2639B" w:rsidRPr="00A2639B">
        <w:rPr>
          <w:sz w:val="21"/>
          <w:szCs w:val="21"/>
          <w:lang w:val="en-US"/>
        </w:rPr>
        <w:t xml:space="preserve"> [3]</w:t>
      </w:r>
      <w:r w:rsidR="00B87626" w:rsidRPr="00B650C2">
        <w:rPr>
          <w:sz w:val="21"/>
          <w:szCs w:val="21"/>
          <w:lang w:val="en-US"/>
        </w:rPr>
        <w:t xml:space="preserve">. </w:t>
      </w:r>
    </w:p>
    <w:p w14:paraId="0B9ACF6D" w14:textId="1FE7A532" w:rsidR="00291957" w:rsidRPr="00B650C2" w:rsidRDefault="002B54B1" w:rsidP="00B87626">
      <w:pPr>
        <w:pStyle w:val="a1"/>
        <w:rPr>
          <w:sz w:val="21"/>
          <w:szCs w:val="21"/>
          <w:lang w:val="en-US"/>
        </w:rPr>
      </w:pPr>
      <w:r w:rsidRPr="00B650C2">
        <w:rPr>
          <w:sz w:val="21"/>
          <w:szCs w:val="21"/>
          <w:lang w:val="en-US"/>
        </w:rPr>
        <w:lastRenderedPageBreak/>
        <w:t>A key feature of CCGT power units, which significantly affects their competitiveness, is their dependence on natural gas prices during operation</w:t>
      </w:r>
      <w:r w:rsidR="00B87626" w:rsidRPr="00B650C2">
        <w:rPr>
          <w:sz w:val="21"/>
          <w:szCs w:val="21"/>
          <w:lang w:val="en-US"/>
        </w:rPr>
        <w:t xml:space="preserve">. </w:t>
      </w:r>
      <w:r w:rsidRPr="00B650C2">
        <w:rPr>
          <w:sz w:val="21"/>
          <w:szCs w:val="21"/>
          <w:lang w:val="en-US"/>
        </w:rPr>
        <w:t>The basic option of LCOE calculation was carried out</w:t>
      </w:r>
      <w:r w:rsidR="004C3782" w:rsidRPr="00B650C2">
        <w:rPr>
          <w:sz w:val="21"/>
          <w:szCs w:val="21"/>
          <w:lang w:val="en-US"/>
        </w:rPr>
        <w:t xml:space="preserve"> a favorable scenario </w:t>
      </w:r>
      <w:r w:rsidRPr="00B650C2">
        <w:rPr>
          <w:sz w:val="21"/>
          <w:szCs w:val="21"/>
          <w:lang w:val="en-US"/>
        </w:rPr>
        <w:t>of fuel price indexation with annual nominal growth within inflation</w:t>
      </w:r>
      <w:r w:rsidR="00B87626" w:rsidRPr="00B650C2">
        <w:rPr>
          <w:sz w:val="21"/>
          <w:szCs w:val="21"/>
          <w:lang w:val="en-US"/>
        </w:rPr>
        <w:t>.</w:t>
      </w:r>
    </w:p>
    <w:p w14:paraId="2FAD1B73" w14:textId="5A816930" w:rsidR="00F24F3E" w:rsidRPr="00B650C2" w:rsidRDefault="004C3782" w:rsidP="004C3782">
      <w:pPr>
        <w:pStyle w:val="a1"/>
        <w:rPr>
          <w:sz w:val="21"/>
          <w:szCs w:val="21"/>
          <w:lang w:val="en-US"/>
        </w:rPr>
      </w:pPr>
      <w:r w:rsidRPr="00B650C2">
        <w:rPr>
          <w:sz w:val="21"/>
          <w:szCs w:val="21"/>
          <w:lang w:val="en-US"/>
        </w:rPr>
        <w:t>Key TEP of NPPs projects with TR and FR were adopted according to indicators from «The development strategy of nuclear energy in Russia until 2050 and prospects for the period up to 2100»</w:t>
      </w:r>
      <w:r w:rsidR="00324530" w:rsidRPr="00B650C2">
        <w:rPr>
          <w:sz w:val="21"/>
          <w:szCs w:val="21"/>
          <w:lang w:val="en-US"/>
        </w:rPr>
        <w:t xml:space="preserve"> </w:t>
      </w:r>
      <w:r w:rsidR="00817EDA" w:rsidRPr="00B650C2">
        <w:rPr>
          <w:sz w:val="21"/>
          <w:szCs w:val="21"/>
          <w:lang w:val="en-US"/>
        </w:rPr>
        <w:t>[4</w:t>
      </w:r>
      <w:r w:rsidR="00040A85" w:rsidRPr="00B650C2">
        <w:rPr>
          <w:sz w:val="21"/>
          <w:szCs w:val="21"/>
          <w:lang w:val="en-US"/>
        </w:rPr>
        <w:t>]</w:t>
      </w:r>
      <w:r w:rsidRPr="00B650C2">
        <w:rPr>
          <w:sz w:val="21"/>
          <w:szCs w:val="21"/>
          <w:lang w:val="en-US"/>
        </w:rPr>
        <w:t>, further – Nuclear Strategy</w:t>
      </w:r>
      <w:r w:rsidR="00324530" w:rsidRPr="00B650C2">
        <w:rPr>
          <w:sz w:val="21"/>
          <w:szCs w:val="21"/>
          <w:lang w:val="en-US"/>
        </w:rPr>
        <w:t>.</w:t>
      </w:r>
      <w:r w:rsidR="00DB6058" w:rsidRPr="00B650C2">
        <w:rPr>
          <w:sz w:val="21"/>
          <w:szCs w:val="21"/>
          <w:lang w:val="en-US"/>
        </w:rPr>
        <w:t xml:space="preserve"> </w:t>
      </w:r>
      <w:r w:rsidRPr="00B650C2">
        <w:rPr>
          <w:sz w:val="21"/>
          <w:szCs w:val="21"/>
          <w:lang w:val="en-US"/>
        </w:rPr>
        <w:t>It is taken into account that NPPs with TR operate in an open NFC, and NPPs with FR operate in a closed NFC</w:t>
      </w:r>
      <w:r w:rsidR="00DB6058" w:rsidRPr="00B650C2">
        <w:rPr>
          <w:sz w:val="21"/>
          <w:szCs w:val="21"/>
          <w:lang w:val="en-US"/>
        </w:rPr>
        <w:t>.</w:t>
      </w:r>
    </w:p>
    <w:p w14:paraId="51631E0C" w14:textId="2145F44B" w:rsidR="00324530" w:rsidRPr="00B650C2" w:rsidRDefault="004C3782" w:rsidP="00324530">
      <w:pPr>
        <w:pStyle w:val="a1"/>
        <w:rPr>
          <w:sz w:val="21"/>
          <w:szCs w:val="21"/>
          <w:lang w:val="en-US"/>
        </w:rPr>
      </w:pPr>
      <w:r w:rsidRPr="00B650C2">
        <w:rPr>
          <w:sz w:val="21"/>
          <w:szCs w:val="21"/>
          <w:lang w:val="en-US"/>
        </w:rPr>
        <w:t xml:space="preserve">The costs of closed NFC include reprocessing of SNF, fabrication fresh nuclear fuel from </w:t>
      </w:r>
      <w:r w:rsidR="00054F2E" w:rsidRPr="00054F2E">
        <w:rPr>
          <w:sz w:val="21"/>
          <w:szCs w:val="21"/>
          <w:lang w:val="en-US"/>
        </w:rPr>
        <w:t xml:space="preserve">reprocessed </w:t>
      </w:r>
      <w:r w:rsidRPr="00B650C2">
        <w:rPr>
          <w:sz w:val="21"/>
          <w:szCs w:val="21"/>
          <w:lang w:val="en-US"/>
        </w:rPr>
        <w:t xml:space="preserve">nuclear materials at the fuel production facilities that are part of the </w:t>
      </w:r>
      <w:r w:rsidR="0090270F" w:rsidRPr="008475FC">
        <w:rPr>
          <w:sz w:val="21"/>
          <w:szCs w:val="21"/>
          <w:lang w:val="en-US"/>
        </w:rPr>
        <w:t>industrial energy complex</w:t>
      </w:r>
      <w:r w:rsidRPr="008475FC">
        <w:rPr>
          <w:sz w:val="21"/>
          <w:szCs w:val="21"/>
          <w:lang w:val="en-US"/>
        </w:rPr>
        <w:t xml:space="preserve"> </w:t>
      </w:r>
      <w:r w:rsidRPr="00B650C2">
        <w:rPr>
          <w:sz w:val="21"/>
          <w:szCs w:val="21"/>
          <w:lang w:val="en-US"/>
        </w:rPr>
        <w:t xml:space="preserve">with FR, taking into account the costs of disposal </w:t>
      </w:r>
      <w:r w:rsidR="00BB0B02" w:rsidRPr="00B650C2">
        <w:rPr>
          <w:sz w:val="21"/>
          <w:szCs w:val="21"/>
          <w:lang w:val="en-US"/>
        </w:rPr>
        <w:t>radioactive waste</w:t>
      </w:r>
      <w:r w:rsidR="00DB6058" w:rsidRPr="00B650C2">
        <w:rPr>
          <w:sz w:val="21"/>
          <w:szCs w:val="21"/>
          <w:lang w:val="en-US"/>
        </w:rPr>
        <w:t xml:space="preserve">. </w:t>
      </w:r>
      <w:r w:rsidRPr="00B650C2">
        <w:rPr>
          <w:sz w:val="21"/>
          <w:szCs w:val="21"/>
          <w:lang w:val="en-US"/>
        </w:rPr>
        <w:t>The costs of closed NFC include</w:t>
      </w:r>
      <w:r w:rsidR="00DB6058" w:rsidRPr="00B650C2">
        <w:rPr>
          <w:sz w:val="21"/>
          <w:szCs w:val="21"/>
          <w:lang w:val="en-US"/>
        </w:rPr>
        <w:t xml:space="preserve"> </w:t>
      </w:r>
      <w:r w:rsidRPr="00B650C2">
        <w:rPr>
          <w:sz w:val="21"/>
          <w:szCs w:val="21"/>
          <w:lang w:val="en-US"/>
        </w:rPr>
        <w:t>fabrication fresh nuclear</w:t>
      </w:r>
      <w:r w:rsidR="00011C05" w:rsidRPr="00B650C2">
        <w:rPr>
          <w:sz w:val="21"/>
          <w:szCs w:val="21"/>
          <w:lang w:val="en-US"/>
        </w:rPr>
        <w:t xml:space="preserve"> fuel</w:t>
      </w:r>
      <w:r w:rsidR="00DB6058" w:rsidRPr="00B650C2">
        <w:rPr>
          <w:sz w:val="21"/>
          <w:szCs w:val="21"/>
          <w:lang w:val="en-US"/>
        </w:rPr>
        <w:t xml:space="preserve"> </w:t>
      </w:r>
      <w:r w:rsidRPr="00B650C2">
        <w:rPr>
          <w:sz w:val="21"/>
          <w:szCs w:val="21"/>
          <w:lang w:val="en-US"/>
        </w:rPr>
        <w:t>and</w:t>
      </w:r>
      <w:r w:rsidR="00DB6058" w:rsidRPr="00B650C2">
        <w:rPr>
          <w:sz w:val="21"/>
          <w:szCs w:val="21"/>
          <w:lang w:val="en-US"/>
        </w:rPr>
        <w:t xml:space="preserve"> </w:t>
      </w:r>
      <w:r w:rsidR="00011C05" w:rsidRPr="00B650C2">
        <w:rPr>
          <w:sz w:val="21"/>
          <w:szCs w:val="21"/>
          <w:lang w:val="en-US"/>
        </w:rPr>
        <w:t>reprocessing</w:t>
      </w:r>
      <w:r w:rsidR="00DB6058" w:rsidRPr="00B650C2">
        <w:rPr>
          <w:sz w:val="21"/>
          <w:szCs w:val="21"/>
          <w:lang w:val="en-US"/>
        </w:rPr>
        <w:t xml:space="preserve"> </w:t>
      </w:r>
      <w:r w:rsidR="00011C05" w:rsidRPr="00B650C2">
        <w:rPr>
          <w:sz w:val="21"/>
          <w:szCs w:val="21"/>
          <w:lang w:val="en-US"/>
        </w:rPr>
        <w:t>SNF</w:t>
      </w:r>
      <w:r w:rsidR="00DB6058" w:rsidRPr="00B650C2">
        <w:rPr>
          <w:sz w:val="21"/>
          <w:szCs w:val="21"/>
          <w:lang w:val="en-US"/>
        </w:rPr>
        <w:t xml:space="preserve"> </w:t>
      </w:r>
      <w:r w:rsidR="00011C05" w:rsidRPr="00B650C2">
        <w:rPr>
          <w:sz w:val="21"/>
          <w:szCs w:val="21"/>
          <w:lang w:val="en-US"/>
        </w:rPr>
        <w:t xml:space="preserve">with disposal of the resulting volumes </w:t>
      </w:r>
      <w:r w:rsidR="00BB0B02" w:rsidRPr="00B650C2">
        <w:rPr>
          <w:sz w:val="21"/>
          <w:szCs w:val="21"/>
          <w:lang w:val="en-US"/>
        </w:rPr>
        <w:t>radioactive waste</w:t>
      </w:r>
      <w:r w:rsidR="00DB6058" w:rsidRPr="00B650C2">
        <w:rPr>
          <w:sz w:val="21"/>
          <w:szCs w:val="21"/>
          <w:lang w:val="en-US"/>
        </w:rPr>
        <w:t>.</w:t>
      </w:r>
    </w:p>
    <w:p w14:paraId="03F930AD" w14:textId="4715D3B1" w:rsidR="000E1251" w:rsidRPr="001935A8" w:rsidRDefault="001935A8" w:rsidP="00F071E7">
      <w:pPr>
        <w:pStyle w:val="2"/>
        <w:numPr>
          <w:ilvl w:val="1"/>
          <w:numId w:val="10"/>
        </w:numPr>
        <w:rPr>
          <w:lang w:val="en-US"/>
        </w:rPr>
      </w:pPr>
      <w:r>
        <w:rPr>
          <w:lang w:val="en-US"/>
        </w:rPr>
        <w:t>RESULTS</w:t>
      </w:r>
      <w:r w:rsidR="00F071E7" w:rsidRPr="001935A8">
        <w:rPr>
          <w:lang w:val="en-US"/>
        </w:rPr>
        <w:t xml:space="preserve"> LCOE CALCULATIONS</w:t>
      </w:r>
      <w:r w:rsidRPr="001935A8">
        <w:rPr>
          <w:lang w:val="en-US"/>
        </w:rPr>
        <w:t xml:space="preserve"> </w:t>
      </w:r>
      <w:r>
        <w:rPr>
          <w:lang w:val="en-US"/>
        </w:rPr>
        <w:t>OF</w:t>
      </w:r>
      <w:r w:rsidRPr="001935A8">
        <w:rPr>
          <w:lang w:val="en-US"/>
        </w:rPr>
        <w:t xml:space="preserve"> energy technologies</w:t>
      </w:r>
    </w:p>
    <w:p w14:paraId="2E4DAB5E" w14:textId="71B88FE6" w:rsidR="002409D7" w:rsidRPr="0090270F" w:rsidRDefault="00011C05" w:rsidP="0090270F">
      <w:pPr>
        <w:pStyle w:val="a1"/>
        <w:rPr>
          <w:color w:val="FF0000"/>
          <w:sz w:val="21"/>
          <w:szCs w:val="21"/>
          <w:lang w:val="en-US"/>
        </w:rPr>
      </w:pPr>
      <w:r w:rsidRPr="00B650C2">
        <w:rPr>
          <w:sz w:val="21"/>
          <w:szCs w:val="21"/>
          <w:lang w:val="en-US"/>
        </w:rPr>
        <w:t xml:space="preserve">On Fig. 1 shows results of calculating LCOE considered types of generation for conditions of Russia </w:t>
      </w:r>
      <w:r w:rsidR="001B093B" w:rsidRPr="00B650C2">
        <w:rPr>
          <w:sz w:val="21"/>
          <w:szCs w:val="21"/>
          <w:lang w:val="en-US"/>
        </w:rPr>
        <w:t>(</w:t>
      </w:r>
      <w:r w:rsidRPr="00B650C2">
        <w:rPr>
          <w:bCs/>
          <w:sz w:val="21"/>
          <w:szCs w:val="21"/>
          <w:lang w:val="en-US"/>
        </w:rPr>
        <w:t>forecast for 2035-2040</w:t>
      </w:r>
      <w:r w:rsidR="001F3FFD" w:rsidRPr="00B650C2">
        <w:rPr>
          <w:sz w:val="21"/>
          <w:szCs w:val="21"/>
          <w:lang w:val="en-US"/>
        </w:rPr>
        <w:t>)</w:t>
      </w:r>
      <w:r w:rsidRPr="00B650C2">
        <w:rPr>
          <w:sz w:val="21"/>
          <w:szCs w:val="21"/>
          <w:lang w:val="en-US"/>
        </w:rPr>
        <w:t>, two discount rates</w:t>
      </w:r>
      <w:r w:rsidR="00524AB1" w:rsidRPr="00B650C2">
        <w:rPr>
          <w:sz w:val="21"/>
          <w:szCs w:val="21"/>
          <w:lang w:val="en-US"/>
        </w:rPr>
        <w:t xml:space="preserve"> - 7% </w:t>
      </w:r>
      <w:r w:rsidRPr="00B650C2">
        <w:rPr>
          <w:sz w:val="21"/>
          <w:szCs w:val="21"/>
          <w:lang w:val="en-US"/>
        </w:rPr>
        <w:t>and</w:t>
      </w:r>
      <w:r w:rsidR="00524AB1" w:rsidRPr="00B650C2">
        <w:rPr>
          <w:sz w:val="21"/>
          <w:szCs w:val="21"/>
          <w:lang w:val="en-US"/>
        </w:rPr>
        <w:t xml:space="preserve"> 10</w:t>
      </w:r>
      <w:r w:rsidR="00524AB1" w:rsidRPr="008475FC">
        <w:rPr>
          <w:sz w:val="21"/>
          <w:szCs w:val="21"/>
          <w:lang w:val="en-US"/>
        </w:rPr>
        <w:t>%</w:t>
      </w:r>
      <w:r w:rsidR="001B093B" w:rsidRPr="008475FC">
        <w:rPr>
          <w:sz w:val="21"/>
          <w:szCs w:val="21"/>
          <w:lang w:val="en-US"/>
        </w:rPr>
        <w:t>.</w:t>
      </w:r>
      <w:r w:rsidR="0090270F" w:rsidRPr="008475FC">
        <w:rPr>
          <w:sz w:val="21"/>
          <w:szCs w:val="21"/>
          <w:lang w:val="en-US"/>
        </w:rPr>
        <w:t xml:space="preserve"> The calculations are carried out on the basis of the relevant methodology guidelines of the State Corporation “Rosatom”, which take into account macroeconomic indicators in relation to conditions of Russia.</w:t>
      </w:r>
    </w:p>
    <w:p w14:paraId="0F03C0F8" w14:textId="77777777" w:rsidR="00C55664" w:rsidRPr="00011C05" w:rsidRDefault="00C55664" w:rsidP="002409D7">
      <w:pPr>
        <w:pStyle w:val="a1"/>
        <w:rPr>
          <w:lang w:val="en-US"/>
        </w:rPr>
      </w:pPr>
    </w:p>
    <w:tbl>
      <w:tblPr>
        <w:tblStyle w:val="af"/>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2"/>
      </w:tblGrid>
      <w:tr w:rsidR="001B093B" w:rsidRPr="00C55664" w14:paraId="6DD9A6CE" w14:textId="77777777" w:rsidTr="00DE3D68">
        <w:trPr>
          <w:jc w:val="center"/>
        </w:trPr>
        <w:tc>
          <w:tcPr>
            <w:tcW w:w="4621" w:type="dxa"/>
          </w:tcPr>
          <w:p w14:paraId="4217D38E" w14:textId="6A19D30C" w:rsidR="001B093B" w:rsidRDefault="00527909" w:rsidP="00DE3D68">
            <w:pPr>
              <w:pStyle w:val="a1"/>
              <w:ind w:firstLine="0"/>
              <w:jc w:val="center"/>
              <w:rPr>
                <w:lang w:val="ru-RU"/>
              </w:rPr>
            </w:pPr>
            <w:r>
              <w:rPr>
                <w:noProof/>
                <w:lang w:val="ru-RU" w:eastAsia="ru-RU"/>
              </w:rPr>
              <w:drawing>
                <wp:inline distT="0" distB="0" distL="0" distR="0" wp14:anchorId="3EA114E3" wp14:editId="4E89D946">
                  <wp:extent cx="2941200" cy="208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200" cy="2084400"/>
                          </a:xfrm>
                          <a:prstGeom prst="rect">
                            <a:avLst/>
                          </a:prstGeom>
                          <a:noFill/>
                        </pic:spPr>
                      </pic:pic>
                    </a:graphicData>
                  </a:graphic>
                </wp:inline>
              </w:drawing>
            </w:r>
          </w:p>
        </w:tc>
        <w:tc>
          <w:tcPr>
            <w:tcW w:w="4622" w:type="dxa"/>
          </w:tcPr>
          <w:p w14:paraId="271BBACA" w14:textId="38557EB3" w:rsidR="001B093B" w:rsidRDefault="00527909" w:rsidP="00DE3D68">
            <w:pPr>
              <w:pStyle w:val="a1"/>
              <w:ind w:firstLine="0"/>
              <w:jc w:val="center"/>
              <w:rPr>
                <w:lang w:val="ru-RU"/>
              </w:rPr>
            </w:pPr>
            <w:r>
              <w:rPr>
                <w:noProof/>
                <w:lang w:val="ru-RU" w:eastAsia="ru-RU"/>
              </w:rPr>
              <w:drawing>
                <wp:inline distT="0" distB="0" distL="0" distR="0" wp14:anchorId="12265CF0" wp14:editId="1961417A">
                  <wp:extent cx="2941200" cy="208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200" cy="2084400"/>
                          </a:xfrm>
                          <a:prstGeom prst="rect">
                            <a:avLst/>
                          </a:prstGeom>
                          <a:noFill/>
                        </pic:spPr>
                      </pic:pic>
                    </a:graphicData>
                  </a:graphic>
                </wp:inline>
              </w:drawing>
            </w:r>
          </w:p>
        </w:tc>
      </w:tr>
    </w:tbl>
    <w:p w14:paraId="51E11B5B" w14:textId="5AF2BCC5" w:rsidR="001B093B" w:rsidRPr="001935A8" w:rsidRDefault="00D176EB" w:rsidP="001B093B">
      <w:pPr>
        <w:pStyle w:val="a1"/>
        <w:ind w:firstLine="0"/>
        <w:jc w:val="center"/>
        <w:rPr>
          <w:bCs/>
          <w:i/>
          <w:sz w:val="18"/>
          <w:szCs w:val="18"/>
          <w:lang w:val="en-US"/>
        </w:rPr>
      </w:pPr>
      <w:r>
        <w:rPr>
          <w:i/>
          <w:sz w:val="18"/>
          <w:szCs w:val="18"/>
          <w:lang w:val="en-US"/>
        </w:rPr>
        <w:t>FIG</w:t>
      </w:r>
      <w:r w:rsidR="001B093B" w:rsidRPr="001935A8">
        <w:rPr>
          <w:i/>
          <w:sz w:val="18"/>
          <w:szCs w:val="18"/>
          <w:lang w:val="en-US"/>
        </w:rPr>
        <w:t xml:space="preserve">. </w:t>
      </w:r>
      <w:r w:rsidR="00FD0FB8" w:rsidRPr="001935A8">
        <w:rPr>
          <w:i/>
          <w:sz w:val="18"/>
          <w:szCs w:val="18"/>
          <w:lang w:val="en-US"/>
        </w:rPr>
        <w:t>2</w:t>
      </w:r>
      <w:r w:rsidR="001B093B" w:rsidRPr="001935A8">
        <w:rPr>
          <w:i/>
          <w:sz w:val="18"/>
          <w:szCs w:val="18"/>
          <w:lang w:val="en-US"/>
        </w:rPr>
        <w:t xml:space="preserve"> - </w:t>
      </w:r>
      <w:r w:rsidR="001B093B">
        <w:rPr>
          <w:bCs/>
          <w:i/>
          <w:sz w:val="18"/>
          <w:szCs w:val="18"/>
          <w:lang w:val="en-US"/>
        </w:rPr>
        <w:t>LCOE</w:t>
      </w:r>
      <w:r w:rsidR="001B093B" w:rsidRPr="001935A8">
        <w:rPr>
          <w:bCs/>
          <w:i/>
          <w:sz w:val="18"/>
          <w:szCs w:val="18"/>
          <w:lang w:val="en-US"/>
        </w:rPr>
        <w:t xml:space="preserve"> </w:t>
      </w:r>
      <w:r w:rsidR="001935A8" w:rsidRPr="001935A8">
        <w:rPr>
          <w:bCs/>
          <w:i/>
          <w:sz w:val="18"/>
          <w:szCs w:val="18"/>
          <w:lang w:val="en-US"/>
        </w:rPr>
        <w:t>energy technologies in Russia</w:t>
      </w:r>
      <w:r w:rsidR="001B093B" w:rsidRPr="001935A8">
        <w:rPr>
          <w:bCs/>
          <w:i/>
          <w:sz w:val="18"/>
          <w:szCs w:val="18"/>
          <w:lang w:val="en-US"/>
        </w:rPr>
        <w:t xml:space="preserve"> (</w:t>
      </w:r>
      <w:r w:rsidR="001935A8" w:rsidRPr="001935A8">
        <w:rPr>
          <w:bCs/>
          <w:i/>
          <w:sz w:val="18"/>
          <w:szCs w:val="18"/>
          <w:lang w:val="en-US"/>
        </w:rPr>
        <w:t>forecast for 2035-2040</w:t>
      </w:r>
      <w:r w:rsidR="001B093B" w:rsidRPr="001935A8">
        <w:rPr>
          <w:bCs/>
          <w:i/>
          <w:sz w:val="18"/>
          <w:szCs w:val="18"/>
          <w:lang w:val="en-US"/>
        </w:rPr>
        <w:t xml:space="preserve">), </w:t>
      </w:r>
      <w:r w:rsidRPr="001935A8">
        <w:rPr>
          <w:bCs/>
          <w:i/>
          <w:sz w:val="18"/>
          <w:szCs w:val="18"/>
          <w:lang w:val="en-US"/>
        </w:rPr>
        <w:t>relative units</w:t>
      </w:r>
    </w:p>
    <w:p w14:paraId="5849AA59" w14:textId="77777777" w:rsidR="00040A85" w:rsidRPr="001935A8" w:rsidRDefault="00040A85" w:rsidP="00040A85">
      <w:pPr>
        <w:pStyle w:val="a1"/>
        <w:rPr>
          <w:lang w:val="en-US"/>
        </w:rPr>
      </w:pPr>
    </w:p>
    <w:p w14:paraId="49F06750" w14:textId="0C470C8B" w:rsidR="00F24F3E" w:rsidRPr="00011C05" w:rsidRDefault="00011C05" w:rsidP="00F24F3E">
      <w:pPr>
        <w:pStyle w:val="a1"/>
        <w:rPr>
          <w:lang w:val="en-US"/>
        </w:rPr>
      </w:pPr>
      <w:r w:rsidRPr="00011C05">
        <w:rPr>
          <w:lang w:val="en-US"/>
        </w:rPr>
        <w:t xml:space="preserve">The main conclusions based on results of calculating LCOE </w:t>
      </w:r>
      <w:r w:rsidRPr="00011C05">
        <w:rPr>
          <w:bCs/>
          <w:lang w:val="en-US"/>
        </w:rPr>
        <w:t xml:space="preserve">for </w:t>
      </w:r>
      <w:r>
        <w:rPr>
          <w:bCs/>
          <w:lang w:val="en-US"/>
        </w:rPr>
        <w:t>the horizon</w:t>
      </w:r>
      <w:r w:rsidRPr="00011C05">
        <w:rPr>
          <w:bCs/>
          <w:lang w:val="en-US"/>
        </w:rPr>
        <w:t xml:space="preserve"> 2035-2040</w:t>
      </w:r>
      <w:r w:rsidR="00F24F3E" w:rsidRPr="00011C05">
        <w:rPr>
          <w:lang w:val="en-US"/>
        </w:rPr>
        <w:t>:</w:t>
      </w:r>
    </w:p>
    <w:p w14:paraId="26B83637" w14:textId="77777777" w:rsidR="00F24F3E" w:rsidRPr="00011C05" w:rsidRDefault="00F24F3E" w:rsidP="00F24F3E">
      <w:pPr>
        <w:pStyle w:val="a1"/>
        <w:rPr>
          <w:lang w:val="en-US"/>
        </w:rPr>
      </w:pPr>
    </w:p>
    <w:p w14:paraId="0404A0C5" w14:textId="6DF849B9" w:rsidR="00F24F3E" w:rsidRPr="00F40B54" w:rsidRDefault="00F40B54" w:rsidP="00F40B54">
      <w:pPr>
        <w:pStyle w:val="ListEmdash"/>
        <w:numPr>
          <w:ilvl w:val="0"/>
          <w:numId w:val="20"/>
        </w:numPr>
        <w:ind w:left="709"/>
        <w:rPr>
          <w:lang w:val="en-US"/>
        </w:rPr>
      </w:pPr>
      <w:r>
        <w:rPr>
          <w:lang w:val="en-US"/>
        </w:rPr>
        <w:t>A</w:t>
      </w:r>
      <w:r w:rsidRPr="00F40B54">
        <w:rPr>
          <w:lang w:val="en-US"/>
        </w:rPr>
        <w:t xml:space="preserve">chievement of the target indicators </w:t>
      </w:r>
      <w:r>
        <w:rPr>
          <w:lang w:val="en-US"/>
        </w:rPr>
        <w:t>Nuclear</w:t>
      </w:r>
      <w:r w:rsidRPr="00F40B54">
        <w:rPr>
          <w:lang w:val="en-US"/>
        </w:rPr>
        <w:t xml:space="preserve"> Strategy leads to competitiveness of NPP</w:t>
      </w:r>
      <w:r>
        <w:rPr>
          <w:lang w:val="en-US"/>
        </w:rPr>
        <w:t>s</w:t>
      </w:r>
      <w:r w:rsidRPr="00F40B54">
        <w:rPr>
          <w:lang w:val="en-US"/>
        </w:rPr>
        <w:t xml:space="preserve"> with </w:t>
      </w:r>
      <w:r>
        <w:rPr>
          <w:lang w:val="en-US"/>
        </w:rPr>
        <w:t>TR</w:t>
      </w:r>
      <w:r w:rsidRPr="00F40B54">
        <w:rPr>
          <w:lang w:val="en-US"/>
        </w:rPr>
        <w:t xml:space="preserve"> compared to CCGT </w:t>
      </w:r>
      <w:r>
        <w:rPr>
          <w:lang w:val="en-US"/>
        </w:rPr>
        <w:t>for</w:t>
      </w:r>
      <w:r w:rsidRPr="00F40B54">
        <w:rPr>
          <w:lang w:val="en-US"/>
        </w:rPr>
        <w:t xml:space="preserve"> discount rate below 10%</w:t>
      </w:r>
      <w:r w:rsidR="00F24F3E" w:rsidRPr="00F40B54">
        <w:rPr>
          <w:lang w:val="en-US"/>
        </w:rPr>
        <w:t xml:space="preserve">; </w:t>
      </w:r>
    </w:p>
    <w:p w14:paraId="6E8D9DEC" w14:textId="1378EAB8" w:rsidR="00F24F3E" w:rsidRPr="00F40B54" w:rsidRDefault="00F40B54" w:rsidP="00F40B54">
      <w:pPr>
        <w:pStyle w:val="ListEmdash"/>
        <w:numPr>
          <w:ilvl w:val="0"/>
          <w:numId w:val="20"/>
        </w:numPr>
        <w:ind w:left="709"/>
        <w:rPr>
          <w:lang w:val="en-US"/>
        </w:rPr>
      </w:pPr>
      <w:r>
        <w:rPr>
          <w:lang w:val="en-US"/>
        </w:rPr>
        <w:t>U</w:t>
      </w:r>
      <w:r w:rsidRPr="00F40B54">
        <w:rPr>
          <w:lang w:val="en-US"/>
        </w:rPr>
        <w:t xml:space="preserve">pon reaching the set requirements, NPPs with </w:t>
      </w:r>
      <w:r>
        <w:rPr>
          <w:lang w:val="en-US"/>
        </w:rPr>
        <w:t>FR</w:t>
      </w:r>
      <w:r w:rsidRPr="00F40B54">
        <w:rPr>
          <w:lang w:val="en-US"/>
        </w:rPr>
        <w:t xml:space="preserve"> will be competitive in comparison with CCGT for all considered discount rates</w:t>
      </w:r>
      <w:r w:rsidR="00F24F3E" w:rsidRPr="00F40B54">
        <w:rPr>
          <w:lang w:val="en-US"/>
        </w:rPr>
        <w:t>.</w:t>
      </w:r>
    </w:p>
    <w:p w14:paraId="433FE053" w14:textId="46703EF3" w:rsidR="00EE0041" w:rsidRPr="001935A8" w:rsidRDefault="00F071E7" w:rsidP="001935A8">
      <w:pPr>
        <w:pStyle w:val="2"/>
        <w:numPr>
          <w:ilvl w:val="1"/>
          <w:numId w:val="10"/>
        </w:numPr>
        <w:rPr>
          <w:lang w:val="en-US"/>
        </w:rPr>
      </w:pPr>
      <w:r w:rsidRPr="001935A8">
        <w:rPr>
          <w:lang w:val="en-US"/>
        </w:rPr>
        <w:t>POTENTIAL COMPETITIVENESS OF NP</w:t>
      </w:r>
      <w:r w:rsidR="0046473A">
        <w:rPr>
          <w:lang w:val="en-US"/>
        </w:rPr>
        <w:t>P</w:t>
      </w:r>
      <w:r w:rsidRPr="001935A8">
        <w:rPr>
          <w:lang w:val="en-US"/>
        </w:rPr>
        <w:t xml:space="preserve">S </w:t>
      </w:r>
      <w:r w:rsidR="001935A8" w:rsidRPr="001935A8">
        <w:rPr>
          <w:lang w:val="en-US"/>
        </w:rPr>
        <w:t>into account limitations of hydrocarbon energy</w:t>
      </w:r>
    </w:p>
    <w:p w14:paraId="433FE054" w14:textId="286C0D53" w:rsidR="00EE0041" w:rsidRPr="003B6529" w:rsidRDefault="00F226B1" w:rsidP="00537496">
      <w:pPr>
        <w:pStyle w:val="a1"/>
        <w:rPr>
          <w:lang w:val="en-US"/>
        </w:rPr>
      </w:pPr>
      <w:r w:rsidRPr="00F226B1">
        <w:rPr>
          <w:lang w:val="en-US"/>
        </w:rPr>
        <w:t>The competitiveness of power units with CCGT significantly depends on the dynamics of prices for fuel (natural gas) during operation</w:t>
      </w:r>
      <w:r w:rsidR="008B6BB9" w:rsidRPr="00F226B1">
        <w:rPr>
          <w:lang w:val="en-US"/>
        </w:rPr>
        <w:t>.</w:t>
      </w:r>
      <w:r w:rsidR="0057736C" w:rsidRPr="00F226B1">
        <w:rPr>
          <w:lang w:val="en-US"/>
        </w:rPr>
        <w:t xml:space="preserve"> </w:t>
      </w:r>
      <w:r w:rsidR="003B6529" w:rsidRPr="003B6529">
        <w:rPr>
          <w:lang w:val="en-US"/>
        </w:rPr>
        <w:t>In addition, in many countries of the world greenhouse gas emission charges have been introduced or are planned to be introduced</w:t>
      </w:r>
      <w:r w:rsidR="00F97391" w:rsidRPr="003B6529">
        <w:rPr>
          <w:lang w:val="en-US"/>
        </w:rPr>
        <w:t>.</w:t>
      </w:r>
    </w:p>
    <w:p w14:paraId="0A915187" w14:textId="5D796D88" w:rsidR="00FD0FB8" w:rsidRPr="003B6529" w:rsidRDefault="003B6529" w:rsidP="00537496">
      <w:pPr>
        <w:pStyle w:val="a1"/>
        <w:rPr>
          <w:lang w:val="en-US"/>
        </w:rPr>
      </w:pPr>
      <w:r w:rsidRPr="003B6529">
        <w:rPr>
          <w:lang w:val="en-US"/>
        </w:rPr>
        <w:t>In this regard, additional calculations of LCOE were carried out for conditions of Russia, taking into account the following factors</w:t>
      </w:r>
      <w:r w:rsidR="00FD0FB8" w:rsidRPr="003B6529">
        <w:rPr>
          <w:lang w:val="en-US"/>
        </w:rPr>
        <w:t>:</w:t>
      </w:r>
    </w:p>
    <w:p w14:paraId="58BD9B14" w14:textId="77777777" w:rsidR="00FD0FB8" w:rsidRPr="003B6529" w:rsidRDefault="00FD0FB8" w:rsidP="00537496">
      <w:pPr>
        <w:pStyle w:val="a1"/>
        <w:rPr>
          <w:lang w:val="en-US"/>
        </w:rPr>
      </w:pPr>
    </w:p>
    <w:p w14:paraId="16900E68" w14:textId="4FAC4856" w:rsidR="00FD0FB8" w:rsidRPr="003B6529" w:rsidRDefault="003B6529" w:rsidP="003B6529">
      <w:pPr>
        <w:pStyle w:val="ListEmdash"/>
        <w:numPr>
          <w:ilvl w:val="0"/>
          <w:numId w:val="20"/>
        </w:numPr>
        <w:ind w:left="709"/>
        <w:rPr>
          <w:lang w:val="en-US"/>
        </w:rPr>
      </w:pPr>
      <w:r w:rsidRPr="003B6529">
        <w:rPr>
          <w:lang w:val="en-US"/>
        </w:rPr>
        <w:t xml:space="preserve">Introduction of </w:t>
      </w:r>
      <w:r>
        <w:rPr>
          <w:lang w:val="en-US"/>
        </w:rPr>
        <w:t>emission fee at the level of $20/</w:t>
      </w:r>
      <w:r w:rsidRPr="003B6529">
        <w:rPr>
          <w:lang w:val="en-US"/>
        </w:rPr>
        <w:t xml:space="preserve">t </w:t>
      </w:r>
      <w:r w:rsidRPr="003B6529">
        <w:rPr>
          <w:lang w:val="ru-RU"/>
        </w:rPr>
        <w:t>СО</w:t>
      </w:r>
      <w:r w:rsidRPr="003B6529">
        <w:rPr>
          <w:vertAlign w:val="subscript"/>
          <w:lang w:val="en-US"/>
        </w:rPr>
        <w:t>2</w:t>
      </w:r>
      <w:r w:rsidRPr="003B6529">
        <w:rPr>
          <w:lang w:val="en-US"/>
        </w:rPr>
        <w:t xml:space="preserve"> (minimum rate in European countries</w:t>
      </w:r>
      <w:r w:rsidR="00EA6A1E" w:rsidRPr="00EA6A1E">
        <w:rPr>
          <w:lang w:val="en-US"/>
        </w:rPr>
        <w:t>) [3]</w:t>
      </w:r>
      <w:r w:rsidR="00FD0FB8" w:rsidRPr="003B6529">
        <w:rPr>
          <w:lang w:val="en-US"/>
        </w:rPr>
        <w:t>;</w:t>
      </w:r>
    </w:p>
    <w:p w14:paraId="6E27494C" w14:textId="2AEE824B" w:rsidR="00FD0FB8" w:rsidRPr="003B6529" w:rsidRDefault="003B6529" w:rsidP="003B6529">
      <w:pPr>
        <w:pStyle w:val="ListEmdash"/>
        <w:numPr>
          <w:ilvl w:val="0"/>
          <w:numId w:val="20"/>
        </w:numPr>
        <w:ind w:left="709"/>
        <w:rPr>
          <w:lang w:val="en-US"/>
        </w:rPr>
      </w:pPr>
      <w:r w:rsidRPr="003B6529">
        <w:rPr>
          <w:lang w:val="en-US"/>
        </w:rPr>
        <w:t xml:space="preserve">Harmonization of export and domestic gas prices, transition to a competitive pricing model </w:t>
      </w:r>
      <w:r w:rsidR="00EA6A1E" w:rsidRPr="00EA6A1E">
        <w:rPr>
          <w:lang w:val="en-US"/>
        </w:rPr>
        <w:t>[3]</w:t>
      </w:r>
      <w:r w:rsidR="00FD0FB8" w:rsidRPr="003B6529">
        <w:rPr>
          <w:lang w:val="en-US"/>
        </w:rPr>
        <w:t>.</w:t>
      </w:r>
    </w:p>
    <w:p w14:paraId="610DC401" w14:textId="77777777" w:rsidR="00FD0FB8" w:rsidRPr="003B6529" w:rsidRDefault="00FD0FB8" w:rsidP="003B6529">
      <w:pPr>
        <w:pStyle w:val="ListEmdash"/>
        <w:ind w:left="709"/>
        <w:rPr>
          <w:lang w:val="en-US"/>
        </w:rPr>
      </w:pPr>
    </w:p>
    <w:p w14:paraId="2E603AA6" w14:textId="1280EBC6" w:rsidR="00FD0FB8" w:rsidRPr="00EB74DB" w:rsidRDefault="00EB74DB" w:rsidP="00FD0FB8">
      <w:pPr>
        <w:pStyle w:val="ListEmdash"/>
        <w:ind w:firstLine="567"/>
        <w:rPr>
          <w:lang w:val="en-US"/>
        </w:rPr>
      </w:pPr>
      <w:r>
        <w:rPr>
          <w:lang w:val="en-US"/>
        </w:rPr>
        <w:t>O</w:t>
      </w:r>
      <w:r w:rsidRPr="00EB74DB">
        <w:rPr>
          <w:lang w:val="en-US"/>
        </w:rPr>
        <w:t xml:space="preserve">n Fig. 2 shows results of calculating LCOE for power units with CCGT and </w:t>
      </w:r>
      <w:r>
        <w:rPr>
          <w:lang w:val="en-US"/>
        </w:rPr>
        <w:t>perspective</w:t>
      </w:r>
      <w:r w:rsidRPr="00EB74DB">
        <w:rPr>
          <w:lang w:val="en-US"/>
        </w:rPr>
        <w:t xml:space="preserve"> NPPs with </w:t>
      </w:r>
      <w:r>
        <w:rPr>
          <w:lang w:val="en-US"/>
        </w:rPr>
        <w:t>TR</w:t>
      </w:r>
      <w:r w:rsidRPr="00EB74DB">
        <w:rPr>
          <w:lang w:val="en-US"/>
        </w:rPr>
        <w:t xml:space="preserve"> and </w:t>
      </w:r>
      <w:r>
        <w:rPr>
          <w:lang w:val="en-US"/>
        </w:rPr>
        <w:t>FR</w:t>
      </w:r>
      <w:r w:rsidRPr="00EB74DB">
        <w:rPr>
          <w:lang w:val="en-US"/>
        </w:rPr>
        <w:t xml:space="preserve"> for conditions of Russia </w:t>
      </w:r>
      <w:r w:rsidR="00FD0FB8" w:rsidRPr="00EB74DB">
        <w:rPr>
          <w:lang w:val="en-US"/>
        </w:rPr>
        <w:t>(</w:t>
      </w:r>
      <w:r w:rsidRPr="00011C05">
        <w:rPr>
          <w:bCs/>
          <w:lang w:val="en-US"/>
        </w:rPr>
        <w:t>forecast</w:t>
      </w:r>
      <w:r w:rsidRPr="00EB74DB">
        <w:rPr>
          <w:bCs/>
          <w:lang w:val="en-US"/>
        </w:rPr>
        <w:t xml:space="preserve"> </w:t>
      </w:r>
      <w:r w:rsidRPr="00011C05">
        <w:rPr>
          <w:bCs/>
          <w:lang w:val="en-US"/>
        </w:rPr>
        <w:t>for</w:t>
      </w:r>
      <w:r w:rsidRPr="00EB74DB">
        <w:rPr>
          <w:bCs/>
          <w:lang w:val="en-US"/>
        </w:rPr>
        <w:t xml:space="preserve"> 2035-2040</w:t>
      </w:r>
      <w:r w:rsidR="001F3FFD" w:rsidRPr="00EB74DB">
        <w:rPr>
          <w:lang w:val="en-US"/>
        </w:rPr>
        <w:t xml:space="preserve">), </w:t>
      </w:r>
      <w:r w:rsidRPr="00EB74DB">
        <w:rPr>
          <w:lang w:val="en-US"/>
        </w:rPr>
        <w:t>carried out taking into account the limitations of gas generation</w:t>
      </w:r>
      <w:r w:rsidR="00FD0FB8" w:rsidRPr="00EB74DB">
        <w:rPr>
          <w:lang w:val="en-US"/>
        </w:rPr>
        <w:t>.</w:t>
      </w:r>
    </w:p>
    <w:p w14:paraId="76B1C076" w14:textId="77777777" w:rsidR="00FD0FB8" w:rsidRPr="00EB74DB" w:rsidRDefault="00FD0FB8" w:rsidP="00FD0FB8">
      <w:pPr>
        <w:pStyle w:val="ListEmdash"/>
        <w:rPr>
          <w:lang w:val="en-US"/>
        </w:rPr>
      </w:pPr>
    </w:p>
    <w:tbl>
      <w:tblPr>
        <w:tblStyle w:val="af"/>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2"/>
      </w:tblGrid>
      <w:tr w:rsidR="00FD0FB8" w14:paraId="6337E185" w14:textId="77777777" w:rsidTr="007408F0">
        <w:trPr>
          <w:jc w:val="center"/>
        </w:trPr>
        <w:tc>
          <w:tcPr>
            <w:tcW w:w="4621" w:type="dxa"/>
          </w:tcPr>
          <w:p w14:paraId="49F535C4" w14:textId="21F30C9D" w:rsidR="00FD0FB8" w:rsidRDefault="002934ED" w:rsidP="007408F0">
            <w:pPr>
              <w:pStyle w:val="a1"/>
              <w:ind w:firstLine="0"/>
              <w:jc w:val="center"/>
              <w:rPr>
                <w:lang w:val="ru-RU"/>
              </w:rPr>
            </w:pPr>
            <w:r>
              <w:rPr>
                <w:noProof/>
                <w:lang w:val="ru-RU" w:eastAsia="ru-RU"/>
              </w:rPr>
              <w:drawing>
                <wp:inline distT="0" distB="0" distL="0" distR="0" wp14:anchorId="756329DA" wp14:editId="4319A024">
                  <wp:extent cx="2685600" cy="2300400"/>
                  <wp:effectExtent l="0" t="0" r="63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5600" cy="2300400"/>
                          </a:xfrm>
                          <a:prstGeom prst="rect">
                            <a:avLst/>
                          </a:prstGeom>
                          <a:noFill/>
                        </pic:spPr>
                      </pic:pic>
                    </a:graphicData>
                  </a:graphic>
                </wp:inline>
              </w:drawing>
            </w:r>
          </w:p>
        </w:tc>
        <w:tc>
          <w:tcPr>
            <w:tcW w:w="4622" w:type="dxa"/>
          </w:tcPr>
          <w:p w14:paraId="5F1C7EC3" w14:textId="34DC973F" w:rsidR="00FD0FB8" w:rsidRDefault="002934ED" w:rsidP="007408F0">
            <w:pPr>
              <w:pStyle w:val="a1"/>
              <w:ind w:firstLine="0"/>
              <w:jc w:val="center"/>
              <w:rPr>
                <w:lang w:val="ru-RU"/>
              </w:rPr>
            </w:pPr>
            <w:r>
              <w:rPr>
                <w:noProof/>
                <w:lang w:val="ru-RU" w:eastAsia="ru-RU"/>
              </w:rPr>
              <w:drawing>
                <wp:inline distT="0" distB="0" distL="0" distR="0" wp14:anchorId="515731A5" wp14:editId="49214F1B">
                  <wp:extent cx="2671200" cy="230400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1200" cy="2304000"/>
                          </a:xfrm>
                          <a:prstGeom prst="rect">
                            <a:avLst/>
                          </a:prstGeom>
                          <a:noFill/>
                        </pic:spPr>
                      </pic:pic>
                    </a:graphicData>
                  </a:graphic>
                </wp:inline>
              </w:drawing>
            </w:r>
          </w:p>
        </w:tc>
      </w:tr>
    </w:tbl>
    <w:p w14:paraId="1C31676E" w14:textId="574A2F7B" w:rsidR="00FD0FB8" w:rsidRPr="001935A8" w:rsidRDefault="00D176EB" w:rsidP="00FD0FB8">
      <w:pPr>
        <w:pStyle w:val="ListEmdash"/>
        <w:jc w:val="center"/>
        <w:rPr>
          <w:i/>
          <w:lang w:val="en-US"/>
        </w:rPr>
      </w:pPr>
      <w:r w:rsidRPr="001935A8">
        <w:rPr>
          <w:i/>
          <w:sz w:val="18"/>
          <w:szCs w:val="18"/>
          <w:lang w:val="en-US"/>
        </w:rPr>
        <w:t>FIG</w:t>
      </w:r>
      <w:r w:rsidR="00FD0FB8" w:rsidRPr="001935A8">
        <w:rPr>
          <w:i/>
          <w:sz w:val="18"/>
          <w:szCs w:val="18"/>
          <w:lang w:val="en-US"/>
        </w:rPr>
        <w:t xml:space="preserve">. </w:t>
      </w:r>
      <w:r w:rsidR="00C55664" w:rsidRPr="001935A8">
        <w:rPr>
          <w:i/>
          <w:sz w:val="18"/>
          <w:szCs w:val="18"/>
          <w:lang w:val="en-US"/>
        </w:rPr>
        <w:t>2</w:t>
      </w:r>
      <w:r w:rsidR="00FD0FB8" w:rsidRPr="001935A8">
        <w:rPr>
          <w:i/>
          <w:sz w:val="18"/>
          <w:szCs w:val="18"/>
          <w:lang w:val="en-US"/>
        </w:rPr>
        <w:t xml:space="preserve"> - </w:t>
      </w:r>
      <w:r w:rsidR="00FD0FB8" w:rsidRPr="001935A8">
        <w:rPr>
          <w:bCs/>
          <w:i/>
          <w:sz w:val="18"/>
          <w:szCs w:val="18"/>
          <w:lang w:val="en-US"/>
        </w:rPr>
        <w:t xml:space="preserve">LCOE </w:t>
      </w:r>
      <w:r w:rsidR="001935A8" w:rsidRPr="001935A8">
        <w:rPr>
          <w:bCs/>
          <w:i/>
          <w:sz w:val="18"/>
          <w:szCs w:val="18"/>
          <w:lang w:val="en-US"/>
        </w:rPr>
        <w:t xml:space="preserve">energy technologies in Russia (forecast for 2035-2040) </w:t>
      </w:r>
      <w:r w:rsidR="001935A8" w:rsidRPr="001935A8">
        <w:rPr>
          <w:i/>
          <w:lang w:val="en-US"/>
        </w:rPr>
        <w:t>into account limitations of hydrocarbon energy</w:t>
      </w:r>
      <w:r w:rsidR="00FD0FB8" w:rsidRPr="001935A8">
        <w:rPr>
          <w:bCs/>
          <w:i/>
          <w:sz w:val="18"/>
          <w:szCs w:val="18"/>
          <w:lang w:val="en-US"/>
        </w:rPr>
        <w:t xml:space="preserve">, </w:t>
      </w:r>
      <w:r w:rsidR="00C55664" w:rsidRPr="001935A8">
        <w:rPr>
          <w:bCs/>
          <w:i/>
          <w:sz w:val="18"/>
          <w:szCs w:val="18"/>
          <w:lang w:val="en-US"/>
        </w:rPr>
        <w:br/>
      </w:r>
      <w:r w:rsidRPr="001935A8">
        <w:rPr>
          <w:bCs/>
          <w:i/>
          <w:sz w:val="18"/>
          <w:szCs w:val="18"/>
          <w:lang w:val="en-US"/>
        </w:rPr>
        <w:t>relative units</w:t>
      </w:r>
    </w:p>
    <w:p w14:paraId="33F2AF89" w14:textId="77777777" w:rsidR="00C55664" w:rsidRPr="001935A8" w:rsidRDefault="00C55664" w:rsidP="00CC0ABA">
      <w:pPr>
        <w:pStyle w:val="a1"/>
        <w:rPr>
          <w:lang w:val="en-US"/>
        </w:rPr>
      </w:pPr>
    </w:p>
    <w:p w14:paraId="03B82E7E" w14:textId="1BF09B3E" w:rsidR="00FD0FB8" w:rsidRPr="00EB74DB" w:rsidRDefault="00EB74DB" w:rsidP="00CC0ABA">
      <w:pPr>
        <w:pStyle w:val="a1"/>
        <w:rPr>
          <w:lang w:val="en-US"/>
        </w:rPr>
      </w:pPr>
      <w:r w:rsidRPr="00EB74DB">
        <w:rPr>
          <w:lang w:val="en-US"/>
        </w:rPr>
        <w:t xml:space="preserve">The main conclusion based on results of calculations: resistance to external factors allows to talk </w:t>
      </w:r>
      <w:r w:rsidR="00EA6A1E">
        <w:rPr>
          <w:lang w:val="en-US"/>
        </w:rPr>
        <w:t>for</w:t>
      </w:r>
      <w:r w:rsidRPr="00EB74DB">
        <w:rPr>
          <w:lang w:val="en-US"/>
        </w:rPr>
        <w:t xml:space="preserve"> the competitiveness of nuclear energy technologies in the long term</w:t>
      </w:r>
      <w:r w:rsidR="00CC0ABA" w:rsidRPr="00EB74DB">
        <w:rPr>
          <w:lang w:val="en-US"/>
        </w:rPr>
        <w:t>.</w:t>
      </w:r>
    </w:p>
    <w:p w14:paraId="253A1A7A" w14:textId="2CFD238C" w:rsidR="003A497F" w:rsidRPr="00F071E7" w:rsidRDefault="00F071E7" w:rsidP="00F071E7">
      <w:pPr>
        <w:pStyle w:val="2"/>
        <w:numPr>
          <w:ilvl w:val="1"/>
          <w:numId w:val="10"/>
        </w:numPr>
        <w:rPr>
          <w:lang w:val="en-US"/>
        </w:rPr>
      </w:pPr>
      <w:r w:rsidRPr="00F071E7">
        <w:rPr>
          <w:lang w:val="en-US"/>
        </w:rPr>
        <w:t xml:space="preserve">ECONOMIC EFFICIENCY NFC of the </w:t>
      </w:r>
      <w:r>
        <w:rPr>
          <w:lang w:val="en-US"/>
        </w:rPr>
        <w:t>BR</w:t>
      </w:r>
      <w:r w:rsidRPr="00F071E7">
        <w:rPr>
          <w:lang w:val="en-US"/>
        </w:rPr>
        <w:t xml:space="preserve"> in comparison with NFC of the </w:t>
      </w:r>
      <w:r>
        <w:rPr>
          <w:lang w:val="en-US"/>
        </w:rPr>
        <w:t>TR</w:t>
      </w:r>
    </w:p>
    <w:p w14:paraId="4B98C96F" w14:textId="3E4EB453" w:rsidR="00AF06CE" w:rsidRPr="00141599" w:rsidRDefault="00DE17E7" w:rsidP="003A497F">
      <w:pPr>
        <w:pStyle w:val="a1"/>
        <w:rPr>
          <w:lang w:val="en-US"/>
        </w:rPr>
      </w:pPr>
      <w:r>
        <w:rPr>
          <w:lang w:val="en-US"/>
        </w:rPr>
        <w:t>A</w:t>
      </w:r>
      <w:r w:rsidRPr="00DE17E7">
        <w:rPr>
          <w:lang w:val="en-US"/>
        </w:rPr>
        <w:t xml:space="preserve">ssessment of the economic efficiency NFC </w:t>
      </w:r>
      <w:r>
        <w:rPr>
          <w:lang w:val="en-US"/>
        </w:rPr>
        <w:t>TR</w:t>
      </w:r>
      <w:r w:rsidRPr="00DE17E7">
        <w:rPr>
          <w:lang w:val="en-US"/>
        </w:rPr>
        <w:t xml:space="preserve"> option was carried out </w:t>
      </w:r>
      <w:r>
        <w:rPr>
          <w:lang w:val="en-US"/>
        </w:rPr>
        <w:t>for</w:t>
      </w:r>
      <w:r w:rsidRPr="00DE17E7">
        <w:rPr>
          <w:lang w:val="en-US"/>
        </w:rPr>
        <w:t xml:space="preserve"> current favorable market conditions for natural uranium and enrichment services</w:t>
      </w:r>
      <w:r w:rsidR="000D3A53" w:rsidRPr="00DE17E7">
        <w:rPr>
          <w:lang w:val="en-US"/>
        </w:rPr>
        <w:t>.</w:t>
      </w:r>
      <w:r w:rsidR="00AF06CE" w:rsidRPr="00DE17E7">
        <w:rPr>
          <w:lang w:val="en-US"/>
        </w:rPr>
        <w:t xml:space="preserve"> </w:t>
      </w:r>
      <w:r w:rsidR="00141599" w:rsidRPr="00141599">
        <w:rPr>
          <w:lang w:val="en-US"/>
        </w:rPr>
        <w:t xml:space="preserve">Costs of the closed NFC </w:t>
      </w:r>
      <w:r w:rsidR="00141599">
        <w:rPr>
          <w:lang w:val="en-US"/>
        </w:rPr>
        <w:t>FR</w:t>
      </w:r>
      <w:r w:rsidR="00141599" w:rsidRPr="00141599">
        <w:rPr>
          <w:lang w:val="en-US"/>
        </w:rPr>
        <w:t xml:space="preserve"> are taken according to the target indicators (competitiveness requirements) </w:t>
      </w:r>
      <w:r w:rsidR="00141599">
        <w:rPr>
          <w:lang w:val="en-US"/>
        </w:rPr>
        <w:t>by</w:t>
      </w:r>
      <w:r w:rsidR="00141599" w:rsidRPr="00141599">
        <w:rPr>
          <w:lang w:val="en-US"/>
        </w:rPr>
        <w:t xml:space="preserve"> Nuclear Strategy</w:t>
      </w:r>
      <w:r w:rsidR="00AF06CE" w:rsidRPr="00141599">
        <w:rPr>
          <w:lang w:val="en-US"/>
        </w:rPr>
        <w:t>.</w:t>
      </w:r>
    </w:p>
    <w:p w14:paraId="75EC0896" w14:textId="5209F94F" w:rsidR="000D3A53" w:rsidRPr="00141599" w:rsidRDefault="00141599" w:rsidP="003A497F">
      <w:pPr>
        <w:pStyle w:val="a1"/>
        <w:rPr>
          <w:lang w:val="en-US"/>
        </w:rPr>
      </w:pPr>
      <w:r w:rsidRPr="00141599">
        <w:rPr>
          <w:lang w:val="en-US"/>
        </w:rPr>
        <w:t xml:space="preserve">Fuel costs for NPP electricity generation are calculated for the NFC </w:t>
      </w:r>
      <w:r>
        <w:rPr>
          <w:lang w:val="en-US"/>
        </w:rPr>
        <w:t>TR</w:t>
      </w:r>
      <w:r w:rsidRPr="00141599">
        <w:rPr>
          <w:lang w:val="en-US"/>
        </w:rPr>
        <w:t xml:space="preserve"> and </w:t>
      </w:r>
      <w:r>
        <w:rPr>
          <w:lang w:val="en-US"/>
        </w:rPr>
        <w:t>FR</w:t>
      </w:r>
      <w:r w:rsidRPr="00141599">
        <w:rPr>
          <w:lang w:val="en-US"/>
        </w:rPr>
        <w:t xml:space="preserve"> options</w:t>
      </w:r>
      <w:r w:rsidR="000D3A53" w:rsidRPr="00141599">
        <w:rPr>
          <w:lang w:val="en-US"/>
        </w:rPr>
        <w:t>:</w:t>
      </w:r>
    </w:p>
    <w:p w14:paraId="5460E02A" w14:textId="77777777" w:rsidR="000D3A53" w:rsidRPr="00141599" w:rsidRDefault="000D3A53" w:rsidP="003A497F">
      <w:pPr>
        <w:pStyle w:val="a1"/>
        <w:rPr>
          <w:lang w:val="en-US"/>
        </w:rPr>
      </w:pPr>
    </w:p>
    <w:p w14:paraId="08281D75" w14:textId="39DB51C6" w:rsidR="000D3A53" w:rsidRPr="00141599" w:rsidRDefault="00141599" w:rsidP="000D3A53">
      <w:pPr>
        <w:pStyle w:val="ListEmdash"/>
        <w:numPr>
          <w:ilvl w:val="0"/>
          <w:numId w:val="20"/>
        </w:numPr>
        <w:ind w:left="709"/>
        <w:rPr>
          <w:lang w:val="en-US"/>
        </w:rPr>
      </w:pPr>
      <w:r>
        <w:rPr>
          <w:lang w:val="en-US"/>
        </w:rPr>
        <w:t>Option</w:t>
      </w:r>
      <w:r w:rsidR="000D3A53" w:rsidRPr="00CC352D">
        <w:rPr>
          <w:lang w:val="en-US"/>
        </w:rPr>
        <w:t> 1.</w:t>
      </w:r>
      <w:r w:rsidR="007B7A69" w:rsidRPr="00CC352D">
        <w:rPr>
          <w:lang w:val="en-US"/>
        </w:rPr>
        <w:t> </w:t>
      </w:r>
      <w:r>
        <w:rPr>
          <w:lang w:val="en-US"/>
        </w:rPr>
        <w:t>NFC</w:t>
      </w:r>
      <w:r w:rsidRPr="00141599">
        <w:rPr>
          <w:lang w:val="en-US"/>
        </w:rPr>
        <w:t xml:space="preserve"> </w:t>
      </w:r>
      <w:r>
        <w:rPr>
          <w:lang w:val="en-US"/>
        </w:rPr>
        <w:t>TR</w:t>
      </w:r>
      <w:r w:rsidR="000D3A53" w:rsidRPr="00141599">
        <w:rPr>
          <w:lang w:val="en-US"/>
        </w:rPr>
        <w:t xml:space="preserve"> </w:t>
      </w:r>
      <w:r>
        <w:rPr>
          <w:lang w:val="en-US"/>
        </w:rPr>
        <w:t>with</w:t>
      </w:r>
      <w:r w:rsidR="000D3A53" w:rsidRPr="00141599">
        <w:rPr>
          <w:lang w:val="en-US"/>
        </w:rPr>
        <w:t xml:space="preserve"> UO</w:t>
      </w:r>
      <w:r w:rsidR="000D3A53" w:rsidRPr="00141599">
        <w:rPr>
          <w:vertAlign w:val="subscript"/>
          <w:lang w:val="en-US"/>
        </w:rPr>
        <w:t>2</w:t>
      </w:r>
      <w:r w:rsidR="000D3A53" w:rsidRPr="00141599">
        <w:rPr>
          <w:lang w:val="en-US"/>
        </w:rPr>
        <w:t>-</w:t>
      </w:r>
      <w:r>
        <w:rPr>
          <w:lang w:val="en-US"/>
        </w:rPr>
        <w:t>fuel</w:t>
      </w:r>
      <w:r w:rsidR="000D3A53" w:rsidRPr="00141599">
        <w:rPr>
          <w:lang w:val="en-US"/>
        </w:rPr>
        <w:t xml:space="preserve"> </w:t>
      </w:r>
      <w:r>
        <w:rPr>
          <w:lang w:val="en-US"/>
        </w:rPr>
        <w:t>and</w:t>
      </w:r>
      <w:r w:rsidR="000D3A53" w:rsidRPr="00141599">
        <w:rPr>
          <w:lang w:val="en-US"/>
        </w:rPr>
        <w:t xml:space="preserve"> </w:t>
      </w:r>
      <w:r>
        <w:rPr>
          <w:lang w:val="en-US"/>
        </w:rPr>
        <w:t>reprocessing SNF</w:t>
      </w:r>
      <w:r w:rsidR="000D3A53" w:rsidRPr="00141599">
        <w:rPr>
          <w:lang w:val="en-US"/>
        </w:rPr>
        <w:t>;</w:t>
      </w:r>
    </w:p>
    <w:p w14:paraId="3EC6B221" w14:textId="71DD7D82" w:rsidR="000D3A53" w:rsidRPr="00141599" w:rsidRDefault="00141599" w:rsidP="000D3A53">
      <w:pPr>
        <w:pStyle w:val="ListEmdash"/>
        <w:numPr>
          <w:ilvl w:val="0"/>
          <w:numId w:val="20"/>
        </w:numPr>
        <w:ind w:left="709"/>
        <w:rPr>
          <w:lang w:val="en-US"/>
        </w:rPr>
      </w:pPr>
      <w:r>
        <w:rPr>
          <w:lang w:val="en-US"/>
        </w:rPr>
        <w:t>Option</w:t>
      </w:r>
      <w:r w:rsidR="00C55664" w:rsidRPr="00CC352D">
        <w:rPr>
          <w:lang w:val="en-US"/>
        </w:rPr>
        <w:t> 2</w:t>
      </w:r>
      <w:r w:rsidR="000D3A53" w:rsidRPr="00CC352D">
        <w:rPr>
          <w:lang w:val="en-US"/>
        </w:rPr>
        <w:t>.</w:t>
      </w:r>
      <w:r w:rsidR="007B7A69" w:rsidRPr="00CC352D">
        <w:rPr>
          <w:lang w:val="en-US"/>
        </w:rPr>
        <w:t> </w:t>
      </w:r>
      <w:r>
        <w:rPr>
          <w:lang w:val="en-US"/>
        </w:rPr>
        <w:t>Closed</w:t>
      </w:r>
      <w:r w:rsidRPr="00141599">
        <w:rPr>
          <w:lang w:val="en-US"/>
        </w:rPr>
        <w:t xml:space="preserve"> </w:t>
      </w:r>
      <w:r>
        <w:rPr>
          <w:lang w:val="en-US"/>
        </w:rPr>
        <w:t>NFC</w:t>
      </w:r>
      <w:r w:rsidRPr="00141599">
        <w:rPr>
          <w:lang w:val="en-US"/>
        </w:rPr>
        <w:t xml:space="preserve"> </w:t>
      </w:r>
      <w:r>
        <w:rPr>
          <w:lang w:val="en-US"/>
        </w:rPr>
        <w:t>FR</w:t>
      </w:r>
      <w:r w:rsidRPr="00141599">
        <w:rPr>
          <w:lang w:val="en-US"/>
        </w:rPr>
        <w:t xml:space="preserve"> </w:t>
      </w:r>
      <w:r>
        <w:rPr>
          <w:lang w:val="en-US"/>
        </w:rPr>
        <w:t>with</w:t>
      </w:r>
      <w:r w:rsidR="00AF06CE" w:rsidRPr="00141599">
        <w:rPr>
          <w:lang w:val="en-US"/>
        </w:rPr>
        <w:t xml:space="preserve"> </w:t>
      </w:r>
      <w:r>
        <w:rPr>
          <w:lang w:val="en-US"/>
        </w:rPr>
        <w:t>Mixed</w:t>
      </w:r>
      <w:r w:rsidRPr="00141599">
        <w:rPr>
          <w:lang w:val="en-US"/>
        </w:rPr>
        <w:t xml:space="preserve"> </w:t>
      </w:r>
      <w:proofErr w:type="spellStart"/>
      <w:r>
        <w:rPr>
          <w:lang w:val="en-US"/>
        </w:rPr>
        <w:t>NITride</w:t>
      </w:r>
      <w:proofErr w:type="spellEnd"/>
      <w:r w:rsidR="00AF06CE" w:rsidRPr="00141599">
        <w:rPr>
          <w:lang w:val="en-US"/>
        </w:rPr>
        <w:t xml:space="preserve"> </w:t>
      </w:r>
      <w:proofErr w:type="spellStart"/>
      <w:r>
        <w:rPr>
          <w:lang w:val="en-US"/>
        </w:rPr>
        <w:t>UPu</w:t>
      </w:r>
      <w:proofErr w:type="spellEnd"/>
      <w:r>
        <w:rPr>
          <w:lang w:val="en-US"/>
        </w:rPr>
        <w:t>-fuel</w:t>
      </w:r>
      <w:r w:rsidR="00BD6024" w:rsidRPr="00141599">
        <w:rPr>
          <w:lang w:val="en-US"/>
        </w:rPr>
        <w:t xml:space="preserve"> (</w:t>
      </w:r>
      <w:r>
        <w:rPr>
          <w:lang w:val="en-US"/>
        </w:rPr>
        <w:t>MNIT-fuel</w:t>
      </w:r>
      <w:r w:rsidR="00BD6024" w:rsidRPr="00141599">
        <w:rPr>
          <w:lang w:val="en-US"/>
        </w:rPr>
        <w:t>)</w:t>
      </w:r>
      <w:r w:rsidR="00AF06CE" w:rsidRPr="00141599">
        <w:rPr>
          <w:lang w:val="en-US"/>
        </w:rPr>
        <w:t>.</w:t>
      </w:r>
    </w:p>
    <w:p w14:paraId="411681E1" w14:textId="6451F95B" w:rsidR="003A497F" w:rsidRPr="00141599" w:rsidRDefault="003A497F" w:rsidP="003A497F">
      <w:pPr>
        <w:pStyle w:val="a1"/>
        <w:rPr>
          <w:lang w:val="en-US"/>
        </w:rPr>
      </w:pPr>
    </w:p>
    <w:p w14:paraId="37D80CA6" w14:textId="43322655" w:rsidR="000D3A53" w:rsidRPr="00577B62" w:rsidRDefault="00577B62" w:rsidP="003A497F">
      <w:pPr>
        <w:pStyle w:val="a1"/>
        <w:rPr>
          <w:lang w:val="en-US"/>
        </w:rPr>
      </w:pPr>
      <w:r>
        <w:rPr>
          <w:lang w:val="en-US"/>
        </w:rPr>
        <w:t>R</w:t>
      </w:r>
      <w:r w:rsidRPr="00577B62">
        <w:rPr>
          <w:lang w:val="en-US"/>
        </w:rPr>
        <w:t xml:space="preserve">esults of calculating fuel costs for generating electricity </w:t>
      </w:r>
      <w:r>
        <w:rPr>
          <w:lang w:val="en-US"/>
        </w:rPr>
        <w:t>on</w:t>
      </w:r>
      <w:r w:rsidRPr="00577B62">
        <w:rPr>
          <w:lang w:val="en-US"/>
        </w:rPr>
        <w:t xml:space="preserve"> </w:t>
      </w:r>
      <w:r>
        <w:rPr>
          <w:lang w:val="en-US"/>
        </w:rPr>
        <w:t>nuclear plants</w:t>
      </w:r>
      <w:r w:rsidRPr="00577B62">
        <w:rPr>
          <w:lang w:val="en-US"/>
        </w:rPr>
        <w:t xml:space="preserve"> with </w:t>
      </w:r>
      <w:r>
        <w:rPr>
          <w:lang w:val="en-US"/>
        </w:rPr>
        <w:t>TR</w:t>
      </w:r>
      <w:r w:rsidRPr="00577B62">
        <w:rPr>
          <w:lang w:val="en-US"/>
        </w:rPr>
        <w:t xml:space="preserve"> and </w:t>
      </w:r>
      <w:r>
        <w:rPr>
          <w:lang w:val="en-US"/>
        </w:rPr>
        <w:t>FR</w:t>
      </w:r>
      <w:r w:rsidRPr="00577B62">
        <w:rPr>
          <w:lang w:val="en-US"/>
        </w:rPr>
        <w:t xml:space="preserve"> are shown </w:t>
      </w:r>
      <w:r>
        <w:rPr>
          <w:lang w:val="en-US"/>
        </w:rPr>
        <w:t>o</w:t>
      </w:r>
      <w:r w:rsidRPr="00577B62">
        <w:rPr>
          <w:lang w:val="en-US"/>
        </w:rPr>
        <w:t>n Fig.</w:t>
      </w:r>
      <w:r>
        <w:rPr>
          <w:lang w:val="en-US"/>
        </w:rPr>
        <w:t> </w:t>
      </w:r>
      <w:r w:rsidRPr="00577B62">
        <w:rPr>
          <w:lang w:val="en-US"/>
        </w:rPr>
        <w:t>3</w:t>
      </w:r>
      <w:r w:rsidR="00756CEF" w:rsidRPr="00577B62">
        <w:rPr>
          <w:lang w:val="en-US"/>
        </w:rPr>
        <w:t>.</w:t>
      </w:r>
    </w:p>
    <w:p w14:paraId="5C8847B0" w14:textId="77777777" w:rsidR="00756CEF" w:rsidRPr="00577B62" w:rsidRDefault="00756CEF" w:rsidP="00756CEF">
      <w:pPr>
        <w:pStyle w:val="a1"/>
        <w:ind w:firstLine="0"/>
        <w:rPr>
          <w:lang w:val="en-US"/>
        </w:rPr>
      </w:pPr>
    </w:p>
    <w:p w14:paraId="0BCEA3FB" w14:textId="313BBA60" w:rsidR="00756CEF" w:rsidRPr="00721A5E" w:rsidRDefault="00721A5E" w:rsidP="00756CEF">
      <w:pPr>
        <w:pStyle w:val="a1"/>
        <w:ind w:firstLine="0"/>
        <w:jc w:val="center"/>
        <w:rPr>
          <w:lang w:val="en-US"/>
        </w:rPr>
      </w:pPr>
      <w:r>
        <w:rPr>
          <w:noProof/>
          <w:lang w:val="en-US"/>
        </w:rPr>
        <w:drawing>
          <wp:inline distT="0" distB="0" distL="0" distR="0" wp14:anchorId="2AACAFA0" wp14:editId="3B43C079">
            <wp:extent cx="3182620" cy="22072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620" cy="2207260"/>
                    </a:xfrm>
                    <a:prstGeom prst="rect">
                      <a:avLst/>
                    </a:prstGeom>
                    <a:noFill/>
                  </pic:spPr>
                </pic:pic>
              </a:graphicData>
            </a:graphic>
          </wp:inline>
        </w:drawing>
      </w:r>
    </w:p>
    <w:p w14:paraId="18AFA786" w14:textId="6E5DEBE4" w:rsidR="00756CEF" w:rsidRPr="00D176EB" w:rsidRDefault="00D176EB" w:rsidP="00756CEF">
      <w:pPr>
        <w:pStyle w:val="ListEmdash"/>
        <w:jc w:val="center"/>
        <w:rPr>
          <w:lang w:val="en-US"/>
        </w:rPr>
      </w:pPr>
      <w:r>
        <w:rPr>
          <w:i/>
          <w:sz w:val="18"/>
          <w:szCs w:val="18"/>
          <w:lang w:val="en-US"/>
        </w:rPr>
        <w:t>FIG</w:t>
      </w:r>
      <w:r w:rsidR="00756CEF" w:rsidRPr="00D176EB">
        <w:rPr>
          <w:i/>
          <w:sz w:val="18"/>
          <w:szCs w:val="18"/>
          <w:lang w:val="en-US"/>
        </w:rPr>
        <w:t xml:space="preserve">. </w:t>
      </w:r>
      <w:r w:rsidR="00C55664" w:rsidRPr="00D176EB">
        <w:rPr>
          <w:i/>
          <w:sz w:val="18"/>
          <w:szCs w:val="18"/>
          <w:lang w:val="en-US"/>
        </w:rPr>
        <w:t>3</w:t>
      </w:r>
      <w:r w:rsidR="00A055E3" w:rsidRPr="00D176EB">
        <w:rPr>
          <w:i/>
          <w:sz w:val="18"/>
          <w:szCs w:val="18"/>
          <w:lang w:val="en-US"/>
        </w:rPr>
        <w:t xml:space="preserve"> - </w:t>
      </w:r>
      <w:r w:rsidRPr="00D176EB">
        <w:rPr>
          <w:bCs/>
          <w:i/>
          <w:sz w:val="18"/>
          <w:szCs w:val="18"/>
          <w:lang w:val="en-US"/>
        </w:rPr>
        <w:t>Fuel costs</w:t>
      </w:r>
      <w:r w:rsidR="00756CEF" w:rsidRPr="00D176EB">
        <w:rPr>
          <w:bCs/>
          <w:i/>
          <w:sz w:val="18"/>
          <w:szCs w:val="18"/>
          <w:lang w:val="en-US"/>
        </w:rPr>
        <w:t xml:space="preserve"> </w:t>
      </w:r>
      <w:r w:rsidR="00395E72">
        <w:rPr>
          <w:bCs/>
          <w:i/>
          <w:sz w:val="18"/>
          <w:szCs w:val="18"/>
          <w:lang w:val="en-US"/>
        </w:rPr>
        <w:t>of NPP with TR and F</w:t>
      </w:r>
      <w:r>
        <w:rPr>
          <w:bCs/>
          <w:i/>
          <w:sz w:val="18"/>
          <w:szCs w:val="18"/>
          <w:lang w:val="en-US"/>
        </w:rPr>
        <w:t>R</w:t>
      </w:r>
      <w:r w:rsidR="00756CEF" w:rsidRPr="00D176EB">
        <w:rPr>
          <w:bCs/>
          <w:i/>
          <w:sz w:val="18"/>
          <w:szCs w:val="18"/>
          <w:lang w:val="en-US"/>
        </w:rPr>
        <w:t xml:space="preserve">, </w:t>
      </w:r>
      <w:r w:rsidRPr="00D176EB">
        <w:rPr>
          <w:bCs/>
          <w:i/>
          <w:sz w:val="18"/>
          <w:szCs w:val="18"/>
          <w:lang w:val="en-US"/>
        </w:rPr>
        <w:t>relative units</w:t>
      </w:r>
    </w:p>
    <w:p w14:paraId="0A0BFAB9" w14:textId="075F6993" w:rsidR="001404FE" w:rsidRPr="00577B62" w:rsidRDefault="00577B62" w:rsidP="00CA056D">
      <w:pPr>
        <w:pStyle w:val="ListEmdash"/>
        <w:ind w:firstLine="709"/>
        <w:rPr>
          <w:lang w:val="en-US"/>
        </w:rPr>
      </w:pPr>
      <w:r w:rsidRPr="00EB74DB">
        <w:rPr>
          <w:lang w:val="en-US"/>
        </w:rPr>
        <w:lastRenderedPageBreak/>
        <w:t>The</w:t>
      </w:r>
      <w:r w:rsidRPr="00577B62">
        <w:rPr>
          <w:lang w:val="en-US"/>
        </w:rPr>
        <w:t xml:space="preserve"> </w:t>
      </w:r>
      <w:r w:rsidRPr="00EB74DB">
        <w:rPr>
          <w:lang w:val="en-US"/>
        </w:rPr>
        <w:t>main</w:t>
      </w:r>
      <w:r w:rsidRPr="00577B62">
        <w:rPr>
          <w:lang w:val="en-US"/>
        </w:rPr>
        <w:t xml:space="preserve"> </w:t>
      </w:r>
      <w:r w:rsidRPr="00EB74DB">
        <w:rPr>
          <w:lang w:val="en-US"/>
        </w:rPr>
        <w:t>conclusion</w:t>
      </w:r>
      <w:r w:rsidRPr="00577B62">
        <w:rPr>
          <w:lang w:val="en-US"/>
        </w:rPr>
        <w:t xml:space="preserve"> </w:t>
      </w:r>
      <w:r w:rsidRPr="00EB74DB">
        <w:rPr>
          <w:lang w:val="en-US"/>
        </w:rPr>
        <w:t>based</w:t>
      </w:r>
      <w:r w:rsidRPr="00577B62">
        <w:rPr>
          <w:lang w:val="en-US"/>
        </w:rPr>
        <w:t xml:space="preserve"> </w:t>
      </w:r>
      <w:r w:rsidRPr="00EB74DB">
        <w:rPr>
          <w:lang w:val="en-US"/>
        </w:rPr>
        <w:t>on</w:t>
      </w:r>
      <w:r w:rsidRPr="00577B62">
        <w:rPr>
          <w:lang w:val="en-US"/>
        </w:rPr>
        <w:t xml:space="preserve"> </w:t>
      </w:r>
      <w:r w:rsidRPr="00EB74DB">
        <w:rPr>
          <w:lang w:val="en-US"/>
        </w:rPr>
        <w:t>results</w:t>
      </w:r>
      <w:r w:rsidRPr="00577B62">
        <w:rPr>
          <w:lang w:val="en-US"/>
        </w:rPr>
        <w:t xml:space="preserve"> </w:t>
      </w:r>
      <w:r w:rsidRPr="00EB74DB">
        <w:rPr>
          <w:lang w:val="en-US"/>
        </w:rPr>
        <w:t>of</w:t>
      </w:r>
      <w:r w:rsidRPr="00577B62">
        <w:rPr>
          <w:lang w:val="en-US"/>
        </w:rPr>
        <w:t xml:space="preserve"> </w:t>
      </w:r>
      <w:r w:rsidRPr="00EB74DB">
        <w:rPr>
          <w:lang w:val="en-US"/>
        </w:rPr>
        <w:t>calculations</w:t>
      </w:r>
      <w:r w:rsidR="00CA056D" w:rsidRPr="00577B62">
        <w:rPr>
          <w:lang w:val="en-US"/>
        </w:rPr>
        <w:t xml:space="preserve">: </w:t>
      </w:r>
      <w:r>
        <w:rPr>
          <w:lang w:val="en-US"/>
        </w:rPr>
        <w:t>option</w:t>
      </w:r>
      <w:r w:rsidRPr="00577B62">
        <w:rPr>
          <w:lang w:val="en-US"/>
        </w:rPr>
        <w:t xml:space="preserve"> of a closed NFC with </w:t>
      </w:r>
      <w:r>
        <w:rPr>
          <w:lang w:val="en-US"/>
        </w:rPr>
        <w:t>MNIT-</w:t>
      </w:r>
      <w:r w:rsidRPr="00577B62">
        <w:rPr>
          <w:lang w:val="en-US"/>
        </w:rPr>
        <w:t xml:space="preserve">fuel for the accepted competitiveness requirements is more efficient than the NFC </w:t>
      </w:r>
      <w:r>
        <w:rPr>
          <w:lang w:val="en-US"/>
        </w:rPr>
        <w:t>TR</w:t>
      </w:r>
      <w:r w:rsidR="00756CEF" w:rsidRPr="00577B62">
        <w:rPr>
          <w:lang w:val="en-US"/>
        </w:rPr>
        <w:t>.</w:t>
      </w:r>
    </w:p>
    <w:p w14:paraId="18DCD874" w14:textId="77777777" w:rsidR="00756CEF" w:rsidRPr="00577B62" w:rsidRDefault="00756CEF" w:rsidP="00537496">
      <w:pPr>
        <w:pStyle w:val="a1"/>
        <w:rPr>
          <w:lang w:val="en-US"/>
        </w:rPr>
      </w:pPr>
    </w:p>
    <w:p w14:paraId="3D3292EC" w14:textId="28A6D27B" w:rsidR="00C5366C" w:rsidRPr="00577B62" w:rsidRDefault="00577B62" w:rsidP="00537496">
      <w:pPr>
        <w:pStyle w:val="a1"/>
        <w:rPr>
          <w:lang w:val="en-US"/>
        </w:rPr>
      </w:pPr>
      <w:r w:rsidRPr="00577B62">
        <w:rPr>
          <w:lang w:val="en-US"/>
        </w:rPr>
        <w:t xml:space="preserve">Further, </w:t>
      </w:r>
      <w:r w:rsidR="00C903C9" w:rsidRPr="00C903C9">
        <w:rPr>
          <w:lang w:val="en-US"/>
        </w:rPr>
        <w:t>calculat</w:t>
      </w:r>
      <w:r w:rsidR="00C903C9">
        <w:rPr>
          <w:lang w:val="en-US"/>
        </w:rPr>
        <w:t xml:space="preserve">ed </w:t>
      </w:r>
      <w:r w:rsidR="00C903C9" w:rsidRPr="00C903C9">
        <w:rPr>
          <w:lang w:val="en-US"/>
        </w:rPr>
        <w:t xml:space="preserve">costs </w:t>
      </w:r>
      <w:r w:rsidR="00C903C9">
        <w:rPr>
          <w:lang w:val="en-US"/>
        </w:rPr>
        <w:t>of</w:t>
      </w:r>
      <w:r w:rsidR="00C903C9" w:rsidRPr="00C903C9">
        <w:rPr>
          <w:lang w:val="en-US"/>
        </w:rPr>
        <w:t xml:space="preserve"> disposal </w:t>
      </w:r>
      <w:r w:rsidR="00BB0B02">
        <w:rPr>
          <w:lang w:val="en-US"/>
        </w:rPr>
        <w:t>radioactive waste</w:t>
      </w:r>
      <w:r w:rsidR="00C903C9">
        <w:rPr>
          <w:lang w:val="en-US"/>
        </w:rPr>
        <w:t xml:space="preserve"> from</w:t>
      </w:r>
      <w:r w:rsidRPr="00577B62">
        <w:rPr>
          <w:lang w:val="en-US"/>
        </w:rPr>
        <w:t xml:space="preserve"> NFC </w:t>
      </w:r>
      <w:r w:rsidR="00C903C9">
        <w:rPr>
          <w:lang w:val="en-US"/>
        </w:rPr>
        <w:t>TR</w:t>
      </w:r>
      <w:r w:rsidRPr="00577B62">
        <w:rPr>
          <w:lang w:val="en-US"/>
        </w:rPr>
        <w:t xml:space="preserve"> </w:t>
      </w:r>
      <w:r w:rsidR="00C903C9">
        <w:rPr>
          <w:lang w:val="en-US"/>
        </w:rPr>
        <w:t>or</w:t>
      </w:r>
      <w:r w:rsidRPr="00577B62">
        <w:rPr>
          <w:lang w:val="en-US"/>
        </w:rPr>
        <w:t xml:space="preserve"> </w:t>
      </w:r>
      <w:r w:rsidR="00C903C9">
        <w:rPr>
          <w:lang w:val="en-US"/>
        </w:rPr>
        <w:t>FR</w:t>
      </w:r>
      <w:r w:rsidRPr="00577B62">
        <w:rPr>
          <w:lang w:val="en-US"/>
        </w:rPr>
        <w:t xml:space="preserve"> for the entire life cycle for one power unit</w:t>
      </w:r>
      <w:r w:rsidR="00C5366C" w:rsidRPr="00577B62">
        <w:rPr>
          <w:lang w:val="en-US"/>
        </w:rPr>
        <w:t xml:space="preserve">. </w:t>
      </w:r>
      <w:r w:rsidRPr="00577B62">
        <w:rPr>
          <w:lang w:val="en-US"/>
        </w:rPr>
        <w:t>The following NFC implementation options are considered</w:t>
      </w:r>
      <w:r w:rsidR="00C5366C" w:rsidRPr="00577B62">
        <w:rPr>
          <w:lang w:val="en-US"/>
        </w:rPr>
        <w:t>:</w:t>
      </w:r>
    </w:p>
    <w:p w14:paraId="7583083C" w14:textId="77777777" w:rsidR="00C5366C" w:rsidRPr="00577B62" w:rsidRDefault="00C5366C" w:rsidP="00537496">
      <w:pPr>
        <w:pStyle w:val="a1"/>
        <w:rPr>
          <w:lang w:val="en-US"/>
        </w:rPr>
      </w:pPr>
    </w:p>
    <w:p w14:paraId="636A8BEF" w14:textId="58EE75FC" w:rsidR="00C55664" w:rsidRPr="00C903C9" w:rsidRDefault="00577B62" w:rsidP="00C55664">
      <w:pPr>
        <w:pStyle w:val="ListEmdash"/>
        <w:numPr>
          <w:ilvl w:val="0"/>
          <w:numId w:val="20"/>
        </w:numPr>
        <w:ind w:left="709"/>
        <w:rPr>
          <w:lang w:val="en-US"/>
        </w:rPr>
      </w:pPr>
      <w:r>
        <w:rPr>
          <w:lang w:val="en-US"/>
        </w:rPr>
        <w:t>Option</w:t>
      </w:r>
      <w:r w:rsidR="00C55664" w:rsidRPr="00CC352D">
        <w:rPr>
          <w:lang w:val="en-US"/>
        </w:rPr>
        <w:t> 1. </w:t>
      </w:r>
      <w:r w:rsidR="00C903C9">
        <w:rPr>
          <w:lang w:val="en-US"/>
        </w:rPr>
        <w:t>NFC</w:t>
      </w:r>
      <w:r w:rsidR="00C903C9" w:rsidRPr="00C903C9">
        <w:rPr>
          <w:lang w:val="en-US"/>
        </w:rPr>
        <w:t xml:space="preserve"> </w:t>
      </w:r>
      <w:r w:rsidR="00C903C9">
        <w:rPr>
          <w:lang w:val="en-US"/>
        </w:rPr>
        <w:t>TR</w:t>
      </w:r>
      <w:r w:rsidR="00C903C9" w:rsidRPr="00C903C9">
        <w:rPr>
          <w:lang w:val="en-US"/>
        </w:rPr>
        <w:t xml:space="preserve"> </w:t>
      </w:r>
      <w:r w:rsidR="00C903C9">
        <w:rPr>
          <w:lang w:val="en-US"/>
        </w:rPr>
        <w:t>with</w:t>
      </w:r>
      <w:r w:rsidR="00C903C9" w:rsidRPr="00C903C9">
        <w:rPr>
          <w:lang w:val="en-US"/>
        </w:rPr>
        <w:t xml:space="preserve"> </w:t>
      </w:r>
      <w:r w:rsidR="00C903C9" w:rsidRPr="00141599">
        <w:rPr>
          <w:lang w:val="en-US"/>
        </w:rPr>
        <w:t>UO</w:t>
      </w:r>
      <w:r w:rsidR="00C903C9" w:rsidRPr="00C903C9">
        <w:rPr>
          <w:vertAlign w:val="subscript"/>
          <w:lang w:val="en-US"/>
        </w:rPr>
        <w:t>2</w:t>
      </w:r>
      <w:r w:rsidR="00C903C9" w:rsidRPr="00C903C9">
        <w:rPr>
          <w:lang w:val="en-US"/>
        </w:rPr>
        <w:t>-</w:t>
      </w:r>
      <w:r w:rsidR="00C903C9">
        <w:rPr>
          <w:lang w:val="en-US"/>
        </w:rPr>
        <w:t>fuel</w:t>
      </w:r>
      <w:r w:rsidR="00C903C9" w:rsidRPr="00C903C9">
        <w:rPr>
          <w:lang w:val="en-US"/>
        </w:rPr>
        <w:t xml:space="preserve"> </w:t>
      </w:r>
      <w:r w:rsidR="00C903C9">
        <w:rPr>
          <w:lang w:val="en-US"/>
        </w:rPr>
        <w:t>and</w:t>
      </w:r>
      <w:r w:rsidR="00C903C9" w:rsidRPr="00C903C9">
        <w:rPr>
          <w:lang w:val="en-US"/>
        </w:rPr>
        <w:t xml:space="preserve"> </w:t>
      </w:r>
      <w:r w:rsidR="00C903C9">
        <w:rPr>
          <w:lang w:val="en-US"/>
        </w:rPr>
        <w:t>reprocessing</w:t>
      </w:r>
      <w:r w:rsidR="00C903C9" w:rsidRPr="00C903C9">
        <w:rPr>
          <w:lang w:val="en-US"/>
        </w:rPr>
        <w:t xml:space="preserve"> </w:t>
      </w:r>
      <w:r w:rsidR="00C903C9">
        <w:rPr>
          <w:lang w:val="en-US"/>
        </w:rPr>
        <w:t>SNF</w:t>
      </w:r>
      <w:r w:rsidR="00C903C9" w:rsidRPr="00C903C9">
        <w:rPr>
          <w:lang w:val="en-US"/>
        </w:rPr>
        <w:t>,</w:t>
      </w:r>
      <w:r w:rsidR="00C903C9">
        <w:rPr>
          <w:lang w:val="en-US"/>
        </w:rPr>
        <w:t xml:space="preserve"> disposal generating </w:t>
      </w:r>
      <w:r w:rsidR="00BB0B02">
        <w:rPr>
          <w:lang w:val="en-US"/>
        </w:rPr>
        <w:t>radioactive waste</w:t>
      </w:r>
      <w:r w:rsidR="00C55664" w:rsidRPr="00C903C9">
        <w:rPr>
          <w:lang w:val="en-US"/>
        </w:rPr>
        <w:t>;</w:t>
      </w:r>
    </w:p>
    <w:p w14:paraId="6CA1C38B" w14:textId="3D90AFA2" w:rsidR="00C5366C" w:rsidRPr="00BB0B02" w:rsidRDefault="00577B62" w:rsidP="00BB0B02">
      <w:pPr>
        <w:pStyle w:val="ListEmdash"/>
        <w:numPr>
          <w:ilvl w:val="0"/>
          <w:numId w:val="20"/>
        </w:numPr>
        <w:ind w:left="709"/>
        <w:rPr>
          <w:lang w:val="en-US"/>
        </w:rPr>
      </w:pPr>
      <w:r>
        <w:rPr>
          <w:lang w:val="en-US"/>
        </w:rPr>
        <w:t>Option</w:t>
      </w:r>
      <w:r w:rsidR="00F00228" w:rsidRPr="00BB0B02">
        <w:rPr>
          <w:lang w:val="en-US"/>
        </w:rPr>
        <w:t> </w:t>
      </w:r>
      <w:r w:rsidR="00C55664" w:rsidRPr="00BB0B02">
        <w:rPr>
          <w:lang w:val="en-US"/>
        </w:rPr>
        <w:t>2</w:t>
      </w:r>
      <w:r w:rsidR="00C5366C" w:rsidRPr="00BB0B02">
        <w:rPr>
          <w:lang w:val="en-US"/>
        </w:rPr>
        <w:t>.</w:t>
      </w:r>
      <w:r w:rsidR="007B7A69" w:rsidRPr="00BB0B02">
        <w:rPr>
          <w:lang w:val="en-US"/>
        </w:rPr>
        <w:t> </w:t>
      </w:r>
      <w:r w:rsidR="00C903C9">
        <w:rPr>
          <w:lang w:val="en-US"/>
        </w:rPr>
        <w:t>Closed</w:t>
      </w:r>
      <w:r w:rsidR="00C903C9" w:rsidRPr="00BB0B02">
        <w:rPr>
          <w:lang w:val="en-US"/>
        </w:rPr>
        <w:t xml:space="preserve"> </w:t>
      </w:r>
      <w:r w:rsidR="00C903C9">
        <w:rPr>
          <w:lang w:val="en-US"/>
        </w:rPr>
        <w:t>FR</w:t>
      </w:r>
      <w:r w:rsidR="00C903C9" w:rsidRPr="00BB0B02">
        <w:rPr>
          <w:lang w:val="en-US"/>
        </w:rPr>
        <w:t xml:space="preserve"> </w:t>
      </w:r>
      <w:r w:rsidR="00C903C9">
        <w:rPr>
          <w:lang w:val="en-US"/>
        </w:rPr>
        <w:t>with</w:t>
      </w:r>
      <w:r w:rsidR="00C903C9" w:rsidRPr="00BB0B02">
        <w:rPr>
          <w:lang w:val="en-US"/>
        </w:rPr>
        <w:t xml:space="preserve"> </w:t>
      </w:r>
      <w:r w:rsidR="00C903C9">
        <w:rPr>
          <w:lang w:val="en-US"/>
        </w:rPr>
        <w:t>MNIT</w:t>
      </w:r>
      <w:r w:rsidR="00C903C9" w:rsidRPr="00BB0B02">
        <w:rPr>
          <w:lang w:val="en-US"/>
        </w:rPr>
        <w:t>-</w:t>
      </w:r>
      <w:r w:rsidR="00C903C9">
        <w:rPr>
          <w:lang w:val="en-US"/>
        </w:rPr>
        <w:t>fuel</w:t>
      </w:r>
      <w:r w:rsidR="00C5366C" w:rsidRPr="00BB0B02">
        <w:rPr>
          <w:lang w:val="en-US"/>
        </w:rPr>
        <w:t xml:space="preserve">, </w:t>
      </w:r>
      <w:r w:rsidR="00BB0B02">
        <w:rPr>
          <w:lang w:val="en-US"/>
        </w:rPr>
        <w:t>start</w:t>
      </w:r>
      <w:r w:rsidR="00BB0B02" w:rsidRPr="00BB0B02">
        <w:rPr>
          <w:lang w:val="en-US"/>
        </w:rPr>
        <w:t xml:space="preserve"> </w:t>
      </w:r>
      <w:r w:rsidR="00BB0B02">
        <w:rPr>
          <w:lang w:val="en-US"/>
        </w:rPr>
        <w:t>on</w:t>
      </w:r>
      <w:r w:rsidR="00BB0B02" w:rsidRPr="00BB0B02">
        <w:rPr>
          <w:lang w:val="en-US"/>
        </w:rPr>
        <w:t xml:space="preserve"> </w:t>
      </w:r>
      <w:r w:rsidR="00BB0B02">
        <w:rPr>
          <w:lang w:val="en-US"/>
        </w:rPr>
        <w:t>regenerate</w:t>
      </w:r>
      <w:r w:rsidR="00BB0B02" w:rsidRPr="00BB0B02">
        <w:rPr>
          <w:lang w:val="en-US"/>
        </w:rPr>
        <w:t xml:space="preserve"> </w:t>
      </w:r>
      <w:r w:rsidR="00BB0B02">
        <w:rPr>
          <w:lang w:val="en-US"/>
        </w:rPr>
        <w:t>of</w:t>
      </w:r>
      <w:r w:rsidR="00C5366C" w:rsidRPr="00BB0B02">
        <w:rPr>
          <w:lang w:val="en-US"/>
        </w:rPr>
        <w:t xml:space="preserve"> </w:t>
      </w:r>
      <w:r w:rsidR="00BB0B02">
        <w:rPr>
          <w:lang w:val="en-US"/>
        </w:rPr>
        <w:t>SNF</w:t>
      </w:r>
      <w:r w:rsidR="00BB0B02" w:rsidRPr="00BB0B02">
        <w:rPr>
          <w:lang w:val="en-US"/>
        </w:rPr>
        <w:t xml:space="preserve"> </w:t>
      </w:r>
      <w:r w:rsidR="00BB0B02" w:rsidRPr="00141599">
        <w:rPr>
          <w:lang w:val="en-US"/>
        </w:rPr>
        <w:t>UO</w:t>
      </w:r>
      <w:r w:rsidR="00BB0B02" w:rsidRPr="00BB0B02">
        <w:rPr>
          <w:lang w:val="en-US"/>
        </w:rPr>
        <w:t>2-</w:t>
      </w:r>
      <w:r w:rsidR="00BB0B02">
        <w:rPr>
          <w:lang w:val="en-US"/>
        </w:rPr>
        <w:t>fuel</w:t>
      </w:r>
      <w:r w:rsidR="00C5366C" w:rsidRPr="00BB0B02">
        <w:rPr>
          <w:lang w:val="en-US"/>
        </w:rPr>
        <w:t xml:space="preserve">, </w:t>
      </w:r>
      <w:r w:rsidR="00BB0B02" w:rsidRPr="00BB0B02">
        <w:rPr>
          <w:lang w:val="en-US"/>
        </w:rPr>
        <w:t>further work in the fuel self-supply mode</w:t>
      </w:r>
      <w:r w:rsidR="00C5366C" w:rsidRPr="00BB0B02">
        <w:rPr>
          <w:lang w:val="en-US"/>
        </w:rPr>
        <w:t xml:space="preserve">, </w:t>
      </w:r>
      <w:r w:rsidR="00BB0B02">
        <w:rPr>
          <w:lang w:val="en-US"/>
        </w:rPr>
        <w:t>radioactive waste</w:t>
      </w:r>
      <w:r w:rsidR="00BB0B02" w:rsidRPr="00BB0B02">
        <w:rPr>
          <w:lang w:val="en-US"/>
        </w:rPr>
        <w:t xml:space="preserve"> man</w:t>
      </w:r>
      <w:r w:rsidR="002B7674">
        <w:rPr>
          <w:lang w:val="en-US"/>
        </w:rPr>
        <w:t xml:space="preserve">agement according to the </w:t>
      </w:r>
      <w:r w:rsidR="002B7674" w:rsidRPr="002B7674">
        <w:rPr>
          <w:lang w:val="en-US"/>
        </w:rPr>
        <w:t>«Proryv</w:t>
      </w:r>
      <w:r w:rsidR="002B7674">
        <w:rPr>
          <w:lang w:val="en-US"/>
        </w:rPr>
        <w:t>+</w:t>
      </w:r>
      <w:r w:rsidR="002B7674" w:rsidRPr="002B7674">
        <w:rPr>
          <w:lang w:val="en-US"/>
        </w:rPr>
        <w:t>»</w:t>
      </w:r>
      <w:r w:rsidR="00BB0B02" w:rsidRPr="00BB0B02">
        <w:rPr>
          <w:lang w:val="en-US"/>
        </w:rPr>
        <w:t xml:space="preserve"> option</w:t>
      </w:r>
      <w:r w:rsidR="00C5366C" w:rsidRPr="00BB0B02">
        <w:rPr>
          <w:lang w:val="en-US"/>
        </w:rPr>
        <w:t xml:space="preserve"> (</w:t>
      </w:r>
      <w:r w:rsidR="00BB0B02">
        <w:rPr>
          <w:lang w:val="en-US"/>
        </w:rPr>
        <w:t>separation</w:t>
      </w:r>
      <w:r w:rsidR="00BB0B02" w:rsidRPr="00BB0B02">
        <w:rPr>
          <w:lang w:val="en-US"/>
        </w:rPr>
        <w:t xml:space="preserve"> of minor actinides and final </w:t>
      </w:r>
      <w:r w:rsidR="00BB0B02">
        <w:rPr>
          <w:lang w:val="en-US"/>
        </w:rPr>
        <w:t>re</w:t>
      </w:r>
      <w:r w:rsidR="00BB0B02" w:rsidRPr="00BB0B02">
        <w:rPr>
          <w:lang w:val="en-US"/>
        </w:rPr>
        <w:t xml:space="preserve">processing </w:t>
      </w:r>
      <w:r w:rsidR="00BB0B02">
        <w:rPr>
          <w:lang w:val="en-US"/>
        </w:rPr>
        <w:t>radioactive waste</w:t>
      </w:r>
      <w:r w:rsidR="00BB0B02" w:rsidRPr="00BB0B02">
        <w:rPr>
          <w:lang w:val="en-US"/>
        </w:rPr>
        <w:t xml:space="preserve"> (fission products) after 60 years of storage, then disposal</w:t>
      </w:r>
      <w:r w:rsidR="00C5366C" w:rsidRPr="00BB0B02">
        <w:rPr>
          <w:lang w:val="en-US"/>
        </w:rPr>
        <w:t>)</w:t>
      </w:r>
      <w:r w:rsidR="00BB0B02" w:rsidRPr="00BB0B02">
        <w:rPr>
          <w:lang w:val="en-US"/>
        </w:rPr>
        <w:t>.</w:t>
      </w:r>
    </w:p>
    <w:p w14:paraId="32F0BD83" w14:textId="77777777" w:rsidR="00F00228" w:rsidRPr="00BB0B02" w:rsidRDefault="00F00228" w:rsidP="00C5366C">
      <w:pPr>
        <w:pStyle w:val="ListEmdash"/>
        <w:ind w:firstLine="567"/>
        <w:rPr>
          <w:lang w:val="en-US"/>
        </w:rPr>
      </w:pPr>
    </w:p>
    <w:p w14:paraId="2575C90A" w14:textId="3AE5C4DB" w:rsidR="00A055E3" w:rsidRPr="00BB0B02" w:rsidRDefault="00BB0B02" w:rsidP="00C5366C">
      <w:pPr>
        <w:pStyle w:val="ListEmdash"/>
        <w:ind w:firstLine="567"/>
        <w:rPr>
          <w:lang w:val="en-US"/>
        </w:rPr>
      </w:pPr>
      <w:r w:rsidRPr="00BB0B02">
        <w:rPr>
          <w:lang w:val="en-US"/>
        </w:rPr>
        <w:t>The classification and volumes of radioactive waste were adopted based on the published data of S</w:t>
      </w:r>
      <w:r w:rsidR="00B51B1D">
        <w:rPr>
          <w:lang w:val="en-US"/>
        </w:rPr>
        <w:t>tate Atomic Energy Corporation Rosatom</w:t>
      </w:r>
      <w:r w:rsidRPr="00BB0B02">
        <w:rPr>
          <w:lang w:val="en-US"/>
        </w:rPr>
        <w:t xml:space="preserve"> [5] and current results of studies leading industry enterprises and organizations within the framework of the </w:t>
      </w:r>
      <w:r w:rsidR="002B7674" w:rsidRPr="002B7674">
        <w:rPr>
          <w:lang w:val="en-US"/>
        </w:rPr>
        <w:t>Proryv Project</w:t>
      </w:r>
      <w:r w:rsidR="00A055E3" w:rsidRPr="00BB0B02">
        <w:rPr>
          <w:lang w:val="en-US"/>
        </w:rPr>
        <w:t>.</w:t>
      </w:r>
    </w:p>
    <w:p w14:paraId="1F34007C" w14:textId="4A2733BF" w:rsidR="00C5366C" w:rsidRPr="002B7674" w:rsidRDefault="002B7674" w:rsidP="00C5366C">
      <w:pPr>
        <w:pStyle w:val="ListEmdash"/>
        <w:ind w:firstLine="567"/>
        <w:rPr>
          <w:lang w:val="en-US"/>
        </w:rPr>
      </w:pPr>
      <w:r w:rsidRPr="002B7674">
        <w:rPr>
          <w:lang w:val="en-US"/>
        </w:rPr>
        <w:t xml:space="preserve">Calculations of the costs </w:t>
      </w:r>
      <w:r>
        <w:rPr>
          <w:lang w:val="en-US"/>
        </w:rPr>
        <w:t>directly</w:t>
      </w:r>
      <w:r w:rsidRPr="002B7674">
        <w:rPr>
          <w:lang w:val="en-US"/>
        </w:rPr>
        <w:t xml:space="preserve"> disposal radioactive waste for NFC options under consideration were carried out taking into account the tariff rates of FSUE «</w:t>
      </w:r>
      <w:r>
        <w:rPr>
          <w:lang w:val="en-US"/>
        </w:rPr>
        <w:t>NO RWM</w:t>
      </w:r>
      <w:r w:rsidRPr="002B7674">
        <w:rPr>
          <w:lang w:val="en-US"/>
        </w:rPr>
        <w:t>» [6]</w:t>
      </w:r>
      <w:r w:rsidR="00A055E3" w:rsidRPr="002B7674">
        <w:rPr>
          <w:lang w:val="en-US"/>
        </w:rPr>
        <w:t>.</w:t>
      </w:r>
      <w:r w:rsidR="00C5366C" w:rsidRPr="002B7674">
        <w:rPr>
          <w:lang w:val="en-US"/>
        </w:rPr>
        <w:t xml:space="preserve"> </w:t>
      </w:r>
      <w:r w:rsidRPr="002B7674">
        <w:rPr>
          <w:lang w:val="ru-RU"/>
        </w:rPr>
        <w:t xml:space="preserve">The </w:t>
      </w:r>
      <w:proofErr w:type="spellStart"/>
      <w:r w:rsidRPr="002B7674">
        <w:rPr>
          <w:lang w:val="ru-RU"/>
        </w:rPr>
        <w:t>calculation</w:t>
      </w:r>
      <w:proofErr w:type="spellEnd"/>
      <w:r w:rsidRPr="002B7674">
        <w:rPr>
          <w:lang w:val="ru-RU"/>
        </w:rPr>
        <w:t xml:space="preserve"> </w:t>
      </w:r>
      <w:proofErr w:type="spellStart"/>
      <w:r w:rsidRPr="002B7674">
        <w:rPr>
          <w:lang w:val="ru-RU"/>
        </w:rPr>
        <w:t>results</w:t>
      </w:r>
      <w:proofErr w:type="spellEnd"/>
      <w:r w:rsidRPr="002B7674">
        <w:rPr>
          <w:lang w:val="ru-RU"/>
        </w:rPr>
        <w:t xml:space="preserve"> </w:t>
      </w:r>
      <w:proofErr w:type="spellStart"/>
      <w:r w:rsidRPr="002B7674">
        <w:rPr>
          <w:lang w:val="ru-RU"/>
        </w:rPr>
        <w:t>are</w:t>
      </w:r>
      <w:proofErr w:type="spellEnd"/>
      <w:r w:rsidRPr="002B7674">
        <w:rPr>
          <w:lang w:val="ru-RU"/>
        </w:rPr>
        <w:t xml:space="preserve"> </w:t>
      </w:r>
      <w:proofErr w:type="spellStart"/>
      <w:r w:rsidRPr="002B7674">
        <w:rPr>
          <w:lang w:val="ru-RU"/>
        </w:rPr>
        <w:t>shown</w:t>
      </w:r>
      <w:proofErr w:type="spellEnd"/>
      <w:r w:rsidRPr="002B7674">
        <w:rPr>
          <w:lang w:val="ru-RU"/>
        </w:rPr>
        <w:t xml:space="preserve"> </w:t>
      </w:r>
      <w:r>
        <w:rPr>
          <w:lang w:val="en-US"/>
        </w:rPr>
        <w:t>on</w:t>
      </w:r>
      <w:r w:rsidRPr="002B7674">
        <w:rPr>
          <w:lang w:val="ru-RU"/>
        </w:rPr>
        <w:t xml:space="preserve"> </w:t>
      </w:r>
      <w:proofErr w:type="spellStart"/>
      <w:r w:rsidRPr="002B7674">
        <w:rPr>
          <w:lang w:val="ru-RU"/>
        </w:rPr>
        <w:t>Fig</w:t>
      </w:r>
      <w:proofErr w:type="spellEnd"/>
      <w:r w:rsidRPr="002B7674">
        <w:rPr>
          <w:lang w:val="ru-RU"/>
        </w:rPr>
        <w:t>.</w:t>
      </w:r>
      <w:r>
        <w:rPr>
          <w:lang w:val="en-US"/>
        </w:rPr>
        <w:t> 4</w:t>
      </w:r>
      <w:r w:rsidR="00C5366C" w:rsidRPr="002B7674">
        <w:rPr>
          <w:lang w:val="en-US"/>
        </w:rPr>
        <w:t>.</w:t>
      </w:r>
    </w:p>
    <w:p w14:paraId="111669FA" w14:textId="77777777" w:rsidR="00C5366C" w:rsidRPr="002B7674" w:rsidRDefault="00C5366C" w:rsidP="00C5366C">
      <w:pPr>
        <w:pStyle w:val="ListEmdash"/>
        <w:rPr>
          <w:lang w:val="en-US"/>
        </w:rPr>
      </w:pPr>
    </w:p>
    <w:p w14:paraId="3D68743C" w14:textId="1D771EAE" w:rsidR="00C5366C" w:rsidRDefault="00721A5E" w:rsidP="00A055E3">
      <w:pPr>
        <w:pStyle w:val="ListEmdash"/>
        <w:jc w:val="center"/>
        <w:rPr>
          <w:lang w:val="ru-RU"/>
        </w:rPr>
      </w:pPr>
      <w:r>
        <w:rPr>
          <w:noProof/>
          <w:lang w:val="ru-RU"/>
        </w:rPr>
        <w:drawing>
          <wp:inline distT="0" distB="0" distL="0" distR="0" wp14:anchorId="2E858267" wp14:editId="0983B9AF">
            <wp:extent cx="3310255" cy="263398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0255" cy="2633980"/>
                    </a:xfrm>
                    <a:prstGeom prst="rect">
                      <a:avLst/>
                    </a:prstGeom>
                    <a:noFill/>
                  </pic:spPr>
                </pic:pic>
              </a:graphicData>
            </a:graphic>
          </wp:inline>
        </w:drawing>
      </w:r>
    </w:p>
    <w:p w14:paraId="40687CAD" w14:textId="70B06364" w:rsidR="00A055E3" w:rsidRPr="001935A8" w:rsidRDefault="00D176EB" w:rsidP="00A055E3">
      <w:pPr>
        <w:pStyle w:val="ListEmdash"/>
        <w:jc w:val="center"/>
        <w:rPr>
          <w:i/>
          <w:lang w:val="en-US"/>
        </w:rPr>
      </w:pPr>
      <w:r w:rsidRPr="001935A8">
        <w:rPr>
          <w:i/>
          <w:sz w:val="18"/>
          <w:szCs w:val="18"/>
          <w:lang w:val="en-US"/>
        </w:rPr>
        <w:t>FIG</w:t>
      </w:r>
      <w:r w:rsidR="00A055E3" w:rsidRPr="001935A8">
        <w:rPr>
          <w:i/>
          <w:sz w:val="18"/>
          <w:szCs w:val="18"/>
          <w:lang w:val="en-US"/>
        </w:rPr>
        <w:t xml:space="preserve">. </w:t>
      </w:r>
      <w:r w:rsidR="00C55664" w:rsidRPr="001935A8">
        <w:rPr>
          <w:i/>
          <w:sz w:val="18"/>
          <w:szCs w:val="18"/>
          <w:lang w:val="en-US"/>
        </w:rPr>
        <w:t>4</w:t>
      </w:r>
      <w:r w:rsidR="00A055E3" w:rsidRPr="001935A8">
        <w:rPr>
          <w:i/>
          <w:sz w:val="18"/>
          <w:szCs w:val="18"/>
          <w:lang w:val="en-US"/>
        </w:rPr>
        <w:t xml:space="preserve"> - </w:t>
      </w:r>
      <w:r w:rsidR="00BB0B02">
        <w:rPr>
          <w:bCs/>
          <w:i/>
          <w:sz w:val="18"/>
          <w:szCs w:val="18"/>
          <w:lang w:val="en-US"/>
        </w:rPr>
        <w:t>Radioactive waste</w:t>
      </w:r>
      <w:r w:rsidR="001935A8" w:rsidRPr="001935A8">
        <w:rPr>
          <w:bCs/>
          <w:i/>
          <w:sz w:val="18"/>
          <w:szCs w:val="18"/>
          <w:lang w:val="en-US"/>
        </w:rPr>
        <w:t xml:space="preserve"> disposal costs for the entire life cycle</w:t>
      </w:r>
      <w:r w:rsidR="00A055E3" w:rsidRPr="001935A8">
        <w:rPr>
          <w:bCs/>
          <w:i/>
          <w:sz w:val="18"/>
          <w:szCs w:val="18"/>
          <w:lang w:val="en-US"/>
        </w:rPr>
        <w:t xml:space="preserve">, </w:t>
      </w:r>
      <w:r w:rsidRPr="001935A8">
        <w:rPr>
          <w:bCs/>
          <w:i/>
          <w:sz w:val="18"/>
          <w:szCs w:val="18"/>
          <w:lang w:val="en-US"/>
        </w:rPr>
        <w:t>relative units</w:t>
      </w:r>
    </w:p>
    <w:p w14:paraId="009170DF" w14:textId="77777777" w:rsidR="00C5366C" w:rsidRPr="001935A8" w:rsidRDefault="00C5366C" w:rsidP="00C5366C">
      <w:pPr>
        <w:pStyle w:val="ListEmdash"/>
        <w:ind w:left="349"/>
        <w:rPr>
          <w:lang w:val="en-US"/>
        </w:rPr>
      </w:pPr>
    </w:p>
    <w:p w14:paraId="52608B95" w14:textId="4D8C7761" w:rsidR="001404FE" w:rsidRPr="00361B78" w:rsidRDefault="00361B78" w:rsidP="00CA056D">
      <w:pPr>
        <w:pStyle w:val="ListEmdash"/>
        <w:ind w:firstLine="709"/>
        <w:rPr>
          <w:lang w:val="en-US"/>
        </w:rPr>
      </w:pPr>
      <w:r w:rsidRPr="00EB74DB">
        <w:rPr>
          <w:lang w:val="en-US"/>
        </w:rPr>
        <w:t>The</w:t>
      </w:r>
      <w:r w:rsidRPr="00361B78">
        <w:rPr>
          <w:lang w:val="en-US"/>
        </w:rPr>
        <w:t xml:space="preserve"> </w:t>
      </w:r>
      <w:r w:rsidRPr="00EB74DB">
        <w:rPr>
          <w:lang w:val="en-US"/>
        </w:rPr>
        <w:t>main</w:t>
      </w:r>
      <w:r w:rsidRPr="00361B78">
        <w:rPr>
          <w:lang w:val="en-US"/>
        </w:rPr>
        <w:t xml:space="preserve"> </w:t>
      </w:r>
      <w:r w:rsidRPr="00EB74DB">
        <w:rPr>
          <w:lang w:val="en-US"/>
        </w:rPr>
        <w:t>conclusion</w:t>
      </w:r>
      <w:r w:rsidRPr="00361B78">
        <w:rPr>
          <w:lang w:val="en-US"/>
        </w:rPr>
        <w:t xml:space="preserve"> </w:t>
      </w:r>
      <w:r w:rsidRPr="00EB74DB">
        <w:rPr>
          <w:lang w:val="en-US"/>
        </w:rPr>
        <w:t>based</w:t>
      </w:r>
      <w:r w:rsidRPr="00361B78">
        <w:rPr>
          <w:lang w:val="en-US"/>
        </w:rPr>
        <w:t xml:space="preserve"> </w:t>
      </w:r>
      <w:r w:rsidRPr="00EB74DB">
        <w:rPr>
          <w:lang w:val="en-US"/>
        </w:rPr>
        <w:t>on</w:t>
      </w:r>
      <w:r w:rsidRPr="00361B78">
        <w:rPr>
          <w:lang w:val="en-US"/>
        </w:rPr>
        <w:t xml:space="preserve"> </w:t>
      </w:r>
      <w:r w:rsidRPr="00EB74DB">
        <w:rPr>
          <w:lang w:val="en-US"/>
        </w:rPr>
        <w:t>results</w:t>
      </w:r>
      <w:r w:rsidRPr="00361B78">
        <w:rPr>
          <w:lang w:val="en-US"/>
        </w:rPr>
        <w:t xml:space="preserve"> </w:t>
      </w:r>
      <w:r w:rsidRPr="00EB74DB">
        <w:rPr>
          <w:lang w:val="en-US"/>
        </w:rPr>
        <w:t>of</w:t>
      </w:r>
      <w:r w:rsidRPr="00361B78">
        <w:rPr>
          <w:lang w:val="en-US"/>
        </w:rPr>
        <w:t xml:space="preserve"> </w:t>
      </w:r>
      <w:r w:rsidRPr="00EB74DB">
        <w:rPr>
          <w:lang w:val="en-US"/>
        </w:rPr>
        <w:t>calculations</w:t>
      </w:r>
      <w:r w:rsidR="00CA056D" w:rsidRPr="00361B78">
        <w:rPr>
          <w:lang w:val="en-US"/>
        </w:rPr>
        <w:t xml:space="preserve">: </w:t>
      </w:r>
      <w:r w:rsidRPr="00361B78">
        <w:rPr>
          <w:lang w:val="en-US"/>
        </w:rPr>
        <w:t xml:space="preserve">the most efficient option for organizing NFC is a closed NFC with </w:t>
      </w:r>
      <w:r>
        <w:rPr>
          <w:lang w:val="en-US"/>
        </w:rPr>
        <w:t>FR</w:t>
      </w:r>
      <w:r w:rsidRPr="00361B78">
        <w:rPr>
          <w:lang w:val="en-US"/>
        </w:rPr>
        <w:t xml:space="preserve"> when handling radioactive waste </w:t>
      </w:r>
      <w:r>
        <w:rPr>
          <w:lang w:val="en-US"/>
        </w:rPr>
        <w:t>according</w:t>
      </w:r>
      <w:r w:rsidRPr="00361B78">
        <w:rPr>
          <w:lang w:val="en-US"/>
        </w:rPr>
        <w:t xml:space="preserve"> </w:t>
      </w:r>
      <w:r w:rsidR="00485CCB" w:rsidRPr="00485CCB">
        <w:rPr>
          <w:lang w:val="en-US"/>
        </w:rPr>
        <w:t>«</w:t>
      </w:r>
      <w:r>
        <w:rPr>
          <w:lang w:val="en-US"/>
        </w:rPr>
        <w:t>Proryv</w:t>
      </w:r>
      <w:r w:rsidR="00485CCB">
        <w:rPr>
          <w:lang w:val="en-US"/>
        </w:rPr>
        <w:t>+</w:t>
      </w:r>
      <w:r w:rsidR="00485CCB" w:rsidRPr="00485CCB">
        <w:rPr>
          <w:lang w:val="en-US"/>
        </w:rPr>
        <w:t>»</w:t>
      </w:r>
      <w:r>
        <w:rPr>
          <w:lang w:val="en-US"/>
        </w:rPr>
        <w:t xml:space="preserve"> option</w:t>
      </w:r>
      <w:r w:rsidR="00CA056D" w:rsidRPr="00361B78">
        <w:rPr>
          <w:lang w:val="en-US"/>
        </w:rPr>
        <w:t>.</w:t>
      </w:r>
    </w:p>
    <w:p w14:paraId="38820B03" w14:textId="7D62A58B" w:rsidR="00BF3AA5" w:rsidRPr="00C5366C" w:rsidRDefault="00F071E7" w:rsidP="00BF3AA5">
      <w:pPr>
        <w:pStyle w:val="2"/>
        <w:numPr>
          <w:ilvl w:val="1"/>
          <w:numId w:val="10"/>
        </w:numPr>
        <w:rPr>
          <w:lang w:val="en-US"/>
        </w:rPr>
      </w:pPr>
      <w:r>
        <w:rPr>
          <w:lang w:val="en-US"/>
        </w:rPr>
        <w:t>CONCLUSION</w:t>
      </w:r>
    </w:p>
    <w:p w14:paraId="6FED4961" w14:textId="63A572F3" w:rsidR="00BF3AA5" w:rsidRPr="00C97F4D" w:rsidRDefault="00C97F4D" w:rsidP="00BF3AA5">
      <w:pPr>
        <w:pStyle w:val="a1"/>
        <w:rPr>
          <w:lang w:val="en-US"/>
        </w:rPr>
      </w:pPr>
      <w:r>
        <w:rPr>
          <w:lang w:val="en-US"/>
        </w:rPr>
        <w:t>T</w:t>
      </w:r>
      <w:r w:rsidRPr="00C97F4D">
        <w:rPr>
          <w:lang w:val="en-US"/>
        </w:rPr>
        <w:t>he obtained results assessment</w:t>
      </w:r>
      <w:r>
        <w:rPr>
          <w:lang w:val="en-US"/>
        </w:rPr>
        <w:t>s</w:t>
      </w:r>
      <w:r w:rsidRPr="00C97F4D">
        <w:rPr>
          <w:lang w:val="en-US"/>
        </w:rPr>
        <w:t xml:space="preserve"> of the competitiveness NPPs with </w:t>
      </w:r>
      <w:r>
        <w:rPr>
          <w:lang w:val="en-US"/>
        </w:rPr>
        <w:t>TR</w:t>
      </w:r>
      <w:r w:rsidRPr="00C97F4D">
        <w:rPr>
          <w:lang w:val="en-US"/>
        </w:rPr>
        <w:t xml:space="preserve"> and </w:t>
      </w:r>
      <w:r>
        <w:rPr>
          <w:lang w:val="en-US"/>
        </w:rPr>
        <w:t>FR</w:t>
      </w:r>
      <w:r w:rsidRPr="00C97F4D">
        <w:rPr>
          <w:lang w:val="en-US"/>
        </w:rPr>
        <w:t xml:space="preserve"> indicate following</w:t>
      </w:r>
      <w:r w:rsidR="00B40037" w:rsidRPr="00C97F4D">
        <w:rPr>
          <w:lang w:val="en-US"/>
        </w:rPr>
        <w:t>:</w:t>
      </w:r>
    </w:p>
    <w:p w14:paraId="6F605C93" w14:textId="77777777" w:rsidR="00E91818" w:rsidRPr="00C97F4D" w:rsidRDefault="00E91818" w:rsidP="00BF3AA5">
      <w:pPr>
        <w:pStyle w:val="a1"/>
        <w:rPr>
          <w:lang w:val="en-US"/>
        </w:rPr>
      </w:pPr>
    </w:p>
    <w:p w14:paraId="2D40E6C7" w14:textId="244DD081" w:rsidR="001404FE" w:rsidRPr="00C97F4D" w:rsidRDefault="00C97F4D" w:rsidP="00C97F4D">
      <w:pPr>
        <w:pStyle w:val="ListNumbered"/>
        <w:rPr>
          <w:lang w:val="en-US"/>
        </w:rPr>
      </w:pPr>
      <w:r w:rsidRPr="00C97F4D">
        <w:rPr>
          <w:lang w:val="en-US"/>
        </w:rPr>
        <w:t xml:space="preserve">For conditions of placement on the territory of Russia in medium term, the main competitor </w:t>
      </w:r>
      <w:r>
        <w:rPr>
          <w:lang w:val="en-US"/>
        </w:rPr>
        <w:t>for</w:t>
      </w:r>
      <w:r w:rsidRPr="00C97F4D">
        <w:rPr>
          <w:lang w:val="en-US"/>
        </w:rPr>
        <w:t xml:space="preserve"> NPPs are power units with CCGT</w:t>
      </w:r>
      <w:r w:rsidR="00B40037" w:rsidRPr="00C97F4D">
        <w:rPr>
          <w:lang w:val="en-US"/>
        </w:rPr>
        <w:t>.</w:t>
      </w:r>
    </w:p>
    <w:p w14:paraId="2DE22EBF" w14:textId="725D2F82" w:rsidR="001404FE" w:rsidRPr="00C97F4D" w:rsidRDefault="00C97F4D" w:rsidP="00C97F4D">
      <w:pPr>
        <w:pStyle w:val="ListNumbered"/>
        <w:rPr>
          <w:lang w:val="en-US"/>
        </w:rPr>
      </w:pPr>
      <w:r w:rsidRPr="00C97F4D">
        <w:rPr>
          <w:lang w:val="en-US"/>
        </w:rPr>
        <w:t xml:space="preserve">NPPs with </w:t>
      </w:r>
      <w:r>
        <w:rPr>
          <w:lang w:val="en-US"/>
        </w:rPr>
        <w:t>FR</w:t>
      </w:r>
      <w:r w:rsidRPr="00C97F4D">
        <w:rPr>
          <w:lang w:val="en-US"/>
        </w:rPr>
        <w:t xml:space="preserve"> and </w:t>
      </w:r>
      <w:r>
        <w:rPr>
          <w:lang w:val="en-US"/>
        </w:rPr>
        <w:t>T</w:t>
      </w:r>
      <w:r w:rsidRPr="00C97F4D">
        <w:rPr>
          <w:lang w:val="en-US"/>
        </w:rPr>
        <w:t>R</w:t>
      </w:r>
      <w:r w:rsidR="00482625" w:rsidRPr="00482625">
        <w:rPr>
          <w:lang w:val="en-US"/>
        </w:rPr>
        <w:t xml:space="preserve">, </w:t>
      </w:r>
      <w:r w:rsidRPr="00C97F4D">
        <w:rPr>
          <w:lang w:val="en-US"/>
        </w:rPr>
        <w:t>that meet the target indicators of the N</w:t>
      </w:r>
      <w:r w:rsidR="00A56DFA">
        <w:rPr>
          <w:lang w:val="en-US"/>
        </w:rPr>
        <w:t>uclear</w:t>
      </w:r>
      <w:r w:rsidRPr="00C97F4D">
        <w:rPr>
          <w:lang w:val="en-US"/>
        </w:rPr>
        <w:t xml:space="preserve"> Strategy</w:t>
      </w:r>
      <w:r w:rsidR="00482625" w:rsidRPr="00482625">
        <w:rPr>
          <w:lang w:val="en-US"/>
        </w:rPr>
        <w:t>,</w:t>
      </w:r>
      <w:r w:rsidRPr="00C97F4D">
        <w:rPr>
          <w:lang w:val="en-US"/>
        </w:rPr>
        <w:t xml:space="preserve"> will be competitive in comparison with CCGT</w:t>
      </w:r>
      <w:r w:rsidR="00B40037" w:rsidRPr="00C97F4D">
        <w:rPr>
          <w:lang w:val="en-US"/>
        </w:rPr>
        <w:t>.</w:t>
      </w:r>
    </w:p>
    <w:p w14:paraId="40DE792E" w14:textId="5FAA7E45" w:rsidR="00FE3C48" w:rsidRPr="002E3D26" w:rsidRDefault="002E3D26" w:rsidP="00B40037">
      <w:pPr>
        <w:pStyle w:val="ListNumbered"/>
        <w:rPr>
          <w:lang w:val="en-US"/>
        </w:rPr>
      </w:pPr>
      <w:r>
        <w:rPr>
          <w:lang w:val="en-US"/>
        </w:rPr>
        <w:t>R</w:t>
      </w:r>
      <w:r w:rsidRPr="00EB74DB">
        <w:rPr>
          <w:lang w:val="en-US"/>
        </w:rPr>
        <w:t xml:space="preserve">esistance to external factors allows to talk </w:t>
      </w:r>
      <w:r w:rsidR="002C12B6">
        <w:rPr>
          <w:lang w:val="en-US"/>
        </w:rPr>
        <w:t>for</w:t>
      </w:r>
      <w:r w:rsidRPr="00EB74DB">
        <w:rPr>
          <w:lang w:val="en-US"/>
        </w:rPr>
        <w:t xml:space="preserve"> the competitiveness of nuclear energy technologies in the long term</w:t>
      </w:r>
      <w:r w:rsidR="00FE3C48" w:rsidRPr="002E3D26">
        <w:rPr>
          <w:lang w:val="en-US"/>
        </w:rPr>
        <w:t>.</w:t>
      </w:r>
    </w:p>
    <w:p w14:paraId="2611D6B2" w14:textId="54380BB0" w:rsidR="00361B78" w:rsidRPr="008475FC" w:rsidRDefault="002E3D26" w:rsidP="007A7EC2">
      <w:pPr>
        <w:pStyle w:val="ListNumbered"/>
        <w:rPr>
          <w:rFonts w:ascii="Times New Roman Bold" w:hAnsi="Times New Roman Bold"/>
          <w:b/>
          <w:caps/>
        </w:rPr>
      </w:pPr>
      <w:r w:rsidRPr="008475FC">
        <w:rPr>
          <w:lang w:val="en-US"/>
        </w:rPr>
        <w:t>Option of closed NFC with FR and MNIT-fuel is more efficient than the traditional NFC</w:t>
      </w:r>
      <w:r w:rsidR="00F768B5" w:rsidRPr="008475FC">
        <w:rPr>
          <w:lang w:val="en-US"/>
        </w:rPr>
        <w:t xml:space="preserve"> with</w:t>
      </w:r>
      <w:r w:rsidRPr="008475FC">
        <w:rPr>
          <w:lang w:val="en-US"/>
        </w:rPr>
        <w:t xml:space="preserve"> TR </w:t>
      </w:r>
      <w:r w:rsidR="00F768B5" w:rsidRPr="008475FC">
        <w:rPr>
          <w:lang w:val="en-US"/>
        </w:rPr>
        <w:t>and</w:t>
      </w:r>
      <w:r w:rsidRPr="008475FC">
        <w:rPr>
          <w:lang w:val="en-US"/>
        </w:rPr>
        <w:t xml:space="preserve"> UO</w:t>
      </w:r>
      <w:r w:rsidRPr="008475FC">
        <w:rPr>
          <w:vertAlign w:val="subscript"/>
          <w:lang w:val="en-US"/>
        </w:rPr>
        <w:t>2</w:t>
      </w:r>
      <w:r w:rsidRPr="008475FC">
        <w:rPr>
          <w:lang w:val="en-US"/>
        </w:rPr>
        <w:t>-fuel</w:t>
      </w:r>
      <w:r w:rsidR="00BD6024" w:rsidRPr="008475FC">
        <w:rPr>
          <w:lang w:val="en-US"/>
        </w:rPr>
        <w:t>.</w:t>
      </w:r>
      <w:r w:rsidR="00361B78">
        <w:br w:type="page"/>
      </w:r>
    </w:p>
    <w:p w14:paraId="433FE097" w14:textId="5DC69368" w:rsidR="00D26ADA" w:rsidRPr="003B520C" w:rsidRDefault="000D6EC9" w:rsidP="00537496">
      <w:pPr>
        <w:pStyle w:val="Otherunnumberedheadings"/>
        <w:rPr>
          <w:rFonts w:ascii="Times New Roman" w:hAnsi="Times New Roman"/>
          <w:lang w:val="ru-RU"/>
        </w:rPr>
      </w:pPr>
      <w:r>
        <w:lastRenderedPageBreak/>
        <w:t>REFERENCES</w:t>
      </w:r>
    </w:p>
    <w:p w14:paraId="0539E4CB" w14:textId="15EC5DED" w:rsidR="00654032" w:rsidRPr="00654032" w:rsidRDefault="00654032" w:rsidP="00537496">
      <w:pPr>
        <w:pStyle w:val="Referencelist"/>
        <w:rPr>
          <w:lang w:val="en-US"/>
        </w:rPr>
      </w:pPr>
      <w:r w:rsidRPr="00196DB2">
        <w:rPr>
          <w:lang w:val="en-US"/>
        </w:rPr>
        <w:t>International Energy Agency</w:t>
      </w:r>
      <w:r w:rsidRPr="00654032">
        <w:rPr>
          <w:lang w:val="en-US"/>
        </w:rPr>
        <w:t xml:space="preserve"> (</w:t>
      </w:r>
      <w:r>
        <w:rPr>
          <w:lang w:val="en-US"/>
        </w:rPr>
        <w:t>IEA</w:t>
      </w:r>
      <w:r w:rsidRPr="00654032">
        <w:rPr>
          <w:lang w:val="en-US"/>
        </w:rPr>
        <w:t>), «</w:t>
      </w:r>
      <w:r w:rsidRPr="009700BD">
        <w:rPr>
          <w:lang w:val="en-US"/>
        </w:rPr>
        <w:t>World Energy Outlook 2019</w:t>
      </w:r>
      <w:r w:rsidRPr="00654032">
        <w:rPr>
          <w:lang w:val="en-US"/>
        </w:rPr>
        <w:t>», 2019.</w:t>
      </w:r>
    </w:p>
    <w:p w14:paraId="59E5C291" w14:textId="1ADDBA5C" w:rsidR="002E0621" w:rsidRPr="00654032" w:rsidRDefault="00654032" w:rsidP="00537496">
      <w:pPr>
        <w:pStyle w:val="Referencelist"/>
        <w:rPr>
          <w:lang w:val="en-US"/>
        </w:rPr>
      </w:pPr>
      <w:r w:rsidRPr="009F01A2">
        <w:rPr>
          <w:lang w:val="en-US"/>
        </w:rPr>
        <w:t>Energy</w:t>
      </w:r>
      <w:r w:rsidRPr="00A4480F">
        <w:rPr>
          <w:lang w:val="en-US"/>
        </w:rPr>
        <w:t xml:space="preserve"> </w:t>
      </w:r>
      <w:r w:rsidRPr="009F01A2">
        <w:rPr>
          <w:lang w:val="en-US"/>
        </w:rPr>
        <w:t>Information</w:t>
      </w:r>
      <w:r w:rsidRPr="00A4480F">
        <w:rPr>
          <w:lang w:val="en-US"/>
        </w:rPr>
        <w:t xml:space="preserve"> </w:t>
      </w:r>
      <w:r w:rsidRPr="009F01A2">
        <w:rPr>
          <w:lang w:val="en-US"/>
        </w:rPr>
        <w:t>Administration</w:t>
      </w:r>
      <w:r w:rsidRPr="00A4480F">
        <w:rPr>
          <w:lang w:val="en-US"/>
        </w:rPr>
        <w:t xml:space="preserve"> (</w:t>
      </w:r>
      <w:r>
        <w:rPr>
          <w:lang w:val="en-US"/>
        </w:rPr>
        <w:t>EIA</w:t>
      </w:r>
      <w:r w:rsidRPr="00A4480F">
        <w:rPr>
          <w:lang w:val="en-US"/>
        </w:rPr>
        <w:t>)</w:t>
      </w:r>
      <w:r w:rsidRPr="00654032">
        <w:rPr>
          <w:lang w:val="en-US"/>
        </w:rPr>
        <w:t>,</w:t>
      </w:r>
      <w:r w:rsidRPr="00A4480F">
        <w:rPr>
          <w:lang w:val="en-US"/>
        </w:rPr>
        <w:t xml:space="preserve"> </w:t>
      </w:r>
      <w:r w:rsidRPr="009F01A2">
        <w:rPr>
          <w:lang w:val="en-US"/>
        </w:rPr>
        <w:t>U</w:t>
      </w:r>
      <w:r w:rsidR="00E72DE3" w:rsidRPr="00E72DE3">
        <w:rPr>
          <w:lang w:val="en-US"/>
        </w:rPr>
        <w:t>.</w:t>
      </w:r>
      <w:r w:rsidRPr="009F01A2">
        <w:rPr>
          <w:lang w:val="en-US"/>
        </w:rPr>
        <w:t>S</w:t>
      </w:r>
      <w:r w:rsidR="00E72DE3" w:rsidRPr="00E72DE3">
        <w:rPr>
          <w:lang w:val="en-US"/>
        </w:rPr>
        <w:t>.</w:t>
      </w:r>
      <w:r w:rsidRPr="00A4480F">
        <w:rPr>
          <w:lang w:val="en-US"/>
        </w:rPr>
        <w:t xml:space="preserve"> </w:t>
      </w:r>
      <w:r w:rsidRPr="009F01A2">
        <w:rPr>
          <w:lang w:val="en-US"/>
        </w:rPr>
        <w:t>Department</w:t>
      </w:r>
      <w:r w:rsidRPr="00A4480F">
        <w:rPr>
          <w:lang w:val="en-US"/>
        </w:rPr>
        <w:t xml:space="preserve"> </w:t>
      </w:r>
      <w:r w:rsidRPr="009F01A2">
        <w:rPr>
          <w:lang w:val="en-US"/>
        </w:rPr>
        <w:t>of</w:t>
      </w:r>
      <w:r w:rsidRPr="00A4480F">
        <w:rPr>
          <w:lang w:val="en-US"/>
        </w:rPr>
        <w:t xml:space="preserve"> </w:t>
      </w:r>
      <w:r w:rsidRPr="009F01A2">
        <w:rPr>
          <w:lang w:val="en-US"/>
        </w:rPr>
        <w:t>Energy</w:t>
      </w:r>
      <w:r w:rsidRPr="00654032">
        <w:rPr>
          <w:lang w:val="en-US"/>
        </w:rPr>
        <w:t>, «</w:t>
      </w:r>
      <w:r w:rsidRPr="00240244">
        <w:rPr>
          <w:lang w:val="en-US"/>
        </w:rPr>
        <w:t>International Energy Outlook 2019</w:t>
      </w:r>
      <w:r w:rsidRPr="00654032">
        <w:rPr>
          <w:lang w:val="en-US"/>
        </w:rPr>
        <w:t>»</w:t>
      </w:r>
      <w:r>
        <w:rPr>
          <w:lang w:val="en-US"/>
        </w:rPr>
        <w:t xml:space="preserve">, </w:t>
      </w:r>
      <w:r w:rsidRPr="00861765">
        <w:rPr>
          <w:lang w:val="en-US"/>
        </w:rPr>
        <w:t>20</w:t>
      </w:r>
      <w:r>
        <w:rPr>
          <w:lang w:val="en-US"/>
        </w:rPr>
        <w:t>19</w:t>
      </w:r>
      <w:r w:rsidRPr="00654032">
        <w:rPr>
          <w:lang w:val="en-US"/>
        </w:rPr>
        <w:t>.</w:t>
      </w:r>
    </w:p>
    <w:p w14:paraId="56777474" w14:textId="44442056" w:rsidR="002E0621" w:rsidRPr="000512E9" w:rsidRDefault="000512E9" w:rsidP="000512E9">
      <w:pPr>
        <w:pStyle w:val="Referencelist"/>
        <w:rPr>
          <w:lang w:val="en-US"/>
        </w:rPr>
      </w:pPr>
      <w:r>
        <w:t>The Energy Research Institute of the Russian Academy of Sciences</w:t>
      </w:r>
      <w:r w:rsidR="00523D59" w:rsidRPr="00523D59">
        <w:rPr>
          <w:lang w:val="en-US"/>
        </w:rPr>
        <w:t xml:space="preserve"> (</w:t>
      </w:r>
      <w:r w:rsidR="00523D59">
        <w:rPr>
          <w:lang w:val="en-US"/>
        </w:rPr>
        <w:t>ERI RAS</w:t>
      </w:r>
      <w:r w:rsidR="00523D59" w:rsidRPr="00523D59">
        <w:rPr>
          <w:lang w:val="en-US"/>
        </w:rPr>
        <w:t>),</w:t>
      </w:r>
      <w:r>
        <w:t xml:space="preserve"> The Energy Centre</w:t>
      </w:r>
      <w:r w:rsidR="00523D59" w:rsidRPr="00523D59">
        <w:rPr>
          <w:lang w:val="en-US"/>
        </w:rPr>
        <w:t xml:space="preserve"> </w:t>
      </w:r>
      <w:r>
        <w:t>Moscow School of Management SKOLKOVO</w:t>
      </w:r>
      <w:r w:rsidR="00523D59" w:rsidRPr="00523D59">
        <w:rPr>
          <w:lang w:val="en-US"/>
        </w:rPr>
        <w:t>, «</w:t>
      </w:r>
      <w:r w:rsidRPr="000512E9">
        <w:rPr>
          <w:lang w:val="en-US"/>
        </w:rPr>
        <w:t>G</w:t>
      </w:r>
      <w:r>
        <w:rPr>
          <w:lang w:val="en-US"/>
        </w:rPr>
        <w:t>lobal</w:t>
      </w:r>
      <w:r w:rsidRPr="000512E9">
        <w:rPr>
          <w:lang w:val="en-US"/>
        </w:rPr>
        <w:t xml:space="preserve"> </w:t>
      </w:r>
      <w:r>
        <w:rPr>
          <w:lang w:val="en-US"/>
        </w:rPr>
        <w:t>and</w:t>
      </w:r>
      <w:r w:rsidRPr="000512E9">
        <w:rPr>
          <w:lang w:val="en-US"/>
        </w:rPr>
        <w:t xml:space="preserve"> R</w:t>
      </w:r>
      <w:r>
        <w:rPr>
          <w:lang w:val="en-US"/>
        </w:rPr>
        <w:t>ussian</w:t>
      </w:r>
      <w:r w:rsidRPr="000512E9">
        <w:rPr>
          <w:lang w:val="en-US"/>
        </w:rPr>
        <w:t xml:space="preserve"> E</w:t>
      </w:r>
      <w:r>
        <w:rPr>
          <w:lang w:val="en-US"/>
        </w:rPr>
        <w:t>nergy</w:t>
      </w:r>
      <w:r w:rsidRPr="000512E9">
        <w:rPr>
          <w:lang w:val="en-US"/>
        </w:rPr>
        <w:t xml:space="preserve"> O</w:t>
      </w:r>
      <w:r>
        <w:rPr>
          <w:lang w:val="en-US"/>
        </w:rPr>
        <w:t>utlook 2019</w:t>
      </w:r>
      <w:r w:rsidR="00523D59" w:rsidRPr="00523D59">
        <w:rPr>
          <w:lang w:val="en-US"/>
        </w:rPr>
        <w:t>»,</w:t>
      </w:r>
      <w:r w:rsidR="00DA79A3" w:rsidRPr="000512E9">
        <w:rPr>
          <w:lang w:val="en-US"/>
        </w:rPr>
        <w:t xml:space="preserve"> </w:t>
      </w:r>
      <w:r w:rsidR="00DC3C04" w:rsidRPr="000512E9">
        <w:rPr>
          <w:lang w:val="en-US"/>
        </w:rPr>
        <w:t>2019.</w:t>
      </w:r>
    </w:p>
    <w:p w14:paraId="433FE098" w14:textId="64CB2ADB" w:rsidR="00285755" w:rsidRPr="00BB0B02" w:rsidRDefault="00BB0B02" w:rsidP="00537496">
      <w:pPr>
        <w:pStyle w:val="Referencelist"/>
      </w:pPr>
      <w:r w:rsidRPr="00BB0B02">
        <w:t>State Atomic Energy Corporation Rosatom</w:t>
      </w:r>
      <w:r w:rsidR="002E0621" w:rsidRPr="00BB0B02">
        <w:t>, «</w:t>
      </w:r>
      <w:r w:rsidR="00BC5EEC" w:rsidRPr="00BB0B02">
        <w:t>The development strategy of nuclear energy in Russia until 2050 and prospects for the period up to 2100</w:t>
      </w:r>
      <w:r w:rsidR="002E0621" w:rsidRPr="00BB0B02">
        <w:t>», 2018.</w:t>
      </w:r>
    </w:p>
    <w:p w14:paraId="433FE09C" w14:textId="29B077F4" w:rsidR="009E0D5B" w:rsidRPr="00BC5EEC" w:rsidRDefault="00BC5EEC" w:rsidP="00537496">
      <w:pPr>
        <w:pStyle w:val="Referencelist"/>
        <w:rPr>
          <w:lang w:val="en-US"/>
        </w:rPr>
      </w:pPr>
      <w:proofErr w:type="spellStart"/>
      <w:r w:rsidRPr="00BC5EEC">
        <w:rPr>
          <w:lang w:val="en-US"/>
        </w:rPr>
        <w:t>Kashcheev</w:t>
      </w:r>
      <w:proofErr w:type="spellEnd"/>
      <w:r w:rsidRPr="00BC5EEC">
        <w:rPr>
          <w:lang w:val="en-US"/>
        </w:rPr>
        <w:t xml:space="preserve"> V.A., </w:t>
      </w:r>
      <w:proofErr w:type="spellStart"/>
      <w:r w:rsidRPr="00BC5EEC">
        <w:rPr>
          <w:lang w:val="en-US"/>
        </w:rPr>
        <w:t>Shadrin</w:t>
      </w:r>
      <w:proofErr w:type="spellEnd"/>
      <w:r w:rsidRPr="00BC5EEC">
        <w:rPr>
          <w:lang w:val="en-US"/>
        </w:rPr>
        <w:t xml:space="preserve"> </w:t>
      </w:r>
      <w:proofErr w:type="spellStart"/>
      <w:r w:rsidRPr="00BC5EEC">
        <w:rPr>
          <w:lang w:val="en-US"/>
        </w:rPr>
        <w:t>A.Yu</w:t>
      </w:r>
      <w:proofErr w:type="spellEnd"/>
      <w:r w:rsidRPr="00BC5EEC">
        <w:rPr>
          <w:lang w:val="en-US"/>
        </w:rPr>
        <w:t xml:space="preserve">., </w:t>
      </w:r>
      <w:proofErr w:type="spellStart"/>
      <w:r w:rsidRPr="00BC5EEC">
        <w:rPr>
          <w:lang w:val="en-US"/>
        </w:rPr>
        <w:t>Rykovanov</w:t>
      </w:r>
      <w:proofErr w:type="spellEnd"/>
      <w:r w:rsidRPr="00BC5EEC">
        <w:rPr>
          <w:lang w:val="en-US"/>
        </w:rPr>
        <w:t xml:space="preserve"> G.N. , </w:t>
      </w:r>
      <w:proofErr w:type="spellStart"/>
      <w:r w:rsidRPr="00BC5EEC">
        <w:rPr>
          <w:lang w:val="en-US"/>
        </w:rPr>
        <w:t>Dyrda</w:t>
      </w:r>
      <w:proofErr w:type="spellEnd"/>
      <w:r w:rsidRPr="00BC5EEC">
        <w:rPr>
          <w:lang w:val="en-US"/>
        </w:rPr>
        <w:t xml:space="preserve"> N.D., </w:t>
      </w:r>
      <w:proofErr w:type="spellStart"/>
      <w:r w:rsidRPr="00BC5EEC">
        <w:rPr>
          <w:lang w:val="en-US"/>
        </w:rPr>
        <w:t>Makeeva</w:t>
      </w:r>
      <w:proofErr w:type="spellEnd"/>
      <w:r w:rsidRPr="00BC5EEC">
        <w:rPr>
          <w:lang w:val="en-US"/>
        </w:rPr>
        <w:t xml:space="preserve"> I.R., Khmelnitsky D.V., Alekseev P.N.</w:t>
      </w:r>
      <w:r w:rsidR="002E0621" w:rsidRPr="00BC5EEC">
        <w:rPr>
          <w:lang w:val="en-US"/>
        </w:rPr>
        <w:t>, «</w:t>
      </w:r>
      <w:r w:rsidR="00BB0B02">
        <w:rPr>
          <w:lang w:val="en-US"/>
        </w:rPr>
        <w:t>Radioactive waste</w:t>
      </w:r>
      <w:r w:rsidRPr="00BC5EEC">
        <w:rPr>
          <w:lang w:val="en-US"/>
        </w:rPr>
        <w:t xml:space="preserve"> volumes from reprocessing of VVER-1000 spent nuclear fuel. Fractionation options</w:t>
      </w:r>
      <w:r w:rsidR="002E0621" w:rsidRPr="00BC5EEC">
        <w:rPr>
          <w:lang w:val="en-US"/>
        </w:rPr>
        <w:t xml:space="preserve">», </w:t>
      </w:r>
      <w:r w:rsidRPr="00BC5EEC">
        <w:rPr>
          <w:lang w:val="en-US"/>
        </w:rPr>
        <w:t>Atomic Energy Journal, Volume 127, No. 2</w:t>
      </w:r>
      <w:r w:rsidR="002E0621" w:rsidRPr="00BC5EEC">
        <w:rPr>
          <w:lang w:val="en-US"/>
        </w:rPr>
        <w:t>, 2019.</w:t>
      </w:r>
    </w:p>
    <w:p w14:paraId="5CA909BD" w14:textId="2DCD1B0C" w:rsidR="002E0621" w:rsidRPr="000512E9" w:rsidRDefault="00237264" w:rsidP="002E0621">
      <w:pPr>
        <w:pStyle w:val="Referencelist"/>
        <w:rPr>
          <w:lang w:val="en-US"/>
        </w:rPr>
      </w:pPr>
      <w:r w:rsidRPr="002B7674">
        <w:t xml:space="preserve">FSUE </w:t>
      </w:r>
      <w:r w:rsidR="00485CCB" w:rsidRPr="00485CCB">
        <w:rPr>
          <w:lang w:val="en-US"/>
        </w:rPr>
        <w:t>«</w:t>
      </w:r>
      <w:r w:rsidR="000512E9" w:rsidRPr="002B7674">
        <w:t>National Operator for Radioactive Waste management</w:t>
      </w:r>
      <w:r w:rsidR="00485CCB" w:rsidRPr="00485CCB">
        <w:rPr>
          <w:lang w:val="en-US"/>
        </w:rPr>
        <w:t>»,</w:t>
      </w:r>
      <w:r>
        <w:t xml:space="preserve"> </w:t>
      </w:r>
      <w:hyperlink r:id="rId17" w:history="1">
        <w:r w:rsidR="002E0621" w:rsidRPr="000512E9">
          <w:rPr>
            <w:rStyle w:val="af9"/>
            <w:lang w:val="en-US"/>
          </w:rPr>
          <w:t>http://www.norao.ru/about/tarify/</w:t>
        </w:r>
      </w:hyperlink>
    </w:p>
    <w:p w14:paraId="433FE0B6" w14:textId="77777777" w:rsidR="00F45EEE" w:rsidRPr="000512E9" w:rsidRDefault="00F45EEE" w:rsidP="00537496">
      <w:pPr>
        <w:pStyle w:val="a1"/>
        <w:ind w:firstLine="0"/>
        <w:jc w:val="left"/>
        <w:rPr>
          <w:lang w:val="en-US"/>
        </w:rPr>
      </w:pPr>
    </w:p>
    <w:sectPr w:rsidR="00F45EEE" w:rsidRPr="000512E9"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1B20" w14:textId="77777777" w:rsidR="0083423A" w:rsidRDefault="0083423A">
      <w:r>
        <w:separator/>
      </w:r>
    </w:p>
  </w:endnote>
  <w:endnote w:type="continuationSeparator" w:id="0">
    <w:p w14:paraId="4F32EE14" w14:textId="77777777" w:rsidR="0083423A" w:rsidRDefault="0083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E662DDC"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0270F">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75CD" w14:textId="77777777" w:rsidR="0083423A" w:rsidRDefault="0083423A">
      <w:r>
        <w:t>___________________________________________________________________________</w:t>
      </w:r>
    </w:p>
  </w:footnote>
  <w:footnote w:type="continuationSeparator" w:id="0">
    <w:p w14:paraId="687A0BE8" w14:textId="77777777" w:rsidR="0083423A" w:rsidRDefault="0083423A">
      <w:r>
        <w:t>___________________________________________________________________________</w:t>
      </w:r>
    </w:p>
  </w:footnote>
  <w:footnote w:type="continuationNotice" w:id="1">
    <w:p w14:paraId="65DD07BF" w14:textId="77777777" w:rsidR="0083423A" w:rsidRDefault="00834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7E73E369" w:rsidR="00E20E70" w:rsidRDefault="002C29DB" w:rsidP="00FD71C9">
    <w:pPr>
      <w:pStyle w:val="Runninghead"/>
    </w:pPr>
    <w:r>
      <w:t xml:space="preserve">FR21: </w:t>
    </w:r>
    <w:r w:rsidR="00CF7AF3">
      <w:t>IAEA-CN-</w:t>
    </w:r>
    <w:r>
      <w:t>291</w:t>
    </w:r>
    <w:r w:rsidR="00CF7AF3">
      <w:t>/</w:t>
    </w:r>
    <w:r w:rsidR="00FD71C9">
      <w:rPr>
        <w:lang w:val="ru-RU"/>
      </w:rPr>
      <w:t>318</w:t>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6451D73A" w:rsidR="00037321" w:rsidRPr="000D6EC9" w:rsidRDefault="000D6EC9" w:rsidP="00FD71C9">
    <w:pPr>
      <w:pStyle w:val="Runninghead"/>
      <w:rPr>
        <w:color w:val="BFBFBF" w:themeColor="background1" w:themeShade="BF"/>
        <w:lang w:val="en-US"/>
      </w:rPr>
    </w:pPr>
    <w:r>
      <w:rPr>
        <w:lang w:val="en-US"/>
      </w:rPr>
      <w:t>D</w:t>
    </w:r>
    <w:r w:rsidR="00FD71C9" w:rsidRPr="000D6EC9">
      <w:rPr>
        <w:lang w:val="en-US"/>
      </w:rPr>
      <w:t>.</w:t>
    </w:r>
    <w:r>
      <w:rPr>
        <w:lang w:val="en-US"/>
      </w:rPr>
      <w:t>A</w:t>
    </w:r>
    <w:r w:rsidR="00FD71C9" w:rsidRPr="000D6EC9">
      <w:rPr>
        <w:lang w:val="en-US"/>
      </w:rPr>
      <w:t xml:space="preserve">. </w:t>
    </w:r>
    <w:r>
      <w:rPr>
        <w:lang w:val="en-US"/>
      </w:rPr>
      <w:t>TOLSTOUKHOV</w:t>
    </w:r>
    <w:r w:rsidR="00FD71C9" w:rsidRPr="000D6EC9">
      <w:rPr>
        <w:lang w:val="en-US"/>
      </w:rPr>
      <w:t xml:space="preserve"> </w:t>
    </w:r>
    <w:r>
      <w:rPr>
        <w:lang w:val="en-US"/>
      </w:rPr>
      <w:t>at</w:t>
    </w:r>
    <w:r w:rsidR="00FD71C9" w:rsidRPr="000D6EC9">
      <w:rPr>
        <w:lang w:val="en-US"/>
      </w:rPr>
      <w:t xml:space="preserve"> </w:t>
    </w:r>
    <w:r>
      <w:rPr>
        <w:lang w:val="en-US"/>
      </w:rPr>
      <w:t>al</w:t>
    </w:r>
    <w:r w:rsidRPr="000D6EC9">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CEA"/>
    <w:multiLevelType w:val="hybridMultilevel"/>
    <w:tmpl w:val="89E236CA"/>
    <w:lvl w:ilvl="0" w:tplc="6584150E">
      <w:start w:val="1"/>
      <w:numFmt w:val="bullet"/>
      <w:lvlText w:val=""/>
      <w:lvlJc w:val="left"/>
      <w:pPr>
        <w:tabs>
          <w:tab w:val="num" w:pos="720"/>
        </w:tabs>
        <w:ind w:left="720" w:hanging="360"/>
      </w:pPr>
      <w:rPr>
        <w:rFonts w:ascii="Wingdings" w:hAnsi="Wingdings" w:hint="default"/>
      </w:rPr>
    </w:lvl>
    <w:lvl w:ilvl="1" w:tplc="FE220D9A" w:tentative="1">
      <w:start w:val="1"/>
      <w:numFmt w:val="bullet"/>
      <w:lvlText w:val=""/>
      <w:lvlJc w:val="left"/>
      <w:pPr>
        <w:tabs>
          <w:tab w:val="num" w:pos="1440"/>
        </w:tabs>
        <w:ind w:left="1440" w:hanging="360"/>
      </w:pPr>
      <w:rPr>
        <w:rFonts w:ascii="Wingdings" w:hAnsi="Wingdings" w:hint="default"/>
      </w:rPr>
    </w:lvl>
    <w:lvl w:ilvl="2" w:tplc="4EAEC7CA" w:tentative="1">
      <w:start w:val="1"/>
      <w:numFmt w:val="bullet"/>
      <w:lvlText w:val=""/>
      <w:lvlJc w:val="left"/>
      <w:pPr>
        <w:tabs>
          <w:tab w:val="num" w:pos="2160"/>
        </w:tabs>
        <w:ind w:left="2160" w:hanging="360"/>
      </w:pPr>
      <w:rPr>
        <w:rFonts w:ascii="Wingdings" w:hAnsi="Wingdings" w:hint="default"/>
      </w:rPr>
    </w:lvl>
    <w:lvl w:ilvl="3" w:tplc="070CD2C8" w:tentative="1">
      <w:start w:val="1"/>
      <w:numFmt w:val="bullet"/>
      <w:lvlText w:val=""/>
      <w:lvlJc w:val="left"/>
      <w:pPr>
        <w:tabs>
          <w:tab w:val="num" w:pos="2880"/>
        </w:tabs>
        <w:ind w:left="2880" w:hanging="360"/>
      </w:pPr>
      <w:rPr>
        <w:rFonts w:ascii="Wingdings" w:hAnsi="Wingdings" w:hint="default"/>
      </w:rPr>
    </w:lvl>
    <w:lvl w:ilvl="4" w:tplc="F97CCCF6" w:tentative="1">
      <w:start w:val="1"/>
      <w:numFmt w:val="bullet"/>
      <w:lvlText w:val=""/>
      <w:lvlJc w:val="left"/>
      <w:pPr>
        <w:tabs>
          <w:tab w:val="num" w:pos="3600"/>
        </w:tabs>
        <w:ind w:left="3600" w:hanging="360"/>
      </w:pPr>
      <w:rPr>
        <w:rFonts w:ascii="Wingdings" w:hAnsi="Wingdings" w:hint="default"/>
      </w:rPr>
    </w:lvl>
    <w:lvl w:ilvl="5" w:tplc="8D16F7EA" w:tentative="1">
      <w:start w:val="1"/>
      <w:numFmt w:val="bullet"/>
      <w:lvlText w:val=""/>
      <w:lvlJc w:val="left"/>
      <w:pPr>
        <w:tabs>
          <w:tab w:val="num" w:pos="4320"/>
        </w:tabs>
        <w:ind w:left="4320" w:hanging="360"/>
      </w:pPr>
      <w:rPr>
        <w:rFonts w:ascii="Wingdings" w:hAnsi="Wingdings" w:hint="default"/>
      </w:rPr>
    </w:lvl>
    <w:lvl w:ilvl="6" w:tplc="59C67B7A" w:tentative="1">
      <w:start w:val="1"/>
      <w:numFmt w:val="bullet"/>
      <w:lvlText w:val=""/>
      <w:lvlJc w:val="left"/>
      <w:pPr>
        <w:tabs>
          <w:tab w:val="num" w:pos="5040"/>
        </w:tabs>
        <w:ind w:left="5040" w:hanging="360"/>
      </w:pPr>
      <w:rPr>
        <w:rFonts w:ascii="Wingdings" w:hAnsi="Wingdings" w:hint="default"/>
      </w:rPr>
    </w:lvl>
    <w:lvl w:ilvl="7" w:tplc="74C2D14E" w:tentative="1">
      <w:start w:val="1"/>
      <w:numFmt w:val="bullet"/>
      <w:lvlText w:val=""/>
      <w:lvlJc w:val="left"/>
      <w:pPr>
        <w:tabs>
          <w:tab w:val="num" w:pos="5760"/>
        </w:tabs>
        <w:ind w:left="5760" w:hanging="360"/>
      </w:pPr>
      <w:rPr>
        <w:rFonts w:ascii="Wingdings" w:hAnsi="Wingdings" w:hint="default"/>
      </w:rPr>
    </w:lvl>
    <w:lvl w:ilvl="8" w:tplc="52AE5F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D125DC"/>
    <w:multiLevelType w:val="hybridMultilevel"/>
    <w:tmpl w:val="3050C94E"/>
    <w:lvl w:ilvl="0" w:tplc="27D0CB9A">
      <w:start w:val="3"/>
      <w:numFmt w:val="decimal"/>
      <w:lvlText w:val="%1."/>
      <w:lvlJc w:val="left"/>
      <w:pPr>
        <w:tabs>
          <w:tab w:val="num" w:pos="720"/>
        </w:tabs>
        <w:ind w:left="720" w:hanging="360"/>
      </w:pPr>
    </w:lvl>
    <w:lvl w:ilvl="1" w:tplc="8BDCE0F2" w:tentative="1">
      <w:start w:val="1"/>
      <w:numFmt w:val="decimal"/>
      <w:lvlText w:val="%2."/>
      <w:lvlJc w:val="left"/>
      <w:pPr>
        <w:tabs>
          <w:tab w:val="num" w:pos="1440"/>
        </w:tabs>
        <w:ind w:left="1440" w:hanging="360"/>
      </w:pPr>
    </w:lvl>
    <w:lvl w:ilvl="2" w:tplc="30A48C16" w:tentative="1">
      <w:start w:val="1"/>
      <w:numFmt w:val="decimal"/>
      <w:lvlText w:val="%3."/>
      <w:lvlJc w:val="left"/>
      <w:pPr>
        <w:tabs>
          <w:tab w:val="num" w:pos="2160"/>
        </w:tabs>
        <w:ind w:left="2160" w:hanging="360"/>
      </w:pPr>
    </w:lvl>
    <w:lvl w:ilvl="3" w:tplc="CB46DAB8" w:tentative="1">
      <w:start w:val="1"/>
      <w:numFmt w:val="decimal"/>
      <w:lvlText w:val="%4."/>
      <w:lvlJc w:val="left"/>
      <w:pPr>
        <w:tabs>
          <w:tab w:val="num" w:pos="2880"/>
        </w:tabs>
        <w:ind w:left="2880" w:hanging="360"/>
      </w:pPr>
    </w:lvl>
    <w:lvl w:ilvl="4" w:tplc="5010D7FC" w:tentative="1">
      <w:start w:val="1"/>
      <w:numFmt w:val="decimal"/>
      <w:lvlText w:val="%5."/>
      <w:lvlJc w:val="left"/>
      <w:pPr>
        <w:tabs>
          <w:tab w:val="num" w:pos="3600"/>
        </w:tabs>
        <w:ind w:left="3600" w:hanging="360"/>
      </w:pPr>
    </w:lvl>
    <w:lvl w:ilvl="5" w:tplc="76A62008" w:tentative="1">
      <w:start w:val="1"/>
      <w:numFmt w:val="decimal"/>
      <w:lvlText w:val="%6."/>
      <w:lvlJc w:val="left"/>
      <w:pPr>
        <w:tabs>
          <w:tab w:val="num" w:pos="4320"/>
        </w:tabs>
        <w:ind w:left="4320" w:hanging="360"/>
      </w:pPr>
    </w:lvl>
    <w:lvl w:ilvl="6" w:tplc="4BE2AB78" w:tentative="1">
      <w:start w:val="1"/>
      <w:numFmt w:val="decimal"/>
      <w:lvlText w:val="%7."/>
      <w:lvlJc w:val="left"/>
      <w:pPr>
        <w:tabs>
          <w:tab w:val="num" w:pos="5040"/>
        </w:tabs>
        <w:ind w:left="5040" w:hanging="360"/>
      </w:pPr>
    </w:lvl>
    <w:lvl w:ilvl="7" w:tplc="88E06D26" w:tentative="1">
      <w:start w:val="1"/>
      <w:numFmt w:val="decimal"/>
      <w:lvlText w:val="%8."/>
      <w:lvlJc w:val="left"/>
      <w:pPr>
        <w:tabs>
          <w:tab w:val="num" w:pos="5760"/>
        </w:tabs>
        <w:ind w:left="5760" w:hanging="360"/>
      </w:pPr>
    </w:lvl>
    <w:lvl w:ilvl="8" w:tplc="CB2CFB2C" w:tentative="1">
      <w:start w:val="1"/>
      <w:numFmt w:val="decimal"/>
      <w:lvlText w:val="%9."/>
      <w:lvlJc w:val="left"/>
      <w:pPr>
        <w:tabs>
          <w:tab w:val="num" w:pos="6480"/>
        </w:tabs>
        <w:ind w:left="6480" w:hanging="360"/>
      </w:pPr>
    </w:lvl>
  </w:abstractNum>
  <w:abstractNum w:abstractNumId="5" w15:restartNumberingAfterBreak="0">
    <w:nsid w:val="1CE663AE"/>
    <w:multiLevelType w:val="hybridMultilevel"/>
    <w:tmpl w:val="FBFC75F8"/>
    <w:name w:val="HeadingTemplate22"/>
    <w:lvl w:ilvl="0" w:tplc="2474B9A0">
      <w:start w:val="1"/>
      <w:numFmt w:val="decimal"/>
      <w:pStyle w:val="ListNumbered"/>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A3249"/>
    <w:multiLevelType w:val="multilevel"/>
    <w:tmpl w:val="FD5C69F8"/>
    <w:lvl w:ilvl="0">
      <w:start w:val="36"/>
      <w:numFmt w:val="decimal"/>
      <w:lvlText w:val="%1"/>
      <w:lvlJc w:val="left"/>
      <w:pPr>
        <w:ind w:left="435" w:hanging="435"/>
      </w:pPr>
      <w:rPr>
        <w:rFonts w:hint="default"/>
      </w:rPr>
    </w:lvl>
    <w:lvl w:ilvl="1">
      <w:start w:val="1"/>
      <w:numFmt w:val="decimal"/>
      <w:lvlText w:val="%2"/>
      <w:lvlJc w:val="left"/>
      <w:pPr>
        <w:ind w:left="1144" w:hanging="435"/>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9F306EB"/>
    <w:multiLevelType w:val="hybridMultilevel"/>
    <w:tmpl w:val="4BF421A0"/>
    <w:lvl w:ilvl="0" w:tplc="71A07686">
      <w:start w:val="1"/>
      <w:numFmt w:val="decimal"/>
      <w:lvlText w:val="%1."/>
      <w:lvlJc w:val="left"/>
      <w:pPr>
        <w:tabs>
          <w:tab w:val="num" w:pos="720"/>
        </w:tabs>
        <w:ind w:left="720" w:hanging="360"/>
      </w:pPr>
    </w:lvl>
    <w:lvl w:ilvl="1" w:tplc="5792E0FA" w:tentative="1">
      <w:start w:val="1"/>
      <w:numFmt w:val="decimal"/>
      <w:lvlText w:val="%2."/>
      <w:lvlJc w:val="left"/>
      <w:pPr>
        <w:tabs>
          <w:tab w:val="num" w:pos="1440"/>
        </w:tabs>
        <w:ind w:left="1440" w:hanging="360"/>
      </w:pPr>
    </w:lvl>
    <w:lvl w:ilvl="2" w:tplc="8F342144" w:tentative="1">
      <w:start w:val="1"/>
      <w:numFmt w:val="decimal"/>
      <w:lvlText w:val="%3."/>
      <w:lvlJc w:val="left"/>
      <w:pPr>
        <w:tabs>
          <w:tab w:val="num" w:pos="2160"/>
        </w:tabs>
        <w:ind w:left="2160" w:hanging="360"/>
      </w:pPr>
    </w:lvl>
    <w:lvl w:ilvl="3" w:tplc="9EFCB700" w:tentative="1">
      <w:start w:val="1"/>
      <w:numFmt w:val="decimal"/>
      <w:lvlText w:val="%4."/>
      <w:lvlJc w:val="left"/>
      <w:pPr>
        <w:tabs>
          <w:tab w:val="num" w:pos="2880"/>
        </w:tabs>
        <w:ind w:left="2880" w:hanging="360"/>
      </w:pPr>
    </w:lvl>
    <w:lvl w:ilvl="4" w:tplc="F2F08C84" w:tentative="1">
      <w:start w:val="1"/>
      <w:numFmt w:val="decimal"/>
      <w:lvlText w:val="%5."/>
      <w:lvlJc w:val="left"/>
      <w:pPr>
        <w:tabs>
          <w:tab w:val="num" w:pos="3600"/>
        </w:tabs>
        <w:ind w:left="3600" w:hanging="360"/>
      </w:pPr>
    </w:lvl>
    <w:lvl w:ilvl="5" w:tplc="448C3DC8" w:tentative="1">
      <w:start w:val="1"/>
      <w:numFmt w:val="decimal"/>
      <w:lvlText w:val="%6."/>
      <w:lvlJc w:val="left"/>
      <w:pPr>
        <w:tabs>
          <w:tab w:val="num" w:pos="4320"/>
        </w:tabs>
        <w:ind w:left="4320" w:hanging="360"/>
      </w:pPr>
    </w:lvl>
    <w:lvl w:ilvl="6" w:tplc="83AE4C68" w:tentative="1">
      <w:start w:val="1"/>
      <w:numFmt w:val="decimal"/>
      <w:lvlText w:val="%7."/>
      <w:lvlJc w:val="left"/>
      <w:pPr>
        <w:tabs>
          <w:tab w:val="num" w:pos="5040"/>
        </w:tabs>
        <w:ind w:left="5040" w:hanging="360"/>
      </w:pPr>
    </w:lvl>
    <w:lvl w:ilvl="7" w:tplc="85745896" w:tentative="1">
      <w:start w:val="1"/>
      <w:numFmt w:val="decimal"/>
      <w:lvlText w:val="%8."/>
      <w:lvlJc w:val="left"/>
      <w:pPr>
        <w:tabs>
          <w:tab w:val="num" w:pos="5760"/>
        </w:tabs>
        <w:ind w:left="5760" w:hanging="360"/>
      </w:pPr>
    </w:lvl>
    <w:lvl w:ilvl="8" w:tplc="DF80E3AC" w:tentative="1">
      <w:start w:val="1"/>
      <w:numFmt w:val="decimal"/>
      <w:lvlText w:val="%9."/>
      <w:lvlJc w:val="left"/>
      <w:pPr>
        <w:tabs>
          <w:tab w:val="num" w:pos="6480"/>
        </w:tabs>
        <w:ind w:left="6480" w:hanging="36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41CBD"/>
    <w:multiLevelType w:val="hybridMultilevel"/>
    <w:tmpl w:val="6C405FC6"/>
    <w:lvl w:ilvl="0" w:tplc="BD8AE658">
      <w:start w:val="1"/>
      <w:numFmt w:val="bullet"/>
      <w:lvlText w:val=""/>
      <w:lvlJc w:val="left"/>
      <w:pPr>
        <w:tabs>
          <w:tab w:val="num" w:pos="720"/>
        </w:tabs>
        <w:ind w:left="720" w:hanging="360"/>
      </w:pPr>
      <w:rPr>
        <w:rFonts w:ascii="Wingdings" w:hAnsi="Wingdings" w:hint="default"/>
      </w:rPr>
    </w:lvl>
    <w:lvl w:ilvl="1" w:tplc="3B98969C" w:tentative="1">
      <w:start w:val="1"/>
      <w:numFmt w:val="bullet"/>
      <w:lvlText w:val=""/>
      <w:lvlJc w:val="left"/>
      <w:pPr>
        <w:tabs>
          <w:tab w:val="num" w:pos="1440"/>
        </w:tabs>
        <w:ind w:left="1440" w:hanging="360"/>
      </w:pPr>
      <w:rPr>
        <w:rFonts w:ascii="Wingdings" w:hAnsi="Wingdings" w:hint="default"/>
      </w:rPr>
    </w:lvl>
    <w:lvl w:ilvl="2" w:tplc="6546B06C" w:tentative="1">
      <w:start w:val="1"/>
      <w:numFmt w:val="bullet"/>
      <w:lvlText w:val=""/>
      <w:lvlJc w:val="left"/>
      <w:pPr>
        <w:tabs>
          <w:tab w:val="num" w:pos="2160"/>
        </w:tabs>
        <w:ind w:left="2160" w:hanging="360"/>
      </w:pPr>
      <w:rPr>
        <w:rFonts w:ascii="Wingdings" w:hAnsi="Wingdings" w:hint="default"/>
      </w:rPr>
    </w:lvl>
    <w:lvl w:ilvl="3" w:tplc="9872F93E" w:tentative="1">
      <w:start w:val="1"/>
      <w:numFmt w:val="bullet"/>
      <w:lvlText w:val=""/>
      <w:lvlJc w:val="left"/>
      <w:pPr>
        <w:tabs>
          <w:tab w:val="num" w:pos="2880"/>
        </w:tabs>
        <w:ind w:left="2880" w:hanging="360"/>
      </w:pPr>
      <w:rPr>
        <w:rFonts w:ascii="Wingdings" w:hAnsi="Wingdings" w:hint="default"/>
      </w:rPr>
    </w:lvl>
    <w:lvl w:ilvl="4" w:tplc="45645A10" w:tentative="1">
      <w:start w:val="1"/>
      <w:numFmt w:val="bullet"/>
      <w:lvlText w:val=""/>
      <w:lvlJc w:val="left"/>
      <w:pPr>
        <w:tabs>
          <w:tab w:val="num" w:pos="3600"/>
        </w:tabs>
        <w:ind w:left="3600" w:hanging="360"/>
      </w:pPr>
      <w:rPr>
        <w:rFonts w:ascii="Wingdings" w:hAnsi="Wingdings" w:hint="default"/>
      </w:rPr>
    </w:lvl>
    <w:lvl w:ilvl="5" w:tplc="8C98259A" w:tentative="1">
      <w:start w:val="1"/>
      <w:numFmt w:val="bullet"/>
      <w:lvlText w:val=""/>
      <w:lvlJc w:val="left"/>
      <w:pPr>
        <w:tabs>
          <w:tab w:val="num" w:pos="4320"/>
        </w:tabs>
        <w:ind w:left="4320" w:hanging="360"/>
      </w:pPr>
      <w:rPr>
        <w:rFonts w:ascii="Wingdings" w:hAnsi="Wingdings" w:hint="default"/>
      </w:rPr>
    </w:lvl>
    <w:lvl w:ilvl="6" w:tplc="FD204B3E" w:tentative="1">
      <w:start w:val="1"/>
      <w:numFmt w:val="bullet"/>
      <w:lvlText w:val=""/>
      <w:lvlJc w:val="left"/>
      <w:pPr>
        <w:tabs>
          <w:tab w:val="num" w:pos="5040"/>
        </w:tabs>
        <w:ind w:left="5040" w:hanging="360"/>
      </w:pPr>
      <w:rPr>
        <w:rFonts w:ascii="Wingdings" w:hAnsi="Wingdings" w:hint="default"/>
      </w:rPr>
    </w:lvl>
    <w:lvl w:ilvl="7" w:tplc="DA56C37A" w:tentative="1">
      <w:start w:val="1"/>
      <w:numFmt w:val="bullet"/>
      <w:lvlText w:val=""/>
      <w:lvlJc w:val="left"/>
      <w:pPr>
        <w:tabs>
          <w:tab w:val="num" w:pos="5760"/>
        </w:tabs>
        <w:ind w:left="5760" w:hanging="360"/>
      </w:pPr>
      <w:rPr>
        <w:rFonts w:ascii="Wingdings" w:hAnsi="Wingdings" w:hint="default"/>
      </w:rPr>
    </w:lvl>
    <w:lvl w:ilvl="8" w:tplc="DA50E1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A2B00"/>
    <w:multiLevelType w:val="hybridMultilevel"/>
    <w:tmpl w:val="968AA076"/>
    <w:lvl w:ilvl="0" w:tplc="5D3C6282">
      <w:start w:val="1"/>
      <w:numFmt w:val="bullet"/>
      <w:lvlText w:val=""/>
      <w:lvlJc w:val="left"/>
      <w:pPr>
        <w:tabs>
          <w:tab w:val="num" w:pos="720"/>
        </w:tabs>
        <w:ind w:left="720" w:hanging="360"/>
      </w:pPr>
      <w:rPr>
        <w:rFonts w:ascii="Wingdings" w:hAnsi="Wingdings" w:hint="default"/>
      </w:rPr>
    </w:lvl>
    <w:lvl w:ilvl="1" w:tplc="90E8841C" w:tentative="1">
      <w:start w:val="1"/>
      <w:numFmt w:val="bullet"/>
      <w:lvlText w:val=""/>
      <w:lvlJc w:val="left"/>
      <w:pPr>
        <w:tabs>
          <w:tab w:val="num" w:pos="1440"/>
        </w:tabs>
        <w:ind w:left="1440" w:hanging="360"/>
      </w:pPr>
      <w:rPr>
        <w:rFonts w:ascii="Wingdings" w:hAnsi="Wingdings" w:hint="default"/>
      </w:rPr>
    </w:lvl>
    <w:lvl w:ilvl="2" w:tplc="BA3E5554" w:tentative="1">
      <w:start w:val="1"/>
      <w:numFmt w:val="bullet"/>
      <w:lvlText w:val=""/>
      <w:lvlJc w:val="left"/>
      <w:pPr>
        <w:tabs>
          <w:tab w:val="num" w:pos="2160"/>
        </w:tabs>
        <w:ind w:left="2160" w:hanging="360"/>
      </w:pPr>
      <w:rPr>
        <w:rFonts w:ascii="Wingdings" w:hAnsi="Wingdings" w:hint="default"/>
      </w:rPr>
    </w:lvl>
    <w:lvl w:ilvl="3" w:tplc="0AE08D4C" w:tentative="1">
      <w:start w:val="1"/>
      <w:numFmt w:val="bullet"/>
      <w:lvlText w:val=""/>
      <w:lvlJc w:val="left"/>
      <w:pPr>
        <w:tabs>
          <w:tab w:val="num" w:pos="2880"/>
        </w:tabs>
        <w:ind w:left="2880" w:hanging="360"/>
      </w:pPr>
      <w:rPr>
        <w:rFonts w:ascii="Wingdings" w:hAnsi="Wingdings" w:hint="default"/>
      </w:rPr>
    </w:lvl>
    <w:lvl w:ilvl="4" w:tplc="0A6667DA" w:tentative="1">
      <w:start w:val="1"/>
      <w:numFmt w:val="bullet"/>
      <w:lvlText w:val=""/>
      <w:lvlJc w:val="left"/>
      <w:pPr>
        <w:tabs>
          <w:tab w:val="num" w:pos="3600"/>
        </w:tabs>
        <w:ind w:left="3600" w:hanging="360"/>
      </w:pPr>
      <w:rPr>
        <w:rFonts w:ascii="Wingdings" w:hAnsi="Wingdings" w:hint="default"/>
      </w:rPr>
    </w:lvl>
    <w:lvl w:ilvl="5" w:tplc="993AE3C8" w:tentative="1">
      <w:start w:val="1"/>
      <w:numFmt w:val="bullet"/>
      <w:lvlText w:val=""/>
      <w:lvlJc w:val="left"/>
      <w:pPr>
        <w:tabs>
          <w:tab w:val="num" w:pos="4320"/>
        </w:tabs>
        <w:ind w:left="4320" w:hanging="360"/>
      </w:pPr>
      <w:rPr>
        <w:rFonts w:ascii="Wingdings" w:hAnsi="Wingdings" w:hint="default"/>
      </w:rPr>
    </w:lvl>
    <w:lvl w:ilvl="6" w:tplc="F4DC3FFE" w:tentative="1">
      <w:start w:val="1"/>
      <w:numFmt w:val="bullet"/>
      <w:lvlText w:val=""/>
      <w:lvlJc w:val="left"/>
      <w:pPr>
        <w:tabs>
          <w:tab w:val="num" w:pos="5040"/>
        </w:tabs>
        <w:ind w:left="5040" w:hanging="360"/>
      </w:pPr>
      <w:rPr>
        <w:rFonts w:ascii="Wingdings" w:hAnsi="Wingdings" w:hint="default"/>
      </w:rPr>
    </w:lvl>
    <w:lvl w:ilvl="7" w:tplc="67A0C976" w:tentative="1">
      <w:start w:val="1"/>
      <w:numFmt w:val="bullet"/>
      <w:lvlText w:val=""/>
      <w:lvlJc w:val="left"/>
      <w:pPr>
        <w:tabs>
          <w:tab w:val="num" w:pos="5760"/>
        </w:tabs>
        <w:ind w:left="5760" w:hanging="360"/>
      </w:pPr>
      <w:rPr>
        <w:rFonts w:ascii="Wingdings" w:hAnsi="Wingdings" w:hint="default"/>
      </w:rPr>
    </w:lvl>
    <w:lvl w:ilvl="8" w:tplc="2A9273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6"/>
  </w:num>
  <w:num w:numId="5">
    <w:abstractNumId w:val="16"/>
  </w:num>
  <w:num w:numId="6">
    <w:abstractNumId w:val="9"/>
  </w:num>
  <w:num w:numId="7">
    <w:abstractNumId w:val="13"/>
  </w:num>
  <w:num w:numId="8">
    <w:abstractNumId w:val="17"/>
  </w:num>
  <w:num w:numId="9">
    <w:abstractNumId w:val="2"/>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5"/>
  </w:num>
  <w:num w:numId="23">
    <w:abstractNumId w:val="1"/>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4"/>
  </w:num>
  <w:num w:numId="34">
    <w:abstractNumId w:val="3"/>
  </w:num>
  <w:num w:numId="35">
    <w:abstractNumId w:val="0"/>
  </w:num>
  <w:num w:numId="36">
    <w:abstractNumId w:val="16"/>
  </w:num>
  <w:num w:numId="37">
    <w:abstractNumId w:val="11"/>
  </w:num>
  <w:num w:numId="38">
    <w:abstractNumId w:val="14"/>
  </w:num>
  <w:num w:numId="39">
    <w:abstractNumId w:val="8"/>
  </w:num>
  <w:num w:numId="40">
    <w:abstractNumId w:val="5"/>
  </w:num>
  <w:num w:numId="41">
    <w:abstractNumId w:val="5"/>
  </w:num>
  <w:num w:numId="42">
    <w:abstractNumId w:val="10"/>
  </w:num>
  <w:num w:numId="43">
    <w:abstractNumId w:val="10"/>
  </w:num>
  <w:num w:numId="44">
    <w:abstractNumId w:val="7"/>
  </w:num>
  <w:num w:numId="45">
    <w:abstractNumId w:val="10"/>
  </w:num>
  <w:num w:numId="46">
    <w:abstractNumId w:val="10"/>
  </w:num>
  <w:num w:numId="47">
    <w:abstractNumId w:val="10"/>
  </w:num>
  <w:num w:numId="48">
    <w:abstractNumId w:val="10"/>
  </w:num>
  <w:num w:numId="49">
    <w:abstractNumId w:val="1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6AE"/>
    <w:rsid w:val="000071A8"/>
    <w:rsid w:val="00011C05"/>
    <w:rsid w:val="00014A79"/>
    <w:rsid w:val="000229AB"/>
    <w:rsid w:val="0002569A"/>
    <w:rsid w:val="00037321"/>
    <w:rsid w:val="00040A85"/>
    <w:rsid w:val="00040F8D"/>
    <w:rsid w:val="000512E9"/>
    <w:rsid w:val="00054F2E"/>
    <w:rsid w:val="0007620C"/>
    <w:rsid w:val="00093A64"/>
    <w:rsid w:val="000A0299"/>
    <w:rsid w:val="000A2990"/>
    <w:rsid w:val="000B02AD"/>
    <w:rsid w:val="000B5AB4"/>
    <w:rsid w:val="000C4332"/>
    <w:rsid w:val="000D3A53"/>
    <w:rsid w:val="000D6EC9"/>
    <w:rsid w:val="000E1251"/>
    <w:rsid w:val="000F7E94"/>
    <w:rsid w:val="001119D6"/>
    <w:rsid w:val="001308F2"/>
    <w:rsid w:val="001313E8"/>
    <w:rsid w:val="001404FE"/>
    <w:rsid w:val="00141599"/>
    <w:rsid w:val="0017585F"/>
    <w:rsid w:val="00183BC4"/>
    <w:rsid w:val="0018727B"/>
    <w:rsid w:val="001935A8"/>
    <w:rsid w:val="001950CA"/>
    <w:rsid w:val="001A0991"/>
    <w:rsid w:val="001B093B"/>
    <w:rsid w:val="001C19A2"/>
    <w:rsid w:val="001C58F5"/>
    <w:rsid w:val="001D5CEE"/>
    <w:rsid w:val="001E7905"/>
    <w:rsid w:val="001F3FFD"/>
    <w:rsid w:val="002071D9"/>
    <w:rsid w:val="00220FCE"/>
    <w:rsid w:val="00237264"/>
    <w:rsid w:val="002409D7"/>
    <w:rsid w:val="00256822"/>
    <w:rsid w:val="0026525A"/>
    <w:rsid w:val="00272274"/>
    <w:rsid w:val="00274790"/>
    <w:rsid w:val="00285755"/>
    <w:rsid w:val="00291957"/>
    <w:rsid w:val="002934ED"/>
    <w:rsid w:val="002A1F9C"/>
    <w:rsid w:val="002B29C2"/>
    <w:rsid w:val="002B54B1"/>
    <w:rsid w:val="002B7674"/>
    <w:rsid w:val="002C12B6"/>
    <w:rsid w:val="002C29DB"/>
    <w:rsid w:val="002C4208"/>
    <w:rsid w:val="002E0621"/>
    <w:rsid w:val="002E3D26"/>
    <w:rsid w:val="00324530"/>
    <w:rsid w:val="00334BC0"/>
    <w:rsid w:val="0033523F"/>
    <w:rsid w:val="00343060"/>
    <w:rsid w:val="00352DE1"/>
    <w:rsid w:val="00361B78"/>
    <w:rsid w:val="003728E6"/>
    <w:rsid w:val="00395E72"/>
    <w:rsid w:val="003A497F"/>
    <w:rsid w:val="003B520C"/>
    <w:rsid w:val="003B5E0E"/>
    <w:rsid w:val="003B6529"/>
    <w:rsid w:val="003D255A"/>
    <w:rsid w:val="00415679"/>
    <w:rsid w:val="00416949"/>
    <w:rsid w:val="00432DF9"/>
    <w:rsid w:val="004370D8"/>
    <w:rsid w:val="004407D4"/>
    <w:rsid w:val="00442995"/>
    <w:rsid w:val="00450D1A"/>
    <w:rsid w:val="0046473A"/>
    <w:rsid w:val="00464AF6"/>
    <w:rsid w:val="00472C43"/>
    <w:rsid w:val="00474FC9"/>
    <w:rsid w:val="00482625"/>
    <w:rsid w:val="00485CCB"/>
    <w:rsid w:val="004965E2"/>
    <w:rsid w:val="004C3782"/>
    <w:rsid w:val="00507506"/>
    <w:rsid w:val="00523D59"/>
    <w:rsid w:val="00524AB1"/>
    <w:rsid w:val="00525B54"/>
    <w:rsid w:val="00527909"/>
    <w:rsid w:val="00537496"/>
    <w:rsid w:val="00544ED3"/>
    <w:rsid w:val="00561B28"/>
    <w:rsid w:val="0057736C"/>
    <w:rsid w:val="00577B62"/>
    <w:rsid w:val="00583940"/>
    <w:rsid w:val="0058477B"/>
    <w:rsid w:val="0058654F"/>
    <w:rsid w:val="00596ACA"/>
    <w:rsid w:val="005B5E19"/>
    <w:rsid w:val="005E2900"/>
    <w:rsid w:val="005E39BC"/>
    <w:rsid w:val="005E6029"/>
    <w:rsid w:val="005E7640"/>
    <w:rsid w:val="005F00A0"/>
    <w:rsid w:val="006110A7"/>
    <w:rsid w:val="00614CC8"/>
    <w:rsid w:val="00647F33"/>
    <w:rsid w:val="0065134C"/>
    <w:rsid w:val="00654032"/>
    <w:rsid w:val="00662532"/>
    <w:rsid w:val="00666E30"/>
    <w:rsid w:val="00691BB2"/>
    <w:rsid w:val="006B2274"/>
    <w:rsid w:val="006C16AE"/>
    <w:rsid w:val="006C479B"/>
    <w:rsid w:val="00716E46"/>
    <w:rsid w:val="00717C6F"/>
    <w:rsid w:val="007213D1"/>
    <w:rsid w:val="00721A5E"/>
    <w:rsid w:val="00725318"/>
    <w:rsid w:val="007445DA"/>
    <w:rsid w:val="00744B33"/>
    <w:rsid w:val="00756CEF"/>
    <w:rsid w:val="007606F1"/>
    <w:rsid w:val="00772681"/>
    <w:rsid w:val="00774934"/>
    <w:rsid w:val="00780F5A"/>
    <w:rsid w:val="007B4FD1"/>
    <w:rsid w:val="007B7A69"/>
    <w:rsid w:val="007C312A"/>
    <w:rsid w:val="007C47FC"/>
    <w:rsid w:val="007F0283"/>
    <w:rsid w:val="00802381"/>
    <w:rsid w:val="00816607"/>
    <w:rsid w:val="00817EDA"/>
    <w:rsid w:val="00821967"/>
    <w:rsid w:val="0083096A"/>
    <w:rsid w:val="0083423A"/>
    <w:rsid w:val="008475FC"/>
    <w:rsid w:val="00852AFC"/>
    <w:rsid w:val="0086759F"/>
    <w:rsid w:val="008716FC"/>
    <w:rsid w:val="00871F40"/>
    <w:rsid w:val="00883848"/>
    <w:rsid w:val="00897ED5"/>
    <w:rsid w:val="008B44AF"/>
    <w:rsid w:val="008B6BB9"/>
    <w:rsid w:val="008B7717"/>
    <w:rsid w:val="008D1113"/>
    <w:rsid w:val="00900AA9"/>
    <w:rsid w:val="0090270F"/>
    <w:rsid w:val="00911543"/>
    <w:rsid w:val="009307D4"/>
    <w:rsid w:val="0093579A"/>
    <w:rsid w:val="009519C9"/>
    <w:rsid w:val="00965054"/>
    <w:rsid w:val="009D0B86"/>
    <w:rsid w:val="009E0D5B"/>
    <w:rsid w:val="009E1558"/>
    <w:rsid w:val="009F098A"/>
    <w:rsid w:val="00A055E3"/>
    <w:rsid w:val="00A233D1"/>
    <w:rsid w:val="00A2639B"/>
    <w:rsid w:val="00A271AF"/>
    <w:rsid w:val="00A42898"/>
    <w:rsid w:val="00A56DFA"/>
    <w:rsid w:val="00A57919"/>
    <w:rsid w:val="00AB6ACE"/>
    <w:rsid w:val="00AB7CE0"/>
    <w:rsid w:val="00AC5A3A"/>
    <w:rsid w:val="00AE73A2"/>
    <w:rsid w:val="00AF06CE"/>
    <w:rsid w:val="00B03026"/>
    <w:rsid w:val="00B06B65"/>
    <w:rsid w:val="00B13BBF"/>
    <w:rsid w:val="00B173AD"/>
    <w:rsid w:val="00B40037"/>
    <w:rsid w:val="00B51B1D"/>
    <w:rsid w:val="00B541EC"/>
    <w:rsid w:val="00B604BE"/>
    <w:rsid w:val="00B650C2"/>
    <w:rsid w:val="00B7344A"/>
    <w:rsid w:val="00B82FA5"/>
    <w:rsid w:val="00B868FC"/>
    <w:rsid w:val="00B87626"/>
    <w:rsid w:val="00BB0B02"/>
    <w:rsid w:val="00BC5EEC"/>
    <w:rsid w:val="00BD1400"/>
    <w:rsid w:val="00BD6024"/>
    <w:rsid w:val="00BD605C"/>
    <w:rsid w:val="00BD6910"/>
    <w:rsid w:val="00BE0415"/>
    <w:rsid w:val="00BE2A76"/>
    <w:rsid w:val="00BF3AA5"/>
    <w:rsid w:val="00BF64BD"/>
    <w:rsid w:val="00C04ECD"/>
    <w:rsid w:val="00C5366C"/>
    <w:rsid w:val="00C55664"/>
    <w:rsid w:val="00C6125E"/>
    <w:rsid w:val="00C65E60"/>
    <w:rsid w:val="00C903C9"/>
    <w:rsid w:val="00C90DB6"/>
    <w:rsid w:val="00C91087"/>
    <w:rsid w:val="00C924E0"/>
    <w:rsid w:val="00C97F4D"/>
    <w:rsid w:val="00CA0102"/>
    <w:rsid w:val="00CA056D"/>
    <w:rsid w:val="00CC0ABA"/>
    <w:rsid w:val="00CC352D"/>
    <w:rsid w:val="00CC3DCF"/>
    <w:rsid w:val="00CE5A52"/>
    <w:rsid w:val="00CF7AF3"/>
    <w:rsid w:val="00D11D7B"/>
    <w:rsid w:val="00D176EB"/>
    <w:rsid w:val="00D26ADA"/>
    <w:rsid w:val="00D35A78"/>
    <w:rsid w:val="00D44BC4"/>
    <w:rsid w:val="00D51524"/>
    <w:rsid w:val="00D555A1"/>
    <w:rsid w:val="00D56EFF"/>
    <w:rsid w:val="00D64DC2"/>
    <w:rsid w:val="00DA46CA"/>
    <w:rsid w:val="00DA79A3"/>
    <w:rsid w:val="00DB6058"/>
    <w:rsid w:val="00DC3C04"/>
    <w:rsid w:val="00DE17E7"/>
    <w:rsid w:val="00DF21EB"/>
    <w:rsid w:val="00DF2A62"/>
    <w:rsid w:val="00E20E70"/>
    <w:rsid w:val="00E25B68"/>
    <w:rsid w:val="00E56225"/>
    <w:rsid w:val="00E66726"/>
    <w:rsid w:val="00E72DE3"/>
    <w:rsid w:val="00E84003"/>
    <w:rsid w:val="00E85FF4"/>
    <w:rsid w:val="00E91818"/>
    <w:rsid w:val="00EA6A1E"/>
    <w:rsid w:val="00EB5673"/>
    <w:rsid w:val="00EB74DB"/>
    <w:rsid w:val="00EC10FC"/>
    <w:rsid w:val="00EC7227"/>
    <w:rsid w:val="00ED0A99"/>
    <w:rsid w:val="00EE0041"/>
    <w:rsid w:val="00EE29B9"/>
    <w:rsid w:val="00F00228"/>
    <w:rsid w:val="00F004EE"/>
    <w:rsid w:val="00F0222E"/>
    <w:rsid w:val="00F03D9D"/>
    <w:rsid w:val="00F071E7"/>
    <w:rsid w:val="00F226B1"/>
    <w:rsid w:val="00F24F3E"/>
    <w:rsid w:val="00F33A88"/>
    <w:rsid w:val="00F40B54"/>
    <w:rsid w:val="00F42E23"/>
    <w:rsid w:val="00F45EEE"/>
    <w:rsid w:val="00F51E9C"/>
    <w:rsid w:val="00F523CA"/>
    <w:rsid w:val="00F74A9D"/>
    <w:rsid w:val="00F768B5"/>
    <w:rsid w:val="00F97391"/>
    <w:rsid w:val="00FA26A5"/>
    <w:rsid w:val="00FD0FB8"/>
    <w:rsid w:val="00FD45EF"/>
    <w:rsid w:val="00FD56A0"/>
    <w:rsid w:val="00FD71C9"/>
    <w:rsid w:val="00FE3C48"/>
    <w:rsid w:val="00FF386F"/>
    <w:rsid w:val="00FF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FC71962B-38E1-485E-96EA-8B84FCEF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link w:val="ac"/>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ind w:firstLine="0"/>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9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customStyle="1" w:styleId="ac">
    <w:name w:val="Верхний колонтитул Знак"/>
    <w:basedOn w:val="a2"/>
    <w:link w:val="ab"/>
    <w:uiPriority w:val="99"/>
    <w:rsid w:val="008D1113"/>
    <w:rPr>
      <w:sz w:val="18"/>
      <w:lang w:val="en-US" w:eastAsia="en-US"/>
    </w:rPr>
  </w:style>
  <w:style w:type="paragraph" w:customStyle="1" w:styleId="af8">
    <w:name w:val="Текст_сб"/>
    <w:basedOn w:val="a"/>
    <w:qFormat/>
    <w:rsid w:val="008D1113"/>
    <w:pPr>
      <w:overflowPunct/>
      <w:autoSpaceDE/>
      <w:autoSpaceDN/>
      <w:adjustRightInd/>
      <w:ind w:firstLine="680"/>
      <w:jc w:val="both"/>
      <w:textAlignment w:val="auto"/>
    </w:pPr>
    <w:rPr>
      <w:sz w:val="24"/>
      <w:szCs w:val="24"/>
      <w:lang w:val="ru-RU" w:eastAsia="ru-RU"/>
    </w:rPr>
  </w:style>
  <w:style w:type="character" w:styleId="af9">
    <w:name w:val="Hyperlink"/>
    <w:basedOn w:val="a2"/>
    <w:uiPriority w:val="49"/>
    <w:unhideWhenUsed/>
    <w:locked/>
    <w:rsid w:val="002E0621"/>
    <w:rPr>
      <w:color w:val="0000FF" w:themeColor="hyperlink"/>
      <w:u w:val="single"/>
    </w:rPr>
  </w:style>
  <w:style w:type="paragraph" w:customStyle="1" w:styleId="30">
    <w:name w:val="Заголовок 3.пункт"/>
    <w:basedOn w:val="a"/>
    <w:next w:val="a"/>
    <w:rsid w:val="00654032"/>
    <w:pPr>
      <w:keepNext/>
      <w:tabs>
        <w:tab w:val="num" w:pos="2138"/>
      </w:tabs>
      <w:overflowPunct/>
      <w:autoSpaceDE/>
      <w:autoSpaceDN/>
      <w:adjustRightInd/>
      <w:spacing w:before="60" w:after="60"/>
      <w:ind w:left="2138" w:hanging="720"/>
      <w:textAlignment w:val="auto"/>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117">
      <w:bodyDiv w:val="1"/>
      <w:marLeft w:val="0"/>
      <w:marRight w:val="0"/>
      <w:marTop w:val="0"/>
      <w:marBottom w:val="0"/>
      <w:divBdr>
        <w:top w:val="none" w:sz="0" w:space="0" w:color="auto"/>
        <w:left w:val="none" w:sz="0" w:space="0" w:color="auto"/>
        <w:bottom w:val="none" w:sz="0" w:space="0" w:color="auto"/>
        <w:right w:val="none" w:sz="0" w:space="0" w:color="auto"/>
      </w:divBdr>
      <w:divsChild>
        <w:div w:id="1984120581">
          <w:marLeft w:val="274"/>
          <w:marRight w:val="0"/>
          <w:marTop w:val="80"/>
          <w:marBottom w:val="80"/>
          <w:divBdr>
            <w:top w:val="none" w:sz="0" w:space="0" w:color="auto"/>
            <w:left w:val="none" w:sz="0" w:space="0" w:color="auto"/>
            <w:bottom w:val="none" w:sz="0" w:space="0" w:color="auto"/>
            <w:right w:val="none" w:sz="0" w:space="0" w:color="auto"/>
          </w:divBdr>
        </w:div>
        <w:div w:id="1753501958">
          <w:marLeft w:val="274"/>
          <w:marRight w:val="0"/>
          <w:marTop w:val="80"/>
          <w:marBottom w:val="80"/>
          <w:divBdr>
            <w:top w:val="none" w:sz="0" w:space="0" w:color="auto"/>
            <w:left w:val="none" w:sz="0" w:space="0" w:color="auto"/>
            <w:bottom w:val="none" w:sz="0" w:space="0" w:color="auto"/>
            <w:right w:val="none" w:sz="0" w:space="0" w:color="auto"/>
          </w:divBdr>
        </w:div>
      </w:divsChild>
    </w:div>
    <w:div w:id="187111508">
      <w:bodyDiv w:val="1"/>
      <w:marLeft w:val="0"/>
      <w:marRight w:val="0"/>
      <w:marTop w:val="0"/>
      <w:marBottom w:val="0"/>
      <w:divBdr>
        <w:top w:val="none" w:sz="0" w:space="0" w:color="auto"/>
        <w:left w:val="none" w:sz="0" w:space="0" w:color="auto"/>
        <w:bottom w:val="none" w:sz="0" w:space="0" w:color="auto"/>
        <w:right w:val="none" w:sz="0" w:space="0" w:color="auto"/>
      </w:divBdr>
      <w:divsChild>
        <w:div w:id="1760903079">
          <w:marLeft w:val="547"/>
          <w:marRight w:val="0"/>
          <w:marTop w:val="20"/>
          <w:marBottom w:val="20"/>
          <w:divBdr>
            <w:top w:val="none" w:sz="0" w:space="0" w:color="auto"/>
            <w:left w:val="none" w:sz="0" w:space="0" w:color="auto"/>
            <w:bottom w:val="none" w:sz="0" w:space="0" w:color="auto"/>
            <w:right w:val="none" w:sz="0" w:space="0" w:color="auto"/>
          </w:divBdr>
        </w:div>
      </w:divsChild>
    </w:div>
    <w:div w:id="365985422">
      <w:bodyDiv w:val="1"/>
      <w:marLeft w:val="0"/>
      <w:marRight w:val="0"/>
      <w:marTop w:val="0"/>
      <w:marBottom w:val="0"/>
      <w:divBdr>
        <w:top w:val="none" w:sz="0" w:space="0" w:color="auto"/>
        <w:left w:val="none" w:sz="0" w:space="0" w:color="auto"/>
        <w:bottom w:val="none" w:sz="0" w:space="0" w:color="auto"/>
        <w:right w:val="none" w:sz="0" w:space="0" w:color="auto"/>
      </w:divBdr>
      <w:divsChild>
        <w:div w:id="1240602790">
          <w:marLeft w:val="547"/>
          <w:marRight w:val="0"/>
          <w:marTop w:val="160"/>
          <w:marBottom w:val="160"/>
          <w:divBdr>
            <w:top w:val="none" w:sz="0" w:space="0" w:color="auto"/>
            <w:left w:val="none" w:sz="0" w:space="0" w:color="auto"/>
            <w:bottom w:val="none" w:sz="0" w:space="0" w:color="auto"/>
            <w:right w:val="none" w:sz="0" w:space="0" w:color="auto"/>
          </w:divBdr>
        </w:div>
        <w:div w:id="470950872">
          <w:marLeft w:val="547"/>
          <w:marRight w:val="0"/>
          <w:marTop w:val="160"/>
          <w:marBottom w:val="160"/>
          <w:divBdr>
            <w:top w:val="none" w:sz="0" w:space="0" w:color="auto"/>
            <w:left w:val="none" w:sz="0" w:space="0" w:color="auto"/>
            <w:bottom w:val="none" w:sz="0" w:space="0" w:color="auto"/>
            <w:right w:val="none" w:sz="0" w:space="0" w:color="auto"/>
          </w:divBdr>
        </w:div>
      </w:divsChild>
    </w:div>
    <w:div w:id="367989783">
      <w:bodyDiv w:val="1"/>
      <w:marLeft w:val="0"/>
      <w:marRight w:val="0"/>
      <w:marTop w:val="0"/>
      <w:marBottom w:val="0"/>
      <w:divBdr>
        <w:top w:val="none" w:sz="0" w:space="0" w:color="auto"/>
        <w:left w:val="none" w:sz="0" w:space="0" w:color="auto"/>
        <w:bottom w:val="none" w:sz="0" w:space="0" w:color="auto"/>
        <w:right w:val="none" w:sz="0" w:space="0" w:color="auto"/>
      </w:divBdr>
    </w:div>
    <w:div w:id="757601567">
      <w:bodyDiv w:val="1"/>
      <w:marLeft w:val="0"/>
      <w:marRight w:val="0"/>
      <w:marTop w:val="0"/>
      <w:marBottom w:val="0"/>
      <w:divBdr>
        <w:top w:val="none" w:sz="0" w:space="0" w:color="auto"/>
        <w:left w:val="none" w:sz="0" w:space="0" w:color="auto"/>
        <w:bottom w:val="none" w:sz="0" w:space="0" w:color="auto"/>
        <w:right w:val="none" w:sz="0" w:space="0" w:color="auto"/>
      </w:divBdr>
    </w:div>
    <w:div w:id="1014772418">
      <w:bodyDiv w:val="1"/>
      <w:marLeft w:val="0"/>
      <w:marRight w:val="0"/>
      <w:marTop w:val="0"/>
      <w:marBottom w:val="0"/>
      <w:divBdr>
        <w:top w:val="none" w:sz="0" w:space="0" w:color="auto"/>
        <w:left w:val="none" w:sz="0" w:space="0" w:color="auto"/>
        <w:bottom w:val="none" w:sz="0" w:space="0" w:color="auto"/>
        <w:right w:val="none" w:sz="0" w:space="0" w:color="auto"/>
      </w:divBdr>
      <w:divsChild>
        <w:div w:id="214394692">
          <w:marLeft w:val="274"/>
          <w:marRight w:val="0"/>
          <w:marTop w:val="40"/>
          <w:marBottom w:val="40"/>
          <w:divBdr>
            <w:top w:val="none" w:sz="0" w:space="0" w:color="auto"/>
            <w:left w:val="none" w:sz="0" w:space="0" w:color="auto"/>
            <w:bottom w:val="none" w:sz="0" w:space="0" w:color="auto"/>
            <w:right w:val="none" w:sz="0" w:space="0" w:color="auto"/>
          </w:divBdr>
        </w:div>
        <w:div w:id="2016028529">
          <w:marLeft w:val="274"/>
          <w:marRight w:val="0"/>
          <w:marTop w:val="40"/>
          <w:marBottom w:val="40"/>
          <w:divBdr>
            <w:top w:val="none" w:sz="0" w:space="0" w:color="auto"/>
            <w:left w:val="none" w:sz="0" w:space="0" w:color="auto"/>
            <w:bottom w:val="none" w:sz="0" w:space="0" w:color="auto"/>
            <w:right w:val="none" w:sz="0" w:space="0" w:color="auto"/>
          </w:divBdr>
        </w:div>
      </w:divsChild>
    </w:div>
    <w:div w:id="1022584178">
      <w:bodyDiv w:val="1"/>
      <w:marLeft w:val="0"/>
      <w:marRight w:val="0"/>
      <w:marTop w:val="0"/>
      <w:marBottom w:val="0"/>
      <w:divBdr>
        <w:top w:val="none" w:sz="0" w:space="0" w:color="auto"/>
        <w:left w:val="none" w:sz="0" w:space="0" w:color="auto"/>
        <w:bottom w:val="none" w:sz="0" w:space="0" w:color="auto"/>
        <w:right w:val="none" w:sz="0" w:space="0" w:color="auto"/>
      </w:divBdr>
      <w:divsChild>
        <w:div w:id="1620990910">
          <w:marLeft w:val="274"/>
          <w:marRight w:val="0"/>
          <w:marTop w:val="80"/>
          <w:marBottom w:val="80"/>
          <w:divBdr>
            <w:top w:val="none" w:sz="0" w:space="0" w:color="auto"/>
            <w:left w:val="none" w:sz="0" w:space="0" w:color="auto"/>
            <w:bottom w:val="none" w:sz="0" w:space="0" w:color="auto"/>
            <w:right w:val="none" w:sz="0" w:space="0" w:color="auto"/>
          </w:divBdr>
        </w:div>
        <w:div w:id="1272780673">
          <w:marLeft w:val="274"/>
          <w:marRight w:val="0"/>
          <w:marTop w:val="80"/>
          <w:marBottom w:val="80"/>
          <w:divBdr>
            <w:top w:val="none" w:sz="0" w:space="0" w:color="auto"/>
            <w:left w:val="none" w:sz="0" w:space="0" w:color="auto"/>
            <w:bottom w:val="none" w:sz="0" w:space="0" w:color="auto"/>
            <w:right w:val="none" w:sz="0" w:space="0" w:color="auto"/>
          </w:divBdr>
        </w:div>
      </w:divsChild>
    </w:div>
    <w:div w:id="1610353445">
      <w:bodyDiv w:val="1"/>
      <w:marLeft w:val="0"/>
      <w:marRight w:val="0"/>
      <w:marTop w:val="0"/>
      <w:marBottom w:val="0"/>
      <w:divBdr>
        <w:top w:val="none" w:sz="0" w:space="0" w:color="auto"/>
        <w:left w:val="none" w:sz="0" w:space="0" w:color="auto"/>
        <w:bottom w:val="none" w:sz="0" w:space="0" w:color="auto"/>
        <w:right w:val="none" w:sz="0" w:space="0" w:color="auto"/>
      </w:divBdr>
      <w:divsChild>
        <w:div w:id="1030448561">
          <w:marLeft w:val="274"/>
          <w:marRight w:val="0"/>
          <w:marTop w:val="0"/>
          <w:marBottom w:val="60"/>
          <w:divBdr>
            <w:top w:val="none" w:sz="0" w:space="0" w:color="auto"/>
            <w:left w:val="none" w:sz="0" w:space="0" w:color="auto"/>
            <w:bottom w:val="none" w:sz="0" w:space="0" w:color="auto"/>
            <w:right w:val="none" w:sz="0" w:space="0" w:color="auto"/>
          </w:divBdr>
        </w:div>
        <w:div w:id="267851980">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orao.ru/about/tarif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C3CC1-F520-43B6-BC67-5A4AAE681338}">
  <ds:schemaRefs>
    <ds:schemaRef ds:uri="http://schemas.openxmlformats.org/officeDocument/2006/bibliography"/>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87</TotalTime>
  <Pages>5</Pages>
  <Words>1569</Words>
  <Characters>8944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Панов Сергей Александрович</cp:lastModifiedBy>
  <cp:revision>9</cp:revision>
  <cp:lastPrinted>2015-12-01T10:27:00Z</cp:lastPrinted>
  <dcterms:created xsi:type="dcterms:W3CDTF">2022-03-04T14:48:00Z</dcterms:created>
  <dcterms:modified xsi:type="dcterms:W3CDTF">2022-03-24T14:26:00Z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