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4F38" w14:textId="77777777" w:rsidR="004F31E5" w:rsidRDefault="004F31E5" w:rsidP="004F31E5">
      <w:pPr>
        <w:pStyle w:val="10"/>
        <w:rPr>
          <w:rFonts w:ascii="Times New Roman , serif" w:hAnsi="Times New Roman , serif"/>
          <w:szCs w:val="24"/>
        </w:rPr>
      </w:pPr>
      <w:bookmarkStart w:id="0" w:name="_Hlk69130178"/>
      <w:r w:rsidRPr="004F31E5">
        <w:rPr>
          <w:rFonts w:ascii="Times New Roman , serif" w:hAnsi="Times New Roman , serif"/>
          <w:szCs w:val="24"/>
        </w:rPr>
        <w:t xml:space="preserve">Modeling the optimal economic structure </w:t>
      </w:r>
    </w:p>
    <w:p w14:paraId="74FAEF28" w14:textId="77777777" w:rsidR="004F31E5" w:rsidRDefault="004F31E5" w:rsidP="004F31E5">
      <w:pPr>
        <w:pStyle w:val="10"/>
        <w:rPr>
          <w:rFonts w:ascii="Times New Roman , serif" w:hAnsi="Times New Roman , serif"/>
          <w:szCs w:val="24"/>
        </w:rPr>
      </w:pPr>
      <w:r w:rsidRPr="004F31E5">
        <w:rPr>
          <w:rFonts w:ascii="Times New Roman , serif" w:hAnsi="Times New Roman , serif"/>
          <w:szCs w:val="24"/>
        </w:rPr>
        <w:t xml:space="preserve">of a global deploying nuclear power </w:t>
      </w:r>
    </w:p>
    <w:p w14:paraId="59B5CD3D" w14:textId="77777777" w:rsidR="004F31E5" w:rsidRDefault="004F31E5" w:rsidP="004F31E5">
      <w:pPr>
        <w:pStyle w:val="10"/>
        <w:rPr>
          <w:rFonts w:ascii="Times New Roman , serif" w:hAnsi="Times New Roman , serif"/>
          <w:szCs w:val="24"/>
        </w:rPr>
      </w:pPr>
      <w:r w:rsidRPr="004F31E5">
        <w:rPr>
          <w:rFonts w:ascii="Times New Roman , serif" w:hAnsi="Times New Roman , serif"/>
          <w:szCs w:val="24"/>
        </w:rPr>
        <w:t xml:space="preserve">system with fast and thermal reactors </w:t>
      </w:r>
    </w:p>
    <w:p w14:paraId="2E8F72CE" w14:textId="77777777" w:rsidR="004F31E5" w:rsidRPr="00EE29B9" w:rsidRDefault="004F31E5" w:rsidP="004F31E5">
      <w:pPr>
        <w:pStyle w:val="10"/>
      </w:pPr>
      <w:r w:rsidRPr="004F31E5">
        <w:rPr>
          <w:rFonts w:ascii="Times New Roman , serif" w:hAnsi="Times New Roman , serif"/>
          <w:szCs w:val="24"/>
        </w:rPr>
        <w:t>in a partially closed nuclear fuel cycle</w:t>
      </w:r>
      <w:r w:rsidRPr="00EE29B9">
        <w:t xml:space="preserve"> </w:t>
      </w:r>
    </w:p>
    <w:p w14:paraId="503413EA" w14:textId="77777777" w:rsidR="004F31E5" w:rsidRDefault="004F31E5" w:rsidP="004F31E5">
      <w:pPr>
        <w:pStyle w:val="Authornameandaffiliation"/>
      </w:pPr>
    </w:p>
    <w:p w14:paraId="78ECD1FE" w14:textId="77777777" w:rsidR="004F31E5" w:rsidRDefault="004F31E5" w:rsidP="004F31E5">
      <w:pPr>
        <w:pStyle w:val="Authornameandaffiliation"/>
      </w:pPr>
      <w:r>
        <w:t>V.I.</w:t>
      </w:r>
      <w:r w:rsidR="00D82A43">
        <w:t xml:space="preserve"> </w:t>
      </w:r>
      <w:r>
        <w:t xml:space="preserve">USANOV </w:t>
      </w:r>
    </w:p>
    <w:p w14:paraId="3041033F" w14:textId="77777777" w:rsidR="004F31E5" w:rsidRDefault="004F31E5" w:rsidP="004F31E5">
      <w:pPr>
        <w:pStyle w:val="Authornameandaffiliation"/>
      </w:pPr>
      <w:r w:rsidRPr="004F31E5">
        <w:t xml:space="preserve">State Scientific Centre of the Russian Federation – </w:t>
      </w:r>
      <w:proofErr w:type="spellStart"/>
      <w:r w:rsidRPr="004F31E5">
        <w:t>Leypunsky</w:t>
      </w:r>
      <w:proofErr w:type="spellEnd"/>
      <w:r w:rsidRPr="004F31E5">
        <w:t xml:space="preserve"> Institute for Physics and Power Engineering, Joint-Stock Company</w:t>
      </w:r>
      <w:r w:rsidR="00D82A43">
        <w:t xml:space="preserve"> (IPPE)</w:t>
      </w:r>
      <w:r w:rsidRPr="004F31E5">
        <w:t xml:space="preserve">, </w:t>
      </w:r>
    </w:p>
    <w:p w14:paraId="49265909" w14:textId="77777777" w:rsidR="004F31E5" w:rsidRDefault="004F31E5" w:rsidP="004F31E5">
      <w:pPr>
        <w:pStyle w:val="Authornameandaffiliation"/>
      </w:pPr>
      <w:proofErr w:type="spellStart"/>
      <w:r w:rsidRPr="004F31E5">
        <w:t>Obninsk</w:t>
      </w:r>
      <w:proofErr w:type="spellEnd"/>
      <w:r>
        <w:t xml:space="preserve">, Russia </w:t>
      </w:r>
    </w:p>
    <w:p w14:paraId="5F327D3E" w14:textId="77777777" w:rsidR="004F31E5" w:rsidRDefault="004F31E5" w:rsidP="004F31E5">
      <w:pPr>
        <w:pStyle w:val="Authornameandaffiliation"/>
      </w:pPr>
      <w:r>
        <w:t>Email: vouss@ippe.ru</w:t>
      </w:r>
    </w:p>
    <w:p w14:paraId="2EFB9E99" w14:textId="77777777" w:rsidR="004F31E5" w:rsidRDefault="004F31E5" w:rsidP="004F31E5">
      <w:pPr>
        <w:pStyle w:val="Authornameandaffiliation"/>
      </w:pPr>
    </w:p>
    <w:p w14:paraId="06001CB7" w14:textId="77777777" w:rsidR="00D82A43" w:rsidRPr="00C933FE" w:rsidRDefault="00C933FE" w:rsidP="004F31E5">
      <w:pPr>
        <w:pStyle w:val="Authornameandaffiliation"/>
      </w:pPr>
      <w:r w:rsidRPr="00C933FE">
        <w:t xml:space="preserve">A.F. EGOROV </w:t>
      </w:r>
    </w:p>
    <w:p w14:paraId="4D5A56BF" w14:textId="77777777" w:rsidR="00D82A43" w:rsidRDefault="00D82A43" w:rsidP="004F31E5">
      <w:pPr>
        <w:pStyle w:val="Authornameandaffiliation"/>
      </w:pPr>
      <w:r w:rsidRPr="004F31E5">
        <w:t xml:space="preserve">State Scientific Centre of the Russian Federation – </w:t>
      </w:r>
      <w:proofErr w:type="spellStart"/>
      <w:r w:rsidRPr="004F31E5">
        <w:t>Leypunsky</w:t>
      </w:r>
      <w:proofErr w:type="spellEnd"/>
      <w:r w:rsidRPr="004F31E5">
        <w:t xml:space="preserve"> Institute for Physics and Power Engineering, Joint-Stock Company</w:t>
      </w:r>
      <w:r>
        <w:t xml:space="preserve"> (IPPE)</w:t>
      </w:r>
      <w:r w:rsidRPr="004F31E5">
        <w:t>,</w:t>
      </w:r>
      <w:r w:rsidRPr="00D82A43">
        <w:t xml:space="preserve"> </w:t>
      </w:r>
    </w:p>
    <w:p w14:paraId="1DBEB50E" w14:textId="77777777" w:rsidR="00D82A43" w:rsidRDefault="00D82A43" w:rsidP="004F31E5">
      <w:pPr>
        <w:pStyle w:val="Authornameandaffiliation"/>
      </w:pPr>
      <w:proofErr w:type="spellStart"/>
      <w:r w:rsidRPr="004F31E5">
        <w:t>Obninsk</w:t>
      </w:r>
      <w:proofErr w:type="spellEnd"/>
      <w:r>
        <w:t>, Russia</w:t>
      </w:r>
      <w:r w:rsidRPr="00D82A43">
        <w:t xml:space="preserve"> </w:t>
      </w:r>
    </w:p>
    <w:p w14:paraId="3834A17E" w14:textId="77777777" w:rsidR="004F31E5" w:rsidRPr="00FF386F" w:rsidRDefault="00E66990" w:rsidP="004F31E5">
      <w:pPr>
        <w:pStyle w:val="Authornameandaffiliation"/>
      </w:pPr>
      <w:hyperlink r:id="rId9" w:history="1">
        <w:r w:rsidR="00D82A43" w:rsidRPr="00FB5C29">
          <w:rPr>
            <w:rStyle w:val="a8"/>
          </w:rPr>
          <w:t>afegorov@ippe.ru</w:t>
        </w:r>
      </w:hyperlink>
      <w:r w:rsidR="00D82A43">
        <w:t xml:space="preserve"> </w:t>
      </w:r>
    </w:p>
    <w:p w14:paraId="56243C95" w14:textId="77777777" w:rsidR="004F31E5" w:rsidRDefault="004F31E5" w:rsidP="004F31E5">
      <w:pPr>
        <w:pStyle w:val="Authornameandaffiliation"/>
      </w:pPr>
    </w:p>
    <w:p w14:paraId="473509DA" w14:textId="77777777" w:rsidR="00D82A43" w:rsidRPr="00C933FE" w:rsidRDefault="00C933FE" w:rsidP="00D82A43">
      <w:pPr>
        <w:pStyle w:val="Authornameandaffiliation"/>
      </w:pPr>
      <w:r w:rsidRPr="00C933FE">
        <w:t xml:space="preserve">E.M. LVOVA  </w:t>
      </w:r>
    </w:p>
    <w:p w14:paraId="58C7D559" w14:textId="77777777" w:rsidR="00D82A43" w:rsidRDefault="00D82A43" w:rsidP="00D82A43">
      <w:pPr>
        <w:pStyle w:val="Authornameandaffiliation"/>
      </w:pPr>
      <w:r w:rsidRPr="004F31E5">
        <w:t xml:space="preserve">State Scientific Centre of the Russian Federation – </w:t>
      </w:r>
      <w:proofErr w:type="spellStart"/>
      <w:r w:rsidRPr="004F31E5">
        <w:t>Leypunsky</w:t>
      </w:r>
      <w:proofErr w:type="spellEnd"/>
      <w:r w:rsidRPr="004F31E5">
        <w:t xml:space="preserve"> Institute for Physics and Power Engineering, Joint-Stock Company</w:t>
      </w:r>
      <w:r>
        <w:t xml:space="preserve"> (IPPE)</w:t>
      </w:r>
      <w:r w:rsidRPr="004F31E5">
        <w:t>,</w:t>
      </w:r>
      <w:r w:rsidRPr="00D82A43">
        <w:t xml:space="preserve"> </w:t>
      </w:r>
    </w:p>
    <w:p w14:paraId="0550996B" w14:textId="77777777" w:rsidR="00D82A43" w:rsidRDefault="00D82A43" w:rsidP="00D82A43">
      <w:pPr>
        <w:pStyle w:val="Authornameandaffiliation"/>
      </w:pPr>
      <w:proofErr w:type="spellStart"/>
      <w:r w:rsidRPr="004F31E5">
        <w:t>Obninsk</w:t>
      </w:r>
      <w:proofErr w:type="spellEnd"/>
      <w:r>
        <w:t>, Russia</w:t>
      </w:r>
      <w:r w:rsidRPr="00D82A43">
        <w:t xml:space="preserve"> </w:t>
      </w:r>
    </w:p>
    <w:p w14:paraId="001A486F" w14:textId="77777777" w:rsidR="00D82A43" w:rsidRPr="00FF386F" w:rsidRDefault="00E66990" w:rsidP="00D82A43">
      <w:pPr>
        <w:pStyle w:val="Authornameandaffiliation"/>
      </w:pPr>
      <w:hyperlink r:id="rId10" w:history="1">
        <w:r w:rsidR="00D82A43" w:rsidRPr="00FB5C29">
          <w:rPr>
            <w:rStyle w:val="a8"/>
          </w:rPr>
          <w:t>emlvova@ippe.ru</w:t>
        </w:r>
      </w:hyperlink>
    </w:p>
    <w:p w14:paraId="0B598466" w14:textId="77777777" w:rsidR="004F31E5" w:rsidRDefault="004F31E5" w:rsidP="004F31E5">
      <w:pPr>
        <w:pStyle w:val="Authornameandaffiliation"/>
      </w:pPr>
    </w:p>
    <w:p w14:paraId="0438E7C5" w14:textId="77777777" w:rsidR="004F31E5" w:rsidRDefault="004F31E5" w:rsidP="004F31E5">
      <w:pPr>
        <w:pStyle w:val="Authornameandaffiliation"/>
      </w:pPr>
    </w:p>
    <w:bookmarkEnd w:id="0"/>
    <w:p w14:paraId="472F5CB5" w14:textId="77777777" w:rsidR="00AC54B8" w:rsidRPr="00AC54B8" w:rsidRDefault="00AC54B8" w:rsidP="00AC54B8">
      <w:pPr>
        <w:overflowPunct/>
        <w:autoSpaceDE/>
        <w:autoSpaceDN/>
        <w:adjustRightInd/>
        <w:ind w:left="567"/>
        <w:contextualSpacing/>
        <w:textAlignment w:val="auto"/>
        <w:rPr>
          <w:b/>
          <w:sz w:val="20"/>
          <w:lang w:val="en-US"/>
        </w:rPr>
      </w:pPr>
      <w:r w:rsidRPr="00AC54B8">
        <w:rPr>
          <w:b/>
          <w:sz w:val="20"/>
          <w:lang w:val="en-US"/>
        </w:rPr>
        <w:t>Abstract</w:t>
      </w:r>
    </w:p>
    <w:p w14:paraId="7F04795F" w14:textId="77777777" w:rsidR="00AC54B8" w:rsidRPr="00AC54B8" w:rsidRDefault="00AC54B8" w:rsidP="00AC54B8">
      <w:pPr>
        <w:overflowPunct/>
        <w:autoSpaceDE/>
        <w:autoSpaceDN/>
        <w:adjustRightInd/>
        <w:ind w:left="567"/>
        <w:contextualSpacing/>
        <w:textAlignment w:val="auto"/>
        <w:rPr>
          <w:sz w:val="20"/>
          <w:lang w:val="en-US"/>
        </w:rPr>
      </w:pPr>
    </w:p>
    <w:p w14:paraId="7D1A58C4" w14:textId="77777777" w:rsidR="008015F2" w:rsidRDefault="008015F2" w:rsidP="00AC54B8">
      <w:pPr>
        <w:ind w:firstLine="567"/>
        <w:jc w:val="both"/>
        <w:textAlignment w:val="auto"/>
        <w:rPr>
          <w:sz w:val="18"/>
          <w:szCs w:val="18"/>
          <w:lang w:val="en-US"/>
        </w:rPr>
      </w:pPr>
    </w:p>
    <w:p w14:paraId="69B127BF" w14:textId="058BD6BE" w:rsidR="00AC54B8" w:rsidRPr="00AC54B8" w:rsidRDefault="00AC54B8" w:rsidP="00AC54B8">
      <w:pPr>
        <w:ind w:firstLine="567"/>
        <w:jc w:val="both"/>
        <w:textAlignment w:val="auto"/>
        <w:rPr>
          <w:sz w:val="18"/>
          <w:szCs w:val="18"/>
          <w:lang w:val="en-US"/>
        </w:rPr>
      </w:pPr>
      <w:r w:rsidRPr="00AC54B8">
        <w:rPr>
          <w:sz w:val="18"/>
          <w:szCs w:val="18"/>
          <w:lang w:val="en-US"/>
        </w:rPr>
        <w:t>The objective of this work is to model a global nuclear energy system deployment with fast and thermal reactors in a partially closed fuel cycle and find the global NES structure that is optimal from the point o</w:t>
      </w:r>
      <w:r w:rsidR="00391504">
        <w:rPr>
          <w:sz w:val="18"/>
          <w:szCs w:val="18"/>
          <w:lang w:val="en-US"/>
        </w:rPr>
        <w:t xml:space="preserve">f view of </w:t>
      </w:r>
      <w:r w:rsidRPr="00AC54B8">
        <w:rPr>
          <w:sz w:val="18"/>
          <w:szCs w:val="18"/>
          <w:lang w:val="en-US"/>
        </w:rPr>
        <w:t xml:space="preserve">economic criteria. The tool for the NES simulation used in the study is the software package MESSAGE distributed by the IAEA. The technologies with economic characteristics confirmed by </w:t>
      </w:r>
      <w:r w:rsidR="00391504">
        <w:rPr>
          <w:sz w:val="18"/>
          <w:szCs w:val="18"/>
          <w:lang w:val="en-US"/>
        </w:rPr>
        <w:t xml:space="preserve">the </w:t>
      </w:r>
      <w:r w:rsidRPr="00AC54B8">
        <w:rPr>
          <w:sz w:val="18"/>
          <w:szCs w:val="18"/>
          <w:lang w:val="en-US"/>
        </w:rPr>
        <w:t>existing operational experience were candidates that could be included into the modelled NES: thermal neutron reactors with a full load of uranium oxide fuel (UOX), thermal neutron reactors with a partial load of mixed uranium-plutonium fuel (MOX) in a once-through and partially closed NFC, and fast neutron reactors with MOX fuel in a closed NFC. The results of the study show that in the conditions of lower capital costs of thermal neutron reactors compared to fast reactors, low prices for natural uranium and low cost of spent nuclear fuel (SNF) storage, the development of a global NES based on a once-through NFC with thermal reactors and uranium fuel will dominate until the 70s of this century. However, increase in the price of natural uranium associated with the system growth and increase in the costs of fuel management at the final stage of the once-through NFC, leads to an economically justified commissioning of fast reactors and partial</w:t>
      </w:r>
      <w:r w:rsidR="00391504">
        <w:rPr>
          <w:sz w:val="18"/>
          <w:szCs w:val="18"/>
          <w:lang w:val="en-US"/>
        </w:rPr>
        <w:t>ly</w:t>
      </w:r>
      <w:r w:rsidRPr="00AC54B8">
        <w:rPr>
          <w:sz w:val="18"/>
          <w:szCs w:val="18"/>
          <w:lang w:val="en-US"/>
        </w:rPr>
        <w:t xml:space="preserve"> closed NFC. The paper identifies the factors that most significantly affect the structure of the global system optimized for economic criteria.</w:t>
      </w:r>
    </w:p>
    <w:p w14:paraId="4C4EBC81" w14:textId="77777777" w:rsidR="00AC54B8" w:rsidRPr="00AC54B8" w:rsidRDefault="00AC54B8" w:rsidP="0023417F">
      <w:pPr>
        <w:widowControl w:val="0"/>
        <w:numPr>
          <w:ilvl w:val="1"/>
          <w:numId w:val="14"/>
        </w:numPr>
        <w:tabs>
          <w:tab w:val="left" w:pos="851"/>
          <w:tab w:val="left" w:pos="993"/>
        </w:tabs>
        <w:overflowPunct/>
        <w:autoSpaceDE/>
        <w:autoSpaceDN/>
        <w:adjustRightInd/>
        <w:spacing w:before="100" w:beforeAutospacing="1" w:after="100" w:afterAutospacing="1" w:line="280" w:lineRule="atLeast"/>
        <w:ind w:left="567"/>
        <w:textAlignment w:val="auto"/>
        <w:outlineLvl w:val="1"/>
        <w:rPr>
          <w:caps/>
          <w:sz w:val="20"/>
        </w:rPr>
      </w:pPr>
      <w:r w:rsidRPr="00AC54B8">
        <w:rPr>
          <w:caps/>
          <w:sz w:val="20"/>
        </w:rPr>
        <w:t>INTRODUCTION</w:t>
      </w:r>
    </w:p>
    <w:p w14:paraId="03A26CD8" w14:textId="102BC20C" w:rsidR="00AC54B8" w:rsidRPr="00AC54B8" w:rsidRDefault="00AC54B8" w:rsidP="00AC54B8">
      <w:pPr>
        <w:overflowPunct/>
        <w:autoSpaceDE/>
        <w:autoSpaceDN/>
        <w:adjustRightInd/>
        <w:spacing w:line="260" w:lineRule="atLeast"/>
        <w:ind w:firstLine="567"/>
        <w:contextualSpacing/>
        <w:jc w:val="both"/>
        <w:textAlignment w:val="auto"/>
        <w:rPr>
          <w:sz w:val="20"/>
          <w:lang w:val="en-US"/>
        </w:rPr>
      </w:pPr>
      <w:r w:rsidRPr="00AC54B8">
        <w:rPr>
          <w:sz w:val="20"/>
          <w:lang w:val="en"/>
        </w:rPr>
        <w:t>One of the most challenging sustainability requirements for a two-component nuclear energy system (NES) based on thermal (</w:t>
      </w:r>
      <w:r w:rsidR="0008715F">
        <w:rPr>
          <w:sz w:val="20"/>
          <w:lang w:val="en"/>
        </w:rPr>
        <w:t>LWR</w:t>
      </w:r>
      <w:r w:rsidRPr="00AC54B8">
        <w:rPr>
          <w:sz w:val="20"/>
          <w:lang w:val="en"/>
        </w:rPr>
        <w:t xml:space="preserve">) and fast neutron (FR) reactors operating in a partially closed NFC is the requirement to generate electricity at a competitive market price. </w:t>
      </w:r>
      <w:r w:rsidRPr="00900E82">
        <w:rPr>
          <w:sz w:val="20"/>
          <w:lang w:val="en"/>
        </w:rPr>
        <w:t xml:space="preserve">The main reason for the difficulties consists in the fact that according to the forecast, construction of fast neutron reactors and development of the closed nuclear fuel cycle (CNFC) infrastructure will require higher investment </w:t>
      </w:r>
      <w:r w:rsidR="00C254CE" w:rsidRPr="00900E82">
        <w:rPr>
          <w:sz w:val="20"/>
          <w:lang w:val="en"/>
        </w:rPr>
        <w:t xml:space="preserve">costs as compared to the costs </w:t>
      </w:r>
      <w:r w:rsidRPr="00900E82">
        <w:rPr>
          <w:sz w:val="20"/>
          <w:lang w:val="en"/>
        </w:rPr>
        <w:t>f</w:t>
      </w:r>
      <w:r w:rsidR="00C254CE" w:rsidRPr="00900E82">
        <w:rPr>
          <w:sz w:val="20"/>
          <w:lang w:val="en"/>
        </w:rPr>
        <w:t>or</w:t>
      </w:r>
      <w:r w:rsidRPr="00900E82">
        <w:rPr>
          <w:sz w:val="20"/>
          <w:lang w:val="en"/>
        </w:rPr>
        <w:t xml:space="preserve"> construction of thermal reactors with a once-through nuclear fuel cycle (ONFC).</w:t>
      </w:r>
      <w:r w:rsidRPr="00AC54B8">
        <w:rPr>
          <w:sz w:val="20"/>
          <w:lang w:val="en"/>
        </w:rPr>
        <w:t xml:space="preserve"> At the same time, some aspects of the closed nuclear fuel cycle, which may manifest themselves in the long-term planning horizon, may have a positive impact on the NES economics. The aim of the study presented in this paper is to simulate a global developing nuclear energy system with fast and thermal reactors in a partially closed fuel cycle over a long time interval and to search for the global system structure that could be optimal in terms of its economic criteria.</w:t>
      </w:r>
    </w:p>
    <w:p w14:paraId="093654FE" w14:textId="77777777" w:rsidR="00AC54B8" w:rsidRPr="00AC54B8" w:rsidRDefault="00AC54B8" w:rsidP="0023417F">
      <w:pPr>
        <w:widowControl w:val="0"/>
        <w:numPr>
          <w:ilvl w:val="1"/>
          <w:numId w:val="14"/>
        </w:numPr>
        <w:tabs>
          <w:tab w:val="left" w:pos="851"/>
        </w:tabs>
        <w:overflowPunct/>
        <w:autoSpaceDE/>
        <w:autoSpaceDN/>
        <w:adjustRightInd/>
        <w:spacing w:before="100" w:beforeAutospacing="1" w:after="100" w:afterAutospacing="1" w:line="280" w:lineRule="atLeast"/>
        <w:ind w:left="567"/>
        <w:textAlignment w:val="auto"/>
        <w:outlineLvl w:val="1"/>
        <w:rPr>
          <w:caps/>
          <w:sz w:val="20"/>
          <w:lang w:val="en-US"/>
        </w:rPr>
      </w:pPr>
      <w:r w:rsidRPr="00AC54B8">
        <w:rPr>
          <w:caps/>
          <w:sz w:val="20"/>
          <w:lang w:val="en-US"/>
        </w:rPr>
        <w:t xml:space="preserve">General problem statement and simulation tools </w:t>
      </w:r>
    </w:p>
    <w:p w14:paraId="0467426F" w14:textId="7B3173F0" w:rsidR="00AC54B8" w:rsidRPr="00AC54B8" w:rsidRDefault="00AC54B8" w:rsidP="00AC54B8">
      <w:pPr>
        <w:overflowPunct/>
        <w:autoSpaceDE/>
        <w:autoSpaceDN/>
        <w:adjustRightInd/>
        <w:spacing w:line="260" w:lineRule="atLeast"/>
        <w:ind w:firstLine="567"/>
        <w:contextualSpacing/>
        <w:jc w:val="both"/>
        <w:textAlignment w:val="auto"/>
        <w:rPr>
          <w:sz w:val="20"/>
        </w:rPr>
      </w:pPr>
      <w:r w:rsidRPr="00AC54B8">
        <w:rPr>
          <w:sz w:val="20"/>
        </w:rPr>
        <w:t xml:space="preserve">In the scenario identification and the analysis of investigation results, </w:t>
      </w:r>
      <w:r w:rsidR="00C254CE">
        <w:rPr>
          <w:sz w:val="20"/>
        </w:rPr>
        <w:t xml:space="preserve">the use was made of </w:t>
      </w:r>
      <w:r w:rsidRPr="00AC54B8">
        <w:rPr>
          <w:sz w:val="20"/>
        </w:rPr>
        <w:t>the approach developed under the IAEA INPRO international project [1] in the GAINS cooperation projec</w:t>
      </w:r>
      <w:r w:rsidR="00C254CE">
        <w:rPr>
          <w:sz w:val="20"/>
        </w:rPr>
        <w:t>t (GAINS Framework) [2]</w:t>
      </w:r>
      <w:r w:rsidRPr="00AC54B8">
        <w:rPr>
          <w:sz w:val="20"/>
        </w:rPr>
        <w:t xml:space="preserve">. The key points of this approach are: </w:t>
      </w:r>
    </w:p>
    <w:p w14:paraId="086C4B9C" w14:textId="46335791" w:rsidR="00AC54B8" w:rsidRPr="00C254CE" w:rsidRDefault="00AC54B8" w:rsidP="00C254CE">
      <w:pPr>
        <w:pStyle w:val="ab"/>
        <w:numPr>
          <w:ilvl w:val="0"/>
          <w:numId w:val="16"/>
        </w:numPr>
        <w:overflowPunct/>
        <w:autoSpaceDE/>
        <w:autoSpaceDN/>
        <w:adjustRightInd/>
        <w:spacing w:line="260" w:lineRule="atLeast"/>
        <w:jc w:val="both"/>
        <w:textAlignment w:val="auto"/>
        <w:rPr>
          <w:sz w:val="20"/>
          <w:lang w:val="en-US"/>
        </w:rPr>
      </w:pPr>
      <w:r w:rsidRPr="00C254CE">
        <w:rPr>
          <w:sz w:val="20"/>
          <w:lang w:val="en"/>
        </w:rPr>
        <w:lastRenderedPageBreak/>
        <w:t xml:space="preserve">use of an internationally agreed methodology for assessing nuclear energy systems in terms of their sustainability criteria </w:t>
      </w:r>
      <w:r w:rsidRPr="00C254CE">
        <w:rPr>
          <w:rFonts w:eastAsia="Calibri"/>
          <w:sz w:val="20"/>
          <w:lang w:val="en-US"/>
        </w:rPr>
        <w:t>[3];</w:t>
      </w:r>
    </w:p>
    <w:p w14:paraId="3D9D4463" w14:textId="306E673C" w:rsidR="00AC54B8" w:rsidRPr="00C254CE" w:rsidRDefault="00AC54B8" w:rsidP="00C254CE">
      <w:pPr>
        <w:pStyle w:val="ab"/>
        <w:numPr>
          <w:ilvl w:val="0"/>
          <w:numId w:val="16"/>
        </w:numPr>
        <w:overflowPunct/>
        <w:autoSpaceDE/>
        <w:autoSpaceDN/>
        <w:adjustRightInd/>
        <w:spacing w:line="260" w:lineRule="atLeast"/>
        <w:jc w:val="both"/>
        <w:textAlignment w:val="auto"/>
        <w:rPr>
          <w:sz w:val="20"/>
          <w:lang w:val="en-US"/>
        </w:rPr>
      </w:pPr>
      <w:r w:rsidRPr="00C254CE">
        <w:rPr>
          <w:sz w:val="20"/>
          <w:lang w:val="en-US"/>
        </w:rPr>
        <w:t>application of the tools disseminated by the IAEA for NES modeling;</w:t>
      </w:r>
    </w:p>
    <w:p w14:paraId="555563F4" w14:textId="593C0F61" w:rsidR="00AC54B8" w:rsidRPr="00C254CE" w:rsidRDefault="00AC54B8" w:rsidP="00C254CE">
      <w:pPr>
        <w:pStyle w:val="ab"/>
        <w:numPr>
          <w:ilvl w:val="0"/>
          <w:numId w:val="16"/>
        </w:numPr>
        <w:overflowPunct/>
        <w:autoSpaceDE/>
        <w:autoSpaceDN/>
        <w:adjustRightInd/>
        <w:spacing w:line="260" w:lineRule="atLeast"/>
        <w:jc w:val="both"/>
        <w:textAlignment w:val="auto"/>
        <w:rPr>
          <w:sz w:val="20"/>
          <w:lang w:val="en-US"/>
        </w:rPr>
      </w:pPr>
      <w:r w:rsidRPr="00C254CE">
        <w:rPr>
          <w:sz w:val="20"/>
          <w:lang w:val="en-US"/>
        </w:rPr>
        <w:t>analysis of scenarios based on the agreed metrics (indicators);</w:t>
      </w:r>
    </w:p>
    <w:p w14:paraId="47E86740" w14:textId="6333DEEF" w:rsidR="00AC54B8" w:rsidRPr="00C254CE" w:rsidRDefault="00AC54B8" w:rsidP="00C254CE">
      <w:pPr>
        <w:pStyle w:val="ab"/>
        <w:numPr>
          <w:ilvl w:val="0"/>
          <w:numId w:val="16"/>
        </w:numPr>
        <w:overflowPunct/>
        <w:autoSpaceDE/>
        <w:autoSpaceDN/>
        <w:adjustRightInd/>
        <w:spacing w:line="260" w:lineRule="atLeast"/>
        <w:jc w:val="both"/>
        <w:textAlignment w:val="auto"/>
        <w:rPr>
          <w:sz w:val="20"/>
          <w:lang w:val="en-US"/>
        </w:rPr>
      </w:pPr>
      <w:r w:rsidRPr="00C254CE">
        <w:rPr>
          <w:sz w:val="20"/>
          <w:lang w:val="en" w:eastAsia="ru-RU"/>
        </w:rPr>
        <w:t>focus on the global nuclear power development plotlines elaborated by acknowledged international energy agencies with estimates of long-term demand for nuclear energy;</w:t>
      </w:r>
    </w:p>
    <w:p w14:paraId="39CDD366" w14:textId="66FD8717" w:rsidR="00AC54B8" w:rsidRPr="00C254CE" w:rsidRDefault="00AC54B8" w:rsidP="00C254CE">
      <w:pPr>
        <w:pStyle w:val="ab"/>
        <w:numPr>
          <w:ilvl w:val="0"/>
          <w:numId w:val="16"/>
        </w:numPr>
        <w:overflowPunct/>
        <w:autoSpaceDE/>
        <w:autoSpaceDN/>
        <w:adjustRightInd/>
        <w:spacing w:line="260" w:lineRule="atLeast"/>
        <w:jc w:val="both"/>
        <w:textAlignment w:val="auto"/>
        <w:rPr>
          <w:sz w:val="20"/>
          <w:lang w:val="en-US"/>
        </w:rPr>
      </w:pPr>
      <w:proofErr w:type="gramStart"/>
      <w:r w:rsidRPr="00C254CE">
        <w:rPr>
          <w:sz w:val="20"/>
          <w:lang w:val="en" w:eastAsia="ru-RU"/>
        </w:rPr>
        <w:t>use</w:t>
      </w:r>
      <w:proofErr w:type="gramEnd"/>
      <w:r w:rsidRPr="00C254CE">
        <w:rPr>
          <w:sz w:val="20"/>
          <w:lang w:val="en-US" w:eastAsia="ru-RU"/>
        </w:rPr>
        <w:t xml:space="preserve"> </w:t>
      </w:r>
      <w:r w:rsidRPr="00C254CE">
        <w:rPr>
          <w:sz w:val="20"/>
          <w:lang w:val="en" w:eastAsia="ru-RU"/>
        </w:rPr>
        <w:t>of</w:t>
      </w:r>
      <w:r w:rsidRPr="00C254CE">
        <w:rPr>
          <w:sz w:val="20"/>
          <w:lang w:val="en-US" w:eastAsia="ru-RU"/>
        </w:rPr>
        <w:t xml:space="preserve"> the </w:t>
      </w:r>
      <w:r w:rsidRPr="00C254CE">
        <w:rPr>
          <w:sz w:val="20"/>
          <w:lang w:val="en" w:eastAsia="ru-RU"/>
        </w:rPr>
        <w:t>data</w:t>
      </w:r>
      <w:r w:rsidRPr="00C254CE">
        <w:rPr>
          <w:sz w:val="20"/>
          <w:lang w:val="en-US" w:eastAsia="ru-RU"/>
        </w:rPr>
        <w:t xml:space="preserve"> </w:t>
      </w:r>
      <w:r w:rsidRPr="00C254CE">
        <w:rPr>
          <w:sz w:val="20"/>
          <w:lang w:val="en" w:eastAsia="ru-RU"/>
        </w:rPr>
        <w:t>on</w:t>
      </w:r>
      <w:r w:rsidRPr="00C254CE">
        <w:rPr>
          <w:sz w:val="20"/>
          <w:lang w:val="en-US" w:eastAsia="ru-RU"/>
        </w:rPr>
        <w:t xml:space="preserve"> </w:t>
      </w:r>
      <w:r w:rsidRPr="00C254CE">
        <w:rPr>
          <w:sz w:val="20"/>
          <w:lang w:val="en" w:eastAsia="ru-RU"/>
        </w:rPr>
        <w:t>reactors</w:t>
      </w:r>
      <w:r w:rsidRPr="00C254CE">
        <w:rPr>
          <w:sz w:val="20"/>
          <w:lang w:val="en-US" w:eastAsia="ru-RU"/>
        </w:rPr>
        <w:t xml:space="preserve"> </w:t>
      </w:r>
      <w:r w:rsidRPr="00C254CE">
        <w:rPr>
          <w:sz w:val="20"/>
          <w:lang w:val="en" w:eastAsia="ru-RU"/>
        </w:rPr>
        <w:t>and</w:t>
      </w:r>
      <w:r w:rsidRPr="00C254CE">
        <w:rPr>
          <w:sz w:val="20"/>
          <w:lang w:val="en-US" w:eastAsia="ru-RU"/>
        </w:rPr>
        <w:t xml:space="preserve"> </w:t>
      </w:r>
      <w:r w:rsidRPr="00C254CE">
        <w:rPr>
          <w:sz w:val="20"/>
          <w:lang w:val="en" w:eastAsia="ru-RU"/>
        </w:rPr>
        <w:t>fuel</w:t>
      </w:r>
      <w:r w:rsidRPr="00C254CE">
        <w:rPr>
          <w:sz w:val="20"/>
          <w:lang w:val="en-US" w:eastAsia="ru-RU"/>
        </w:rPr>
        <w:t xml:space="preserve"> </w:t>
      </w:r>
      <w:r w:rsidRPr="00C254CE">
        <w:rPr>
          <w:sz w:val="20"/>
          <w:lang w:val="en" w:eastAsia="ru-RU"/>
        </w:rPr>
        <w:t>cycles</w:t>
      </w:r>
      <w:r w:rsidRPr="00C254CE">
        <w:rPr>
          <w:sz w:val="20"/>
          <w:lang w:val="en-US" w:eastAsia="ru-RU"/>
        </w:rPr>
        <w:t xml:space="preserve"> </w:t>
      </w:r>
      <w:r w:rsidRPr="00C254CE">
        <w:rPr>
          <w:sz w:val="20"/>
          <w:lang w:val="en" w:eastAsia="ru-RU"/>
        </w:rPr>
        <w:t>compiled</w:t>
      </w:r>
      <w:r w:rsidRPr="00C254CE">
        <w:rPr>
          <w:sz w:val="20"/>
          <w:lang w:val="en-US" w:eastAsia="ru-RU"/>
        </w:rPr>
        <w:t xml:space="preserve"> </w:t>
      </w:r>
      <w:r w:rsidRPr="00C254CE">
        <w:rPr>
          <w:sz w:val="20"/>
          <w:lang w:val="en" w:eastAsia="ru-RU"/>
        </w:rPr>
        <w:t>in</w:t>
      </w:r>
      <w:r w:rsidRPr="00C254CE">
        <w:rPr>
          <w:sz w:val="20"/>
          <w:lang w:val="en-US" w:eastAsia="ru-RU"/>
        </w:rPr>
        <w:t xml:space="preserve"> </w:t>
      </w:r>
      <w:r w:rsidRPr="00C254CE">
        <w:rPr>
          <w:sz w:val="20"/>
          <w:lang w:val="en" w:eastAsia="ru-RU"/>
        </w:rPr>
        <w:t>the</w:t>
      </w:r>
      <w:r w:rsidRPr="00C254CE">
        <w:rPr>
          <w:sz w:val="20"/>
          <w:lang w:val="en-US" w:eastAsia="ru-RU"/>
        </w:rPr>
        <w:t xml:space="preserve"> </w:t>
      </w:r>
      <w:r w:rsidRPr="00C254CE">
        <w:rPr>
          <w:sz w:val="20"/>
          <w:lang w:val="en" w:eastAsia="ru-RU"/>
        </w:rPr>
        <w:t>INPRO</w:t>
      </w:r>
      <w:r w:rsidRPr="00C254CE">
        <w:rPr>
          <w:sz w:val="20"/>
          <w:lang w:val="en-US" w:eastAsia="ru-RU"/>
        </w:rPr>
        <w:t xml:space="preserve"> </w:t>
      </w:r>
      <w:r w:rsidRPr="00C254CE">
        <w:rPr>
          <w:sz w:val="20"/>
          <w:lang w:val="en" w:eastAsia="ru-RU"/>
        </w:rPr>
        <w:t>project</w:t>
      </w:r>
      <w:r w:rsidRPr="00C254CE">
        <w:rPr>
          <w:sz w:val="20"/>
          <w:lang w:val="en-US" w:eastAsia="ru-RU"/>
        </w:rPr>
        <w:t xml:space="preserve"> </w:t>
      </w:r>
      <w:r w:rsidRPr="00C254CE">
        <w:rPr>
          <w:sz w:val="20"/>
          <w:lang w:val="en" w:eastAsia="ru-RU"/>
        </w:rPr>
        <w:t>and</w:t>
      </w:r>
      <w:r w:rsidRPr="00C254CE">
        <w:rPr>
          <w:sz w:val="20"/>
          <w:lang w:val="en-US" w:eastAsia="ru-RU"/>
        </w:rPr>
        <w:t xml:space="preserve"> </w:t>
      </w:r>
      <w:r w:rsidRPr="00C254CE">
        <w:rPr>
          <w:sz w:val="20"/>
          <w:lang w:val="en" w:eastAsia="ru-RU"/>
        </w:rPr>
        <w:t>other</w:t>
      </w:r>
      <w:r w:rsidRPr="00C254CE">
        <w:rPr>
          <w:sz w:val="20"/>
          <w:lang w:val="en-US" w:eastAsia="ru-RU"/>
        </w:rPr>
        <w:t xml:space="preserve"> </w:t>
      </w:r>
      <w:r w:rsidRPr="00C254CE">
        <w:rPr>
          <w:sz w:val="20"/>
          <w:lang w:val="en" w:eastAsia="ru-RU"/>
        </w:rPr>
        <w:t>published</w:t>
      </w:r>
      <w:r w:rsidRPr="00C254CE">
        <w:rPr>
          <w:sz w:val="20"/>
          <w:lang w:val="en-US" w:eastAsia="ru-RU"/>
        </w:rPr>
        <w:t xml:space="preserve"> </w:t>
      </w:r>
      <w:r w:rsidRPr="00C254CE">
        <w:rPr>
          <w:sz w:val="20"/>
          <w:lang w:val="en" w:eastAsia="ru-RU"/>
        </w:rPr>
        <w:t>materials.</w:t>
      </w:r>
    </w:p>
    <w:p w14:paraId="2833BF08" w14:textId="77777777" w:rsidR="00AC54B8" w:rsidRPr="00AC54B8" w:rsidRDefault="00AC54B8" w:rsidP="00AC54B8">
      <w:pPr>
        <w:overflowPunct/>
        <w:autoSpaceDE/>
        <w:autoSpaceDN/>
        <w:adjustRightInd/>
        <w:spacing w:line="260" w:lineRule="atLeast"/>
        <w:ind w:left="709"/>
        <w:contextualSpacing/>
        <w:jc w:val="both"/>
        <w:textAlignment w:val="auto"/>
        <w:rPr>
          <w:sz w:val="20"/>
          <w:lang w:val="en-US"/>
        </w:rPr>
      </w:pPr>
    </w:p>
    <w:p w14:paraId="64345A9D" w14:textId="77777777" w:rsidR="00AC54B8" w:rsidRPr="00AC54B8" w:rsidRDefault="00AC54B8" w:rsidP="00AC54B8">
      <w:pPr>
        <w:tabs>
          <w:tab w:val="left" w:pos="709"/>
        </w:tabs>
        <w:overflowPunct/>
        <w:autoSpaceDE/>
        <w:adjustRightInd/>
        <w:spacing w:line="260" w:lineRule="atLeast"/>
        <w:ind w:left="567"/>
        <w:contextualSpacing/>
        <w:jc w:val="both"/>
        <w:textAlignment w:val="auto"/>
        <w:rPr>
          <w:b/>
          <w:sz w:val="20"/>
          <w:lang w:val="en-US"/>
        </w:rPr>
      </w:pPr>
      <w:r w:rsidRPr="00AC54B8">
        <w:rPr>
          <w:rFonts w:eastAsia="Calibri"/>
          <w:b/>
          <w:sz w:val="20"/>
          <w:lang w:val="en-US"/>
        </w:rPr>
        <w:t>2.1.</w:t>
      </w:r>
      <w:r w:rsidRPr="00AC54B8">
        <w:rPr>
          <w:rFonts w:eastAsia="Calibri"/>
          <w:b/>
          <w:lang w:val="en-US"/>
        </w:rPr>
        <w:t xml:space="preserve"> </w:t>
      </w:r>
      <w:r w:rsidRPr="00AC54B8">
        <w:rPr>
          <w:b/>
          <w:sz w:val="20"/>
          <w:lang w:val="en-US"/>
        </w:rPr>
        <w:t xml:space="preserve">Optimization software package </w:t>
      </w:r>
      <w:r w:rsidRPr="00AC54B8">
        <w:rPr>
          <w:b/>
          <w:sz w:val="20"/>
        </w:rPr>
        <w:t>MESSAGE</w:t>
      </w:r>
    </w:p>
    <w:p w14:paraId="47852887" w14:textId="77777777" w:rsidR="00AC54B8" w:rsidRPr="00AC54B8" w:rsidRDefault="00AC54B8" w:rsidP="00AC54B8">
      <w:pPr>
        <w:tabs>
          <w:tab w:val="left" w:pos="709"/>
        </w:tabs>
        <w:overflowPunct/>
        <w:autoSpaceDE/>
        <w:adjustRightInd/>
        <w:spacing w:line="260" w:lineRule="atLeast"/>
        <w:ind w:left="567"/>
        <w:contextualSpacing/>
        <w:jc w:val="both"/>
        <w:textAlignment w:val="auto"/>
        <w:rPr>
          <w:rFonts w:eastAsia="Calibri"/>
          <w:b/>
          <w:sz w:val="20"/>
          <w:lang w:val="en-US"/>
        </w:rPr>
      </w:pPr>
    </w:p>
    <w:p w14:paraId="5A70A7AC" w14:textId="652E719C" w:rsidR="00AC54B8" w:rsidRPr="00AC54B8" w:rsidRDefault="00AC54B8" w:rsidP="00AC54B8">
      <w:pPr>
        <w:tabs>
          <w:tab w:val="left" w:pos="709"/>
        </w:tabs>
        <w:overflowPunct/>
        <w:autoSpaceDE/>
        <w:adjustRightInd/>
        <w:spacing w:line="260" w:lineRule="atLeast"/>
        <w:ind w:firstLine="567"/>
        <w:jc w:val="both"/>
        <w:textAlignment w:val="auto"/>
        <w:rPr>
          <w:rFonts w:eastAsia="Calibri"/>
          <w:b/>
          <w:sz w:val="20"/>
          <w:lang w:val="en-US"/>
        </w:rPr>
      </w:pPr>
      <w:r w:rsidRPr="00AC54B8">
        <w:rPr>
          <w:sz w:val="20"/>
        </w:rPr>
        <w:t>MESSAGE</w:t>
      </w:r>
      <w:r w:rsidRPr="00AC54B8">
        <w:rPr>
          <w:sz w:val="20"/>
          <w:lang w:val="en-US"/>
        </w:rPr>
        <w:t xml:space="preserve"> (</w:t>
      </w:r>
      <w:r w:rsidRPr="00AC54B8">
        <w:rPr>
          <w:sz w:val="20"/>
        </w:rPr>
        <w:t>Model</w:t>
      </w:r>
      <w:r w:rsidRPr="00AC54B8">
        <w:rPr>
          <w:sz w:val="20"/>
          <w:lang w:val="en-US"/>
        </w:rPr>
        <w:t xml:space="preserve"> </w:t>
      </w:r>
      <w:r w:rsidRPr="00AC54B8">
        <w:rPr>
          <w:sz w:val="20"/>
        </w:rPr>
        <w:t>for</w:t>
      </w:r>
      <w:r w:rsidRPr="00AC54B8">
        <w:rPr>
          <w:sz w:val="20"/>
          <w:lang w:val="en-US"/>
        </w:rPr>
        <w:t xml:space="preserve"> </w:t>
      </w:r>
      <w:r w:rsidRPr="00AC54B8">
        <w:rPr>
          <w:sz w:val="20"/>
        </w:rPr>
        <w:t>Energy</w:t>
      </w:r>
      <w:r w:rsidRPr="00AC54B8">
        <w:rPr>
          <w:sz w:val="20"/>
          <w:lang w:val="en-US"/>
        </w:rPr>
        <w:t xml:space="preserve"> </w:t>
      </w:r>
      <w:r w:rsidRPr="00AC54B8">
        <w:rPr>
          <w:sz w:val="20"/>
        </w:rPr>
        <w:t>Supply</w:t>
      </w:r>
      <w:r w:rsidRPr="00AC54B8">
        <w:rPr>
          <w:sz w:val="20"/>
          <w:lang w:val="en-US"/>
        </w:rPr>
        <w:t xml:space="preserve"> </w:t>
      </w:r>
      <w:r w:rsidRPr="00AC54B8">
        <w:rPr>
          <w:sz w:val="20"/>
        </w:rPr>
        <w:t>Strategy</w:t>
      </w:r>
      <w:r w:rsidRPr="00AC54B8">
        <w:rPr>
          <w:sz w:val="20"/>
          <w:lang w:val="en-US"/>
        </w:rPr>
        <w:t xml:space="preserve"> </w:t>
      </w:r>
      <w:r w:rsidRPr="00AC54B8">
        <w:rPr>
          <w:sz w:val="20"/>
        </w:rPr>
        <w:t>Alternatives</w:t>
      </w:r>
      <w:r w:rsidRPr="00AC54B8">
        <w:rPr>
          <w:sz w:val="20"/>
          <w:lang w:val="en-US"/>
        </w:rPr>
        <w:t xml:space="preserve"> </w:t>
      </w:r>
      <w:r w:rsidRPr="00AC54B8">
        <w:rPr>
          <w:sz w:val="20"/>
        </w:rPr>
        <w:t>and</w:t>
      </w:r>
      <w:r w:rsidRPr="00AC54B8">
        <w:rPr>
          <w:sz w:val="20"/>
          <w:lang w:val="en-US"/>
        </w:rPr>
        <w:t xml:space="preserve"> </w:t>
      </w:r>
      <w:r w:rsidRPr="00AC54B8">
        <w:rPr>
          <w:sz w:val="20"/>
        </w:rPr>
        <w:t>their</w:t>
      </w:r>
      <w:r w:rsidRPr="00AC54B8">
        <w:rPr>
          <w:sz w:val="20"/>
          <w:lang w:val="en-US"/>
        </w:rPr>
        <w:t xml:space="preserve"> </w:t>
      </w:r>
      <w:r w:rsidRPr="00AC54B8">
        <w:rPr>
          <w:sz w:val="20"/>
        </w:rPr>
        <w:t>General</w:t>
      </w:r>
      <w:r w:rsidRPr="00AC54B8">
        <w:rPr>
          <w:sz w:val="20"/>
          <w:lang w:val="en-US"/>
        </w:rPr>
        <w:t xml:space="preserve"> </w:t>
      </w:r>
      <w:r w:rsidRPr="00AC54B8">
        <w:rPr>
          <w:sz w:val="20"/>
        </w:rPr>
        <w:t>Environmental</w:t>
      </w:r>
      <w:r w:rsidRPr="00AC54B8">
        <w:rPr>
          <w:sz w:val="20"/>
          <w:lang w:val="en-US"/>
        </w:rPr>
        <w:t xml:space="preserve"> </w:t>
      </w:r>
      <w:r w:rsidRPr="00AC54B8">
        <w:rPr>
          <w:sz w:val="20"/>
        </w:rPr>
        <w:t>Impacts</w:t>
      </w:r>
      <w:r w:rsidRPr="00AC54B8">
        <w:rPr>
          <w:sz w:val="20"/>
          <w:lang w:val="en-US"/>
        </w:rPr>
        <w:t xml:space="preserve">) is a universal environment for energy planning, it is designed to elaborate and assess the alternative development </w:t>
      </w:r>
      <w:r w:rsidR="00C254CE">
        <w:rPr>
          <w:sz w:val="20"/>
          <w:lang w:val="en-US"/>
        </w:rPr>
        <w:t>strategies of the energy s</w:t>
      </w:r>
      <w:r w:rsidRPr="00AC54B8">
        <w:rPr>
          <w:sz w:val="20"/>
          <w:lang w:val="en-US"/>
        </w:rPr>
        <w:t>ector in the countries and regions on the basis of optimization of reduced costs of NES</w:t>
      </w:r>
      <w:r w:rsidR="00C254CE">
        <w:rPr>
          <w:sz w:val="20"/>
          <w:lang w:val="en-US"/>
        </w:rPr>
        <w:t xml:space="preserve"> design and construction [4]. At</w:t>
      </w:r>
      <w:r w:rsidRPr="00AC54B8">
        <w:rPr>
          <w:sz w:val="20"/>
          <w:lang w:val="en-US"/>
        </w:rPr>
        <w:t xml:space="preserve"> the beginning of the 2000-s, the IAEA INPRO Section and Planning and Economics Studies Section (</w:t>
      </w:r>
      <w:r w:rsidRPr="00AC54B8">
        <w:rPr>
          <w:sz w:val="20"/>
        </w:rPr>
        <w:t>PESS</w:t>
      </w:r>
      <w:r w:rsidRPr="00AC54B8">
        <w:rPr>
          <w:sz w:val="20"/>
          <w:lang w:val="en-US"/>
        </w:rPr>
        <w:t xml:space="preserve">) started their joint activities on expansion of </w:t>
      </w:r>
      <w:r w:rsidRPr="00AC54B8">
        <w:rPr>
          <w:sz w:val="20"/>
        </w:rPr>
        <w:t>MESSAGE</w:t>
      </w:r>
      <w:r w:rsidRPr="00AC54B8">
        <w:rPr>
          <w:sz w:val="20"/>
          <w:lang w:val="en-US"/>
        </w:rPr>
        <w:t xml:space="preserve"> code feasibilities to model NESs together with the components that are based on innovative nucl</w:t>
      </w:r>
      <w:r w:rsidR="00C254CE">
        <w:rPr>
          <w:sz w:val="20"/>
          <w:lang w:val="en-US"/>
        </w:rPr>
        <w:t>ear power technologies: innovative</w:t>
      </w:r>
      <w:r w:rsidRPr="00AC54B8">
        <w:rPr>
          <w:sz w:val="20"/>
          <w:lang w:val="en-US"/>
        </w:rPr>
        <w:t xml:space="preserve"> reactors, NFC fuel reprocessing plants and other closed NFC facilities [5].</w:t>
      </w:r>
    </w:p>
    <w:p w14:paraId="2EDD4927" w14:textId="77777777" w:rsidR="00AC54B8" w:rsidRPr="00AC54B8" w:rsidRDefault="00AC54B8" w:rsidP="00AC54B8">
      <w:pPr>
        <w:tabs>
          <w:tab w:val="left" w:pos="709"/>
        </w:tabs>
        <w:overflowPunct/>
        <w:autoSpaceDE/>
        <w:adjustRightInd/>
        <w:spacing w:line="260" w:lineRule="atLeast"/>
        <w:ind w:firstLine="567"/>
        <w:jc w:val="both"/>
        <w:textAlignment w:val="auto"/>
        <w:rPr>
          <w:sz w:val="20"/>
          <w:lang w:val="en-US"/>
        </w:rPr>
      </w:pPr>
      <w:r w:rsidRPr="00AC54B8">
        <w:rPr>
          <w:sz w:val="20"/>
          <w:lang w:val="en-US"/>
        </w:rPr>
        <w:t>The</w:t>
      </w:r>
      <w:r w:rsidRPr="00AC54B8">
        <w:rPr>
          <w:i/>
          <w:sz w:val="20"/>
          <w:lang w:val="en-US"/>
        </w:rPr>
        <w:t xml:space="preserve"> </w:t>
      </w:r>
      <w:r w:rsidRPr="00AC54B8">
        <w:rPr>
          <w:sz w:val="20"/>
        </w:rPr>
        <w:t>MESSAGE</w:t>
      </w:r>
      <w:r w:rsidRPr="00AC54B8">
        <w:rPr>
          <w:sz w:val="20"/>
          <w:lang w:val="en-US"/>
        </w:rPr>
        <w:t xml:space="preserve"> code is a dynamic optimization model used for mid-term and long-term energy supply planning, for the analysis of energy policy and generation of energy development scenarios. The code backbone consists in the technical description of the system under modeling. Nuclear power technologies are defined by their inputs and outputs, by their efficiency and complex interactions of various production patterns. The so-called energy chains are constructed in the model, where the raw and nuclear material flows from one chain link to another, where it is transformed and finally provides electricity and heat generation. The investment demands can be distributed over the facility construction time and can be divided into various categories.</w:t>
      </w:r>
    </w:p>
    <w:p w14:paraId="7A4C2492" w14:textId="77777777" w:rsidR="00AC54B8" w:rsidRPr="00AC54B8" w:rsidRDefault="00AC54B8" w:rsidP="00AC54B8">
      <w:pPr>
        <w:spacing w:line="260" w:lineRule="atLeast"/>
        <w:ind w:firstLine="708"/>
        <w:jc w:val="both"/>
        <w:textAlignment w:val="auto"/>
        <w:rPr>
          <w:rFonts w:eastAsia="Calibri"/>
          <w:sz w:val="20"/>
          <w:lang w:val="en-US"/>
        </w:rPr>
      </w:pPr>
      <w:r w:rsidRPr="00AC54B8">
        <w:rPr>
          <w:rFonts w:eastAsia="Calibri"/>
          <w:sz w:val="20"/>
          <w:lang w:val="en-US"/>
        </w:rPr>
        <w:t>In the scenario economic study aimed at determining the global NES structure, there is no need for detailed representation of design specific features and specifications of reactors and their fuel cycles. To perform the study like this with the use of the</w:t>
      </w:r>
      <w:r w:rsidRPr="00AC54B8">
        <w:rPr>
          <w:sz w:val="20"/>
          <w:lang w:val="en-US"/>
        </w:rPr>
        <w:t xml:space="preserve"> </w:t>
      </w:r>
      <w:r w:rsidRPr="00AC54B8">
        <w:rPr>
          <w:sz w:val="20"/>
        </w:rPr>
        <w:t>MESSAGE</w:t>
      </w:r>
      <w:r w:rsidRPr="00AC54B8">
        <w:rPr>
          <w:rFonts w:eastAsia="Calibri"/>
          <w:sz w:val="20"/>
          <w:lang w:val="en-US"/>
        </w:rPr>
        <w:t xml:space="preserve"> software package, it is necessary to know:</w:t>
      </w:r>
    </w:p>
    <w:p w14:paraId="5623F936" w14:textId="06599DDD" w:rsidR="00AC54B8" w:rsidRPr="00AC54B8" w:rsidRDefault="00AC54B8" w:rsidP="00AC54B8">
      <w:pPr>
        <w:numPr>
          <w:ilvl w:val="0"/>
          <w:numId w:val="15"/>
        </w:numPr>
        <w:tabs>
          <w:tab w:val="left" w:pos="851"/>
        </w:tabs>
        <w:overflowPunct/>
        <w:autoSpaceDE/>
        <w:adjustRightInd/>
        <w:spacing w:line="260" w:lineRule="atLeast"/>
        <w:ind w:left="0" w:firstLine="567"/>
        <w:jc w:val="both"/>
        <w:textAlignment w:val="auto"/>
        <w:rPr>
          <w:rFonts w:eastAsia="Calibri"/>
          <w:sz w:val="20"/>
          <w:lang w:val="en-US"/>
        </w:rPr>
      </w:pPr>
      <w:proofErr w:type="gramStart"/>
      <w:r w:rsidRPr="00AC54B8">
        <w:rPr>
          <w:rFonts w:eastAsia="Calibri"/>
          <w:sz w:val="20"/>
          <w:lang w:val="en-US"/>
        </w:rPr>
        <w:t>boundary</w:t>
      </w:r>
      <w:proofErr w:type="gramEnd"/>
      <w:r w:rsidRPr="00AC54B8">
        <w:rPr>
          <w:rFonts w:eastAsia="Calibri"/>
          <w:sz w:val="20"/>
          <w:lang w:val="en-US"/>
        </w:rPr>
        <w:t xml:space="preserve"> conditions </w:t>
      </w:r>
      <w:r w:rsidRPr="00C254CE">
        <w:rPr>
          <w:rFonts w:eastAsia="Calibri"/>
          <w:sz w:val="20"/>
          <w:lang w:val="en-US"/>
        </w:rPr>
        <w:t>(</w:t>
      </w:r>
      <w:r w:rsidR="00C254CE" w:rsidRPr="00C254CE">
        <w:rPr>
          <w:rFonts w:eastAsia="Calibri"/>
          <w:sz w:val="20"/>
          <w:lang w:val="en-US"/>
        </w:rPr>
        <w:t>global</w:t>
      </w:r>
      <w:r w:rsidR="00C254CE">
        <w:rPr>
          <w:rFonts w:eastAsia="Calibri"/>
          <w:sz w:val="20"/>
          <w:lang w:val="en-US"/>
        </w:rPr>
        <w:t xml:space="preserve"> nuclear energy demand forecast</w:t>
      </w:r>
      <w:r w:rsidRPr="00C254CE">
        <w:rPr>
          <w:rFonts w:eastAsia="Calibri"/>
          <w:sz w:val="20"/>
          <w:lang w:val="en-US"/>
        </w:rPr>
        <w:t>,</w:t>
      </w:r>
      <w:r w:rsidRPr="00AC54B8">
        <w:rPr>
          <w:rFonts w:eastAsia="Calibri"/>
          <w:sz w:val="20"/>
          <w:lang w:val="en-US"/>
        </w:rPr>
        <w:t xml:space="preserve"> natural uranium resources and prices, etc.);</w:t>
      </w:r>
    </w:p>
    <w:p w14:paraId="3D1C7657" w14:textId="1F407923" w:rsidR="00AC54B8" w:rsidRPr="00AC54B8" w:rsidRDefault="00C254CE" w:rsidP="00AC54B8">
      <w:pPr>
        <w:numPr>
          <w:ilvl w:val="0"/>
          <w:numId w:val="15"/>
        </w:numPr>
        <w:tabs>
          <w:tab w:val="left" w:pos="851"/>
        </w:tabs>
        <w:overflowPunct/>
        <w:autoSpaceDE/>
        <w:adjustRightInd/>
        <w:spacing w:line="260" w:lineRule="atLeast"/>
        <w:ind w:left="0" w:firstLine="567"/>
        <w:jc w:val="both"/>
        <w:textAlignment w:val="auto"/>
        <w:rPr>
          <w:rFonts w:eastAsia="Calibri"/>
          <w:sz w:val="20"/>
          <w:lang w:val="en-US"/>
        </w:rPr>
      </w:pPr>
      <w:r>
        <w:rPr>
          <w:sz w:val="20"/>
          <w:lang w:val="en-US"/>
        </w:rPr>
        <w:t>candidates for integration</w:t>
      </w:r>
      <w:r w:rsidR="00AC54B8" w:rsidRPr="00AC54B8">
        <w:rPr>
          <w:sz w:val="20"/>
          <w:lang w:val="en-US"/>
        </w:rPr>
        <w:t xml:space="preserve"> into the NES structure </w:t>
      </w:r>
      <w:r w:rsidR="00AC54B8" w:rsidRPr="00AC54B8">
        <w:rPr>
          <w:rFonts w:eastAsia="Calibri"/>
          <w:sz w:val="20"/>
          <w:lang w:val="en-US"/>
        </w:rPr>
        <w:t xml:space="preserve">(types of NFC reactors and facilities); </w:t>
      </w:r>
    </w:p>
    <w:p w14:paraId="07F4CCC3" w14:textId="77777777" w:rsidR="00AC54B8" w:rsidRPr="00AC54B8" w:rsidRDefault="00AC54B8" w:rsidP="00AC54B8">
      <w:pPr>
        <w:numPr>
          <w:ilvl w:val="0"/>
          <w:numId w:val="15"/>
        </w:numPr>
        <w:tabs>
          <w:tab w:val="left" w:pos="851"/>
        </w:tabs>
        <w:overflowPunct/>
        <w:autoSpaceDE/>
        <w:adjustRightInd/>
        <w:spacing w:line="260" w:lineRule="atLeast"/>
        <w:ind w:left="0" w:firstLine="567"/>
        <w:jc w:val="both"/>
        <w:textAlignment w:val="auto"/>
        <w:rPr>
          <w:rFonts w:eastAsia="Calibri"/>
          <w:sz w:val="20"/>
          <w:lang w:val="en-US"/>
        </w:rPr>
      </w:pPr>
      <w:r w:rsidRPr="00AC54B8">
        <w:rPr>
          <w:rFonts w:eastAsia="Calibri"/>
          <w:sz w:val="20"/>
          <w:lang w:val="en-US"/>
        </w:rPr>
        <w:t xml:space="preserve">routes of fuel movement between the NES elements; </w:t>
      </w:r>
    </w:p>
    <w:p w14:paraId="5560108F" w14:textId="77777777" w:rsidR="00AC54B8" w:rsidRPr="00AC54B8" w:rsidRDefault="00AC54B8" w:rsidP="00AC54B8">
      <w:pPr>
        <w:numPr>
          <w:ilvl w:val="0"/>
          <w:numId w:val="15"/>
        </w:numPr>
        <w:tabs>
          <w:tab w:val="left" w:pos="851"/>
        </w:tabs>
        <w:overflowPunct/>
        <w:autoSpaceDE/>
        <w:adjustRightInd/>
        <w:spacing w:line="260" w:lineRule="atLeast"/>
        <w:ind w:left="0" w:firstLine="567"/>
        <w:jc w:val="both"/>
        <w:textAlignment w:val="auto"/>
        <w:rPr>
          <w:rFonts w:eastAsia="Calibri"/>
          <w:sz w:val="20"/>
          <w:lang w:val="en-US"/>
        </w:rPr>
      </w:pPr>
      <w:proofErr w:type="gramStart"/>
      <w:r w:rsidRPr="00AC54B8">
        <w:rPr>
          <w:rFonts w:eastAsia="Calibri"/>
          <w:sz w:val="20"/>
          <w:lang w:val="en-US"/>
        </w:rPr>
        <w:t>technical</w:t>
      </w:r>
      <w:proofErr w:type="gramEnd"/>
      <w:r w:rsidRPr="00AC54B8">
        <w:rPr>
          <w:rFonts w:eastAsia="Calibri"/>
          <w:sz w:val="20"/>
          <w:lang w:val="en-US"/>
        </w:rPr>
        <w:t xml:space="preserve"> and economic parameters of each NES link.</w:t>
      </w:r>
      <w:r w:rsidRPr="00AC54B8">
        <w:rPr>
          <w:sz w:val="20"/>
          <w:lang w:val="en-US"/>
        </w:rPr>
        <w:t xml:space="preserve"> </w:t>
      </w:r>
    </w:p>
    <w:p w14:paraId="61680EDF" w14:textId="77777777" w:rsidR="00AC54B8" w:rsidRPr="00AC54B8" w:rsidRDefault="00AC54B8" w:rsidP="00AC54B8">
      <w:pPr>
        <w:tabs>
          <w:tab w:val="left" w:pos="709"/>
        </w:tabs>
        <w:overflowPunct/>
        <w:autoSpaceDE/>
        <w:adjustRightInd/>
        <w:spacing w:line="260" w:lineRule="atLeast"/>
        <w:ind w:left="567"/>
        <w:contextualSpacing/>
        <w:jc w:val="both"/>
        <w:textAlignment w:val="auto"/>
        <w:rPr>
          <w:rFonts w:eastAsia="Calibri"/>
          <w:b/>
          <w:sz w:val="20"/>
          <w:lang w:val="en-US"/>
        </w:rPr>
      </w:pPr>
    </w:p>
    <w:p w14:paraId="700F6171" w14:textId="77777777" w:rsidR="00AC54B8" w:rsidRPr="00AC54B8" w:rsidRDefault="00AC54B8" w:rsidP="00AC54B8">
      <w:pPr>
        <w:tabs>
          <w:tab w:val="left" w:pos="709"/>
        </w:tabs>
        <w:overflowPunct/>
        <w:autoSpaceDE/>
        <w:adjustRightInd/>
        <w:spacing w:line="260" w:lineRule="atLeast"/>
        <w:ind w:left="567"/>
        <w:contextualSpacing/>
        <w:jc w:val="both"/>
        <w:textAlignment w:val="auto"/>
        <w:rPr>
          <w:rFonts w:eastAsia="Calibri"/>
          <w:b/>
          <w:sz w:val="20"/>
          <w:lang w:val="en-US"/>
        </w:rPr>
      </w:pPr>
      <w:r w:rsidRPr="00AC54B8">
        <w:rPr>
          <w:rFonts w:eastAsia="Calibri"/>
          <w:b/>
          <w:sz w:val="20"/>
          <w:lang w:val="en-US"/>
        </w:rPr>
        <w:t>2.2. Two-component global NES model with thermal and fast reactors</w:t>
      </w:r>
    </w:p>
    <w:p w14:paraId="191A237D" w14:textId="77777777" w:rsidR="00AC54B8" w:rsidRPr="00AC54B8" w:rsidRDefault="00AC54B8" w:rsidP="00AC54B8">
      <w:pPr>
        <w:tabs>
          <w:tab w:val="left" w:pos="709"/>
        </w:tabs>
        <w:overflowPunct/>
        <w:autoSpaceDE/>
        <w:adjustRightInd/>
        <w:spacing w:line="260" w:lineRule="atLeast"/>
        <w:ind w:left="567"/>
        <w:contextualSpacing/>
        <w:jc w:val="both"/>
        <w:textAlignment w:val="auto"/>
        <w:rPr>
          <w:rFonts w:eastAsia="Calibri"/>
          <w:b/>
          <w:lang w:val="en-US"/>
        </w:rPr>
      </w:pPr>
    </w:p>
    <w:p w14:paraId="1AD03A92" w14:textId="048C8FAC" w:rsidR="00AC54B8" w:rsidRPr="00AC54B8" w:rsidRDefault="00C254CE" w:rsidP="00AC54B8">
      <w:pPr>
        <w:spacing w:line="260" w:lineRule="atLeast"/>
        <w:ind w:firstLine="708"/>
        <w:jc w:val="both"/>
        <w:textAlignment w:val="auto"/>
        <w:rPr>
          <w:rFonts w:eastAsia="Calibri"/>
          <w:sz w:val="20"/>
          <w:lang w:val="en-US"/>
        </w:rPr>
      </w:pPr>
      <w:r w:rsidRPr="00C254CE">
        <w:rPr>
          <w:sz w:val="20"/>
          <w:lang w:val="en-US"/>
        </w:rPr>
        <w:t xml:space="preserve">The plants with the economic parameters confirmed by their operating experience have been considered as the </w:t>
      </w:r>
      <w:r w:rsidR="0045363F">
        <w:rPr>
          <w:sz w:val="20"/>
          <w:lang w:val="en-US"/>
        </w:rPr>
        <w:t xml:space="preserve">NES </w:t>
      </w:r>
      <w:r w:rsidRPr="00C254CE">
        <w:rPr>
          <w:sz w:val="20"/>
          <w:lang w:val="en-US"/>
        </w:rPr>
        <w:t>candidates</w:t>
      </w:r>
      <w:r w:rsidR="00AC54B8" w:rsidRPr="00AC54B8">
        <w:rPr>
          <w:sz w:val="20"/>
          <w:lang w:val="en-US"/>
        </w:rPr>
        <w:t>, namely: thermal neutron reactors with a full load of uranium oxide fuel (UOX), thermal neutron reactors with a partial load of mixed uranium-plutonium fuel (MOX) in a once-through and partially closed NFC, and fast neutron reactors with MOX fuel in a closed NFC. No doubt, this lis</w:t>
      </w:r>
      <w:r w:rsidR="005A3A9F">
        <w:rPr>
          <w:sz w:val="20"/>
          <w:lang w:val="en-US"/>
        </w:rPr>
        <w:t xml:space="preserve">t does not exhaust the </w:t>
      </w:r>
      <w:r w:rsidR="00AC54B8" w:rsidRPr="00AC54B8">
        <w:rPr>
          <w:sz w:val="20"/>
          <w:lang w:val="en-US"/>
        </w:rPr>
        <w:t xml:space="preserve">possible options for arranging a global NES, but it reflects the essential features of evolutionary nuclear power deployment. </w:t>
      </w:r>
    </w:p>
    <w:p w14:paraId="4163A371" w14:textId="31710A06" w:rsidR="00AC54B8" w:rsidRPr="00AC54B8" w:rsidRDefault="005A3A9F" w:rsidP="00AC54B8">
      <w:pPr>
        <w:tabs>
          <w:tab w:val="left" w:leader="dot" w:pos="9072"/>
        </w:tabs>
        <w:spacing w:line="260" w:lineRule="atLeast"/>
        <w:ind w:firstLine="709"/>
        <w:jc w:val="both"/>
        <w:textAlignment w:val="auto"/>
        <w:rPr>
          <w:rFonts w:eastAsia="Calibri"/>
          <w:sz w:val="20"/>
          <w:lang w:val="ru-RU"/>
        </w:rPr>
      </w:pPr>
      <w:r>
        <w:rPr>
          <w:sz w:val="20"/>
          <w:lang w:val="en-US"/>
        </w:rPr>
        <w:t xml:space="preserve">Figure </w:t>
      </w:r>
      <w:r w:rsidR="00AC54B8" w:rsidRPr="00AC54B8">
        <w:rPr>
          <w:sz w:val="20"/>
          <w:lang w:val="en-US"/>
        </w:rPr>
        <w:t xml:space="preserve">1 </w:t>
      </w:r>
      <w:r w:rsidR="00AC54B8" w:rsidRPr="00AC54B8">
        <w:rPr>
          <w:rFonts w:eastAsia="Calibri"/>
          <w:sz w:val="20"/>
          <w:lang w:val="en-US"/>
        </w:rPr>
        <w:t>demonstrates the NES scheme used in the work. It includes all the principal NFC components: natural uranium resources, conversion, enrichment, fuel fabrication, reactor fuel irradiation, spent fuel cooling and interim storage, spent fuel reprocessing, disposal, storage of the products separated after reprocessing and their further use as fuel for sodium fast reactors (SFR). The model assumes multiple use of plutonium s</w:t>
      </w:r>
      <w:r>
        <w:rPr>
          <w:rFonts w:eastAsia="Calibri"/>
          <w:sz w:val="20"/>
          <w:lang w:val="en-US"/>
        </w:rPr>
        <w:t>eparated from thermal LWR and F</w:t>
      </w:r>
      <w:r w:rsidR="00AC54B8" w:rsidRPr="00AC54B8">
        <w:rPr>
          <w:rFonts w:eastAsia="Calibri"/>
          <w:sz w:val="20"/>
          <w:lang w:val="en-US"/>
        </w:rPr>
        <w:t>R fuel. Other separated products are stored and can be further used or disposed. The simulation time-step is equal to 1 year. The scheme shows the movement of principal material flows in the NFC model. Some parameters, for example, plutonium accumulation, are not calculated in detail in the model and can differ from the accurate calculation. They are corrected via the CYCLE code</w:t>
      </w:r>
      <w:r w:rsidR="00AC54B8" w:rsidRPr="00AC54B8">
        <w:rPr>
          <w:rFonts w:eastAsia="Calibri"/>
          <w:sz w:val="20"/>
          <w:lang w:val="ru-RU"/>
        </w:rPr>
        <w:t xml:space="preserve"> [6].</w:t>
      </w:r>
    </w:p>
    <w:p w14:paraId="26820CEE" w14:textId="77777777" w:rsidR="00AC54B8" w:rsidRPr="00AC54B8" w:rsidRDefault="00AC54B8" w:rsidP="00AC54B8">
      <w:pPr>
        <w:overflowPunct/>
        <w:autoSpaceDE/>
        <w:autoSpaceDN/>
        <w:adjustRightInd/>
        <w:spacing w:line="260" w:lineRule="atLeast"/>
        <w:ind w:firstLine="567"/>
        <w:contextualSpacing/>
        <w:jc w:val="center"/>
        <w:textAlignment w:val="auto"/>
        <w:rPr>
          <w:sz w:val="20"/>
        </w:rPr>
      </w:pPr>
      <w:r w:rsidRPr="00AC54B8">
        <w:rPr>
          <w:noProof/>
          <w:sz w:val="20"/>
          <w:lang w:val="ru-RU" w:eastAsia="ru-RU"/>
        </w:rPr>
        <w:lastRenderedPageBreak/>
        <w:drawing>
          <wp:inline distT="0" distB="0" distL="0" distR="0" wp14:anchorId="2CF76DC4" wp14:editId="2B3AC36F">
            <wp:extent cx="3774440" cy="3306445"/>
            <wp:effectExtent l="0" t="0" r="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1443" t="20284" r="61578" b="13405"/>
                    <a:stretch>
                      <a:fillRect/>
                    </a:stretch>
                  </pic:blipFill>
                  <pic:spPr bwMode="auto">
                    <a:xfrm>
                      <a:off x="0" y="0"/>
                      <a:ext cx="3774440" cy="3306445"/>
                    </a:xfrm>
                    <a:prstGeom prst="rect">
                      <a:avLst/>
                    </a:prstGeom>
                    <a:noFill/>
                    <a:ln>
                      <a:noFill/>
                    </a:ln>
                  </pic:spPr>
                </pic:pic>
              </a:graphicData>
            </a:graphic>
          </wp:inline>
        </w:drawing>
      </w:r>
    </w:p>
    <w:p w14:paraId="6636C8FF" w14:textId="77777777" w:rsidR="00AC54B8" w:rsidRPr="00AC54B8" w:rsidRDefault="00AC54B8" w:rsidP="00AC54B8">
      <w:pPr>
        <w:overflowPunct/>
        <w:autoSpaceDE/>
        <w:autoSpaceDN/>
        <w:adjustRightInd/>
        <w:spacing w:line="260" w:lineRule="atLeast"/>
        <w:ind w:firstLine="567"/>
        <w:contextualSpacing/>
        <w:jc w:val="center"/>
        <w:textAlignment w:val="auto"/>
        <w:rPr>
          <w:sz w:val="20"/>
        </w:rPr>
      </w:pPr>
    </w:p>
    <w:p w14:paraId="5EC9C3DD" w14:textId="519A1884" w:rsidR="00AC54B8" w:rsidRPr="00AC54B8" w:rsidRDefault="00C312BC" w:rsidP="00AC54B8">
      <w:pPr>
        <w:tabs>
          <w:tab w:val="left" w:leader="dot" w:pos="9072"/>
        </w:tabs>
        <w:spacing w:after="240"/>
        <w:jc w:val="center"/>
        <w:textAlignment w:val="auto"/>
        <w:rPr>
          <w:rFonts w:eastAsia="Calibri"/>
          <w:i/>
          <w:sz w:val="18"/>
          <w:szCs w:val="18"/>
          <w:lang w:val="en-US"/>
        </w:rPr>
      </w:pPr>
      <w:r w:rsidRPr="001420C4">
        <w:rPr>
          <w:rFonts w:eastAsia="Calibri"/>
          <w:i/>
          <w:sz w:val="18"/>
          <w:szCs w:val="18"/>
          <w:lang w:val="en-US"/>
        </w:rPr>
        <w:t>Figure 1.</w:t>
      </w:r>
      <w:r>
        <w:rPr>
          <w:rFonts w:eastAsia="Calibri"/>
          <w:i/>
          <w:sz w:val="18"/>
          <w:szCs w:val="18"/>
          <w:lang w:val="en-US"/>
        </w:rPr>
        <w:t xml:space="preserve"> </w:t>
      </w:r>
      <w:r w:rsidR="00AC54B8" w:rsidRPr="00AC54B8">
        <w:rPr>
          <w:rFonts w:eastAsia="Calibri"/>
          <w:i/>
          <w:sz w:val="18"/>
          <w:szCs w:val="18"/>
          <w:lang w:val="en-US"/>
        </w:rPr>
        <w:t>Nuclear fuel cycle scheme in the MESSAGE model</w:t>
      </w:r>
    </w:p>
    <w:p w14:paraId="7D6BDE55" w14:textId="77777777" w:rsidR="00AC54B8" w:rsidRPr="00AC54B8" w:rsidRDefault="00AC54B8" w:rsidP="0023417F">
      <w:pPr>
        <w:widowControl w:val="0"/>
        <w:numPr>
          <w:ilvl w:val="1"/>
          <w:numId w:val="14"/>
        </w:numPr>
        <w:tabs>
          <w:tab w:val="left" w:pos="851"/>
        </w:tabs>
        <w:overflowPunct/>
        <w:autoSpaceDE/>
        <w:autoSpaceDN/>
        <w:adjustRightInd/>
        <w:spacing w:before="100" w:beforeAutospacing="1" w:after="100" w:afterAutospacing="1" w:line="280" w:lineRule="atLeast"/>
        <w:ind w:left="567"/>
        <w:textAlignment w:val="auto"/>
        <w:outlineLvl w:val="1"/>
        <w:rPr>
          <w:caps/>
          <w:sz w:val="20"/>
          <w:lang w:val="ru-RU"/>
        </w:rPr>
      </w:pPr>
      <w:r w:rsidRPr="00AC54B8">
        <w:rPr>
          <w:rFonts w:eastAsia="Calibri"/>
          <w:caps/>
          <w:sz w:val="20"/>
          <w:lang w:val="ru-RU"/>
        </w:rPr>
        <w:t>input data PreparATION</w:t>
      </w:r>
    </w:p>
    <w:p w14:paraId="2E3D560C" w14:textId="77777777" w:rsidR="00AC54B8" w:rsidRPr="00AC54B8" w:rsidRDefault="00AC54B8" w:rsidP="00AC54B8">
      <w:pPr>
        <w:overflowPunct/>
        <w:autoSpaceDE/>
        <w:autoSpaceDN/>
        <w:adjustRightInd/>
        <w:spacing w:line="260" w:lineRule="atLeast"/>
        <w:ind w:firstLine="567"/>
        <w:contextualSpacing/>
        <w:jc w:val="both"/>
        <w:textAlignment w:val="auto"/>
        <w:rPr>
          <w:rFonts w:eastAsia="Calibri"/>
          <w:b/>
          <w:sz w:val="20"/>
          <w:szCs w:val="24"/>
          <w:lang w:val="en-US"/>
        </w:rPr>
      </w:pPr>
      <w:r w:rsidRPr="00AC54B8">
        <w:rPr>
          <w:rFonts w:eastAsia="Calibri"/>
          <w:b/>
          <w:sz w:val="20"/>
          <w:lang w:val="en-US"/>
        </w:rPr>
        <w:t>3.1. The data for global nuclear power development model</w:t>
      </w:r>
    </w:p>
    <w:p w14:paraId="021AC4E2" w14:textId="77777777" w:rsidR="00AC54B8" w:rsidRPr="00AC54B8" w:rsidRDefault="00AC54B8" w:rsidP="00AC54B8">
      <w:pPr>
        <w:overflowPunct/>
        <w:autoSpaceDE/>
        <w:autoSpaceDN/>
        <w:adjustRightInd/>
        <w:spacing w:line="260" w:lineRule="atLeast"/>
        <w:ind w:firstLine="567"/>
        <w:contextualSpacing/>
        <w:jc w:val="both"/>
        <w:textAlignment w:val="auto"/>
        <w:rPr>
          <w:rFonts w:eastAsia="Calibri"/>
          <w:sz w:val="20"/>
          <w:szCs w:val="24"/>
          <w:lang w:val="en-US"/>
        </w:rPr>
      </w:pPr>
    </w:p>
    <w:p w14:paraId="57FFC042" w14:textId="5B0FF112" w:rsidR="00AC54B8" w:rsidRPr="00AC54B8" w:rsidRDefault="00AC54B8" w:rsidP="00AC54B8">
      <w:pPr>
        <w:overflowPunct/>
        <w:autoSpaceDE/>
        <w:autoSpaceDN/>
        <w:adjustRightInd/>
        <w:spacing w:line="260" w:lineRule="atLeast"/>
        <w:ind w:firstLine="567"/>
        <w:contextualSpacing/>
        <w:jc w:val="both"/>
        <w:textAlignment w:val="auto"/>
        <w:rPr>
          <w:rFonts w:eastAsia="Calibri"/>
          <w:sz w:val="20"/>
          <w:szCs w:val="24"/>
          <w:lang w:val="en-US"/>
        </w:rPr>
      </w:pPr>
      <w:r w:rsidRPr="00AC54B8">
        <w:rPr>
          <w:rFonts w:eastAsia="Calibri"/>
          <w:sz w:val="20"/>
          <w:szCs w:val="24"/>
          <w:lang w:val="en-US"/>
        </w:rPr>
        <w:t xml:space="preserve">As a projection of global nuclear power deployment, </w:t>
      </w:r>
      <w:r w:rsidR="0045363F">
        <w:rPr>
          <w:rFonts w:eastAsia="Calibri"/>
          <w:sz w:val="20"/>
          <w:szCs w:val="24"/>
          <w:lang w:val="en-US"/>
        </w:rPr>
        <w:t xml:space="preserve">the use was made of </w:t>
      </w:r>
      <w:r w:rsidRPr="00AC54B8">
        <w:rPr>
          <w:rFonts w:eastAsia="Calibri"/>
          <w:sz w:val="20"/>
          <w:szCs w:val="24"/>
          <w:lang w:val="en-US"/>
        </w:rPr>
        <w:t>the scenario with a capacity growth u</w:t>
      </w:r>
      <w:r w:rsidR="0045363F">
        <w:rPr>
          <w:rFonts w:eastAsia="Calibri"/>
          <w:sz w:val="20"/>
          <w:szCs w:val="24"/>
          <w:lang w:val="en-US"/>
        </w:rPr>
        <w:t xml:space="preserve">p to 2500 GW (e) by the year </w:t>
      </w:r>
      <w:r w:rsidRPr="00AC54B8">
        <w:rPr>
          <w:rFonts w:eastAsia="Calibri"/>
          <w:sz w:val="20"/>
          <w:szCs w:val="24"/>
          <w:lang w:val="en-US"/>
        </w:rPr>
        <w:t xml:space="preserve">2100, developed under </w:t>
      </w:r>
      <w:r w:rsidR="0045363F">
        <w:rPr>
          <w:rFonts w:eastAsia="Calibri"/>
          <w:sz w:val="20"/>
          <w:szCs w:val="24"/>
          <w:lang w:val="en-US"/>
        </w:rPr>
        <w:t>the IAEA GAINS project</w:t>
      </w:r>
      <w:r w:rsidRPr="00AC54B8">
        <w:rPr>
          <w:rFonts w:eastAsia="Calibri"/>
          <w:sz w:val="20"/>
          <w:szCs w:val="24"/>
          <w:lang w:val="en-US"/>
        </w:rPr>
        <w:t xml:space="preserve">. The global NES is modelled within the time period from 2020 to 2100. At the same time, consideration is given to the background of reactors’ commissioning in terms of SNF accumulation and the time of commissioning of new power units. To eliminate the </w:t>
      </w:r>
      <w:r w:rsidR="005A3A9F" w:rsidRPr="005A3A9F">
        <w:rPr>
          <w:rFonts w:eastAsia="Calibri"/>
          <w:sz w:val="20"/>
          <w:szCs w:val="24"/>
          <w:lang w:val="en-US"/>
        </w:rPr>
        <w:t xml:space="preserve">edge </w:t>
      </w:r>
      <w:r w:rsidRPr="005A3A9F">
        <w:rPr>
          <w:rFonts w:eastAsia="Calibri"/>
          <w:sz w:val="20"/>
          <w:szCs w:val="24"/>
          <w:lang w:val="en-US"/>
        </w:rPr>
        <w:t>effects</w:t>
      </w:r>
      <w:r w:rsidR="005A3A9F">
        <w:rPr>
          <w:rFonts w:eastAsia="Calibri"/>
          <w:sz w:val="20"/>
          <w:szCs w:val="24"/>
          <w:lang w:val="en-US"/>
        </w:rPr>
        <w:t xml:space="preserve"> of model</w:t>
      </w:r>
      <w:r w:rsidRPr="00AC54B8">
        <w:rPr>
          <w:rFonts w:eastAsia="Calibri"/>
          <w:sz w:val="20"/>
          <w:szCs w:val="24"/>
          <w:lang w:val="en-US"/>
        </w:rPr>
        <w:t>ing, the computation scheme was developed to the year of 2</w:t>
      </w:r>
      <w:r w:rsidR="0045363F">
        <w:rPr>
          <w:rFonts w:eastAsia="Calibri"/>
          <w:sz w:val="20"/>
          <w:szCs w:val="24"/>
          <w:lang w:val="en-US"/>
        </w:rPr>
        <w:t>160, with the NES capacities</w:t>
      </w:r>
      <w:r w:rsidRPr="00AC54B8">
        <w:rPr>
          <w:rFonts w:eastAsia="Calibri"/>
          <w:sz w:val="20"/>
          <w:szCs w:val="24"/>
          <w:lang w:val="en-US"/>
        </w:rPr>
        <w:t xml:space="preserve"> remaining constant at the level of 2</w:t>
      </w:r>
      <w:r w:rsidR="0045363F">
        <w:rPr>
          <w:rFonts w:eastAsia="Calibri"/>
          <w:sz w:val="20"/>
          <w:szCs w:val="24"/>
          <w:lang w:val="en-US"/>
        </w:rPr>
        <w:t>500 GW starting with the year</w:t>
      </w:r>
      <w:r w:rsidRPr="00AC54B8">
        <w:rPr>
          <w:rFonts w:eastAsia="Calibri"/>
          <w:sz w:val="20"/>
          <w:szCs w:val="24"/>
          <w:lang w:val="en-US"/>
        </w:rPr>
        <w:t xml:space="preserve"> 2100.</w:t>
      </w:r>
    </w:p>
    <w:p w14:paraId="097F79A0" w14:textId="77777777" w:rsidR="00AC54B8" w:rsidRPr="00AC54B8" w:rsidRDefault="00AC54B8" w:rsidP="00AC54B8">
      <w:pPr>
        <w:overflowPunct/>
        <w:autoSpaceDE/>
        <w:autoSpaceDN/>
        <w:adjustRightInd/>
        <w:spacing w:line="260" w:lineRule="atLeast"/>
        <w:ind w:firstLine="567"/>
        <w:contextualSpacing/>
        <w:jc w:val="both"/>
        <w:textAlignment w:val="auto"/>
        <w:rPr>
          <w:rFonts w:eastAsia="Calibri"/>
          <w:sz w:val="20"/>
          <w:szCs w:val="24"/>
          <w:lang w:val="en-US"/>
        </w:rPr>
      </w:pPr>
    </w:p>
    <w:p w14:paraId="7A69AAD7" w14:textId="77777777" w:rsidR="00AC54B8" w:rsidRPr="00AC54B8" w:rsidRDefault="00AC54B8" w:rsidP="00AC54B8">
      <w:pPr>
        <w:overflowPunct/>
        <w:autoSpaceDE/>
        <w:autoSpaceDN/>
        <w:adjustRightInd/>
        <w:spacing w:line="260" w:lineRule="atLeast"/>
        <w:ind w:firstLine="567"/>
        <w:contextualSpacing/>
        <w:jc w:val="both"/>
        <w:textAlignment w:val="auto"/>
        <w:rPr>
          <w:rFonts w:eastAsia="Calibri"/>
          <w:b/>
          <w:sz w:val="20"/>
          <w:szCs w:val="24"/>
          <w:lang w:val="en-US"/>
        </w:rPr>
      </w:pPr>
      <w:r w:rsidRPr="00AC54B8">
        <w:rPr>
          <w:rFonts w:eastAsia="Calibri"/>
          <w:b/>
          <w:sz w:val="20"/>
          <w:lang w:val="en-US"/>
        </w:rPr>
        <w:t xml:space="preserve">3.2. Technical characteristics of the reactors </w:t>
      </w:r>
    </w:p>
    <w:p w14:paraId="42CBF164" w14:textId="77777777" w:rsidR="00AC54B8" w:rsidRPr="00AC54B8" w:rsidRDefault="00AC54B8" w:rsidP="00AC54B8">
      <w:pPr>
        <w:overflowPunct/>
        <w:autoSpaceDE/>
        <w:autoSpaceDN/>
        <w:adjustRightInd/>
        <w:spacing w:line="260" w:lineRule="atLeast"/>
        <w:ind w:firstLine="567"/>
        <w:contextualSpacing/>
        <w:jc w:val="both"/>
        <w:textAlignment w:val="auto"/>
        <w:rPr>
          <w:rFonts w:eastAsia="Calibri"/>
          <w:sz w:val="20"/>
          <w:szCs w:val="24"/>
          <w:lang w:val="en-US"/>
        </w:rPr>
      </w:pPr>
    </w:p>
    <w:p w14:paraId="24F869C3" w14:textId="64BECABD" w:rsidR="00AC54B8" w:rsidRPr="00AC54B8" w:rsidRDefault="00AC54B8" w:rsidP="00AC54B8">
      <w:pPr>
        <w:tabs>
          <w:tab w:val="left" w:leader="dot" w:pos="9072"/>
        </w:tabs>
        <w:spacing w:line="260" w:lineRule="atLeast"/>
        <w:ind w:firstLine="709"/>
        <w:jc w:val="both"/>
        <w:textAlignment w:val="auto"/>
        <w:rPr>
          <w:rFonts w:eastAsia="MS Mincho"/>
          <w:sz w:val="20"/>
          <w:lang w:val="en-US" w:eastAsia="ja-JP"/>
        </w:rPr>
      </w:pPr>
      <w:r w:rsidRPr="00AC54B8">
        <w:rPr>
          <w:rFonts w:eastAsia="Calibri"/>
          <w:sz w:val="20"/>
          <w:lang w:val="en-US"/>
        </w:rPr>
        <w:t>Technical characteristics of light-water reactors (LWR) are given in Table</w:t>
      </w:r>
      <w:r w:rsidRPr="00AC54B8">
        <w:rPr>
          <w:rFonts w:eastAsia="MS Mincho"/>
          <w:sz w:val="20"/>
          <w:lang w:val="en-US" w:eastAsia="ja-JP"/>
        </w:rPr>
        <w:t>1 [7, 8]. Two LWR types were considered: a conventional LWR option with a full load of uranium fuel and an LWR option with a partial load of mixed uranium-plutonium MOX fuel (LWR-M). Besides, it was assumed that</w:t>
      </w:r>
      <w:r w:rsidR="0045363F">
        <w:rPr>
          <w:rFonts w:eastAsia="MS Mincho"/>
          <w:sz w:val="20"/>
          <w:lang w:val="en-US" w:eastAsia="ja-JP"/>
        </w:rPr>
        <w:t xml:space="preserve"> in the conventional LWR option</w:t>
      </w:r>
      <w:r w:rsidRPr="00AC54B8">
        <w:rPr>
          <w:rFonts w:eastAsia="MS Mincho"/>
          <w:sz w:val="20"/>
          <w:lang w:val="en-US" w:eastAsia="ja-JP"/>
        </w:rPr>
        <w:t xml:space="preserve"> both an open NFC without SNF reprocessing but with its final disposal, and the option with SNF reprocessing are i</w:t>
      </w:r>
      <w:r w:rsidR="0045363F">
        <w:rPr>
          <w:rFonts w:eastAsia="MS Mincho"/>
          <w:sz w:val="20"/>
          <w:lang w:val="en-US" w:eastAsia="ja-JP"/>
        </w:rPr>
        <w:t>mplemented. In the LWR-M option</w:t>
      </w:r>
      <w:r w:rsidRPr="00AC54B8">
        <w:rPr>
          <w:rFonts w:eastAsia="MS Mincho"/>
          <w:sz w:val="20"/>
          <w:lang w:val="en-US" w:eastAsia="ja-JP"/>
        </w:rPr>
        <w:t>, SNF is also reprocessed with plutonium separation. These n</w:t>
      </w:r>
      <w:r w:rsidR="0045363F">
        <w:rPr>
          <w:rFonts w:eastAsia="MS Mincho"/>
          <w:sz w:val="20"/>
          <w:lang w:val="en-US" w:eastAsia="ja-JP"/>
        </w:rPr>
        <w:t xml:space="preserve">uclear fuel cycles are </w:t>
      </w:r>
      <w:r w:rsidR="0045363F" w:rsidRPr="0045363F">
        <w:rPr>
          <w:rFonts w:eastAsia="MS Mincho"/>
          <w:sz w:val="20"/>
          <w:lang w:val="en-US" w:eastAsia="ja-JP"/>
        </w:rPr>
        <w:t>schematically represented</w:t>
      </w:r>
      <w:r w:rsidRPr="00AC54B8">
        <w:rPr>
          <w:rFonts w:eastAsia="MS Mincho"/>
          <w:sz w:val="20"/>
          <w:lang w:val="en-US" w:eastAsia="ja-JP"/>
        </w:rPr>
        <w:t xml:space="preserve"> in Figure 1.</w:t>
      </w:r>
      <w:r w:rsidRPr="00AC54B8">
        <w:rPr>
          <w:bCs/>
          <w:sz w:val="24"/>
          <w:szCs w:val="24"/>
          <w:lang w:val="en-US"/>
        </w:rPr>
        <w:t xml:space="preserve"> </w:t>
      </w:r>
      <w:r w:rsidRPr="00AC54B8">
        <w:rPr>
          <w:bCs/>
          <w:sz w:val="20"/>
          <w:lang w:val="en-US"/>
        </w:rPr>
        <w:t>The SNF holding time was assumed equal to 5 years for thermal reactors and 3 years for fast reactors. The life-time for the above-mentioned reactor types was assumed equal to 60 years.</w:t>
      </w:r>
    </w:p>
    <w:p w14:paraId="68FE2EE9" w14:textId="77777777" w:rsidR="00AC54B8" w:rsidRPr="00AC54B8" w:rsidRDefault="00AC54B8" w:rsidP="00AC54B8">
      <w:pPr>
        <w:tabs>
          <w:tab w:val="left" w:leader="dot" w:pos="9072"/>
        </w:tabs>
        <w:spacing w:line="260" w:lineRule="atLeast"/>
        <w:ind w:firstLine="709"/>
        <w:jc w:val="both"/>
        <w:textAlignment w:val="auto"/>
        <w:rPr>
          <w:rFonts w:eastAsia="MS Mincho"/>
          <w:sz w:val="20"/>
          <w:lang w:val="en-US" w:eastAsia="ja-JP"/>
        </w:rPr>
      </w:pPr>
    </w:p>
    <w:p w14:paraId="7A5A8F03" w14:textId="77777777" w:rsidR="00AC54B8" w:rsidRPr="00AC54B8" w:rsidRDefault="00AC54B8" w:rsidP="0023417F">
      <w:pPr>
        <w:overflowPunct/>
        <w:autoSpaceDE/>
        <w:autoSpaceDN/>
        <w:adjustRightInd/>
        <w:spacing w:line="260" w:lineRule="atLeast"/>
        <w:ind w:firstLine="567"/>
        <w:contextualSpacing/>
        <w:jc w:val="both"/>
        <w:textAlignment w:val="auto"/>
        <w:rPr>
          <w:caps/>
          <w:sz w:val="20"/>
          <w:lang w:val="en-US"/>
        </w:rPr>
      </w:pPr>
      <w:r w:rsidRPr="00AC54B8">
        <w:rPr>
          <w:sz w:val="20"/>
        </w:rPr>
        <w:t>TABLE</w:t>
      </w:r>
      <w:r w:rsidRPr="00AC54B8">
        <w:rPr>
          <w:sz w:val="20"/>
          <w:lang w:val="en-US"/>
        </w:rPr>
        <w:t xml:space="preserve"> 1. </w:t>
      </w:r>
      <w:r w:rsidRPr="00AC54B8">
        <w:rPr>
          <w:caps/>
          <w:sz w:val="20"/>
          <w:lang w:val="en-US"/>
        </w:rPr>
        <w:t>technical characteristics of the reactors</w:t>
      </w:r>
    </w:p>
    <w:p w14:paraId="7F2D5548" w14:textId="77777777" w:rsidR="00AC54B8" w:rsidRPr="00AC54B8" w:rsidRDefault="00AC54B8" w:rsidP="00AC54B8">
      <w:pPr>
        <w:overflowPunct/>
        <w:autoSpaceDE/>
        <w:autoSpaceDN/>
        <w:adjustRightInd/>
        <w:contextualSpacing/>
        <w:jc w:val="both"/>
        <w:textAlignment w:val="auto"/>
        <w:rPr>
          <w:caps/>
          <w:sz w:val="20"/>
          <w:lang w:val="en-US"/>
        </w:rPr>
      </w:pPr>
    </w:p>
    <w:tbl>
      <w:tblPr>
        <w:tblStyle w:val="12"/>
        <w:tblW w:w="0" w:type="auto"/>
        <w:jc w:val="center"/>
        <w:tblBorders>
          <w:insideH w:val="none" w:sz="0" w:space="0" w:color="auto"/>
          <w:insideV w:val="none" w:sz="0" w:space="0" w:color="auto"/>
        </w:tblBorders>
        <w:tblLook w:val="04A0" w:firstRow="1" w:lastRow="0" w:firstColumn="1" w:lastColumn="0" w:noHBand="0" w:noVBand="1"/>
      </w:tblPr>
      <w:tblGrid>
        <w:gridCol w:w="3964"/>
        <w:gridCol w:w="1843"/>
        <w:gridCol w:w="1843"/>
        <w:gridCol w:w="1695"/>
      </w:tblGrid>
      <w:tr w:rsidR="00AC54B8" w:rsidRPr="00AC54B8" w14:paraId="541BB8E1" w14:textId="77777777" w:rsidTr="00AC54B8">
        <w:trPr>
          <w:jc w:val="center"/>
        </w:trPr>
        <w:tc>
          <w:tcPr>
            <w:tcW w:w="3964" w:type="dxa"/>
            <w:tcBorders>
              <w:top w:val="single" w:sz="4" w:space="0" w:color="auto"/>
              <w:left w:val="nil"/>
              <w:bottom w:val="single" w:sz="4" w:space="0" w:color="auto"/>
              <w:right w:val="nil"/>
            </w:tcBorders>
            <w:hideMark/>
          </w:tcPr>
          <w:p w14:paraId="092D9A47" w14:textId="77777777" w:rsidR="00AC54B8" w:rsidRPr="00AC54B8" w:rsidRDefault="00AC54B8" w:rsidP="00AC54B8">
            <w:pPr>
              <w:tabs>
                <w:tab w:val="left" w:leader="dot" w:pos="9072"/>
              </w:tabs>
              <w:jc w:val="center"/>
              <w:textAlignment w:val="auto"/>
              <w:rPr>
                <w:rFonts w:eastAsia="MS Mincho"/>
                <w:sz w:val="18"/>
                <w:szCs w:val="18"/>
                <w:lang w:eastAsia="ja-JP"/>
              </w:rPr>
            </w:pPr>
            <w:r w:rsidRPr="00AC54B8">
              <w:rPr>
                <w:rFonts w:eastAsia="MS Mincho"/>
                <w:sz w:val="18"/>
                <w:szCs w:val="18"/>
                <w:lang w:eastAsia="ja-JP"/>
              </w:rPr>
              <w:t>Parameter</w:t>
            </w:r>
          </w:p>
        </w:tc>
        <w:tc>
          <w:tcPr>
            <w:tcW w:w="1843" w:type="dxa"/>
            <w:tcBorders>
              <w:top w:val="single" w:sz="4" w:space="0" w:color="auto"/>
              <w:left w:val="nil"/>
              <w:bottom w:val="single" w:sz="4" w:space="0" w:color="auto"/>
              <w:right w:val="nil"/>
            </w:tcBorders>
            <w:hideMark/>
          </w:tcPr>
          <w:p w14:paraId="358457A8" w14:textId="77777777" w:rsidR="00AC54B8" w:rsidRPr="00AC54B8" w:rsidRDefault="00AC54B8" w:rsidP="00AC54B8">
            <w:pPr>
              <w:jc w:val="center"/>
              <w:textAlignment w:val="auto"/>
              <w:rPr>
                <w:sz w:val="18"/>
                <w:szCs w:val="18"/>
                <w:lang w:val="ru-RU"/>
              </w:rPr>
            </w:pPr>
            <w:r w:rsidRPr="00AC54B8">
              <w:rPr>
                <w:sz w:val="18"/>
                <w:szCs w:val="18"/>
              </w:rPr>
              <w:t>LWR with UOX fuel</w:t>
            </w:r>
          </w:p>
        </w:tc>
        <w:tc>
          <w:tcPr>
            <w:tcW w:w="1843" w:type="dxa"/>
            <w:tcBorders>
              <w:top w:val="single" w:sz="4" w:space="0" w:color="auto"/>
              <w:left w:val="nil"/>
              <w:bottom w:val="single" w:sz="4" w:space="0" w:color="auto"/>
              <w:right w:val="nil"/>
            </w:tcBorders>
            <w:hideMark/>
          </w:tcPr>
          <w:p w14:paraId="312394E9" w14:textId="77777777" w:rsidR="00AC54B8" w:rsidRPr="00AC54B8" w:rsidRDefault="00AC54B8" w:rsidP="00AC54B8">
            <w:pPr>
              <w:jc w:val="center"/>
              <w:textAlignment w:val="auto"/>
              <w:rPr>
                <w:sz w:val="18"/>
                <w:szCs w:val="18"/>
              </w:rPr>
            </w:pPr>
            <w:r w:rsidRPr="00AC54B8">
              <w:rPr>
                <w:sz w:val="18"/>
                <w:szCs w:val="18"/>
              </w:rPr>
              <w:t>LWR with MOX fuel</w:t>
            </w:r>
          </w:p>
        </w:tc>
        <w:tc>
          <w:tcPr>
            <w:tcW w:w="1695" w:type="dxa"/>
            <w:tcBorders>
              <w:top w:val="single" w:sz="4" w:space="0" w:color="auto"/>
              <w:left w:val="nil"/>
              <w:bottom w:val="single" w:sz="4" w:space="0" w:color="auto"/>
              <w:right w:val="nil"/>
            </w:tcBorders>
            <w:hideMark/>
          </w:tcPr>
          <w:p w14:paraId="3D14700F" w14:textId="77777777" w:rsidR="00AC54B8" w:rsidRPr="00AC54B8" w:rsidRDefault="00AC54B8" w:rsidP="00AC54B8">
            <w:pPr>
              <w:jc w:val="center"/>
              <w:textAlignment w:val="auto"/>
              <w:rPr>
                <w:sz w:val="18"/>
                <w:szCs w:val="18"/>
                <w:lang w:val="ru-RU"/>
              </w:rPr>
            </w:pPr>
            <w:r w:rsidRPr="00AC54B8">
              <w:rPr>
                <w:sz w:val="18"/>
                <w:szCs w:val="18"/>
              </w:rPr>
              <w:t>FR with MOX fuel</w:t>
            </w:r>
          </w:p>
        </w:tc>
      </w:tr>
      <w:tr w:rsidR="00AC54B8" w:rsidRPr="00AC54B8" w14:paraId="4DB86A00" w14:textId="77777777" w:rsidTr="00AC54B8">
        <w:trPr>
          <w:jc w:val="center"/>
        </w:trPr>
        <w:tc>
          <w:tcPr>
            <w:tcW w:w="3964" w:type="dxa"/>
            <w:tcBorders>
              <w:top w:val="single" w:sz="4" w:space="0" w:color="auto"/>
              <w:left w:val="nil"/>
              <w:bottom w:val="nil"/>
              <w:right w:val="nil"/>
            </w:tcBorders>
            <w:hideMark/>
          </w:tcPr>
          <w:p w14:paraId="469069E0" w14:textId="77777777" w:rsidR="00AC54B8" w:rsidRPr="00AC54B8" w:rsidRDefault="00AC54B8" w:rsidP="00AC54B8">
            <w:pPr>
              <w:tabs>
                <w:tab w:val="left" w:leader="dot" w:pos="9072"/>
              </w:tabs>
              <w:textAlignment w:val="auto"/>
              <w:rPr>
                <w:rFonts w:eastAsia="MS Mincho"/>
                <w:sz w:val="18"/>
                <w:szCs w:val="18"/>
                <w:lang w:eastAsia="ja-JP"/>
              </w:rPr>
            </w:pPr>
            <w:r w:rsidRPr="00AC54B8">
              <w:rPr>
                <w:rFonts w:eastAsia="MS Mincho"/>
                <w:sz w:val="18"/>
                <w:szCs w:val="18"/>
                <w:lang w:eastAsia="ja-JP"/>
              </w:rPr>
              <w:t>Capacity, GW (e)</w:t>
            </w:r>
          </w:p>
        </w:tc>
        <w:tc>
          <w:tcPr>
            <w:tcW w:w="1843" w:type="dxa"/>
            <w:tcBorders>
              <w:top w:val="single" w:sz="4" w:space="0" w:color="auto"/>
              <w:left w:val="nil"/>
              <w:bottom w:val="nil"/>
              <w:right w:val="nil"/>
            </w:tcBorders>
            <w:hideMark/>
          </w:tcPr>
          <w:p w14:paraId="2D3AA3EC" w14:textId="77777777" w:rsidR="00AC54B8" w:rsidRPr="00AC54B8" w:rsidRDefault="00AC54B8" w:rsidP="00AC54B8">
            <w:pPr>
              <w:jc w:val="center"/>
              <w:textAlignment w:val="auto"/>
              <w:rPr>
                <w:sz w:val="18"/>
                <w:szCs w:val="18"/>
                <w:lang w:val="ru-RU"/>
              </w:rPr>
            </w:pPr>
            <w:r w:rsidRPr="00AC54B8">
              <w:rPr>
                <w:sz w:val="18"/>
                <w:szCs w:val="18"/>
              </w:rPr>
              <w:t>1</w:t>
            </w:r>
            <w:r w:rsidRPr="00AC54B8">
              <w:rPr>
                <w:sz w:val="18"/>
                <w:szCs w:val="18"/>
                <w:lang w:val="ru-RU"/>
              </w:rPr>
              <w:t>.0</w:t>
            </w:r>
          </w:p>
        </w:tc>
        <w:tc>
          <w:tcPr>
            <w:tcW w:w="1843" w:type="dxa"/>
            <w:tcBorders>
              <w:top w:val="single" w:sz="4" w:space="0" w:color="auto"/>
              <w:left w:val="nil"/>
              <w:bottom w:val="nil"/>
              <w:right w:val="nil"/>
            </w:tcBorders>
            <w:hideMark/>
          </w:tcPr>
          <w:p w14:paraId="3DAF5DA4" w14:textId="77777777" w:rsidR="00AC54B8" w:rsidRPr="00AC54B8" w:rsidRDefault="00AC54B8" w:rsidP="00AC54B8">
            <w:pPr>
              <w:jc w:val="center"/>
              <w:textAlignment w:val="auto"/>
              <w:rPr>
                <w:sz w:val="18"/>
                <w:szCs w:val="18"/>
                <w:lang w:val="ru-RU"/>
              </w:rPr>
            </w:pPr>
            <w:r w:rsidRPr="00AC54B8">
              <w:rPr>
                <w:sz w:val="18"/>
                <w:szCs w:val="18"/>
              </w:rPr>
              <w:t>1</w:t>
            </w:r>
            <w:r w:rsidRPr="00AC54B8">
              <w:rPr>
                <w:sz w:val="18"/>
                <w:szCs w:val="18"/>
                <w:lang w:val="ru-RU"/>
              </w:rPr>
              <w:t>.0</w:t>
            </w:r>
          </w:p>
        </w:tc>
        <w:tc>
          <w:tcPr>
            <w:tcW w:w="1695" w:type="dxa"/>
            <w:tcBorders>
              <w:top w:val="single" w:sz="4" w:space="0" w:color="auto"/>
              <w:left w:val="nil"/>
              <w:bottom w:val="nil"/>
              <w:right w:val="nil"/>
            </w:tcBorders>
            <w:hideMark/>
          </w:tcPr>
          <w:p w14:paraId="0BA82C4E" w14:textId="77777777" w:rsidR="00AC54B8" w:rsidRPr="00AC54B8" w:rsidRDefault="00AC54B8" w:rsidP="00AC54B8">
            <w:pPr>
              <w:jc w:val="center"/>
              <w:textAlignment w:val="auto"/>
              <w:rPr>
                <w:sz w:val="18"/>
                <w:szCs w:val="18"/>
              </w:rPr>
            </w:pPr>
            <w:r w:rsidRPr="00AC54B8">
              <w:rPr>
                <w:sz w:val="18"/>
                <w:szCs w:val="18"/>
              </w:rPr>
              <w:t>1.2</w:t>
            </w:r>
          </w:p>
        </w:tc>
      </w:tr>
      <w:tr w:rsidR="00AC54B8" w:rsidRPr="00AC54B8" w14:paraId="1D1CF3D8" w14:textId="77777777" w:rsidTr="00AC54B8">
        <w:trPr>
          <w:jc w:val="center"/>
        </w:trPr>
        <w:tc>
          <w:tcPr>
            <w:tcW w:w="3964" w:type="dxa"/>
            <w:tcBorders>
              <w:top w:val="nil"/>
              <w:left w:val="nil"/>
              <w:bottom w:val="nil"/>
              <w:right w:val="nil"/>
            </w:tcBorders>
            <w:hideMark/>
          </w:tcPr>
          <w:p w14:paraId="36C76EA6" w14:textId="77777777" w:rsidR="00AC54B8" w:rsidRPr="00AC54B8" w:rsidRDefault="00AC54B8" w:rsidP="00AC54B8">
            <w:pPr>
              <w:tabs>
                <w:tab w:val="left" w:leader="dot" w:pos="9072"/>
              </w:tabs>
              <w:textAlignment w:val="auto"/>
              <w:rPr>
                <w:rFonts w:eastAsia="MS Mincho"/>
                <w:sz w:val="18"/>
                <w:szCs w:val="18"/>
                <w:lang w:eastAsia="ja-JP"/>
              </w:rPr>
            </w:pPr>
            <w:r w:rsidRPr="00AC54B8">
              <w:rPr>
                <w:rFonts w:eastAsia="MS Mincho"/>
                <w:sz w:val="18"/>
                <w:szCs w:val="18"/>
                <w:lang w:eastAsia="ja-JP"/>
              </w:rPr>
              <w:t>Load factor</w:t>
            </w:r>
          </w:p>
        </w:tc>
        <w:tc>
          <w:tcPr>
            <w:tcW w:w="1843" w:type="dxa"/>
            <w:tcBorders>
              <w:top w:val="nil"/>
              <w:left w:val="nil"/>
              <w:bottom w:val="nil"/>
              <w:right w:val="nil"/>
            </w:tcBorders>
            <w:hideMark/>
          </w:tcPr>
          <w:p w14:paraId="1BEC9852" w14:textId="77777777" w:rsidR="00AC54B8" w:rsidRPr="00AC54B8" w:rsidRDefault="00AC54B8" w:rsidP="00AC54B8">
            <w:pPr>
              <w:jc w:val="center"/>
              <w:textAlignment w:val="auto"/>
              <w:rPr>
                <w:sz w:val="18"/>
                <w:szCs w:val="18"/>
              </w:rPr>
            </w:pPr>
            <w:r w:rsidRPr="00AC54B8">
              <w:rPr>
                <w:sz w:val="18"/>
                <w:szCs w:val="18"/>
              </w:rPr>
              <w:t>0.8</w:t>
            </w:r>
          </w:p>
        </w:tc>
        <w:tc>
          <w:tcPr>
            <w:tcW w:w="1843" w:type="dxa"/>
            <w:tcBorders>
              <w:top w:val="nil"/>
              <w:left w:val="nil"/>
              <w:bottom w:val="nil"/>
              <w:right w:val="nil"/>
            </w:tcBorders>
            <w:hideMark/>
          </w:tcPr>
          <w:p w14:paraId="5E9C363D" w14:textId="77777777" w:rsidR="00AC54B8" w:rsidRPr="00AC54B8" w:rsidRDefault="00AC54B8" w:rsidP="00AC54B8">
            <w:pPr>
              <w:jc w:val="center"/>
              <w:textAlignment w:val="auto"/>
              <w:rPr>
                <w:sz w:val="18"/>
                <w:szCs w:val="18"/>
              </w:rPr>
            </w:pPr>
            <w:r w:rsidRPr="00AC54B8">
              <w:rPr>
                <w:sz w:val="18"/>
                <w:szCs w:val="18"/>
              </w:rPr>
              <w:t>0.8</w:t>
            </w:r>
          </w:p>
        </w:tc>
        <w:tc>
          <w:tcPr>
            <w:tcW w:w="1695" w:type="dxa"/>
            <w:tcBorders>
              <w:top w:val="nil"/>
              <w:left w:val="nil"/>
              <w:bottom w:val="nil"/>
              <w:right w:val="nil"/>
            </w:tcBorders>
            <w:hideMark/>
          </w:tcPr>
          <w:p w14:paraId="29D9A1B2" w14:textId="77777777" w:rsidR="00AC54B8" w:rsidRPr="00AC54B8" w:rsidRDefault="00AC54B8" w:rsidP="00AC54B8">
            <w:pPr>
              <w:jc w:val="center"/>
              <w:textAlignment w:val="auto"/>
              <w:rPr>
                <w:sz w:val="18"/>
                <w:szCs w:val="18"/>
              </w:rPr>
            </w:pPr>
            <w:r w:rsidRPr="00AC54B8">
              <w:rPr>
                <w:sz w:val="18"/>
                <w:szCs w:val="18"/>
              </w:rPr>
              <w:t>0.85</w:t>
            </w:r>
          </w:p>
        </w:tc>
      </w:tr>
      <w:tr w:rsidR="00AC54B8" w:rsidRPr="00AC54B8" w14:paraId="26FC4FFC" w14:textId="77777777" w:rsidTr="00AC54B8">
        <w:trPr>
          <w:jc w:val="center"/>
        </w:trPr>
        <w:tc>
          <w:tcPr>
            <w:tcW w:w="3964" w:type="dxa"/>
            <w:tcBorders>
              <w:top w:val="nil"/>
              <w:left w:val="nil"/>
              <w:bottom w:val="nil"/>
              <w:right w:val="nil"/>
            </w:tcBorders>
            <w:hideMark/>
          </w:tcPr>
          <w:p w14:paraId="7AC37890" w14:textId="77777777" w:rsidR="00AC54B8" w:rsidRPr="00AC54B8" w:rsidRDefault="00AC54B8" w:rsidP="00AC54B8">
            <w:pPr>
              <w:tabs>
                <w:tab w:val="left" w:leader="dot" w:pos="9072"/>
              </w:tabs>
              <w:textAlignment w:val="auto"/>
              <w:rPr>
                <w:rFonts w:eastAsia="MS Mincho"/>
                <w:sz w:val="18"/>
                <w:szCs w:val="18"/>
                <w:lang w:eastAsia="ja-JP"/>
              </w:rPr>
            </w:pPr>
            <w:r w:rsidRPr="00AC54B8">
              <w:rPr>
                <w:rFonts w:eastAsia="MS Mincho"/>
                <w:sz w:val="18"/>
                <w:szCs w:val="18"/>
                <w:lang w:eastAsia="ja-JP"/>
              </w:rPr>
              <w:t>Efficiency</w:t>
            </w:r>
          </w:p>
        </w:tc>
        <w:tc>
          <w:tcPr>
            <w:tcW w:w="1843" w:type="dxa"/>
            <w:tcBorders>
              <w:top w:val="nil"/>
              <w:left w:val="nil"/>
              <w:bottom w:val="nil"/>
              <w:right w:val="nil"/>
            </w:tcBorders>
            <w:hideMark/>
          </w:tcPr>
          <w:p w14:paraId="37F51703" w14:textId="77777777" w:rsidR="00AC54B8" w:rsidRPr="00AC54B8" w:rsidRDefault="00AC54B8" w:rsidP="00AC54B8">
            <w:pPr>
              <w:jc w:val="center"/>
              <w:textAlignment w:val="auto"/>
              <w:rPr>
                <w:sz w:val="18"/>
                <w:szCs w:val="18"/>
              </w:rPr>
            </w:pPr>
            <w:r w:rsidRPr="00AC54B8">
              <w:rPr>
                <w:sz w:val="18"/>
                <w:szCs w:val="18"/>
              </w:rPr>
              <w:t>0.33</w:t>
            </w:r>
          </w:p>
        </w:tc>
        <w:tc>
          <w:tcPr>
            <w:tcW w:w="1843" w:type="dxa"/>
            <w:tcBorders>
              <w:top w:val="nil"/>
              <w:left w:val="nil"/>
              <w:bottom w:val="nil"/>
              <w:right w:val="nil"/>
            </w:tcBorders>
            <w:hideMark/>
          </w:tcPr>
          <w:p w14:paraId="50809ABE" w14:textId="77777777" w:rsidR="00AC54B8" w:rsidRPr="00AC54B8" w:rsidRDefault="00AC54B8" w:rsidP="00AC54B8">
            <w:pPr>
              <w:jc w:val="center"/>
              <w:textAlignment w:val="auto"/>
              <w:rPr>
                <w:sz w:val="18"/>
                <w:szCs w:val="18"/>
              </w:rPr>
            </w:pPr>
            <w:r w:rsidRPr="00AC54B8">
              <w:rPr>
                <w:sz w:val="18"/>
                <w:szCs w:val="18"/>
              </w:rPr>
              <w:t>0.33</w:t>
            </w:r>
          </w:p>
        </w:tc>
        <w:tc>
          <w:tcPr>
            <w:tcW w:w="1695" w:type="dxa"/>
            <w:tcBorders>
              <w:top w:val="nil"/>
              <w:left w:val="nil"/>
              <w:bottom w:val="nil"/>
              <w:right w:val="nil"/>
            </w:tcBorders>
            <w:hideMark/>
          </w:tcPr>
          <w:p w14:paraId="70BD3DE4" w14:textId="77777777" w:rsidR="00AC54B8" w:rsidRPr="00AC54B8" w:rsidRDefault="00AC54B8" w:rsidP="00AC54B8">
            <w:pPr>
              <w:jc w:val="center"/>
              <w:textAlignment w:val="auto"/>
              <w:rPr>
                <w:sz w:val="18"/>
                <w:szCs w:val="18"/>
              </w:rPr>
            </w:pPr>
            <w:r w:rsidRPr="00AC54B8">
              <w:rPr>
                <w:sz w:val="18"/>
                <w:szCs w:val="18"/>
              </w:rPr>
              <w:t>0.43</w:t>
            </w:r>
          </w:p>
        </w:tc>
      </w:tr>
      <w:tr w:rsidR="00AC54B8" w:rsidRPr="00AC54B8" w14:paraId="292A5AD5" w14:textId="77777777" w:rsidTr="00AC54B8">
        <w:trPr>
          <w:jc w:val="center"/>
        </w:trPr>
        <w:tc>
          <w:tcPr>
            <w:tcW w:w="3964" w:type="dxa"/>
            <w:tcBorders>
              <w:top w:val="nil"/>
              <w:left w:val="nil"/>
              <w:bottom w:val="nil"/>
              <w:right w:val="nil"/>
            </w:tcBorders>
            <w:hideMark/>
          </w:tcPr>
          <w:p w14:paraId="38954FA3" w14:textId="7CF881EC" w:rsidR="00AC54B8" w:rsidRPr="00AC54B8" w:rsidRDefault="005A3A9F" w:rsidP="00AC54B8">
            <w:pPr>
              <w:tabs>
                <w:tab w:val="left" w:leader="dot" w:pos="9072"/>
              </w:tabs>
              <w:textAlignment w:val="auto"/>
              <w:rPr>
                <w:rFonts w:eastAsia="MS Mincho"/>
                <w:sz w:val="18"/>
                <w:szCs w:val="18"/>
                <w:lang w:val="en-US" w:eastAsia="ja-JP"/>
              </w:rPr>
            </w:pPr>
            <w:r>
              <w:rPr>
                <w:rFonts w:eastAsia="MS Mincho"/>
                <w:sz w:val="18"/>
                <w:szCs w:val="18"/>
                <w:lang w:val="en-US" w:eastAsia="ja-JP"/>
              </w:rPr>
              <w:t xml:space="preserve">Burn-up, </w:t>
            </w:r>
            <w:proofErr w:type="spellStart"/>
            <w:r>
              <w:rPr>
                <w:rFonts w:eastAsia="MS Mincho"/>
                <w:sz w:val="18"/>
                <w:szCs w:val="18"/>
                <w:lang w:val="en-US" w:eastAsia="ja-JP"/>
              </w:rPr>
              <w:t>GW·day</w:t>
            </w:r>
            <w:proofErr w:type="spellEnd"/>
            <w:r w:rsidR="00091BB0">
              <w:rPr>
                <w:rFonts w:eastAsia="MS Mincho"/>
                <w:sz w:val="18"/>
                <w:szCs w:val="18"/>
                <w:lang w:val="en-US" w:eastAsia="ja-JP"/>
              </w:rPr>
              <w:t>/t H</w:t>
            </w:r>
            <w:r w:rsidR="00AC54B8" w:rsidRPr="00AC54B8">
              <w:rPr>
                <w:rFonts w:eastAsia="MS Mincho"/>
                <w:sz w:val="18"/>
                <w:szCs w:val="18"/>
                <w:lang w:val="en-US" w:eastAsia="ja-JP"/>
              </w:rPr>
              <w:t>M</w:t>
            </w:r>
          </w:p>
        </w:tc>
        <w:tc>
          <w:tcPr>
            <w:tcW w:w="1843" w:type="dxa"/>
            <w:tcBorders>
              <w:top w:val="nil"/>
              <w:left w:val="nil"/>
              <w:bottom w:val="nil"/>
              <w:right w:val="nil"/>
            </w:tcBorders>
            <w:hideMark/>
          </w:tcPr>
          <w:p w14:paraId="531CF8EE" w14:textId="77777777" w:rsidR="00AC54B8" w:rsidRPr="00AC54B8" w:rsidRDefault="00AC54B8" w:rsidP="00AC54B8">
            <w:pPr>
              <w:tabs>
                <w:tab w:val="left" w:leader="dot" w:pos="9072"/>
              </w:tabs>
              <w:jc w:val="center"/>
              <w:textAlignment w:val="auto"/>
              <w:rPr>
                <w:rFonts w:eastAsia="MS Mincho"/>
                <w:sz w:val="18"/>
                <w:szCs w:val="18"/>
                <w:lang w:val="ru-RU" w:eastAsia="ja-JP"/>
              </w:rPr>
            </w:pPr>
            <w:r w:rsidRPr="00AC54B8">
              <w:rPr>
                <w:rFonts w:eastAsia="MS Mincho"/>
                <w:sz w:val="18"/>
                <w:szCs w:val="18"/>
                <w:lang w:val="ru-RU" w:eastAsia="ja-JP"/>
              </w:rPr>
              <w:t>45</w:t>
            </w:r>
          </w:p>
        </w:tc>
        <w:tc>
          <w:tcPr>
            <w:tcW w:w="1843" w:type="dxa"/>
            <w:tcBorders>
              <w:top w:val="nil"/>
              <w:left w:val="nil"/>
              <w:bottom w:val="nil"/>
              <w:right w:val="nil"/>
            </w:tcBorders>
            <w:hideMark/>
          </w:tcPr>
          <w:p w14:paraId="19869EB3" w14:textId="77777777" w:rsidR="00AC54B8" w:rsidRPr="00AC54B8" w:rsidRDefault="00AC54B8" w:rsidP="00AC54B8">
            <w:pPr>
              <w:jc w:val="center"/>
              <w:textAlignment w:val="auto"/>
              <w:rPr>
                <w:sz w:val="18"/>
                <w:szCs w:val="18"/>
                <w:lang w:val="ru-RU"/>
              </w:rPr>
            </w:pPr>
            <w:r w:rsidRPr="00AC54B8">
              <w:rPr>
                <w:sz w:val="18"/>
                <w:szCs w:val="18"/>
                <w:lang w:val="ru-RU"/>
              </w:rPr>
              <w:t>45</w:t>
            </w:r>
          </w:p>
        </w:tc>
        <w:tc>
          <w:tcPr>
            <w:tcW w:w="1695" w:type="dxa"/>
            <w:tcBorders>
              <w:top w:val="nil"/>
              <w:left w:val="nil"/>
              <w:bottom w:val="nil"/>
              <w:right w:val="nil"/>
            </w:tcBorders>
            <w:hideMark/>
          </w:tcPr>
          <w:p w14:paraId="5C830381" w14:textId="77777777" w:rsidR="00AC54B8" w:rsidRPr="00AC54B8" w:rsidRDefault="00AC54B8" w:rsidP="00AC54B8">
            <w:pPr>
              <w:jc w:val="center"/>
              <w:textAlignment w:val="auto"/>
              <w:rPr>
                <w:sz w:val="18"/>
                <w:szCs w:val="18"/>
                <w:lang w:val="ru-RU"/>
              </w:rPr>
            </w:pPr>
            <w:r w:rsidRPr="00AC54B8">
              <w:rPr>
                <w:sz w:val="18"/>
                <w:szCs w:val="18"/>
                <w:lang w:val="ru-RU"/>
              </w:rPr>
              <w:t>120</w:t>
            </w:r>
          </w:p>
        </w:tc>
      </w:tr>
      <w:tr w:rsidR="00AC54B8" w:rsidRPr="00AC54B8" w14:paraId="59AC6043" w14:textId="77777777" w:rsidTr="00AC54B8">
        <w:trPr>
          <w:jc w:val="center"/>
        </w:trPr>
        <w:tc>
          <w:tcPr>
            <w:tcW w:w="3964" w:type="dxa"/>
            <w:tcBorders>
              <w:top w:val="nil"/>
              <w:left w:val="nil"/>
              <w:bottom w:val="nil"/>
              <w:right w:val="nil"/>
            </w:tcBorders>
            <w:hideMark/>
          </w:tcPr>
          <w:p w14:paraId="58EB7797" w14:textId="77777777" w:rsidR="00AC54B8" w:rsidRPr="00AC54B8" w:rsidRDefault="00AC54B8" w:rsidP="00AC54B8">
            <w:pPr>
              <w:tabs>
                <w:tab w:val="left" w:leader="dot" w:pos="9072"/>
              </w:tabs>
              <w:textAlignment w:val="auto"/>
              <w:rPr>
                <w:rFonts w:eastAsia="MS Mincho"/>
                <w:sz w:val="18"/>
                <w:szCs w:val="18"/>
                <w:lang w:val="en-US" w:eastAsia="ja-JP"/>
              </w:rPr>
            </w:pPr>
            <w:r w:rsidRPr="00AC54B8">
              <w:rPr>
                <w:rFonts w:eastAsia="MS Mincho"/>
                <w:sz w:val="18"/>
                <w:szCs w:val="18"/>
                <w:lang w:val="en-US" w:eastAsia="ja-JP"/>
              </w:rPr>
              <w:t>Fuel residence time, EFPD</w:t>
            </w:r>
          </w:p>
        </w:tc>
        <w:tc>
          <w:tcPr>
            <w:tcW w:w="1843" w:type="dxa"/>
            <w:tcBorders>
              <w:top w:val="nil"/>
              <w:left w:val="nil"/>
              <w:bottom w:val="nil"/>
              <w:right w:val="nil"/>
            </w:tcBorders>
            <w:hideMark/>
          </w:tcPr>
          <w:p w14:paraId="5C57D05E" w14:textId="77777777" w:rsidR="00AC54B8" w:rsidRPr="00AC54B8" w:rsidRDefault="00AC54B8" w:rsidP="00AC54B8">
            <w:pPr>
              <w:tabs>
                <w:tab w:val="left" w:leader="dot" w:pos="9072"/>
              </w:tabs>
              <w:jc w:val="center"/>
              <w:textAlignment w:val="auto"/>
              <w:rPr>
                <w:rFonts w:eastAsia="MS Mincho"/>
                <w:sz w:val="18"/>
                <w:szCs w:val="18"/>
                <w:lang w:val="ru-RU" w:eastAsia="ja-JP"/>
              </w:rPr>
            </w:pPr>
            <w:r w:rsidRPr="00AC54B8">
              <w:rPr>
                <w:rFonts w:eastAsia="MS Mincho"/>
                <w:sz w:val="18"/>
                <w:szCs w:val="18"/>
                <w:lang w:val="ru-RU" w:eastAsia="ja-JP"/>
              </w:rPr>
              <w:t>1168</w:t>
            </w:r>
          </w:p>
        </w:tc>
        <w:tc>
          <w:tcPr>
            <w:tcW w:w="1843" w:type="dxa"/>
            <w:tcBorders>
              <w:top w:val="nil"/>
              <w:left w:val="nil"/>
              <w:bottom w:val="nil"/>
              <w:right w:val="nil"/>
            </w:tcBorders>
            <w:hideMark/>
          </w:tcPr>
          <w:p w14:paraId="2FE1914C" w14:textId="77777777" w:rsidR="00AC54B8" w:rsidRPr="00AC54B8" w:rsidRDefault="00AC54B8" w:rsidP="00AC54B8">
            <w:pPr>
              <w:jc w:val="center"/>
              <w:textAlignment w:val="auto"/>
              <w:rPr>
                <w:sz w:val="18"/>
                <w:szCs w:val="18"/>
                <w:lang w:val="ru-RU"/>
              </w:rPr>
            </w:pPr>
            <w:r w:rsidRPr="00AC54B8">
              <w:rPr>
                <w:sz w:val="18"/>
                <w:szCs w:val="18"/>
                <w:lang w:val="ru-RU"/>
              </w:rPr>
              <w:t>1168</w:t>
            </w:r>
          </w:p>
        </w:tc>
        <w:tc>
          <w:tcPr>
            <w:tcW w:w="1695" w:type="dxa"/>
            <w:tcBorders>
              <w:top w:val="nil"/>
              <w:left w:val="nil"/>
              <w:bottom w:val="nil"/>
              <w:right w:val="nil"/>
            </w:tcBorders>
            <w:hideMark/>
          </w:tcPr>
          <w:p w14:paraId="7B8FE0B4" w14:textId="77777777" w:rsidR="00AC54B8" w:rsidRPr="00AC54B8" w:rsidRDefault="00AC54B8" w:rsidP="00AC54B8">
            <w:pPr>
              <w:jc w:val="center"/>
              <w:textAlignment w:val="auto"/>
              <w:rPr>
                <w:sz w:val="18"/>
                <w:szCs w:val="18"/>
                <w:lang w:val="ru-RU"/>
              </w:rPr>
            </w:pPr>
            <w:r w:rsidRPr="00AC54B8">
              <w:rPr>
                <w:sz w:val="18"/>
                <w:szCs w:val="18"/>
                <w:lang w:val="ru-RU"/>
              </w:rPr>
              <w:t>1650</w:t>
            </w:r>
          </w:p>
        </w:tc>
      </w:tr>
      <w:tr w:rsidR="00AC54B8" w:rsidRPr="00AC54B8" w14:paraId="1C93C966" w14:textId="77777777" w:rsidTr="00AC54B8">
        <w:trPr>
          <w:jc w:val="center"/>
        </w:trPr>
        <w:tc>
          <w:tcPr>
            <w:tcW w:w="3964" w:type="dxa"/>
            <w:tcBorders>
              <w:top w:val="nil"/>
              <w:left w:val="nil"/>
              <w:bottom w:val="nil"/>
              <w:right w:val="nil"/>
            </w:tcBorders>
            <w:hideMark/>
          </w:tcPr>
          <w:p w14:paraId="44F5C261" w14:textId="77777777" w:rsidR="00AC54B8" w:rsidRPr="00AC54B8" w:rsidRDefault="00AC54B8" w:rsidP="00AC54B8">
            <w:pPr>
              <w:tabs>
                <w:tab w:val="left" w:leader="dot" w:pos="9072"/>
              </w:tabs>
              <w:textAlignment w:val="auto"/>
              <w:rPr>
                <w:rFonts w:eastAsia="MS Mincho"/>
                <w:sz w:val="18"/>
                <w:szCs w:val="18"/>
                <w:lang w:val="ru-RU" w:eastAsia="ja-JP"/>
              </w:rPr>
            </w:pPr>
            <w:r w:rsidRPr="00AC54B8">
              <w:rPr>
                <w:sz w:val="18"/>
                <w:szCs w:val="18"/>
              </w:rPr>
              <w:t>Enrichment</w:t>
            </w:r>
            <w:r w:rsidRPr="00AC54B8">
              <w:rPr>
                <w:rFonts w:eastAsia="MS Mincho"/>
                <w:sz w:val="18"/>
                <w:szCs w:val="18"/>
                <w:lang w:val="ru-RU" w:eastAsia="ja-JP"/>
              </w:rPr>
              <w:t xml:space="preserve"> </w:t>
            </w:r>
          </w:p>
        </w:tc>
        <w:tc>
          <w:tcPr>
            <w:tcW w:w="1843" w:type="dxa"/>
            <w:tcBorders>
              <w:top w:val="nil"/>
              <w:left w:val="nil"/>
              <w:bottom w:val="nil"/>
              <w:right w:val="nil"/>
            </w:tcBorders>
            <w:hideMark/>
          </w:tcPr>
          <w:p w14:paraId="232EED7D" w14:textId="77777777" w:rsidR="00AC54B8" w:rsidRPr="00AC54B8" w:rsidRDefault="00AC54B8" w:rsidP="00AC54B8">
            <w:pPr>
              <w:tabs>
                <w:tab w:val="left" w:leader="dot" w:pos="9072"/>
              </w:tabs>
              <w:jc w:val="center"/>
              <w:textAlignment w:val="auto"/>
              <w:rPr>
                <w:rFonts w:eastAsia="MS Mincho"/>
                <w:sz w:val="18"/>
                <w:szCs w:val="18"/>
                <w:lang w:val="ru-RU" w:eastAsia="ja-JP"/>
              </w:rPr>
            </w:pPr>
            <w:r w:rsidRPr="00AC54B8">
              <w:rPr>
                <w:rFonts w:eastAsia="MS Mincho"/>
                <w:sz w:val="18"/>
                <w:szCs w:val="18"/>
                <w:lang w:val="ru-RU" w:eastAsia="ja-JP"/>
              </w:rPr>
              <w:t>0.04</w:t>
            </w:r>
          </w:p>
        </w:tc>
        <w:tc>
          <w:tcPr>
            <w:tcW w:w="1843" w:type="dxa"/>
            <w:tcBorders>
              <w:top w:val="nil"/>
              <w:left w:val="nil"/>
              <w:bottom w:val="nil"/>
              <w:right w:val="nil"/>
            </w:tcBorders>
            <w:hideMark/>
          </w:tcPr>
          <w:p w14:paraId="5A599D9D" w14:textId="77777777" w:rsidR="00AC54B8" w:rsidRPr="00AC54B8" w:rsidRDefault="00AC54B8" w:rsidP="00AC54B8">
            <w:pPr>
              <w:jc w:val="center"/>
              <w:textAlignment w:val="auto"/>
              <w:rPr>
                <w:sz w:val="18"/>
                <w:szCs w:val="18"/>
                <w:lang w:val="ru-RU"/>
              </w:rPr>
            </w:pPr>
            <w:r w:rsidRPr="00AC54B8">
              <w:rPr>
                <w:sz w:val="18"/>
                <w:szCs w:val="18"/>
                <w:lang w:val="ru-RU"/>
              </w:rPr>
              <w:t>0,04</w:t>
            </w:r>
          </w:p>
        </w:tc>
        <w:tc>
          <w:tcPr>
            <w:tcW w:w="1695" w:type="dxa"/>
            <w:tcBorders>
              <w:top w:val="nil"/>
              <w:left w:val="nil"/>
              <w:bottom w:val="nil"/>
              <w:right w:val="nil"/>
            </w:tcBorders>
            <w:hideMark/>
          </w:tcPr>
          <w:p w14:paraId="3B007BA2" w14:textId="77777777" w:rsidR="00AC54B8" w:rsidRPr="00AC54B8" w:rsidRDefault="00AC54B8" w:rsidP="00AC54B8">
            <w:pPr>
              <w:jc w:val="center"/>
              <w:textAlignment w:val="auto"/>
              <w:rPr>
                <w:sz w:val="18"/>
                <w:szCs w:val="18"/>
                <w:lang w:val="ru-RU"/>
              </w:rPr>
            </w:pPr>
            <w:r w:rsidRPr="00AC54B8">
              <w:rPr>
                <w:sz w:val="18"/>
                <w:szCs w:val="18"/>
                <w:lang w:val="ru-RU"/>
              </w:rPr>
              <w:t>-</w:t>
            </w:r>
          </w:p>
        </w:tc>
      </w:tr>
      <w:tr w:rsidR="00AC54B8" w:rsidRPr="00AC54B8" w14:paraId="26BFAD9F" w14:textId="77777777" w:rsidTr="00AC54B8">
        <w:trPr>
          <w:jc w:val="center"/>
        </w:trPr>
        <w:tc>
          <w:tcPr>
            <w:tcW w:w="3964" w:type="dxa"/>
            <w:tcBorders>
              <w:top w:val="nil"/>
              <w:left w:val="nil"/>
              <w:bottom w:val="nil"/>
              <w:right w:val="nil"/>
            </w:tcBorders>
            <w:hideMark/>
          </w:tcPr>
          <w:p w14:paraId="6CA215D5" w14:textId="77777777" w:rsidR="00AC54B8" w:rsidRPr="00AC54B8" w:rsidRDefault="00AC54B8" w:rsidP="00AC54B8">
            <w:pPr>
              <w:tabs>
                <w:tab w:val="left" w:leader="dot" w:pos="9072"/>
              </w:tabs>
              <w:textAlignment w:val="auto"/>
              <w:rPr>
                <w:rFonts w:eastAsia="MS Mincho"/>
                <w:sz w:val="18"/>
                <w:szCs w:val="18"/>
                <w:lang w:val="en-US" w:eastAsia="ja-JP"/>
              </w:rPr>
            </w:pPr>
            <w:r w:rsidRPr="00AC54B8">
              <w:rPr>
                <w:rFonts w:eastAsia="MS Mincho"/>
                <w:sz w:val="18"/>
                <w:szCs w:val="18"/>
                <w:lang w:val="en-US" w:eastAsia="ja-JP"/>
              </w:rPr>
              <w:t>Pu contents in the MOX core</w:t>
            </w:r>
          </w:p>
        </w:tc>
        <w:tc>
          <w:tcPr>
            <w:tcW w:w="1843" w:type="dxa"/>
            <w:tcBorders>
              <w:top w:val="nil"/>
              <w:left w:val="nil"/>
              <w:bottom w:val="nil"/>
              <w:right w:val="nil"/>
            </w:tcBorders>
            <w:hideMark/>
          </w:tcPr>
          <w:p w14:paraId="212C8D08" w14:textId="77777777" w:rsidR="00AC54B8" w:rsidRPr="00AC54B8" w:rsidRDefault="00AC54B8" w:rsidP="00AC54B8">
            <w:pPr>
              <w:jc w:val="center"/>
              <w:textAlignment w:val="auto"/>
              <w:rPr>
                <w:sz w:val="18"/>
                <w:szCs w:val="18"/>
                <w:lang w:val="ru-RU"/>
              </w:rPr>
            </w:pPr>
            <w:r w:rsidRPr="00AC54B8">
              <w:rPr>
                <w:sz w:val="18"/>
                <w:szCs w:val="18"/>
                <w:lang w:val="ru-RU"/>
              </w:rPr>
              <w:t>-</w:t>
            </w:r>
          </w:p>
        </w:tc>
        <w:tc>
          <w:tcPr>
            <w:tcW w:w="1843" w:type="dxa"/>
            <w:tcBorders>
              <w:top w:val="nil"/>
              <w:left w:val="nil"/>
              <w:bottom w:val="nil"/>
              <w:right w:val="nil"/>
            </w:tcBorders>
            <w:hideMark/>
          </w:tcPr>
          <w:p w14:paraId="452B411A" w14:textId="77777777" w:rsidR="00AC54B8" w:rsidRPr="00AC54B8" w:rsidRDefault="00AC54B8" w:rsidP="00AC54B8">
            <w:pPr>
              <w:jc w:val="center"/>
              <w:textAlignment w:val="auto"/>
              <w:rPr>
                <w:sz w:val="18"/>
                <w:szCs w:val="18"/>
                <w:lang w:val="ru-RU"/>
              </w:rPr>
            </w:pPr>
            <w:r w:rsidRPr="00AC54B8">
              <w:rPr>
                <w:sz w:val="18"/>
                <w:szCs w:val="18"/>
                <w:lang w:val="ru-RU"/>
              </w:rPr>
              <w:t>0,07</w:t>
            </w:r>
          </w:p>
        </w:tc>
        <w:tc>
          <w:tcPr>
            <w:tcW w:w="1695" w:type="dxa"/>
            <w:tcBorders>
              <w:top w:val="nil"/>
              <w:left w:val="nil"/>
              <w:bottom w:val="nil"/>
              <w:right w:val="nil"/>
            </w:tcBorders>
            <w:hideMark/>
          </w:tcPr>
          <w:p w14:paraId="276D4A14" w14:textId="77777777" w:rsidR="00AC54B8" w:rsidRPr="00AC54B8" w:rsidRDefault="00AC54B8" w:rsidP="00AC54B8">
            <w:pPr>
              <w:jc w:val="center"/>
              <w:textAlignment w:val="auto"/>
              <w:rPr>
                <w:sz w:val="18"/>
                <w:szCs w:val="18"/>
                <w:lang w:val="ru-RU"/>
              </w:rPr>
            </w:pPr>
            <w:r w:rsidRPr="00AC54B8">
              <w:rPr>
                <w:sz w:val="18"/>
                <w:szCs w:val="18"/>
                <w:lang w:val="ru-RU"/>
              </w:rPr>
              <w:t>0.18</w:t>
            </w:r>
          </w:p>
        </w:tc>
      </w:tr>
      <w:tr w:rsidR="00AC54B8" w:rsidRPr="00AC54B8" w14:paraId="29B6F5D8" w14:textId="77777777" w:rsidTr="00AC54B8">
        <w:trPr>
          <w:jc w:val="center"/>
        </w:trPr>
        <w:tc>
          <w:tcPr>
            <w:tcW w:w="3964" w:type="dxa"/>
            <w:tcBorders>
              <w:top w:val="nil"/>
              <w:left w:val="nil"/>
              <w:bottom w:val="nil"/>
              <w:right w:val="nil"/>
            </w:tcBorders>
            <w:hideMark/>
          </w:tcPr>
          <w:p w14:paraId="227463C3" w14:textId="77777777" w:rsidR="00AC54B8" w:rsidRPr="00AC54B8" w:rsidRDefault="00AC54B8" w:rsidP="00AC54B8">
            <w:pPr>
              <w:tabs>
                <w:tab w:val="left" w:leader="dot" w:pos="9072"/>
              </w:tabs>
              <w:textAlignment w:val="auto"/>
              <w:rPr>
                <w:rFonts w:eastAsia="MS Mincho"/>
                <w:sz w:val="18"/>
                <w:szCs w:val="18"/>
                <w:lang w:val="ru-RU" w:eastAsia="ja-JP"/>
              </w:rPr>
            </w:pPr>
            <w:proofErr w:type="spellStart"/>
            <w:r w:rsidRPr="00AC54B8">
              <w:rPr>
                <w:rFonts w:eastAsia="MS Mincho"/>
                <w:sz w:val="18"/>
                <w:szCs w:val="18"/>
                <w:lang w:val="ru-RU" w:eastAsia="ja-JP"/>
              </w:rPr>
              <w:t>Initial</w:t>
            </w:r>
            <w:proofErr w:type="spellEnd"/>
            <w:r w:rsidRPr="00AC54B8">
              <w:rPr>
                <w:rFonts w:eastAsia="MS Mincho"/>
                <w:sz w:val="18"/>
                <w:szCs w:val="18"/>
                <w:lang w:val="ru-RU" w:eastAsia="ja-JP"/>
              </w:rPr>
              <w:t xml:space="preserve"> </w:t>
            </w:r>
            <w:proofErr w:type="spellStart"/>
            <w:r w:rsidRPr="00AC54B8">
              <w:rPr>
                <w:rFonts w:eastAsia="MS Mincho"/>
                <w:sz w:val="18"/>
                <w:szCs w:val="18"/>
                <w:lang w:val="ru-RU" w:eastAsia="ja-JP"/>
              </w:rPr>
              <w:t>loading</w:t>
            </w:r>
            <w:proofErr w:type="spellEnd"/>
            <w:r w:rsidRPr="00AC54B8">
              <w:rPr>
                <w:rFonts w:eastAsia="MS Mincho"/>
                <w:sz w:val="18"/>
                <w:szCs w:val="18"/>
                <w:lang w:val="ru-RU" w:eastAsia="ja-JP"/>
              </w:rPr>
              <w:t>, t</w:t>
            </w:r>
          </w:p>
        </w:tc>
        <w:tc>
          <w:tcPr>
            <w:tcW w:w="1843" w:type="dxa"/>
            <w:tcBorders>
              <w:top w:val="nil"/>
              <w:left w:val="nil"/>
              <w:bottom w:val="nil"/>
              <w:right w:val="nil"/>
            </w:tcBorders>
            <w:hideMark/>
          </w:tcPr>
          <w:p w14:paraId="6623EFC0" w14:textId="77777777" w:rsidR="00AC54B8" w:rsidRPr="00AC54B8" w:rsidRDefault="00AC54B8" w:rsidP="00AC54B8">
            <w:pPr>
              <w:jc w:val="center"/>
              <w:textAlignment w:val="auto"/>
              <w:rPr>
                <w:sz w:val="18"/>
                <w:szCs w:val="18"/>
              </w:rPr>
            </w:pPr>
            <w:r w:rsidRPr="00AC54B8">
              <w:rPr>
                <w:sz w:val="18"/>
                <w:szCs w:val="18"/>
              </w:rPr>
              <w:t>75</w:t>
            </w:r>
          </w:p>
        </w:tc>
        <w:tc>
          <w:tcPr>
            <w:tcW w:w="1843" w:type="dxa"/>
            <w:tcBorders>
              <w:top w:val="nil"/>
              <w:left w:val="nil"/>
              <w:bottom w:val="nil"/>
              <w:right w:val="nil"/>
            </w:tcBorders>
            <w:hideMark/>
          </w:tcPr>
          <w:p w14:paraId="0BB196A2" w14:textId="77777777" w:rsidR="00AC54B8" w:rsidRPr="00AC54B8" w:rsidRDefault="00AC54B8" w:rsidP="00AC54B8">
            <w:pPr>
              <w:jc w:val="center"/>
              <w:textAlignment w:val="auto"/>
              <w:rPr>
                <w:sz w:val="18"/>
                <w:szCs w:val="18"/>
              </w:rPr>
            </w:pPr>
            <w:r w:rsidRPr="00AC54B8">
              <w:rPr>
                <w:sz w:val="18"/>
                <w:szCs w:val="18"/>
              </w:rPr>
              <w:t>75</w:t>
            </w:r>
          </w:p>
        </w:tc>
        <w:tc>
          <w:tcPr>
            <w:tcW w:w="1695" w:type="dxa"/>
            <w:tcBorders>
              <w:top w:val="nil"/>
              <w:left w:val="nil"/>
              <w:bottom w:val="nil"/>
              <w:right w:val="nil"/>
            </w:tcBorders>
            <w:hideMark/>
          </w:tcPr>
          <w:p w14:paraId="36EC7E53" w14:textId="77777777" w:rsidR="00AC54B8" w:rsidRPr="00AC54B8" w:rsidRDefault="00AC54B8" w:rsidP="00AC54B8">
            <w:pPr>
              <w:jc w:val="center"/>
              <w:textAlignment w:val="auto"/>
              <w:rPr>
                <w:sz w:val="18"/>
                <w:szCs w:val="18"/>
              </w:rPr>
            </w:pPr>
            <w:r w:rsidRPr="00AC54B8">
              <w:rPr>
                <w:sz w:val="18"/>
                <w:szCs w:val="18"/>
              </w:rPr>
              <w:t>42</w:t>
            </w:r>
          </w:p>
        </w:tc>
      </w:tr>
      <w:tr w:rsidR="00AC54B8" w:rsidRPr="00AC54B8" w14:paraId="14CF14CF" w14:textId="77777777" w:rsidTr="00AC54B8">
        <w:trPr>
          <w:jc w:val="center"/>
        </w:trPr>
        <w:tc>
          <w:tcPr>
            <w:tcW w:w="3964" w:type="dxa"/>
            <w:tcBorders>
              <w:top w:val="nil"/>
              <w:left w:val="nil"/>
              <w:bottom w:val="single" w:sz="4" w:space="0" w:color="auto"/>
              <w:right w:val="nil"/>
            </w:tcBorders>
            <w:hideMark/>
          </w:tcPr>
          <w:p w14:paraId="6B022214" w14:textId="248A3279" w:rsidR="00AC54B8" w:rsidRPr="0008715F" w:rsidRDefault="0008715F" w:rsidP="00AC54B8">
            <w:pPr>
              <w:tabs>
                <w:tab w:val="left" w:leader="dot" w:pos="9072"/>
              </w:tabs>
              <w:textAlignment w:val="auto"/>
              <w:rPr>
                <w:rFonts w:eastAsia="MS Mincho"/>
                <w:sz w:val="18"/>
                <w:szCs w:val="18"/>
                <w:lang w:val="en-US" w:eastAsia="ja-JP"/>
              </w:rPr>
            </w:pPr>
            <w:r>
              <w:rPr>
                <w:rFonts w:eastAsia="MS Mincho"/>
                <w:sz w:val="18"/>
                <w:szCs w:val="18"/>
                <w:lang w:val="en-US" w:eastAsia="ja-JP"/>
              </w:rPr>
              <w:t>S</w:t>
            </w:r>
            <w:proofErr w:type="spellStart"/>
            <w:r w:rsidR="009772D1" w:rsidRPr="009772D1">
              <w:rPr>
                <w:rFonts w:eastAsia="MS Mincho"/>
                <w:sz w:val="18"/>
                <w:szCs w:val="18"/>
                <w:lang w:val="ru-RU" w:eastAsia="ja-JP"/>
              </w:rPr>
              <w:t>poil</w:t>
            </w:r>
            <w:proofErr w:type="spellEnd"/>
            <w:r w:rsidR="009772D1" w:rsidRPr="009772D1">
              <w:rPr>
                <w:rFonts w:eastAsia="MS Mincho"/>
                <w:sz w:val="18"/>
                <w:szCs w:val="18"/>
                <w:lang w:val="ru-RU" w:eastAsia="ja-JP"/>
              </w:rPr>
              <w:t xml:space="preserve"> </w:t>
            </w:r>
            <w:proofErr w:type="spellStart"/>
            <w:r w:rsidR="009772D1" w:rsidRPr="009772D1">
              <w:rPr>
                <w:rFonts w:eastAsia="MS Mincho"/>
                <w:sz w:val="18"/>
                <w:szCs w:val="18"/>
                <w:lang w:val="ru-RU" w:eastAsia="ja-JP"/>
              </w:rPr>
              <w:t>dump</w:t>
            </w:r>
            <w:proofErr w:type="spellEnd"/>
          </w:p>
        </w:tc>
        <w:tc>
          <w:tcPr>
            <w:tcW w:w="1843" w:type="dxa"/>
            <w:tcBorders>
              <w:top w:val="nil"/>
              <w:left w:val="nil"/>
              <w:bottom w:val="single" w:sz="4" w:space="0" w:color="auto"/>
              <w:right w:val="nil"/>
            </w:tcBorders>
            <w:hideMark/>
          </w:tcPr>
          <w:p w14:paraId="4BE24576" w14:textId="77777777" w:rsidR="00AC54B8" w:rsidRPr="00AC54B8" w:rsidRDefault="00AC54B8" w:rsidP="00AC54B8">
            <w:pPr>
              <w:jc w:val="center"/>
              <w:textAlignment w:val="auto"/>
              <w:rPr>
                <w:sz w:val="18"/>
                <w:szCs w:val="18"/>
              </w:rPr>
            </w:pPr>
            <w:r w:rsidRPr="00AC54B8">
              <w:rPr>
                <w:sz w:val="18"/>
                <w:szCs w:val="18"/>
              </w:rPr>
              <w:t>0.003</w:t>
            </w:r>
          </w:p>
        </w:tc>
        <w:tc>
          <w:tcPr>
            <w:tcW w:w="1843" w:type="dxa"/>
            <w:tcBorders>
              <w:top w:val="nil"/>
              <w:left w:val="nil"/>
              <w:bottom w:val="single" w:sz="4" w:space="0" w:color="auto"/>
              <w:right w:val="nil"/>
            </w:tcBorders>
            <w:hideMark/>
          </w:tcPr>
          <w:p w14:paraId="428FA4CC" w14:textId="77777777" w:rsidR="00AC54B8" w:rsidRPr="00AC54B8" w:rsidRDefault="00AC54B8" w:rsidP="00AC54B8">
            <w:pPr>
              <w:jc w:val="center"/>
              <w:textAlignment w:val="auto"/>
              <w:rPr>
                <w:sz w:val="18"/>
                <w:szCs w:val="18"/>
              </w:rPr>
            </w:pPr>
            <w:r w:rsidRPr="00AC54B8">
              <w:rPr>
                <w:sz w:val="18"/>
                <w:szCs w:val="18"/>
              </w:rPr>
              <w:t>0.003</w:t>
            </w:r>
          </w:p>
        </w:tc>
        <w:tc>
          <w:tcPr>
            <w:tcW w:w="1695" w:type="dxa"/>
            <w:tcBorders>
              <w:top w:val="nil"/>
              <w:left w:val="nil"/>
              <w:bottom w:val="single" w:sz="4" w:space="0" w:color="auto"/>
              <w:right w:val="nil"/>
            </w:tcBorders>
            <w:hideMark/>
          </w:tcPr>
          <w:p w14:paraId="1BB1F34A" w14:textId="77777777" w:rsidR="00AC54B8" w:rsidRPr="00AC54B8" w:rsidRDefault="00AC54B8" w:rsidP="00AC54B8">
            <w:pPr>
              <w:jc w:val="center"/>
              <w:textAlignment w:val="auto"/>
              <w:rPr>
                <w:sz w:val="18"/>
                <w:szCs w:val="18"/>
              </w:rPr>
            </w:pPr>
            <w:r w:rsidRPr="00AC54B8">
              <w:rPr>
                <w:sz w:val="18"/>
                <w:szCs w:val="18"/>
              </w:rPr>
              <w:t>-</w:t>
            </w:r>
          </w:p>
        </w:tc>
      </w:tr>
    </w:tbl>
    <w:p w14:paraId="675E0225" w14:textId="77777777" w:rsidR="00AC54B8" w:rsidRPr="00AC54B8" w:rsidRDefault="00AC54B8" w:rsidP="00AC54B8">
      <w:pPr>
        <w:tabs>
          <w:tab w:val="left" w:leader="dot" w:pos="9072"/>
        </w:tabs>
        <w:spacing w:line="260" w:lineRule="atLeast"/>
        <w:ind w:firstLine="709"/>
        <w:jc w:val="both"/>
        <w:textAlignment w:val="auto"/>
        <w:rPr>
          <w:rFonts w:eastAsia="Calibri"/>
          <w:b/>
          <w:sz w:val="20"/>
          <w:lang w:val="en-US"/>
        </w:rPr>
      </w:pPr>
    </w:p>
    <w:p w14:paraId="1C852115" w14:textId="77777777" w:rsidR="00AC54B8" w:rsidRPr="00AC54B8" w:rsidRDefault="00AC54B8" w:rsidP="00AD68D0">
      <w:pPr>
        <w:tabs>
          <w:tab w:val="left" w:leader="dot" w:pos="9072"/>
        </w:tabs>
        <w:spacing w:line="260" w:lineRule="atLeast"/>
        <w:ind w:firstLine="567"/>
        <w:jc w:val="both"/>
        <w:textAlignment w:val="auto"/>
        <w:rPr>
          <w:b/>
          <w:sz w:val="20"/>
          <w:lang w:val="en-US"/>
        </w:rPr>
      </w:pPr>
      <w:r w:rsidRPr="00AC54B8">
        <w:rPr>
          <w:rFonts w:eastAsia="Calibri"/>
          <w:b/>
          <w:sz w:val="20"/>
          <w:lang w:val="en-US"/>
        </w:rPr>
        <w:lastRenderedPageBreak/>
        <w:t xml:space="preserve">3.3. </w:t>
      </w:r>
      <w:r w:rsidRPr="00AC54B8">
        <w:rPr>
          <w:b/>
          <w:sz w:val="20"/>
          <w:lang w:val="en-US"/>
        </w:rPr>
        <w:t>Economic parameters of reactors and nuclear fuel cycle</w:t>
      </w:r>
    </w:p>
    <w:p w14:paraId="3A52DBBA" w14:textId="77777777" w:rsidR="00AC54B8" w:rsidRPr="00AC54B8" w:rsidRDefault="00AC54B8" w:rsidP="00AC54B8">
      <w:pPr>
        <w:tabs>
          <w:tab w:val="left" w:leader="dot" w:pos="9072"/>
        </w:tabs>
        <w:spacing w:line="260" w:lineRule="atLeast"/>
        <w:ind w:firstLine="709"/>
        <w:jc w:val="both"/>
        <w:textAlignment w:val="auto"/>
        <w:rPr>
          <w:b/>
          <w:sz w:val="20"/>
          <w:lang w:val="en-US"/>
        </w:rPr>
      </w:pPr>
    </w:p>
    <w:p w14:paraId="17C431C9" w14:textId="07019305" w:rsidR="00AC54B8" w:rsidRPr="00AC54B8" w:rsidRDefault="00AC54B8" w:rsidP="00AC54B8">
      <w:pPr>
        <w:overflowPunct/>
        <w:autoSpaceDE/>
        <w:autoSpaceDN/>
        <w:adjustRightInd/>
        <w:spacing w:line="260" w:lineRule="atLeast"/>
        <w:ind w:firstLine="567"/>
        <w:jc w:val="both"/>
        <w:textAlignment w:val="auto"/>
        <w:rPr>
          <w:rFonts w:eastAsia="Calibri"/>
          <w:bCs/>
          <w:sz w:val="20"/>
          <w:lang w:val="en-US"/>
        </w:rPr>
      </w:pPr>
      <w:r w:rsidRPr="00AC54B8">
        <w:rPr>
          <w:rFonts w:eastAsia="Calibri"/>
          <w:bCs/>
          <w:sz w:val="20"/>
          <w:lang w:val="en-US"/>
        </w:rPr>
        <w:t>Preparation of economic characteristics of reactors and nuclear fuel cycle for mode</w:t>
      </w:r>
      <w:r w:rsidR="00E63C5B">
        <w:rPr>
          <w:rFonts w:eastAsia="Calibri"/>
          <w:bCs/>
          <w:sz w:val="20"/>
          <w:lang w:val="en-US"/>
        </w:rPr>
        <w:t>ling is an extremely challenging</w:t>
      </w:r>
      <w:r w:rsidRPr="00AC54B8">
        <w:rPr>
          <w:rFonts w:eastAsia="Calibri"/>
          <w:bCs/>
          <w:sz w:val="20"/>
          <w:lang w:val="en-US"/>
        </w:rPr>
        <w:t xml:space="preserve"> task. The </w:t>
      </w:r>
      <w:r w:rsidRPr="00AC54B8">
        <w:rPr>
          <w:rFonts w:eastAsia="Calibri"/>
          <w:sz w:val="20"/>
          <w:lang w:val="en-US" w:eastAsia="ru-RU"/>
        </w:rPr>
        <w:t>MESSAGE</w:t>
      </w:r>
      <w:r w:rsidRPr="00AC54B8">
        <w:rPr>
          <w:rFonts w:eastAsia="Calibri"/>
          <w:sz w:val="20"/>
          <w:lang w:val="en-US"/>
        </w:rPr>
        <w:t xml:space="preserve"> software package envisages an option to set economic parameters of the system under modeling </w:t>
      </w:r>
      <w:r w:rsidR="00E63C5B" w:rsidRPr="00E63C5B">
        <w:rPr>
          <w:rFonts w:eastAsia="Calibri"/>
          <w:sz w:val="20"/>
          <w:lang w:val="en-US"/>
        </w:rPr>
        <w:t>on an annual basis</w:t>
      </w:r>
      <w:r w:rsidRPr="00AC54B8">
        <w:rPr>
          <w:rFonts w:eastAsia="Calibri"/>
          <w:sz w:val="20"/>
          <w:szCs w:val="16"/>
          <w:lang w:val="en-US" w:eastAsia="ru-RU"/>
        </w:rPr>
        <w:t>; however, the problem consists in uncertainty pertaining to costs and prices within a long time period</w:t>
      </w:r>
      <w:r w:rsidRPr="00AC54B8">
        <w:rPr>
          <w:rFonts w:eastAsia="Calibri"/>
          <w:bCs/>
          <w:sz w:val="20"/>
          <w:lang w:val="en-US"/>
        </w:rPr>
        <w:t xml:space="preserve">. Table 2 shows the </w:t>
      </w:r>
      <w:r w:rsidRPr="00AC54B8">
        <w:rPr>
          <w:rFonts w:eastAsia="Calibri"/>
          <w:sz w:val="20"/>
          <w:lang w:val="en-US"/>
        </w:rPr>
        <w:t>economic parameters</w:t>
      </w:r>
      <w:r w:rsidRPr="00AC54B8">
        <w:rPr>
          <w:rFonts w:eastAsia="Calibri"/>
          <w:bCs/>
          <w:sz w:val="20"/>
          <w:lang w:val="en-US"/>
        </w:rPr>
        <w:t xml:space="preserve"> us</w:t>
      </w:r>
      <w:r w:rsidR="00E63C5B">
        <w:rPr>
          <w:rFonts w:eastAsia="Calibri"/>
          <w:bCs/>
          <w:sz w:val="20"/>
          <w:lang w:val="en-US"/>
        </w:rPr>
        <w:t>ed in the reference case assum</w:t>
      </w:r>
      <w:r w:rsidRPr="00AC54B8">
        <w:rPr>
          <w:rFonts w:eastAsia="Calibri"/>
          <w:bCs/>
          <w:sz w:val="20"/>
          <w:lang w:val="en-US"/>
        </w:rPr>
        <w:t>ed for the study</w:t>
      </w:r>
      <w:r w:rsidR="002046A5">
        <w:rPr>
          <w:rFonts w:eastAsia="Calibri"/>
          <w:bCs/>
          <w:sz w:val="20"/>
          <w:lang w:val="en-US"/>
        </w:rPr>
        <w:t xml:space="preserve"> [8]</w:t>
      </w:r>
      <w:r w:rsidRPr="00AC54B8">
        <w:rPr>
          <w:rFonts w:eastAsia="Calibri"/>
          <w:bCs/>
          <w:sz w:val="20"/>
          <w:lang w:val="en-US"/>
        </w:rPr>
        <w:t>. The effect of possible variations in these characteristics was determined in the input data sensitivity analysis.</w:t>
      </w:r>
    </w:p>
    <w:p w14:paraId="5CB69CDF" w14:textId="77777777" w:rsidR="00AC54B8" w:rsidRPr="00AC54B8" w:rsidRDefault="00AC54B8" w:rsidP="00AC54B8">
      <w:pPr>
        <w:overflowPunct/>
        <w:autoSpaceDE/>
        <w:autoSpaceDN/>
        <w:adjustRightInd/>
        <w:spacing w:line="280" w:lineRule="atLeast"/>
        <w:ind w:left="567" w:right="567"/>
        <w:textAlignment w:val="auto"/>
        <w:outlineLvl w:val="0"/>
        <w:rPr>
          <w:rFonts w:ascii="Times New Roman Bold" w:hAnsi="Times New Roman Bold"/>
          <w:b/>
          <w:caps/>
          <w:sz w:val="24"/>
          <w:lang w:val="en-US"/>
        </w:rPr>
      </w:pPr>
    </w:p>
    <w:p w14:paraId="64AD0155" w14:textId="3DBE3F27" w:rsidR="00AC54B8" w:rsidRPr="002046A5" w:rsidRDefault="00AC54B8" w:rsidP="00AC54B8">
      <w:pPr>
        <w:overflowPunct/>
        <w:autoSpaceDE/>
        <w:autoSpaceDN/>
        <w:adjustRightInd/>
        <w:spacing w:line="260" w:lineRule="atLeast"/>
        <w:jc w:val="center"/>
        <w:textAlignment w:val="auto"/>
        <w:rPr>
          <w:rFonts w:eastAsia="Calibri"/>
          <w:bCs/>
          <w:sz w:val="20"/>
          <w:lang w:val="en-US"/>
        </w:rPr>
      </w:pPr>
      <w:r w:rsidRPr="00AC54B8">
        <w:rPr>
          <w:rFonts w:eastAsia="Calibri"/>
          <w:sz w:val="20"/>
          <w:szCs w:val="16"/>
          <w:lang w:val="en-US" w:eastAsia="ru-RU"/>
        </w:rPr>
        <w:t xml:space="preserve">TABLE 2. </w:t>
      </w:r>
      <w:r w:rsidRPr="00AC54B8">
        <w:rPr>
          <w:rFonts w:eastAsia="Calibri"/>
          <w:sz w:val="20"/>
          <w:szCs w:val="24"/>
          <w:lang w:val="en-US" w:eastAsia="ru-RU"/>
        </w:rPr>
        <w:t>ECONOMIC C</w:t>
      </w:r>
      <w:r w:rsidR="004F4608">
        <w:rPr>
          <w:rFonts w:eastAsia="Calibri"/>
          <w:sz w:val="20"/>
          <w:szCs w:val="24"/>
          <w:lang w:val="en-US" w:eastAsia="ru-RU"/>
        </w:rPr>
        <w:t xml:space="preserve">HARACTERISTICS OF REACTORS AND </w:t>
      </w:r>
      <w:r w:rsidRPr="00900E82">
        <w:rPr>
          <w:rFonts w:eastAsia="Calibri"/>
          <w:sz w:val="20"/>
          <w:szCs w:val="24"/>
          <w:lang w:val="en-US" w:eastAsia="ru-RU"/>
        </w:rPr>
        <w:t>N</w:t>
      </w:r>
      <w:r w:rsidR="004F4608" w:rsidRPr="00900E82">
        <w:rPr>
          <w:rFonts w:eastAsia="Calibri"/>
          <w:sz w:val="20"/>
          <w:szCs w:val="24"/>
          <w:lang w:val="en-US" w:eastAsia="ru-RU"/>
        </w:rPr>
        <w:t>F</w:t>
      </w:r>
      <w:r w:rsidRPr="00900E82">
        <w:rPr>
          <w:rFonts w:eastAsia="Calibri"/>
          <w:sz w:val="20"/>
          <w:szCs w:val="24"/>
          <w:lang w:val="en-US" w:eastAsia="ru-RU"/>
        </w:rPr>
        <w:t>C</w:t>
      </w:r>
      <w:r w:rsidRPr="00AC54B8">
        <w:rPr>
          <w:rFonts w:eastAsia="Calibri"/>
          <w:sz w:val="20"/>
          <w:szCs w:val="24"/>
          <w:lang w:val="en-US" w:eastAsia="ru-RU"/>
        </w:rPr>
        <w:t xml:space="preserve"> ELEMENTS IN THE REFERENCE OPTION</w:t>
      </w:r>
      <w:r w:rsidR="002046A5">
        <w:rPr>
          <w:rFonts w:eastAsia="Calibri"/>
          <w:sz w:val="20"/>
          <w:szCs w:val="24"/>
          <w:lang w:val="en-US" w:eastAsia="ru-RU"/>
        </w:rPr>
        <w:t xml:space="preserve"> </w:t>
      </w:r>
    </w:p>
    <w:p w14:paraId="5C19106A" w14:textId="77777777" w:rsidR="00AC54B8" w:rsidRPr="00AC54B8" w:rsidRDefault="00AC54B8" w:rsidP="00AC54B8">
      <w:pPr>
        <w:tabs>
          <w:tab w:val="left" w:leader="dot" w:pos="9072"/>
        </w:tabs>
        <w:spacing w:line="260" w:lineRule="atLeast"/>
        <w:jc w:val="both"/>
        <w:textAlignment w:val="auto"/>
        <w:rPr>
          <w:lang w:val="en-US"/>
        </w:rPr>
      </w:pPr>
    </w:p>
    <w:tbl>
      <w:tblPr>
        <w:tblW w:w="921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3"/>
        <w:gridCol w:w="1275"/>
        <w:gridCol w:w="1701"/>
        <w:gridCol w:w="1418"/>
        <w:gridCol w:w="1276"/>
        <w:gridCol w:w="1417"/>
      </w:tblGrid>
      <w:tr w:rsidR="00AC54B8" w:rsidRPr="00AC54B8" w14:paraId="58648651" w14:textId="77777777" w:rsidTr="00AC54B8">
        <w:trPr>
          <w:trHeight w:val="450"/>
        </w:trPr>
        <w:tc>
          <w:tcPr>
            <w:tcW w:w="3397" w:type="dxa"/>
            <w:gridSpan w:val="2"/>
            <w:vMerge w:val="restart"/>
            <w:tcBorders>
              <w:top w:val="single" w:sz="4" w:space="0" w:color="auto"/>
              <w:left w:val="nil"/>
              <w:bottom w:val="single" w:sz="4" w:space="0" w:color="auto"/>
              <w:right w:val="nil"/>
            </w:tcBorders>
            <w:hideMark/>
          </w:tcPr>
          <w:p w14:paraId="489799FC" w14:textId="77777777" w:rsidR="00AC54B8" w:rsidRPr="00AC54B8" w:rsidRDefault="00AC54B8" w:rsidP="00AC54B8">
            <w:pPr>
              <w:spacing w:line="256" w:lineRule="auto"/>
              <w:textAlignment w:val="auto"/>
              <w:rPr>
                <w:sz w:val="18"/>
                <w:szCs w:val="18"/>
              </w:rPr>
            </w:pPr>
            <w:r w:rsidRPr="00AC54B8">
              <w:rPr>
                <w:sz w:val="18"/>
                <w:szCs w:val="18"/>
              </w:rPr>
              <w:t>Parameter</w:t>
            </w:r>
          </w:p>
        </w:tc>
        <w:tc>
          <w:tcPr>
            <w:tcW w:w="1701" w:type="dxa"/>
            <w:tcBorders>
              <w:top w:val="single" w:sz="4" w:space="0" w:color="auto"/>
              <w:left w:val="nil"/>
              <w:bottom w:val="single" w:sz="4" w:space="0" w:color="auto"/>
              <w:right w:val="nil"/>
            </w:tcBorders>
            <w:hideMark/>
          </w:tcPr>
          <w:p w14:paraId="7AFB2C77" w14:textId="77777777" w:rsidR="00AC54B8" w:rsidRPr="00AC54B8" w:rsidRDefault="00AC54B8" w:rsidP="00AC54B8">
            <w:pPr>
              <w:spacing w:line="256" w:lineRule="auto"/>
              <w:jc w:val="center"/>
              <w:textAlignment w:val="auto"/>
              <w:rPr>
                <w:sz w:val="18"/>
                <w:szCs w:val="18"/>
                <w:lang w:val="ru-RU"/>
              </w:rPr>
            </w:pPr>
            <w:r w:rsidRPr="00AC54B8">
              <w:rPr>
                <w:sz w:val="18"/>
                <w:szCs w:val="18"/>
              </w:rPr>
              <w:t>NFC</w:t>
            </w:r>
            <w:r w:rsidRPr="00AC54B8">
              <w:rPr>
                <w:sz w:val="18"/>
                <w:szCs w:val="18"/>
                <w:lang w:val="ru-RU"/>
              </w:rPr>
              <w:t xml:space="preserve"> </w:t>
            </w:r>
            <w:proofErr w:type="spellStart"/>
            <w:r w:rsidRPr="00AC54B8">
              <w:rPr>
                <w:sz w:val="18"/>
                <w:szCs w:val="18"/>
                <w:lang w:val="ru-RU"/>
              </w:rPr>
              <w:t>without</w:t>
            </w:r>
            <w:proofErr w:type="spellEnd"/>
            <w:r w:rsidRPr="00AC54B8">
              <w:rPr>
                <w:sz w:val="18"/>
                <w:szCs w:val="18"/>
                <w:lang w:val="ru-RU"/>
              </w:rPr>
              <w:t xml:space="preserve"> SNF </w:t>
            </w:r>
            <w:proofErr w:type="spellStart"/>
            <w:r w:rsidRPr="00AC54B8">
              <w:rPr>
                <w:sz w:val="18"/>
                <w:szCs w:val="18"/>
                <w:lang w:val="ru-RU"/>
              </w:rPr>
              <w:t>reprocessing</w:t>
            </w:r>
            <w:proofErr w:type="spellEnd"/>
          </w:p>
        </w:tc>
        <w:tc>
          <w:tcPr>
            <w:tcW w:w="4111" w:type="dxa"/>
            <w:gridSpan w:val="3"/>
            <w:tcBorders>
              <w:top w:val="single" w:sz="4" w:space="0" w:color="auto"/>
              <w:left w:val="nil"/>
              <w:bottom w:val="single" w:sz="4" w:space="0" w:color="auto"/>
              <w:right w:val="nil"/>
            </w:tcBorders>
            <w:vAlign w:val="center"/>
            <w:hideMark/>
          </w:tcPr>
          <w:p w14:paraId="10E5BBDB" w14:textId="77777777" w:rsidR="00AC54B8" w:rsidRPr="00AC54B8" w:rsidRDefault="00AC54B8" w:rsidP="00AC54B8">
            <w:pPr>
              <w:spacing w:line="256" w:lineRule="auto"/>
              <w:jc w:val="center"/>
              <w:textAlignment w:val="auto"/>
              <w:rPr>
                <w:sz w:val="18"/>
                <w:szCs w:val="18"/>
                <w:lang w:val="ru-RU"/>
              </w:rPr>
            </w:pPr>
            <w:r w:rsidRPr="00AC54B8">
              <w:rPr>
                <w:sz w:val="18"/>
                <w:szCs w:val="18"/>
              </w:rPr>
              <w:t>NFC</w:t>
            </w:r>
            <w:r w:rsidRPr="00AC54B8">
              <w:rPr>
                <w:sz w:val="18"/>
                <w:szCs w:val="18"/>
                <w:lang w:val="ru-RU"/>
              </w:rPr>
              <w:t xml:space="preserve"> </w:t>
            </w:r>
            <w:proofErr w:type="spellStart"/>
            <w:r w:rsidRPr="00AC54B8">
              <w:rPr>
                <w:sz w:val="18"/>
                <w:szCs w:val="18"/>
                <w:lang w:val="ru-RU"/>
              </w:rPr>
              <w:t>with</w:t>
            </w:r>
            <w:proofErr w:type="spellEnd"/>
            <w:r w:rsidRPr="00AC54B8">
              <w:rPr>
                <w:sz w:val="18"/>
                <w:szCs w:val="18"/>
                <w:lang w:val="ru-RU"/>
              </w:rPr>
              <w:t xml:space="preserve"> SNF </w:t>
            </w:r>
            <w:proofErr w:type="spellStart"/>
            <w:r w:rsidRPr="00AC54B8">
              <w:rPr>
                <w:sz w:val="18"/>
                <w:szCs w:val="18"/>
                <w:lang w:val="ru-RU"/>
              </w:rPr>
              <w:t>reprocessing</w:t>
            </w:r>
            <w:proofErr w:type="spellEnd"/>
          </w:p>
        </w:tc>
      </w:tr>
      <w:tr w:rsidR="00AC54B8" w:rsidRPr="00AC54B8" w14:paraId="305DD2D0" w14:textId="77777777" w:rsidTr="00AC54B8">
        <w:trPr>
          <w:trHeight w:val="450"/>
        </w:trPr>
        <w:tc>
          <w:tcPr>
            <w:tcW w:w="4672" w:type="dxa"/>
            <w:gridSpan w:val="2"/>
            <w:vMerge/>
            <w:tcBorders>
              <w:top w:val="single" w:sz="4" w:space="0" w:color="auto"/>
              <w:left w:val="nil"/>
              <w:bottom w:val="single" w:sz="4" w:space="0" w:color="auto"/>
              <w:right w:val="nil"/>
            </w:tcBorders>
            <w:vAlign w:val="center"/>
            <w:hideMark/>
          </w:tcPr>
          <w:p w14:paraId="2381AF63" w14:textId="77777777" w:rsidR="00AC54B8" w:rsidRPr="00AC54B8" w:rsidRDefault="00AC54B8" w:rsidP="00AC54B8">
            <w:pPr>
              <w:overflowPunct/>
              <w:autoSpaceDE/>
              <w:autoSpaceDN/>
              <w:adjustRightInd/>
              <w:spacing w:line="256" w:lineRule="auto"/>
              <w:textAlignment w:val="auto"/>
              <w:rPr>
                <w:sz w:val="18"/>
                <w:szCs w:val="18"/>
              </w:rPr>
            </w:pPr>
          </w:p>
        </w:tc>
        <w:tc>
          <w:tcPr>
            <w:tcW w:w="1701" w:type="dxa"/>
            <w:tcBorders>
              <w:top w:val="single" w:sz="4" w:space="0" w:color="auto"/>
              <w:left w:val="nil"/>
              <w:bottom w:val="single" w:sz="4" w:space="0" w:color="auto"/>
              <w:right w:val="nil"/>
            </w:tcBorders>
            <w:hideMark/>
          </w:tcPr>
          <w:p w14:paraId="41323A43" w14:textId="77777777" w:rsidR="00AC54B8" w:rsidRPr="00AC54B8" w:rsidRDefault="00AC54B8" w:rsidP="00AC54B8">
            <w:pPr>
              <w:spacing w:line="256" w:lineRule="auto"/>
              <w:jc w:val="center"/>
              <w:textAlignment w:val="auto"/>
              <w:rPr>
                <w:sz w:val="18"/>
                <w:szCs w:val="18"/>
                <w:lang w:val="en-US"/>
              </w:rPr>
            </w:pPr>
            <w:r w:rsidRPr="00AC54B8">
              <w:rPr>
                <w:sz w:val="18"/>
                <w:szCs w:val="18"/>
                <w:lang w:val="en-US"/>
              </w:rPr>
              <w:t>LWR-UOX in once-though fuel cycle</w:t>
            </w:r>
          </w:p>
        </w:tc>
        <w:tc>
          <w:tcPr>
            <w:tcW w:w="1418" w:type="dxa"/>
            <w:tcBorders>
              <w:top w:val="single" w:sz="4" w:space="0" w:color="auto"/>
              <w:left w:val="nil"/>
              <w:bottom w:val="single" w:sz="4" w:space="0" w:color="auto"/>
              <w:right w:val="nil"/>
            </w:tcBorders>
            <w:vAlign w:val="center"/>
            <w:hideMark/>
          </w:tcPr>
          <w:p w14:paraId="3EF1F940" w14:textId="77777777" w:rsidR="00AC54B8" w:rsidRPr="00AC54B8" w:rsidRDefault="00AC54B8" w:rsidP="00AC54B8">
            <w:pPr>
              <w:spacing w:line="256" w:lineRule="auto"/>
              <w:jc w:val="center"/>
              <w:textAlignment w:val="auto"/>
              <w:rPr>
                <w:sz w:val="18"/>
                <w:szCs w:val="18"/>
              </w:rPr>
            </w:pPr>
            <w:r w:rsidRPr="00AC54B8">
              <w:rPr>
                <w:sz w:val="18"/>
                <w:szCs w:val="18"/>
                <w:lang w:val="en-US"/>
              </w:rPr>
              <w:t>LWR-UOX</w:t>
            </w:r>
          </w:p>
        </w:tc>
        <w:tc>
          <w:tcPr>
            <w:tcW w:w="1276" w:type="dxa"/>
            <w:tcBorders>
              <w:top w:val="single" w:sz="4" w:space="0" w:color="auto"/>
              <w:left w:val="nil"/>
              <w:bottom w:val="single" w:sz="4" w:space="0" w:color="auto"/>
              <w:right w:val="nil"/>
            </w:tcBorders>
            <w:vAlign w:val="center"/>
            <w:hideMark/>
          </w:tcPr>
          <w:p w14:paraId="63F3EF14" w14:textId="77777777" w:rsidR="00AC54B8" w:rsidRPr="00AC54B8" w:rsidRDefault="00AC54B8" w:rsidP="00AC54B8">
            <w:pPr>
              <w:spacing w:line="256" w:lineRule="auto"/>
              <w:jc w:val="center"/>
              <w:textAlignment w:val="auto"/>
              <w:rPr>
                <w:sz w:val="18"/>
                <w:szCs w:val="18"/>
              </w:rPr>
            </w:pPr>
            <w:r w:rsidRPr="00AC54B8">
              <w:rPr>
                <w:sz w:val="18"/>
                <w:szCs w:val="18"/>
                <w:lang w:val="en-US"/>
              </w:rPr>
              <w:t>LWR-MOX</w:t>
            </w:r>
          </w:p>
        </w:tc>
        <w:tc>
          <w:tcPr>
            <w:tcW w:w="1417" w:type="dxa"/>
            <w:tcBorders>
              <w:top w:val="single" w:sz="4" w:space="0" w:color="auto"/>
              <w:left w:val="nil"/>
              <w:bottom w:val="single" w:sz="4" w:space="0" w:color="auto"/>
              <w:right w:val="nil"/>
            </w:tcBorders>
            <w:vAlign w:val="center"/>
            <w:hideMark/>
          </w:tcPr>
          <w:p w14:paraId="2027C283" w14:textId="77777777" w:rsidR="00AC54B8" w:rsidRPr="00AC54B8" w:rsidRDefault="00AC54B8" w:rsidP="00AC54B8">
            <w:pPr>
              <w:spacing w:line="256" w:lineRule="auto"/>
              <w:jc w:val="center"/>
              <w:textAlignment w:val="auto"/>
              <w:rPr>
                <w:sz w:val="18"/>
                <w:szCs w:val="18"/>
              </w:rPr>
            </w:pPr>
            <w:r w:rsidRPr="00AC54B8">
              <w:rPr>
                <w:sz w:val="18"/>
                <w:szCs w:val="18"/>
              </w:rPr>
              <w:t>FR-MOX</w:t>
            </w:r>
          </w:p>
        </w:tc>
      </w:tr>
      <w:tr w:rsidR="00AC54B8" w:rsidRPr="00AC54B8" w14:paraId="23A96C69" w14:textId="77777777" w:rsidTr="00AC54B8">
        <w:trPr>
          <w:trHeight w:val="380"/>
        </w:trPr>
        <w:tc>
          <w:tcPr>
            <w:tcW w:w="4672" w:type="dxa"/>
            <w:gridSpan w:val="2"/>
            <w:vMerge/>
            <w:tcBorders>
              <w:top w:val="single" w:sz="4" w:space="0" w:color="auto"/>
              <w:left w:val="nil"/>
              <w:bottom w:val="single" w:sz="4" w:space="0" w:color="auto"/>
              <w:right w:val="nil"/>
            </w:tcBorders>
            <w:vAlign w:val="center"/>
            <w:hideMark/>
          </w:tcPr>
          <w:p w14:paraId="1A6D4A62" w14:textId="77777777" w:rsidR="00AC54B8" w:rsidRPr="00AC54B8" w:rsidRDefault="00AC54B8" w:rsidP="00AC54B8">
            <w:pPr>
              <w:overflowPunct/>
              <w:autoSpaceDE/>
              <w:autoSpaceDN/>
              <w:adjustRightInd/>
              <w:spacing w:line="256" w:lineRule="auto"/>
              <w:textAlignment w:val="auto"/>
              <w:rPr>
                <w:sz w:val="18"/>
                <w:szCs w:val="18"/>
              </w:rPr>
            </w:pPr>
          </w:p>
        </w:tc>
        <w:tc>
          <w:tcPr>
            <w:tcW w:w="1701" w:type="dxa"/>
            <w:tcBorders>
              <w:top w:val="single" w:sz="4" w:space="0" w:color="auto"/>
              <w:left w:val="nil"/>
              <w:bottom w:val="single" w:sz="4" w:space="0" w:color="auto"/>
              <w:right w:val="nil"/>
            </w:tcBorders>
            <w:hideMark/>
          </w:tcPr>
          <w:p w14:paraId="6DCB5CC1" w14:textId="77777777" w:rsidR="00AC54B8" w:rsidRPr="00AC54B8" w:rsidRDefault="00AC54B8" w:rsidP="00AC54B8">
            <w:pPr>
              <w:spacing w:before="60" w:line="256" w:lineRule="auto"/>
              <w:jc w:val="center"/>
              <w:textAlignment w:val="auto"/>
              <w:rPr>
                <w:sz w:val="18"/>
                <w:szCs w:val="18"/>
              </w:rPr>
            </w:pPr>
            <w:r w:rsidRPr="00AC54B8">
              <w:rPr>
                <w:sz w:val="18"/>
                <w:szCs w:val="18"/>
              </w:rPr>
              <w:t>2020-2100</w:t>
            </w:r>
          </w:p>
        </w:tc>
        <w:tc>
          <w:tcPr>
            <w:tcW w:w="1418" w:type="dxa"/>
            <w:tcBorders>
              <w:top w:val="single" w:sz="4" w:space="0" w:color="auto"/>
              <w:left w:val="nil"/>
              <w:bottom w:val="single" w:sz="4" w:space="0" w:color="auto"/>
              <w:right w:val="nil"/>
            </w:tcBorders>
            <w:hideMark/>
          </w:tcPr>
          <w:p w14:paraId="2DB23912" w14:textId="77777777" w:rsidR="00AC54B8" w:rsidRPr="00AC54B8" w:rsidRDefault="00AC54B8" w:rsidP="00AC54B8">
            <w:pPr>
              <w:spacing w:before="60" w:line="256" w:lineRule="auto"/>
              <w:jc w:val="center"/>
              <w:textAlignment w:val="auto"/>
              <w:rPr>
                <w:sz w:val="18"/>
                <w:szCs w:val="18"/>
              </w:rPr>
            </w:pPr>
            <w:r w:rsidRPr="00AC54B8">
              <w:rPr>
                <w:sz w:val="18"/>
                <w:szCs w:val="18"/>
              </w:rPr>
              <w:t>2020-2100</w:t>
            </w:r>
          </w:p>
        </w:tc>
        <w:tc>
          <w:tcPr>
            <w:tcW w:w="1276" w:type="dxa"/>
            <w:tcBorders>
              <w:top w:val="single" w:sz="4" w:space="0" w:color="auto"/>
              <w:left w:val="nil"/>
              <w:bottom w:val="single" w:sz="4" w:space="0" w:color="auto"/>
              <w:right w:val="nil"/>
            </w:tcBorders>
            <w:hideMark/>
          </w:tcPr>
          <w:p w14:paraId="2944432E" w14:textId="77777777" w:rsidR="00AC54B8" w:rsidRPr="00AC54B8" w:rsidRDefault="00AC54B8" w:rsidP="00AC54B8">
            <w:pPr>
              <w:spacing w:before="60" w:line="256" w:lineRule="auto"/>
              <w:jc w:val="center"/>
              <w:textAlignment w:val="auto"/>
              <w:rPr>
                <w:sz w:val="18"/>
                <w:szCs w:val="18"/>
              </w:rPr>
            </w:pPr>
            <w:r w:rsidRPr="00AC54B8">
              <w:rPr>
                <w:sz w:val="18"/>
                <w:szCs w:val="18"/>
              </w:rPr>
              <w:t>2020-2100</w:t>
            </w:r>
          </w:p>
        </w:tc>
        <w:tc>
          <w:tcPr>
            <w:tcW w:w="1417" w:type="dxa"/>
            <w:tcBorders>
              <w:top w:val="single" w:sz="4" w:space="0" w:color="auto"/>
              <w:left w:val="nil"/>
              <w:bottom w:val="single" w:sz="4" w:space="0" w:color="auto"/>
              <w:right w:val="nil"/>
            </w:tcBorders>
            <w:hideMark/>
          </w:tcPr>
          <w:p w14:paraId="3AD1F4CF" w14:textId="77777777" w:rsidR="00AC54B8" w:rsidRPr="00AC54B8" w:rsidRDefault="00AC54B8" w:rsidP="00AC54B8">
            <w:pPr>
              <w:spacing w:before="60" w:line="256" w:lineRule="auto"/>
              <w:jc w:val="center"/>
              <w:textAlignment w:val="auto"/>
              <w:rPr>
                <w:sz w:val="18"/>
                <w:szCs w:val="18"/>
              </w:rPr>
            </w:pPr>
            <w:r w:rsidRPr="00AC54B8">
              <w:rPr>
                <w:sz w:val="18"/>
                <w:szCs w:val="18"/>
              </w:rPr>
              <w:t>2020-2100</w:t>
            </w:r>
          </w:p>
        </w:tc>
      </w:tr>
      <w:tr w:rsidR="00AC54B8" w:rsidRPr="00AC54B8" w14:paraId="3B904594" w14:textId="77777777" w:rsidTr="00AC54B8">
        <w:trPr>
          <w:trHeight w:val="288"/>
        </w:trPr>
        <w:tc>
          <w:tcPr>
            <w:tcW w:w="3397" w:type="dxa"/>
            <w:gridSpan w:val="2"/>
            <w:tcBorders>
              <w:top w:val="single" w:sz="4" w:space="0" w:color="auto"/>
              <w:left w:val="nil"/>
              <w:bottom w:val="single" w:sz="4" w:space="0" w:color="auto"/>
              <w:right w:val="nil"/>
            </w:tcBorders>
            <w:vAlign w:val="center"/>
            <w:hideMark/>
          </w:tcPr>
          <w:p w14:paraId="35B0CF5D" w14:textId="77777777" w:rsidR="00AC54B8" w:rsidRPr="00AC54B8" w:rsidRDefault="00AC54B8" w:rsidP="00AC54B8">
            <w:pPr>
              <w:spacing w:line="276" w:lineRule="auto"/>
              <w:textAlignment w:val="auto"/>
              <w:rPr>
                <w:sz w:val="18"/>
                <w:szCs w:val="18"/>
              </w:rPr>
            </w:pPr>
            <w:r w:rsidRPr="00AC54B8">
              <w:rPr>
                <w:sz w:val="18"/>
                <w:szCs w:val="18"/>
              </w:rPr>
              <w:t>Capital cost,</w:t>
            </w:r>
            <w:r w:rsidRPr="00AC54B8">
              <w:rPr>
                <w:sz w:val="18"/>
                <w:szCs w:val="18"/>
                <w:lang w:val="en-US"/>
              </w:rPr>
              <w:t xml:space="preserve"> $</w:t>
            </w:r>
            <w:r w:rsidRPr="00AC54B8">
              <w:rPr>
                <w:sz w:val="18"/>
                <w:szCs w:val="18"/>
              </w:rPr>
              <w:t>/kW(e)</w:t>
            </w:r>
          </w:p>
        </w:tc>
        <w:tc>
          <w:tcPr>
            <w:tcW w:w="1701" w:type="dxa"/>
            <w:tcBorders>
              <w:top w:val="single" w:sz="4" w:space="0" w:color="auto"/>
              <w:left w:val="nil"/>
              <w:bottom w:val="single" w:sz="4" w:space="0" w:color="auto"/>
              <w:right w:val="nil"/>
            </w:tcBorders>
            <w:vAlign w:val="center"/>
            <w:hideMark/>
          </w:tcPr>
          <w:p w14:paraId="5B0FE6BE" w14:textId="77777777" w:rsidR="00AC54B8" w:rsidRPr="00AC54B8" w:rsidRDefault="00AC54B8" w:rsidP="00AC54B8">
            <w:pPr>
              <w:spacing w:line="276" w:lineRule="auto"/>
              <w:jc w:val="center"/>
              <w:textAlignment w:val="auto"/>
              <w:rPr>
                <w:sz w:val="18"/>
                <w:szCs w:val="18"/>
              </w:rPr>
            </w:pPr>
            <w:r w:rsidRPr="00AC54B8">
              <w:rPr>
                <w:sz w:val="18"/>
                <w:szCs w:val="18"/>
              </w:rPr>
              <w:t>3500</w:t>
            </w:r>
          </w:p>
        </w:tc>
        <w:tc>
          <w:tcPr>
            <w:tcW w:w="1418" w:type="dxa"/>
            <w:tcBorders>
              <w:top w:val="single" w:sz="4" w:space="0" w:color="auto"/>
              <w:left w:val="nil"/>
              <w:bottom w:val="single" w:sz="4" w:space="0" w:color="auto"/>
              <w:right w:val="nil"/>
            </w:tcBorders>
            <w:vAlign w:val="center"/>
            <w:hideMark/>
          </w:tcPr>
          <w:p w14:paraId="0C13FD90" w14:textId="77777777" w:rsidR="00AC54B8" w:rsidRPr="00AC54B8" w:rsidRDefault="00AC54B8" w:rsidP="00AC54B8">
            <w:pPr>
              <w:spacing w:line="276" w:lineRule="auto"/>
              <w:jc w:val="center"/>
              <w:textAlignment w:val="auto"/>
              <w:rPr>
                <w:sz w:val="18"/>
                <w:szCs w:val="18"/>
              </w:rPr>
            </w:pPr>
            <w:r w:rsidRPr="00AC54B8">
              <w:rPr>
                <w:sz w:val="18"/>
                <w:szCs w:val="18"/>
              </w:rPr>
              <w:t>3800</w:t>
            </w:r>
          </w:p>
        </w:tc>
        <w:tc>
          <w:tcPr>
            <w:tcW w:w="1276" w:type="dxa"/>
            <w:tcBorders>
              <w:top w:val="single" w:sz="4" w:space="0" w:color="auto"/>
              <w:left w:val="nil"/>
              <w:bottom w:val="single" w:sz="4" w:space="0" w:color="auto"/>
              <w:right w:val="nil"/>
            </w:tcBorders>
            <w:vAlign w:val="center"/>
            <w:hideMark/>
          </w:tcPr>
          <w:p w14:paraId="75F33E6C" w14:textId="77777777" w:rsidR="00AC54B8" w:rsidRPr="00AC54B8" w:rsidRDefault="00AC54B8" w:rsidP="00AC54B8">
            <w:pPr>
              <w:spacing w:line="276" w:lineRule="auto"/>
              <w:jc w:val="center"/>
              <w:textAlignment w:val="auto"/>
              <w:rPr>
                <w:sz w:val="18"/>
                <w:szCs w:val="18"/>
              </w:rPr>
            </w:pPr>
            <w:r w:rsidRPr="00AC54B8">
              <w:rPr>
                <w:sz w:val="18"/>
                <w:szCs w:val="18"/>
              </w:rPr>
              <w:t>3900</w:t>
            </w:r>
          </w:p>
        </w:tc>
        <w:tc>
          <w:tcPr>
            <w:tcW w:w="1417" w:type="dxa"/>
            <w:tcBorders>
              <w:top w:val="single" w:sz="4" w:space="0" w:color="auto"/>
              <w:left w:val="nil"/>
              <w:bottom w:val="single" w:sz="4" w:space="0" w:color="auto"/>
              <w:right w:val="nil"/>
            </w:tcBorders>
            <w:vAlign w:val="center"/>
            <w:hideMark/>
          </w:tcPr>
          <w:p w14:paraId="0FAEAF85" w14:textId="77777777" w:rsidR="00AC54B8" w:rsidRPr="00AC54B8" w:rsidRDefault="00AC54B8" w:rsidP="00AC54B8">
            <w:pPr>
              <w:spacing w:line="276" w:lineRule="auto"/>
              <w:jc w:val="center"/>
              <w:textAlignment w:val="auto"/>
              <w:rPr>
                <w:sz w:val="18"/>
                <w:szCs w:val="18"/>
              </w:rPr>
            </w:pPr>
            <w:r w:rsidRPr="00AC54B8">
              <w:rPr>
                <w:sz w:val="18"/>
                <w:szCs w:val="18"/>
              </w:rPr>
              <w:t>4500</w:t>
            </w:r>
          </w:p>
        </w:tc>
      </w:tr>
      <w:tr w:rsidR="00AC54B8" w:rsidRPr="00AC54B8" w14:paraId="0B6C42AC" w14:textId="77777777" w:rsidTr="00AC54B8">
        <w:tc>
          <w:tcPr>
            <w:tcW w:w="3397" w:type="dxa"/>
            <w:gridSpan w:val="2"/>
            <w:tcBorders>
              <w:top w:val="single" w:sz="4" w:space="0" w:color="auto"/>
              <w:left w:val="nil"/>
              <w:bottom w:val="single" w:sz="4" w:space="0" w:color="auto"/>
              <w:right w:val="nil"/>
            </w:tcBorders>
            <w:vAlign w:val="center"/>
            <w:hideMark/>
          </w:tcPr>
          <w:p w14:paraId="28CA0473" w14:textId="3677D412" w:rsidR="00AC54B8" w:rsidRPr="00AC54B8" w:rsidRDefault="00AC54B8" w:rsidP="00AC54B8">
            <w:pPr>
              <w:spacing w:line="276" w:lineRule="auto"/>
              <w:textAlignment w:val="auto"/>
              <w:rPr>
                <w:sz w:val="18"/>
                <w:szCs w:val="18"/>
              </w:rPr>
            </w:pPr>
            <w:r w:rsidRPr="00AC54B8">
              <w:rPr>
                <w:sz w:val="18"/>
                <w:szCs w:val="18"/>
              </w:rPr>
              <w:t xml:space="preserve">Operation cost, </w:t>
            </w:r>
            <w:r w:rsidRPr="00AC54B8">
              <w:rPr>
                <w:sz w:val="18"/>
                <w:szCs w:val="18"/>
                <w:lang w:val="en-US"/>
              </w:rPr>
              <w:t>$</w:t>
            </w:r>
            <w:r w:rsidR="00E03528">
              <w:rPr>
                <w:sz w:val="18"/>
                <w:szCs w:val="18"/>
              </w:rPr>
              <w:t>/kW y</w:t>
            </w:r>
          </w:p>
        </w:tc>
        <w:tc>
          <w:tcPr>
            <w:tcW w:w="1701" w:type="dxa"/>
            <w:tcBorders>
              <w:top w:val="single" w:sz="4" w:space="0" w:color="auto"/>
              <w:left w:val="nil"/>
              <w:bottom w:val="single" w:sz="4" w:space="0" w:color="auto"/>
              <w:right w:val="nil"/>
            </w:tcBorders>
            <w:vAlign w:val="center"/>
            <w:hideMark/>
          </w:tcPr>
          <w:p w14:paraId="691986C4" w14:textId="77777777" w:rsidR="00AC54B8" w:rsidRPr="00AC54B8" w:rsidRDefault="00AC54B8" w:rsidP="00AC54B8">
            <w:pPr>
              <w:spacing w:line="276" w:lineRule="auto"/>
              <w:jc w:val="center"/>
              <w:textAlignment w:val="auto"/>
              <w:rPr>
                <w:sz w:val="18"/>
                <w:szCs w:val="18"/>
              </w:rPr>
            </w:pPr>
            <w:r w:rsidRPr="00AC54B8">
              <w:rPr>
                <w:sz w:val="18"/>
                <w:szCs w:val="18"/>
              </w:rPr>
              <w:t>54</w:t>
            </w:r>
          </w:p>
        </w:tc>
        <w:tc>
          <w:tcPr>
            <w:tcW w:w="1418" w:type="dxa"/>
            <w:tcBorders>
              <w:top w:val="single" w:sz="4" w:space="0" w:color="auto"/>
              <w:left w:val="nil"/>
              <w:bottom w:val="single" w:sz="4" w:space="0" w:color="auto"/>
              <w:right w:val="nil"/>
            </w:tcBorders>
            <w:vAlign w:val="center"/>
            <w:hideMark/>
          </w:tcPr>
          <w:p w14:paraId="135408FD" w14:textId="77777777" w:rsidR="00AC54B8" w:rsidRPr="00AC54B8" w:rsidRDefault="00AC54B8" w:rsidP="00AC54B8">
            <w:pPr>
              <w:spacing w:line="276" w:lineRule="auto"/>
              <w:jc w:val="center"/>
              <w:textAlignment w:val="auto"/>
              <w:rPr>
                <w:sz w:val="18"/>
                <w:szCs w:val="18"/>
              </w:rPr>
            </w:pPr>
            <w:r w:rsidRPr="00AC54B8">
              <w:rPr>
                <w:sz w:val="18"/>
                <w:szCs w:val="18"/>
              </w:rPr>
              <w:t>54</w:t>
            </w:r>
          </w:p>
        </w:tc>
        <w:tc>
          <w:tcPr>
            <w:tcW w:w="1276" w:type="dxa"/>
            <w:tcBorders>
              <w:top w:val="single" w:sz="4" w:space="0" w:color="auto"/>
              <w:left w:val="nil"/>
              <w:bottom w:val="single" w:sz="4" w:space="0" w:color="auto"/>
              <w:right w:val="nil"/>
            </w:tcBorders>
            <w:vAlign w:val="center"/>
            <w:hideMark/>
          </w:tcPr>
          <w:p w14:paraId="19E98816" w14:textId="77777777" w:rsidR="00AC54B8" w:rsidRPr="00AC54B8" w:rsidRDefault="00AC54B8" w:rsidP="00AC54B8">
            <w:pPr>
              <w:spacing w:line="276" w:lineRule="auto"/>
              <w:jc w:val="center"/>
              <w:textAlignment w:val="auto"/>
              <w:rPr>
                <w:sz w:val="18"/>
                <w:szCs w:val="18"/>
              </w:rPr>
            </w:pPr>
            <w:r w:rsidRPr="00AC54B8">
              <w:rPr>
                <w:sz w:val="18"/>
                <w:szCs w:val="18"/>
              </w:rPr>
              <w:t>54</w:t>
            </w:r>
          </w:p>
        </w:tc>
        <w:tc>
          <w:tcPr>
            <w:tcW w:w="1417" w:type="dxa"/>
            <w:tcBorders>
              <w:top w:val="single" w:sz="4" w:space="0" w:color="auto"/>
              <w:left w:val="nil"/>
              <w:bottom w:val="single" w:sz="4" w:space="0" w:color="auto"/>
              <w:right w:val="nil"/>
            </w:tcBorders>
            <w:vAlign w:val="center"/>
            <w:hideMark/>
          </w:tcPr>
          <w:p w14:paraId="2F1673FB" w14:textId="77777777" w:rsidR="00AC54B8" w:rsidRPr="00AC54B8" w:rsidRDefault="00AC54B8" w:rsidP="00AC54B8">
            <w:pPr>
              <w:spacing w:line="276" w:lineRule="auto"/>
              <w:jc w:val="center"/>
              <w:textAlignment w:val="auto"/>
              <w:rPr>
                <w:sz w:val="18"/>
                <w:szCs w:val="18"/>
              </w:rPr>
            </w:pPr>
            <w:r w:rsidRPr="00AC54B8">
              <w:rPr>
                <w:sz w:val="18"/>
                <w:szCs w:val="18"/>
              </w:rPr>
              <w:t>54</w:t>
            </w:r>
          </w:p>
        </w:tc>
      </w:tr>
      <w:tr w:rsidR="00AC54B8" w:rsidRPr="00AC54B8" w14:paraId="0BEE8069" w14:textId="77777777" w:rsidTr="00AC54B8">
        <w:tc>
          <w:tcPr>
            <w:tcW w:w="3397" w:type="dxa"/>
            <w:gridSpan w:val="2"/>
            <w:tcBorders>
              <w:top w:val="single" w:sz="4" w:space="0" w:color="auto"/>
              <w:left w:val="nil"/>
              <w:bottom w:val="single" w:sz="4" w:space="0" w:color="auto"/>
              <w:right w:val="nil"/>
            </w:tcBorders>
            <w:vAlign w:val="center"/>
            <w:hideMark/>
          </w:tcPr>
          <w:p w14:paraId="534675D5" w14:textId="77777777" w:rsidR="00AC54B8" w:rsidRPr="00AC54B8" w:rsidRDefault="00AC54B8" w:rsidP="00AC54B8">
            <w:pPr>
              <w:spacing w:line="276" w:lineRule="auto"/>
              <w:textAlignment w:val="auto"/>
              <w:rPr>
                <w:sz w:val="18"/>
                <w:szCs w:val="18"/>
              </w:rPr>
            </w:pPr>
            <w:r w:rsidRPr="00AC54B8">
              <w:rPr>
                <w:sz w:val="18"/>
                <w:szCs w:val="18"/>
              </w:rPr>
              <w:t>Conversion,</w:t>
            </w:r>
            <w:r w:rsidRPr="00AC54B8">
              <w:rPr>
                <w:sz w:val="18"/>
                <w:szCs w:val="18"/>
                <w:lang w:val="en-US"/>
              </w:rPr>
              <w:t xml:space="preserve"> $</w:t>
            </w:r>
            <w:r w:rsidRPr="00AC54B8">
              <w:rPr>
                <w:sz w:val="18"/>
                <w:szCs w:val="18"/>
              </w:rPr>
              <w:t>/kg U</w:t>
            </w:r>
          </w:p>
        </w:tc>
        <w:tc>
          <w:tcPr>
            <w:tcW w:w="1701" w:type="dxa"/>
            <w:tcBorders>
              <w:top w:val="single" w:sz="4" w:space="0" w:color="auto"/>
              <w:left w:val="nil"/>
              <w:bottom w:val="single" w:sz="4" w:space="0" w:color="auto"/>
              <w:right w:val="nil"/>
            </w:tcBorders>
            <w:vAlign w:val="center"/>
            <w:hideMark/>
          </w:tcPr>
          <w:p w14:paraId="512352CE" w14:textId="77777777" w:rsidR="00AC54B8" w:rsidRPr="00AC54B8" w:rsidRDefault="00AC54B8" w:rsidP="00AC54B8">
            <w:pPr>
              <w:spacing w:line="276" w:lineRule="auto"/>
              <w:jc w:val="center"/>
              <w:textAlignment w:val="auto"/>
              <w:rPr>
                <w:sz w:val="18"/>
                <w:szCs w:val="18"/>
              </w:rPr>
            </w:pPr>
            <w:r w:rsidRPr="00AC54B8">
              <w:rPr>
                <w:sz w:val="18"/>
                <w:szCs w:val="18"/>
              </w:rPr>
              <w:t>17</w:t>
            </w:r>
          </w:p>
        </w:tc>
        <w:tc>
          <w:tcPr>
            <w:tcW w:w="1418" w:type="dxa"/>
            <w:tcBorders>
              <w:top w:val="single" w:sz="4" w:space="0" w:color="auto"/>
              <w:left w:val="nil"/>
              <w:bottom w:val="single" w:sz="4" w:space="0" w:color="auto"/>
              <w:right w:val="nil"/>
            </w:tcBorders>
            <w:vAlign w:val="center"/>
            <w:hideMark/>
          </w:tcPr>
          <w:p w14:paraId="532C8E4A" w14:textId="77777777" w:rsidR="00AC54B8" w:rsidRPr="00AC54B8" w:rsidRDefault="00AC54B8" w:rsidP="00AC54B8">
            <w:pPr>
              <w:spacing w:line="276" w:lineRule="auto"/>
              <w:jc w:val="center"/>
              <w:textAlignment w:val="auto"/>
              <w:rPr>
                <w:sz w:val="18"/>
                <w:szCs w:val="18"/>
              </w:rPr>
            </w:pPr>
            <w:r w:rsidRPr="00AC54B8">
              <w:rPr>
                <w:sz w:val="18"/>
                <w:szCs w:val="18"/>
              </w:rPr>
              <w:t>17</w:t>
            </w:r>
          </w:p>
        </w:tc>
        <w:tc>
          <w:tcPr>
            <w:tcW w:w="1276" w:type="dxa"/>
            <w:tcBorders>
              <w:top w:val="single" w:sz="4" w:space="0" w:color="auto"/>
              <w:left w:val="nil"/>
              <w:bottom w:val="single" w:sz="4" w:space="0" w:color="auto"/>
              <w:right w:val="nil"/>
            </w:tcBorders>
            <w:vAlign w:val="center"/>
            <w:hideMark/>
          </w:tcPr>
          <w:p w14:paraId="6F5B8479" w14:textId="77777777" w:rsidR="00AC54B8" w:rsidRPr="00AC54B8" w:rsidRDefault="00AC54B8" w:rsidP="00AC54B8">
            <w:pPr>
              <w:spacing w:line="276" w:lineRule="auto"/>
              <w:jc w:val="center"/>
              <w:textAlignment w:val="auto"/>
              <w:rPr>
                <w:sz w:val="18"/>
                <w:szCs w:val="18"/>
              </w:rPr>
            </w:pPr>
            <w:r w:rsidRPr="00AC54B8">
              <w:rPr>
                <w:sz w:val="18"/>
                <w:szCs w:val="18"/>
              </w:rPr>
              <w:t>17</w:t>
            </w:r>
          </w:p>
        </w:tc>
        <w:tc>
          <w:tcPr>
            <w:tcW w:w="1417" w:type="dxa"/>
            <w:tcBorders>
              <w:top w:val="single" w:sz="4" w:space="0" w:color="auto"/>
              <w:left w:val="nil"/>
              <w:bottom w:val="single" w:sz="4" w:space="0" w:color="auto"/>
              <w:right w:val="nil"/>
            </w:tcBorders>
            <w:hideMark/>
          </w:tcPr>
          <w:p w14:paraId="24F5FCC3" w14:textId="77777777" w:rsidR="00AC54B8" w:rsidRPr="00AC54B8" w:rsidRDefault="00AC54B8" w:rsidP="00AC54B8">
            <w:pPr>
              <w:spacing w:line="276" w:lineRule="auto"/>
              <w:jc w:val="center"/>
              <w:textAlignment w:val="auto"/>
              <w:rPr>
                <w:sz w:val="18"/>
                <w:szCs w:val="18"/>
              </w:rPr>
            </w:pPr>
            <w:r w:rsidRPr="00AC54B8">
              <w:rPr>
                <w:sz w:val="18"/>
                <w:szCs w:val="18"/>
              </w:rPr>
              <w:t>-</w:t>
            </w:r>
          </w:p>
        </w:tc>
      </w:tr>
      <w:tr w:rsidR="00AC54B8" w:rsidRPr="00AC54B8" w14:paraId="37BDFED2" w14:textId="77777777" w:rsidTr="00AC54B8">
        <w:tc>
          <w:tcPr>
            <w:tcW w:w="2122" w:type="dxa"/>
            <w:vMerge w:val="restart"/>
            <w:tcBorders>
              <w:top w:val="single" w:sz="4" w:space="0" w:color="auto"/>
              <w:left w:val="nil"/>
              <w:bottom w:val="single" w:sz="4" w:space="0" w:color="auto"/>
              <w:right w:val="nil"/>
            </w:tcBorders>
            <w:vAlign w:val="center"/>
            <w:hideMark/>
          </w:tcPr>
          <w:p w14:paraId="57C0FF21" w14:textId="77777777" w:rsidR="00AC54B8" w:rsidRPr="00AC54B8" w:rsidRDefault="00AC54B8" w:rsidP="00AC54B8">
            <w:pPr>
              <w:spacing w:line="276" w:lineRule="auto"/>
              <w:textAlignment w:val="auto"/>
              <w:rPr>
                <w:sz w:val="18"/>
                <w:szCs w:val="18"/>
                <w:highlight w:val="yellow"/>
              </w:rPr>
            </w:pPr>
            <w:r w:rsidRPr="00AC54B8">
              <w:rPr>
                <w:sz w:val="18"/>
                <w:szCs w:val="18"/>
              </w:rPr>
              <w:t>Natural uranium cost,</w:t>
            </w:r>
            <w:r w:rsidRPr="00AC54B8">
              <w:rPr>
                <w:sz w:val="18"/>
                <w:szCs w:val="18"/>
                <w:lang w:val="en-US"/>
              </w:rPr>
              <w:t xml:space="preserve"> $</w:t>
            </w:r>
            <w:r w:rsidRPr="00AC54B8">
              <w:rPr>
                <w:sz w:val="18"/>
                <w:szCs w:val="18"/>
              </w:rPr>
              <w:t>/kg</w:t>
            </w:r>
          </w:p>
        </w:tc>
        <w:tc>
          <w:tcPr>
            <w:tcW w:w="1275" w:type="dxa"/>
            <w:tcBorders>
              <w:top w:val="single" w:sz="4" w:space="0" w:color="auto"/>
              <w:left w:val="nil"/>
              <w:bottom w:val="single" w:sz="4" w:space="0" w:color="auto"/>
              <w:right w:val="nil"/>
            </w:tcBorders>
            <w:vAlign w:val="center"/>
            <w:hideMark/>
          </w:tcPr>
          <w:p w14:paraId="22087DAA" w14:textId="77777777" w:rsidR="00AC54B8" w:rsidRPr="00AC54B8" w:rsidRDefault="00AC54B8" w:rsidP="00AC54B8">
            <w:pPr>
              <w:spacing w:line="276" w:lineRule="auto"/>
              <w:textAlignment w:val="auto"/>
              <w:rPr>
                <w:sz w:val="18"/>
                <w:szCs w:val="18"/>
                <w:highlight w:val="yellow"/>
              </w:rPr>
            </w:pPr>
            <w:r w:rsidRPr="00AC54B8">
              <w:rPr>
                <w:sz w:val="18"/>
                <w:szCs w:val="18"/>
              </w:rPr>
              <w:t>category a</w:t>
            </w:r>
          </w:p>
        </w:tc>
        <w:tc>
          <w:tcPr>
            <w:tcW w:w="1701" w:type="dxa"/>
            <w:tcBorders>
              <w:top w:val="single" w:sz="4" w:space="0" w:color="auto"/>
              <w:left w:val="nil"/>
              <w:bottom w:val="single" w:sz="4" w:space="0" w:color="auto"/>
              <w:right w:val="nil"/>
            </w:tcBorders>
            <w:hideMark/>
          </w:tcPr>
          <w:p w14:paraId="3AC9B315" w14:textId="77777777" w:rsidR="00AC54B8" w:rsidRPr="00AC54B8" w:rsidRDefault="00AC54B8" w:rsidP="00AC54B8">
            <w:pPr>
              <w:spacing w:line="276" w:lineRule="auto"/>
              <w:jc w:val="center"/>
              <w:textAlignment w:val="auto"/>
              <w:rPr>
                <w:sz w:val="18"/>
                <w:szCs w:val="18"/>
              </w:rPr>
            </w:pPr>
            <w:r w:rsidRPr="00AC54B8">
              <w:rPr>
                <w:sz w:val="18"/>
                <w:szCs w:val="18"/>
              </w:rPr>
              <w:t>80</w:t>
            </w:r>
          </w:p>
        </w:tc>
        <w:tc>
          <w:tcPr>
            <w:tcW w:w="1418" w:type="dxa"/>
            <w:tcBorders>
              <w:top w:val="single" w:sz="4" w:space="0" w:color="auto"/>
              <w:left w:val="nil"/>
              <w:bottom w:val="single" w:sz="4" w:space="0" w:color="auto"/>
              <w:right w:val="nil"/>
            </w:tcBorders>
            <w:hideMark/>
          </w:tcPr>
          <w:p w14:paraId="66E7FBAD" w14:textId="77777777" w:rsidR="00AC54B8" w:rsidRPr="00AC54B8" w:rsidRDefault="00AC54B8" w:rsidP="00AC54B8">
            <w:pPr>
              <w:spacing w:line="276" w:lineRule="auto"/>
              <w:jc w:val="center"/>
              <w:textAlignment w:val="auto"/>
              <w:rPr>
                <w:sz w:val="18"/>
                <w:szCs w:val="18"/>
              </w:rPr>
            </w:pPr>
            <w:r w:rsidRPr="00AC54B8">
              <w:rPr>
                <w:sz w:val="18"/>
                <w:szCs w:val="18"/>
              </w:rPr>
              <w:t>80</w:t>
            </w:r>
          </w:p>
        </w:tc>
        <w:tc>
          <w:tcPr>
            <w:tcW w:w="1276" w:type="dxa"/>
            <w:tcBorders>
              <w:top w:val="single" w:sz="4" w:space="0" w:color="auto"/>
              <w:left w:val="nil"/>
              <w:bottom w:val="single" w:sz="4" w:space="0" w:color="auto"/>
              <w:right w:val="nil"/>
            </w:tcBorders>
            <w:hideMark/>
          </w:tcPr>
          <w:p w14:paraId="6CAF0DE3" w14:textId="77777777" w:rsidR="00AC54B8" w:rsidRPr="00AC54B8" w:rsidRDefault="00AC54B8" w:rsidP="00AC54B8">
            <w:pPr>
              <w:spacing w:line="276" w:lineRule="auto"/>
              <w:jc w:val="center"/>
              <w:textAlignment w:val="auto"/>
              <w:rPr>
                <w:sz w:val="18"/>
                <w:szCs w:val="18"/>
              </w:rPr>
            </w:pPr>
            <w:r w:rsidRPr="00AC54B8">
              <w:rPr>
                <w:sz w:val="18"/>
                <w:szCs w:val="18"/>
              </w:rPr>
              <w:t>80</w:t>
            </w:r>
          </w:p>
        </w:tc>
        <w:tc>
          <w:tcPr>
            <w:tcW w:w="1417" w:type="dxa"/>
            <w:tcBorders>
              <w:top w:val="single" w:sz="4" w:space="0" w:color="auto"/>
              <w:left w:val="nil"/>
              <w:bottom w:val="single" w:sz="4" w:space="0" w:color="auto"/>
              <w:right w:val="nil"/>
            </w:tcBorders>
            <w:hideMark/>
          </w:tcPr>
          <w:p w14:paraId="12B4A8D7" w14:textId="77777777" w:rsidR="00AC54B8" w:rsidRPr="00AC54B8" w:rsidRDefault="00AC54B8" w:rsidP="00AC54B8">
            <w:pPr>
              <w:spacing w:line="276" w:lineRule="auto"/>
              <w:jc w:val="center"/>
              <w:textAlignment w:val="auto"/>
              <w:rPr>
                <w:sz w:val="18"/>
                <w:szCs w:val="18"/>
              </w:rPr>
            </w:pPr>
            <w:r w:rsidRPr="00AC54B8">
              <w:rPr>
                <w:sz w:val="18"/>
                <w:szCs w:val="18"/>
              </w:rPr>
              <w:t>80</w:t>
            </w:r>
          </w:p>
        </w:tc>
      </w:tr>
      <w:tr w:rsidR="00AC54B8" w:rsidRPr="00AC54B8" w14:paraId="30D1EE64" w14:textId="77777777" w:rsidTr="00AC54B8">
        <w:tc>
          <w:tcPr>
            <w:tcW w:w="3397" w:type="dxa"/>
            <w:vMerge/>
            <w:tcBorders>
              <w:top w:val="single" w:sz="4" w:space="0" w:color="auto"/>
              <w:left w:val="nil"/>
              <w:bottom w:val="single" w:sz="4" w:space="0" w:color="auto"/>
              <w:right w:val="nil"/>
            </w:tcBorders>
            <w:vAlign w:val="center"/>
            <w:hideMark/>
          </w:tcPr>
          <w:p w14:paraId="0EE59968" w14:textId="77777777" w:rsidR="00AC54B8" w:rsidRPr="00AC54B8" w:rsidRDefault="00AC54B8" w:rsidP="00AC54B8">
            <w:pPr>
              <w:overflowPunct/>
              <w:autoSpaceDE/>
              <w:autoSpaceDN/>
              <w:adjustRightInd/>
              <w:spacing w:line="256" w:lineRule="auto"/>
              <w:textAlignment w:val="auto"/>
              <w:rPr>
                <w:sz w:val="18"/>
                <w:szCs w:val="18"/>
                <w:highlight w:val="yellow"/>
              </w:rPr>
            </w:pPr>
          </w:p>
        </w:tc>
        <w:tc>
          <w:tcPr>
            <w:tcW w:w="1275" w:type="dxa"/>
            <w:tcBorders>
              <w:top w:val="single" w:sz="4" w:space="0" w:color="auto"/>
              <w:left w:val="nil"/>
              <w:bottom w:val="single" w:sz="4" w:space="0" w:color="auto"/>
              <w:right w:val="nil"/>
            </w:tcBorders>
            <w:vAlign w:val="center"/>
            <w:hideMark/>
          </w:tcPr>
          <w:p w14:paraId="193AD977" w14:textId="77777777" w:rsidR="00AC54B8" w:rsidRPr="00AC54B8" w:rsidRDefault="00AC54B8" w:rsidP="00AC54B8">
            <w:pPr>
              <w:spacing w:line="276" w:lineRule="auto"/>
              <w:textAlignment w:val="auto"/>
              <w:rPr>
                <w:sz w:val="18"/>
                <w:szCs w:val="18"/>
              </w:rPr>
            </w:pPr>
            <w:r w:rsidRPr="00AC54B8">
              <w:rPr>
                <w:sz w:val="18"/>
                <w:szCs w:val="18"/>
              </w:rPr>
              <w:t xml:space="preserve">category </w:t>
            </w:r>
            <w:r w:rsidRPr="00AC54B8">
              <w:rPr>
                <w:sz w:val="18"/>
                <w:szCs w:val="18"/>
                <w:lang w:val="en-US"/>
              </w:rPr>
              <w:t>b</w:t>
            </w:r>
          </w:p>
        </w:tc>
        <w:tc>
          <w:tcPr>
            <w:tcW w:w="1701" w:type="dxa"/>
            <w:tcBorders>
              <w:top w:val="single" w:sz="4" w:space="0" w:color="auto"/>
              <w:left w:val="nil"/>
              <w:bottom w:val="single" w:sz="4" w:space="0" w:color="auto"/>
              <w:right w:val="nil"/>
            </w:tcBorders>
            <w:hideMark/>
          </w:tcPr>
          <w:p w14:paraId="01B563EE" w14:textId="77777777" w:rsidR="00AC54B8" w:rsidRPr="00AC54B8" w:rsidRDefault="00AC54B8" w:rsidP="00AC54B8">
            <w:pPr>
              <w:spacing w:line="276" w:lineRule="auto"/>
              <w:jc w:val="center"/>
              <w:textAlignment w:val="auto"/>
              <w:rPr>
                <w:sz w:val="18"/>
                <w:szCs w:val="18"/>
              </w:rPr>
            </w:pPr>
            <w:r w:rsidRPr="00AC54B8">
              <w:rPr>
                <w:sz w:val="18"/>
                <w:szCs w:val="18"/>
              </w:rPr>
              <w:t>300</w:t>
            </w:r>
          </w:p>
        </w:tc>
        <w:tc>
          <w:tcPr>
            <w:tcW w:w="1418" w:type="dxa"/>
            <w:tcBorders>
              <w:top w:val="single" w:sz="4" w:space="0" w:color="auto"/>
              <w:left w:val="nil"/>
              <w:bottom w:val="single" w:sz="4" w:space="0" w:color="auto"/>
              <w:right w:val="nil"/>
            </w:tcBorders>
            <w:hideMark/>
          </w:tcPr>
          <w:p w14:paraId="26C74FB2" w14:textId="77777777" w:rsidR="00AC54B8" w:rsidRPr="00AC54B8" w:rsidRDefault="00AC54B8" w:rsidP="00AC54B8">
            <w:pPr>
              <w:spacing w:line="276" w:lineRule="auto"/>
              <w:jc w:val="center"/>
              <w:textAlignment w:val="auto"/>
              <w:rPr>
                <w:sz w:val="18"/>
                <w:szCs w:val="18"/>
              </w:rPr>
            </w:pPr>
            <w:r w:rsidRPr="00AC54B8">
              <w:rPr>
                <w:sz w:val="18"/>
                <w:szCs w:val="18"/>
              </w:rPr>
              <w:t>300</w:t>
            </w:r>
          </w:p>
        </w:tc>
        <w:tc>
          <w:tcPr>
            <w:tcW w:w="1276" w:type="dxa"/>
            <w:tcBorders>
              <w:top w:val="single" w:sz="4" w:space="0" w:color="auto"/>
              <w:left w:val="nil"/>
              <w:bottom w:val="single" w:sz="4" w:space="0" w:color="auto"/>
              <w:right w:val="nil"/>
            </w:tcBorders>
            <w:hideMark/>
          </w:tcPr>
          <w:p w14:paraId="474915EA" w14:textId="77777777" w:rsidR="00AC54B8" w:rsidRPr="00AC54B8" w:rsidRDefault="00AC54B8" w:rsidP="00AC54B8">
            <w:pPr>
              <w:spacing w:line="276" w:lineRule="auto"/>
              <w:jc w:val="center"/>
              <w:textAlignment w:val="auto"/>
              <w:rPr>
                <w:sz w:val="18"/>
                <w:szCs w:val="18"/>
              </w:rPr>
            </w:pPr>
            <w:r w:rsidRPr="00AC54B8">
              <w:rPr>
                <w:sz w:val="18"/>
                <w:szCs w:val="18"/>
              </w:rPr>
              <w:t>300</w:t>
            </w:r>
          </w:p>
        </w:tc>
        <w:tc>
          <w:tcPr>
            <w:tcW w:w="1417" w:type="dxa"/>
            <w:tcBorders>
              <w:top w:val="single" w:sz="4" w:space="0" w:color="auto"/>
              <w:left w:val="nil"/>
              <w:bottom w:val="single" w:sz="4" w:space="0" w:color="auto"/>
              <w:right w:val="nil"/>
            </w:tcBorders>
            <w:hideMark/>
          </w:tcPr>
          <w:p w14:paraId="59DA8FF7" w14:textId="77777777" w:rsidR="00AC54B8" w:rsidRPr="00AC54B8" w:rsidRDefault="00AC54B8" w:rsidP="00AC54B8">
            <w:pPr>
              <w:spacing w:line="276" w:lineRule="auto"/>
              <w:jc w:val="center"/>
              <w:textAlignment w:val="auto"/>
              <w:rPr>
                <w:sz w:val="18"/>
                <w:szCs w:val="18"/>
              </w:rPr>
            </w:pPr>
            <w:r w:rsidRPr="00AC54B8">
              <w:rPr>
                <w:sz w:val="18"/>
                <w:szCs w:val="18"/>
              </w:rPr>
              <w:t>300</w:t>
            </w:r>
          </w:p>
        </w:tc>
      </w:tr>
      <w:tr w:rsidR="00AC54B8" w:rsidRPr="00AC54B8" w14:paraId="4E3F7724" w14:textId="77777777" w:rsidTr="00AC54B8">
        <w:tc>
          <w:tcPr>
            <w:tcW w:w="3397" w:type="dxa"/>
            <w:gridSpan w:val="2"/>
            <w:tcBorders>
              <w:top w:val="single" w:sz="4" w:space="0" w:color="auto"/>
              <w:left w:val="nil"/>
              <w:bottom w:val="single" w:sz="4" w:space="0" w:color="auto"/>
              <w:right w:val="nil"/>
            </w:tcBorders>
            <w:vAlign w:val="center"/>
            <w:hideMark/>
          </w:tcPr>
          <w:p w14:paraId="00B34F3E" w14:textId="77777777" w:rsidR="00AC54B8" w:rsidRPr="00AC54B8" w:rsidRDefault="00AC54B8" w:rsidP="00AC54B8">
            <w:pPr>
              <w:spacing w:line="276" w:lineRule="auto"/>
              <w:textAlignment w:val="auto"/>
              <w:rPr>
                <w:sz w:val="18"/>
                <w:szCs w:val="18"/>
              </w:rPr>
            </w:pPr>
            <w:r w:rsidRPr="00AC54B8">
              <w:rPr>
                <w:sz w:val="18"/>
                <w:szCs w:val="18"/>
              </w:rPr>
              <w:t>Enrichment,</w:t>
            </w:r>
            <w:r w:rsidRPr="00AC54B8">
              <w:rPr>
                <w:sz w:val="18"/>
                <w:szCs w:val="18"/>
                <w:lang w:val="en-US"/>
              </w:rPr>
              <w:t xml:space="preserve"> $</w:t>
            </w:r>
            <w:r w:rsidRPr="00AC54B8">
              <w:rPr>
                <w:sz w:val="18"/>
                <w:szCs w:val="18"/>
              </w:rPr>
              <w:t>/kg SWU</w:t>
            </w:r>
          </w:p>
        </w:tc>
        <w:tc>
          <w:tcPr>
            <w:tcW w:w="1701" w:type="dxa"/>
            <w:tcBorders>
              <w:top w:val="single" w:sz="4" w:space="0" w:color="auto"/>
              <w:left w:val="nil"/>
              <w:bottom w:val="single" w:sz="4" w:space="0" w:color="auto"/>
              <w:right w:val="nil"/>
            </w:tcBorders>
            <w:vAlign w:val="center"/>
            <w:hideMark/>
          </w:tcPr>
          <w:p w14:paraId="79F3B9FD"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418" w:type="dxa"/>
            <w:tcBorders>
              <w:top w:val="single" w:sz="4" w:space="0" w:color="auto"/>
              <w:left w:val="nil"/>
              <w:bottom w:val="single" w:sz="4" w:space="0" w:color="auto"/>
              <w:right w:val="nil"/>
            </w:tcBorders>
            <w:vAlign w:val="center"/>
            <w:hideMark/>
          </w:tcPr>
          <w:p w14:paraId="16330F28"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276" w:type="dxa"/>
            <w:tcBorders>
              <w:top w:val="single" w:sz="4" w:space="0" w:color="auto"/>
              <w:left w:val="nil"/>
              <w:bottom w:val="single" w:sz="4" w:space="0" w:color="auto"/>
              <w:right w:val="nil"/>
            </w:tcBorders>
            <w:vAlign w:val="center"/>
            <w:hideMark/>
          </w:tcPr>
          <w:p w14:paraId="3FD9344B"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417" w:type="dxa"/>
            <w:tcBorders>
              <w:top w:val="single" w:sz="4" w:space="0" w:color="auto"/>
              <w:left w:val="nil"/>
              <w:bottom w:val="single" w:sz="4" w:space="0" w:color="auto"/>
              <w:right w:val="nil"/>
            </w:tcBorders>
            <w:hideMark/>
          </w:tcPr>
          <w:p w14:paraId="0AB7F505" w14:textId="77777777" w:rsidR="00AC54B8" w:rsidRPr="00AC54B8" w:rsidRDefault="00AC54B8" w:rsidP="00AC54B8">
            <w:pPr>
              <w:spacing w:line="276" w:lineRule="auto"/>
              <w:jc w:val="center"/>
              <w:textAlignment w:val="auto"/>
              <w:rPr>
                <w:sz w:val="18"/>
                <w:szCs w:val="18"/>
              </w:rPr>
            </w:pPr>
            <w:r w:rsidRPr="00AC54B8">
              <w:rPr>
                <w:sz w:val="18"/>
                <w:szCs w:val="18"/>
              </w:rPr>
              <w:t>-</w:t>
            </w:r>
          </w:p>
        </w:tc>
      </w:tr>
      <w:tr w:rsidR="00AC54B8" w:rsidRPr="00AC54B8" w14:paraId="55DA29A4" w14:textId="77777777" w:rsidTr="00AC54B8">
        <w:trPr>
          <w:trHeight w:val="340"/>
        </w:trPr>
        <w:tc>
          <w:tcPr>
            <w:tcW w:w="3397" w:type="dxa"/>
            <w:gridSpan w:val="2"/>
            <w:tcBorders>
              <w:top w:val="single" w:sz="4" w:space="0" w:color="auto"/>
              <w:left w:val="nil"/>
              <w:bottom w:val="single" w:sz="4" w:space="0" w:color="auto"/>
              <w:right w:val="nil"/>
            </w:tcBorders>
            <w:vAlign w:val="center"/>
            <w:hideMark/>
          </w:tcPr>
          <w:p w14:paraId="73CA6E00" w14:textId="38DD5B41" w:rsidR="00AC54B8" w:rsidRPr="00AC54B8" w:rsidRDefault="00387948" w:rsidP="00656CB6">
            <w:pPr>
              <w:spacing w:line="276" w:lineRule="auto"/>
              <w:textAlignment w:val="auto"/>
              <w:rPr>
                <w:sz w:val="18"/>
                <w:szCs w:val="18"/>
                <w:lang w:val="en-US"/>
              </w:rPr>
            </w:pPr>
            <w:r>
              <w:rPr>
                <w:sz w:val="18"/>
                <w:szCs w:val="18"/>
                <w:lang w:val="en-US"/>
              </w:rPr>
              <w:t xml:space="preserve">Fuel fabrication, $/kg </w:t>
            </w:r>
            <w:r w:rsidR="00656CB6">
              <w:rPr>
                <w:sz w:val="18"/>
                <w:szCs w:val="18"/>
                <w:lang w:val="en-US"/>
              </w:rPr>
              <w:t>HM</w:t>
            </w:r>
            <w:r w:rsidR="00AC54B8" w:rsidRPr="00AC54B8">
              <w:rPr>
                <w:sz w:val="18"/>
                <w:szCs w:val="18"/>
                <w:lang w:val="en-US"/>
              </w:rPr>
              <w:t xml:space="preserve"> </w:t>
            </w:r>
          </w:p>
        </w:tc>
        <w:tc>
          <w:tcPr>
            <w:tcW w:w="1701" w:type="dxa"/>
            <w:tcBorders>
              <w:top w:val="single" w:sz="4" w:space="0" w:color="auto"/>
              <w:left w:val="nil"/>
              <w:bottom w:val="single" w:sz="4" w:space="0" w:color="auto"/>
              <w:right w:val="nil"/>
            </w:tcBorders>
            <w:vAlign w:val="center"/>
            <w:hideMark/>
          </w:tcPr>
          <w:p w14:paraId="37EAF29B"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300</w:t>
            </w:r>
          </w:p>
        </w:tc>
        <w:tc>
          <w:tcPr>
            <w:tcW w:w="1418" w:type="dxa"/>
            <w:tcBorders>
              <w:top w:val="single" w:sz="4" w:space="0" w:color="auto"/>
              <w:left w:val="nil"/>
              <w:bottom w:val="single" w:sz="4" w:space="0" w:color="auto"/>
              <w:right w:val="nil"/>
            </w:tcBorders>
            <w:vAlign w:val="center"/>
            <w:hideMark/>
          </w:tcPr>
          <w:p w14:paraId="4B6A00D8"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300</w:t>
            </w:r>
          </w:p>
        </w:tc>
        <w:tc>
          <w:tcPr>
            <w:tcW w:w="1276" w:type="dxa"/>
            <w:tcBorders>
              <w:top w:val="single" w:sz="4" w:space="0" w:color="auto"/>
              <w:left w:val="nil"/>
              <w:bottom w:val="single" w:sz="4" w:space="0" w:color="auto"/>
              <w:right w:val="nil"/>
            </w:tcBorders>
            <w:vAlign w:val="center"/>
            <w:hideMark/>
          </w:tcPr>
          <w:p w14:paraId="3CAF44D2"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600</w:t>
            </w:r>
          </w:p>
        </w:tc>
        <w:tc>
          <w:tcPr>
            <w:tcW w:w="1417" w:type="dxa"/>
            <w:tcBorders>
              <w:top w:val="single" w:sz="4" w:space="0" w:color="auto"/>
              <w:left w:val="nil"/>
              <w:bottom w:val="single" w:sz="4" w:space="0" w:color="auto"/>
              <w:right w:val="nil"/>
            </w:tcBorders>
            <w:vAlign w:val="center"/>
            <w:hideMark/>
          </w:tcPr>
          <w:p w14:paraId="2AF00AC6"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1200</w:t>
            </w:r>
          </w:p>
        </w:tc>
      </w:tr>
      <w:tr w:rsidR="00AC54B8" w:rsidRPr="00AC54B8" w14:paraId="78D0BE6B" w14:textId="77777777" w:rsidTr="00AC54B8">
        <w:trPr>
          <w:trHeight w:val="273"/>
        </w:trPr>
        <w:tc>
          <w:tcPr>
            <w:tcW w:w="3397" w:type="dxa"/>
            <w:gridSpan w:val="2"/>
            <w:tcBorders>
              <w:top w:val="single" w:sz="4" w:space="0" w:color="auto"/>
              <w:left w:val="nil"/>
              <w:bottom w:val="single" w:sz="4" w:space="0" w:color="auto"/>
              <w:right w:val="nil"/>
            </w:tcBorders>
            <w:vAlign w:val="center"/>
            <w:hideMark/>
          </w:tcPr>
          <w:p w14:paraId="2D7C5F02" w14:textId="07324A0B" w:rsidR="00AC54B8" w:rsidRPr="00AC54B8" w:rsidRDefault="00387948" w:rsidP="00AC54B8">
            <w:pPr>
              <w:spacing w:line="276" w:lineRule="auto"/>
              <w:textAlignment w:val="auto"/>
              <w:rPr>
                <w:sz w:val="18"/>
                <w:szCs w:val="18"/>
                <w:lang w:val="en-US"/>
              </w:rPr>
            </w:pPr>
            <w:r>
              <w:rPr>
                <w:sz w:val="18"/>
                <w:szCs w:val="18"/>
                <w:lang w:val="en-US"/>
              </w:rPr>
              <w:t xml:space="preserve">SNF reprocessing, $/ kg </w:t>
            </w:r>
            <w:r w:rsidR="00656CB6">
              <w:rPr>
                <w:sz w:val="18"/>
                <w:szCs w:val="18"/>
                <w:lang w:val="en-US"/>
              </w:rPr>
              <w:t>HM</w:t>
            </w:r>
          </w:p>
        </w:tc>
        <w:tc>
          <w:tcPr>
            <w:tcW w:w="1701" w:type="dxa"/>
            <w:tcBorders>
              <w:top w:val="single" w:sz="4" w:space="0" w:color="auto"/>
              <w:left w:val="nil"/>
              <w:bottom w:val="single" w:sz="4" w:space="0" w:color="auto"/>
              <w:right w:val="nil"/>
            </w:tcBorders>
            <w:vAlign w:val="center"/>
            <w:hideMark/>
          </w:tcPr>
          <w:p w14:paraId="17558ED2"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w:t>
            </w:r>
          </w:p>
        </w:tc>
        <w:tc>
          <w:tcPr>
            <w:tcW w:w="1418" w:type="dxa"/>
            <w:tcBorders>
              <w:top w:val="single" w:sz="4" w:space="0" w:color="auto"/>
              <w:left w:val="nil"/>
              <w:bottom w:val="single" w:sz="4" w:space="0" w:color="auto"/>
              <w:right w:val="nil"/>
            </w:tcBorders>
            <w:vAlign w:val="center"/>
            <w:hideMark/>
          </w:tcPr>
          <w:p w14:paraId="4854BF84"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600</w:t>
            </w:r>
          </w:p>
        </w:tc>
        <w:tc>
          <w:tcPr>
            <w:tcW w:w="1276" w:type="dxa"/>
            <w:tcBorders>
              <w:top w:val="single" w:sz="4" w:space="0" w:color="auto"/>
              <w:left w:val="nil"/>
              <w:bottom w:val="single" w:sz="4" w:space="0" w:color="auto"/>
              <w:right w:val="nil"/>
            </w:tcBorders>
            <w:vAlign w:val="center"/>
            <w:hideMark/>
          </w:tcPr>
          <w:p w14:paraId="764411C0"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600</w:t>
            </w:r>
          </w:p>
        </w:tc>
        <w:tc>
          <w:tcPr>
            <w:tcW w:w="1417" w:type="dxa"/>
            <w:tcBorders>
              <w:top w:val="single" w:sz="4" w:space="0" w:color="auto"/>
              <w:left w:val="nil"/>
              <w:bottom w:val="single" w:sz="4" w:space="0" w:color="auto"/>
              <w:right w:val="nil"/>
            </w:tcBorders>
            <w:vAlign w:val="center"/>
            <w:hideMark/>
          </w:tcPr>
          <w:p w14:paraId="2C69FB0C"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800</w:t>
            </w:r>
          </w:p>
        </w:tc>
      </w:tr>
      <w:tr w:rsidR="00AC54B8" w:rsidRPr="00AC54B8" w14:paraId="6320841A" w14:textId="77777777" w:rsidTr="00AC54B8">
        <w:tc>
          <w:tcPr>
            <w:tcW w:w="3397" w:type="dxa"/>
            <w:gridSpan w:val="2"/>
            <w:tcBorders>
              <w:top w:val="single" w:sz="4" w:space="0" w:color="auto"/>
              <w:left w:val="nil"/>
              <w:bottom w:val="single" w:sz="4" w:space="0" w:color="auto"/>
              <w:right w:val="nil"/>
            </w:tcBorders>
            <w:vAlign w:val="center"/>
            <w:hideMark/>
          </w:tcPr>
          <w:p w14:paraId="7B25FE83" w14:textId="104CE43E" w:rsidR="00AC54B8" w:rsidRPr="00AC54B8" w:rsidRDefault="00AC54B8" w:rsidP="00AC54B8">
            <w:pPr>
              <w:spacing w:line="276" w:lineRule="auto"/>
              <w:textAlignment w:val="auto"/>
              <w:rPr>
                <w:sz w:val="18"/>
                <w:szCs w:val="18"/>
                <w:lang w:val="en-US"/>
              </w:rPr>
            </w:pPr>
            <w:r w:rsidRPr="00AC54B8">
              <w:rPr>
                <w:sz w:val="18"/>
                <w:szCs w:val="18"/>
                <w:lang w:val="en-US"/>
              </w:rPr>
              <w:t>Specific costs for SNF transport, interim st</w:t>
            </w:r>
            <w:r w:rsidR="00387948">
              <w:rPr>
                <w:sz w:val="18"/>
                <w:szCs w:val="18"/>
                <w:lang w:val="en-US"/>
              </w:rPr>
              <w:t xml:space="preserve">orage and RW management, $/ kg </w:t>
            </w:r>
            <w:r w:rsidR="00656CB6">
              <w:rPr>
                <w:sz w:val="18"/>
                <w:szCs w:val="18"/>
                <w:lang w:val="en-US"/>
              </w:rPr>
              <w:t>HM</w:t>
            </w:r>
          </w:p>
        </w:tc>
        <w:tc>
          <w:tcPr>
            <w:tcW w:w="1701" w:type="dxa"/>
            <w:tcBorders>
              <w:top w:val="single" w:sz="4" w:space="0" w:color="auto"/>
              <w:left w:val="nil"/>
              <w:bottom w:val="single" w:sz="4" w:space="0" w:color="auto"/>
              <w:right w:val="nil"/>
            </w:tcBorders>
            <w:vAlign w:val="center"/>
            <w:hideMark/>
          </w:tcPr>
          <w:p w14:paraId="7BA1DA4D"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418" w:type="dxa"/>
            <w:tcBorders>
              <w:top w:val="single" w:sz="4" w:space="0" w:color="auto"/>
              <w:left w:val="nil"/>
              <w:bottom w:val="single" w:sz="4" w:space="0" w:color="auto"/>
              <w:right w:val="nil"/>
            </w:tcBorders>
            <w:vAlign w:val="center"/>
            <w:hideMark/>
          </w:tcPr>
          <w:p w14:paraId="0B40BFC6"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276" w:type="dxa"/>
            <w:tcBorders>
              <w:top w:val="single" w:sz="4" w:space="0" w:color="auto"/>
              <w:left w:val="nil"/>
              <w:bottom w:val="single" w:sz="4" w:space="0" w:color="auto"/>
              <w:right w:val="nil"/>
            </w:tcBorders>
            <w:vAlign w:val="center"/>
            <w:hideMark/>
          </w:tcPr>
          <w:p w14:paraId="4E09D5E3" w14:textId="77777777" w:rsidR="00AC54B8" w:rsidRPr="00AC54B8" w:rsidRDefault="00AC54B8" w:rsidP="00AC54B8">
            <w:pPr>
              <w:spacing w:line="276" w:lineRule="auto"/>
              <w:jc w:val="center"/>
              <w:textAlignment w:val="auto"/>
              <w:rPr>
                <w:sz w:val="18"/>
                <w:szCs w:val="18"/>
              </w:rPr>
            </w:pPr>
            <w:r w:rsidRPr="00AC54B8">
              <w:rPr>
                <w:sz w:val="18"/>
                <w:szCs w:val="18"/>
              </w:rPr>
              <w:t>100</w:t>
            </w:r>
          </w:p>
        </w:tc>
        <w:tc>
          <w:tcPr>
            <w:tcW w:w="1417" w:type="dxa"/>
            <w:tcBorders>
              <w:top w:val="single" w:sz="4" w:space="0" w:color="auto"/>
              <w:left w:val="nil"/>
              <w:bottom w:val="single" w:sz="4" w:space="0" w:color="auto"/>
              <w:right w:val="nil"/>
            </w:tcBorders>
            <w:vAlign w:val="center"/>
            <w:hideMark/>
          </w:tcPr>
          <w:p w14:paraId="6A5F3FD3" w14:textId="77777777" w:rsidR="00AC54B8" w:rsidRPr="00AC54B8" w:rsidRDefault="00AC54B8" w:rsidP="00AC54B8">
            <w:pPr>
              <w:spacing w:line="276" w:lineRule="auto"/>
              <w:jc w:val="center"/>
              <w:textAlignment w:val="auto"/>
              <w:rPr>
                <w:sz w:val="18"/>
                <w:szCs w:val="18"/>
              </w:rPr>
            </w:pPr>
            <w:r w:rsidRPr="00AC54B8">
              <w:rPr>
                <w:sz w:val="18"/>
                <w:szCs w:val="18"/>
              </w:rPr>
              <w:t>100</w:t>
            </w:r>
          </w:p>
        </w:tc>
      </w:tr>
      <w:tr w:rsidR="00AC54B8" w:rsidRPr="00AC54B8" w14:paraId="2E037B78" w14:textId="77777777" w:rsidTr="00AC54B8">
        <w:tc>
          <w:tcPr>
            <w:tcW w:w="3397" w:type="dxa"/>
            <w:gridSpan w:val="2"/>
            <w:tcBorders>
              <w:top w:val="single" w:sz="4" w:space="0" w:color="auto"/>
              <w:left w:val="nil"/>
              <w:bottom w:val="single" w:sz="4" w:space="0" w:color="auto"/>
              <w:right w:val="nil"/>
            </w:tcBorders>
            <w:vAlign w:val="center"/>
            <w:hideMark/>
          </w:tcPr>
          <w:p w14:paraId="7178BC59" w14:textId="60F88C9D" w:rsidR="00AC54B8" w:rsidRPr="00AC54B8" w:rsidRDefault="00AC54B8" w:rsidP="00AC54B8">
            <w:pPr>
              <w:spacing w:line="276" w:lineRule="auto"/>
              <w:textAlignment w:val="auto"/>
              <w:rPr>
                <w:sz w:val="18"/>
                <w:szCs w:val="18"/>
                <w:lang w:val="en-US"/>
              </w:rPr>
            </w:pPr>
            <w:r w:rsidRPr="00AC54B8">
              <w:rPr>
                <w:sz w:val="18"/>
                <w:szCs w:val="18"/>
                <w:lang w:val="en-US"/>
              </w:rPr>
              <w:t>Specific costs</w:t>
            </w:r>
            <w:r w:rsidR="00387948">
              <w:rPr>
                <w:sz w:val="18"/>
                <w:szCs w:val="18"/>
                <w:lang w:val="en-US"/>
              </w:rPr>
              <w:t xml:space="preserve"> for SNF final disposal, $/ kg </w:t>
            </w:r>
            <w:r w:rsidR="00656CB6">
              <w:rPr>
                <w:sz w:val="18"/>
                <w:szCs w:val="18"/>
                <w:lang w:val="en-US"/>
              </w:rPr>
              <w:t>HM</w:t>
            </w:r>
          </w:p>
        </w:tc>
        <w:tc>
          <w:tcPr>
            <w:tcW w:w="1701" w:type="dxa"/>
            <w:tcBorders>
              <w:top w:val="single" w:sz="4" w:space="0" w:color="auto"/>
              <w:left w:val="nil"/>
              <w:bottom w:val="single" w:sz="4" w:space="0" w:color="auto"/>
              <w:right w:val="nil"/>
            </w:tcBorders>
            <w:vAlign w:val="center"/>
            <w:hideMark/>
          </w:tcPr>
          <w:p w14:paraId="3FDE998B"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300</w:t>
            </w:r>
          </w:p>
        </w:tc>
        <w:tc>
          <w:tcPr>
            <w:tcW w:w="1418" w:type="dxa"/>
            <w:tcBorders>
              <w:top w:val="single" w:sz="4" w:space="0" w:color="auto"/>
              <w:left w:val="nil"/>
              <w:bottom w:val="single" w:sz="4" w:space="0" w:color="auto"/>
              <w:right w:val="nil"/>
            </w:tcBorders>
            <w:vAlign w:val="center"/>
            <w:hideMark/>
          </w:tcPr>
          <w:p w14:paraId="59B54309"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100</w:t>
            </w:r>
          </w:p>
        </w:tc>
        <w:tc>
          <w:tcPr>
            <w:tcW w:w="1276" w:type="dxa"/>
            <w:tcBorders>
              <w:top w:val="single" w:sz="4" w:space="0" w:color="auto"/>
              <w:left w:val="nil"/>
              <w:bottom w:val="single" w:sz="4" w:space="0" w:color="auto"/>
              <w:right w:val="nil"/>
            </w:tcBorders>
            <w:vAlign w:val="center"/>
            <w:hideMark/>
          </w:tcPr>
          <w:p w14:paraId="19D98C6F"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100</w:t>
            </w:r>
          </w:p>
        </w:tc>
        <w:tc>
          <w:tcPr>
            <w:tcW w:w="1417" w:type="dxa"/>
            <w:tcBorders>
              <w:top w:val="single" w:sz="4" w:space="0" w:color="auto"/>
              <w:left w:val="nil"/>
              <w:bottom w:val="single" w:sz="4" w:space="0" w:color="auto"/>
              <w:right w:val="nil"/>
            </w:tcBorders>
            <w:vAlign w:val="center"/>
            <w:hideMark/>
          </w:tcPr>
          <w:p w14:paraId="49ED41D6"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100</w:t>
            </w:r>
          </w:p>
        </w:tc>
      </w:tr>
      <w:tr w:rsidR="00AC54B8" w:rsidRPr="00AC54B8" w14:paraId="1915DFFB" w14:textId="77777777" w:rsidTr="00AC54B8">
        <w:tc>
          <w:tcPr>
            <w:tcW w:w="3397" w:type="dxa"/>
            <w:gridSpan w:val="2"/>
            <w:tcBorders>
              <w:top w:val="single" w:sz="4" w:space="0" w:color="auto"/>
              <w:left w:val="nil"/>
              <w:bottom w:val="single" w:sz="4" w:space="0" w:color="auto"/>
              <w:right w:val="nil"/>
            </w:tcBorders>
            <w:vAlign w:val="center"/>
            <w:hideMark/>
          </w:tcPr>
          <w:p w14:paraId="56A4846F" w14:textId="54AB6699" w:rsidR="00AC54B8" w:rsidRPr="00AC54B8" w:rsidRDefault="00E63C5B" w:rsidP="00AC54B8">
            <w:pPr>
              <w:spacing w:line="276" w:lineRule="auto"/>
              <w:textAlignment w:val="auto"/>
              <w:rPr>
                <w:sz w:val="18"/>
                <w:szCs w:val="18"/>
                <w:lang w:val="en-US"/>
              </w:rPr>
            </w:pPr>
            <w:r>
              <w:rPr>
                <w:sz w:val="18"/>
                <w:szCs w:val="18"/>
                <w:lang w:val="en-US"/>
              </w:rPr>
              <w:t>Specific costs of</w:t>
            </w:r>
            <w:r w:rsidR="00AC54B8" w:rsidRPr="00AC54B8">
              <w:rPr>
                <w:sz w:val="18"/>
                <w:szCs w:val="18"/>
                <w:lang w:val="en-US"/>
              </w:rPr>
              <w:t xml:space="preserve"> separated plutonium storage, $/kg</w:t>
            </w:r>
          </w:p>
        </w:tc>
        <w:tc>
          <w:tcPr>
            <w:tcW w:w="1701" w:type="dxa"/>
            <w:tcBorders>
              <w:top w:val="single" w:sz="4" w:space="0" w:color="auto"/>
              <w:left w:val="nil"/>
              <w:bottom w:val="single" w:sz="4" w:space="0" w:color="auto"/>
              <w:right w:val="nil"/>
            </w:tcBorders>
            <w:vAlign w:val="center"/>
            <w:hideMark/>
          </w:tcPr>
          <w:p w14:paraId="00796800"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w:t>
            </w:r>
          </w:p>
        </w:tc>
        <w:tc>
          <w:tcPr>
            <w:tcW w:w="1418" w:type="dxa"/>
            <w:tcBorders>
              <w:top w:val="single" w:sz="4" w:space="0" w:color="auto"/>
              <w:left w:val="nil"/>
              <w:bottom w:val="single" w:sz="4" w:space="0" w:color="auto"/>
              <w:right w:val="nil"/>
            </w:tcBorders>
            <w:vAlign w:val="center"/>
            <w:hideMark/>
          </w:tcPr>
          <w:p w14:paraId="4C977B07"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2000</w:t>
            </w:r>
          </w:p>
        </w:tc>
        <w:tc>
          <w:tcPr>
            <w:tcW w:w="1276" w:type="dxa"/>
            <w:tcBorders>
              <w:top w:val="single" w:sz="4" w:space="0" w:color="auto"/>
              <w:left w:val="nil"/>
              <w:bottom w:val="single" w:sz="4" w:space="0" w:color="auto"/>
              <w:right w:val="nil"/>
            </w:tcBorders>
            <w:vAlign w:val="center"/>
            <w:hideMark/>
          </w:tcPr>
          <w:p w14:paraId="6A5789C4"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2000</w:t>
            </w:r>
          </w:p>
        </w:tc>
        <w:tc>
          <w:tcPr>
            <w:tcW w:w="1417" w:type="dxa"/>
            <w:tcBorders>
              <w:top w:val="single" w:sz="4" w:space="0" w:color="auto"/>
              <w:left w:val="nil"/>
              <w:bottom w:val="single" w:sz="4" w:space="0" w:color="auto"/>
              <w:right w:val="nil"/>
            </w:tcBorders>
            <w:vAlign w:val="center"/>
            <w:hideMark/>
          </w:tcPr>
          <w:p w14:paraId="3B4D21C9" w14:textId="77777777" w:rsidR="00AC54B8" w:rsidRPr="00AC54B8" w:rsidRDefault="00AC54B8" w:rsidP="00AC54B8">
            <w:pPr>
              <w:spacing w:line="276" w:lineRule="auto"/>
              <w:jc w:val="center"/>
              <w:textAlignment w:val="auto"/>
              <w:rPr>
                <w:sz w:val="18"/>
                <w:szCs w:val="18"/>
                <w:lang w:val="ru-RU"/>
              </w:rPr>
            </w:pPr>
            <w:r w:rsidRPr="00AC54B8">
              <w:rPr>
                <w:sz w:val="18"/>
                <w:szCs w:val="18"/>
                <w:lang w:val="ru-RU"/>
              </w:rPr>
              <w:t>2000</w:t>
            </w:r>
          </w:p>
        </w:tc>
      </w:tr>
    </w:tbl>
    <w:p w14:paraId="773E705B" w14:textId="77777777" w:rsidR="00AC54B8" w:rsidRPr="00AC54B8" w:rsidRDefault="00AC54B8" w:rsidP="00AC54B8">
      <w:pPr>
        <w:tabs>
          <w:tab w:val="left" w:leader="dot" w:pos="9072"/>
        </w:tabs>
        <w:spacing w:line="260" w:lineRule="atLeast"/>
        <w:jc w:val="both"/>
        <w:textAlignment w:val="auto"/>
        <w:rPr>
          <w:lang w:val="ru-RU"/>
        </w:rPr>
      </w:pPr>
      <w:r w:rsidRPr="00AC54B8">
        <w:rPr>
          <w:lang w:val="ru-RU"/>
        </w:rPr>
        <w:t xml:space="preserve"> </w:t>
      </w:r>
    </w:p>
    <w:p w14:paraId="048BA1AE" w14:textId="31693A89" w:rsidR="00D54D78" w:rsidRPr="00AC54B8" w:rsidRDefault="00AC54B8" w:rsidP="00AC54B8">
      <w:pPr>
        <w:tabs>
          <w:tab w:val="left" w:leader="dot" w:pos="9072"/>
        </w:tabs>
        <w:spacing w:line="260" w:lineRule="atLeast"/>
        <w:ind w:firstLine="567"/>
        <w:jc w:val="both"/>
        <w:rPr>
          <w:rFonts w:eastAsia="MS Mincho"/>
          <w:sz w:val="20"/>
          <w:lang w:val="en-US" w:eastAsia="ja-JP"/>
        </w:rPr>
      </w:pPr>
      <w:r w:rsidRPr="00AC54B8">
        <w:rPr>
          <w:sz w:val="20"/>
          <w:lang w:val="en-US"/>
        </w:rPr>
        <w:t xml:space="preserve">The data on natural uranium resources (t) are taken from the Red Data Book [9]. They were presented as two categories of natural uranium cost. In the first category, natural uranium costs 80 $/kg, in the second one –300 $/kg. The amount of these categories is 5 </w:t>
      </w:r>
      <w:proofErr w:type="spellStart"/>
      <w:r w:rsidRPr="001420C4">
        <w:rPr>
          <w:sz w:val="20"/>
          <w:lang w:val="en-US"/>
        </w:rPr>
        <w:t>mln</w:t>
      </w:r>
      <w:proofErr w:type="spellEnd"/>
      <w:r w:rsidRPr="001420C4">
        <w:rPr>
          <w:sz w:val="20"/>
          <w:lang w:val="en-US"/>
        </w:rPr>
        <w:t xml:space="preserve"> t</w:t>
      </w:r>
      <w:r w:rsidRPr="00AC54B8">
        <w:rPr>
          <w:sz w:val="20"/>
          <w:lang w:val="en-US"/>
        </w:rPr>
        <w:t xml:space="preserve">. and 35 </w:t>
      </w:r>
      <w:proofErr w:type="spellStart"/>
      <w:r w:rsidRPr="00AC54B8">
        <w:rPr>
          <w:sz w:val="20"/>
          <w:lang w:val="en-US"/>
        </w:rPr>
        <w:t>mln</w:t>
      </w:r>
      <w:proofErr w:type="spellEnd"/>
      <w:r w:rsidRPr="00AC54B8">
        <w:rPr>
          <w:sz w:val="20"/>
          <w:lang w:val="en-US"/>
        </w:rPr>
        <w:t xml:space="preserve"> t., respectively.</w:t>
      </w:r>
    </w:p>
    <w:p w14:paraId="7BC6506C" w14:textId="20D4FF25" w:rsidR="004F31E5" w:rsidRPr="00011DE0" w:rsidRDefault="00A44112" w:rsidP="0023417F">
      <w:pPr>
        <w:pStyle w:val="2"/>
        <w:numPr>
          <w:ilvl w:val="1"/>
          <w:numId w:val="2"/>
        </w:numPr>
        <w:ind w:left="567"/>
        <w:jc w:val="both"/>
        <w:rPr>
          <w:lang w:val="en-US"/>
        </w:rPr>
      </w:pPr>
      <w:r w:rsidRPr="00011DE0">
        <w:rPr>
          <w:lang w:val="en-US"/>
        </w:rPr>
        <w:t>results of modeliing scena</w:t>
      </w:r>
      <w:bookmarkStart w:id="1" w:name="_GoBack"/>
      <w:bookmarkEnd w:id="1"/>
      <w:r w:rsidRPr="00011DE0">
        <w:rPr>
          <w:lang w:val="en-US"/>
        </w:rPr>
        <w:t xml:space="preserve">rios and analysis of key economic criteria </w:t>
      </w:r>
      <w:r w:rsidR="009F4412" w:rsidRPr="00011DE0">
        <w:rPr>
          <w:lang w:val="en-US"/>
        </w:rPr>
        <w:t>of the global two-component NES</w:t>
      </w:r>
    </w:p>
    <w:p w14:paraId="020832A1" w14:textId="009948BD" w:rsidR="0070243C" w:rsidRPr="00013054" w:rsidRDefault="0070243C" w:rsidP="004F31E5">
      <w:pPr>
        <w:pStyle w:val="a1"/>
        <w:rPr>
          <w:b/>
          <w:lang w:val="en-US"/>
        </w:rPr>
      </w:pPr>
      <w:r w:rsidRPr="00013054">
        <w:rPr>
          <w:b/>
          <w:lang w:val="en-US"/>
        </w:rPr>
        <w:t>4.1</w:t>
      </w:r>
      <w:r w:rsidR="007F1173" w:rsidRPr="00013054">
        <w:rPr>
          <w:b/>
          <w:lang w:val="en-US"/>
        </w:rPr>
        <w:t>.</w:t>
      </w:r>
      <w:r w:rsidRPr="00013054">
        <w:rPr>
          <w:b/>
          <w:lang w:val="en-US"/>
        </w:rPr>
        <w:t xml:space="preserve"> </w:t>
      </w:r>
      <w:r w:rsidR="00DF77F3" w:rsidRPr="00013054">
        <w:rPr>
          <w:b/>
          <w:lang w:val="en-US"/>
        </w:rPr>
        <w:t>Energy production structure</w:t>
      </w:r>
    </w:p>
    <w:p w14:paraId="0F8AF37A" w14:textId="77777777" w:rsidR="0070243C" w:rsidRPr="00013054" w:rsidRDefault="0070243C" w:rsidP="004F31E5">
      <w:pPr>
        <w:pStyle w:val="a1"/>
        <w:rPr>
          <w:b/>
          <w:highlight w:val="cyan"/>
          <w:lang w:val="en-US"/>
        </w:rPr>
      </w:pPr>
    </w:p>
    <w:p w14:paraId="2B7BBC5F" w14:textId="46996694" w:rsidR="00221FA0" w:rsidRPr="00221FA0" w:rsidRDefault="00013054" w:rsidP="00711AC9">
      <w:pPr>
        <w:pStyle w:val="a1"/>
        <w:rPr>
          <w:lang w:val="en-US"/>
        </w:rPr>
      </w:pPr>
      <w:r>
        <w:rPr>
          <w:lang w:val="en-US"/>
        </w:rPr>
        <w:t>F</w:t>
      </w:r>
      <w:r w:rsidR="00221FA0" w:rsidRPr="00221FA0">
        <w:rPr>
          <w:lang w:val="en-US"/>
        </w:rPr>
        <w:t>ig</w:t>
      </w:r>
      <w:r>
        <w:rPr>
          <w:lang w:val="en-US"/>
        </w:rPr>
        <w:t>ure</w:t>
      </w:r>
      <w:r w:rsidR="00221FA0" w:rsidRPr="00221FA0">
        <w:rPr>
          <w:lang w:val="en-US"/>
        </w:rPr>
        <w:t xml:space="preserve"> 2 shows the structure of the installed capacities of different types of reactors in </w:t>
      </w:r>
      <w:r>
        <w:rPr>
          <w:lang w:val="en-US"/>
        </w:rPr>
        <w:t>the</w:t>
      </w:r>
      <w:r w:rsidR="00221FA0" w:rsidRPr="00221FA0">
        <w:rPr>
          <w:lang w:val="en-US"/>
        </w:rPr>
        <w:t xml:space="preserve"> global </w:t>
      </w:r>
      <w:r w:rsidR="00221FA0" w:rsidRPr="00BA345A">
        <w:rPr>
          <w:lang w:val="en-US"/>
        </w:rPr>
        <w:t xml:space="preserve">two-component NES </w:t>
      </w:r>
      <w:r w:rsidR="0072795F">
        <w:rPr>
          <w:lang w:val="en-US"/>
        </w:rPr>
        <w:t>consisting of</w:t>
      </w:r>
      <w:r w:rsidR="00221FA0" w:rsidRPr="00BA345A">
        <w:rPr>
          <w:lang w:val="en-US"/>
        </w:rPr>
        <w:t xml:space="preserve"> thermal and fast reactors for the reference</w:t>
      </w:r>
      <w:r w:rsidR="00BA345A" w:rsidRPr="00BA345A">
        <w:rPr>
          <w:lang w:val="en-US"/>
        </w:rPr>
        <w:t xml:space="preserve"> option</w:t>
      </w:r>
      <w:r w:rsidRPr="00BA345A">
        <w:rPr>
          <w:lang w:val="en-US"/>
        </w:rPr>
        <w:t>, which was</w:t>
      </w:r>
      <w:r w:rsidR="00221FA0" w:rsidRPr="00BA345A">
        <w:rPr>
          <w:lang w:val="en-US"/>
        </w:rPr>
        <w:t xml:space="preserve"> obtained using t</w:t>
      </w:r>
      <w:r w:rsidR="00221FA0" w:rsidRPr="00221FA0">
        <w:rPr>
          <w:lang w:val="en-US"/>
        </w:rPr>
        <w:t xml:space="preserve">he MESSAGE software package. The optimization model shows that until the mid-2060s, thermal reactors with uranium fuel without SNF reprocessing will </w:t>
      </w:r>
      <w:r w:rsidR="00F579A6">
        <w:rPr>
          <w:lang w:val="en-US"/>
        </w:rPr>
        <w:t>prevail in</w:t>
      </w:r>
      <w:r w:rsidR="00221FA0" w:rsidRPr="00221FA0">
        <w:rPr>
          <w:lang w:val="en-US"/>
        </w:rPr>
        <w:t xml:space="preserve"> the structure of electricity generation in the global </w:t>
      </w:r>
      <w:r w:rsidR="00F579A6">
        <w:rPr>
          <w:lang w:val="en-US"/>
        </w:rPr>
        <w:t>NES</w:t>
      </w:r>
      <w:r w:rsidR="00221FA0" w:rsidRPr="00221FA0">
        <w:rPr>
          <w:lang w:val="en-US"/>
        </w:rPr>
        <w:t xml:space="preserve">. This is due to the lower capital costs </w:t>
      </w:r>
      <w:r w:rsidR="00703ECE">
        <w:rPr>
          <w:lang w:val="en-US"/>
        </w:rPr>
        <w:t xml:space="preserve">associated </w:t>
      </w:r>
      <w:r w:rsidR="00497A86">
        <w:rPr>
          <w:lang w:val="en-US"/>
        </w:rPr>
        <w:t xml:space="preserve">with </w:t>
      </w:r>
      <w:r w:rsidR="00497A86" w:rsidRPr="00221FA0">
        <w:rPr>
          <w:lang w:val="en-US"/>
        </w:rPr>
        <w:t xml:space="preserve">the construction of </w:t>
      </w:r>
      <w:r w:rsidR="00221FA0" w:rsidRPr="00221FA0">
        <w:rPr>
          <w:lang w:val="en-US"/>
        </w:rPr>
        <w:t xml:space="preserve">thermal reactors compared to the construction of fast reactors, low prices for natural uranium and low cost of </w:t>
      </w:r>
      <w:r w:rsidR="00703ECE" w:rsidRPr="00E63C5B">
        <w:rPr>
          <w:lang w:val="en-US"/>
        </w:rPr>
        <w:t xml:space="preserve">SNF </w:t>
      </w:r>
      <w:r w:rsidR="00E63C5B" w:rsidRPr="00E63C5B">
        <w:rPr>
          <w:lang w:val="en-US"/>
        </w:rPr>
        <w:t xml:space="preserve">interim </w:t>
      </w:r>
      <w:r w:rsidR="00703ECE" w:rsidRPr="00E63C5B">
        <w:rPr>
          <w:lang w:val="en-US"/>
        </w:rPr>
        <w:t>storage</w:t>
      </w:r>
      <w:r w:rsidR="00497A86" w:rsidRPr="00E63C5B">
        <w:rPr>
          <w:lang w:val="en-US"/>
        </w:rPr>
        <w:t>. However, the run-out</w:t>
      </w:r>
      <w:r w:rsidR="001F605B" w:rsidRPr="00E63C5B">
        <w:rPr>
          <w:lang w:val="en-US"/>
        </w:rPr>
        <w:t xml:space="preserve"> </w:t>
      </w:r>
      <w:r w:rsidR="00221FA0" w:rsidRPr="00E63C5B">
        <w:rPr>
          <w:lang w:val="en-US"/>
        </w:rPr>
        <w:t>of c</w:t>
      </w:r>
      <w:r w:rsidR="00E63C5B">
        <w:rPr>
          <w:lang w:val="en-US"/>
        </w:rPr>
        <w:t>heap natural uranium and</w:t>
      </w:r>
      <w:r w:rsidR="00221FA0" w:rsidRPr="00E63C5B">
        <w:rPr>
          <w:lang w:val="en-US"/>
        </w:rPr>
        <w:t xml:space="preserve"> transition to the use of uranium with a hi</w:t>
      </w:r>
      <w:r w:rsidR="00497A86" w:rsidRPr="00E63C5B">
        <w:rPr>
          <w:lang w:val="en-US"/>
        </w:rPr>
        <w:t>gher price at the given pace of</w:t>
      </w:r>
      <w:r w:rsidR="00221FA0" w:rsidRPr="00E63C5B">
        <w:rPr>
          <w:lang w:val="en-US"/>
        </w:rPr>
        <w:t xml:space="preserve"> </w:t>
      </w:r>
      <w:r w:rsidR="00497A86" w:rsidRPr="00E63C5B">
        <w:rPr>
          <w:lang w:val="en-US"/>
        </w:rPr>
        <w:t xml:space="preserve">the </w:t>
      </w:r>
      <w:r w:rsidR="00E63C5B" w:rsidRPr="00E63C5B">
        <w:rPr>
          <w:lang w:val="en-US"/>
        </w:rPr>
        <w:t>global</w:t>
      </w:r>
      <w:r w:rsidR="00497A86" w:rsidRPr="00E63C5B">
        <w:rPr>
          <w:lang w:val="en-US"/>
        </w:rPr>
        <w:t xml:space="preserve"> nuclear power deployment</w:t>
      </w:r>
      <w:r w:rsidR="00221FA0" w:rsidRPr="00E63C5B">
        <w:rPr>
          <w:lang w:val="en-US"/>
        </w:rPr>
        <w:t xml:space="preserve">, as well as an increase in costs </w:t>
      </w:r>
      <w:r w:rsidR="00E63C5B" w:rsidRPr="00E63C5B">
        <w:rPr>
          <w:lang w:val="en-US"/>
        </w:rPr>
        <w:t>of the ONFC back-end,</w:t>
      </w:r>
      <w:r w:rsidR="00221FA0" w:rsidRPr="00E63C5B">
        <w:rPr>
          <w:lang w:val="en-US"/>
        </w:rPr>
        <w:t xml:space="preserve"> associated with the need to create </w:t>
      </w:r>
      <w:r w:rsidR="00453DD9" w:rsidRPr="00E63C5B">
        <w:rPr>
          <w:lang w:val="en-US"/>
        </w:rPr>
        <w:t>SNF</w:t>
      </w:r>
      <w:r w:rsidR="001F605B" w:rsidRPr="00E63C5B">
        <w:rPr>
          <w:lang w:val="en-US"/>
        </w:rPr>
        <w:t xml:space="preserve"> </w:t>
      </w:r>
      <w:r w:rsidR="00E63C5B" w:rsidRPr="00E63C5B">
        <w:rPr>
          <w:lang w:val="en-US"/>
        </w:rPr>
        <w:t>interim</w:t>
      </w:r>
      <w:r w:rsidR="00221FA0" w:rsidRPr="00E63C5B">
        <w:rPr>
          <w:lang w:val="en-US"/>
        </w:rPr>
        <w:t xml:space="preserve"> storage</w:t>
      </w:r>
      <w:r w:rsidR="00E63C5B">
        <w:rPr>
          <w:lang w:val="en-US"/>
        </w:rPr>
        <w:t xml:space="preserve"> facilities and especially</w:t>
      </w:r>
      <w:r w:rsidR="001F605B" w:rsidRPr="00E63C5B">
        <w:rPr>
          <w:lang w:val="en-US"/>
        </w:rPr>
        <w:t xml:space="preserve"> its</w:t>
      </w:r>
      <w:r w:rsidR="00453DD9" w:rsidRPr="00E63C5B">
        <w:rPr>
          <w:lang w:val="en-US"/>
        </w:rPr>
        <w:t xml:space="preserve"> final disposal</w:t>
      </w:r>
      <w:r w:rsidR="00221FA0" w:rsidRPr="00E63C5B">
        <w:rPr>
          <w:lang w:val="en-US"/>
        </w:rPr>
        <w:t xml:space="preserve">, leads to a change in the electricity generation </w:t>
      </w:r>
      <w:r w:rsidR="00453DD9" w:rsidRPr="00E63C5B">
        <w:rPr>
          <w:lang w:val="en-US"/>
        </w:rPr>
        <w:t>structure of</w:t>
      </w:r>
      <w:r w:rsidR="00221FA0" w:rsidRPr="00E63C5B">
        <w:rPr>
          <w:lang w:val="en-US"/>
        </w:rPr>
        <w:t xml:space="preserve"> the global</w:t>
      </w:r>
      <w:r w:rsidR="00221FA0" w:rsidRPr="00221FA0">
        <w:rPr>
          <w:lang w:val="en-US"/>
        </w:rPr>
        <w:t xml:space="preserve"> </w:t>
      </w:r>
      <w:r w:rsidR="00D411E8">
        <w:rPr>
          <w:lang w:val="en-US"/>
        </w:rPr>
        <w:t>NES</w:t>
      </w:r>
      <w:r w:rsidR="00221FA0" w:rsidRPr="00221FA0">
        <w:rPr>
          <w:lang w:val="en-US"/>
        </w:rPr>
        <w:t>. After the mid-2060s,</w:t>
      </w:r>
      <w:r w:rsidR="00453DD9">
        <w:rPr>
          <w:lang w:val="en-US"/>
        </w:rPr>
        <w:t xml:space="preserve"> thermal </w:t>
      </w:r>
      <w:r w:rsidR="00453DD9" w:rsidRPr="00453DD9">
        <w:rPr>
          <w:lang w:val="en-US"/>
        </w:rPr>
        <w:t>reactors without reprocessing their own SNF</w:t>
      </w:r>
      <w:r w:rsidR="00453DD9">
        <w:rPr>
          <w:lang w:val="en-US"/>
        </w:rPr>
        <w:t xml:space="preserve"> are gradually</w:t>
      </w:r>
      <w:r w:rsidR="00221FA0" w:rsidRPr="00221FA0">
        <w:rPr>
          <w:lang w:val="en-US"/>
        </w:rPr>
        <w:t xml:space="preserve"> replaced </w:t>
      </w:r>
      <w:r w:rsidR="00453DD9">
        <w:rPr>
          <w:lang w:val="en-US"/>
        </w:rPr>
        <w:t>with</w:t>
      </w:r>
      <w:r w:rsidR="00221FA0" w:rsidRPr="00221FA0">
        <w:rPr>
          <w:lang w:val="en-US"/>
        </w:rPr>
        <w:t xml:space="preserve"> alternative innovative reactor technologies with SNF reprocessing.</w:t>
      </w:r>
    </w:p>
    <w:p w14:paraId="5698C555" w14:textId="77777777" w:rsidR="00FA1D25" w:rsidRPr="00B45DF8" w:rsidRDefault="00FA1D25" w:rsidP="00D868A8">
      <w:pPr>
        <w:spacing w:line="260" w:lineRule="atLeast"/>
        <w:ind w:firstLine="709"/>
        <w:jc w:val="both"/>
        <w:rPr>
          <w:sz w:val="20"/>
          <w:highlight w:val="cyan"/>
          <w:lang w:val="en-US"/>
        </w:rPr>
      </w:pPr>
    </w:p>
    <w:p w14:paraId="3DD73B20" w14:textId="18AD63F6" w:rsidR="00FA1D25" w:rsidRPr="007E1836" w:rsidRDefault="002404D0" w:rsidP="00523362">
      <w:pPr>
        <w:spacing w:line="260" w:lineRule="atLeast"/>
        <w:jc w:val="center"/>
        <w:rPr>
          <w:sz w:val="20"/>
          <w:highlight w:val="cyan"/>
          <w:lang w:val="ru-RU"/>
        </w:rPr>
      </w:pPr>
      <w:r>
        <w:rPr>
          <w:noProof/>
          <w:sz w:val="20"/>
          <w:lang w:val="ru-RU" w:eastAsia="ru-RU"/>
        </w:rPr>
        <w:lastRenderedPageBreak/>
        <w:drawing>
          <wp:inline distT="0" distB="0" distL="0" distR="0" wp14:anchorId="4F448932" wp14:editId="53AC6BB8">
            <wp:extent cx="3780155" cy="2426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0155" cy="2426335"/>
                    </a:xfrm>
                    <a:prstGeom prst="rect">
                      <a:avLst/>
                    </a:prstGeom>
                    <a:noFill/>
                  </pic:spPr>
                </pic:pic>
              </a:graphicData>
            </a:graphic>
          </wp:inline>
        </w:drawing>
      </w:r>
    </w:p>
    <w:p w14:paraId="05040E06" w14:textId="373578B1" w:rsidR="00097A28" w:rsidRPr="00011DE0" w:rsidRDefault="00837608" w:rsidP="00097A28">
      <w:pPr>
        <w:jc w:val="center"/>
        <w:rPr>
          <w:i/>
          <w:sz w:val="18"/>
          <w:szCs w:val="18"/>
          <w:lang w:val="en-US"/>
        </w:rPr>
      </w:pPr>
      <w:proofErr w:type="gramStart"/>
      <w:r w:rsidRPr="00011DE0">
        <w:rPr>
          <w:rFonts w:eastAsia="Calibri"/>
          <w:i/>
          <w:sz w:val="18"/>
          <w:szCs w:val="18"/>
          <w:lang w:val="en-US"/>
        </w:rPr>
        <w:t>Figure</w:t>
      </w:r>
      <w:r w:rsidR="0071150A" w:rsidRPr="00011DE0">
        <w:rPr>
          <w:rFonts w:eastAsiaTheme="minorEastAsia"/>
          <w:i/>
          <w:iCs/>
          <w:sz w:val="18"/>
          <w:szCs w:val="18"/>
          <w:lang w:eastAsia="es-ES"/>
        </w:rPr>
        <w:t> </w:t>
      </w:r>
      <w:r w:rsidR="00097A28" w:rsidRPr="00011DE0">
        <w:rPr>
          <w:rFonts w:eastAsia="Calibri"/>
          <w:i/>
          <w:sz w:val="18"/>
          <w:szCs w:val="18"/>
          <w:lang w:val="en-US"/>
        </w:rPr>
        <w:t>2.</w:t>
      </w:r>
      <w:proofErr w:type="gramEnd"/>
      <w:r w:rsidR="00097A28" w:rsidRPr="00011DE0">
        <w:rPr>
          <w:rFonts w:eastAsia="Calibri"/>
          <w:i/>
          <w:sz w:val="18"/>
          <w:szCs w:val="18"/>
          <w:lang w:val="en-US"/>
        </w:rPr>
        <w:t xml:space="preserve"> </w:t>
      </w:r>
      <w:r w:rsidR="004C7A13" w:rsidRPr="00011DE0">
        <w:rPr>
          <w:rFonts w:eastAsia="Calibri"/>
          <w:i/>
          <w:sz w:val="18"/>
          <w:szCs w:val="18"/>
          <w:lang w:val="en-US"/>
        </w:rPr>
        <w:t xml:space="preserve">Global nuclear energy system capacity </w:t>
      </w:r>
      <w:r w:rsidR="001523F3" w:rsidRPr="00011DE0">
        <w:rPr>
          <w:rFonts w:eastAsia="Calibri"/>
          <w:i/>
          <w:sz w:val="18"/>
          <w:szCs w:val="18"/>
          <w:lang w:val="en-US"/>
        </w:rPr>
        <w:t xml:space="preserve">structure </w:t>
      </w:r>
      <w:r w:rsidR="004C7A13" w:rsidRPr="00011DE0">
        <w:rPr>
          <w:rFonts w:eastAsia="Calibri"/>
          <w:i/>
          <w:sz w:val="18"/>
          <w:szCs w:val="18"/>
          <w:lang w:val="en-US"/>
        </w:rPr>
        <w:t xml:space="preserve">in the </w:t>
      </w:r>
      <w:r w:rsidR="00EB2D84" w:rsidRPr="00011DE0">
        <w:rPr>
          <w:rFonts w:eastAsia="Calibri"/>
          <w:i/>
          <w:sz w:val="18"/>
          <w:szCs w:val="18"/>
          <w:lang w:val="en-US"/>
        </w:rPr>
        <w:t>reference option</w:t>
      </w:r>
    </w:p>
    <w:p w14:paraId="079AB607" w14:textId="17771C77" w:rsidR="00097A28" w:rsidRPr="007E1836" w:rsidRDefault="00097A28" w:rsidP="00097A28">
      <w:pPr>
        <w:spacing w:line="260" w:lineRule="atLeast"/>
        <w:jc w:val="both"/>
        <w:rPr>
          <w:color w:val="00B050"/>
          <w:sz w:val="20"/>
          <w:highlight w:val="cyan"/>
          <w:lang w:val="en-US"/>
        </w:rPr>
      </w:pPr>
    </w:p>
    <w:p w14:paraId="27CACBD6" w14:textId="7AE918D0" w:rsidR="002D4954" w:rsidRPr="002D4954" w:rsidRDefault="00BD2D7B" w:rsidP="00711AC9">
      <w:pPr>
        <w:pStyle w:val="a1"/>
        <w:rPr>
          <w:lang w:val="en-US"/>
        </w:rPr>
      </w:pPr>
      <w:r w:rsidRPr="00AF4221">
        <w:rPr>
          <w:lang w:val="en-US"/>
        </w:rPr>
        <w:t>From 2020 to 2065</w:t>
      </w:r>
      <w:r>
        <w:rPr>
          <w:lang w:val="en-US"/>
        </w:rPr>
        <w:t>,</w:t>
      </w:r>
      <w:r w:rsidRPr="002D4954">
        <w:rPr>
          <w:lang w:val="en-US"/>
        </w:rPr>
        <w:t xml:space="preserve"> </w:t>
      </w:r>
      <w:r>
        <w:rPr>
          <w:lang w:val="en-US"/>
        </w:rPr>
        <w:t>t</w:t>
      </w:r>
      <w:r w:rsidR="002D4954" w:rsidRPr="002D4954">
        <w:rPr>
          <w:lang w:val="en-US"/>
        </w:rPr>
        <w:t xml:space="preserve">he capacity structure includes a </w:t>
      </w:r>
      <w:r w:rsidR="002D4954" w:rsidRPr="00D83959">
        <w:rPr>
          <w:lang w:val="en-US"/>
        </w:rPr>
        <w:t xml:space="preserve">small </w:t>
      </w:r>
      <w:r w:rsidR="00E63C5B" w:rsidRPr="00D83959">
        <w:rPr>
          <w:lang w:val="en-US"/>
        </w:rPr>
        <w:t>share</w:t>
      </w:r>
      <w:r w:rsidR="00837608" w:rsidRPr="00D83959">
        <w:rPr>
          <w:lang w:val="en-US"/>
        </w:rPr>
        <w:t xml:space="preserve"> </w:t>
      </w:r>
      <w:r w:rsidR="002D4954" w:rsidRPr="00D83959">
        <w:rPr>
          <w:lang w:val="en-US"/>
        </w:rPr>
        <w:t>of</w:t>
      </w:r>
      <w:r w:rsidR="002D4954" w:rsidRPr="002D4954">
        <w:rPr>
          <w:lang w:val="en-US"/>
        </w:rPr>
        <w:t xml:space="preserve"> thermal reactors with a capacity of ~</w:t>
      </w:r>
      <w:r w:rsidR="00265903">
        <w:rPr>
          <w:lang w:val="en-US"/>
        </w:rPr>
        <w:t xml:space="preserve"> 6.8 GW with</w:t>
      </w:r>
      <w:r w:rsidR="00265903" w:rsidRPr="00265903">
        <w:rPr>
          <w:lang w:val="en-US"/>
        </w:rPr>
        <w:t xml:space="preserve"> </w:t>
      </w:r>
      <w:r w:rsidR="00265903" w:rsidRPr="00BD2D7B">
        <w:rPr>
          <w:lang w:val="en-US"/>
        </w:rPr>
        <w:t>spent UOX fuel</w:t>
      </w:r>
      <w:r w:rsidR="00265903">
        <w:rPr>
          <w:lang w:val="en-US"/>
        </w:rPr>
        <w:t xml:space="preserve"> reprocessing</w:t>
      </w:r>
      <w:r w:rsidR="002D4954" w:rsidRPr="002D4954">
        <w:rPr>
          <w:lang w:val="en-US"/>
        </w:rPr>
        <w:t xml:space="preserve">, which is almost invisible in the figure. This component reflects the results of </w:t>
      </w:r>
      <w:r w:rsidR="00F83947">
        <w:rPr>
          <w:lang w:val="en-US"/>
        </w:rPr>
        <w:t>the activities aimed at develop</w:t>
      </w:r>
      <w:r w:rsidR="002D4954" w:rsidRPr="002D4954">
        <w:rPr>
          <w:lang w:val="en-US"/>
        </w:rPr>
        <w:t xml:space="preserve">ing </w:t>
      </w:r>
      <w:r w:rsidRPr="00BD2D7B">
        <w:rPr>
          <w:lang w:val="en-US"/>
        </w:rPr>
        <w:t xml:space="preserve">reprocessing </w:t>
      </w:r>
      <w:r w:rsidR="002D4954" w:rsidRPr="00BD2D7B">
        <w:rPr>
          <w:lang w:val="en-US"/>
        </w:rPr>
        <w:t xml:space="preserve">technologies </w:t>
      </w:r>
      <w:r w:rsidRPr="00BD2D7B">
        <w:rPr>
          <w:lang w:val="en-US"/>
        </w:rPr>
        <w:t>for</w:t>
      </w:r>
      <w:r w:rsidR="00837608" w:rsidRPr="00BD2D7B">
        <w:rPr>
          <w:lang w:val="en-US"/>
        </w:rPr>
        <w:t xml:space="preserve"> SNF</w:t>
      </w:r>
      <w:r w:rsidR="002D4954" w:rsidRPr="00BD2D7B">
        <w:rPr>
          <w:lang w:val="en-US"/>
        </w:rPr>
        <w:t xml:space="preserve"> </w:t>
      </w:r>
      <w:r w:rsidR="002D4954" w:rsidRPr="002D4954">
        <w:rPr>
          <w:lang w:val="en-US"/>
        </w:rPr>
        <w:t xml:space="preserve">from thermal reactors until 2020. </w:t>
      </w:r>
      <w:r>
        <w:rPr>
          <w:lang w:val="en-US"/>
        </w:rPr>
        <w:t>With regard to</w:t>
      </w:r>
      <w:r w:rsidR="002D4954" w:rsidRPr="002D4954">
        <w:rPr>
          <w:lang w:val="en-US"/>
        </w:rPr>
        <w:t xml:space="preserve"> the forecasts of the natural uranium</w:t>
      </w:r>
      <w:r w:rsidR="00265903">
        <w:rPr>
          <w:lang w:val="en-US"/>
        </w:rPr>
        <w:t xml:space="preserve"> </w:t>
      </w:r>
      <w:r w:rsidR="00265903" w:rsidRPr="002D4954">
        <w:rPr>
          <w:lang w:val="en-US"/>
        </w:rPr>
        <w:t>cost</w:t>
      </w:r>
      <w:r w:rsidR="002D4954" w:rsidRPr="002D4954">
        <w:rPr>
          <w:lang w:val="en-US"/>
        </w:rPr>
        <w:t xml:space="preserve">, this strategy does not find economic incentives </w:t>
      </w:r>
      <w:r w:rsidR="002D4954" w:rsidRPr="006837D8">
        <w:rPr>
          <w:lang w:val="en-US"/>
        </w:rPr>
        <w:t xml:space="preserve">for </w:t>
      </w:r>
      <w:r w:rsidR="006837D8" w:rsidRPr="006837D8">
        <w:rPr>
          <w:lang w:val="en-US"/>
        </w:rPr>
        <w:t xml:space="preserve">deployment </w:t>
      </w:r>
      <w:r w:rsidR="002D4954" w:rsidRPr="002D4954">
        <w:rPr>
          <w:lang w:val="en-US"/>
        </w:rPr>
        <w:t xml:space="preserve">until the end of the 2060s, when an economically justified significant increase in the capacity of thermal reactors with SNF </w:t>
      </w:r>
      <w:r w:rsidR="002D4954" w:rsidRPr="006837D8">
        <w:rPr>
          <w:lang w:val="en-US"/>
        </w:rPr>
        <w:t>reprocessing</w:t>
      </w:r>
      <w:r w:rsidR="00790E7D" w:rsidRPr="006837D8">
        <w:rPr>
          <w:lang w:val="en-US"/>
        </w:rPr>
        <w:t xml:space="preserve"> is ob</w:t>
      </w:r>
      <w:r w:rsidR="006837D8" w:rsidRPr="006837D8">
        <w:rPr>
          <w:lang w:val="en-US"/>
        </w:rPr>
        <w:t>served</w:t>
      </w:r>
      <w:r w:rsidR="002D4954" w:rsidRPr="006837D8">
        <w:rPr>
          <w:lang w:val="en-US"/>
        </w:rPr>
        <w:t>.</w:t>
      </w:r>
      <w:r w:rsidR="002D4954" w:rsidRPr="002D4954">
        <w:rPr>
          <w:lang w:val="en-US"/>
        </w:rPr>
        <w:t xml:space="preserve"> By the year 2080, this </w:t>
      </w:r>
      <w:r w:rsidR="006837D8" w:rsidRPr="006837D8">
        <w:rPr>
          <w:lang w:val="en-US"/>
        </w:rPr>
        <w:t>NES component</w:t>
      </w:r>
      <w:r w:rsidR="002D4954" w:rsidRPr="006837D8">
        <w:rPr>
          <w:lang w:val="en-US"/>
        </w:rPr>
        <w:t xml:space="preserve"> reaches</w:t>
      </w:r>
      <w:r w:rsidR="002D4954" w:rsidRPr="002D4954">
        <w:rPr>
          <w:lang w:val="en-US"/>
        </w:rPr>
        <w:t xml:space="preserve"> a value of ~ 500 GW and then remains approximately at this level. Thermal react</w:t>
      </w:r>
      <w:r w:rsidR="007F2A6F">
        <w:rPr>
          <w:lang w:val="en-US"/>
        </w:rPr>
        <w:t xml:space="preserve">ors with partial loading of MOX </w:t>
      </w:r>
      <w:r w:rsidR="002D4954" w:rsidRPr="002D4954">
        <w:rPr>
          <w:lang w:val="en-US"/>
        </w:rPr>
        <w:t xml:space="preserve">fuel </w:t>
      </w:r>
      <w:r w:rsidR="002D4954" w:rsidRPr="006837D8">
        <w:rPr>
          <w:lang w:val="en-US"/>
        </w:rPr>
        <w:t xml:space="preserve">and </w:t>
      </w:r>
      <w:r w:rsidR="006837D8" w:rsidRPr="006837D8">
        <w:rPr>
          <w:lang w:val="en-US"/>
        </w:rPr>
        <w:t>full reprocessing of the total amount</w:t>
      </w:r>
      <w:r w:rsidR="00D2737A" w:rsidRPr="006837D8">
        <w:rPr>
          <w:lang w:val="en-US"/>
        </w:rPr>
        <w:t xml:space="preserve"> </w:t>
      </w:r>
      <w:r w:rsidR="006837D8">
        <w:rPr>
          <w:lang w:val="en-US"/>
        </w:rPr>
        <w:t xml:space="preserve">of </w:t>
      </w:r>
      <w:r w:rsidR="007F2A6F" w:rsidRPr="006837D8">
        <w:rPr>
          <w:lang w:val="en-US"/>
        </w:rPr>
        <w:t>SNF</w:t>
      </w:r>
      <w:r w:rsidR="002D4954" w:rsidRPr="002D4954">
        <w:rPr>
          <w:lang w:val="en-US"/>
        </w:rPr>
        <w:t xml:space="preserve"> begin to be introduced into the structure of the global </w:t>
      </w:r>
      <w:r w:rsidR="007F2A6F">
        <w:rPr>
          <w:lang w:val="en-US"/>
        </w:rPr>
        <w:t>NES</w:t>
      </w:r>
      <w:r w:rsidR="002D4954" w:rsidRPr="002D4954">
        <w:rPr>
          <w:lang w:val="en-US"/>
        </w:rPr>
        <w:t xml:space="preserve"> in 2080, with a subsequent annual increase in the </w:t>
      </w:r>
      <w:r w:rsidR="007F2A6F">
        <w:rPr>
          <w:lang w:val="en-US"/>
        </w:rPr>
        <w:t xml:space="preserve">capacity </w:t>
      </w:r>
      <w:r w:rsidR="002D4954" w:rsidRPr="002D4954">
        <w:rPr>
          <w:lang w:val="en-US"/>
        </w:rPr>
        <w:t xml:space="preserve">of these reactors by ~ 10%. Fast </w:t>
      </w:r>
      <w:r w:rsidR="002D4954" w:rsidRPr="006837D8">
        <w:rPr>
          <w:lang w:val="en-US"/>
        </w:rPr>
        <w:t xml:space="preserve">reactors </w:t>
      </w:r>
      <w:r w:rsidR="006837D8" w:rsidRPr="006837D8">
        <w:rPr>
          <w:lang w:val="en-US"/>
        </w:rPr>
        <w:t>are</w:t>
      </w:r>
      <w:r w:rsidR="002D4954" w:rsidRPr="002D4954">
        <w:rPr>
          <w:lang w:val="en-US"/>
        </w:rPr>
        <w:t xml:space="preserve"> commissioned since the end of the 2040s with a capacity of about 3 GW</w:t>
      </w:r>
      <w:r w:rsidR="00D2737A" w:rsidRPr="006837D8">
        <w:rPr>
          <w:lang w:val="en-US"/>
        </w:rPr>
        <w:t>,</w:t>
      </w:r>
      <w:r w:rsidR="002D4954" w:rsidRPr="002D4954">
        <w:rPr>
          <w:lang w:val="en-US"/>
        </w:rPr>
        <w:t xml:space="preserve"> following thermal reactors wi</w:t>
      </w:r>
      <w:r w:rsidR="007F2A6F">
        <w:rPr>
          <w:lang w:val="en-US"/>
        </w:rPr>
        <w:t xml:space="preserve">th </w:t>
      </w:r>
      <w:r w:rsidR="00B9622F">
        <w:rPr>
          <w:lang w:val="en-US"/>
        </w:rPr>
        <w:t xml:space="preserve">spent </w:t>
      </w:r>
      <w:r w:rsidR="00B9622F" w:rsidRPr="006837D8">
        <w:rPr>
          <w:lang w:val="en-US"/>
        </w:rPr>
        <w:t>UOX fuel reprocessing</w:t>
      </w:r>
      <w:r w:rsidR="006837D8">
        <w:rPr>
          <w:lang w:val="en-US"/>
        </w:rPr>
        <w:t>,</w:t>
      </w:r>
      <w:r w:rsidR="007F2A6F">
        <w:rPr>
          <w:lang w:val="en-US"/>
        </w:rPr>
        <w:t xml:space="preserve"> </w:t>
      </w:r>
      <w:r w:rsidR="006837D8">
        <w:rPr>
          <w:lang w:val="en-US"/>
        </w:rPr>
        <w:t>and</w:t>
      </w:r>
      <w:r w:rsidR="002D4954" w:rsidRPr="002D4954">
        <w:rPr>
          <w:lang w:val="en-US"/>
        </w:rPr>
        <w:t xml:space="preserve"> remain at this level until the 2060s. </w:t>
      </w:r>
      <w:r w:rsidR="006837D8" w:rsidRPr="006837D8">
        <w:rPr>
          <w:lang w:val="en-US"/>
        </w:rPr>
        <w:t>I</w:t>
      </w:r>
      <w:r w:rsidR="002D4954" w:rsidRPr="006837D8">
        <w:rPr>
          <w:lang w:val="en-US"/>
        </w:rPr>
        <w:t xml:space="preserve">ntroduction of </w:t>
      </w:r>
      <w:r w:rsidR="00F83947">
        <w:rPr>
          <w:lang w:val="en-US"/>
        </w:rPr>
        <w:t>individual</w:t>
      </w:r>
      <w:r w:rsidR="002D4954" w:rsidRPr="006837D8">
        <w:rPr>
          <w:lang w:val="en-US"/>
        </w:rPr>
        <w:t xml:space="preserve"> </w:t>
      </w:r>
      <w:r w:rsidR="00D2737A" w:rsidRPr="006837D8">
        <w:rPr>
          <w:lang w:val="en-US"/>
        </w:rPr>
        <w:t xml:space="preserve">power </w:t>
      </w:r>
      <w:r w:rsidR="00440089" w:rsidRPr="006837D8">
        <w:rPr>
          <w:lang w:val="en-US"/>
        </w:rPr>
        <w:t xml:space="preserve">units </w:t>
      </w:r>
      <w:r w:rsidR="002D4954" w:rsidRPr="006837D8">
        <w:rPr>
          <w:lang w:val="en-US"/>
        </w:rPr>
        <w:t xml:space="preserve">of fast reactors into </w:t>
      </w:r>
      <w:r w:rsidR="00440089" w:rsidRPr="006837D8">
        <w:rPr>
          <w:lang w:val="en-US"/>
        </w:rPr>
        <w:t>the</w:t>
      </w:r>
      <w:r w:rsidR="002D4954" w:rsidRPr="006837D8">
        <w:rPr>
          <w:lang w:val="en-US"/>
        </w:rPr>
        <w:t xml:space="preserve"> structure optimized according to economic criteria is explain</w:t>
      </w:r>
      <w:r w:rsidR="005C760F" w:rsidRPr="005C760F">
        <w:rPr>
          <w:lang w:val="en-US"/>
        </w:rPr>
        <w:t>4</w:t>
      </w:r>
      <w:r w:rsidR="002D4954" w:rsidRPr="006837D8">
        <w:rPr>
          <w:lang w:val="en-US"/>
        </w:rPr>
        <w:t xml:space="preserve">ed by the need to </w:t>
      </w:r>
      <w:r w:rsidR="002D4954" w:rsidRPr="00F4799D">
        <w:rPr>
          <w:lang w:val="en-US"/>
        </w:rPr>
        <w:t>promptly</w:t>
      </w:r>
      <w:r w:rsidR="002D4954" w:rsidRPr="006837D8">
        <w:rPr>
          <w:lang w:val="en-US"/>
        </w:rPr>
        <w:t xml:space="preserve"> use plutonium separated from </w:t>
      </w:r>
      <w:r w:rsidR="001C1168" w:rsidRPr="006837D8">
        <w:rPr>
          <w:lang w:val="en-US"/>
        </w:rPr>
        <w:t xml:space="preserve">thermal reactor </w:t>
      </w:r>
      <w:r w:rsidR="00440089" w:rsidRPr="006837D8">
        <w:rPr>
          <w:lang w:val="en-US"/>
        </w:rPr>
        <w:t>SNF</w:t>
      </w:r>
      <w:r w:rsidR="002D4954" w:rsidRPr="006837D8">
        <w:rPr>
          <w:lang w:val="en-US"/>
        </w:rPr>
        <w:t xml:space="preserve"> in order to eliminate the </w:t>
      </w:r>
      <w:r w:rsidR="006837D8" w:rsidRPr="006837D8">
        <w:rPr>
          <w:lang w:val="en-US"/>
        </w:rPr>
        <w:t>expenses</w:t>
      </w:r>
      <w:r w:rsidR="002D4954" w:rsidRPr="006837D8">
        <w:rPr>
          <w:lang w:val="en-US"/>
        </w:rPr>
        <w:t xml:space="preserve"> associated with the high </w:t>
      </w:r>
      <w:r w:rsidR="006837D8" w:rsidRPr="006837D8">
        <w:rPr>
          <w:lang w:val="en-US"/>
        </w:rPr>
        <w:t>storage cost for</w:t>
      </w:r>
      <w:r w:rsidR="002D4954" w:rsidRPr="006837D8">
        <w:rPr>
          <w:lang w:val="en-US"/>
        </w:rPr>
        <w:t xml:space="preserve"> this plutonium. In the time interval from</w:t>
      </w:r>
      <w:r w:rsidR="002D4954" w:rsidRPr="002D4954">
        <w:rPr>
          <w:lang w:val="en-US"/>
        </w:rPr>
        <w:t xml:space="preserve"> 2060 to 2100, </w:t>
      </w:r>
      <w:r w:rsidR="00D83959" w:rsidRPr="00D83959">
        <w:rPr>
          <w:lang w:val="en-US"/>
        </w:rPr>
        <w:t xml:space="preserve">the capacity of fast reactors annually grows by </w:t>
      </w:r>
      <w:r w:rsidR="00D83959">
        <w:rPr>
          <w:lang w:val="en-US"/>
        </w:rPr>
        <w:t>~ 13%, which is accounted for</w:t>
      </w:r>
      <w:r w:rsidR="002D4954" w:rsidRPr="002D4954">
        <w:rPr>
          <w:lang w:val="en-US"/>
        </w:rPr>
        <w:t xml:space="preserve"> by an increase in the price of natural uranium and an increase in the cost of long-term storage of </w:t>
      </w:r>
      <w:r w:rsidR="00440089">
        <w:rPr>
          <w:lang w:val="en-US"/>
        </w:rPr>
        <w:t>SNF</w:t>
      </w:r>
      <w:r w:rsidR="002D4954" w:rsidRPr="002D4954">
        <w:rPr>
          <w:lang w:val="en-US"/>
        </w:rPr>
        <w:t xml:space="preserve"> in a</w:t>
      </w:r>
      <w:r w:rsidR="00B45DF8">
        <w:rPr>
          <w:lang w:val="en-US"/>
        </w:rPr>
        <w:t xml:space="preserve"> once-through</w:t>
      </w:r>
      <w:r w:rsidR="002D4954" w:rsidRPr="002D4954">
        <w:rPr>
          <w:lang w:val="en-US"/>
        </w:rPr>
        <w:t xml:space="preserve"> </w:t>
      </w:r>
      <w:r w:rsidR="00440089">
        <w:rPr>
          <w:lang w:val="en-US"/>
        </w:rPr>
        <w:t>NFC</w:t>
      </w:r>
      <w:r w:rsidR="002D4954" w:rsidRPr="002D4954">
        <w:rPr>
          <w:lang w:val="en-US"/>
        </w:rPr>
        <w:t xml:space="preserve">. Despite the fact </w:t>
      </w:r>
      <w:r w:rsidR="002D4954" w:rsidRPr="006837D8">
        <w:rPr>
          <w:lang w:val="en-US"/>
        </w:rPr>
        <w:t>that</w:t>
      </w:r>
      <w:r w:rsidR="006837D8" w:rsidRPr="006837D8">
        <w:rPr>
          <w:lang w:val="en-US"/>
        </w:rPr>
        <w:t xml:space="preserve"> until the middle of the century</w:t>
      </w:r>
      <w:r w:rsidR="002D4954" w:rsidRPr="002D4954">
        <w:rPr>
          <w:lang w:val="en-US"/>
        </w:rPr>
        <w:t xml:space="preserve"> the capacities of </w:t>
      </w:r>
      <w:r w:rsidR="00D83959">
        <w:rPr>
          <w:lang w:val="en-US"/>
        </w:rPr>
        <w:t xml:space="preserve">the </w:t>
      </w:r>
      <w:r w:rsidR="002D4954" w:rsidRPr="002D4954">
        <w:rPr>
          <w:lang w:val="en-US"/>
        </w:rPr>
        <w:t xml:space="preserve">reactors with SNF reprocessing </w:t>
      </w:r>
      <w:r w:rsidR="00011DE0">
        <w:rPr>
          <w:lang w:val="en-US"/>
        </w:rPr>
        <w:t>represent</w:t>
      </w:r>
      <w:r w:rsidR="002D4954" w:rsidRPr="002D4954">
        <w:rPr>
          <w:lang w:val="en-US"/>
        </w:rPr>
        <w:t xml:space="preserve"> an </w:t>
      </w:r>
      <w:r w:rsidR="002D4954" w:rsidRPr="00D83959">
        <w:rPr>
          <w:lang w:val="en-US"/>
        </w:rPr>
        <w:t xml:space="preserve">insignificant </w:t>
      </w:r>
      <w:r w:rsidR="00011DE0" w:rsidRPr="00D83959">
        <w:rPr>
          <w:lang w:val="en-US"/>
        </w:rPr>
        <w:t>part</w:t>
      </w:r>
      <w:r w:rsidR="002D4954" w:rsidRPr="00D83959">
        <w:rPr>
          <w:lang w:val="en-US"/>
        </w:rPr>
        <w:t xml:space="preserve"> in</w:t>
      </w:r>
      <w:r w:rsidR="002D4954" w:rsidRPr="002D4954">
        <w:rPr>
          <w:lang w:val="en-US"/>
        </w:rPr>
        <w:t xml:space="preserve"> the total electricity production, </w:t>
      </w:r>
      <w:r w:rsidR="00D83959" w:rsidRPr="00F4799D">
        <w:rPr>
          <w:lang w:val="en-US"/>
        </w:rPr>
        <w:t>maturing</w:t>
      </w:r>
      <w:r w:rsidR="002D4954" w:rsidRPr="00F4799D">
        <w:rPr>
          <w:lang w:val="en-US"/>
        </w:rPr>
        <w:t xml:space="preserve"> o</w:t>
      </w:r>
      <w:r w:rsidR="002D4954" w:rsidRPr="002D4954">
        <w:rPr>
          <w:lang w:val="en-US"/>
        </w:rPr>
        <w:t>f the tec</w:t>
      </w:r>
      <w:r w:rsidR="00D83959">
        <w:rPr>
          <w:lang w:val="en-US"/>
        </w:rPr>
        <w:t>hnology for</w:t>
      </w:r>
      <w:r w:rsidR="00D6302F">
        <w:rPr>
          <w:lang w:val="en-US"/>
        </w:rPr>
        <w:t xml:space="preserve"> the NFC </w:t>
      </w:r>
      <w:r w:rsidR="00D83959">
        <w:rPr>
          <w:lang w:val="en-US"/>
        </w:rPr>
        <w:t xml:space="preserve">closure </w:t>
      </w:r>
      <w:r w:rsidR="00D6302F">
        <w:rPr>
          <w:lang w:val="en-US"/>
        </w:rPr>
        <w:t>and</w:t>
      </w:r>
      <w:r w:rsidR="002D4954" w:rsidRPr="002D4954">
        <w:rPr>
          <w:lang w:val="en-US"/>
        </w:rPr>
        <w:t xml:space="preserve"> gradual </w:t>
      </w:r>
      <w:r w:rsidR="00011DE0">
        <w:rPr>
          <w:lang w:val="en-US"/>
        </w:rPr>
        <w:t>form</w:t>
      </w:r>
      <w:r w:rsidR="004B19BB">
        <w:rPr>
          <w:lang w:val="en-US"/>
        </w:rPr>
        <w:t>ation</w:t>
      </w:r>
      <w:r w:rsidR="00011DE0">
        <w:rPr>
          <w:lang w:val="en-US"/>
        </w:rPr>
        <w:t xml:space="preserve"> </w:t>
      </w:r>
      <w:r w:rsidR="002D4954" w:rsidRPr="002D4954">
        <w:rPr>
          <w:lang w:val="en-US"/>
        </w:rPr>
        <w:t>of the corresponding</w:t>
      </w:r>
      <w:r w:rsidR="00D6302F">
        <w:rPr>
          <w:lang w:val="en-US"/>
        </w:rPr>
        <w:t xml:space="preserve"> infrastructure is critical for</w:t>
      </w:r>
      <w:r w:rsidR="002D4954" w:rsidRPr="002D4954">
        <w:rPr>
          <w:lang w:val="en-US"/>
        </w:rPr>
        <w:t xml:space="preserve"> rapid deployment of innovative reactors and the fuel cycle when the economic benefits of these </w:t>
      </w:r>
      <w:r w:rsidR="00E65B28">
        <w:rPr>
          <w:lang w:val="en-US"/>
        </w:rPr>
        <w:t>technologies become evident</w:t>
      </w:r>
      <w:r w:rsidR="00440089">
        <w:rPr>
          <w:lang w:val="en-US"/>
        </w:rPr>
        <w:t>.</w:t>
      </w:r>
    </w:p>
    <w:p w14:paraId="10328A85" w14:textId="63C9732A" w:rsidR="002D4954" w:rsidRPr="00E03528" w:rsidRDefault="002D4954" w:rsidP="00711AC9">
      <w:pPr>
        <w:pStyle w:val="a1"/>
        <w:rPr>
          <w:lang w:val="en-US"/>
        </w:rPr>
      </w:pPr>
      <w:r w:rsidRPr="002D4954">
        <w:rPr>
          <w:lang w:val="en-US"/>
        </w:rPr>
        <w:t xml:space="preserve">The capabilities of the MESSAGE software package make it possible to obtain a </w:t>
      </w:r>
      <w:r w:rsidR="00E65B28" w:rsidRPr="00E03528">
        <w:rPr>
          <w:lang w:val="en-US"/>
        </w:rPr>
        <w:t>vision</w:t>
      </w:r>
      <w:r w:rsidRPr="00E03528">
        <w:rPr>
          <w:lang w:val="en-US"/>
        </w:rPr>
        <w:t xml:space="preserve"> of the </w:t>
      </w:r>
      <w:r w:rsidR="004B19BB" w:rsidRPr="00E03528">
        <w:rPr>
          <w:lang w:val="en-US"/>
        </w:rPr>
        <w:t xml:space="preserve">global NES structure </w:t>
      </w:r>
      <w:r w:rsidR="00D6302F" w:rsidRPr="00E03528">
        <w:rPr>
          <w:lang w:val="en-US"/>
        </w:rPr>
        <w:t xml:space="preserve">formation </w:t>
      </w:r>
      <w:r w:rsidRPr="00E03528">
        <w:rPr>
          <w:lang w:val="en-US"/>
        </w:rPr>
        <w:t xml:space="preserve">in time </w:t>
      </w:r>
      <w:r w:rsidR="00D6302F" w:rsidRPr="00E03528">
        <w:rPr>
          <w:lang w:val="en-US"/>
        </w:rPr>
        <w:t>in terms of</w:t>
      </w:r>
      <w:r w:rsidRPr="00E03528">
        <w:rPr>
          <w:lang w:val="en-US"/>
        </w:rPr>
        <w:t xml:space="preserve"> individual parameters of the system.</w:t>
      </w:r>
    </w:p>
    <w:p w14:paraId="153C8B1F" w14:textId="47DA5594" w:rsidR="00097A28" w:rsidRPr="00E03528" w:rsidRDefault="00097A28" w:rsidP="00711AC9">
      <w:pPr>
        <w:pStyle w:val="a1"/>
        <w:rPr>
          <w:lang w:val="en-US"/>
        </w:rPr>
      </w:pPr>
    </w:p>
    <w:p w14:paraId="4EB1D14B" w14:textId="04C46047" w:rsidR="00FA1D25" w:rsidRPr="00E03528" w:rsidRDefault="00656E73" w:rsidP="00711AC9">
      <w:pPr>
        <w:pStyle w:val="a1"/>
        <w:rPr>
          <w:b/>
          <w:bCs/>
          <w:lang w:val="en-US"/>
        </w:rPr>
      </w:pPr>
      <w:r w:rsidRPr="00E03528">
        <w:rPr>
          <w:b/>
          <w:bCs/>
          <w:lang w:val="en-US"/>
        </w:rPr>
        <w:t>4.2</w:t>
      </w:r>
      <w:r w:rsidR="008A5396" w:rsidRPr="00E03528">
        <w:rPr>
          <w:b/>
          <w:bCs/>
          <w:lang w:val="en-US"/>
        </w:rPr>
        <w:t>.</w:t>
      </w:r>
      <w:r w:rsidRPr="00E03528">
        <w:rPr>
          <w:b/>
          <w:bCs/>
          <w:lang w:val="en-US"/>
        </w:rPr>
        <w:t xml:space="preserve"> </w:t>
      </w:r>
      <w:r w:rsidR="004B19BB" w:rsidRPr="00E03528">
        <w:rPr>
          <w:b/>
          <w:bCs/>
          <w:lang w:val="en-US"/>
        </w:rPr>
        <w:t>Analysis of key economic criteria of the global two-component NES</w:t>
      </w:r>
    </w:p>
    <w:p w14:paraId="16B70A75" w14:textId="77777777" w:rsidR="00FA1D25" w:rsidRPr="00E03528" w:rsidRDefault="00FA1D25" w:rsidP="00711AC9">
      <w:pPr>
        <w:pStyle w:val="a1"/>
        <w:rPr>
          <w:lang w:val="en-US"/>
        </w:rPr>
      </w:pPr>
    </w:p>
    <w:p w14:paraId="36DEFB67" w14:textId="6F96FBD3" w:rsidR="004B19BB" w:rsidRPr="00E03528" w:rsidRDefault="004B19BB" w:rsidP="00711AC9">
      <w:pPr>
        <w:pStyle w:val="a1"/>
        <w:rPr>
          <w:lang w:val="en-US"/>
        </w:rPr>
      </w:pPr>
      <w:r w:rsidRPr="00E03528">
        <w:rPr>
          <w:lang w:val="en-US"/>
        </w:rPr>
        <w:t xml:space="preserve">Figure 3 shows the total </w:t>
      </w:r>
      <w:r w:rsidR="00E65B28" w:rsidRPr="00E03528">
        <w:rPr>
          <w:lang w:val="en-US"/>
        </w:rPr>
        <w:t xml:space="preserve">annual </w:t>
      </w:r>
      <w:r w:rsidRPr="00E03528">
        <w:rPr>
          <w:lang w:val="en-US"/>
        </w:rPr>
        <w:t xml:space="preserve">consumption of natural uranium </w:t>
      </w:r>
      <w:r w:rsidR="00146666" w:rsidRPr="00E03528">
        <w:rPr>
          <w:lang w:val="en-US"/>
        </w:rPr>
        <w:t xml:space="preserve">according to </w:t>
      </w:r>
      <w:r w:rsidRPr="00E03528">
        <w:rPr>
          <w:lang w:val="en-US"/>
        </w:rPr>
        <w:t>two cost categories</w:t>
      </w:r>
      <w:r w:rsidR="00F636A1">
        <w:rPr>
          <w:lang w:val="en-US"/>
        </w:rPr>
        <w:t xml:space="preserve"> ([a], [b])</w:t>
      </w:r>
      <w:r w:rsidRPr="00E03528">
        <w:rPr>
          <w:lang w:val="en-US"/>
        </w:rPr>
        <w:t xml:space="preserve"> for the reference </w:t>
      </w:r>
      <w:r w:rsidR="00146666" w:rsidRPr="00E03528">
        <w:rPr>
          <w:lang w:val="en-US"/>
        </w:rPr>
        <w:t xml:space="preserve">option </w:t>
      </w:r>
      <w:r w:rsidRPr="00E03528">
        <w:rPr>
          <w:lang w:val="en-US"/>
        </w:rPr>
        <w:t xml:space="preserve">of the global nuclear energy system model. It can be seen that the </w:t>
      </w:r>
      <w:r w:rsidR="00D6302F" w:rsidRPr="00E03528">
        <w:rPr>
          <w:lang w:val="en-US"/>
        </w:rPr>
        <w:t xml:space="preserve">projected </w:t>
      </w:r>
      <w:r w:rsidR="00146666" w:rsidRPr="00E03528">
        <w:rPr>
          <w:lang w:val="en-US"/>
        </w:rPr>
        <w:t>resources</w:t>
      </w:r>
      <w:r w:rsidRPr="00E03528">
        <w:rPr>
          <w:lang w:val="en-US"/>
        </w:rPr>
        <w:t xml:space="preserve"> of natural uranium of </w:t>
      </w:r>
      <w:r w:rsidR="00146666" w:rsidRPr="00E03528">
        <w:rPr>
          <w:lang w:val="en-US"/>
        </w:rPr>
        <w:t>the</w:t>
      </w:r>
      <w:r w:rsidRPr="00E03528">
        <w:rPr>
          <w:lang w:val="en-US"/>
        </w:rPr>
        <w:t xml:space="preserve"> cheap category are running out by the middle of the century, and then uranium of </w:t>
      </w:r>
      <w:r w:rsidR="00146666" w:rsidRPr="00E03528">
        <w:rPr>
          <w:lang w:val="en-US"/>
        </w:rPr>
        <w:t>the</w:t>
      </w:r>
      <w:r w:rsidRPr="00E03528">
        <w:rPr>
          <w:lang w:val="en-US"/>
        </w:rPr>
        <w:t xml:space="preserve"> more expensive category will have to be used. The shape of the curve of the annual consumption of natural uranium resources </w:t>
      </w:r>
      <w:r w:rsidR="0084401E" w:rsidRPr="00E03528">
        <w:rPr>
          <w:lang w:val="en-US"/>
        </w:rPr>
        <w:t>is similar to the curve that reflects</w:t>
      </w:r>
      <w:r w:rsidR="00D6302F" w:rsidRPr="00E03528">
        <w:rPr>
          <w:lang w:val="en-US"/>
        </w:rPr>
        <w:t xml:space="preserve"> </w:t>
      </w:r>
      <w:r w:rsidRPr="00E03528">
        <w:rPr>
          <w:lang w:val="en-US"/>
        </w:rPr>
        <w:t>the commissioning of thermal reactor capacities. T</w:t>
      </w:r>
      <w:r w:rsidR="00DE6697" w:rsidRPr="00E03528">
        <w:rPr>
          <w:lang w:val="en-US"/>
        </w:rPr>
        <w:t>he graph shows t</w:t>
      </w:r>
      <w:r w:rsidRPr="00E03528">
        <w:rPr>
          <w:lang w:val="en-US"/>
        </w:rPr>
        <w:t>wo small peaks in consumption in 2020 and 2080. This is due to the increased, in comparison with the annual</w:t>
      </w:r>
      <w:r w:rsidR="00DE6697" w:rsidRPr="00E03528">
        <w:rPr>
          <w:lang w:val="en-US"/>
        </w:rPr>
        <w:t xml:space="preserve"> one</w:t>
      </w:r>
      <w:r w:rsidRPr="00E03528">
        <w:rPr>
          <w:lang w:val="en-US"/>
        </w:rPr>
        <w:t xml:space="preserve">, value of the first loads of fresh fuel of the newly commissioned </w:t>
      </w:r>
      <w:r w:rsidR="0084401E" w:rsidRPr="00E03528">
        <w:rPr>
          <w:lang w:val="en-US"/>
        </w:rPr>
        <w:t xml:space="preserve">thermal reactor power </w:t>
      </w:r>
      <w:r w:rsidR="00DE6697" w:rsidRPr="00E03528">
        <w:rPr>
          <w:lang w:val="en-US"/>
        </w:rPr>
        <w:t>units</w:t>
      </w:r>
      <w:r w:rsidRPr="00E03528">
        <w:rPr>
          <w:lang w:val="en-US"/>
        </w:rPr>
        <w:t xml:space="preserve">. According to the scenario, the increase in electricity demand occurs after 2020, when new </w:t>
      </w:r>
      <w:r w:rsidR="0084401E" w:rsidRPr="00E03528">
        <w:rPr>
          <w:lang w:val="en-US"/>
        </w:rPr>
        <w:t xml:space="preserve">power </w:t>
      </w:r>
      <w:r w:rsidRPr="00E03528">
        <w:rPr>
          <w:lang w:val="en-US"/>
        </w:rPr>
        <w:t>units are added to the histo</w:t>
      </w:r>
      <w:r w:rsidR="00E65B28" w:rsidRPr="00E03528">
        <w:rPr>
          <w:lang w:val="en-US"/>
        </w:rPr>
        <w:t>rically existing reactors. As,</w:t>
      </w:r>
      <w:r w:rsidRPr="00E03528">
        <w:rPr>
          <w:lang w:val="en-US"/>
        </w:rPr>
        <w:t xml:space="preserve"> </w:t>
      </w:r>
      <w:r w:rsidR="00E65B28" w:rsidRPr="00E03528">
        <w:rPr>
          <w:lang w:val="en-US"/>
        </w:rPr>
        <w:t xml:space="preserve">according to the assumptions made in the study, </w:t>
      </w:r>
      <w:r w:rsidRPr="00E03528">
        <w:rPr>
          <w:lang w:val="en-US"/>
        </w:rPr>
        <w:t xml:space="preserve">the service life of </w:t>
      </w:r>
      <w:r w:rsidR="00E65B28" w:rsidRPr="00E03528">
        <w:rPr>
          <w:lang w:val="en-US"/>
        </w:rPr>
        <w:t>a</w:t>
      </w:r>
      <w:r w:rsidRPr="00E03528">
        <w:rPr>
          <w:lang w:val="en-US"/>
        </w:rPr>
        <w:t xml:space="preserve"> reactor </w:t>
      </w:r>
      <w:r w:rsidR="00926E29" w:rsidRPr="00E03528">
        <w:rPr>
          <w:lang w:val="en-US"/>
        </w:rPr>
        <w:t>unit</w:t>
      </w:r>
      <w:r w:rsidRPr="00E03528">
        <w:rPr>
          <w:lang w:val="en-US"/>
        </w:rPr>
        <w:t xml:space="preserve"> is 60 years, by 2080 it </w:t>
      </w:r>
      <w:r w:rsidR="00E65B28" w:rsidRPr="00E03528">
        <w:rPr>
          <w:lang w:val="en-US"/>
        </w:rPr>
        <w:t>will be</w:t>
      </w:r>
      <w:r w:rsidRPr="00E03528">
        <w:rPr>
          <w:lang w:val="en-US"/>
        </w:rPr>
        <w:t xml:space="preserve"> required to replace the </w:t>
      </w:r>
      <w:r w:rsidR="0084401E" w:rsidRPr="00E03528">
        <w:rPr>
          <w:lang w:val="en-US"/>
        </w:rPr>
        <w:t xml:space="preserve">power </w:t>
      </w:r>
      <w:r w:rsidR="00926E29" w:rsidRPr="00E03528">
        <w:rPr>
          <w:lang w:val="en-US"/>
        </w:rPr>
        <w:t>unit</w:t>
      </w:r>
      <w:r w:rsidRPr="00E03528">
        <w:rPr>
          <w:lang w:val="en-US"/>
        </w:rPr>
        <w:t>s that were commissi</w:t>
      </w:r>
      <w:r w:rsidR="00E65B28" w:rsidRPr="00E03528">
        <w:rPr>
          <w:lang w:val="en-US"/>
        </w:rPr>
        <w:t>oned in 2020, and again there will be</w:t>
      </w:r>
      <w:r w:rsidRPr="00E03528">
        <w:rPr>
          <w:lang w:val="en-US"/>
        </w:rPr>
        <w:t xml:space="preserve"> an intensive consumption of natural uranium through the initial loading.</w:t>
      </w:r>
    </w:p>
    <w:p w14:paraId="13B28FD0" w14:textId="77777777" w:rsidR="00656E73" w:rsidRPr="00E03528" w:rsidRDefault="00656E73" w:rsidP="00711AC9">
      <w:pPr>
        <w:pStyle w:val="a1"/>
        <w:rPr>
          <w:lang w:val="en-US"/>
        </w:rPr>
      </w:pPr>
    </w:p>
    <w:p w14:paraId="7BD47929" w14:textId="11C2CBE0" w:rsidR="00656E73" w:rsidRPr="007E1836" w:rsidRDefault="00000B9A" w:rsidP="00000B9A">
      <w:pPr>
        <w:spacing w:line="260" w:lineRule="atLeast"/>
        <w:jc w:val="center"/>
        <w:rPr>
          <w:sz w:val="20"/>
          <w:highlight w:val="cyan"/>
          <w:lang w:val="ru-RU"/>
        </w:rPr>
      </w:pPr>
      <w:r w:rsidRPr="007E1836">
        <w:rPr>
          <w:noProof/>
          <w:highlight w:val="cyan"/>
          <w:lang w:val="ru-RU" w:eastAsia="ru-RU"/>
        </w:rPr>
        <w:lastRenderedPageBreak/>
        <w:drawing>
          <wp:inline distT="0" distB="0" distL="0" distR="0" wp14:anchorId="7913FCE1" wp14:editId="79A6C091">
            <wp:extent cx="4705350" cy="26860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EC2974" w14:textId="0C80036D" w:rsidR="00656E73" w:rsidRPr="00B45DF8" w:rsidRDefault="004B19BB" w:rsidP="00000B9A">
      <w:pPr>
        <w:spacing w:line="260" w:lineRule="atLeast"/>
        <w:jc w:val="center"/>
        <w:rPr>
          <w:i/>
          <w:iCs/>
          <w:sz w:val="18"/>
          <w:szCs w:val="18"/>
          <w:lang w:val="en-US"/>
        </w:rPr>
      </w:pPr>
      <w:r w:rsidRPr="006462D5">
        <w:rPr>
          <w:i/>
          <w:iCs/>
          <w:sz w:val="18"/>
          <w:szCs w:val="18"/>
          <w:lang w:val="en-US"/>
        </w:rPr>
        <w:t>Figure</w:t>
      </w:r>
      <w:r w:rsidRPr="00B45DF8">
        <w:rPr>
          <w:i/>
          <w:iCs/>
          <w:sz w:val="18"/>
          <w:szCs w:val="18"/>
          <w:lang w:val="en-US"/>
        </w:rPr>
        <w:t xml:space="preserve"> </w:t>
      </w:r>
      <w:r w:rsidR="009705A2" w:rsidRPr="00B45DF8">
        <w:rPr>
          <w:i/>
          <w:iCs/>
          <w:sz w:val="18"/>
          <w:szCs w:val="18"/>
          <w:lang w:val="en-US"/>
        </w:rPr>
        <w:t xml:space="preserve">3. </w:t>
      </w:r>
      <w:r w:rsidRPr="006462D5">
        <w:rPr>
          <w:i/>
          <w:iCs/>
          <w:sz w:val="18"/>
          <w:szCs w:val="18"/>
          <w:lang w:val="en-US"/>
        </w:rPr>
        <w:t>Total</w:t>
      </w:r>
      <w:r w:rsidRPr="00B45DF8">
        <w:rPr>
          <w:i/>
          <w:iCs/>
          <w:sz w:val="18"/>
          <w:szCs w:val="18"/>
          <w:lang w:val="en-US"/>
        </w:rPr>
        <w:t xml:space="preserve"> </w:t>
      </w:r>
      <w:r w:rsidRPr="006462D5">
        <w:rPr>
          <w:i/>
          <w:iCs/>
          <w:sz w:val="18"/>
          <w:szCs w:val="18"/>
          <w:lang w:val="en-US"/>
        </w:rPr>
        <w:t>natural</w:t>
      </w:r>
      <w:r w:rsidRPr="00B45DF8">
        <w:rPr>
          <w:i/>
          <w:iCs/>
          <w:sz w:val="18"/>
          <w:szCs w:val="18"/>
          <w:lang w:val="en-US"/>
        </w:rPr>
        <w:t xml:space="preserve"> </w:t>
      </w:r>
      <w:r w:rsidRPr="006462D5">
        <w:rPr>
          <w:i/>
          <w:iCs/>
          <w:sz w:val="18"/>
          <w:szCs w:val="18"/>
          <w:lang w:val="en-US"/>
        </w:rPr>
        <w:t>uranium</w:t>
      </w:r>
      <w:r w:rsidRPr="00B45DF8">
        <w:rPr>
          <w:i/>
          <w:iCs/>
          <w:sz w:val="18"/>
          <w:szCs w:val="18"/>
          <w:lang w:val="en-US"/>
        </w:rPr>
        <w:t xml:space="preserve"> </w:t>
      </w:r>
      <w:r w:rsidRPr="006462D5">
        <w:rPr>
          <w:i/>
          <w:iCs/>
          <w:sz w:val="18"/>
          <w:szCs w:val="18"/>
          <w:lang w:val="en-US"/>
        </w:rPr>
        <w:t>consumption</w:t>
      </w:r>
    </w:p>
    <w:p w14:paraId="4D049BC6" w14:textId="77777777" w:rsidR="005B0117" w:rsidRPr="00B45DF8" w:rsidRDefault="005B0117" w:rsidP="0070243C">
      <w:pPr>
        <w:spacing w:line="260" w:lineRule="atLeast"/>
        <w:ind w:firstLine="600"/>
        <w:rPr>
          <w:szCs w:val="24"/>
          <w:highlight w:val="cyan"/>
          <w:lang w:val="en-US"/>
        </w:rPr>
      </w:pPr>
    </w:p>
    <w:p w14:paraId="372ECF2C" w14:textId="18AD5CA3" w:rsidR="00926E29" w:rsidRPr="00E03528" w:rsidRDefault="00926E29" w:rsidP="00711AC9">
      <w:pPr>
        <w:pStyle w:val="a1"/>
        <w:rPr>
          <w:lang w:val="en-US"/>
        </w:rPr>
      </w:pPr>
      <w:r w:rsidRPr="00711AC9">
        <w:rPr>
          <w:lang w:val="en-US"/>
        </w:rPr>
        <w:t>From Figure 2 it follows that UOX fuel constitutes the main part of the NES needs. Therefore, the consu</w:t>
      </w:r>
      <w:r w:rsidR="00E65B28">
        <w:rPr>
          <w:lang w:val="en-US"/>
        </w:rPr>
        <w:t xml:space="preserve">mption of fresh UOX </w:t>
      </w:r>
      <w:r w:rsidR="00E65B28" w:rsidRPr="00261617">
        <w:rPr>
          <w:lang w:val="en-US"/>
        </w:rPr>
        <w:t>fuel</w:t>
      </w:r>
      <w:r w:rsidR="00261617" w:rsidRPr="00261617">
        <w:rPr>
          <w:lang w:val="en-US"/>
        </w:rPr>
        <w:t xml:space="preserve"> to a large extent </w:t>
      </w:r>
      <w:r w:rsidRPr="00261617">
        <w:rPr>
          <w:lang w:val="en-US"/>
        </w:rPr>
        <w:t xml:space="preserve">follows </w:t>
      </w:r>
      <w:r w:rsidR="00C312BC" w:rsidRPr="00261617">
        <w:rPr>
          <w:lang w:val="en-US"/>
        </w:rPr>
        <w:t>the schedule</w:t>
      </w:r>
      <w:r w:rsidRPr="00261617">
        <w:rPr>
          <w:lang w:val="en-US"/>
        </w:rPr>
        <w:t xml:space="preserve"> of </w:t>
      </w:r>
      <w:r w:rsidR="00261617" w:rsidRPr="00711AC9">
        <w:rPr>
          <w:lang w:val="en-US"/>
        </w:rPr>
        <w:t>thermal reactors</w:t>
      </w:r>
      <w:r w:rsidR="00261617">
        <w:rPr>
          <w:lang w:val="en-US"/>
        </w:rPr>
        <w:t xml:space="preserve">’ </w:t>
      </w:r>
      <w:r w:rsidRPr="00261617">
        <w:rPr>
          <w:lang w:val="en-US"/>
        </w:rPr>
        <w:t>commissioning</w:t>
      </w:r>
      <w:r w:rsidRPr="00AF4221">
        <w:rPr>
          <w:lang w:val="en-US"/>
        </w:rPr>
        <w:t>. Starting from</w:t>
      </w:r>
      <w:r w:rsidRPr="00711AC9">
        <w:rPr>
          <w:lang w:val="en-US"/>
        </w:rPr>
        <w:t xml:space="preserve"> 2060, </w:t>
      </w:r>
      <w:r w:rsidR="00261617" w:rsidRPr="00E03528">
        <w:rPr>
          <w:lang w:val="en-US"/>
        </w:rPr>
        <w:t>MOX fuel demand emerges</w:t>
      </w:r>
      <w:r w:rsidRPr="00E03528">
        <w:rPr>
          <w:lang w:val="en-US"/>
        </w:rPr>
        <w:t xml:space="preserve">, which reaches ~ 30% of the total annual fuel mass by 2100. The average annual growth in the </w:t>
      </w:r>
      <w:r w:rsidR="002C4959" w:rsidRPr="00E03528">
        <w:rPr>
          <w:lang w:val="en-US"/>
        </w:rPr>
        <w:t>amount</w:t>
      </w:r>
      <w:r w:rsidR="00C312BC" w:rsidRPr="00E03528">
        <w:rPr>
          <w:lang w:val="en-US"/>
        </w:rPr>
        <w:t xml:space="preserve"> </w:t>
      </w:r>
      <w:r w:rsidRPr="00E03528">
        <w:rPr>
          <w:lang w:val="en-US"/>
        </w:rPr>
        <w:t xml:space="preserve">of MOX fuel in the 2060 - 2100 segment is ~ 7%. </w:t>
      </w:r>
      <w:r w:rsidRPr="00900E82">
        <w:rPr>
          <w:lang w:val="en-US"/>
        </w:rPr>
        <w:t>Since 2080, the growth in fuel demand is determined by MOX fuel, while the demand for UO</w:t>
      </w:r>
      <w:r w:rsidR="002C4959" w:rsidRPr="00900E82">
        <w:rPr>
          <w:lang w:val="en-US"/>
        </w:rPr>
        <w:t>X</w:t>
      </w:r>
      <w:r w:rsidRPr="00900E82">
        <w:rPr>
          <w:lang w:val="en-US"/>
        </w:rPr>
        <w:t xml:space="preserve"> fuel is </w:t>
      </w:r>
      <w:r w:rsidR="00ED17F5" w:rsidRPr="00900E82">
        <w:rPr>
          <w:lang w:val="en-US"/>
        </w:rPr>
        <w:t>decreased</w:t>
      </w:r>
      <w:r w:rsidR="00900E82" w:rsidRPr="00900E82">
        <w:rPr>
          <w:lang w:val="en-US"/>
        </w:rPr>
        <w:t>.</w:t>
      </w:r>
    </w:p>
    <w:p w14:paraId="33F0A10D" w14:textId="574EB5E9" w:rsidR="00965CBA" w:rsidRPr="00E03528" w:rsidRDefault="002C4959" w:rsidP="00711AC9">
      <w:pPr>
        <w:pStyle w:val="a1"/>
        <w:rPr>
          <w:lang w:val="en-US"/>
        </w:rPr>
      </w:pPr>
      <w:r w:rsidRPr="00E03528">
        <w:rPr>
          <w:lang w:val="en-US"/>
        </w:rPr>
        <w:t>Fi</w:t>
      </w:r>
      <w:r w:rsidR="00926E29" w:rsidRPr="00E03528">
        <w:rPr>
          <w:lang w:val="en-US"/>
        </w:rPr>
        <w:t>g</w:t>
      </w:r>
      <w:r w:rsidRPr="00E03528">
        <w:rPr>
          <w:lang w:val="en-US"/>
        </w:rPr>
        <w:t>ure</w:t>
      </w:r>
      <w:r w:rsidR="00926E29" w:rsidRPr="00E03528">
        <w:rPr>
          <w:lang w:val="en-US"/>
        </w:rPr>
        <w:t xml:space="preserve"> 4 presents the</w:t>
      </w:r>
      <w:r w:rsidR="00261617" w:rsidRPr="00E03528">
        <w:rPr>
          <w:lang w:val="en-US"/>
        </w:rPr>
        <w:t xml:space="preserve"> demands</w:t>
      </w:r>
      <w:r w:rsidR="00926E29" w:rsidRPr="00E03528">
        <w:rPr>
          <w:lang w:val="en-US"/>
        </w:rPr>
        <w:t xml:space="preserve"> for the </w:t>
      </w:r>
      <w:r w:rsidR="00261617" w:rsidRPr="00E03528">
        <w:rPr>
          <w:lang w:val="en-US"/>
        </w:rPr>
        <w:t xml:space="preserve">total </w:t>
      </w:r>
      <w:r w:rsidR="00926E29" w:rsidRPr="00E03528">
        <w:rPr>
          <w:lang w:val="en-US"/>
        </w:rPr>
        <w:t xml:space="preserve">annual </w:t>
      </w:r>
      <w:r w:rsidR="00261617" w:rsidRPr="00E03528">
        <w:rPr>
          <w:lang w:val="en-US"/>
        </w:rPr>
        <w:t xml:space="preserve">SNF reprocessing in </w:t>
      </w:r>
      <w:r w:rsidRPr="00E03528">
        <w:rPr>
          <w:lang w:val="en-US"/>
        </w:rPr>
        <w:t>the</w:t>
      </w:r>
      <w:r w:rsidR="00926E29" w:rsidRPr="00E03528">
        <w:rPr>
          <w:lang w:val="en-US"/>
        </w:rPr>
        <w:t xml:space="preserve"> global NES.</w:t>
      </w:r>
      <w:r w:rsidR="00965CBA" w:rsidRPr="00E03528">
        <w:rPr>
          <w:lang w:val="en-US"/>
        </w:rPr>
        <w:t xml:space="preserve"> </w:t>
      </w:r>
    </w:p>
    <w:p w14:paraId="3569D53F" w14:textId="6C85B4DB" w:rsidR="009705A2" w:rsidRPr="00711AC9" w:rsidRDefault="009705A2" w:rsidP="00711AC9">
      <w:pPr>
        <w:pStyle w:val="a1"/>
        <w:rPr>
          <w:highlight w:val="cyan"/>
          <w:lang w:val="en-US"/>
        </w:rPr>
      </w:pPr>
    </w:p>
    <w:p w14:paraId="607827D3" w14:textId="5A260B8B" w:rsidR="00965CBA" w:rsidRPr="00711AC9" w:rsidRDefault="008A5396" w:rsidP="00711AC9">
      <w:pPr>
        <w:pStyle w:val="a1"/>
        <w:rPr>
          <w:highlight w:val="cyan"/>
          <w:lang w:val="ru-RU"/>
        </w:rPr>
      </w:pPr>
      <w:r w:rsidRPr="00711AC9">
        <w:rPr>
          <w:noProof/>
          <w:highlight w:val="cyan"/>
          <w:lang w:val="ru-RU" w:eastAsia="ru-RU"/>
        </w:rPr>
        <w:drawing>
          <wp:inline distT="0" distB="0" distL="0" distR="0" wp14:anchorId="0095C6F7" wp14:editId="7A187EE6">
            <wp:extent cx="4780477" cy="2403454"/>
            <wp:effectExtent l="0" t="0" r="12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C389E3" w14:textId="70917E00" w:rsidR="009705A2" w:rsidRPr="00711AC9" w:rsidRDefault="002C4959" w:rsidP="0023417F">
      <w:pPr>
        <w:pStyle w:val="a1"/>
        <w:jc w:val="center"/>
        <w:rPr>
          <w:i/>
          <w:iCs/>
          <w:lang w:val="en-US"/>
        </w:rPr>
      </w:pPr>
      <w:r w:rsidRPr="00711AC9">
        <w:rPr>
          <w:rFonts w:eastAsia="Calibri"/>
          <w:i/>
          <w:iCs/>
          <w:lang w:val="en-US"/>
        </w:rPr>
        <w:t xml:space="preserve">Figure </w:t>
      </w:r>
      <w:r w:rsidR="00965CBA" w:rsidRPr="00711AC9">
        <w:rPr>
          <w:rFonts w:eastAsia="Calibri"/>
          <w:i/>
          <w:iCs/>
          <w:lang w:val="en-US"/>
        </w:rPr>
        <w:t>4</w:t>
      </w:r>
      <w:r w:rsidR="006C7537" w:rsidRPr="00711AC9">
        <w:rPr>
          <w:rFonts w:eastAsia="Calibri"/>
          <w:i/>
          <w:iCs/>
          <w:lang w:val="en-US"/>
        </w:rPr>
        <w:t>.</w:t>
      </w:r>
      <w:r w:rsidR="00965CBA" w:rsidRPr="00711AC9">
        <w:rPr>
          <w:rFonts w:eastAsia="Calibri"/>
          <w:i/>
          <w:iCs/>
          <w:lang w:val="en-US"/>
        </w:rPr>
        <w:t xml:space="preserve"> </w:t>
      </w:r>
      <w:r w:rsidRPr="00711AC9">
        <w:rPr>
          <w:i/>
          <w:iCs/>
          <w:lang w:val="en-US"/>
        </w:rPr>
        <w:t>SNF reprocessing</w:t>
      </w:r>
    </w:p>
    <w:p w14:paraId="48E7FC42" w14:textId="4C051097" w:rsidR="009705A2" w:rsidRPr="00E03528" w:rsidRDefault="009705A2" w:rsidP="00711AC9">
      <w:pPr>
        <w:pStyle w:val="a1"/>
        <w:rPr>
          <w:i/>
          <w:iCs/>
          <w:lang w:val="en-US"/>
        </w:rPr>
      </w:pPr>
    </w:p>
    <w:p w14:paraId="26E0BE91" w14:textId="1923798A" w:rsidR="002C4959" w:rsidRPr="00E03528" w:rsidRDefault="00DE6697" w:rsidP="00711AC9">
      <w:pPr>
        <w:pStyle w:val="a1"/>
        <w:rPr>
          <w:lang w:val="en-US"/>
        </w:rPr>
      </w:pPr>
      <w:r w:rsidRPr="00E03528">
        <w:rPr>
          <w:lang w:val="en-US"/>
        </w:rPr>
        <w:t>T</w:t>
      </w:r>
      <w:r w:rsidR="002C4959" w:rsidRPr="00E03528">
        <w:rPr>
          <w:lang w:val="en-US"/>
        </w:rPr>
        <w:t>he figure</w:t>
      </w:r>
      <w:r w:rsidRPr="00E03528">
        <w:rPr>
          <w:lang w:val="en-US"/>
        </w:rPr>
        <w:t xml:space="preserve"> shows</w:t>
      </w:r>
      <w:r w:rsidR="002C4959" w:rsidRPr="00E03528">
        <w:rPr>
          <w:lang w:val="en-US"/>
        </w:rPr>
        <w:t xml:space="preserve"> that economically motivated </w:t>
      </w:r>
      <w:r w:rsidR="009F345B" w:rsidRPr="00E03528">
        <w:rPr>
          <w:lang w:val="en-US"/>
        </w:rPr>
        <w:t>SNF reprocessing at a</w:t>
      </w:r>
      <w:r w:rsidR="002C4959" w:rsidRPr="00E03528">
        <w:rPr>
          <w:lang w:val="en-US"/>
        </w:rPr>
        <w:t xml:space="preserve"> significant scale begins in 2075. Prior to that, it </w:t>
      </w:r>
      <w:r w:rsidR="009F345B" w:rsidRPr="00E03528">
        <w:rPr>
          <w:lang w:val="en-US"/>
        </w:rPr>
        <w:t>is</w:t>
      </w:r>
      <w:r w:rsidR="002C4959" w:rsidRPr="00E03528">
        <w:rPr>
          <w:lang w:val="en-US"/>
        </w:rPr>
        <w:t xml:space="preserve"> carried out within the framework of </w:t>
      </w:r>
      <w:r w:rsidR="00261617" w:rsidRPr="00E03528">
        <w:rPr>
          <w:lang w:val="en-US"/>
        </w:rPr>
        <w:t xml:space="preserve">the </w:t>
      </w:r>
      <w:r w:rsidR="002C4959" w:rsidRPr="00E03528">
        <w:rPr>
          <w:lang w:val="en-US"/>
        </w:rPr>
        <w:t xml:space="preserve">programs for </w:t>
      </w:r>
      <w:r w:rsidR="00422463" w:rsidRPr="00E03528">
        <w:rPr>
          <w:lang w:val="en-US"/>
        </w:rPr>
        <w:t xml:space="preserve">maturing of </w:t>
      </w:r>
      <w:r w:rsidR="00261617" w:rsidRPr="00E03528">
        <w:rPr>
          <w:lang w:val="en-US"/>
        </w:rPr>
        <w:t>NFC closure technologies</w:t>
      </w:r>
      <w:r w:rsidRPr="00E03528">
        <w:rPr>
          <w:lang w:val="en-US"/>
        </w:rPr>
        <w:t>,</w:t>
      </w:r>
      <w:r w:rsidR="00C3252F" w:rsidRPr="00E03528">
        <w:rPr>
          <w:lang w:val="en-US"/>
        </w:rPr>
        <w:t xml:space="preserve"> </w:t>
      </w:r>
      <w:r w:rsidR="00422463" w:rsidRPr="00E03528">
        <w:rPr>
          <w:lang w:val="en-US"/>
        </w:rPr>
        <w:t>and its incorporation</w:t>
      </w:r>
      <w:r w:rsidR="002C4959" w:rsidRPr="00E03528">
        <w:rPr>
          <w:lang w:val="en-US"/>
        </w:rPr>
        <w:t xml:space="preserve"> in</w:t>
      </w:r>
      <w:r w:rsidR="00C3252F" w:rsidRPr="00E03528">
        <w:rPr>
          <w:lang w:val="en-US"/>
        </w:rPr>
        <w:t>to</w:t>
      </w:r>
      <w:r w:rsidR="002C4959" w:rsidRPr="00E03528">
        <w:rPr>
          <w:lang w:val="en-US"/>
        </w:rPr>
        <w:t xml:space="preserve"> </w:t>
      </w:r>
      <w:r w:rsidR="00C3252F" w:rsidRPr="00E03528">
        <w:rPr>
          <w:lang w:val="en-US"/>
        </w:rPr>
        <w:t>the</w:t>
      </w:r>
      <w:r w:rsidR="002C4959" w:rsidRPr="00E03528">
        <w:rPr>
          <w:lang w:val="en-US"/>
        </w:rPr>
        <w:t xml:space="preserve"> system optimized in terms of reduced costs is determined by a decrease in the cost of separated plutonium</w:t>
      </w:r>
      <w:r w:rsidR="00C3252F" w:rsidRPr="00E03528">
        <w:rPr>
          <w:lang w:val="en-US"/>
        </w:rPr>
        <w:t xml:space="preserve"> storage</w:t>
      </w:r>
      <w:r w:rsidR="002C4959" w:rsidRPr="00E03528">
        <w:rPr>
          <w:lang w:val="en-US"/>
        </w:rPr>
        <w:t xml:space="preserve">. In the </w:t>
      </w:r>
      <w:r w:rsidR="00C3252F" w:rsidRPr="00E03528">
        <w:rPr>
          <w:lang w:val="en-US"/>
        </w:rPr>
        <w:t>time interval after</w:t>
      </w:r>
      <w:r w:rsidR="002C4959" w:rsidRPr="00E03528">
        <w:rPr>
          <w:lang w:val="en-US"/>
        </w:rPr>
        <w:t xml:space="preserve"> 2080, there is a significant increase in </w:t>
      </w:r>
      <w:r w:rsidRPr="00E03528">
        <w:rPr>
          <w:lang w:val="en-US"/>
        </w:rPr>
        <w:t>re</w:t>
      </w:r>
      <w:r w:rsidR="002C4959" w:rsidRPr="00E03528">
        <w:rPr>
          <w:lang w:val="en-US"/>
        </w:rPr>
        <w:t>processing volumes, from ~</w:t>
      </w:r>
      <w:r w:rsidR="00C3252F" w:rsidRPr="00E03528">
        <w:rPr>
          <w:lang w:val="en-US"/>
        </w:rPr>
        <w:t xml:space="preserve"> 200 </w:t>
      </w:r>
      <w:proofErr w:type="spellStart"/>
      <w:r w:rsidR="00422463" w:rsidRPr="00E03528">
        <w:rPr>
          <w:lang w:val="en-US"/>
        </w:rPr>
        <w:t>tonnes</w:t>
      </w:r>
      <w:proofErr w:type="spellEnd"/>
      <w:r w:rsidR="00C3252F" w:rsidRPr="00E03528">
        <w:rPr>
          <w:lang w:val="en-US"/>
        </w:rPr>
        <w:t xml:space="preserve">/year to ~ 5000 </w:t>
      </w:r>
      <w:proofErr w:type="spellStart"/>
      <w:r w:rsidR="00422463" w:rsidRPr="00E03528">
        <w:rPr>
          <w:lang w:val="en-US"/>
        </w:rPr>
        <w:t>tonnes</w:t>
      </w:r>
      <w:proofErr w:type="spellEnd"/>
      <w:r w:rsidR="002C4959" w:rsidRPr="00E03528">
        <w:rPr>
          <w:lang w:val="en-US"/>
        </w:rPr>
        <w:t>/year.</w:t>
      </w:r>
    </w:p>
    <w:p w14:paraId="4893D30A" w14:textId="6F0298B3" w:rsidR="002C4959" w:rsidRPr="00E03528" w:rsidRDefault="002C4959" w:rsidP="00711AC9">
      <w:pPr>
        <w:pStyle w:val="a1"/>
        <w:rPr>
          <w:lang w:val="en-US"/>
        </w:rPr>
      </w:pPr>
      <w:r w:rsidRPr="00E03528">
        <w:rPr>
          <w:lang w:val="en-US"/>
        </w:rPr>
        <w:t>The estimates</w:t>
      </w:r>
      <w:r w:rsidR="003C3039" w:rsidRPr="00E03528">
        <w:rPr>
          <w:lang w:val="en-US"/>
        </w:rPr>
        <w:t xml:space="preserve"> </w:t>
      </w:r>
      <w:r w:rsidRPr="00E03528">
        <w:rPr>
          <w:lang w:val="en-US"/>
        </w:rPr>
        <w:t xml:space="preserve">of the </w:t>
      </w:r>
      <w:r w:rsidR="00C3252F" w:rsidRPr="00E03528">
        <w:rPr>
          <w:lang w:val="en-US"/>
        </w:rPr>
        <w:t xml:space="preserve">SNF </w:t>
      </w:r>
      <w:r w:rsidRPr="00E03528">
        <w:rPr>
          <w:lang w:val="en-US"/>
        </w:rPr>
        <w:t>accumulation in the global N</w:t>
      </w:r>
      <w:r w:rsidR="00C3252F" w:rsidRPr="00E03528">
        <w:rPr>
          <w:lang w:val="en-US"/>
        </w:rPr>
        <w:t>E</w:t>
      </w:r>
      <w:r w:rsidRPr="00E03528">
        <w:rPr>
          <w:lang w:val="en-US"/>
        </w:rPr>
        <w:t xml:space="preserve">S, </w:t>
      </w:r>
      <w:r w:rsidR="003C3039" w:rsidRPr="00E03528">
        <w:rPr>
          <w:lang w:val="en-US"/>
        </w:rPr>
        <w:t>obtained in the study with regard to</w:t>
      </w:r>
      <w:r w:rsidRPr="00E03528">
        <w:rPr>
          <w:lang w:val="en-US"/>
        </w:rPr>
        <w:t xml:space="preserve"> the fuel cooled in the storage pools, </w:t>
      </w:r>
      <w:r w:rsidR="00422463" w:rsidRPr="00E03528">
        <w:rPr>
          <w:lang w:val="en-US"/>
        </w:rPr>
        <w:t>interim</w:t>
      </w:r>
      <w:r w:rsidRPr="00E03528">
        <w:rPr>
          <w:lang w:val="en-US"/>
        </w:rPr>
        <w:t xml:space="preserve"> storage and subject to final disposal, showed that almost the entire volume of accumulated SNF is determined by thermal reactors </w:t>
      </w:r>
      <w:r w:rsidR="00924787" w:rsidRPr="00E03528">
        <w:rPr>
          <w:lang w:val="en-US"/>
        </w:rPr>
        <w:t>whose</w:t>
      </w:r>
      <w:r w:rsidRPr="00E03528">
        <w:rPr>
          <w:lang w:val="en-US"/>
        </w:rPr>
        <w:t xml:space="preserve"> spent fuel is not reprocessed. </w:t>
      </w:r>
      <w:r w:rsidRPr="00900E82">
        <w:rPr>
          <w:lang w:val="en-US"/>
        </w:rPr>
        <w:t xml:space="preserve">In the period from 2020 to 2100, the </w:t>
      </w:r>
      <w:r w:rsidR="00924787" w:rsidRPr="00900E82">
        <w:rPr>
          <w:lang w:val="en-US"/>
        </w:rPr>
        <w:t xml:space="preserve">amount </w:t>
      </w:r>
      <w:r w:rsidRPr="00900E82">
        <w:rPr>
          <w:lang w:val="en-US"/>
        </w:rPr>
        <w:t xml:space="preserve">of stored SNF from other types of reactors does not exceed 10%. The storage volume of SNF from fast reactors </w:t>
      </w:r>
      <w:r w:rsidR="003C3039" w:rsidRPr="00900E82">
        <w:rPr>
          <w:lang w:val="en-US"/>
        </w:rPr>
        <w:t>covers</w:t>
      </w:r>
      <w:r w:rsidRPr="00900E82">
        <w:rPr>
          <w:lang w:val="en-US"/>
        </w:rPr>
        <w:t xml:space="preserve"> the smallest part of the </w:t>
      </w:r>
      <w:r w:rsidR="003C3039" w:rsidRPr="00900E82">
        <w:rPr>
          <w:lang w:val="en-US"/>
        </w:rPr>
        <w:t xml:space="preserve">entire SNF </w:t>
      </w:r>
      <w:r w:rsidRPr="00900E82">
        <w:rPr>
          <w:lang w:val="en-US"/>
        </w:rPr>
        <w:t xml:space="preserve">volume in the global NES. This is due to the small </w:t>
      </w:r>
      <w:r w:rsidR="00422463" w:rsidRPr="00900E82">
        <w:rPr>
          <w:lang w:val="en-US"/>
        </w:rPr>
        <w:t>share</w:t>
      </w:r>
      <w:r w:rsidRPr="00900E82">
        <w:rPr>
          <w:lang w:val="en-US"/>
        </w:rPr>
        <w:t xml:space="preserve"> of </w:t>
      </w:r>
      <w:r w:rsidR="00422463" w:rsidRPr="00900E82">
        <w:rPr>
          <w:lang w:val="en-US"/>
        </w:rPr>
        <w:t>fast reactors in the system and</w:t>
      </w:r>
      <w:r w:rsidRPr="00900E82">
        <w:rPr>
          <w:lang w:val="en-US"/>
        </w:rPr>
        <w:t xml:space="preserve"> </w:t>
      </w:r>
      <w:r w:rsidR="00924787" w:rsidRPr="00900E82">
        <w:rPr>
          <w:lang w:val="en-US"/>
        </w:rPr>
        <w:t xml:space="preserve">recycling </w:t>
      </w:r>
      <w:r w:rsidRPr="00900E82">
        <w:rPr>
          <w:lang w:val="en-US"/>
        </w:rPr>
        <w:t>of spent fuel from these reactors.</w:t>
      </w:r>
    </w:p>
    <w:p w14:paraId="185FF50F" w14:textId="5065198A" w:rsidR="00924787" w:rsidRPr="00E03528" w:rsidRDefault="00924787" w:rsidP="00711AC9">
      <w:pPr>
        <w:pStyle w:val="a1"/>
        <w:rPr>
          <w:lang w:val="en-US"/>
        </w:rPr>
      </w:pPr>
      <w:r w:rsidRPr="00E03528">
        <w:rPr>
          <w:lang w:val="en-US"/>
        </w:rPr>
        <w:t>In the mathematical model of the global NES implemented in the MESSAGE software package, plutonium is present in two categories: separated</w:t>
      </w:r>
      <w:r w:rsidRPr="00711AC9">
        <w:rPr>
          <w:lang w:val="en-US"/>
        </w:rPr>
        <w:t xml:space="preserve"> plutonium and plutonium contained in reactor SNF. </w:t>
      </w:r>
      <w:r w:rsidR="00DF0600" w:rsidRPr="00711AC9">
        <w:rPr>
          <w:lang w:val="en-US"/>
        </w:rPr>
        <w:t>The c</w:t>
      </w:r>
      <w:r w:rsidRPr="00711AC9">
        <w:rPr>
          <w:lang w:val="en-US"/>
        </w:rPr>
        <w:t xml:space="preserve">alculations show that </w:t>
      </w:r>
      <w:r w:rsidRPr="00711AC9">
        <w:rPr>
          <w:lang w:val="en-US"/>
        </w:rPr>
        <w:lastRenderedPageBreak/>
        <w:t xml:space="preserve">separated plutonium is at the minimum level of </w:t>
      </w:r>
      <w:r w:rsidRPr="00E03528">
        <w:rPr>
          <w:lang w:val="en-US"/>
        </w:rPr>
        <w:t xml:space="preserve">the </w:t>
      </w:r>
      <w:r w:rsidR="00711AC9" w:rsidRPr="00E03528">
        <w:rPr>
          <w:lang w:val="en-US"/>
        </w:rPr>
        <w:t>operating inventory</w:t>
      </w:r>
      <w:r w:rsidRPr="00E03528">
        <w:rPr>
          <w:lang w:val="en-US"/>
        </w:rPr>
        <w:t xml:space="preserve"> for the initial and annual loading of reactors with MOX fuel. This is due to the high </w:t>
      </w:r>
      <w:r w:rsidR="00535E7A" w:rsidRPr="00E03528">
        <w:rPr>
          <w:lang w:val="en-US"/>
        </w:rPr>
        <w:t>cost of plutonium storage assum</w:t>
      </w:r>
      <w:r w:rsidRPr="00E03528">
        <w:rPr>
          <w:lang w:val="en-US"/>
        </w:rPr>
        <w:t>ed in the study ($ 2000/kg per year).</w:t>
      </w:r>
    </w:p>
    <w:p w14:paraId="705A9EE5" w14:textId="22E50BFA" w:rsidR="00924787" w:rsidRPr="00711AC9" w:rsidRDefault="00924787" w:rsidP="00711AC9">
      <w:pPr>
        <w:pStyle w:val="a1"/>
        <w:rPr>
          <w:lang w:val="en-US"/>
        </w:rPr>
      </w:pPr>
      <w:r w:rsidRPr="00E03528">
        <w:rPr>
          <w:lang w:val="en-US"/>
        </w:rPr>
        <w:t xml:space="preserve">At the same time, SNF of thermal reactors contains about 1% of plutonium. In MOX fuel of fast and thermal reactors, the plutonium content is more concentrated. </w:t>
      </w:r>
      <w:r w:rsidR="00DF0600" w:rsidRPr="00E03528">
        <w:rPr>
          <w:lang w:val="en-US"/>
        </w:rPr>
        <w:t>Besides</w:t>
      </w:r>
      <w:r w:rsidR="00535E7A" w:rsidRPr="00E03528">
        <w:rPr>
          <w:lang w:val="en-US"/>
        </w:rPr>
        <w:t>, the plutonium separate</w:t>
      </w:r>
      <w:r w:rsidRPr="00E03528">
        <w:rPr>
          <w:lang w:val="en-US"/>
        </w:rPr>
        <w:t xml:space="preserve">d from MOX and UOX SNF is almost completely used for new MOX fuel, which is </w:t>
      </w:r>
      <w:r w:rsidR="00535E7A" w:rsidRPr="00E03528">
        <w:rPr>
          <w:lang w:val="en-US"/>
        </w:rPr>
        <w:t>in line and does not conflict with</w:t>
      </w:r>
      <w:r w:rsidRPr="00E03528">
        <w:rPr>
          <w:lang w:val="en-US"/>
        </w:rPr>
        <w:t xml:space="preserve"> the </w:t>
      </w:r>
      <w:r w:rsidR="00535E7A" w:rsidRPr="00E03528">
        <w:rPr>
          <w:lang w:val="en-US"/>
        </w:rPr>
        <w:t>nuclear weapon</w:t>
      </w:r>
      <w:r w:rsidR="008D2CB0" w:rsidRPr="00E03528">
        <w:rPr>
          <w:lang w:val="en-US"/>
        </w:rPr>
        <w:t>s</w:t>
      </w:r>
      <w:r w:rsidR="00535E7A" w:rsidRPr="00E03528">
        <w:rPr>
          <w:lang w:val="en-US"/>
        </w:rPr>
        <w:t xml:space="preserve"> non-proliferation requirements</w:t>
      </w:r>
      <w:r w:rsidRPr="00E03528">
        <w:rPr>
          <w:lang w:val="en-US"/>
        </w:rPr>
        <w:t>. On the contr</w:t>
      </w:r>
      <w:r w:rsidR="00535E7A" w:rsidRPr="00E03528">
        <w:rPr>
          <w:lang w:val="en-US"/>
        </w:rPr>
        <w:t>ary, the plutonium contained in thermal reactor SNF and</w:t>
      </w:r>
      <w:r w:rsidRPr="00E03528">
        <w:rPr>
          <w:lang w:val="en-US"/>
        </w:rPr>
        <w:t xml:space="preserve"> is supposed to be ultim</w:t>
      </w:r>
      <w:r w:rsidR="00535E7A" w:rsidRPr="00E03528">
        <w:rPr>
          <w:lang w:val="en-US"/>
        </w:rPr>
        <w:t>ately disposed of together with this fuel, poses risks in the area</w:t>
      </w:r>
      <w:r w:rsidRPr="00E03528">
        <w:rPr>
          <w:lang w:val="en-US"/>
        </w:rPr>
        <w:t xml:space="preserve"> </w:t>
      </w:r>
      <w:r w:rsidR="00535E7A" w:rsidRPr="00E03528">
        <w:rPr>
          <w:lang w:val="en-US"/>
        </w:rPr>
        <w:t>of</w:t>
      </w:r>
      <w:r w:rsidRPr="00E03528">
        <w:rPr>
          <w:lang w:val="en-US"/>
        </w:rPr>
        <w:t xml:space="preserve"> non-proliferation of nuclear weapons and environmental risks, which causes public and professional concern and creates signifi</w:t>
      </w:r>
      <w:r w:rsidR="00555041" w:rsidRPr="00E03528">
        <w:rPr>
          <w:lang w:val="en-US"/>
        </w:rPr>
        <w:t>cant uncertainties in the timeframe</w:t>
      </w:r>
      <w:r w:rsidRPr="00E03528">
        <w:rPr>
          <w:lang w:val="en-US"/>
        </w:rPr>
        <w:t xml:space="preserve"> and cost of the final disposal</w:t>
      </w:r>
      <w:r w:rsidR="006462D5" w:rsidRPr="00E03528">
        <w:rPr>
          <w:lang w:val="en-US"/>
        </w:rPr>
        <w:t xml:space="preserve"> of</w:t>
      </w:r>
      <w:r w:rsidRPr="00E03528">
        <w:rPr>
          <w:lang w:val="en-US"/>
        </w:rPr>
        <w:t xml:space="preserve"> high-level waste in geological formations.</w:t>
      </w:r>
    </w:p>
    <w:p w14:paraId="57EE5980" w14:textId="77777777" w:rsidR="00240DD4" w:rsidRPr="00711AC9" w:rsidRDefault="00240DD4" w:rsidP="00711AC9">
      <w:pPr>
        <w:pStyle w:val="a1"/>
        <w:rPr>
          <w:lang w:val="en-US"/>
        </w:rPr>
      </w:pPr>
    </w:p>
    <w:p w14:paraId="438207CF" w14:textId="77777777" w:rsidR="00D058EF" w:rsidRPr="00D058EF" w:rsidRDefault="00D058EF" w:rsidP="00D058EF">
      <w:pPr>
        <w:tabs>
          <w:tab w:val="left" w:leader="dot" w:pos="9072"/>
        </w:tabs>
        <w:spacing w:line="260" w:lineRule="atLeast"/>
        <w:ind w:firstLine="709"/>
        <w:jc w:val="both"/>
        <w:textAlignment w:val="auto"/>
        <w:rPr>
          <w:sz w:val="20"/>
          <w:lang w:val="en-US"/>
        </w:rPr>
      </w:pPr>
      <w:r w:rsidRPr="00D058EF">
        <w:rPr>
          <w:sz w:val="20"/>
          <w:lang w:val="en-US"/>
        </w:rPr>
        <w:t>5. SENSITIVITY ANALYSIS</w:t>
      </w:r>
    </w:p>
    <w:p w14:paraId="6E727294" w14:textId="77777777" w:rsidR="00D058EF" w:rsidRPr="00D058EF" w:rsidRDefault="00D058EF" w:rsidP="00D058EF">
      <w:pPr>
        <w:tabs>
          <w:tab w:val="left" w:leader="dot" w:pos="9072"/>
        </w:tabs>
        <w:spacing w:line="260" w:lineRule="atLeast"/>
        <w:ind w:firstLine="709"/>
        <w:jc w:val="both"/>
        <w:textAlignment w:val="auto"/>
        <w:rPr>
          <w:sz w:val="20"/>
          <w:lang w:val="en-US"/>
        </w:rPr>
      </w:pPr>
    </w:p>
    <w:p w14:paraId="37A28490" w14:textId="38ADA2D1" w:rsidR="00D058EF" w:rsidRPr="00D058EF" w:rsidRDefault="00555041" w:rsidP="00D058EF">
      <w:pPr>
        <w:spacing w:line="260" w:lineRule="atLeast"/>
        <w:ind w:firstLine="709"/>
        <w:jc w:val="both"/>
        <w:textAlignment w:val="auto"/>
        <w:rPr>
          <w:sz w:val="20"/>
          <w:lang w:val="en-US"/>
        </w:rPr>
      </w:pPr>
      <w:r>
        <w:rPr>
          <w:sz w:val="20"/>
          <w:lang w:val="en-US"/>
        </w:rPr>
        <w:t xml:space="preserve">The study encompassed the </w:t>
      </w:r>
      <w:r w:rsidR="00D058EF" w:rsidRPr="00D058EF">
        <w:rPr>
          <w:sz w:val="20"/>
          <w:lang w:val="en-US"/>
        </w:rPr>
        <w:t xml:space="preserve">analysis </w:t>
      </w:r>
      <w:r w:rsidR="00D058EF" w:rsidRPr="00555041">
        <w:rPr>
          <w:sz w:val="20"/>
          <w:lang w:val="en-US"/>
        </w:rPr>
        <w:t xml:space="preserve">of </w:t>
      </w:r>
      <w:r w:rsidRPr="00555041">
        <w:rPr>
          <w:sz w:val="20"/>
          <w:lang w:val="en-US"/>
        </w:rPr>
        <w:t xml:space="preserve">sensitivity of </w:t>
      </w:r>
      <w:r w:rsidR="00D058EF" w:rsidRPr="00555041">
        <w:rPr>
          <w:sz w:val="20"/>
          <w:lang w:val="en-US"/>
        </w:rPr>
        <w:t xml:space="preserve">the </w:t>
      </w:r>
      <w:r w:rsidRPr="00555041">
        <w:rPr>
          <w:sz w:val="20"/>
          <w:lang w:val="en-US"/>
        </w:rPr>
        <w:t>deployment</w:t>
      </w:r>
      <w:r w:rsidR="00D058EF" w:rsidRPr="00555041">
        <w:rPr>
          <w:sz w:val="20"/>
          <w:lang w:val="en-US"/>
        </w:rPr>
        <w:t xml:space="preserve"> rates for the </w:t>
      </w:r>
      <w:r w:rsidR="008D2CB0" w:rsidRPr="00555041">
        <w:rPr>
          <w:sz w:val="20"/>
          <w:lang w:val="en-US"/>
        </w:rPr>
        <w:t xml:space="preserve">considered in the research </w:t>
      </w:r>
      <w:r w:rsidR="00D058EF" w:rsidRPr="00555041">
        <w:rPr>
          <w:sz w:val="20"/>
          <w:lang w:val="en-US"/>
        </w:rPr>
        <w:t xml:space="preserve">reactor types with the </w:t>
      </w:r>
      <w:r w:rsidR="00C773B5" w:rsidRPr="00555041">
        <w:rPr>
          <w:sz w:val="20"/>
          <w:lang w:val="en-US"/>
        </w:rPr>
        <w:t xml:space="preserve">corresponding </w:t>
      </w:r>
      <w:r w:rsidR="00D058EF" w:rsidRPr="00555041">
        <w:rPr>
          <w:sz w:val="20"/>
          <w:lang w:val="en-US"/>
        </w:rPr>
        <w:t>fuel cycles to</w:t>
      </w:r>
      <w:r w:rsidR="00D058EF" w:rsidRPr="00D058EF">
        <w:rPr>
          <w:sz w:val="20"/>
          <w:lang w:val="en-US"/>
        </w:rPr>
        <w:t xml:space="preserve"> variations in the parameters that most significantly affect the structure of the global system optimized according to economic criteria. These parameters include: discount rate, capital costs, natural uranium cost, fuel fa</w:t>
      </w:r>
      <w:r w:rsidR="00E03528">
        <w:rPr>
          <w:sz w:val="20"/>
          <w:lang w:val="en-US"/>
        </w:rPr>
        <w:t>brication cost,</w:t>
      </w:r>
      <w:r w:rsidR="00D058EF" w:rsidRPr="00D058EF">
        <w:rPr>
          <w:sz w:val="20"/>
          <w:lang w:val="en-US"/>
        </w:rPr>
        <w:t xml:space="preserve"> fuel reprocessing</w:t>
      </w:r>
      <w:r w:rsidR="00E03528">
        <w:rPr>
          <w:sz w:val="20"/>
          <w:lang w:val="en-US"/>
        </w:rPr>
        <w:t xml:space="preserve"> cost</w:t>
      </w:r>
      <w:r w:rsidR="00D058EF" w:rsidRPr="00D058EF">
        <w:rPr>
          <w:sz w:val="20"/>
          <w:lang w:val="en-US"/>
        </w:rPr>
        <w:t xml:space="preserve">, </w:t>
      </w:r>
      <w:r>
        <w:rPr>
          <w:sz w:val="20"/>
          <w:lang w:val="en-US"/>
        </w:rPr>
        <w:t xml:space="preserve">high-level </w:t>
      </w:r>
      <w:r w:rsidRPr="00555041">
        <w:rPr>
          <w:sz w:val="20"/>
          <w:lang w:val="en-US"/>
        </w:rPr>
        <w:t>waste (</w:t>
      </w:r>
      <w:r w:rsidR="00D058EF" w:rsidRPr="00555041">
        <w:rPr>
          <w:sz w:val="20"/>
          <w:lang w:val="en-US"/>
        </w:rPr>
        <w:t>HLW</w:t>
      </w:r>
      <w:r w:rsidRPr="00555041">
        <w:rPr>
          <w:sz w:val="20"/>
          <w:lang w:val="en-US"/>
        </w:rPr>
        <w:t>)</w:t>
      </w:r>
      <w:r w:rsidR="00D058EF" w:rsidRPr="00555041">
        <w:rPr>
          <w:sz w:val="20"/>
          <w:lang w:val="en-US"/>
        </w:rPr>
        <w:t xml:space="preserve"> disposal cost, plutonium storage cost. For each parameter, a value corresponding to the reference option was set, and the range of its probable variations was</w:t>
      </w:r>
      <w:r w:rsidR="008D2CB0">
        <w:rPr>
          <w:sz w:val="20"/>
          <w:lang w:val="en-US"/>
        </w:rPr>
        <w:t xml:space="preserve"> expertly determined. T</w:t>
      </w:r>
      <w:r w:rsidRPr="00555041">
        <w:rPr>
          <w:sz w:val="20"/>
          <w:lang w:val="en-US"/>
        </w:rPr>
        <w:t xml:space="preserve">he </w:t>
      </w:r>
      <w:r w:rsidR="00D058EF" w:rsidRPr="00555041">
        <w:rPr>
          <w:sz w:val="20"/>
          <w:lang w:val="en-US"/>
        </w:rPr>
        <w:t xml:space="preserve">effect </w:t>
      </w:r>
      <w:r w:rsidRPr="00555041">
        <w:rPr>
          <w:sz w:val="20"/>
          <w:lang w:val="en-US"/>
        </w:rPr>
        <w:t xml:space="preserve">of the parameter variations </w:t>
      </w:r>
      <w:r w:rsidR="00D058EF" w:rsidRPr="00555041">
        <w:rPr>
          <w:sz w:val="20"/>
          <w:lang w:val="en-US"/>
        </w:rPr>
        <w:t xml:space="preserve">within the selected range on the </w:t>
      </w:r>
      <w:r w:rsidRPr="00555041">
        <w:rPr>
          <w:sz w:val="20"/>
          <w:lang w:val="en-US"/>
        </w:rPr>
        <w:t>global NES structure</w:t>
      </w:r>
      <w:r w:rsidR="008D2CB0">
        <w:rPr>
          <w:sz w:val="20"/>
          <w:lang w:val="en-US"/>
        </w:rPr>
        <w:t xml:space="preserve"> was analyzed</w:t>
      </w:r>
      <w:r w:rsidR="00D058EF" w:rsidRPr="00555041">
        <w:rPr>
          <w:sz w:val="20"/>
          <w:lang w:val="en-US"/>
        </w:rPr>
        <w:t xml:space="preserve"> both by direct comparison of the cha</w:t>
      </w:r>
      <w:r w:rsidR="00D058EF" w:rsidRPr="00D058EF">
        <w:rPr>
          <w:sz w:val="20"/>
          <w:lang w:val="en-US"/>
        </w:rPr>
        <w:t xml:space="preserve">nge in the integral share of the technologies under consideration over the time interval from 2020 to 2100, and by calculating the relative sensitivity of the </w:t>
      </w:r>
      <w:r w:rsidR="008D2CB0">
        <w:rPr>
          <w:sz w:val="20"/>
          <w:lang w:val="en-US"/>
        </w:rPr>
        <w:t>t</w:t>
      </w:r>
      <w:r w:rsidR="008D2CB0" w:rsidRPr="00D058EF">
        <w:rPr>
          <w:sz w:val="20"/>
          <w:lang w:val="en-US"/>
        </w:rPr>
        <w:t>echnology</w:t>
      </w:r>
      <w:r w:rsidR="008D2CB0">
        <w:rPr>
          <w:sz w:val="20"/>
          <w:lang w:val="en-US"/>
        </w:rPr>
        <w:t xml:space="preserve"> share</w:t>
      </w:r>
      <w:r w:rsidR="00D058EF" w:rsidRPr="00D058EF">
        <w:rPr>
          <w:sz w:val="20"/>
          <w:lang w:val="en-US"/>
        </w:rPr>
        <w:t xml:space="preserve"> to the changes in the system parameters in a particular year.</w:t>
      </w:r>
    </w:p>
    <w:p w14:paraId="70C45842" w14:textId="77777777" w:rsidR="00D058EF" w:rsidRPr="00D058EF" w:rsidRDefault="00D058EF" w:rsidP="00D058EF">
      <w:pPr>
        <w:spacing w:line="260" w:lineRule="atLeast"/>
        <w:ind w:firstLine="709"/>
        <w:jc w:val="both"/>
        <w:textAlignment w:val="auto"/>
        <w:rPr>
          <w:sz w:val="20"/>
          <w:lang w:val="en-US"/>
        </w:rPr>
      </w:pPr>
    </w:p>
    <w:p w14:paraId="377AD4E9" w14:textId="3856E17C" w:rsidR="00D058EF" w:rsidRPr="00D058EF" w:rsidRDefault="00D058EF" w:rsidP="00D058EF">
      <w:pPr>
        <w:spacing w:line="260" w:lineRule="atLeast"/>
        <w:ind w:firstLine="709"/>
        <w:jc w:val="both"/>
        <w:textAlignment w:val="auto"/>
        <w:rPr>
          <w:b/>
          <w:sz w:val="20"/>
          <w:lang w:val="en-US"/>
        </w:rPr>
      </w:pPr>
      <w:r w:rsidRPr="00D058EF">
        <w:rPr>
          <w:b/>
          <w:sz w:val="20"/>
          <w:lang w:val="en-US"/>
        </w:rPr>
        <w:t>5.1. Analysis of the effect of variations in the parameters of nuc</w:t>
      </w:r>
      <w:r w:rsidR="00555041">
        <w:rPr>
          <w:b/>
          <w:sz w:val="20"/>
          <w:lang w:val="en-US"/>
        </w:rPr>
        <w:t xml:space="preserve">lear energy technologies on </w:t>
      </w:r>
      <w:r w:rsidR="00555041" w:rsidRPr="005159E9">
        <w:rPr>
          <w:b/>
          <w:sz w:val="20"/>
          <w:lang w:val="en-US"/>
        </w:rPr>
        <w:t>the</w:t>
      </w:r>
      <w:r w:rsidRPr="005159E9">
        <w:rPr>
          <w:b/>
          <w:sz w:val="20"/>
          <w:lang w:val="en-US"/>
        </w:rPr>
        <w:t xml:space="preserve"> global</w:t>
      </w:r>
      <w:r w:rsidRPr="00B83A28">
        <w:rPr>
          <w:b/>
          <w:sz w:val="20"/>
          <w:lang w:val="en-US"/>
        </w:rPr>
        <w:t xml:space="preserve"> NES</w:t>
      </w:r>
      <w:r w:rsidR="00555041" w:rsidRPr="00B83A28">
        <w:rPr>
          <w:b/>
          <w:sz w:val="20"/>
          <w:lang w:val="en-US"/>
        </w:rPr>
        <w:t xml:space="preserve"> structure</w:t>
      </w:r>
    </w:p>
    <w:p w14:paraId="7E46CF13" w14:textId="77777777" w:rsidR="00D058EF" w:rsidRPr="00D058EF" w:rsidRDefault="00D058EF" w:rsidP="00D058EF">
      <w:pPr>
        <w:spacing w:line="260" w:lineRule="atLeast"/>
        <w:ind w:firstLine="709"/>
        <w:jc w:val="both"/>
        <w:textAlignment w:val="auto"/>
        <w:rPr>
          <w:sz w:val="20"/>
          <w:lang w:val="en-US"/>
        </w:rPr>
      </w:pPr>
    </w:p>
    <w:p w14:paraId="7D830356" w14:textId="4BDF714B" w:rsidR="00D058EF" w:rsidRPr="00D058EF" w:rsidRDefault="00D058EF" w:rsidP="00D058EF">
      <w:pPr>
        <w:spacing w:line="260" w:lineRule="atLeast"/>
        <w:ind w:firstLine="709"/>
        <w:jc w:val="both"/>
        <w:textAlignment w:val="auto"/>
        <w:rPr>
          <w:sz w:val="20"/>
          <w:lang w:val="en-US"/>
        </w:rPr>
      </w:pPr>
      <w:r w:rsidRPr="00D058EF">
        <w:rPr>
          <w:sz w:val="20"/>
          <w:lang w:val="en-US"/>
        </w:rPr>
        <w:t xml:space="preserve">The value of the discount rate significantly affects the global NES structure variations with time. Decrease in the rate results in an earlier introduction of fast reactors into the NES structure and, as a consequence, to an increase in their share for the period from 2020 to 2100. So, with the decrease in the rate from the reference value of 8% to 5%, the average share of fast neutron reactors in the predicted interval increases </w:t>
      </w:r>
      <w:r w:rsidRPr="00555041">
        <w:rPr>
          <w:sz w:val="20"/>
          <w:lang w:val="en-US"/>
        </w:rPr>
        <w:t>8-fold, and the share of thermal neutron reactors decreases accordingly. In general, the discount rate determines the choice between short-term and long-term economic goals: the higher the rate</w:t>
      </w:r>
      <w:r w:rsidR="009475D5">
        <w:rPr>
          <w:sz w:val="20"/>
          <w:lang w:val="en-US"/>
        </w:rPr>
        <w:t xml:space="preserve"> is</w:t>
      </w:r>
      <w:r w:rsidRPr="00555041">
        <w:rPr>
          <w:sz w:val="20"/>
          <w:lang w:val="en-US"/>
        </w:rPr>
        <w:t>, the more importance is attached to short-term benefits to the detriment of solving fundamental economic problems, such as cost-effective radioactive waste management and their final disposal. According to the authors, in the course of</w:t>
      </w:r>
      <w:r w:rsidR="00642023" w:rsidRPr="00555041">
        <w:rPr>
          <w:sz w:val="20"/>
          <w:lang w:val="en-US"/>
        </w:rPr>
        <w:t xml:space="preserve"> </w:t>
      </w:r>
      <w:r w:rsidR="00555041" w:rsidRPr="00555041">
        <w:rPr>
          <w:sz w:val="20"/>
          <w:lang w:val="en-US"/>
        </w:rPr>
        <w:t>elaboration</w:t>
      </w:r>
      <w:r w:rsidR="00642023" w:rsidRPr="00555041">
        <w:rPr>
          <w:sz w:val="20"/>
          <w:lang w:val="en-US"/>
        </w:rPr>
        <w:t xml:space="preserve"> of</w:t>
      </w:r>
      <w:r w:rsidRPr="00555041">
        <w:rPr>
          <w:sz w:val="20"/>
          <w:lang w:val="en-US"/>
        </w:rPr>
        <w:t xml:space="preserve"> </w:t>
      </w:r>
      <w:r w:rsidR="00AF4DB1" w:rsidRPr="00555041">
        <w:rPr>
          <w:sz w:val="20"/>
          <w:lang w:val="en-US"/>
        </w:rPr>
        <w:t xml:space="preserve">a </w:t>
      </w:r>
      <w:r w:rsidRPr="00555041">
        <w:rPr>
          <w:sz w:val="20"/>
          <w:lang w:val="en-US"/>
        </w:rPr>
        <w:t>long-term strategy for a nuclear energy</w:t>
      </w:r>
      <w:r w:rsidR="00555041" w:rsidRPr="00555041">
        <w:rPr>
          <w:sz w:val="20"/>
          <w:lang w:val="en-US"/>
        </w:rPr>
        <w:t xml:space="preserve"> development</w:t>
      </w:r>
      <w:r w:rsidRPr="00555041">
        <w:rPr>
          <w:sz w:val="20"/>
          <w:lang w:val="en-US"/>
        </w:rPr>
        <w:t xml:space="preserve"> as part of a sustainable energy, applicability of the discounted cost m</w:t>
      </w:r>
      <w:r w:rsidRPr="00D058EF">
        <w:rPr>
          <w:sz w:val="20"/>
          <w:lang w:val="en-US"/>
        </w:rPr>
        <w:t>odel is not sufficiently justified.</w:t>
      </w:r>
    </w:p>
    <w:p w14:paraId="2623E8C3" w14:textId="34A7FF87" w:rsidR="00D058EF" w:rsidRPr="00D058EF" w:rsidRDefault="00D058EF" w:rsidP="00D058EF">
      <w:pPr>
        <w:spacing w:line="260" w:lineRule="atLeast"/>
        <w:ind w:firstLine="709"/>
        <w:jc w:val="both"/>
        <w:textAlignment w:val="auto"/>
        <w:rPr>
          <w:sz w:val="20"/>
          <w:lang w:val="en-US"/>
        </w:rPr>
      </w:pPr>
      <w:r>
        <w:rPr>
          <w:sz w:val="20"/>
          <w:lang w:val="en-US"/>
        </w:rPr>
        <w:t xml:space="preserve">With the values </w:t>
      </w:r>
      <w:r w:rsidRPr="00D058EF">
        <w:rPr>
          <w:sz w:val="20"/>
          <w:lang w:val="en-US"/>
        </w:rPr>
        <w:t xml:space="preserve">of capital costs selected for the reference option (Table 2), the shares of the technologies under </w:t>
      </w:r>
      <w:r w:rsidRPr="001400A0">
        <w:rPr>
          <w:sz w:val="20"/>
          <w:lang w:val="en-US"/>
        </w:rPr>
        <w:t xml:space="preserve">consideration for </w:t>
      </w:r>
      <w:r w:rsidR="001400A0" w:rsidRPr="001400A0">
        <w:rPr>
          <w:sz w:val="20"/>
          <w:lang w:val="en-US"/>
        </w:rPr>
        <w:t xml:space="preserve">the period of </w:t>
      </w:r>
      <w:r w:rsidRPr="001400A0">
        <w:rPr>
          <w:sz w:val="20"/>
          <w:lang w:val="en-US"/>
        </w:rPr>
        <w:t xml:space="preserve">80 years from 2020 to 2100 were as follows: thermal reactors in an ONFC - 64%, thermal reactors in a CNFC - 15%, thermal reactors with a partial load of MOX fuel - 14%, fast neutron reactors with MOX fuel - 7%. </w:t>
      </w:r>
      <w:r w:rsidR="001400A0" w:rsidRPr="001400A0">
        <w:rPr>
          <w:sz w:val="20"/>
          <w:lang w:val="en-US"/>
        </w:rPr>
        <w:t>T</w:t>
      </w:r>
      <w:r w:rsidR="006E5589" w:rsidRPr="001400A0">
        <w:rPr>
          <w:sz w:val="20"/>
          <w:lang w:val="en-US"/>
        </w:rPr>
        <w:t xml:space="preserve">he effect of </w:t>
      </w:r>
      <w:r w:rsidRPr="001400A0">
        <w:rPr>
          <w:sz w:val="20"/>
          <w:lang w:val="en-US"/>
        </w:rPr>
        <w:t>parameter variation</w:t>
      </w:r>
      <w:r w:rsidR="006E5589" w:rsidRPr="001400A0">
        <w:rPr>
          <w:sz w:val="20"/>
          <w:lang w:val="en-US"/>
        </w:rPr>
        <w:t>s</w:t>
      </w:r>
      <w:r w:rsidR="001400A0" w:rsidRPr="001400A0">
        <w:rPr>
          <w:sz w:val="20"/>
          <w:lang w:val="en-US"/>
        </w:rPr>
        <w:t xml:space="preserve"> within the selected range o</w:t>
      </w:r>
      <w:r w:rsidRPr="001400A0">
        <w:rPr>
          <w:sz w:val="20"/>
          <w:lang w:val="en-US"/>
        </w:rPr>
        <w:t xml:space="preserve">n the global NES structure </w:t>
      </w:r>
      <w:r w:rsidR="001400A0" w:rsidRPr="001400A0">
        <w:rPr>
          <w:sz w:val="20"/>
          <w:lang w:val="en-US"/>
        </w:rPr>
        <w:t xml:space="preserve">was analyzed </w:t>
      </w:r>
      <w:r w:rsidRPr="001400A0">
        <w:rPr>
          <w:sz w:val="20"/>
          <w:lang w:val="en-US"/>
        </w:rPr>
        <w:t>within the framework of direct comparison of changes in the share of the technologies under discussion</w:t>
      </w:r>
      <w:r w:rsidR="001B5322" w:rsidRPr="001400A0">
        <w:rPr>
          <w:sz w:val="20"/>
          <w:lang w:val="en-US"/>
        </w:rPr>
        <w:t>,</w:t>
      </w:r>
      <w:r w:rsidRPr="001400A0">
        <w:rPr>
          <w:sz w:val="20"/>
          <w:lang w:val="en-US"/>
        </w:rPr>
        <w:t xml:space="preserve"> both for the case of simultaneous </w:t>
      </w:r>
      <w:r w:rsidR="001400A0" w:rsidRPr="001400A0">
        <w:rPr>
          <w:sz w:val="20"/>
          <w:lang w:val="en-US"/>
        </w:rPr>
        <w:t>variation</w:t>
      </w:r>
      <w:r w:rsidRPr="001400A0">
        <w:rPr>
          <w:sz w:val="20"/>
          <w:lang w:val="en-US"/>
        </w:rPr>
        <w:t xml:space="preserve"> in the parameters of all </w:t>
      </w:r>
      <w:r w:rsidR="009475D5">
        <w:rPr>
          <w:sz w:val="20"/>
          <w:lang w:val="en-US"/>
        </w:rPr>
        <w:t>the</w:t>
      </w:r>
      <w:r w:rsidR="001B5322" w:rsidRPr="001400A0">
        <w:rPr>
          <w:sz w:val="20"/>
          <w:lang w:val="en-US"/>
        </w:rPr>
        <w:t xml:space="preserve"> </w:t>
      </w:r>
      <w:r w:rsidRPr="001400A0">
        <w:rPr>
          <w:sz w:val="20"/>
          <w:lang w:val="en-US"/>
        </w:rPr>
        <w:t xml:space="preserve">reactor technologies considered, and for the case when the parameters </w:t>
      </w:r>
      <w:r w:rsidR="001B5322" w:rsidRPr="001400A0">
        <w:rPr>
          <w:sz w:val="20"/>
          <w:lang w:val="en-US"/>
        </w:rPr>
        <w:t>varied</w:t>
      </w:r>
      <w:r w:rsidRPr="001400A0">
        <w:rPr>
          <w:sz w:val="20"/>
          <w:lang w:val="en-US"/>
        </w:rPr>
        <w:t xml:space="preserve"> individually for each group of technologies, i.e. with variations in the parameters of one reactor technology</w:t>
      </w:r>
      <w:r w:rsidR="00C951D1" w:rsidRPr="001400A0">
        <w:rPr>
          <w:sz w:val="20"/>
          <w:lang w:val="en-US"/>
        </w:rPr>
        <w:t>,</w:t>
      </w:r>
      <w:r w:rsidRPr="001400A0">
        <w:rPr>
          <w:sz w:val="20"/>
          <w:lang w:val="en-US"/>
        </w:rPr>
        <w:t xml:space="preserve"> with the parameters</w:t>
      </w:r>
      <w:r w:rsidRPr="00D058EF">
        <w:rPr>
          <w:sz w:val="20"/>
          <w:lang w:val="en-US"/>
        </w:rPr>
        <w:t xml:space="preserve"> of other technologies remaining unchanged.</w:t>
      </w:r>
    </w:p>
    <w:p w14:paraId="4AA557AE" w14:textId="31536DA9" w:rsidR="00D058EF" w:rsidRPr="00D058EF" w:rsidRDefault="00D058EF" w:rsidP="00D058EF">
      <w:pPr>
        <w:spacing w:line="260" w:lineRule="atLeast"/>
        <w:ind w:firstLine="709"/>
        <w:jc w:val="both"/>
        <w:textAlignment w:val="auto"/>
        <w:rPr>
          <w:sz w:val="20"/>
          <w:lang w:val="en-US"/>
        </w:rPr>
      </w:pPr>
      <w:r w:rsidRPr="00900E82">
        <w:rPr>
          <w:sz w:val="20"/>
          <w:lang w:val="en-US"/>
        </w:rPr>
        <w:t>In the former case, with the capital costs of all the reactor technologies under consideration reduced by a quarter, the share of thermal reactors without reprocessing decreased 1.5 times, and the share of fast reactors and thermal reactors with a partial load of MOX fuel increased twice. With the capital costs of all technologies increased by a quarter, the share of thermal reactors increased only by 4%, whereas the s</w:t>
      </w:r>
      <w:r w:rsidR="001400A0" w:rsidRPr="00900E82">
        <w:rPr>
          <w:sz w:val="20"/>
          <w:lang w:val="en-US"/>
        </w:rPr>
        <w:t xml:space="preserve">hare of fast reactors decreased </w:t>
      </w:r>
      <w:r w:rsidRPr="00900E82">
        <w:rPr>
          <w:sz w:val="20"/>
          <w:lang w:val="en-US"/>
        </w:rPr>
        <w:t>by more than half. In the event of variation of the parameters for each group of technologies, the reduction of capital costs for thermal reactors without reprocessing</w:t>
      </w:r>
      <w:r w:rsidR="00C951D1" w:rsidRPr="00900E82">
        <w:rPr>
          <w:sz w:val="20"/>
          <w:lang w:val="en-US"/>
        </w:rPr>
        <w:t>,</w:t>
      </w:r>
      <w:r w:rsidRPr="00900E82">
        <w:rPr>
          <w:sz w:val="20"/>
          <w:lang w:val="en-US"/>
        </w:rPr>
        <w:t xml:space="preserve"> with fast reactors’ capital costs remaining unchanged</w:t>
      </w:r>
      <w:r w:rsidR="00C951D1" w:rsidRPr="00900E82">
        <w:rPr>
          <w:sz w:val="20"/>
          <w:lang w:val="en-US"/>
        </w:rPr>
        <w:t>,</w:t>
      </w:r>
      <w:r w:rsidRPr="00900E82">
        <w:rPr>
          <w:sz w:val="20"/>
          <w:lang w:val="en-US"/>
        </w:rPr>
        <w:t xml:space="preserve"> resulted in an increase in the share of thermal reactors by 50%. For fast reactors with a CNFC, a decrease in capital costs</w:t>
      </w:r>
      <w:r w:rsidR="00C951D1" w:rsidRPr="00900E82">
        <w:rPr>
          <w:sz w:val="20"/>
          <w:lang w:val="en-US"/>
        </w:rPr>
        <w:t>,</w:t>
      </w:r>
      <w:r w:rsidRPr="00900E82">
        <w:rPr>
          <w:sz w:val="20"/>
          <w:lang w:val="en-US"/>
        </w:rPr>
        <w:t xml:space="preserve"> with capital cost invariance for thermal reactors</w:t>
      </w:r>
      <w:r w:rsidR="00CF0B6C" w:rsidRPr="00900E82">
        <w:rPr>
          <w:sz w:val="20"/>
          <w:lang w:val="en-US"/>
        </w:rPr>
        <w:t>,</w:t>
      </w:r>
      <w:r w:rsidRPr="00900E82">
        <w:rPr>
          <w:sz w:val="20"/>
          <w:lang w:val="en-US"/>
        </w:rPr>
        <w:t xml:space="preserve"> has caused a dramatic (almost ten-fold) increase in the share of fast reactors. The results suggest that for fast neutron reactors, reduction in capital costs appears a more important factor than for thermal reactors</w:t>
      </w:r>
      <w:r w:rsidRPr="00D058EF">
        <w:rPr>
          <w:sz w:val="20"/>
          <w:lang w:val="en-US"/>
        </w:rPr>
        <w:t>.</w:t>
      </w:r>
    </w:p>
    <w:p w14:paraId="44219C0E" w14:textId="3DD0C31C" w:rsidR="00D058EF" w:rsidRPr="00D058EF" w:rsidRDefault="00D058EF" w:rsidP="00D058EF">
      <w:pPr>
        <w:spacing w:line="260" w:lineRule="atLeast"/>
        <w:ind w:firstLine="567"/>
        <w:jc w:val="both"/>
        <w:textAlignment w:val="auto"/>
        <w:rPr>
          <w:lang w:val="en-US"/>
        </w:rPr>
      </w:pPr>
      <w:r w:rsidRPr="00D058EF">
        <w:rPr>
          <w:sz w:val="20"/>
          <w:lang w:val="en-US"/>
        </w:rPr>
        <w:t xml:space="preserve">The share of fast reactors in the structure of the global NES capacities is also more sensitive to natural uranium price rise and fuel fabrication cost. For example, the natural uranium price rise from $80/kg U to $120/kg </w:t>
      </w:r>
      <w:r w:rsidR="001400A0">
        <w:rPr>
          <w:sz w:val="20"/>
          <w:lang w:val="en-US"/>
        </w:rPr>
        <w:t xml:space="preserve">U </w:t>
      </w:r>
      <w:r w:rsidR="001400A0">
        <w:rPr>
          <w:sz w:val="20"/>
          <w:lang w:val="en-US"/>
        </w:rPr>
        <w:lastRenderedPageBreak/>
        <w:t>results in</w:t>
      </w:r>
      <w:r w:rsidRPr="00D058EF">
        <w:rPr>
          <w:sz w:val="20"/>
          <w:lang w:val="en-US"/>
        </w:rPr>
        <w:t xml:space="preserve"> reduction in the share of thermal reactors without SNF reprocessing within the structure of nuclear capacities from </w:t>
      </w:r>
      <w:r w:rsidR="008D2CB0">
        <w:rPr>
          <w:sz w:val="20"/>
          <w:lang w:val="en-US"/>
        </w:rPr>
        <w:t>64% to 50%, i.</w:t>
      </w:r>
      <w:r w:rsidRPr="00D058EF">
        <w:rPr>
          <w:sz w:val="20"/>
          <w:lang w:val="en-US"/>
        </w:rPr>
        <w:t xml:space="preserve">e. by 14%, whereas the share of fast reactors, where the fuel does not depend on the natural uranium price, </w:t>
      </w:r>
      <w:r w:rsidR="00CF0B6C">
        <w:rPr>
          <w:sz w:val="20"/>
          <w:lang w:val="en-US"/>
        </w:rPr>
        <w:t>increases from 7% to 35</w:t>
      </w:r>
      <w:r w:rsidR="00CF0B6C" w:rsidRPr="0048142C">
        <w:rPr>
          <w:sz w:val="20"/>
          <w:lang w:val="en-US"/>
        </w:rPr>
        <w:t>%, i.</w:t>
      </w:r>
      <w:r w:rsidRPr="0048142C">
        <w:rPr>
          <w:sz w:val="20"/>
          <w:lang w:val="en-US"/>
        </w:rPr>
        <w:t>e.</w:t>
      </w:r>
      <w:r w:rsidRPr="00D058EF">
        <w:rPr>
          <w:sz w:val="20"/>
          <w:lang w:val="en-US"/>
        </w:rPr>
        <w:t xml:space="preserve"> by a factor of 5. </w:t>
      </w:r>
      <w:r w:rsidRPr="00900E82">
        <w:rPr>
          <w:sz w:val="20"/>
          <w:lang w:val="en-US"/>
        </w:rPr>
        <w:t xml:space="preserve">The </w:t>
      </w:r>
      <w:r w:rsidR="0008715F">
        <w:rPr>
          <w:sz w:val="20"/>
          <w:lang w:val="en-US"/>
        </w:rPr>
        <w:t>LWR</w:t>
      </w:r>
      <w:r w:rsidRPr="00900E82">
        <w:rPr>
          <w:sz w:val="20"/>
          <w:lang w:val="en-US"/>
        </w:rPr>
        <w:t xml:space="preserve"> fuel manufacturing cost reduction has little effect on their share in the global structure, whereas the share of fast reactors is much more sensitive to a decrease in the cost of manufacturing fuel for these reactors</w:t>
      </w:r>
      <w:r w:rsidR="006E103A" w:rsidRPr="00900E82">
        <w:rPr>
          <w:sz w:val="20"/>
          <w:lang w:val="en-US"/>
        </w:rPr>
        <w:t xml:space="preserve"> and increase by a factor of 4</w:t>
      </w:r>
      <w:r w:rsidRPr="00900E82">
        <w:rPr>
          <w:sz w:val="20"/>
          <w:lang w:val="en-US"/>
        </w:rPr>
        <w:t>. Changes in the cost of SNF reprocessing and the cost of plutonium storage within the range of costs under discussion do not significantly affect distribution of the technologies considered in the NES structure.</w:t>
      </w:r>
    </w:p>
    <w:p w14:paraId="586CA9DD" w14:textId="5403566F" w:rsidR="00D058EF" w:rsidRPr="00D058EF" w:rsidRDefault="00D058EF" w:rsidP="00D058EF">
      <w:pPr>
        <w:spacing w:line="260" w:lineRule="atLeast"/>
        <w:ind w:firstLine="567"/>
        <w:jc w:val="both"/>
        <w:textAlignment w:val="auto"/>
        <w:rPr>
          <w:sz w:val="20"/>
          <w:lang w:val="en-US"/>
        </w:rPr>
      </w:pPr>
      <w:r w:rsidRPr="00D058EF">
        <w:rPr>
          <w:sz w:val="20"/>
          <w:lang w:val="en-US"/>
        </w:rPr>
        <w:t xml:space="preserve">The issue of the effect of the ONFC back-end cost is important, but complicated for economic research. At-reactor and interim dry storage of SNF does not have a significant effect on the share of thermal neutron reactors without SNF reprocessing within the NES structure. However, construction of facilities for SNF final disposal in geological formations calls for implementation of severe measures in relation to environmental safety and non-proliferation of nuclear weapons, which can result in considerable rise in the cost component value. As can be expected, </w:t>
      </w:r>
      <w:r w:rsidRPr="001400A0">
        <w:rPr>
          <w:sz w:val="20"/>
          <w:lang w:val="en-US"/>
        </w:rPr>
        <w:t xml:space="preserve">the </w:t>
      </w:r>
      <w:r w:rsidR="001400A0" w:rsidRPr="001400A0">
        <w:rPr>
          <w:sz w:val="20"/>
          <w:lang w:val="en-US"/>
        </w:rPr>
        <w:t>deployment</w:t>
      </w:r>
      <w:r w:rsidRPr="001400A0">
        <w:rPr>
          <w:sz w:val="20"/>
          <w:lang w:val="en-US"/>
        </w:rPr>
        <w:t xml:space="preserve"> limits f</w:t>
      </w:r>
      <w:r w:rsidR="001400A0" w:rsidRPr="001400A0">
        <w:rPr>
          <w:sz w:val="20"/>
          <w:lang w:val="en-US"/>
        </w:rPr>
        <w:t>or</w:t>
      </w:r>
      <w:r w:rsidRPr="001400A0">
        <w:rPr>
          <w:sz w:val="20"/>
          <w:lang w:val="en-US"/>
        </w:rPr>
        <w:t xml:space="preserve"> thermal</w:t>
      </w:r>
      <w:r w:rsidRPr="00CF0B6C">
        <w:rPr>
          <w:sz w:val="20"/>
          <w:lang w:val="en-US"/>
        </w:rPr>
        <w:t xml:space="preserve"> neutron reactors</w:t>
      </w:r>
      <w:r w:rsidRPr="00D058EF">
        <w:rPr>
          <w:sz w:val="20"/>
          <w:lang w:val="en-US"/>
        </w:rPr>
        <w:t xml:space="preserve"> without SNF reprocessing can be defined not only by the natural uranium price, but also by the cost of safe final disposal of SNF, although the currently available information is insufficient for a quantitative economic assessment of the effect of the ONFC back-end on the prospects of this technology in the nuclear energy sustainable development. </w:t>
      </w:r>
    </w:p>
    <w:p w14:paraId="5BBD68E3" w14:textId="77777777" w:rsidR="00D058EF" w:rsidRPr="00D058EF" w:rsidRDefault="00D058EF" w:rsidP="00D058EF">
      <w:pPr>
        <w:widowControl w:val="0"/>
        <w:tabs>
          <w:tab w:val="left" w:pos="993"/>
        </w:tabs>
        <w:overflowPunct/>
        <w:autoSpaceDE/>
        <w:autoSpaceDN/>
        <w:adjustRightInd/>
        <w:spacing w:before="240" w:after="240" w:line="240" w:lineRule="exact"/>
        <w:ind w:firstLine="709"/>
        <w:textAlignment w:val="auto"/>
        <w:outlineLvl w:val="2"/>
        <w:rPr>
          <w:b/>
          <w:sz w:val="20"/>
          <w:lang w:val="en-US"/>
        </w:rPr>
      </w:pPr>
      <w:r w:rsidRPr="00D058EF">
        <w:rPr>
          <w:b/>
          <w:sz w:val="20"/>
          <w:lang w:val="en-US"/>
        </w:rPr>
        <w:t xml:space="preserve">5.2. </w:t>
      </w:r>
      <w:r w:rsidRPr="00D058EF">
        <w:rPr>
          <w:b/>
          <w:sz w:val="20"/>
          <w:szCs w:val="24"/>
          <w:lang w:val="en-US"/>
        </w:rPr>
        <w:t>Relative sensitivity to system parameter variations</w:t>
      </w:r>
    </w:p>
    <w:p w14:paraId="0C6DB1FF" w14:textId="5E392B5A" w:rsidR="00D058EF" w:rsidRPr="00D058EF" w:rsidRDefault="00D058EF" w:rsidP="00D058EF">
      <w:pPr>
        <w:spacing w:line="260" w:lineRule="atLeast"/>
        <w:ind w:firstLine="567"/>
        <w:jc w:val="both"/>
        <w:textAlignment w:val="auto"/>
        <w:rPr>
          <w:sz w:val="20"/>
          <w:lang w:val="en-US"/>
        </w:rPr>
      </w:pPr>
      <w:r w:rsidRPr="00D058EF">
        <w:rPr>
          <w:sz w:val="20"/>
          <w:lang w:val="en-US"/>
        </w:rPr>
        <w:t>In addition to the direct assessment of the share of the nuclear power tec</w:t>
      </w:r>
      <w:r w:rsidR="002B53BB">
        <w:rPr>
          <w:sz w:val="20"/>
          <w:lang w:val="en-US"/>
        </w:rPr>
        <w:t xml:space="preserve">hnologies </w:t>
      </w:r>
      <w:r w:rsidR="00B2416E">
        <w:rPr>
          <w:sz w:val="20"/>
          <w:lang w:val="en-US"/>
        </w:rPr>
        <w:t>under consideration in terms of</w:t>
      </w:r>
      <w:r w:rsidRPr="00D058EF">
        <w:rPr>
          <w:sz w:val="20"/>
          <w:lang w:val="en-US"/>
        </w:rPr>
        <w:t xml:space="preserve"> the variation of the NES key parameters over a lon</w:t>
      </w:r>
      <w:r w:rsidR="002B53BB">
        <w:rPr>
          <w:sz w:val="20"/>
          <w:lang w:val="en-US"/>
        </w:rPr>
        <w:t>g time interval, an approach used in the study was</w:t>
      </w:r>
      <w:r w:rsidRPr="00D058EF">
        <w:rPr>
          <w:sz w:val="20"/>
          <w:lang w:val="en-US"/>
        </w:rPr>
        <w:t xml:space="preserve"> based on the calculation of relative sensitivity of the selected functional to the variation of the parameters </w:t>
      </w:r>
      <w:r w:rsidR="002B53BB">
        <w:rPr>
          <w:sz w:val="20"/>
          <w:lang w:val="en-US"/>
        </w:rPr>
        <w:t>on which this functional depends</w:t>
      </w:r>
      <w:r w:rsidRPr="00D058EF">
        <w:rPr>
          <w:sz w:val="20"/>
          <w:lang w:val="en-US"/>
        </w:rPr>
        <w:t xml:space="preserve"> at specific points in time. The functional </w:t>
      </w:r>
      <w:r w:rsidRPr="00D058EF">
        <w:rPr>
          <w:i/>
          <w:sz w:val="20"/>
          <w:lang w:val="en-US"/>
        </w:rPr>
        <w:t>F</w:t>
      </w:r>
      <w:r w:rsidRPr="00D058EF">
        <w:rPr>
          <w:sz w:val="20"/>
          <w:lang w:val="en-US"/>
        </w:rPr>
        <w:t xml:space="preserve"> in the problem in hand is the share of reactor technologies with </w:t>
      </w:r>
      <w:r w:rsidR="001400A0" w:rsidRPr="001400A0">
        <w:rPr>
          <w:sz w:val="20"/>
          <w:lang w:val="en-US"/>
        </w:rPr>
        <w:t xml:space="preserve">global NES </w:t>
      </w:r>
      <w:r w:rsidRPr="001400A0">
        <w:rPr>
          <w:sz w:val="20"/>
          <w:lang w:val="en-US"/>
        </w:rPr>
        <w:t>fuel cycles a</w:t>
      </w:r>
      <w:r w:rsidR="001400A0" w:rsidRPr="001400A0">
        <w:rPr>
          <w:sz w:val="20"/>
          <w:lang w:val="en-US"/>
        </w:rPr>
        <w:t>ssumed</w:t>
      </w:r>
      <w:r w:rsidR="001400A0">
        <w:rPr>
          <w:sz w:val="20"/>
          <w:lang w:val="en-US"/>
        </w:rPr>
        <w:t xml:space="preserve"> in the study</w:t>
      </w:r>
      <w:r w:rsidRPr="00D058EF">
        <w:rPr>
          <w:sz w:val="20"/>
          <w:lang w:val="en-US"/>
        </w:rPr>
        <w:t xml:space="preserve">. Consideration was given to the same variables </w:t>
      </w:r>
      <w:r w:rsidRPr="00955127">
        <w:rPr>
          <w:sz w:val="20"/>
          <w:lang w:val="en-US"/>
        </w:rPr>
        <w:t xml:space="preserve">as </w:t>
      </w:r>
      <w:r w:rsidR="001400A0" w:rsidRPr="00955127">
        <w:rPr>
          <w:sz w:val="20"/>
          <w:lang w:val="en-US"/>
        </w:rPr>
        <w:t xml:space="preserve">those used </w:t>
      </w:r>
      <w:r w:rsidRPr="00955127">
        <w:rPr>
          <w:sz w:val="20"/>
          <w:lang w:val="en-US"/>
        </w:rPr>
        <w:t xml:space="preserve">in the </w:t>
      </w:r>
      <w:r w:rsidR="001400A0" w:rsidRPr="00955127">
        <w:rPr>
          <w:sz w:val="20"/>
          <w:lang w:val="en-US"/>
        </w:rPr>
        <w:t>direct assessment</w:t>
      </w:r>
      <w:r w:rsidRPr="00955127">
        <w:rPr>
          <w:sz w:val="20"/>
          <w:lang w:val="en-US"/>
        </w:rPr>
        <w:t xml:space="preserve"> as the variable parameter</w:t>
      </w:r>
      <w:r w:rsidR="00727BCF" w:rsidRPr="00955127">
        <w:rPr>
          <w:sz w:val="20"/>
          <w:lang w:val="en-US"/>
        </w:rPr>
        <w:t xml:space="preserve">: </w:t>
      </w:r>
      <w:proofErr w:type="spellStart"/>
      <w:r w:rsidRPr="00955127">
        <w:rPr>
          <w:i/>
          <w:sz w:val="20"/>
          <w:lang w:val="en-US"/>
        </w:rPr>
        <w:t>Xn</w:t>
      </w:r>
      <w:proofErr w:type="spellEnd"/>
      <w:r w:rsidRPr="00955127">
        <w:rPr>
          <w:sz w:val="20"/>
          <w:lang w:val="en-US"/>
        </w:rPr>
        <w:t>: capital costs, natural uranium purchasing cost,</w:t>
      </w:r>
      <w:r w:rsidRPr="00D058EF">
        <w:rPr>
          <w:sz w:val="20"/>
          <w:lang w:val="en-US"/>
        </w:rPr>
        <w:t xml:space="preserve"> the cost of fuel fabrication and reprocessing, SNF storage and disposal cost, plutonium storage cost. The relative sensitivity of the functional </w:t>
      </w:r>
      <w:r w:rsidRPr="00D058EF">
        <w:rPr>
          <w:i/>
          <w:sz w:val="20"/>
          <w:lang w:val="en-US"/>
        </w:rPr>
        <w:t>F</w:t>
      </w:r>
      <w:r w:rsidRPr="00D058EF">
        <w:rPr>
          <w:sz w:val="20"/>
          <w:lang w:val="en-US"/>
        </w:rPr>
        <w:t xml:space="preserve"> to the parameter </w:t>
      </w:r>
      <w:proofErr w:type="spellStart"/>
      <w:r w:rsidRPr="00D058EF">
        <w:rPr>
          <w:i/>
          <w:sz w:val="20"/>
          <w:lang w:val="en-US"/>
        </w:rPr>
        <w:t>Xn</w:t>
      </w:r>
      <w:proofErr w:type="spellEnd"/>
      <w:r w:rsidRPr="00D058EF">
        <w:rPr>
          <w:i/>
          <w:sz w:val="20"/>
          <w:lang w:val="en-US"/>
        </w:rPr>
        <w:t xml:space="preserve"> p</w:t>
      </w:r>
      <w:r w:rsidRPr="00D058EF">
        <w:rPr>
          <w:sz w:val="20"/>
          <w:lang w:val="en-US"/>
        </w:rPr>
        <w:t xml:space="preserve"> (</w:t>
      </w:r>
      <w:r w:rsidRPr="00D058EF">
        <w:rPr>
          <w:i/>
          <w:sz w:val="20"/>
          <w:lang w:val="en-US"/>
        </w:rPr>
        <w:t>X</w:t>
      </w:r>
      <w:r w:rsidRPr="00D058EF">
        <w:rPr>
          <w:i/>
          <w:sz w:val="20"/>
          <w:vertAlign w:val="subscript"/>
          <w:lang w:val="en-US"/>
        </w:rPr>
        <w:t>1</w:t>
      </w:r>
      <w:r w:rsidRPr="00D058EF">
        <w:rPr>
          <w:i/>
          <w:sz w:val="20"/>
          <w:lang w:val="en-US"/>
        </w:rPr>
        <w:t>, X</w:t>
      </w:r>
      <w:r w:rsidRPr="00D058EF">
        <w:rPr>
          <w:i/>
          <w:sz w:val="20"/>
          <w:vertAlign w:val="subscript"/>
          <w:lang w:val="en-US"/>
        </w:rPr>
        <w:t>2</w:t>
      </w:r>
      <w:proofErr w:type="gramStart"/>
      <w:r w:rsidRPr="00D058EF">
        <w:rPr>
          <w:i/>
          <w:sz w:val="20"/>
          <w:lang w:val="en-US"/>
        </w:rPr>
        <w:t>,…,</w:t>
      </w:r>
      <w:proofErr w:type="gramEnd"/>
      <w:r w:rsidRPr="00D058EF">
        <w:rPr>
          <w:i/>
          <w:sz w:val="20"/>
          <w:lang w:val="en-US"/>
        </w:rPr>
        <w:t xml:space="preserve"> X</w:t>
      </w:r>
      <w:r w:rsidRPr="00D058EF">
        <w:rPr>
          <w:i/>
          <w:sz w:val="20"/>
          <w:vertAlign w:val="subscript"/>
          <w:lang w:val="en-US"/>
        </w:rPr>
        <w:t>N</w:t>
      </w:r>
      <w:r w:rsidRPr="00D058EF">
        <w:rPr>
          <w:sz w:val="20"/>
          <w:lang w:val="en-US"/>
        </w:rPr>
        <w:t xml:space="preserve">) is the limit of the ratio </w:t>
      </w:r>
      <w:r w:rsidRPr="00D058EF">
        <w:rPr>
          <w:i/>
          <w:sz w:val="20"/>
          <w:lang w:val="ru-RU"/>
        </w:rPr>
        <w:t>Δ</w:t>
      </w:r>
      <w:r w:rsidRPr="00D058EF">
        <w:rPr>
          <w:i/>
          <w:sz w:val="20"/>
          <w:lang w:val="en-US"/>
        </w:rPr>
        <w:t>F/ F</w:t>
      </w:r>
      <w:r w:rsidRPr="00D058EF">
        <w:rPr>
          <w:sz w:val="20"/>
          <w:lang w:val="en-US"/>
        </w:rPr>
        <w:t xml:space="preserve"> to </w:t>
      </w:r>
      <w:r w:rsidRPr="00D058EF">
        <w:rPr>
          <w:i/>
          <w:sz w:val="20"/>
          <w:lang w:val="ru-RU"/>
        </w:rPr>
        <w:t>Δ</w:t>
      </w:r>
      <w:proofErr w:type="spellStart"/>
      <w:r w:rsidRPr="00D058EF">
        <w:rPr>
          <w:i/>
          <w:sz w:val="20"/>
          <w:lang w:val="en-US"/>
        </w:rPr>
        <w:t>Xn</w:t>
      </w:r>
      <w:proofErr w:type="spellEnd"/>
      <w:r w:rsidRPr="00D058EF">
        <w:rPr>
          <w:i/>
          <w:sz w:val="20"/>
          <w:lang w:val="en-US"/>
        </w:rPr>
        <w:t>/</w:t>
      </w:r>
      <w:proofErr w:type="spellStart"/>
      <w:r w:rsidRPr="00D058EF">
        <w:rPr>
          <w:i/>
          <w:sz w:val="20"/>
          <w:lang w:val="en-US"/>
        </w:rPr>
        <w:t>Xn</w:t>
      </w:r>
      <w:proofErr w:type="spellEnd"/>
      <w:r w:rsidRPr="00D058EF">
        <w:rPr>
          <w:sz w:val="20"/>
          <w:lang w:val="en-US"/>
        </w:rPr>
        <w:t xml:space="preserve"> as </w:t>
      </w:r>
      <w:r w:rsidRPr="00D058EF">
        <w:rPr>
          <w:i/>
          <w:sz w:val="20"/>
          <w:lang w:val="ru-RU"/>
        </w:rPr>
        <w:t>Δ</w:t>
      </w:r>
      <w:proofErr w:type="spellStart"/>
      <w:r w:rsidRPr="00D058EF">
        <w:rPr>
          <w:i/>
          <w:sz w:val="20"/>
          <w:lang w:val="en-US"/>
        </w:rPr>
        <w:t>Xn</w:t>
      </w:r>
      <w:proofErr w:type="spellEnd"/>
      <w:r w:rsidRPr="00D058EF">
        <w:rPr>
          <w:i/>
          <w:sz w:val="20"/>
          <w:lang w:val="en-US"/>
        </w:rPr>
        <w:t>/</w:t>
      </w:r>
      <w:proofErr w:type="spellStart"/>
      <w:r w:rsidRPr="00D058EF">
        <w:rPr>
          <w:i/>
          <w:sz w:val="20"/>
          <w:lang w:val="en-US"/>
        </w:rPr>
        <w:t>Xn</w:t>
      </w:r>
      <w:proofErr w:type="spellEnd"/>
      <w:r w:rsidRPr="00D058EF">
        <w:rPr>
          <w:sz w:val="20"/>
          <w:lang w:val="en-US"/>
        </w:rPr>
        <w:t xml:space="preserve"> tends to zero [10]:</w:t>
      </w:r>
    </w:p>
    <w:p w14:paraId="67523BD5" w14:textId="77777777" w:rsidR="00D058EF" w:rsidRPr="00D058EF" w:rsidRDefault="00D058EF" w:rsidP="00D058EF">
      <w:pPr>
        <w:ind w:firstLine="709"/>
        <w:textAlignment w:val="auto"/>
        <w:rPr>
          <w:sz w:val="20"/>
          <w:lang w:val="en-US"/>
        </w:rPr>
      </w:pPr>
    </w:p>
    <w:p w14:paraId="58CE3D0F" w14:textId="77777777" w:rsidR="00D058EF" w:rsidRPr="00D058EF" w:rsidRDefault="00D058EF" w:rsidP="00D058EF">
      <w:pPr>
        <w:ind w:left="1440" w:hanging="1440"/>
        <w:jc w:val="right"/>
        <w:textAlignment w:val="auto"/>
        <w:rPr>
          <w:lang w:val="en-US"/>
        </w:rPr>
      </w:pPr>
      <m:oMath>
        <m:r>
          <w:rPr>
            <w:rFonts w:ascii="Cambria Math" w:hAnsi="Cambria Math"/>
            <w:lang w:val="en-US"/>
          </w:rPr>
          <m:t>p</m:t>
        </m:r>
        <m:r>
          <m:rPr>
            <m:sty m:val="p"/>
          </m:rP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t>
            </m:r>
            <m:r>
              <w:rPr>
                <w:rFonts w:ascii="Cambria Math" w:hAnsi="Cambria Math"/>
              </w:rPr>
              <m:t>X</m:t>
            </m:r>
          </m:e>
          <m:sub>
            <m:r>
              <w:rPr>
                <w:rFonts w:ascii="Cambria Math" w:hAnsi="Cambria Math"/>
              </w:rPr>
              <m:t>N</m:t>
            </m:r>
          </m:sub>
        </m:sSub>
        <m:r>
          <m:rPr>
            <m:sty m:val="p"/>
          </m:rPr>
          <w:rPr>
            <w:rFonts w:ascii="Cambria Math" w:hAnsi="Cambria Math"/>
            <w:lang w:val="en-US"/>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sSub>
                  <m:sSubPr>
                    <m:ctrlPr>
                      <w:rPr>
                        <w:rFonts w:ascii="Cambria Math" w:hAnsi="Cambria Math"/>
                        <w:i/>
                      </w:rPr>
                    </m:ctrlPr>
                  </m:sSubPr>
                  <m:e>
                    <m:r>
                      <w:rPr>
                        <w:rFonts w:ascii="Cambria Math" w:hAnsi="Cambria Math"/>
                        <w:i/>
                      </w:rPr>
                      <w:sym w:font="Symbol" w:char="F044"/>
                    </m:r>
                    <m:r>
                      <w:rPr>
                        <w:rFonts w:ascii="Cambria Math" w:hAnsi="Cambria Math"/>
                      </w:rPr>
                      <m:t>X</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n</m:t>
                    </m:r>
                  </m:sub>
                </m:sSub>
                <m:r>
                  <m:rPr>
                    <m:sty m:val="p"/>
                  </m:rPr>
                  <w:rPr>
                    <w:rFonts w:ascii="Cambria Math" w:hAnsi="Cambria Math"/>
                    <w:lang w:val="en-US"/>
                  </w:rPr>
                  <m:t>→0</m:t>
                </m:r>
              </m:lim>
            </m:limLow>
          </m:fName>
          <m:e>
            <m:f>
              <m:fPr>
                <m:ctrlPr>
                  <w:rPr>
                    <w:rFonts w:ascii="Cambria Math" w:hAnsi="Cambria Math"/>
                  </w:rPr>
                </m:ctrlPr>
              </m:fPr>
              <m:num>
                <m:r>
                  <w:rPr>
                    <w:rFonts w:ascii="Cambria Math" w:hAnsi="Cambria Math"/>
                    <w:lang w:val="en-US"/>
                  </w:rPr>
                  <m:t>∆</m:t>
                </m:r>
                <m:r>
                  <w:rPr>
                    <w:rFonts w:ascii="Cambria Math" w:hAnsi="Cambria Math"/>
                  </w:rPr>
                  <m:t>F</m:t>
                </m:r>
                <m:r>
                  <w:rPr>
                    <w:rFonts w:ascii="Cambria Math" w:hAnsi="Cambria Math"/>
                    <w:lang w:val="en-US"/>
                  </w:rPr>
                  <m:t>/</m:t>
                </m:r>
                <m:r>
                  <w:rPr>
                    <w:rFonts w:ascii="Cambria Math" w:hAnsi="Cambria Math"/>
                  </w:rPr>
                  <m:t>F</m:t>
                </m:r>
              </m:num>
              <m:den>
                <m:sSub>
                  <m:sSubPr>
                    <m:ctrlPr>
                      <w:rPr>
                        <w:rFonts w:ascii="Cambria Math" w:hAnsi="Cambria Math"/>
                        <w:i/>
                      </w:rPr>
                    </m:ctrlPr>
                  </m:sSubPr>
                  <m:e>
                    <m:r>
                      <w:rPr>
                        <w:rFonts w:ascii="Cambria Math" w:hAnsi="Cambria Math"/>
                        <w:i/>
                      </w:rPr>
                      <w:sym w:font="Symbol" w:char="F044"/>
                    </m:r>
                    <m:r>
                      <w:rPr>
                        <w:rFonts w:ascii="Cambria Math" w:hAnsi="Cambria Math"/>
                      </w:rPr>
                      <m:t>X</m:t>
                    </m:r>
                  </m:e>
                  <m:sub>
                    <m:r>
                      <w:rPr>
                        <w:rFonts w:ascii="Cambria Math" w:hAnsi="Cambria Math"/>
                      </w:rPr>
                      <m:t>n</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n</m:t>
                    </m:r>
                  </m:sub>
                </m:sSub>
              </m:den>
            </m:f>
          </m:e>
        </m:func>
      </m:oMath>
      <w:r w:rsidRPr="00D058EF">
        <w:rPr>
          <w:lang w:val="en-US"/>
        </w:rPr>
        <w:tab/>
      </w:r>
      <w:r w:rsidRPr="00D058EF">
        <w:rPr>
          <w:lang w:val="en-US"/>
        </w:rPr>
        <w:tab/>
      </w:r>
      <w:r w:rsidRPr="00D058EF">
        <w:rPr>
          <w:lang w:val="en-US"/>
        </w:rPr>
        <w:tab/>
      </w:r>
      <w:r w:rsidRPr="00D058EF">
        <w:rPr>
          <w:lang w:val="en-US"/>
        </w:rPr>
        <w:tab/>
      </w:r>
      <w:r w:rsidRPr="00D058EF">
        <w:rPr>
          <w:lang w:val="en-US"/>
        </w:rPr>
        <w:tab/>
        <w:t>(1)</w:t>
      </w:r>
    </w:p>
    <w:p w14:paraId="7B094AC0" w14:textId="77777777" w:rsidR="00D058EF" w:rsidRPr="00D058EF" w:rsidRDefault="00D058EF" w:rsidP="00D058EF">
      <w:pPr>
        <w:ind w:firstLine="709"/>
        <w:textAlignment w:val="auto"/>
        <w:rPr>
          <w:sz w:val="20"/>
          <w:lang w:val="en-US"/>
        </w:rPr>
      </w:pPr>
    </w:p>
    <w:p w14:paraId="2E85B3F1" w14:textId="62C36892" w:rsidR="00D058EF" w:rsidRPr="00D058EF" w:rsidRDefault="00D058EF" w:rsidP="00D058EF">
      <w:pPr>
        <w:spacing w:line="260" w:lineRule="atLeast"/>
        <w:ind w:firstLine="567"/>
        <w:jc w:val="both"/>
        <w:textAlignment w:val="auto"/>
        <w:rPr>
          <w:sz w:val="20"/>
          <w:lang w:val="en-US"/>
        </w:rPr>
      </w:pPr>
      <w:r w:rsidRPr="00D058EF">
        <w:rPr>
          <w:sz w:val="20"/>
          <w:lang w:val="en-US"/>
        </w:rPr>
        <w:t xml:space="preserve">In accordance with formula (1), the sensitivity of the fast reactor technology in the CNFC to the NES parameters was analyzed. Figure 5 shows the results of this </w:t>
      </w:r>
      <w:r w:rsidRPr="00955127">
        <w:rPr>
          <w:sz w:val="20"/>
          <w:lang w:val="en-US"/>
        </w:rPr>
        <w:t xml:space="preserve">analysis </w:t>
      </w:r>
      <w:r w:rsidR="00955127" w:rsidRPr="00955127">
        <w:rPr>
          <w:sz w:val="20"/>
          <w:lang w:val="en-US"/>
        </w:rPr>
        <w:t>for</w:t>
      </w:r>
      <w:r w:rsidR="00B90059">
        <w:rPr>
          <w:sz w:val="20"/>
          <w:lang w:val="en-US"/>
        </w:rPr>
        <w:t xml:space="preserve"> 2080. As can be seen in Figure</w:t>
      </w:r>
      <w:r w:rsidRPr="00955127">
        <w:rPr>
          <w:sz w:val="20"/>
          <w:lang w:val="en-US"/>
        </w:rPr>
        <w:t xml:space="preserve"> 5, the share of fast reactors with the CNFC in the NES structure is most sensitive to the capital costs for the construction of these reactors. </w:t>
      </w:r>
      <w:r w:rsidRPr="005C56C3">
        <w:rPr>
          <w:sz w:val="20"/>
          <w:lang w:val="en-US"/>
        </w:rPr>
        <w:t>The developers of fast reactors have recently been able to approach the capital costs of thermal neutron reactors in terms of this indicator, and</w:t>
      </w:r>
      <w:r w:rsidR="00DA3CD1" w:rsidRPr="005C56C3">
        <w:rPr>
          <w:sz w:val="20"/>
          <w:lang w:val="en-US"/>
        </w:rPr>
        <w:t>,</w:t>
      </w:r>
      <w:r w:rsidRPr="005C56C3">
        <w:rPr>
          <w:sz w:val="20"/>
          <w:lang w:val="en-US"/>
        </w:rPr>
        <w:t xml:space="preserve"> </w:t>
      </w:r>
      <w:r w:rsidR="00DA3CD1" w:rsidRPr="005C56C3">
        <w:rPr>
          <w:sz w:val="20"/>
          <w:lang w:val="en-US"/>
        </w:rPr>
        <w:t xml:space="preserve">as a result of fast reactor technology maturing, </w:t>
      </w:r>
      <w:r w:rsidRPr="005C56C3">
        <w:rPr>
          <w:sz w:val="20"/>
          <w:lang w:val="en-US"/>
        </w:rPr>
        <w:t xml:space="preserve">further convergence can be expected in the transition to their larger-scale </w:t>
      </w:r>
      <w:r w:rsidR="00955127" w:rsidRPr="005C56C3">
        <w:rPr>
          <w:sz w:val="20"/>
          <w:lang w:val="en-US"/>
        </w:rPr>
        <w:t>integration</w:t>
      </w:r>
      <w:r w:rsidRPr="005C56C3">
        <w:rPr>
          <w:sz w:val="20"/>
          <w:lang w:val="en-US"/>
        </w:rPr>
        <w:t xml:space="preserve"> into the NES.</w:t>
      </w:r>
      <w:r w:rsidRPr="00955127">
        <w:rPr>
          <w:sz w:val="20"/>
          <w:lang w:val="en-US"/>
        </w:rPr>
        <w:t xml:space="preserve"> The research findings show that the key economic factor stimulating the commissioning of fast reactors within the framework of the existing and target prices for NFC technological process stages is the replacement of uranium fuel with plutonium one. However, this factor will be fully manifested only wit</w:t>
      </w:r>
      <w:r w:rsidR="00DA3CD1">
        <w:rPr>
          <w:sz w:val="20"/>
          <w:lang w:val="en-US"/>
        </w:rPr>
        <w:t>h the large-scale</w:t>
      </w:r>
      <w:r w:rsidRPr="00955127">
        <w:rPr>
          <w:sz w:val="20"/>
          <w:lang w:val="en-US"/>
        </w:rPr>
        <w:t xml:space="preserve"> nucl</w:t>
      </w:r>
      <w:r w:rsidR="00F4799D">
        <w:rPr>
          <w:sz w:val="20"/>
          <w:lang w:val="en-US"/>
        </w:rPr>
        <w:t>ear power</w:t>
      </w:r>
      <w:r w:rsidR="00DA3CD1">
        <w:rPr>
          <w:sz w:val="20"/>
          <w:lang w:val="en-US"/>
        </w:rPr>
        <w:t xml:space="preserve"> deployment</w:t>
      </w:r>
      <w:r w:rsidR="00F4799D">
        <w:rPr>
          <w:sz w:val="20"/>
          <w:lang w:val="en-US"/>
        </w:rPr>
        <w:t xml:space="preserve">. </w:t>
      </w:r>
      <w:r w:rsidR="00DA3CD1">
        <w:rPr>
          <w:sz w:val="20"/>
          <w:lang w:val="en-US"/>
        </w:rPr>
        <w:t>W</w:t>
      </w:r>
      <w:r w:rsidR="00DA3CD1" w:rsidRPr="00955127">
        <w:rPr>
          <w:sz w:val="20"/>
          <w:lang w:val="en-US"/>
        </w:rPr>
        <w:t xml:space="preserve">ith regard to the </w:t>
      </w:r>
      <w:r w:rsidR="00DA3CD1">
        <w:rPr>
          <w:sz w:val="20"/>
          <w:lang w:val="en-US"/>
        </w:rPr>
        <w:t xml:space="preserve">sustainability </w:t>
      </w:r>
      <w:r w:rsidR="00DA3CD1" w:rsidRPr="00955127">
        <w:rPr>
          <w:sz w:val="20"/>
          <w:lang w:val="en-US"/>
        </w:rPr>
        <w:t>require</w:t>
      </w:r>
      <w:r w:rsidR="00DA3CD1">
        <w:rPr>
          <w:sz w:val="20"/>
          <w:lang w:val="en-US"/>
        </w:rPr>
        <w:t>ments, t</w:t>
      </w:r>
      <w:r w:rsidR="00F4799D">
        <w:rPr>
          <w:sz w:val="20"/>
          <w:lang w:val="en-US"/>
        </w:rPr>
        <w:t>he NFC back-end objective</w:t>
      </w:r>
      <w:r w:rsidRPr="00955127">
        <w:rPr>
          <w:sz w:val="20"/>
          <w:lang w:val="en-US"/>
        </w:rPr>
        <w:t xml:space="preserve">s </w:t>
      </w:r>
      <w:r w:rsidR="00F4799D">
        <w:rPr>
          <w:sz w:val="20"/>
          <w:lang w:val="en-US"/>
        </w:rPr>
        <w:t>are</w:t>
      </w:r>
      <w:r w:rsidRPr="00955127">
        <w:rPr>
          <w:sz w:val="20"/>
          <w:lang w:val="en-US"/>
        </w:rPr>
        <w:t xml:space="preserve"> growing in importan</w:t>
      </w:r>
      <w:r w:rsidR="00B90059">
        <w:rPr>
          <w:sz w:val="20"/>
          <w:lang w:val="en-US"/>
        </w:rPr>
        <w:t xml:space="preserve">ce, but, as can be seen in Figure </w:t>
      </w:r>
      <w:r w:rsidRPr="00955127">
        <w:rPr>
          <w:sz w:val="20"/>
          <w:lang w:val="en-US"/>
        </w:rPr>
        <w:t>5, the economic incentives for their solution are still too weak. In light of this, it is advisable to address multi-criteria methods to assess the prospects for the development of innovative technologies, where the development criteria</w:t>
      </w:r>
      <w:r w:rsidRPr="00D058EF">
        <w:rPr>
          <w:sz w:val="20"/>
          <w:lang w:val="en-US"/>
        </w:rPr>
        <w:t xml:space="preserve"> are formulated not only in the area of economics, but also in nuclear safety, environmental preservation, </w:t>
      </w:r>
      <w:r w:rsidR="00DA3CD1" w:rsidRPr="00D058EF">
        <w:rPr>
          <w:rFonts w:eastAsia="Calibri"/>
          <w:sz w:val="20"/>
          <w:lang w:val="en-US"/>
        </w:rPr>
        <w:t>non-</w:t>
      </w:r>
      <w:r w:rsidR="00DA3CD1">
        <w:rPr>
          <w:rFonts w:eastAsia="Calibri"/>
          <w:sz w:val="20"/>
          <w:lang w:val="en-US"/>
        </w:rPr>
        <w:t xml:space="preserve">proliferation of nuclear weapons </w:t>
      </w:r>
      <w:r w:rsidRPr="00D058EF">
        <w:rPr>
          <w:sz w:val="20"/>
          <w:lang w:val="en-US"/>
        </w:rPr>
        <w:t>and radioactive waste management.</w:t>
      </w:r>
    </w:p>
    <w:p w14:paraId="5A54F8B2" w14:textId="77777777" w:rsidR="00D058EF" w:rsidRPr="00D058EF" w:rsidRDefault="00D058EF" w:rsidP="00D058EF">
      <w:pPr>
        <w:overflowPunct/>
        <w:autoSpaceDE/>
        <w:autoSpaceDN/>
        <w:adjustRightInd/>
        <w:spacing w:line="260" w:lineRule="atLeast"/>
        <w:contextualSpacing/>
        <w:jc w:val="center"/>
        <w:textAlignment w:val="auto"/>
        <w:rPr>
          <w:sz w:val="20"/>
          <w:lang w:val="ru-RU"/>
        </w:rPr>
      </w:pPr>
      <w:r w:rsidRPr="00D058EF">
        <w:rPr>
          <w:noProof/>
          <w:sz w:val="20"/>
          <w:lang w:val="ru-RU" w:eastAsia="ru-RU"/>
        </w:rPr>
        <w:lastRenderedPageBreak/>
        <w:drawing>
          <wp:inline distT="0" distB="0" distL="0" distR="0" wp14:anchorId="5C9C146C" wp14:editId="6AC85131">
            <wp:extent cx="5669280" cy="2794635"/>
            <wp:effectExtent l="0" t="0" r="7620" b="5715"/>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D59DD5" w14:textId="6FDFD85A" w:rsidR="00D058EF" w:rsidRPr="00D058EF" w:rsidRDefault="00955127" w:rsidP="00D058EF">
      <w:pPr>
        <w:ind w:firstLine="567"/>
        <w:jc w:val="center"/>
        <w:textAlignment w:val="auto"/>
        <w:rPr>
          <w:sz w:val="18"/>
          <w:szCs w:val="18"/>
          <w:lang w:val="en-US"/>
        </w:rPr>
      </w:pPr>
      <w:r>
        <w:rPr>
          <w:rFonts w:eastAsia="Calibri"/>
          <w:i/>
          <w:sz w:val="18"/>
          <w:szCs w:val="18"/>
          <w:lang w:val="en-US"/>
        </w:rPr>
        <w:t xml:space="preserve">Figure </w:t>
      </w:r>
      <w:r w:rsidRPr="00D058EF">
        <w:rPr>
          <w:rFonts w:eastAsia="Calibri"/>
          <w:i/>
          <w:sz w:val="18"/>
          <w:szCs w:val="18"/>
          <w:lang w:val="en-US"/>
        </w:rPr>
        <w:t>5</w:t>
      </w:r>
      <w:r w:rsidR="00D058EF" w:rsidRPr="00D058EF">
        <w:rPr>
          <w:rFonts w:eastAsia="Calibri"/>
          <w:i/>
          <w:sz w:val="18"/>
          <w:szCs w:val="18"/>
          <w:lang w:val="en-US"/>
        </w:rPr>
        <w:t xml:space="preserve">. </w:t>
      </w:r>
      <w:r w:rsidR="00D058EF" w:rsidRPr="00D058EF">
        <w:rPr>
          <w:i/>
          <w:iCs/>
          <w:sz w:val="18"/>
          <w:szCs w:val="18"/>
          <w:lang w:val="en-US"/>
        </w:rPr>
        <w:t xml:space="preserve">Relative </w:t>
      </w:r>
      <w:r w:rsidR="00D058EF" w:rsidRPr="00955127">
        <w:rPr>
          <w:i/>
          <w:iCs/>
          <w:sz w:val="18"/>
          <w:szCs w:val="18"/>
          <w:lang w:val="en-US"/>
        </w:rPr>
        <w:t>sensitivity of the share of FR technology in the CNFC in the</w:t>
      </w:r>
      <w:r w:rsidRPr="00955127">
        <w:rPr>
          <w:i/>
          <w:iCs/>
          <w:sz w:val="18"/>
          <w:szCs w:val="18"/>
          <w:lang w:val="en-US"/>
        </w:rPr>
        <w:t xml:space="preserve"> global NES</w:t>
      </w:r>
      <w:r w:rsidR="00D058EF" w:rsidRPr="00955127">
        <w:rPr>
          <w:i/>
          <w:iCs/>
          <w:sz w:val="18"/>
          <w:szCs w:val="18"/>
          <w:lang w:val="en-US"/>
        </w:rPr>
        <w:t xml:space="preserve"> </w:t>
      </w:r>
      <w:r w:rsidRPr="00955127">
        <w:rPr>
          <w:i/>
          <w:iCs/>
          <w:sz w:val="18"/>
          <w:szCs w:val="18"/>
          <w:lang w:val="en-US"/>
        </w:rPr>
        <w:t xml:space="preserve">structure </w:t>
      </w:r>
      <w:r w:rsidR="00D058EF" w:rsidRPr="00955127">
        <w:rPr>
          <w:i/>
          <w:iCs/>
          <w:sz w:val="18"/>
          <w:szCs w:val="18"/>
          <w:lang w:val="en-US"/>
        </w:rPr>
        <w:t>to the key parameter</w:t>
      </w:r>
      <w:r w:rsidRPr="00955127">
        <w:rPr>
          <w:i/>
          <w:iCs/>
          <w:sz w:val="18"/>
          <w:szCs w:val="18"/>
          <w:lang w:val="en-US"/>
        </w:rPr>
        <w:t>s</w:t>
      </w:r>
      <w:r w:rsidR="00D058EF" w:rsidRPr="00955127">
        <w:rPr>
          <w:i/>
          <w:iCs/>
          <w:sz w:val="18"/>
          <w:szCs w:val="18"/>
          <w:lang w:val="en-US"/>
        </w:rPr>
        <w:t xml:space="preserve"> of the model</w:t>
      </w:r>
      <w:r w:rsidR="00891227">
        <w:rPr>
          <w:i/>
          <w:iCs/>
          <w:sz w:val="18"/>
          <w:szCs w:val="18"/>
          <w:lang w:val="en-US"/>
        </w:rPr>
        <w:t>,</w:t>
      </w:r>
      <w:r w:rsidR="00891227" w:rsidRPr="00891227">
        <w:t xml:space="preserve"> </w:t>
      </w:r>
      <w:r w:rsidR="00891227" w:rsidRPr="00891227">
        <w:rPr>
          <w:i/>
          <w:iCs/>
          <w:sz w:val="18"/>
          <w:szCs w:val="18"/>
          <w:lang w:val="en-US"/>
        </w:rPr>
        <w:t>dimensionless quantity</w:t>
      </w:r>
    </w:p>
    <w:p w14:paraId="0614ADB4" w14:textId="77777777" w:rsidR="00D058EF" w:rsidRPr="00D058EF" w:rsidRDefault="00D058EF" w:rsidP="00D058EF">
      <w:pPr>
        <w:jc w:val="center"/>
        <w:textAlignment w:val="auto"/>
        <w:rPr>
          <w:sz w:val="20"/>
          <w:szCs w:val="24"/>
          <w:lang w:val="en-US"/>
        </w:rPr>
      </w:pPr>
    </w:p>
    <w:p w14:paraId="62588424" w14:textId="67D27DAD" w:rsidR="00D058EF" w:rsidRPr="001B5322" w:rsidRDefault="0023417F" w:rsidP="0023417F">
      <w:pPr>
        <w:widowControl w:val="0"/>
        <w:numPr>
          <w:ilvl w:val="0"/>
          <w:numId w:val="13"/>
        </w:numPr>
        <w:overflowPunct/>
        <w:autoSpaceDE/>
        <w:autoSpaceDN/>
        <w:adjustRightInd/>
        <w:spacing w:before="100" w:beforeAutospacing="1" w:after="100" w:afterAutospacing="1" w:line="280" w:lineRule="atLeast"/>
        <w:ind w:hanging="153"/>
        <w:textAlignment w:val="auto"/>
        <w:outlineLvl w:val="1"/>
        <w:rPr>
          <w:caps/>
          <w:sz w:val="20"/>
          <w:lang w:val="en-US"/>
        </w:rPr>
      </w:pPr>
      <w:r>
        <w:rPr>
          <w:caps/>
          <w:sz w:val="20"/>
          <w:lang w:val="en-US"/>
        </w:rPr>
        <w:t xml:space="preserve"> </w:t>
      </w:r>
      <w:r w:rsidR="00D058EF" w:rsidRPr="00D058EF">
        <w:rPr>
          <w:caps/>
          <w:sz w:val="20"/>
          <w:lang w:val="en-US"/>
        </w:rPr>
        <w:t>CONCLUSION</w:t>
      </w:r>
    </w:p>
    <w:p w14:paraId="78D24A4B" w14:textId="16586E17" w:rsidR="00D058EF" w:rsidRPr="00D058EF" w:rsidRDefault="00D058EF" w:rsidP="0023417F">
      <w:pPr>
        <w:overflowPunct/>
        <w:autoSpaceDE/>
        <w:autoSpaceDN/>
        <w:adjustRightInd/>
        <w:spacing w:line="260" w:lineRule="atLeast"/>
        <w:ind w:firstLine="567"/>
        <w:contextualSpacing/>
        <w:jc w:val="both"/>
        <w:textAlignment w:val="auto"/>
        <w:rPr>
          <w:sz w:val="20"/>
          <w:lang w:val="en-US"/>
        </w:rPr>
      </w:pPr>
      <w:r w:rsidRPr="00D058EF">
        <w:rPr>
          <w:sz w:val="20"/>
          <w:lang w:val="en-US"/>
        </w:rPr>
        <w:t xml:space="preserve">The basic result of the research performed with regard to the economic prospects of fast neutron reactor </w:t>
      </w:r>
      <w:r w:rsidR="00955127" w:rsidRPr="00955127">
        <w:rPr>
          <w:sz w:val="20"/>
          <w:lang w:val="en-US"/>
        </w:rPr>
        <w:t>deployment</w:t>
      </w:r>
      <w:r w:rsidRPr="00955127">
        <w:rPr>
          <w:sz w:val="20"/>
          <w:lang w:val="en-US"/>
        </w:rPr>
        <w:t xml:space="preserve"> is</w:t>
      </w:r>
      <w:r w:rsidRPr="00D058EF">
        <w:rPr>
          <w:sz w:val="20"/>
          <w:lang w:val="en-US"/>
        </w:rPr>
        <w:t xml:space="preserve"> the conclusion that, </w:t>
      </w:r>
      <w:r w:rsidRPr="00AF4221">
        <w:rPr>
          <w:sz w:val="20"/>
          <w:lang w:val="en-US"/>
        </w:rPr>
        <w:t>starting from</w:t>
      </w:r>
      <w:r w:rsidRPr="00D058EF">
        <w:rPr>
          <w:sz w:val="20"/>
          <w:lang w:val="en-US"/>
        </w:rPr>
        <w:t xml:space="preserve"> 2020, fast neutron reactors are included in the optimal plan at a high cost of separated plutonium storage, and from 2060, an economically justified introduction of fast reactors to the NES takes place with a fairly significant growth in capacities, which is </w:t>
      </w:r>
      <w:r w:rsidR="00DA3CD1" w:rsidRPr="00D058EF">
        <w:rPr>
          <w:sz w:val="20"/>
          <w:lang w:val="en-US"/>
        </w:rPr>
        <w:t xml:space="preserve">primarily </w:t>
      </w:r>
      <w:r w:rsidRPr="00D058EF">
        <w:rPr>
          <w:sz w:val="20"/>
          <w:lang w:val="en-US"/>
        </w:rPr>
        <w:t>accounted for by</w:t>
      </w:r>
      <w:r w:rsidR="00DA3CD1">
        <w:rPr>
          <w:sz w:val="20"/>
          <w:lang w:val="en-US"/>
        </w:rPr>
        <w:t xml:space="preserve"> the expediency of replacing</w:t>
      </w:r>
      <w:r w:rsidRPr="00D058EF">
        <w:rPr>
          <w:sz w:val="20"/>
          <w:lang w:val="en-US"/>
        </w:rPr>
        <w:t xml:space="preserve"> natural uranium rising in price. The </w:t>
      </w:r>
      <w:r w:rsidR="00DA3CD1" w:rsidRPr="00D058EF">
        <w:rPr>
          <w:sz w:val="20"/>
          <w:lang w:val="en-US"/>
        </w:rPr>
        <w:t xml:space="preserve">maturing </w:t>
      </w:r>
      <w:r w:rsidR="00DA3CD1">
        <w:rPr>
          <w:sz w:val="20"/>
          <w:lang w:val="en-US"/>
        </w:rPr>
        <w:t xml:space="preserve">of </w:t>
      </w:r>
      <w:r w:rsidRPr="00D058EF">
        <w:rPr>
          <w:sz w:val="20"/>
          <w:lang w:val="en-US"/>
        </w:rPr>
        <w:t>NFC closure technology and gradual development of the relevant infrastructure is critical for the timely deployment of fast reactors and a closed NFC at a time when the economic benefits of this technology will become evident.</w:t>
      </w:r>
    </w:p>
    <w:p w14:paraId="388897BA" w14:textId="759AAF66" w:rsidR="006B7611" w:rsidRPr="00D058EF" w:rsidRDefault="00D058EF" w:rsidP="0023417F">
      <w:pPr>
        <w:spacing w:line="260" w:lineRule="atLeast"/>
        <w:ind w:firstLine="567"/>
        <w:jc w:val="both"/>
        <w:rPr>
          <w:rFonts w:eastAsia="Calibri"/>
          <w:sz w:val="20"/>
          <w:lang w:val="en-US"/>
        </w:rPr>
      </w:pPr>
      <w:r w:rsidRPr="00D058EF">
        <w:rPr>
          <w:rFonts w:eastAsia="Calibri"/>
          <w:sz w:val="20"/>
          <w:lang w:val="en-US"/>
        </w:rPr>
        <w:t>Although</w:t>
      </w:r>
      <w:r w:rsidR="00DA3CD1">
        <w:rPr>
          <w:rFonts w:eastAsia="Calibri"/>
          <w:sz w:val="20"/>
          <w:lang w:val="en-US"/>
        </w:rPr>
        <w:t>,</w:t>
      </w:r>
      <w:r w:rsidRPr="00D058EF">
        <w:rPr>
          <w:rFonts w:eastAsia="Calibri"/>
          <w:sz w:val="20"/>
          <w:lang w:val="en-US"/>
        </w:rPr>
        <w:t xml:space="preserve"> </w:t>
      </w:r>
      <w:r w:rsidR="00DA3CD1" w:rsidRPr="005159E9">
        <w:rPr>
          <w:rFonts w:eastAsia="Calibri"/>
          <w:sz w:val="20"/>
          <w:lang w:val="en-US"/>
        </w:rPr>
        <w:t>with regard to the sustainability requirements</w:t>
      </w:r>
      <w:r w:rsidR="00DA3CD1">
        <w:rPr>
          <w:rFonts w:eastAsia="Calibri"/>
          <w:sz w:val="20"/>
          <w:lang w:val="en-US"/>
        </w:rPr>
        <w:t>,</w:t>
      </w:r>
      <w:r w:rsidR="00DA3CD1" w:rsidRPr="005159E9">
        <w:rPr>
          <w:rFonts w:eastAsia="Calibri"/>
          <w:sz w:val="20"/>
          <w:lang w:val="en-US"/>
        </w:rPr>
        <w:t xml:space="preserve"> </w:t>
      </w:r>
      <w:r w:rsidRPr="00D058EF">
        <w:rPr>
          <w:rFonts w:eastAsia="Calibri"/>
          <w:sz w:val="20"/>
          <w:lang w:val="en-US"/>
        </w:rPr>
        <w:t>the NFC back-</w:t>
      </w:r>
      <w:r w:rsidRPr="005159E9">
        <w:rPr>
          <w:rFonts w:eastAsia="Calibri"/>
          <w:sz w:val="20"/>
          <w:lang w:val="en-US"/>
        </w:rPr>
        <w:t xml:space="preserve">end </w:t>
      </w:r>
      <w:r w:rsidR="00955127" w:rsidRPr="005159E9">
        <w:rPr>
          <w:rFonts w:eastAsia="Calibri"/>
          <w:sz w:val="20"/>
          <w:lang w:val="en-US"/>
        </w:rPr>
        <w:t>objective</w:t>
      </w:r>
      <w:r w:rsidRPr="005159E9">
        <w:rPr>
          <w:rFonts w:eastAsia="Calibri"/>
          <w:sz w:val="20"/>
          <w:lang w:val="en-US"/>
        </w:rPr>
        <w:t xml:space="preserve">s are growing in importance, the economic incentives for their solution are currently weak. There are grounds to believe that the current trends in developing nuclear energy as a sustainable energy will result in a change in this situation. It will </w:t>
      </w:r>
      <w:r w:rsidR="007E3A4E" w:rsidRPr="005159E9">
        <w:rPr>
          <w:rFonts w:eastAsia="Calibri"/>
          <w:sz w:val="20"/>
          <w:lang w:val="en-US"/>
        </w:rPr>
        <w:t>allow</w:t>
      </w:r>
      <w:r w:rsidRPr="005159E9">
        <w:rPr>
          <w:rFonts w:eastAsia="Calibri"/>
          <w:sz w:val="20"/>
          <w:lang w:val="en-US"/>
        </w:rPr>
        <w:t xml:space="preserve"> the economic assessments of the prospects for fast neutron reactors </w:t>
      </w:r>
      <w:r w:rsidR="007E3A4E" w:rsidRPr="005159E9">
        <w:rPr>
          <w:rFonts w:eastAsia="Calibri"/>
          <w:sz w:val="20"/>
          <w:lang w:val="en-US"/>
        </w:rPr>
        <w:t xml:space="preserve">to be brought </w:t>
      </w:r>
      <w:r w:rsidRPr="005159E9">
        <w:rPr>
          <w:rFonts w:eastAsia="Calibri"/>
          <w:sz w:val="20"/>
          <w:lang w:val="en-US"/>
        </w:rPr>
        <w:t>closer to the multi-criteria assessments,</w:t>
      </w:r>
      <w:r w:rsidRPr="00D058EF">
        <w:rPr>
          <w:rFonts w:eastAsia="Calibri"/>
          <w:sz w:val="20"/>
          <w:lang w:val="en-US"/>
        </w:rPr>
        <w:t xml:space="preserve"> where in addition to economic criteria, consideration is given to the criteria in the area of nuclear safety, preservation of the environment, </w:t>
      </w:r>
      <w:r w:rsidR="00DA3CD1" w:rsidRPr="00D058EF">
        <w:rPr>
          <w:rFonts w:eastAsia="Calibri"/>
          <w:sz w:val="20"/>
          <w:lang w:val="en-US"/>
        </w:rPr>
        <w:t>non-</w:t>
      </w:r>
      <w:r w:rsidR="00DA3CD1">
        <w:rPr>
          <w:rFonts w:eastAsia="Calibri"/>
          <w:sz w:val="20"/>
          <w:lang w:val="en-US"/>
        </w:rPr>
        <w:t xml:space="preserve">proliferation of nuclear weapons </w:t>
      </w:r>
      <w:r w:rsidRPr="00D058EF">
        <w:rPr>
          <w:rFonts w:eastAsia="Calibri"/>
          <w:sz w:val="20"/>
          <w:lang w:val="en-US"/>
        </w:rPr>
        <w:t>and radioactive waste management.</w:t>
      </w:r>
    </w:p>
    <w:p w14:paraId="1727F23C" w14:textId="4CEF9A19" w:rsidR="00B01C84" w:rsidRDefault="0023417F" w:rsidP="0023417F">
      <w:pPr>
        <w:pStyle w:val="2"/>
        <w:numPr>
          <w:ilvl w:val="0"/>
          <w:numId w:val="11"/>
        </w:numPr>
        <w:ind w:hanging="153"/>
      </w:pPr>
      <w:r>
        <w:t xml:space="preserve"> </w:t>
      </w:r>
      <w:r w:rsidR="00CF130A">
        <w:t>REFERENCES</w:t>
      </w:r>
    </w:p>
    <w:p w14:paraId="06F98420" w14:textId="206AC105" w:rsidR="00B01C84" w:rsidRPr="00267324" w:rsidRDefault="00B01C84" w:rsidP="00B01C84">
      <w:pPr>
        <w:pStyle w:val="Referencelist"/>
        <w:rPr>
          <w:lang w:val="en-US"/>
        </w:rPr>
      </w:pPr>
      <w:r w:rsidRPr="00B01C84">
        <w:t>INTERNATIONAL ATOMIC ENERGY AGENCY</w:t>
      </w:r>
      <w:r w:rsidRPr="00B01C84">
        <w:rPr>
          <w:lang w:val="en-US"/>
        </w:rPr>
        <w:t xml:space="preserve">, </w:t>
      </w:r>
      <w:r w:rsidRPr="00531A09">
        <w:rPr>
          <w:lang w:val="en-US"/>
        </w:rPr>
        <w:t>web page of INPRO section</w:t>
      </w:r>
      <w:r>
        <w:rPr>
          <w:lang w:val="en-US"/>
        </w:rPr>
        <w:t>,</w:t>
      </w:r>
      <w:r w:rsidRPr="00267324">
        <w:rPr>
          <w:lang w:val="en-US"/>
        </w:rPr>
        <w:t xml:space="preserve"> </w:t>
      </w:r>
      <w:hyperlink r:id="rId16" w:history="1">
        <w:r w:rsidRPr="00267324">
          <w:rPr>
            <w:rStyle w:val="a8"/>
            <w:lang w:val="en-US"/>
          </w:rPr>
          <w:t>http://www/iaea/org/INPRO</w:t>
        </w:r>
      </w:hyperlink>
      <w:r w:rsidRPr="00267324">
        <w:rPr>
          <w:u w:val="single"/>
          <w:lang w:val="en-US"/>
        </w:rPr>
        <w:t>.</w:t>
      </w:r>
    </w:p>
    <w:p w14:paraId="2D4E6910" w14:textId="77777777" w:rsidR="00B01C84" w:rsidRPr="000D5DFE" w:rsidRDefault="00B01C84" w:rsidP="00B01C84">
      <w:pPr>
        <w:pStyle w:val="Referencelist"/>
        <w:rPr>
          <w:rFonts w:eastAsia="MS Mincho"/>
          <w:lang w:val="en-US" w:eastAsia="ja-JP"/>
        </w:rPr>
      </w:pPr>
      <w:r w:rsidRPr="000D5DFE">
        <w:rPr>
          <w:lang w:val="en-US"/>
        </w:rPr>
        <w:t xml:space="preserve">INTERNATIONAL ATOMIC ENERGY AGENCY, Framework for Assessing Dynamic Nuclear Energy Systems for Sustainability, Final Report of the INPRO Collaborative Project on Global Architectures of Innovative Nuclear Energy Systems with Thermal and Fast 105 Reactors and Closed Nuclear Fuel Cycles (GAINS), </w:t>
      </w:r>
      <w:r w:rsidRPr="000D5DFE">
        <w:rPr>
          <w:rFonts w:eastAsia="MS Mincho"/>
          <w:lang w:val="en-US" w:eastAsia="ja-JP"/>
        </w:rPr>
        <w:t>Nuclear Energy Series No.</w:t>
      </w:r>
      <w:r w:rsidRPr="000D5DFE">
        <w:rPr>
          <w:lang w:val="en-US"/>
        </w:rPr>
        <w:t xml:space="preserve"> NP-T-1.14,</w:t>
      </w:r>
      <w:r w:rsidRPr="000D5DFE">
        <w:rPr>
          <w:rFonts w:eastAsia="MS Mincho"/>
          <w:lang w:val="en-US" w:eastAsia="ja-JP"/>
        </w:rPr>
        <w:t xml:space="preserve"> Vienna (2013)</w:t>
      </w:r>
      <w:r>
        <w:rPr>
          <w:rFonts w:eastAsia="MS Mincho"/>
          <w:lang w:val="en-US" w:eastAsia="ja-JP"/>
        </w:rPr>
        <w:t>.</w:t>
      </w:r>
    </w:p>
    <w:p w14:paraId="34214F73" w14:textId="77777777" w:rsidR="00B01C84" w:rsidRDefault="00B01C84" w:rsidP="00B01C84">
      <w:pPr>
        <w:pStyle w:val="Referencelist"/>
        <w:rPr>
          <w:rFonts w:eastAsia="MS Mincho"/>
          <w:lang w:val="en-US" w:eastAsia="ja-JP"/>
        </w:rPr>
      </w:pPr>
      <w:r w:rsidRPr="000D5DFE">
        <w:rPr>
          <w:lang w:val="en-US"/>
        </w:rPr>
        <w:t>INTERNATIONAL ATOMIC ENERGY AGENCY</w:t>
      </w:r>
      <w:r w:rsidRPr="000D5DFE">
        <w:rPr>
          <w:rFonts w:eastAsia="MS Mincho"/>
          <w:lang w:val="en-US" w:eastAsia="ja-JP"/>
        </w:rPr>
        <w:t>, Introduction to the Use of the INPRO Methodology in a Nuclear Energy System Assessment, Nuclear Energy Series No. NP-T-1.12, Vienna (2010).</w:t>
      </w:r>
    </w:p>
    <w:p w14:paraId="7CF1B0F0" w14:textId="03F75243" w:rsidR="00B01C84" w:rsidRDefault="00B01C84" w:rsidP="00B01C84">
      <w:pPr>
        <w:pStyle w:val="Referencelist"/>
        <w:rPr>
          <w:rFonts w:eastAsia="MS Mincho"/>
          <w:lang w:val="en-US" w:eastAsia="ja-JP"/>
        </w:rPr>
      </w:pPr>
      <w:r w:rsidRPr="000D5DFE">
        <w:rPr>
          <w:lang w:val="en-US"/>
        </w:rPr>
        <w:t>INTERNATIONAL ATOMIC ENERGY AGENCY</w:t>
      </w:r>
      <w:r>
        <w:rPr>
          <w:lang w:val="en-US"/>
        </w:rPr>
        <w:t xml:space="preserve">, </w:t>
      </w:r>
      <w:r w:rsidR="00B04A52">
        <w:rPr>
          <w:lang w:val="en-US" w:eastAsia="ru-RU"/>
        </w:rPr>
        <w:t>Modelling N</w:t>
      </w:r>
      <w:r w:rsidRPr="000D5DFE">
        <w:rPr>
          <w:lang w:val="en-US" w:eastAsia="ru-RU"/>
        </w:rPr>
        <w:t xml:space="preserve">uclear </w:t>
      </w:r>
      <w:r w:rsidR="00B04A52">
        <w:rPr>
          <w:lang w:val="en-US" w:eastAsia="ru-RU"/>
        </w:rPr>
        <w:t>Energy Systems with MESSAGE: a U</w:t>
      </w:r>
      <w:r w:rsidRPr="000D5DFE">
        <w:rPr>
          <w:lang w:val="en-US" w:eastAsia="ru-RU"/>
        </w:rPr>
        <w:t xml:space="preserve">ser’s </w:t>
      </w:r>
      <w:r w:rsidR="00B04A52">
        <w:rPr>
          <w:lang w:val="en-US" w:eastAsia="ru-RU"/>
        </w:rPr>
        <w:t>G</w:t>
      </w:r>
      <w:r w:rsidRPr="000D5DFE">
        <w:rPr>
          <w:lang w:val="en-US" w:eastAsia="ru-RU"/>
        </w:rPr>
        <w:t xml:space="preserve">uide, </w:t>
      </w:r>
      <w:r w:rsidRPr="000D5DFE">
        <w:rPr>
          <w:rFonts w:eastAsia="MS Mincho"/>
          <w:lang w:val="en-US" w:eastAsia="ja-JP"/>
        </w:rPr>
        <w:t xml:space="preserve">Nuclear Energy Series No. </w:t>
      </w:r>
      <w:r w:rsidRPr="000D5DFE">
        <w:rPr>
          <w:lang w:val="en-US" w:eastAsia="ru-RU"/>
        </w:rPr>
        <w:t xml:space="preserve">NG-T-5.2, </w:t>
      </w:r>
      <w:r>
        <w:rPr>
          <w:rFonts w:eastAsia="MS Mincho"/>
          <w:lang w:val="en-US" w:eastAsia="ja-JP"/>
        </w:rPr>
        <w:t>Vienna (2016</w:t>
      </w:r>
      <w:r w:rsidRPr="000D5DFE">
        <w:rPr>
          <w:rFonts w:eastAsia="MS Mincho"/>
          <w:lang w:val="en-US" w:eastAsia="ja-JP"/>
        </w:rPr>
        <w:t>).</w:t>
      </w:r>
    </w:p>
    <w:p w14:paraId="5F1DCFF0" w14:textId="4362B962" w:rsidR="00B01C84" w:rsidRPr="002D4C9B" w:rsidRDefault="00B01C84" w:rsidP="00B01C84">
      <w:pPr>
        <w:pStyle w:val="Referencelist"/>
        <w:rPr>
          <w:rFonts w:eastAsia="MS Mincho"/>
          <w:lang w:val="en-US" w:eastAsia="ja-JP"/>
        </w:rPr>
      </w:pPr>
      <w:r w:rsidRPr="000D5DFE">
        <w:rPr>
          <w:lang w:val="en-US"/>
        </w:rPr>
        <w:t>INTERNATIONAL ATOMIC ENERGY AGENCY</w:t>
      </w:r>
      <w:r w:rsidRPr="00F32A7A">
        <w:rPr>
          <w:lang w:val="en-US"/>
        </w:rPr>
        <w:t xml:space="preserve">, Experience in </w:t>
      </w:r>
      <w:r w:rsidR="00DF2AB6">
        <w:rPr>
          <w:lang w:val="en-US"/>
        </w:rPr>
        <w:t>M</w:t>
      </w:r>
      <w:r w:rsidRPr="00F32A7A">
        <w:rPr>
          <w:lang w:val="en-US"/>
        </w:rPr>
        <w:t xml:space="preserve">odelling </w:t>
      </w:r>
      <w:r w:rsidR="00DF2AB6">
        <w:rPr>
          <w:lang w:val="en-US"/>
        </w:rPr>
        <w:t>N</w:t>
      </w:r>
      <w:r w:rsidRPr="00F32A7A">
        <w:rPr>
          <w:lang w:val="en-US"/>
        </w:rPr>
        <w:t xml:space="preserve">uclear </w:t>
      </w:r>
      <w:r w:rsidR="00DF2AB6">
        <w:rPr>
          <w:lang w:val="en-US"/>
        </w:rPr>
        <w:t>E</w:t>
      </w:r>
      <w:r w:rsidRPr="00F32A7A">
        <w:rPr>
          <w:lang w:val="en-US"/>
        </w:rPr>
        <w:t xml:space="preserve">nergy </w:t>
      </w:r>
      <w:r w:rsidR="00DF2AB6">
        <w:rPr>
          <w:lang w:val="en-US"/>
        </w:rPr>
        <w:t>S</w:t>
      </w:r>
      <w:r w:rsidRPr="00F32A7A">
        <w:rPr>
          <w:lang w:val="en-US"/>
        </w:rPr>
        <w:t xml:space="preserve">ystems with MESSAGE: </w:t>
      </w:r>
      <w:r w:rsidR="00DF2AB6">
        <w:rPr>
          <w:lang w:val="en-US"/>
        </w:rPr>
        <w:t>C</w:t>
      </w:r>
      <w:r w:rsidRPr="00F32A7A">
        <w:rPr>
          <w:lang w:val="en-US"/>
        </w:rPr>
        <w:t xml:space="preserve">ountry </w:t>
      </w:r>
      <w:r w:rsidR="00DF2AB6">
        <w:rPr>
          <w:lang w:val="en-US"/>
        </w:rPr>
        <w:t>C</w:t>
      </w:r>
      <w:r w:rsidRPr="00F32A7A">
        <w:rPr>
          <w:lang w:val="en-US"/>
        </w:rPr>
        <w:t xml:space="preserve">ase </w:t>
      </w:r>
      <w:r w:rsidR="00DF2AB6">
        <w:rPr>
          <w:lang w:val="en-US"/>
        </w:rPr>
        <w:t>S</w:t>
      </w:r>
      <w:r w:rsidRPr="00F32A7A">
        <w:rPr>
          <w:lang w:val="en-US"/>
        </w:rPr>
        <w:t xml:space="preserve">tudies, IAEA TECDOC-1837, Vienna, </w:t>
      </w:r>
      <w:r>
        <w:rPr>
          <w:lang w:val="en-US"/>
        </w:rPr>
        <w:t>(</w:t>
      </w:r>
      <w:r w:rsidRPr="00F32A7A">
        <w:rPr>
          <w:lang w:val="en-US"/>
        </w:rPr>
        <w:t>2018</w:t>
      </w:r>
      <w:r>
        <w:rPr>
          <w:lang w:val="en-US"/>
        </w:rPr>
        <w:t>).</w:t>
      </w:r>
    </w:p>
    <w:p w14:paraId="5EB32AFF" w14:textId="5C9FAE78" w:rsidR="002D4C9B" w:rsidRPr="002D4C9B" w:rsidRDefault="002D4C9B" w:rsidP="002D4C9B">
      <w:pPr>
        <w:pStyle w:val="Referencelist"/>
        <w:rPr>
          <w:rFonts w:eastAsia="Calibri"/>
          <w:lang w:val="en-US" w:eastAsia="ru-RU"/>
        </w:rPr>
      </w:pPr>
      <w:r>
        <w:rPr>
          <w:rFonts w:eastAsia="Calibri"/>
          <w:caps/>
          <w:lang w:val="en-US" w:eastAsia="ru-RU"/>
        </w:rPr>
        <w:t>KALAshnikov A.G.</w:t>
      </w:r>
      <w:r w:rsidRPr="002D4C9B">
        <w:rPr>
          <w:rFonts w:eastAsia="Calibri"/>
          <w:caps/>
          <w:lang w:val="en-US" w:eastAsia="ru-RU"/>
        </w:rPr>
        <w:t xml:space="preserve">, </w:t>
      </w:r>
      <w:r>
        <w:rPr>
          <w:rFonts w:eastAsia="Calibri"/>
          <w:caps/>
          <w:lang w:val="en-US" w:eastAsia="ru-RU"/>
        </w:rPr>
        <w:t>moseev</w:t>
      </w:r>
      <w:r w:rsidRPr="002D4C9B">
        <w:rPr>
          <w:rFonts w:eastAsia="Calibri"/>
          <w:caps/>
          <w:lang w:val="en-US" w:eastAsia="ru-RU"/>
        </w:rPr>
        <w:t xml:space="preserve"> a.</w:t>
      </w:r>
      <w:r>
        <w:rPr>
          <w:rFonts w:eastAsia="Calibri"/>
          <w:caps/>
          <w:lang w:val="en-US" w:eastAsia="ru-RU"/>
        </w:rPr>
        <w:t>l</w:t>
      </w:r>
      <w:r w:rsidRPr="002D4C9B">
        <w:rPr>
          <w:rFonts w:eastAsia="Calibri"/>
          <w:caps/>
          <w:lang w:val="en-US" w:eastAsia="ru-RU"/>
        </w:rPr>
        <w:t xml:space="preserve">., </w:t>
      </w:r>
      <w:r>
        <w:rPr>
          <w:rFonts w:eastAsia="Calibri"/>
          <w:caps/>
          <w:lang w:val="en-US" w:eastAsia="ru-RU"/>
        </w:rPr>
        <w:t>dekusar</w:t>
      </w:r>
      <w:r w:rsidRPr="002D4C9B">
        <w:rPr>
          <w:rFonts w:eastAsia="Calibri"/>
          <w:caps/>
          <w:lang w:val="en-US" w:eastAsia="ru-RU"/>
        </w:rPr>
        <w:t xml:space="preserve"> </w:t>
      </w:r>
      <w:r>
        <w:rPr>
          <w:rFonts w:eastAsia="Calibri"/>
          <w:caps/>
          <w:lang w:val="en-US" w:eastAsia="ru-RU"/>
        </w:rPr>
        <w:t>v</w:t>
      </w:r>
      <w:r w:rsidRPr="002D4C9B">
        <w:rPr>
          <w:rFonts w:eastAsia="Calibri"/>
          <w:caps/>
          <w:lang w:val="en-US" w:eastAsia="ru-RU"/>
        </w:rPr>
        <w:t>.</w:t>
      </w:r>
      <w:r>
        <w:rPr>
          <w:rFonts w:eastAsia="Calibri"/>
          <w:caps/>
          <w:lang w:val="en-US" w:eastAsia="ru-RU"/>
        </w:rPr>
        <w:t>m</w:t>
      </w:r>
      <w:r w:rsidRPr="002D4C9B">
        <w:rPr>
          <w:rFonts w:eastAsia="Calibri"/>
          <w:caps/>
          <w:lang w:val="en-US" w:eastAsia="ru-RU"/>
        </w:rPr>
        <w:t xml:space="preserve">., </w:t>
      </w:r>
      <w:r>
        <w:rPr>
          <w:rFonts w:eastAsia="Calibri"/>
          <w:caps/>
          <w:lang w:val="en-US" w:eastAsia="ru-RU"/>
        </w:rPr>
        <w:t>korobeynikov</w:t>
      </w:r>
      <w:r w:rsidRPr="002D4C9B">
        <w:rPr>
          <w:rFonts w:eastAsia="Calibri"/>
          <w:caps/>
          <w:lang w:val="en-US" w:eastAsia="ru-RU"/>
        </w:rPr>
        <w:t xml:space="preserve"> v.</w:t>
      </w:r>
      <w:r>
        <w:rPr>
          <w:rFonts w:eastAsia="Calibri"/>
          <w:caps/>
          <w:lang w:val="en-US" w:eastAsia="ru-RU"/>
        </w:rPr>
        <w:t>v</w:t>
      </w:r>
      <w:r w:rsidRPr="002D4C9B">
        <w:rPr>
          <w:rFonts w:eastAsia="Calibri"/>
          <w:caps/>
          <w:lang w:val="en-US" w:eastAsia="ru-RU"/>
        </w:rPr>
        <w:t xml:space="preserve">., </w:t>
      </w:r>
      <w:r>
        <w:rPr>
          <w:rFonts w:eastAsia="Calibri"/>
          <w:caps/>
          <w:lang w:val="en-US" w:eastAsia="ru-RU"/>
        </w:rPr>
        <w:t>moseev</w:t>
      </w:r>
      <w:r w:rsidRPr="002D4C9B">
        <w:rPr>
          <w:rFonts w:eastAsia="Calibri"/>
          <w:caps/>
          <w:lang w:val="en-US" w:eastAsia="ru-RU"/>
        </w:rPr>
        <w:t xml:space="preserve"> </w:t>
      </w:r>
      <w:r>
        <w:rPr>
          <w:rFonts w:eastAsia="Calibri"/>
          <w:caps/>
          <w:lang w:val="en-US" w:eastAsia="ru-RU"/>
        </w:rPr>
        <w:t>p</w:t>
      </w:r>
      <w:r w:rsidRPr="002D4C9B">
        <w:rPr>
          <w:rFonts w:eastAsia="Calibri"/>
          <w:caps/>
          <w:lang w:val="en-US" w:eastAsia="ru-RU"/>
        </w:rPr>
        <w:t>.</w:t>
      </w:r>
      <w:r>
        <w:rPr>
          <w:rFonts w:eastAsia="Calibri"/>
          <w:caps/>
          <w:lang w:val="en-US" w:eastAsia="ru-RU"/>
        </w:rPr>
        <w:t>a</w:t>
      </w:r>
      <w:r w:rsidRPr="002D4C9B">
        <w:rPr>
          <w:rFonts w:eastAsia="Calibri"/>
          <w:lang w:val="en-US" w:eastAsia="ru-RU"/>
        </w:rPr>
        <w:t xml:space="preserve">., Evolution of the CYCLE Code for the System Analysis of the Nuclear Fuel Cycle, </w:t>
      </w:r>
      <w:proofErr w:type="spellStart"/>
      <w:r w:rsidRPr="005159E9">
        <w:rPr>
          <w:rFonts w:eastAsia="Calibri"/>
          <w:lang w:val="en" w:eastAsia="ru-RU"/>
        </w:rPr>
        <w:t>Izvestiya</w:t>
      </w:r>
      <w:proofErr w:type="spellEnd"/>
      <w:r w:rsidRPr="005159E9">
        <w:rPr>
          <w:rFonts w:eastAsia="Calibri"/>
          <w:lang w:val="en" w:eastAsia="ru-RU"/>
        </w:rPr>
        <w:t xml:space="preserve"> </w:t>
      </w:r>
      <w:proofErr w:type="spellStart"/>
      <w:r w:rsidRPr="005159E9">
        <w:rPr>
          <w:rFonts w:eastAsia="Calibri"/>
          <w:lang w:val="en" w:eastAsia="ru-RU"/>
        </w:rPr>
        <w:t>Vuzov</w:t>
      </w:r>
      <w:proofErr w:type="spellEnd"/>
      <w:r w:rsidRPr="005159E9">
        <w:rPr>
          <w:rFonts w:eastAsia="Calibri"/>
          <w:lang w:val="en" w:eastAsia="ru-RU"/>
        </w:rPr>
        <w:t xml:space="preserve">. </w:t>
      </w:r>
      <w:proofErr w:type="spellStart"/>
      <w:r w:rsidR="005159E9" w:rsidRPr="005159E9">
        <w:rPr>
          <w:rFonts w:eastAsia="Calibri"/>
          <w:lang w:val="en" w:eastAsia="ru-RU"/>
        </w:rPr>
        <w:t>Atomnaya</w:t>
      </w:r>
      <w:proofErr w:type="spellEnd"/>
      <w:r w:rsidR="005159E9" w:rsidRPr="005159E9">
        <w:rPr>
          <w:rFonts w:eastAsia="Calibri"/>
          <w:lang w:val="en" w:eastAsia="ru-RU"/>
        </w:rPr>
        <w:t xml:space="preserve"> </w:t>
      </w:r>
      <w:proofErr w:type="spellStart"/>
      <w:r w:rsidR="005159E9" w:rsidRPr="005159E9">
        <w:rPr>
          <w:rFonts w:eastAsia="Calibri"/>
          <w:lang w:val="en" w:eastAsia="ru-RU"/>
        </w:rPr>
        <w:t>Energetika</w:t>
      </w:r>
      <w:proofErr w:type="spellEnd"/>
      <w:r w:rsidRPr="002D4C9B">
        <w:rPr>
          <w:rFonts w:eastAsia="Calibri"/>
          <w:lang w:val="en" w:eastAsia="ru-RU"/>
        </w:rPr>
        <w:t xml:space="preserve"> </w:t>
      </w:r>
      <w:r w:rsidRPr="002D4C9B">
        <w:rPr>
          <w:rFonts w:eastAsia="Calibri"/>
          <w:lang w:val="en-US" w:eastAsia="ru-RU"/>
        </w:rPr>
        <w:t>(2016), pp. 91-99.</w:t>
      </w:r>
    </w:p>
    <w:p w14:paraId="5BAE565A" w14:textId="6449593D" w:rsidR="00B01C84" w:rsidRPr="00DF2AB6" w:rsidRDefault="00B01C84" w:rsidP="00B01C84">
      <w:pPr>
        <w:pStyle w:val="Referencelist"/>
        <w:rPr>
          <w:rFonts w:eastAsia="Calibri"/>
          <w:lang w:val="en-US"/>
        </w:rPr>
      </w:pPr>
      <w:r w:rsidRPr="000D5DFE">
        <w:rPr>
          <w:caps/>
          <w:lang w:val="en-US"/>
        </w:rPr>
        <w:t>International</w:t>
      </w:r>
      <w:r w:rsidRPr="00DF2AB6">
        <w:rPr>
          <w:caps/>
          <w:lang w:val="en-US"/>
        </w:rPr>
        <w:t xml:space="preserve"> </w:t>
      </w:r>
      <w:r w:rsidRPr="000D5DFE">
        <w:rPr>
          <w:caps/>
          <w:lang w:val="en-US"/>
        </w:rPr>
        <w:t>Atomic</w:t>
      </w:r>
      <w:r w:rsidRPr="00DF2AB6">
        <w:rPr>
          <w:caps/>
          <w:lang w:val="en-US"/>
        </w:rPr>
        <w:t xml:space="preserve"> </w:t>
      </w:r>
      <w:r w:rsidRPr="000D5DFE">
        <w:rPr>
          <w:caps/>
          <w:lang w:val="en-US"/>
        </w:rPr>
        <w:t>Energy</w:t>
      </w:r>
      <w:r w:rsidRPr="00DF2AB6">
        <w:rPr>
          <w:caps/>
          <w:lang w:val="en-US"/>
        </w:rPr>
        <w:t xml:space="preserve"> Agency,</w:t>
      </w:r>
      <w:r w:rsidRPr="00DF2AB6">
        <w:rPr>
          <w:rFonts w:eastAsia="Calibri"/>
          <w:color w:val="FF0000"/>
          <w:lang w:val="en-US"/>
        </w:rPr>
        <w:t xml:space="preserve"> </w:t>
      </w:r>
      <w:r w:rsidR="00DF2AB6" w:rsidRPr="00DF2AB6">
        <w:rPr>
          <w:color w:val="000000"/>
          <w:shd w:val="clear" w:color="auto" w:fill="FFFFFF"/>
        </w:rPr>
        <w:t>The Power Reactor Information System</w:t>
      </w:r>
      <w:r w:rsidR="00DF2AB6" w:rsidRPr="00DF2AB6">
        <w:rPr>
          <w:rFonts w:eastAsia="Calibri"/>
          <w:lang w:val="en-US"/>
        </w:rPr>
        <w:t xml:space="preserve"> </w:t>
      </w:r>
      <w:r w:rsidRPr="00DF2AB6">
        <w:rPr>
          <w:rFonts w:eastAsia="Calibri"/>
          <w:lang w:val="en-US"/>
        </w:rPr>
        <w:t>(</w:t>
      </w:r>
      <w:r>
        <w:rPr>
          <w:rFonts w:eastAsia="Calibri"/>
        </w:rPr>
        <w:t>P</w:t>
      </w:r>
      <w:r>
        <w:rPr>
          <w:rFonts w:eastAsia="Calibri"/>
          <w:lang w:val="en-US"/>
        </w:rPr>
        <w:t>RIS</w:t>
      </w:r>
      <w:r w:rsidRPr="00DF2AB6">
        <w:rPr>
          <w:rFonts w:eastAsia="Calibri"/>
          <w:lang w:val="en-US"/>
        </w:rPr>
        <w:t xml:space="preserve">), </w:t>
      </w:r>
      <w:hyperlink r:id="rId17" w:history="1">
        <w:r w:rsidRPr="00267324">
          <w:rPr>
            <w:rStyle w:val="a8"/>
            <w:rFonts w:eastAsia="Calibri"/>
            <w:lang w:val="en-US"/>
          </w:rPr>
          <w:t>https</w:t>
        </w:r>
        <w:r w:rsidRPr="00DF2AB6">
          <w:rPr>
            <w:rStyle w:val="a8"/>
            <w:rFonts w:eastAsia="Calibri"/>
            <w:lang w:val="en-US"/>
          </w:rPr>
          <w:t>://</w:t>
        </w:r>
        <w:r w:rsidRPr="00267324">
          <w:rPr>
            <w:rStyle w:val="a8"/>
            <w:rFonts w:eastAsia="Calibri"/>
            <w:lang w:val="en-US"/>
          </w:rPr>
          <w:t>pris</w:t>
        </w:r>
        <w:r w:rsidRPr="00DF2AB6">
          <w:rPr>
            <w:rStyle w:val="a8"/>
            <w:rFonts w:eastAsia="Calibri"/>
            <w:lang w:val="en-US"/>
          </w:rPr>
          <w:t>.</w:t>
        </w:r>
        <w:r w:rsidRPr="00267324">
          <w:rPr>
            <w:rStyle w:val="a8"/>
            <w:rFonts w:eastAsia="Calibri"/>
            <w:lang w:val="en-US"/>
          </w:rPr>
          <w:t>iaea</w:t>
        </w:r>
        <w:r w:rsidRPr="00DF2AB6">
          <w:rPr>
            <w:rStyle w:val="a8"/>
            <w:rFonts w:eastAsia="Calibri"/>
            <w:lang w:val="en-US"/>
          </w:rPr>
          <w:t>.</w:t>
        </w:r>
        <w:r w:rsidRPr="00267324">
          <w:rPr>
            <w:rStyle w:val="a8"/>
            <w:rFonts w:eastAsia="Calibri"/>
            <w:lang w:val="en-US"/>
          </w:rPr>
          <w:t>org</w:t>
        </w:r>
        <w:r w:rsidRPr="00DF2AB6">
          <w:rPr>
            <w:rStyle w:val="a8"/>
            <w:rFonts w:eastAsia="Calibri"/>
            <w:lang w:val="en-US"/>
          </w:rPr>
          <w:t>/</w:t>
        </w:r>
        <w:r w:rsidRPr="00267324">
          <w:rPr>
            <w:rStyle w:val="a8"/>
            <w:rFonts w:eastAsia="Calibri"/>
            <w:lang w:val="en-US"/>
          </w:rPr>
          <w:t>PRIS</w:t>
        </w:r>
        <w:r w:rsidRPr="00DF2AB6">
          <w:rPr>
            <w:rStyle w:val="a8"/>
            <w:rFonts w:eastAsia="Calibri"/>
            <w:lang w:val="en-US"/>
          </w:rPr>
          <w:t>/</w:t>
        </w:r>
        <w:r w:rsidRPr="00267324">
          <w:rPr>
            <w:rStyle w:val="a8"/>
            <w:rFonts w:eastAsia="Calibri"/>
            <w:lang w:val="en-US"/>
          </w:rPr>
          <w:t>About</w:t>
        </w:r>
        <w:r w:rsidRPr="00DF2AB6">
          <w:rPr>
            <w:rStyle w:val="a8"/>
            <w:rFonts w:eastAsia="Calibri"/>
            <w:lang w:val="en-US"/>
          </w:rPr>
          <w:t>.</w:t>
        </w:r>
        <w:r w:rsidRPr="00267324">
          <w:rPr>
            <w:rStyle w:val="a8"/>
            <w:rFonts w:eastAsia="Calibri"/>
            <w:lang w:val="en-US"/>
          </w:rPr>
          <w:t>aspx</w:t>
        </w:r>
      </w:hyperlink>
      <w:r w:rsidRPr="00DF2AB6">
        <w:rPr>
          <w:rFonts w:eastAsia="Calibri"/>
          <w:lang w:val="en-US"/>
        </w:rPr>
        <w:t>.</w:t>
      </w:r>
    </w:p>
    <w:p w14:paraId="4A33A4DE" w14:textId="4D8B08E5" w:rsidR="00B01C84" w:rsidRPr="00973BBB" w:rsidRDefault="00584D44" w:rsidP="00B01C84">
      <w:pPr>
        <w:pStyle w:val="Referencelist"/>
        <w:rPr>
          <w:lang w:val="en-US"/>
        </w:rPr>
      </w:pPr>
      <w:r>
        <w:rPr>
          <w:caps/>
          <w:lang w:val="en-US"/>
        </w:rPr>
        <w:lastRenderedPageBreak/>
        <w:t>alekseev</w:t>
      </w:r>
      <w:r w:rsidR="00B01C84" w:rsidRPr="00584D44">
        <w:rPr>
          <w:caps/>
          <w:lang w:val="en-US"/>
        </w:rPr>
        <w:t xml:space="preserve"> </w:t>
      </w:r>
      <w:r w:rsidRPr="00584D44">
        <w:rPr>
          <w:caps/>
          <w:lang w:val="en-US"/>
        </w:rPr>
        <w:t>p</w:t>
      </w:r>
      <w:r w:rsidR="00B01C84" w:rsidRPr="00584D44">
        <w:rPr>
          <w:caps/>
          <w:lang w:val="en-US"/>
        </w:rPr>
        <w:t>.</w:t>
      </w:r>
      <w:r>
        <w:rPr>
          <w:caps/>
          <w:lang w:val="en-US"/>
        </w:rPr>
        <w:t>n</w:t>
      </w:r>
      <w:r w:rsidR="00B01C84" w:rsidRPr="00584D44">
        <w:rPr>
          <w:caps/>
          <w:lang w:val="en-US"/>
        </w:rPr>
        <w:t xml:space="preserve">., </w:t>
      </w:r>
      <w:r>
        <w:rPr>
          <w:caps/>
          <w:lang w:val="en-US"/>
        </w:rPr>
        <w:t>alekseev</w:t>
      </w:r>
      <w:r w:rsidR="00B01C84" w:rsidRPr="00584D44">
        <w:rPr>
          <w:caps/>
          <w:lang w:val="en-US"/>
        </w:rPr>
        <w:t xml:space="preserve"> </w:t>
      </w:r>
      <w:r w:rsidRPr="00584D44">
        <w:rPr>
          <w:caps/>
          <w:lang w:val="en-US"/>
        </w:rPr>
        <w:t>s</w:t>
      </w:r>
      <w:r w:rsidR="00B01C84" w:rsidRPr="00584D44">
        <w:rPr>
          <w:caps/>
          <w:lang w:val="en-US"/>
        </w:rPr>
        <w:t>.</w:t>
      </w:r>
      <w:r>
        <w:rPr>
          <w:caps/>
          <w:lang w:val="en-US"/>
        </w:rPr>
        <w:t>v</w:t>
      </w:r>
      <w:r w:rsidR="00B01C84" w:rsidRPr="00584D44">
        <w:rPr>
          <w:caps/>
          <w:lang w:val="en-US"/>
        </w:rPr>
        <w:t xml:space="preserve">., </w:t>
      </w:r>
      <w:r>
        <w:rPr>
          <w:caps/>
          <w:lang w:val="en-US"/>
        </w:rPr>
        <w:t>Andrianova</w:t>
      </w:r>
      <w:r w:rsidR="00B01C84" w:rsidRPr="00584D44">
        <w:rPr>
          <w:caps/>
          <w:lang w:val="en-US"/>
        </w:rPr>
        <w:t xml:space="preserve"> </w:t>
      </w:r>
      <w:r w:rsidRPr="00584D44">
        <w:rPr>
          <w:caps/>
          <w:lang w:val="en-US"/>
        </w:rPr>
        <w:t>E</w:t>
      </w:r>
      <w:r w:rsidR="00B01C84" w:rsidRPr="00584D44">
        <w:rPr>
          <w:caps/>
          <w:lang w:val="en-US"/>
        </w:rPr>
        <w:t>.</w:t>
      </w:r>
      <w:r>
        <w:rPr>
          <w:caps/>
          <w:lang w:val="en-US"/>
        </w:rPr>
        <w:t>A</w:t>
      </w:r>
      <w:r w:rsidR="00B01C84" w:rsidRPr="00584D44">
        <w:rPr>
          <w:caps/>
          <w:lang w:val="en-US"/>
        </w:rPr>
        <w:t>.</w:t>
      </w:r>
      <w:r w:rsidR="00B01C84" w:rsidRPr="00584D44">
        <w:rPr>
          <w:lang w:val="en-US"/>
        </w:rPr>
        <w:t xml:space="preserve"> </w:t>
      </w:r>
      <w:r w:rsidRPr="00584D44">
        <w:rPr>
          <w:lang w:val="en-US"/>
        </w:rPr>
        <w:t xml:space="preserve">et </w:t>
      </w:r>
      <w:r>
        <w:rPr>
          <w:lang w:val="en-US"/>
        </w:rPr>
        <w:t>al</w:t>
      </w:r>
      <w:r w:rsidR="00B01C84" w:rsidRPr="00584D44">
        <w:rPr>
          <w:lang w:val="en-US"/>
        </w:rPr>
        <w:t xml:space="preserve">, </w:t>
      </w:r>
      <w:r w:rsidR="00B04A52">
        <w:rPr>
          <w:lang w:val="en-US"/>
        </w:rPr>
        <w:t>Two</w:t>
      </w:r>
      <w:r w:rsidR="00B04A52" w:rsidRPr="00584D44">
        <w:rPr>
          <w:lang w:val="en-US"/>
        </w:rPr>
        <w:t>-</w:t>
      </w:r>
      <w:r w:rsidR="0048142C">
        <w:rPr>
          <w:lang w:val="en-US"/>
        </w:rPr>
        <w:t>C</w:t>
      </w:r>
      <w:r w:rsidR="00B04A52">
        <w:rPr>
          <w:lang w:val="en-US"/>
        </w:rPr>
        <w:t>omponent</w:t>
      </w:r>
      <w:r w:rsidR="00B04A52" w:rsidRPr="00584D44">
        <w:rPr>
          <w:lang w:val="en-US"/>
        </w:rPr>
        <w:t xml:space="preserve"> </w:t>
      </w:r>
      <w:r w:rsidR="00B04A52">
        <w:rPr>
          <w:lang w:val="en-US"/>
        </w:rPr>
        <w:t>Nuclear</w:t>
      </w:r>
      <w:r w:rsidR="00B04A52" w:rsidRPr="00584D44">
        <w:rPr>
          <w:lang w:val="en-US"/>
        </w:rPr>
        <w:t xml:space="preserve"> </w:t>
      </w:r>
      <w:r w:rsidR="00B04A52">
        <w:rPr>
          <w:lang w:val="en-US"/>
        </w:rPr>
        <w:t>Energy</w:t>
      </w:r>
      <w:r w:rsidR="00B04A52" w:rsidRPr="00584D44">
        <w:rPr>
          <w:lang w:val="en-US"/>
        </w:rPr>
        <w:t xml:space="preserve"> </w:t>
      </w:r>
      <w:r w:rsidR="00B04A52">
        <w:rPr>
          <w:lang w:val="en-US"/>
        </w:rPr>
        <w:t>System</w:t>
      </w:r>
      <w:r w:rsidR="00B04A52" w:rsidRPr="00584D44">
        <w:rPr>
          <w:lang w:val="en-US"/>
        </w:rPr>
        <w:t xml:space="preserve"> </w:t>
      </w:r>
      <w:r w:rsidR="00B04A52">
        <w:rPr>
          <w:lang w:val="en-US"/>
        </w:rPr>
        <w:t>Consisting</w:t>
      </w:r>
      <w:r w:rsidR="00B04A52" w:rsidRPr="00584D44">
        <w:rPr>
          <w:lang w:val="en-US"/>
        </w:rPr>
        <w:t xml:space="preserve"> </w:t>
      </w:r>
      <w:r w:rsidR="00B04A52">
        <w:rPr>
          <w:lang w:val="en-US"/>
        </w:rPr>
        <w:t>of</w:t>
      </w:r>
      <w:r w:rsidR="00B04A52" w:rsidRPr="00584D44">
        <w:rPr>
          <w:lang w:val="en-US"/>
        </w:rPr>
        <w:t xml:space="preserve"> </w:t>
      </w:r>
      <w:r w:rsidR="00B04A52">
        <w:rPr>
          <w:lang w:val="en-US"/>
        </w:rPr>
        <w:t>Thermal</w:t>
      </w:r>
      <w:r w:rsidR="00B04A52" w:rsidRPr="00584D44">
        <w:rPr>
          <w:lang w:val="en-US"/>
        </w:rPr>
        <w:t xml:space="preserve"> </w:t>
      </w:r>
      <w:r w:rsidR="00B04A52">
        <w:rPr>
          <w:lang w:val="en-US"/>
        </w:rPr>
        <w:t>and</w:t>
      </w:r>
      <w:r w:rsidR="00B04A52" w:rsidRPr="00584D44">
        <w:rPr>
          <w:lang w:val="en-US"/>
        </w:rPr>
        <w:t xml:space="preserve"> </w:t>
      </w:r>
      <w:r w:rsidR="00B04A52">
        <w:rPr>
          <w:lang w:val="en-US"/>
        </w:rPr>
        <w:t>Fast</w:t>
      </w:r>
      <w:r w:rsidR="00B04A52" w:rsidRPr="00584D44">
        <w:rPr>
          <w:lang w:val="en-US"/>
        </w:rPr>
        <w:t xml:space="preserve"> </w:t>
      </w:r>
      <w:r w:rsidR="00B04A52">
        <w:rPr>
          <w:lang w:val="en-US"/>
        </w:rPr>
        <w:t>Reactors</w:t>
      </w:r>
      <w:r w:rsidR="00B04A52" w:rsidRPr="00584D44">
        <w:rPr>
          <w:lang w:val="en-US"/>
        </w:rPr>
        <w:t xml:space="preserve"> </w:t>
      </w:r>
      <w:r w:rsidR="00B04A52">
        <w:rPr>
          <w:lang w:val="en-US"/>
        </w:rPr>
        <w:t>in</w:t>
      </w:r>
      <w:r w:rsidR="00B04A52" w:rsidRPr="00584D44">
        <w:rPr>
          <w:lang w:val="en-US"/>
        </w:rPr>
        <w:t xml:space="preserve"> </w:t>
      </w:r>
      <w:r w:rsidR="00B04A52">
        <w:rPr>
          <w:lang w:val="en-US"/>
        </w:rPr>
        <w:t>a</w:t>
      </w:r>
      <w:r w:rsidR="00B04A52" w:rsidRPr="00584D44">
        <w:rPr>
          <w:lang w:val="en-US"/>
        </w:rPr>
        <w:t xml:space="preserve"> </w:t>
      </w:r>
      <w:r w:rsidR="00B04A52">
        <w:rPr>
          <w:lang w:val="en-US"/>
        </w:rPr>
        <w:t>Closed</w:t>
      </w:r>
      <w:r w:rsidR="00B04A52" w:rsidRPr="00584D44">
        <w:rPr>
          <w:lang w:val="en-US"/>
        </w:rPr>
        <w:t xml:space="preserve"> </w:t>
      </w:r>
      <w:r w:rsidR="00B04A52">
        <w:rPr>
          <w:lang w:val="en-US"/>
        </w:rPr>
        <w:t>Nuclear</w:t>
      </w:r>
      <w:r w:rsidR="00B04A52" w:rsidRPr="00584D44">
        <w:rPr>
          <w:lang w:val="en-US"/>
        </w:rPr>
        <w:t xml:space="preserve"> </w:t>
      </w:r>
      <w:r w:rsidR="00B04A52">
        <w:rPr>
          <w:lang w:val="en-US"/>
        </w:rPr>
        <w:t>Fuel</w:t>
      </w:r>
      <w:r w:rsidR="00B04A52" w:rsidRPr="00584D44">
        <w:rPr>
          <w:lang w:val="en-US"/>
        </w:rPr>
        <w:t xml:space="preserve"> </w:t>
      </w:r>
      <w:r w:rsidR="00B04A52">
        <w:rPr>
          <w:lang w:val="en-US"/>
        </w:rPr>
        <w:t>Cycle</w:t>
      </w:r>
      <w:r w:rsidR="00B04A52" w:rsidRPr="00584D44">
        <w:rPr>
          <w:lang w:val="en-US"/>
        </w:rPr>
        <w:t xml:space="preserve"> </w:t>
      </w:r>
      <w:r w:rsidR="00B01C84" w:rsidRPr="00584D44">
        <w:rPr>
          <w:lang w:val="en-US"/>
        </w:rPr>
        <w:t>(</w:t>
      </w:r>
      <w:r>
        <w:rPr>
          <w:lang w:val="en-US"/>
        </w:rPr>
        <w:t>Eds</w:t>
      </w:r>
      <w:r w:rsidR="00B01C84" w:rsidRPr="00584D44">
        <w:rPr>
          <w:lang w:val="en-US"/>
        </w:rPr>
        <w:t xml:space="preserve">. </w:t>
      </w:r>
      <w:proofErr w:type="spellStart"/>
      <w:r>
        <w:rPr>
          <w:lang w:val="en-US"/>
        </w:rPr>
        <w:t>Ponomarev-Stepnov</w:t>
      </w:r>
      <w:proofErr w:type="spellEnd"/>
      <w:r>
        <w:rPr>
          <w:lang w:val="en-US"/>
        </w:rPr>
        <w:t xml:space="preserve"> N.N.</w:t>
      </w:r>
      <w:r w:rsidR="00B01C84">
        <w:rPr>
          <w:lang w:val="en-US"/>
        </w:rPr>
        <w:t xml:space="preserve">), </w:t>
      </w:r>
      <w:r w:rsidR="00B04A52">
        <w:t>Moscow</w:t>
      </w:r>
      <w:r w:rsidR="00B01C84" w:rsidRPr="00973BBB">
        <w:rPr>
          <w:lang w:val="en-US"/>
        </w:rPr>
        <w:t xml:space="preserve"> </w:t>
      </w:r>
      <w:r w:rsidR="00B01C84">
        <w:rPr>
          <w:lang w:val="en-US"/>
        </w:rPr>
        <w:t>(</w:t>
      </w:r>
      <w:r w:rsidR="00B01C84" w:rsidRPr="00973BBB">
        <w:rPr>
          <w:lang w:val="en-US"/>
        </w:rPr>
        <w:t>2016</w:t>
      </w:r>
      <w:r w:rsidR="00B01C84">
        <w:rPr>
          <w:lang w:val="en-US"/>
        </w:rPr>
        <w:t>)</w:t>
      </w:r>
      <w:r w:rsidR="00B01C84" w:rsidRPr="00973BBB">
        <w:rPr>
          <w:lang w:val="en-US"/>
        </w:rPr>
        <w:t>.</w:t>
      </w:r>
    </w:p>
    <w:p w14:paraId="3A48C140" w14:textId="30DED1CD" w:rsidR="00B01C84" w:rsidRPr="00973BBB" w:rsidRDefault="00B01C84" w:rsidP="00B01C84">
      <w:pPr>
        <w:pStyle w:val="Referencelist"/>
        <w:rPr>
          <w:rFonts w:eastAsia="Calibri"/>
          <w:lang w:val="en-US" w:eastAsia="ru-RU"/>
        </w:rPr>
      </w:pPr>
      <w:bookmarkStart w:id="2" w:name="_Ref57975920"/>
      <w:r w:rsidRPr="00973BBB">
        <w:rPr>
          <w:rFonts w:eastAsia="Calibri"/>
          <w:lang w:val="en-US" w:eastAsia="ru-RU"/>
        </w:rPr>
        <w:t xml:space="preserve">NUCLEAR ENERGY AGENCY </w:t>
      </w:r>
      <w:r w:rsidR="003C378C">
        <w:rPr>
          <w:rFonts w:eastAsia="Calibri"/>
          <w:lang w:val="en-US" w:eastAsia="ru-RU"/>
        </w:rPr>
        <w:t xml:space="preserve">- </w:t>
      </w:r>
      <w:r w:rsidRPr="00973BBB">
        <w:rPr>
          <w:rFonts w:eastAsia="Calibri"/>
          <w:lang w:val="en-US" w:eastAsia="ru-RU"/>
        </w:rPr>
        <w:t>ORGANISATION FOR ECONOMIC CO-OPERATION AND DEVELOPMENT</w:t>
      </w:r>
      <w:r>
        <w:rPr>
          <w:rFonts w:eastAsia="Calibri"/>
          <w:lang w:val="en-US" w:eastAsia="ru-RU"/>
        </w:rPr>
        <w:t>,</w:t>
      </w:r>
      <w:r w:rsidRPr="00973BBB">
        <w:rPr>
          <w:rFonts w:eastAsia="Calibri"/>
          <w:lang w:val="en-US" w:eastAsia="ru-RU"/>
        </w:rPr>
        <w:t xml:space="preserve"> Uranium 2011: Reso</w:t>
      </w:r>
      <w:r>
        <w:rPr>
          <w:rFonts w:eastAsia="Calibri"/>
          <w:lang w:val="en-US" w:eastAsia="ru-RU"/>
        </w:rPr>
        <w:t xml:space="preserve">urces, Production and Demand, </w:t>
      </w:r>
      <w:r w:rsidRPr="00973BBB">
        <w:rPr>
          <w:rFonts w:eastAsia="Calibri"/>
          <w:lang w:val="en-US" w:eastAsia="ru-RU"/>
        </w:rPr>
        <w:t>N</w:t>
      </w:r>
      <w:r>
        <w:rPr>
          <w:rFonts w:eastAsia="Calibri"/>
          <w:lang w:val="en-US" w:eastAsia="ru-RU"/>
        </w:rPr>
        <w:t xml:space="preserve">UCLEAR </w:t>
      </w:r>
      <w:r w:rsidRPr="00973BBB">
        <w:rPr>
          <w:rFonts w:eastAsia="Calibri"/>
          <w:lang w:val="en-US" w:eastAsia="ru-RU"/>
        </w:rPr>
        <w:t>E</w:t>
      </w:r>
      <w:r>
        <w:rPr>
          <w:rFonts w:eastAsia="Calibri"/>
          <w:lang w:val="en-US" w:eastAsia="ru-RU"/>
        </w:rPr>
        <w:t xml:space="preserve">NERGY </w:t>
      </w:r>
      <w:r w:rsidRPr="00973BBB">
        <w:rPr>
          <w:rFonts w:eastAsia="Calibri"/>
          <w:lang w:val="en-US" w:eastAsia="ru-RU"/>
        </w:rPr>
        <w:t>A</w:t>
      </w:r>
      <w:r>
        <w:rPr>
          <w:rFonts w:eastAsia="Calibri"/>
          <w:lang w:val="en-US" w:eastAsia="ru-RU"/>
        </w:rPr>
        <w:t>GENCY</w:t>
      </w:r>
      <w:r w:rsidRPr="00973BBB">
        <w:rPr>
          <w:rFonts w:eastAsia="Calibri"/>
          <w:lang w:val="en-US" w:eastAsia="ru-RU"/>
        </w:rPr>
        <w:t xml:space="preserve"> No. 7059</w:t>
      </w:r>
      <w:r>
        <w:rPr>
          <w:rFonts w:eastAsia="Calibri"/>
          <w:lang w:val="en-US" w:eastAsia="ru-RU"/>
        </w:rPr>
        <w:t xml:space="preserve"> (2012).</w:t>
      </w:r>
    </w:p>
    <w:bookmarkEnd w:id="2"/>
    <w:p w14:paraId="4241388E" w14:textId="2717039E" w:rsidR="004F31E5" w:rsidRPr="0048142C" w:rsidRDefault="003C378C" w:rsidP="00B01C84">
      <w:pPr>
        <w:pStyle w:val="Referencelist"/>
        <w:rPr>
          <w:lang w:val="en-US"/>
        </w:rPr>
      </w:pPr>
      <w:r>
        <w:rPr>
          <w:rStyle w:val="extended-textshort"/>
          <w:lang w:val="en-US"/>
        </w:rPr>
        <w:t>MOORHEAD</w:t>
      </w:r>
      <w:r w:rsidRPr="003C378C">
        <w:rPr>
          <w:rStyle w:val="extended-textshort"/>
          <w:lang w:val="en-US"/>
        </w:rPr>
        <w:t xml:space="preserve"> </w:t>
      </w:r>
      <w:r>
        <w:rPr>
          <w:rStyle w:val="extended-textshort"/>
          <w:lang w:val="en-US"/>
        </w:rPr>
        <w:t>T</w:t>
      </w:r>
      <w:r w:rsidR="00B01C84" w:rsidRPr="003C378C">
        <w:rPr>
          <w:rStyle w:val="extended-textshort"/>
          <w:lang w:val="en-US"/>
        </w:rPr>
        <w:t>.</w:t>
      </w:r>
      <w:r w:rsidR="00B01C84" w:rsidRPr="003C378C">
        <w:rPr>
          <w:rFonts w:eastAsia="Calibri"/>
          <w:szCs w:val="24"/>
          <w:lang w:val="en-US"/>
        </w:rPr>
        <w:t xml:space="preserve"> </w:t>
      </w:r>
      <w:r>
        <w:rPr>
          <w:rFonts w:eastAsia="Calibri"/>
          <w:szCs w:val="24"/>
          <w:lang w:val="en-US"/>
        </w:rPr>
        <w:t>The</w:t>
      </w:r>
      <w:r w:rsidRPr="003C378C">
        <w:rPr>
          <w:rFonts w:eastAsia="Calibri"/>
          <w:szCs w:val="24"/>
          <w:lang w:val="en-US"/>
        </w:rPr>
        <w:t xml:space="preserve"> </w:t>
      </w:r>
      <w:r w:rsidR="00DF2AB6">
        <w:rPr>
          <w:rFonts w:eastAsia="Calibri"/>
          <w:szCs w:val="24"/>
          <w:lang w:val="en-US"/>
        </w:rPr>
        <w:t>E</w:t>
      </w:r>
      <w:r>
        <w:rPr>
          <w:rFonts w:eastAsia="Calibri"/>
          <w:szCs w:val="24"/>
          <w:lang w:val="en-US"/>
        </w:rPr>
        <w:t>ffect</w:t>
      </w:r>
      <w:r w:rsidRPr="003C378C">
        <w:rPr>
          <w:rFonts w:eastAsia="Calibri"/>
          <w:szCs w:val="24"/>
          <w:lang w:val="en-US"/>
        </w:rPr>
        <w:t xml:space="preserve"> </w:t>
      </w:r>
      <w:r>
        <w:rPr>
          <w:rFonts w:eastAsia="Calibri"/>
          <w:szCs w:val="24"/>
          <w:lang w:val="en-US"/>
        </w:rPr>
        <w:t>of</w:t>
      </w:r>
      <w:r w:rsidRPr="003C378C">
        <w:rPr>
          <w:rFonts w:eastAsia="Calibri"/>
          <w:szCs w:val="24"/>
          <w:lang w:val="en-US"/>
        </w:rPr>
        <w:t xml:space="preserve"> </w:t>
      </w:r>
      <w:r w:rsidR="00DF2AB6">
        <w:rPr>
          <w:rFonts w:eastAsia="Calibri"/>
          <w:szCs w:val="24"/>
          <w:lang w:val="en-US"/>
        </w:rPr>
        <w:t>E</w:t>
      </w:r>
      <w:r>
        <w:rPr>
          <w:rFonts w:eastAsia="Calibri"/>
          <w:szCs w:val="24"/>
          <w:lang w:val="en-US"/>
        </w:rPr>
        <w:t>rrors</w:t>
      </w:r>
      <w:r w:rsidRPr="003C378C">
        <w:rPr>
          <w:rFonts w:eastAsia="Calibri"/>
          <w:szCs w:val="24"/>
          <w:lang w:val="en-US"/>
        </w:rPr>
        <w:t xml:space="preserve"> </w:t>
      </w:r>
      <w:r>
        <w:rPr>
          <w:rFonts w:eastAsia="Calibri"/>
          <w:szCs w:val="24"/>
          <w:lang w:val="en-US"/>
        </w:rPr>
        <w:t xml:space="preserve">in </w:t>
      </w:r>
      <w:r w:rsidR="0048142C">
        <w:rPr>
          <w:rFonts w:eastAsia="Calibri"/>
          <w:szCs w:val="24"/>
          <w:lang w:val="en-US"/>
        </w:rPr>
        <w:t>Cross-S</w:t>
      </w:r>
      <w:r>
        <w:rPr>
          <w:rFonts w:eastAsia="Calibri"/>
          <w:szCs w:val="24"/>
          <w:lang w:val="en-US"/>
        </w:rPr>
        <w:t xml:space="preserve">ection </w:t>
      </w:r>
      <w:r w:rsidR="00DF2AB6">
        <w:rPr>
          <w:rFonts w:eastAsia="Calibri"/>
          <w:szCs w:val="24"/>
          <w:lang w:val="en-US"/>
        </w:rPr>
        <w:t>D</w:t>
      </w:r>
      <w:r>
        <w:rPr>
          <w:rFonts w:eastAsia="Calibri"/>
          <w:szCs w:val="24"/>
          <w:lang w:val="en-US"/>
        </w:rPr>
        <w:t xml:space="preserve">ata on </w:t>
      </w:r>
      <w:r w:rsidR="00DF2AB6">
        <w:rPr>
          <w:rFonts w:eastAsia="Calibri"/>
          <w:szCs w:val="24"/>
          <w:lang w:val="en-US"/>
        </w:rPr>
        <w:t>C</w:t>
      </w:r>
      <w:r>
        <w:rPr>
          <w:rFonts w:eastAsia="Calibri"/>
          <w:szCs w:val="24"/>
          <w:lang w:val="en-US"/>
        </w:rPr>
        <w:t>alculation</w:t>
      </w:r>
      <w:r w:rsidR="00DF2AB6">
        <w:rPr>
          <w:rFonts w:eastAsia="Calibri"/>
          <w:szCs w:val="24"/>
          <w:lang w:val="en-US"/>
        </w:rPr>
        <w:t>s</w:t>
      </w:r>
      <w:r>
        <w:rPr>
          <w:rFonts w:eastAsia="Calibri"/>
          <w:szCs w:val="24"/>
          <w:lang w:val="en-US"/>
        </w:rPr>
        <w:t xml:space="preserve"> for a </w:t>
      </w:r>
      <w:r w:rsidR="00DF2AB6">
        <w:rPr>
          <w:rFonts w:eastAsia="Calibri"/>
          <w:szCs w:val="24"/>
          <w:lang w:val="en-US"/>
        </w:rPr>
        <w:t>Large D</w:t>
      </w:r>
      <w:r>
        <w:rPr>
          <w:rFonts w:eastAsia="Calibri"/>
          <w:szCs w:val="24"/>
          <w:lang w:val="en-US"/>
        </w:rPr>
        <w:t xml:space="preserve">ilute </w:t>
      </w:r>
      <w:r w:rsidR="00DF2AB6">
        <w:rPr>
          <w:rFonts w:eastAsia="Calibri"/>
          <w:szCs w:val="24"/>
          <w:lang w:val="en-US"/>
        </w:rPr>
        <w:t>F</w:t>
      </w:r>
      <w:r>
        <w:rPr>
          <w:rFonts w:eastAsia="Calibri"/>
          <w:szCs w:val="24"/>
          <w:lang w:val="en-US"/>
        </w:rPr>
        <w:t>ast</w:t>
      </w:r>
      <w:r w:rsidR="00DF2AB6">
        <w:rPr>
          <w:rFonts w:eastAsia="Calibri"/>
          <w:szCs w:val="24"/>
          <w:lang w:val="en-US"/>
        </w:rPr>
        <w:t xml:space="preserve"> Reactor</w:t>
      </w:r>
      <w:r>
        <w:rPr>
          <w:rFonts w:eastAsia="Calibri"/>
          <w:szCs w:val="24"/>
          <w:lang w:val="en-US"/>
        </w:rPr>
        <w:t xml:space="preserve">. – </w:t>
      </w:r>
      <w:r w:rsidRPr="0048142C">
        <w:rPr>
          <w:rFonts w:eastAsia="Calibri"/>
          <w:szCs w:val="24"/>
          <w:lang w:val="en-US"/>
        </w:rPr>
        <w:t>Proc. IAEA Seminar on Fast and Intermediate Reactor. Vienna (1961), p</w:t>
      </w:r>
      <w:r w:rsidR="00DF2AB6" w:rsidRPr="0048142C">
        <w:rPr>
          <w:rFonts w:eastAsia="Calibri"/>
          <w:szCs w:val="24"/>
          <w:lang w:val="en-US"/>
        </w:rPr>
        <w:t>.111-145.</w:t>
      </w:r>
    </w:p>
    <w:p w14:paraId="2AAE9792" w14:textId="77777777" w:rsidR="00B01C84" w:rsidRPr="00DF2AB6" w:rsidRDefault="00B01C84" w:rsidP="00B01C84">
      <w:pPr>
        <w:pStyle w:val="ab"/>
        <w:rPr>
          <w:lang w:val="en-US"/>
        </w:rPr>
      </w:pPr>
    </w:p>
    <w:sectPr w:rsidR="00B01C84" w:rsidRPr="00DF2AB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1B7C" w14:textId="77777777" w:rsidR="00E66990" w:rsidRDefault="00E66990" w:rsidP="00000B9A">
      <w:r>
        <w:separator/>
      </w:r>
    </w:p>
  </w:endnote>
  <w:endnote w:type="continuationSeparator" w:id="0">
    <w:p w14:paraId="306B08A3" w14:textId="77777777" w:rsidR="00E66990" w:rsidRDefault="00E66990" w:rsidP="0000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 serif">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75654"/>
      <w:docPartObj>
        <w:docPartGallery w:val="Page Numbers (Bottom of Page)"/>
        <w:docPartUnique/>
      </w:docPartObj>
    </w:sdtPr>
    <w:sdtEndPr>
      <w:rPr>
        <w:sz w:val="20"/>
      </w:rPr>
    </w:sdtEndPr>
    <w:sdtContent>
      <w:p w14:paraId="201B18BC" w14:textId="29B0A65E" w:rsidR="005159E9" w:rsidRPr="00000B9A" w:rsidRDefault="005159E9">
        <w:pPr>
          <w:pStyle w:val="af1"/>
          <w:jc w:val="right"/>
          <w:rPr>
            <w:sz w:val="20"/>
          </w:rPr>
        </w:pPr>
        <w:r w:rsidRPr="00000B9A">
          <w:rPr>
            <w:sz w:val="20"/>
          </w:rPr>
          <w:fldChar w:fldCharType="begin"/>
        </w:r>
        <w:r w:rsidRPr="00000B9A">
          <w:rPr>
            <w:sz w:val="20"/>
          </w:rPr>
          <w:instrText>PAGE   \* MERGEFORMAT</w:instrText>
        </w:r>
        <w:r w:rsidRPr="00000B9A">
          <w:rPr>
            <w:sz w:val="20"/>
          </w:rPr>
          <w:fldChar w:fldCharType="separate"/>
        </w:r>
        <w:r w:rsidR="001420C4" w:rsidRPr="001420C4">
          <w:rPr>
            <w:noProof/>
            <w:sz w:val="20"/>
            <w:lang w:val="ru-RU"/>
          </w:rPr>
          <w:t>10</w:t>
        </w:r>
        <w:r w:rsidRPr="00000B9A">
          <w:rPr>
            <w:sz w:val="20"/>
          </w:rPr>
          <w:fldChar w:fldCharType="end"/>
        </w:r>
      </w:p>
    </w:sdtContent>
  </w:sdt>
  <w:p w14:paraId="1B1AC2F7" w14:textId="77777777" w:rsidR="005159E9" w:rsidRDefault="005159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ACC5" w14:textId="77777777" w:rsidR="00E66990" w:rsidRDefault="00E66990" w:rsidP="00000B9A">
      <w:r>
        <w:separator/>
      </w:r>
    </w:p>
  </w:footnote>
  <w:footnote w:type="continuationSeparator" w:id="0">
    <w:p w14:paraId="20440F3B" w14:textId="77777777" w:rsidR="00E66990" w:rsidRDefault="00E66990" w:rsidP="0000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C3"/>
    <w:multiLevelType w:val="hybridMultilevel"/>
    <w:tmpl w:val="D4184278"/>
    <w:lvl w:ilvl="0" w:tplc="0DEEC6B6">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B80FF0"/>
    <w:multiLevelType w:val="hybridMultilevel"/>
    <w:tmpl w:val="B86E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F3E5397"/>
    <w:multiLevelType w:val="multilevel"/>
    <w:tmpl w:val="7CDEE288"/>
    <w:lvl w:ilvl="0">
      <w:start w:val="1"/>
      <w:numFmt w:val="decimal"/>
      <w:pStyle w:val="1"/>
      <w:lvlText w:val="%1"/>
      <w:lvlJc w:val="left"/>
      <w:pPr>
        <w:tabs>
          <w:tab w:val="num" w:pos="805"/>
        </w:tabs>
        <w:ind w:left="805" w:hanging="360"/>
      </w:pPr>
      <w:rPr>
        <w:rFonts w:cs="Times New Roman" w:hint="default"/>
        <w:b w:val="0"/>
      </w:rPr>
    </w:lvl>
    <w:lvl w:ilvl="1">
      <w:start w:val="2"/>
      <w:numFmt w:val="decimal"/>
      <w:isLgl/>
      <w:lvlText w:val="%1.%2"/>
      <w:lvlJc w:val="left"/>
      <w:pPr>
        <w:tabs>
          <w:tab w:val="num" w:pos="1174"/>
        </w:tabs>
        <w:ind w:left="1174" w:hanging="555"/>
      </w:pPr>
      <w:rPr>
        <w:rFonts w:cs="Times New Roman" w:hint="default"/>
      </w:rPr>
    </w:lvl>
    <w:lvl w:ilvl="2">
      <w:start w:val="1"/>
      <w:numFmt w:val="decimal"/>
      <w:isLgl/>
      <w:lvlText w:val="%1.%2.%3"/>
      <w:lvlJc w:val="left"/>
      <w:pPr>
        <w:tabs>
          <w:tab w:val="num" w:pos="5964"/>
        </w:tabs>
        <w:ind w:left="5964" w:hanging="720"/>
      </w:pPr>
      <w:rPr>
        <w:rFonts w:cs="Times New Roman" w:hint="default"/>
      </w:rPr>
    </w:lvl>
    <w:lvl w:ilvl="3">
      <w:start w:val="1"/>
      <w:numFmt w:val="decimal"/>
      <w:isLgl/>
      <w:lvlText w:val="%1.%2.%3.%4"/>
      <w:lvlJc w:val="left"/>
      <w:pPr>
        <w:tabs>
          <w:tab w:val="num" w:pos="2047"/>
        </w:tabs>
        <w:ind w:left="2047" w:hanging="1080"/>
      </w:pPr>
      <w:rPr>
        <w:rFonts w:cs="Times New Roman" w:hint="default"/>
      </w:rPr>
    </w:lvl>
    <w:lvl w:ilvl="4">
      <w:start w:val="1"/>
      <w:numFmt w:val="decimal"/>
      <w:isLgl/>
      <w:lvlText w:val="%1.%2.%3.%4.%5"/>
      <w:lvlJc w:val="left"/>
      <w:pPr>
        <w:tabs>
          <w:tab w:val="num" w:pos="2221"/>
        </w:tabs>
        <w:ind w:left="2221" w:hanging="1080"/>
      </w:pPr>
      <w:rPr>
        <w:rFonts w:cs="Times New Roman" w:hint="default"/>
      </w:rPr>
    </w:lvl>
    <w:lvl w:ilvl="5">
      <w:start w:val="1"/>
      <w:numFmt w:val="decimal"/>
      <w:isLgl/>
      <w:lvlText w:val="%1.%2.%3.%4.%5.%6"/>
      <w:lvlJc w:val="left"/>
      <w:pPr>
        <w:tabs>
          <w:tab w:val="num" w:pos="2755"/>
        </w:tabs>
        <w:ind w:left="2755" w:hanging="1440"/>
      </w:pPr>
      <w:rPr>
        <w:rFonts w:cs="Times New Roman" w:hint="default"/>
      </w:rPr>
    </w:lvl>
    <w:lvl w:ilvl="6">
      <w:start w:val="1"/>
      <w:numFmt w:val="decimal"/>
      <w:isLgl/>
      <w:lvlText w:val="%1.%2.%3.%4.%5.%6.%7"/>
      <w:lvlJc w:val="left"/>
      <w:pPr>
        <w:tabs>
          <w:tab w:val="num" w:pos="2929"/>
        </w:tabs>
        <w:ind w:left="2929" w:hanging="1440"/>
      </w:pPr>
      <w:rPr>
        <w:rFonts w:cs="Times New Roman" w:hint="default"/>
      </w:rPr>
    </w:lvl>
    <w:lvl w:ilvl="7">
      <w:start w:val="1"/>
      <w:numFmt w:val="decimal"/>
      <w:isLgl/>
      <w:lvlText w:val="%1.%2.%3.%4.%5.%6.%7.%8"/>
      <w:lvlJc w:val="left"/>
      <w:pPr>
        <w:tabs>
          <w:tab w:val="num" w:pos="3463"/>
        </w:tabs>
        <w:ind w:left="3463" w:hanging="1800"/>
      </w:pPr>
      <w:rPr>
        <w:rFonts w:cs="Times New Roman" w:hint="default"/>
      </w:rPr>
    </w:lvl>
    <w:lvl w:ilvl="8">
      <w:start w:val="1"/>
      <w:numFmt w:val="decimal"/>
      <w:isLgl/>
      <w:lvlText w:val="%1.%2.%3.%4.%5.%6.%7.%8.%9"/>
      <w:lvlJc w:val="left"/>
      <w:pPr>
        <w:tabs>
          <w:tab w:val="num" w:pos="3997"/>
        </w:tabs>
        <w:ind w:left="3997" w:hanging="2160"/>
      </w:pPr>
      <w:rPr>
        <w:rFonts w:cs="Times New Roman" w:hint="default"/>
      </w:rPr>
    </w:lvl>
  </w:abstractNum>
  <w:abstractNum w:abstractNumId="4">
    <w:nsid w:val="2DEE3014"/>
    <w:multiLevelType w:val="hybridMultilevel"/>
    <w:tmpl w:val="355EDD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2047D"/>
    <w:multiLevelType w:val="hybridMultilevel"/>
    <w:tmpl w:val="DA7C6BB8"/>
    <w:lvl w:ilvl="0" w:tplc="F3A0E73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4F267F"/>
    <w:multiLevelType w:val="hybridMultilevel"/>
    <w:tmpl w:val="971CA826"/>
    <w:lvl w:ilvl="0" w:tplc="0DEEC6B6">
      <w:start w:val="1"/>
      <w:numFmt w:val="bullet"/>
      <w:lvlText w:val="-"/>
      <w:lvlJc w:val="left"/>
      <w:pPr>
        <w:ind w:left="1428" w:hanging="360"/>
      </w:pPr>
      <w:rPr>
        <w:rFonts w:ascii="SimSun" w:eastAsia="SimSun" w:hAnsi="SimSun" w:hint="eastAsia"/>
      </w:rPr>
    </w:lvl>
    <w:lvl w:ilvl="1" w:tplc="39E0A48C">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14677C1"/>
    <w:multiLevelType w:val="hybridMultilevel"/>
    <w:tmpl w:val="DED8BC80"/>
    <w:lvl w:ilvl="0" w:tplc="0DEEC6B6">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E65879"/>
    <w:multiLevelType w:val="hybridMultilevel"/>
    <w:tmpl w:val="DB06EF38"/>
    <w:lvl w:ilvl="0" w:tplc="FFFFFFFF">
      <w:numFmt w:val="bullet"/>
      <w:lvlText w:val=""/>
      <w:lvlJc w:val="left"/>
      <w:pPr>
        <w:tabs>
          <w:tab w:val="num" w:pos="3241"/>
        </w:tabs>
        <w:ind w:left="2381" w:hanging="314"/>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2">
    <w:abstractNumId w:val="10"/>
  </w:num>
  <w:num w:numId="3">
    <w:abstractNumId w:val="7"/>
  </w:num>
  <w:num w:numId="4">
    <w:abstractNumId w:val="1"/>
  </w:num>
  <w:num w:numId="5">
    <w:abstractNumId w:val="0"/>
  </w:num>
  <w:num w:numId="6">
    <w:abstractNumId w:val="2"/>
  </w:num>
  <w:num w:numId="7">
    <w:abstractNumId w:val="9"/>
  </w:num>
  <w:num w:numId="8">
    <w:abstractNumId w:val="8"/>
  </w:num>
  <w:num w:numId="9">
    <w:abstractNumId w:val="3"/>
  </w:num>
  <w:num w:numId="10">
    <w:abstractNumId w:val="6"/>
  </w:num>
  <w:num w:numId="11">
    <w:abstractNumId w:val="4"/>
  </w:num>
  <w:num w:numId="12">
    <w:abstractNumId w:val="6"/>
    <w:lvlOverride w:ilvl="0">
      <w:startOverride w:val="1"/>
    </w:lvlOverride>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1"/>
        <w:numFmt w:val="none"/>
        <w:lvlText w:val=""/>
        <w:lvlJc w:val="left"/>
        <w:pPr>
          <w:tabs>
            <w:tab w:val="num" w:pos="459"/>
          </w:tabs>
          <w:ind w:left="0" w:firstLine="0"/>
        </w:pPr>
      </w:lvl>
    </w:lvlOverride>
    <w:lvlOverride w:ilvl="1">
      <w:lvl w:ilvl="1">
        <w:start w:val="1"/>
        <w:numFmt w:val="decimal"/>
        <w:lvlRestart w:val="0"/>
        <w:pStyle w:val="2"/>
        <w:lvlText w:val="%1%2."/>
        <w:lvlJc w:val="left"/>
        <w:pPr>
          <w:ind w:left="0" w:firstLine="0"/>
        </w:pPr>
        <w:rPr>
          <w:color w:val="auto"/>
        </w:rPr>
      </w:lvl>
    </w:lvlOverride>
    <w:lvlOverride w:ilvl="2">
      <w:lvl w:ilvl="2">
        <w:start w:val="1"/>
        <w:numFmt w:val="decimal"/>
        <w:lvlRestart w:val="0"/>
        <w:pStyle w:val="3"/>
        <w:lvlText w:val="%1%2.%3."/>
        <w:lvlJc w:val="left"/>
        <w:pPr>
          <w:ind w:left="0" w:firstLine="0"/>
        </w:pPr>
      </w:lvl>
    </w:lvlOverride>
    <w:lvlOverride w:ilvl="3">
      <w:lvl w:ilvl="3">
        <w:start w:val="1"/>
        <w:numFmt w:val="decimal"/>
        <w:lvlRestart w:val="0"/>
        <w:pStyle w:val="4"/>
        <w:lvlText w:val=""/>
        <w:lvlJc w:val="left"/>
        <w:pPr>
          <w:tabs>
            <w:tab w:val="num" w:pos="2058"/>
          </w:tabs>
          <w:ind w:left="1701" w:firstLine="0"/>
        </w:pPr>
      </w:lvl>
    </w:lvlOverride>
    <w:lvlOverride w:ilvl="4">
      <w:lvl w:ilvl="4">
        <w:start w:val="1"/>
        <w:numFmt w:val="lowerLetter"/>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34"/>
    <w:rsid w:val="00000B9A"/>
    <w:rsid w:val="00011DE0"/>
    <w:rsid w:val="00013054"/>
    <w:rsid w:val="00021930"/>
    <w:rsid w:val="00033BAC"/>
    <w:rsid w:val="000511F5"/>
    <w:rsid w:val="00054940"/>
    <w:rsid w:val="000651F2"/>
    <w:rsid w:val="0008715F"/>
    <w:rsid w:val="00091BB0"/>
    <w:rsid w:val="00097A28"/>
    <w:rsid w:val="000B5AF6"/>
    <w:rsid w:val="000F2550"/>
    <w:rsid w:val="000F4AA1"/>
    <w:rsid w:val="000F740E"/>
    <w:rsid w:val="00115B4D"/>
    <w:rsid w:val="0013224B"/>
    <w:rsid w:val="001400A0"/>
    <w:rsid w:val="001420C4"/>
    <w:rsid w:val="00146666"/>
    <w:rsid w:val="001523F3"/>
    <w:rsid w:val="00163D9B"/>
    <w:rsid w:val="00170218"/>
    <w:rsid w:val="00175AD0"/>
    <w:rsid w:val="00185461"/>
    <w:rsid w:val="00193865"/>
    <w:rsid w:val="001A4068"/>
    <w:rsid w:val="001B5322"/>
    <w:rsid w:val="001C09CD"/>
    <w:rsid w:val="001C1168"/>
    <w:rsid w:val="001C27E6"/>
    <w:rsid w:val="001D7D95"/>
    <w:rsid w:val="001E0356"/>
    <w:rsid w:val="001E63FF"/>
    <w:rsid w:val="001F129A"/>
    <w:rsid w:val="001F605B"/>
    <w:rsid w:val="002046A5"/>
    <w:rsid w:val="00221FA0"/>
    <w:rsid w:val="00225B07"/>
    <w:rsid w:val="0023417F"/>
    <w:rsid w:val="00237E0C"/>
    <w:rsid w:val="002404D0"/>
    <w:rsid w:val="00240DD4"/>
    <w:rsid w:val="002474E6"/>
    <w:rsid w:val="00261617"/>
    <w:rsid w:val="00263F98"/>
    <w:rsid w:val="00265903"/>
    <w:rsid w:val="0028109E"/>
    <w:rsid w:val="00291154"/>
    <w:rsid w:val="002976A5"/>
    <w:rsid w:val="002A56F8"/>
    <w:rsid w:val="002B53BB"/>
    <w:rsid w:val="002C3A1B"/>
    <w:rsid w:val="002C4959"/>
    <w:rsid w:val="002D1931"/>
    <w:rsid w:val="002D4954"/>
    <w:rsid w:val="002D4C9B"/>
    <w:rsid w:val="002F716A"/>
    <w:rsid w:val="00326E7A"/>
    <w:rsid w:val="00334908"/>
    <w:rsid w:val="003369B7"/>
    <w:rsid w:val="00337A02"/>
    <w:rsid w:val="0034481B"/>
    <w:rsid w:val="0034791C"/>
    <w:rsid w:val="00350A6E"/>
    <w:rsid w:val="003877B2"/>
    <w:rsid w:val="00387948"/>
    <w:rsid w:val="00391504"/>
    <w:rsid w:val="003B4553"/>
    <w:rsid w:val="003C04F8"/>
    <w:rsid w:val="003C3039"/>
    <w:rsid w:val="003C378C"/>
    <w:rsid w:val="003E4BB4"/>
    <w:rsid w:val="0040606C"/>
    <w:rsid w:val="00415436"/>
    <w:rsid w:val="00422463"/>
    <w:rsid w:val="00424272"/>
    <w:rsid w:val="00427C8D"/>
    <w:rsid w:val="00434658"/>
    <w:rsid w:val="00435D73"/>
    <w:rsid w:val="004377C8"/>
    <w:rsid w:val="00440089"/>
    <w:rsid w:val="00452491"/>
    <w:rsid w:val="0045363F"/>
    <w:rsid w:val="00453DD9"/>
    <w:rsid w:val="00457117"/>
    <w:rsid w:val="0046614F"/>
    <w:rsid w:val="00473D60"/>
    <w:rsid w:val="0048142C"/>
    <w:rsid w:val="00485025"/>
    <w:rsid w:val="00497A86"/>
    <w:rsid w:val="004A19CD"/>
    <w:rsid w:val="004A3329"/>
    <w:rsid w:val="004B19BB"/>
    <w:rsid w:val="004C0DBB"/>
    <w:rsid w:val="004C7A13"/>
    <w:rsid w:val="004F31E5"/>
    <w:rsid w:val="004F4608"/>
    <w:rsid w:val="00501204"/>
    <w:rsid w:val="0050141D"/>
    <w:rsid w:val="00504728"/>
    <w:rsid w:val="005159E9"/>
    <w:rsid w:val="00523362"/>
    <w:rsid w:val="005324D6"/>
    <w:rsid w:val="00532C7A"/>
    <w:rsid w:val="00535E7A"/>
    <w:rsid w:val="00545F3D"/>
    <w:rsid w:val="00555041"/>
    <w:rsid w:val="005710E7"/>
    <w:rsid w:val="00577F2B"/>
    <w:rsid w:val="00584D44"/>
    <w:rsid w:val="005A3A9F"/>
    <w:rsid w:val="005B0117"/>
    <w:rsid w:val="005C56C3"/>
    <w:rsid w:val="005C760F"/>
    <w:rsid w:val="005F19E8"/>
    <w:rsid w:val="00636EDF"/>
    <w:rsid w:val="00642023"/>
    <w:rsid w:val="006462D5"/>
    <w:rsid w:val="00656CB6"/>
    <w:rsid w:val="00656E73"/>
    <w:rsid w:val="006575C8"/>
    <w:rsid w:val="00661A6F"/>
    <w:rsid w:val="00662317"/>
    <w:rsid w:val="0068317C"/>
    <w:rsid w:val="006837D8"/>
    <w:rsid w:val="006A4520"/>
    <w:rsid w:val="006B0352"/>
    <w:rsid w:val="006B525C"/>
    <w:rsid w:val="006B7611"/>
    <w:rsid w:val="006C4732"/>
    <w:rsid w:val="006C7537"/>
    <w:rsid w:val="006E103A"/>
    <w:rsid w:val="006E5589"/>
    <w:rsid w:val="006F2B6F"/>
    <w:rsid w:val="0070243C"/>
    <w:rsid w:val="007024B9"/>
    <w:rsid w:val="00703CDB"/>
    <w:rsid w:val="00703ECE"/>
    <w:rsid w:val="0071150A"/>
    <w:rsid w:val="00711AC9"/>
    <w:rsid w:val="007129C9"/>
    <w:rsid w:val="0072678C"/>
    <w:rsid w:val="0072795F"/>
    <w:rsid w:val="00727BCF"/>
    <w:rsid w:val="00740232"/>
    <w:rsid w:val="0075465E"/>
    <w:rsid w:val="00757E88"/>
    <w:rsid w:val="0076359E"/>
    <w:rsid w:val="00780D00"/>
    <w:rsid w:val="007844F0"/>
    <w:rsid w:val="00790E7D"/>
    <w:rsid w:val="00794191"/>
    <w:rsid w:val="007A2486"/>
    <w:rsid w:val="007A361B"/>
    <w:rsid w:val="007D7549"/>
    <w:rsid w:val="007E1836"/>
    <w:rsid w:val="007E3A4E"/>
    <w:rsid w:val="007F1173"/>
    <w:rsid w:val="007F2A6F"/>
    <w:rsid w:val="008015F2"/>
    <w:rsid w:val="008161F7"/>
    <w:rsid w:val="00830C32"/>
    <w:rsid w:val="00837608"/>
    <w:rsid w:val="0084401E"/>
    <w:rsid w:val="00850B7D"/>
    <w:rsid w:val="0085330A"/>
    <w:rsid w:val="00854B5B"/>
    <w:rsid w:val="008856C5"/>
    <w:rsid w:val="00891227"/>
    <w:rsid w:val="00896968"/>
    <w:rsid w:val="008A01B0"/>
    <w:rsid w:val="008A0500"/>
    <w:rsid w:val="008A0ECC"/>
    <w:rsid w:val="008A5396"/>
    <w:rsid w:val="008B4554"/>
    <w:rsid w:val="008D2CB0"/>
    <w:rsid w:val="008D7A2A"/>
    <w:rsid w:val="008D7F90"/>
    <w:rsid w:val="008F06A3"/>
    <w:rsid w:val="009007DC"/>
    <w:rsid w:val="00900E82"/>
    <w:rsid w:val="0091631A"/>
    <w:rsid w:val="00917932"/>
    <w:rsid w:val="00924787"/>
    <w:rsid w:val="00926E29"/>
    <w:rsid w:val="0093037E"/>
    <w:rsid w:val="009324DB"/>
    <w:rsid w:val="00942C63"/>
    <w:rsid w:val="009475D5"/>
    <w:rsid w:val="00955127"/>
    <w:rsid w:val="00965CBA"/>
    <w:rsid w:val="009705A2"/>
    <w:rsid w:val="0097468A"/>
    <w:rsid w:val="00974C04"/>
    <w:rsid w:val="009772D1"/>
    <w:rsid w:val="00982DB8"/>
    <w:rsid w:val="009A1FBB"/>
    <w:rsid w:val="009C3D6B"/>
    <w:rsid w:val="009E4F96"/>
    <w:rsid w:val="009F345B"/>
    <w:rsid w:val="009F4412"/>
    <w:rsid w:val="00A134FA"/>
    <w:rsid w:val="00A31449"/>
    <w:rsid w:val="00A44112"/>
    <w:rsid w:val="00A45639"/>
    <w:rsid w:val="00A458A9"/>
    <w:rsid w:val="00A56308"/>
    <w:rsid w:val="00A603AF"/>
    <w:rsid w:val="00A839FA"/>
    <w:rsid w:val="00A93070"/>
    <w:rsid w:val="00AC2797"/>
    <w:rsid w:val="00AC54B8"/>
    <w:rsid w:val="00AD68D0"/>
    <w:rsid w:val="00AF09E9"/>
    <w:rsid w:val="00AF4221"/>
    <w:rsid w:val="00AF4DB1"/>
    <w:rsid w:val="00B01C84"/>
    <w:rsid w:val="00B03A1E"/>
    <w:rsid w:val="00B04A52"/>
    <w:rsid w:val="00B12FDE"/>
    <w:rsid w:val="00B2416E"/>
    <w:rsid w:val="00B33A2A"/>
    <w:rsid w:val="00B3542F"/>
    <w:rsid w:val="00B448EA"/>
    <w:rsid w:val="00B45DF8"/>
    <w:rsid w:val="00B46113"/>
    <w:rsid w:val="00B53CAC"/>
    <w:rsid w:val="00B55222"/>
    <w:rsid w:val="00B83A28"/>
    <w:rsid w:val="00B863EC"/>
    <w:rsid w:val="00B90059"/>
    <w:rsid w:val="00B946C9"/>
    <w:rsid w:val="00B9622F"/>
    <w:rsid w:val="00BA345A"/>
    <w:rsid w:val="00BD2D7B"/>
    <w:rsid w:val="00BE1D3B"/>
    <w:rsid w:val="00C02773"/>
    <w:rsid w:val="00C254CE"/>
    <w:rsid w:val="00C312BC"/>
    <w:rsid w:val="00C31A8B"/>
    <w:rsid w:val="00C3252F"/>
    <w:rsid w:val="00C42490"/>
    <w:rsid w:val="00C773B5"/>
    <w:rsid w:val="00C83601"/>
    <w:rsid w:val="00C904D0"/>
    <w:rsid w:val="00C933FE"/>
    <w:rsid w:val="00C951D1"/>
    <w:rsid w:val="00C95DE2"/>
    <w:rsid w:val="00CA15BA"/>
    <w:rsid w:val="00CC6ABA"/>
    <w:rsid w:val="00CE1320"/>
    <w:rsid w:val="00CE6AD3"/>
    <w:rsid w:val="00CF0B6C"/>
    <w:rsid w:val="00CF130A"/>
    <w:rsid w:val="00CF58C1"/>
    <w:rsid w:val="00D01EDD"/>
    <w:rsid w:val="00D0281A"/>
    <w:rsid w:val="00D058EF"/>
    <w:rsid w:val="00D16684"/>
    <w:rsid w:val="00D1703F"/>
    <w:rsid w:val="00D22183"/>
    <w:rsid w:val="00D226C4"/>
    <w:rsid w:val="00D255C8"/>
    <w:rsid w:val="00D2737A"/>
    <w:rsid w:val="00D411E8"/>
    <w:rsid w:val="00D46E60"/>
    <w:rsid w:val="00D5056D"/>
    <w:rsid w:val="00D54D78"/>
    <w:rsid w:val="00D6302F"/>
    <w:rsid w:val="00D6660B"/>
    <w:rsid w:val="00D70CF8"/>
    <w:rsid w:val="00D725E0"/>
    <w:rsid w:val="00D82A43"/>
    <w:rsid w:val="00D83959"/>
    <w:rsid w:val="00D868A8"/>
    <w:rsid w:val="00DA3CD1"/>
    <w:rsid w:val="00DB4440"/>
    <w:rsid w:val="00DB5C96"/>
    <w:rsid w:val="00DC2C2B"/>
    <w:rsid w:val="00DE2D70"/>
    <w:rsid w:val="00DE6697"/>
    <w:rsid w:val="00DF0600"/>
    <w:rsid w:val="00DF2AB6"/>
    <w:rsid w:val="00DF77F3"/>
    <w:rsid w:val="00E03528"/>
    <w:rsid w:val="00E21974"/>
    <w:rsid w:val="00E45114"/>
    <w:rsid w:val="00E4593D"/>
    <w:rsid w:val="00E54936"/>
    <w:rsid w:val="00E63C5B"/>
    <w:rsid w:val="00E65B28"/>
    <w:rsid w:val="00E66990"/>
    <w:rsid w:val="00E752A3"/>
    <w:rsid w:val="00E7706F"/>
    <w:rsid w:val="00EA33DF"/>
    <w:rsid w:val="00EA4534"/>
    <w:rsid w:val="00EB2D84"/>
    <w:rsid w:val="00EC16BE"/>
    <w:rsid w:val="00EC66EC"/>
    <w:rsid w:val="00ED17F5"/>
    <w:rsid w:val="00EF0169"/>
    <w:rsid w:val="00EF4E74"/>
    <w:rsid w:val="00F14097"/>
    <w:rsid w:val="00F1706E"/>
    <w:rsid w:val="00F43BC9"/>
    <w:rsid w:val="00F4799D"/>
    <w:rsid w:val="00F504F2"/>
    <w:rsid w:val="00F579A6"/>
    <w:rsid w:val="00F636A1"/>
    <w:rsid w:val="00F83947"/>
    <w:rsid w:val="00F9229B"/>
    <w:rsid w:val="00FA1D25"/>
    <w:rsid w:val="00FC45F8"/>
    <w:rsid w:val="00FD59F8"/>
    <w:rsid w:val="00FE14CC"/>
    <w:rsid w:val="00FF597E"/>
    <w:rsid w:val="00FF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49"/>
    <w:rsid w:val="004F31E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styleId="10">
    <w:name w:val="heading 1"/>
    <w:aliases w:val="Paper title"/>
    <w:next w:val="a0"/>
    <w:link w:val="11"/>
    <w:uiPriority w:val="4"/>
    <w:qFormat/>
    <w:rsid w:val="004F31E5"/>
    <w:pPr>
      <w:spacing w:after="0" w:line="280" w:lineRule="atLeast"/>
      <w:ind w:left="567" w:right="567"/>
      <w:outlineLvl w:val="0"/>
    </w:pPr>
    <w:rPr>
      <w:rFonts w:ascii="Times New Roman Bold" w:eastAsia="Times New Roman" w:hAnsi="Times New Roman Bold" w:cs="Times New Roman"/>
      <w:b/>
      <w:caps/>
      <w:sz w:val="24"/>
      <w:szCs w:val="20"/>
      <w:lang w:val="en-US"/>
    </w:rPr>
  </w:style>
  <w:style w:type="paragraph" w:styleId="2">
    <w:name w:val="heading 2"/>
    <w:aliases w:val="1st level paper heading"/>
    <w:next w:val="a1"/>
    <w:link w:val="20"/>
    <w:uiPriority w:val="4"/>
    <w:qFormat/>
    <w:rsid w:val="004F31E5"/>
    <w:pPr>
      <w:widowControl w:val="0"/>
      <w:numPr>
        <w:ilvl w:val="1"/>
        <w:numId w:val="1"/>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3">
    <w:name w:val="heading 3"/>
    <w:aliases w:val="2nd level paper heading"/>
    <w:next w:val="a1"/>
    <w:link w:val="30"/>
    <w:uiPriority w:val="4"/>
    <w:qFormat/>
    <w:rsid w:val="004F31E5"/>
    <w:pPr>
      <w:widowControl w:val="0"/>
      <w:numPr>
        <w:ilvl w:val="2"/>
        <w:numId w:val="1"/>
      </w:numPr>
      <w:spacing w:before="240" w:after="240" w:line="240" w:lineRule="exact"/>
      <w:outlineLvl w:val="2"/>
    </w:pPr>
    <w:rPr>
      <w:rFonts w:ascii="Times New Roman" w:eastAsia="Times New Roman" w:hAnsi="Times New Roman" w:cs="Times New Roman"/>
      <w:b/>
      <w:sz w:val="20"/>
      <w:szCs w:val="20"/>
      <w:lang w:val="en-GB"/>
    </w:rPr>
  </w:style>
  <w:style w:type="paragraph" w:styleId="4">
    <w:name w:val="heading 4"/>
    <w:aliases w:val="3rd level paper heading"/>
    <w:basedOn w:val="a"/>
    <w:next w:val="a1"/>
    <w:link w:val="40"/>
    <w:uiPriority w:val="4"/>
    <w:qFormat/>
    <w:rsid w:val="004F31E5"/>
    <w:pPr>
      <w:widowControl w:val="0"/>
      <w:numPr>
        <w:ilvl w:val="3"/>
        <w:numId w:val="1"/>
      </w:numPr>
      <w:tabs>
        <w:tab w:val="clear" w:pos="2058"/>
      </w:tabs>
      <w:spacing w:before="100" w:beforeAutospacing="1" w:after="100" w:afterAutospacing="1" w:line="240" w:lineRule="atLeast"/>
      <w:outlineLvl w:val="3"/>
    </w:pPr>
    <w:rPr>
      <w:i/>
      <w:sz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Paper title Знак"/>
    <w:basedOn w:val="a2"/>
    <w:link w:val="10"/>
    <w:uiPriority w:val="4"/>
    <w:rsid w:val="004F31E5"/>
    <w:rPr>
      <w:rFonts w:ascii="Times New Roman Bold" w:eastAsia="Times New Roman" w:hAnsi="Times New Roman Bold" w:cs="Times New Roman"/>
      <w:b/>
      <w:caps/>
      <w:sz w:val="24"/>
      <w:szCs w:val="20"/>
      <w:lang w:val="en-US"/>
    </w:rPr>
  </w:style>
  <w:style w:type="character" w:customStyle="1" w:styleId="20">
    <w:name w:val="Заголовок 2 Знак"/>
    <w:aliases w:val="1st level paper heading Знак"/>
    <w:basedOn w:val="a2"/>
    <w:link w:val="2"/>
    <w:uiPriority w:val="4"/>
    <w:rsid w:val="004F31E5"/>
    <w:rPr>
      <w:rFonts w:ascii="Times New Roman" w:eastAsia="Times New Roman" w:hAnsi="Times New Roman" w:cs="Times New Roman"/>
      <w:caps/>
      <w:sz w:val="20"/>
      <w:szCs w:val="20"/>
      <w:lang w:val="en-GB"/>
    </w:rPr>
  </w:style>
  <w:style w:type="character" w:customStyle="1" w:styleId="30">
    <w:name w:val="Заголовок 3 Знак"/>
    <w:aliases w:val="2nd level paper heading Знак"/>
    <w:basedOn w:val="a2"/>
    <w:link w:val="3"/>
    <w:uiPriority w:val="4"/>
    <w:rsid w:val="004F31E5"/>
    <w:rPr>
      <w:rFonts w:ascii="Times New Roman" w:eastAsia="Times New Roman" w:hAnsi="Times New Roman" w:cs="Times New Roman"/>
      <w:b/>
      <w:sz w:val="20"/>
      <w:szCs w:val="20"/>
      <w:lang w:val="en-GB"/>
    </w:rPr>
  </w:style>
  <w:style w:type="character" w:customStyle="1" w:styleId="40">
    <w:name w:val="Заголовок 4 Знак"/>
    <w:aliases w:val="3rd level paper heading Знак"/>
    <w:basedOn w:val="a2"/>
    <w:link w:val="4"/>
    <w:uiPriority w:val="4"/>
    <w:rsid w:val="004F31E5"/>
    <w:rPr>
      <w:rFonts w:ascii="Times New Roman" w:eastAsia="Times New Roman" w:hAnsi="Times New Roman" w:cs="Times New Roman"/>
      <w:i/>
      <w:sz w:val="20"/>
      <w:szCs w:val="20"/>
      <w:lang w:val="en-US"/>
    </w:rPr>
  </w:style>
  <w:style w:type="paragraph" w:styleId="a1">
    <w:name w:val="Body Text"/>
    <w:link w:val="a5"/>
    <w:qFormat/>
    <w:rsid w:val="004F31E5"/>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5">
    <w:name w:val="Основной текст Знак"/>
    <w:basedOn w:val="a2"/>
    <w:link w:val="a1"/>
    <w:rsid w:val="004F31E5"/>
    <w:rPr>
      <w:rFonts w:ascii="Times New Roman" w:eastAsia="Times New Roman" w:hAnsi="Times New Roman" w:cs="Times New Roman"/>
      <w:sz w:val="20"/>
      <w:szCs w:val="20"/>
      <w:lang w:val="en-GB"/>
    </w:rPr>
  </w:style>
  <w:style w:type="paragraph" w:styleId="a0">
    <w:name w:val="Subtitle"/>
    <w:next w:val="a1"/>
    <w:link w:val="a6"/>
    <w:uiPriority w:val="3"/>
    <w:qFormat/>
    <w:rsid w:val="004F31E5"/>
    <w:pPr>
      <w:spacing w:after="100" w:afterAutospacing="1" w:line="280" w:lineRule="atLeast"/>
      <w:ind w:left="567" w:right="567"/>
      <w:contextualSpacing/>
    </w:pPr>
    <w:rPr>
      <w:rFonts w:ascii="Times New Roman" w:eastAsia="Times New Roman" w:hAnsi="Times New Roman" w:cs="Arial"/>
      <w:b/>
      <w:i/>
      <w:sz w:val="24"/>
      <w:szCs w:val="24"/>
      <w:lang w:val="en-US"/>
    </w:rPr>
  </w:style>
  <w:style w:type="character" w:customStyle="1" w:styleId="a6">
    <w:name w:val="Подзаголовок Знак"/>
    <w:basedOn w:val="a2"/>
    <w:link w:val="a0"/>
    <w:uiPriority w:val="3"/>
    <w:rsid w:val="004F31E5"/>
    <w:rPr>
      <w:rFonts w:ascii="Times New Roman" w:eastAsia="Times New Roman" w:hAnsi="Times New Roman" w:cs="Arial"/>
      <w:b/>
      <w:i/>
      <w:sz w:val="24"/>
      <w:szCs w:val="24"/>
      <w:lang w:val="en-US"/>
    </w:rPr>
  </w:style>
  <w:style w:type="paragraph" w:customStyle="1" w:styleId="Authornameandaffiliation">
    <w:name w:val="Author name and affiliation"/>
    <w:link w:val="AuthornameandaffiliationChar"/>
    <w:uiPriority w:val="49"/>
    <w:qFormat/>
    <w:rsid w:val="004F31E5"/>
    <w:pPr>
      <w:spacing w:after="0" w:line="240" w:lineRule="auto"/>
      <w:ind w:left="567"/>
      <w:contextualSpacing/>
    </w:pPr>
    <w:rPr>
      <w:rFonts w:ascii="Times New Roman" w:eastAsia="Times New Roman" w:hAnsi="Times New Roman" w:cs="Times New Roman"/>
      <w:sz w:val="20"/>
      <w:szCs w:val="20"/>
      <w:lang w:val="en-US"/>
    </w:rPr>
  </w:style>
  <w:style w:type="paragraph" w:customStyle="1" w:styleId="Abstracttext">
    <w:name w:val="Abstract text"/>
    <w:basedOn w:val="Authornameandaffiliation"/>
    <w:link w:val="AbstracttextChar"/>
    <w:uiPriority w:val="49"/>
    <w:qFormat/>
    <w:rsid w:val="004F31E5"/>
    <w:pPr>
      <w:spacing w:line="240" w:lineRule="atLeast"/>
      <w:ind w:left="0" w:firstLine="567"/>
    </w:pPr>
    <w:rPr>
      <w:sz w:val="18"/>
    </w:rPr>
  </w:style>
  <w:style w:type="character" w:customStyle="1" w:styleId="AuthornameandaffiliationChar">
    <w:name w:val="Author name and affiliation Char"/>
    <w:basedOn w:val="a5"/>
    <w:link w:val="Authornameandaffiliation"/>
    <w:uiPriority w:val="49"/>
    <w:rsid w:val="004F31E5"/>
    <w:rPr>
      <w:rFonts w:ascii="Times New Roman" w:eastAsia="Times New Roman" w:hAnsi="Times New Roman" w:cs="Times New Roman"/>
      <w:sz w:val="20"/>
      <w:szCs w:val="20"/>
      <w:lang w:val="en-US"/>
    </w:rPr>
  </w:style>
  <w:style w:type="table" w:styleId="a7">
    <w:name w:val="Table Grid"/>
    <w:basedOn w:val="a3"/>
    <w:uiPriority w:val="39"/>
    <w:rsid w:val="004F31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4F31E5"/>
    <w:rPr>
      <w:rFonts w:ascii="Times New Roman" w:eastAsia="Times New Roman" w:hAnsi="Times New Roman" w:cs="Times New Roman"/>
      <w:sz w:val="18"/>
      <w:szCs w:val="20"/>
      <w:lang w:val="en-US"/>
    </w:rPr>
  </w:style>
  <w:style w:type="paragraph" w:customStyle="1" w:styleId="Tabletext">
    <w:name w:val="Table text"/>
    <w:basedOn w:val="a1"/>
    <w:link w:val="TabletextChar"/>
    <w:uiPriority w:val="49"/>
    <w:qFormat/>
    <w:rsid w:val="004F31E5"/>
    <w:pPr>
      <w:ind w:firstLine="0"/>
    </w:pPr>
  </w:style>
  <w:style w:type="character" w:customStyle="1" w:styleId="TabletextChar">
    <w:name w:val="Table text Char"/>
    <w:basedOn w:val="a5"/>
    <w:link w:val="Tabletext"/>
    <w:uiPriority w:val="49"/>
    <w:rsid w:val="004F31E5"/>
    <w:rPr>
      <w:rFonts w:ascii="Times New Roman" w:eastAsia="Times New Roman" w:hAnsi="Times New Roman" w:cs="Times New Roman"/>
      <w:sz w:val="20"/>
      <w:szCs w:val="20"/>
      <w:lang w:val="en-GB"/>
    </w:rPr>
  </w:style>
  <w:style w:type="character" w:styleId="a8">
    <w:name w:val="Hyperlink"/>
    <w:basedOn w:val="a2"/>
    <w:uiPriority w:val="99"/>
    <w:unhideWhenUsed/>
    <w:rsid w:val="00D82A43"/>
    <w:rPr>
      <w:color w:val="0563C1" w:themeColor="hyperlink"/>
      <w:u w:val="single"/>
    </w:rPr>
  </w:style>
  <w:style w:type="paragraph" w:styleId="a9">
    <w:name w:val="Body Text Indent"/>
    <w:basedOn w:val="a"/>
    <w:link w:val="aa"/>
    <w:uiPriority w:val="99"/>
    <w:semiHidden/>
    <w:unhideWhenUsed/>
    <w:rsid w:val="0050141D"/>
    <w:pPr>
      <w:spacing w:after="120"/>
      <w:ind w:left="283"/>
    </w:pPr>
  </w:style>
  <w:style w:type="character" w:customStyle="1" w:styleId="aa">
    <w:name w:val="Основной текст с отступом Знак"/>
    <w:basedOn w:val="a2"/>
    <w:link w:val="a9"/>
    <w:uiPriority w:val="99"/>
    <w:semiHidden/>
    <w:rsid w:val="0050141D"/>
    <w:rPr>
      <w:rFonts w:ascii="Times New Roman" w:eastAsia="Times New Roman" w:hAnsi="Times New Roman" w:cs="Times New Roman"/>
      <w:szCs w:val="20"/>
      <w:lang w:val="en-GB"/>
    </w:rPr>
  </w:style>
  <w:style w:type="paragraph" w:styleId="ab">
    <w:name w:val="List Paragraph"/>
    <w:basedOn w:val="a"/>
    <w:uiPriority w:val="34"/>
    <w:qFormat/>
    <w:rsid w:val="00AC2797"/>
    <w:pPr>
      <w:ind w:left="720"/>
      <w:contextualSpacing/>
    </w:pPr>
  </w:style>
  <w:style w:type="paragraph" w:customStyle="1" w:styleId="ListEmdash">
    <w:name w:val="List Emdash"/>
    <w:basedOn w:val="a1"/>
    <w:uiPriority w:val="6"/>
    <w:qFormat/>
    <w:rsid w:val="005710E7"/>
    <w:pPr>
      <w:numPr>
        <w:numId w:val="6"/>
      </w:numPr>
      <w:ind w:left="709"/>
    </w:pPr>
  </w:style>
  <w:style w:type="paragraph" w:customStyle="1" w:styleId="ac">
    <w:name w:val="таб. цифры"/>
    <w:basedOn w:val="a"/>
    <w:rsid w:val="007A361B"/>
    <w:pPr>
      <w:overflowPunct/>
      <w:autoSpaceDE/>
      <w:autoSpaceDN/>
      <w:adjustRightInd/>
      <w:jc w:val="center"/>
      <w:textAlignment w:val="auto"/>
    </w:pPr>
    <w:rPr>
      <w:rFonts w:eastAsia="Calibri"/>
      <w:sz w:val="20"/>
      <w:szCs w:val="16"/>
      <w:lang w:val="ru-RU" w:eastAsia="ru-RU"/>
    </w:rPr>
  </w:style>
  <w:style w:type="paragraph" w:styleId="ad">
    <w:name w:val="Balloon Text"/>
    <w:basedOn w:val="a"/>
    <w:link w:val="ae"/>
    <w:uiPriority w:val="99"/>
    <w:semiHidden/>
    <w:unhideWhenUsed/>
    <w:rsid w:val="008A0ECC"/>
    <w:rPr>
      <w:rFonts w:ascii="Segoe UI" w:hAnsi="Segoe UI" w:cs="Segoe UI"/>
      <w:sz w:val="18"/>
      <w:szCs w:val="18"/>
    </w:rPr>
  </w:style>
  <w:style w:type="character" w:customStyle="1" w:styleId="ae">
    <w:name w:val="Текст выноски Знак"/>
    <w:basedOn w:val="a2"/>
    <w:link w:val="ad"/>
    <w:uiPriority w:val="99"/>
    <w:semiHidden/>
    <w:rsid w:val="008A0ECC"/>
    <w:rPr>
      <w:rFonts w:ascii="Segoe UI" w:eastAsia="Times New Roman" w:hAnsi="Segoe UI" w:cs="Segoe UI"/>
      <w:sz w:val="18"/>
      <w:szCs w:val="18"/>
      <w:lang w:val="en-GB"/>
    </w:rPr>
  </w:style>
  <w:style w:type="paragraph" w:customStyle="1" w:styleId="1">
    <w:name w:val="1 заголовок"/>
    <w:basedOn w:val="a"/>
    <w:uiPriority w:val="99"/>
    <w:qFormat/>
    <w:rsid w:val="001A4068"/>
    <w:pPr>
      <w:keepNext/>
      <w:widowControl w:val="0"/>
      <w:numPr>
        <w:numId w:val="9"/>
      </w:numPr>
      <w:tabs>
        <w:tab w:val="left" w:pos="0"/>
        <w:tab w:val="left" w:pos="993"/>
      </w:tabs>
      <w:suppressAutoHyphens/>
      <w:overflowPunct/>
      <w:autoSpaceDE/>
      <w:autoSpaceDN/>
      <w:adjustRightInd/>
      <w:spacing w:line="360" w:lineRule="auto"/>
      <w:ind w:left="709" w:hanging="709"/>
      <w:jc w:val="both"/>
      <w:textAlignment w:val="auto"/>
      <w:outlineLvl w:val="0"/>
    </w:pPr>
    <w:rPr>
      <w:rFonts w:eastAsia="Calibri"/>
      <w:color w:val="000000"/>
      <w:sz w:val="24"/>
      <w:szCs w:val="24"/>
      <w:lang w:val="ru-RU" w:eastAsia="ru-RU"/>
    </w:rPr>
  </w:style>
  <w:style w:type="paragraph" w:customStyle="1" w:styleId="Referencelist">
    <w:name w:val="Reference list"/>
    <w:basedOn w:val="a1"/>
    <w:link w:val="ReferencelistChar"/>
    <w:uiPriority w:val="49"/>
    <w:qFormat/>
    <w:rsid w:val="00B01C84"/>
    <w:pPr>
      <w:numPr>
        <w:numId w:val="10"/>
      </w:numPr>
    </w:pPr>
    <w:rPr>
      <w:sz w:val="18"/>
      <w:szCs w:val="18"/>
    </w:rPr>
  </w:style>
  <w:style w:type="character" w:customStyle="1" w:styleId="ReferencelistChar">
    <w:name w:val="Reference list Char"/>
    <w:basedOn w:val="a5"/>
    <w:link w:val="Referencelist"/>
    <w:uiPriority w:val="49"/>
    <w:rsid w:val="00B01C84"/>
    <w:rPr>
      <w:rFonts w:ascii="Times New Roman" w:eastAsia="Times New Roman" w:hAnsi="Times New Roman" w:cs="Times New Roman"/>
      <w:sz w:val="18"/>
      <w:szCs w:val="18"/>
      <w:lang w:val="en-GB"/>
    </w:rPr>
  </w:style>
  <w:style w:type="character" w:customStyle="1" w:styleId="extended-textshort">
    <w:name w:val="extended-text__short"/>
    <w:rsid w:val="00B01C84"/>
  </w:style>
  <w:style w:type="paragraph" w:styleId="af">
    <w:name w:val="header"/>
    <w:basedOn w:val="a"/>
    <w:link w:val="af0"/>
    <w:uiPriority w:val="99"/>
    <w:unhideWhenUsed/>
    <w:rsid w:val="00000B9A"/>
    <w:pPr>
      <w:tabs>
        <w:tab w:val="center" w:pos="4677"/>
        <w:tab w:val="right" w:pos="9355"/>
      </w:tabs>
    </w:pPr>
  </w:style>
  <w:style w:type="character" w:customStyle="1" w:styleId="af0">
    <w:name w:val="Верхний колонтитул Знак"/>
    <w:basedOn w:val="a2"/>
    <w:link w:val="af"/>
    <w:uiPriority w:val="99"/>
    <w:rsid w:val="00000B9A"/>
    <w:rPr>
      <w:rFonts w:ascii="Times New Roman" w:eastAsia="Times New Roman" w:hAnsi="Times New Roman" w:cs="Times New Roman"/>
      <w:szCs w:val="20"/>
      <w:lang w:val="en-GB"/>
    </w:rPr>
  </w:style>
  <w:style w:type="paragraph" w:styleId="af1">
    <w:name w:val="footer"/>
    <w:basedOn w:val="a"/>
    <w:link w:val="af2"/>
    <w:uiPriority w:val="99"/>
    <w:unhideWhenUsed/>
    <w:rsid w:val="00000B9A"/>
    <w:pPr>
      <w:tabs>
        <w:tab w:val="center" w:pos="4677"/>
        <w:tab w:val="right" w:pos="9355"/>
      </w:tabs>
    </w:pPr>
  </w:style>
  <w:style w:type="character" w:customStyle="1" w:styleId="af2">
    <w:name w:val="Нижний колонтитул Знак"/>
    <w:basedOn w:val="a2"/>
    <w:link w:val="af1"/>
    <w:uiPriority w:val="99"/>
    <w:rsid w:val="00000B9A"/>
    <w:rPr>
      <w:rFonts w:ascii="Times New Roman" w:eastAsia="Times New Roman" w:hAnsi="Times New Roman" w:cs="Times New Roman"/>
      <w:szCs w:val="20"/>
      <w:lang w:val="en-GB"/>
    </w:rPr>
  </w:style>
  <w:style w:type="character" w:styleId="af3">
    <w:name w:val="FollowedHyperlink"/>
    <w:basedOn w:val="a2"/>
    <w:uiPriority w:val="99"/>
    <w:semiHidden/>
    <w:unhideWhenUsed/>
    <w:rsid w:val="00DF2AB6"/>
    <w:rPr>
      <w:color w:val="954F72" w:themeColor="followedHyperlink"/>
      <w:u w:val="single"/>
    </w:rPr>
  </w:style>
  <w:style w:type="paragraph" w:styleId="HTML">
    <w:name w:val="HTML Preformatted"/>
    <w:basedOn w:val="a"/>
    <w:link w:val="HTML0"/>
    <w:uiPriority w:val="99"/>
    <w:semiHidden/>
    <w:unhideWhenUsed/>
    <w:rsid w:val="00DF2AB6"/>
    <w:rPr>
      <w:rFonts w:ascii="Consolas" w:hAnsi="Consolas" w:cs="Consolas"/>
      <w:sz w:val="20"/>
    </w:rPr>
  </w:style>
  <w:style w:type="character" w:customStyle="1" w:styleId="HTML0">
    <w:name w:val="Стандартный HTML Знак"/>
    <w:basedOn w:val="a2"/>
    <w:link w:val="HTML"/>
    <w:uiPriority w:val="99"/>
    <w:semiHidden/>
    <w:rsid w:val="00DF2AB6"/>
    <w:rPr>
      <w:rFonts w:ascii="Consolas" w:eastAsia="Times New Roman" w:hAnsi="Consolas" w:cs="Consolas"/>
      <w:sz w:val="20"/>
      <w:szCs w:val="20"/>
      <w:lang w:val="en-GB"/>
    </w:rPr>
  </w:style>
  <w:style w:type="table" w:customStyle="1" w:styleId="12">
    <w:name w:val="Сетка таблицы1"/>
    <w:basedOn w:val="a3"/>
    <w:next w:val="a7"/>
    <w:uiPriority w:val="39"/>
    <w:rsid w:val="00AC54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3C30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49"/>
    <w:rsid w:val="004F31E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styleId="10">
    <w:name w:val="heading 1"/>
    <w:aliases w:val="Paper title"/>
    <w:next w:val="a0"/>
    <w:link w:val="11"/>
    <w:uiPriority w:val="4"/>
    <w:qFormat/>
    <w:rsid w:val="004F31E5"/>
    <w:pPr>
      <w:spacing w:after="0" w:line="280" w:lineRule="atLeast"/>
      <w:ind w:left="567" w:right="567"/>
      <w:outlineLvl w:val="0"/>
    </w:pPr>
    <w:rPr>
      <w:rFonts w:ascii="Times New Roman Bold" w:eastAsia="Times New Roman" w:hAnsi="Times New Roman Bold" w:cs="Times New Roman"/>
      <w:b/>
      <w:caps/>
      <w:sz w:val="24"/>
      <w:szCs w:val="20"/>
      <w:lang w:val="en-US"/>
    </w:rPr>
  </w:style>
  <w:style w:type="paragraph" w:styleId="2">
    <w:name w:val="heading 2"/>
    <w:aliases w:val="1st level paper heading"/>
    <w:next w:val="a1"/>
    <w:link w:val="20"/>
    <w:uiPriority w:val="4"/>
    <w:qFormat/>
    <w:rsid w:val="004F31E5"/>
    <w:pPr>
      <w:widowControl w:val="0"/>
      <w:numPr>
        <w:ilvl w:val="1"/>
        <w:numId w:val="1"/>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3">
    <w:name w:val="heading 3"/>
    <w:aliases w:val="2nd level paper heading"/>
    <w:next w:val="a1"/>
    <w:link w:val="30"/>
    <w:uiPriority w:val="4"/>
    <w:qFormat/>
    <w:rsid w:val="004F31E5"/>
    <w:pPr>
      <w:widowControl w:val="0"/>
      <w:numPr>
        <w:ilvl w:val="2"/>
        <w:numId w:val="1"/>
      </w:numPr>
      <w:spacing w:before="240" w:after="240" w:line="240" w:lineRule="exact"/>
      <w:outlineLvl w:val="2"/>
    </w:pPr>
    <w:rPr>
      <w:rFonts w:ascii="Times New Roman" w:eastAsia="Times New Roman" w:hAnsi="Times New Roman" w:cs="Times New Roman"/>
      <w:b/>
      <w:sz w:val="20"/>
      <w:szCs w:val="20"/>
      <w:lang w:val="en-GB"/>
    </w:rPr>
  </w:style>
  <w:style w:type="paragraph" w:styleId="4">
    <w:name w:val="heading 4"/>
    <w:aliases w:val="3rd level paper heading"/>
    <w:basedOn w:val="a"/>
    <w:next w:val="a1"/>
    <w:link w:val="40"/>
    <w:uiPriority w:val="4"/>
    <w:qFormat/>
    <w:rsid w:val="004F31E5"/>
    <w:pPr>
      <w:widowControl w:val="0"/>
      <w:numPr>
        <w:ilvl w:val="3"/>
        <w:numId w:val="1"/>
      </w:numPr>
      <w:tabs>
        <w:tab w:val="clear" w:pos="2058"/>
      </w:tabs>
      <w:spacing w:before="100" w:beforeAutospacing="1" w:after="100" w:afterAutospacing="1" w:line="240" w:lineRule="atLeast"/>
      <w:outlineLvl w:val="3"/>
    </w:pPr>
    <w:rPr>
      <w:i/>
      <w:sz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Paper title Знак"/>
    <w:basedOn w:val="a2"/>
    <w:link w:val="10"/>
    <w:uiPriority w:val="4"/>
    <w:rsid w:val="004F31E5"/>
    <w:rPr>
      <w:rFonts w:ascii="Times New Roman Bold" w:eastAsia="Times New Roman" w:hAnsi="Times New Roman Bold" w:cs="Times New Roman"/>
      <w:b/>
      <w:caps/>
      <w:sz w:val="24"/>
      <w:szCs w:val="20"/>
      <w:lang w:val="en-US"/>
    </w:rPr>
  </w:style>
  <w:style w:type="character" w:customStyle="1" w:styleId="20">
    <w:name w:val="Заголовок 2 Знак"/>
    <w:aliases w:val="1st level paper heading Знак"/>
    <w:basedOn w:val="a2"/>
    <w:link w:val="2"/>
    <w:uiPriority w:val="4"/>
    <w:rsid w:val="004F31E5"/>
    <w:rPr>
      <w:rFonts w:ascii="Times New Roman" w:eastAsia="Times New Roman" w:hAnsi="Times New Roman" w:cs="Times New Roman"/>
      <w:caps/>
      <w:sz w:val="20"/>
      <w:szCs w:val="20"/>
      <w:lang w:val="en-GB"/>
    </w:rPr>
  </w:style>
  <w:style w:type="character" w:customStyle="1" w:styleId="30">
    <w:name w:val="Заголовок 3 Знак"/>
    <w:aliases w:val="2nd level paper heading Знак"/>
    <w:basedOn w:val="a2"/>
    <w:link w:val="3"/>
    <w:uiPriority w:val="4"/>
    <w:rsid w:val="004F31E5"/>
    <w:rPr>
      <w:rFonts w:ascii="Times New Roman" w:eastAsia="Times New Roman" w:hAnsi="Times New Roman" w:cs="Times New Roman"/>
      <w:b/>
      <w:sz w:val="20"/>
      <w:szCs w:val="20"/>
      <w:lang w:val="en-GB"/>
    </w:rPr>
  </w:style>
  <w:style w:type="character" w:customStyle="1" w:styleId="40">
    <w:name w:val="Заголовок 4 Знак"/>
    <w:aliases w:val="3rd level paper heading Знак"/>
    <w:basedOn w:val="a2"/>
    <w:link w:val="4"/>
    <w:uiPriority w:val="4"/>
    <w:rsid w:val="004F31E5"/>
    <w:rPr>
      <w:rFonts w:ascii="Times New Roman" w:eastAsia="Times New Roman" w:hAnsi="Times New Roman" w:cs="Times New Roman"/>
      <w:i/>
      <w:sz w:val="20"/>
      <w:szCs w:val="20"/>
      <w:lang w:val="en-US"/>
    </w:rPr>
  </w:style>
  <w:style w:type="paragraph" w:styleId="a1">
    <w:name w:val="Body Text"/>
    <w:link w:val="a5"/>
    <w:qFormat/>
    <w:rsid w:val="004F31E5"/>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5">
    <w:name w:val="Основной текст Знак"/>
    <w:basedOn w:val="a2"/>
    <w:link w:val="a1"/>
    <w:rsid w:val="004F31E5"/>
    <w:rPr>
      <w:rFonts w:ascii="Times New Roman" w:eastAsia="Times New Roman" w:hAnsi="Times New Roman" w:cs="Times New Roman"/>
      <w:sz w:val="20"/>
      <w:szCs w:val="20"/>
      <w:lang w:val="en-GB"/>
    </w:rPr>
  </w:style>
  <w:style w:type="paragraph" w:styleId="a0">
    <w:name w:val="Subtitle"/>
    <w:next w:val="a1"/>
    <w:link w:val="a6"/>
    <w:uiPriority w:val="3"/>
    <w:qFormat/>
    <w:rsid w:val="004F31E5"/>
    <w:pPr>
      <w:spacing w:after="100" w:afterAutospacing="1" w:line="280" w:lineRule="atLeast"/>
      <w:ind w:left="567" w:right="567"/>
      <w:contextualSpacing/>
    </w:pPr>
    <w:rPr>
      <w:rFonts w:ascii="Times New Roman" w:eastAsia="Times New Roman" w:hAnsi="Times New Roman" w:cs="Arial"/>
      <w:b/>
      <w:i/>
      <w:sz w:val="24"/>
      <w:szCs w:val="24"/>
      <w:lang w:val="en-US"/>
    </w:rPr>
  </w:style>
  <w:style w:type="character" w:customStyle="1" w:styleId="a6">
    <w:name w:val="Подзаголовок Знак"/>
    <w:basedOn w:val="a2"/>
    <w:link w:val="a0"/>
    <w:uiPriority w:val="3"/>
    <w:rsid w:val="004F31E5"/>
    <w:rPr>
      <w:rFonts w:ascii="Times New Roman" w:eastAsia="Times New Roman" w:hAnsi="Times New Roman" w:cs="Arial"/>
      <w:b/>
      <w:i/>
      <w:sz w:val="24"/>
      <w:szCs w:val="24"/>
      <w:lang w:val="en-US"/>
    </w:rPr>
  </w:style>
  <w:style w:type="paragraph" w:customStyle="1" w:styleId="Authornameandaffiliation">
    <w:name w:val="Author name and affiliation"/>
    <w:link w:val="AuthornameandaffiliationChar"/>
    <w:uiPriority w:val="49"/>
    <w:qFormat/>
    <w:rsid w:val="004F31E5"/>
    <w:pPr>
      <w:spacing w:after="0" w:line="240" w:lineRule="auto"/>
      <w:ind w:left="567"/>
      <w:contextualSpacing/>
    </w:pPr>
    <w:rPr>
      <w:rFonts w:ascii="Times New Roman" w:eastAsia="Times New Roman" w:hAnsi="Times New Roman" w:cs="Times New Roman"/>
      <w:sz w:val="20"/>
      <w:szCs w:val="20"/>
      <w:lang w:val="en-US"/>
    </w:rPr>
  </w:style>
  <w:style w:type="paragraph" w:customStyle="1" w:styleId="Abstracttext">
    <w:name w:val="Abstract text"/>
    <w:basedOn w:val="Authornameandaffiliation"/>
    <w:link w:val="AbstracttextChar"/>
    <w:uiPriority w:val="49"/>
    <w:qFormat/>
    <w:rsid w:val="004F31E5"/>
    <w:pPr>
      <w:spacing w:line="240" w:lineRule="atLeast"/>
      <w:ind w:left="0" w:firstLine="567"/>
    </w:pPr>
    <w:rPr>
      <w:sz w:val="18"/>
    </w:rPr>
  </w:style>
  <w:style w:type="character" w:customStyle="1" w:styleId="AuthornameandaffiliationChar">
    <w:name w:val="Author name and affiliation Char"/>
    <w:basedOn w:val="a5"/>
    <w:link w:val="Authornameandaffiliation"/>
    <w:uiPriority w:val="49"/>
    <w:rsid w:val="004F31E5"/>
    <w:rPr>
      <w:rFonts w:ascii="Times New Roman" w:eastAsia="Times New Roman" w:hAnsi="Times New Roman" w:cs="Times New Roman"/>
      <w:sz w:val="20"/>
      <w:szCs w:val="20"/>
      <w:lang w:val="en-US"/>
    </w:rPr>
  </w:style>
  <w:style w:type="table" w:styleId="a7">
    <w:name w:val="Table Grid"/>
    <w:basedOn w:val="a3"/>
    <w:uiPriority w:val="39"/>
    <w:rsid w:val="004F31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4F31E5"/>
    <w:rPr>
      <w:rFonts w:ascii="Times New Roman" w:eastAsia="Times New Roman" w:hAnsi="Times New Roman" w:cs="Times New Roman"/>
      <w:sz w:val="18"/>
      <w:szCs w:val="20"/>
      <w:lang w:val="en-US"/>
    </w:rPr>
  </w:style>
  <w:style w:type="paragraph" w:customStyle="1" w:styleId="Tabletext">
    <w:name w:val="Table text"/>
    <w:basedOn w:val="a1"/>
    <w:link w:val="TabletextChar"/>
    <w:uiPriority w:val="49"/>
    <w:qFormat/>
    <w:rsid w:val="004F31E5"/>
    <w:pPr>
      <w:ind w:firstLine="0"/>
    </w:pPr>
  </w:style>
  <w:style w:type="character" w:customStyle="1" w:styleId="TabletextChar">
    <w:name w:val="Table text Char"/>
    <w:basedOn w:val="a5"/>
    <w:link w:val="Tabletext"/>
    <w:uiPriority w:val="49"/>
    <w:rsid w:val="004F31E5"/>
    <w:rPr>
      <w:rFonts w:ascii="Times New Roman" w:eastAsia="Times New Roman" w:hAnsi="Times New Roman" w:cs="Times New Roman"/>
      <w:sz w:val="20"/>
      <w:szCs w:val="20"/>
      <w:lang w:val="en-GB"/>
    </w:rPr>
  </w:style>
  <w:style w:type="character" w:styleId="a8">
    <w:name w:val="Hyperlink"/>
    <w:basedOn w:val="a2"/>
    <w:uiPriority w:val="99"/>
    <w:unhideWhenUsed/>
    <w:rsid w:val="00D82A43"/>
    <w:rPr>
      <w:color w:val="0563C1" w:themeColor="hyperlink"/>
      <w:u w:val="single"/>
    </w:rPr>
  </w:style>
  <w:style w:type="paragraph" w:styleId="a9">
    <w:name w:val="Body Text Indent"/>
    <w:basedOn w:val="a"/>
    <w:link w:val="aa"/>
    <w:uiPriority w:val="99"/>
    <w:semiHidden/>
    <w:unhideWhenUsed/>
    <w:rsid w:val="0050141D"/>
    <w:pPr>
      <w:spacing w:after="120"/>
      <w:ind w:left="283"/>
    </w:pPr>
  </w:style>
  <w:style w:type="character" w:customStyle="1" w:styleId="aa">
    <w:name w:val="Основной текст с отступом Знак"/>
    <w:basedOn w:val="a2"/>
    <w:link w:val="a9"/>
    <w:uiPriority w:val="99"/>
    <w:semiHidden/>
    <w:rsid w:val="0050141D"/>
    <w:rPr>
      <w:rFonts w:ascii="Times New Roman" w:eastAsia="Times New Roman" w:hAnsi="Times New Roman" w:cs="Times New Roman"/>
      <w:szCs w:val="20"/>
      <w:lang w:val="en-GB"/>
    </w:rPr>
  </w:style>
  <w:style w:type="paragraph" w:styleId="ab">
    <w:name w:val="List Paragraph"/>
    <w:basedOn w:val="a"/>
    <w:uiPriority w:val="34"/>
    <w:qFormat/>
    <w:rsid w:val="00AC2797"/>
    <w:pPr>
      <w:ind w:left="720"/>
      <w:contextualSpacing/>
    </w:pPr>
  </w:style>
  <w:style w:type="paragraph" w:customStyle="1" w:styleId="ListEmdash">
    <w:name w:val="List Emdash"/>
    <w:basedOn w:val="a1"/>
    <w:uiPriority w:val="6"/>
    <w:qFormat/>
    <w:rsid w:val="005710E7"/>
    <w:pPr>
      <w:numPr>
        <w:numId w:val="6"/>
      </w:numPr>
      <w:ind w:left="709"/>
    </w:pPr>
  </w:style>
  <w:style w:type="paragraph" w:customStyle="1" w:styleId="ac">
    <w:name w:val="таб. цифры"/>
    <w:basedOn w:val="a"/>
    <w:rsid w:val="007A361B"/>
    <w:pPr>
      <w:overflowPunct/>
      <w:autoSpaceDE/>
      <w:autoSpaceDN/>
      <w:adjustRightInd/>
      <w:jc w:val="center"/>
      <w:textAlignment w:val="auto"/>
    </w:pPr>
    <w:rPr>
      <w:rFonts w:eastAsia="Calibri"/>
      <w:sz w:val="20"/>
      <w:szCs w:val="16"/>
      <w:lang w:val="ru-RU" w:eastAsia="ru-RU"/>
    </w:rPr>
  </w:style>
  <w:style w:type="paragraph" w:styleId="ad">
    <w:name w:val="Balloon Text"/>
    <w:basedOn w:val="a"/>
    <w:link w:val="ae"/>
    <w:uiPriority w:val="99"/>
    <w:semiHidden/>
    <w:unhideWhenUsed/>
    <w:rsid w:val="008A0ECC"/>
    <w:rPr>
      <w:rFonts w:ascii="Segoe UI" w:hAnsi="Segoe UI" w:cs="Segoe UI"/>
      <w:sz w:val="18"/>
      <w:szCs w:val="18"/>
    </w:rPr>
  </w:style>
  <w:style w:type="character" w:customStyle="1" w:styleId="ae">
    <w:name w:val="Текст выноски Знак"/>
    <w:basedOn w:val="a2"/>
    <w:link w:val="ad"/>
    <w:uiPriority w:val="99"/>
    <w:semiHidden/>
    <w:rsid w:val="008A0ECC"/>
    <w:rPr>
      <w:rFonts w:ascii="Segoe UI" w:eastAsia="Times New Roman" w:hAnsi="Segoe UI" w:cs="Segoe UI"/>
      <w:sz w:val="18"/>
      <w:szCs w:val="18"/>
      <w:lang w:val="en-GB"/>
    </w:rPr>
  </w:style>
  <w:style w:type="paragraph" w:customStyle="1" w:styleId="1">
    <w:name w:val="1 заголовок"/>
    <w:basedOn w:val="a"/>
    <w:uiPriority w:val="99"/>
    <w:qFormat/>
    <w:rsid w:val="001A4068"/>
    <w:pPr>
      <w:keepNext/>
      <w:widowControl w:val="0"/>
      <w:numPr>
        <w:numId w:val="9"/>
      </w:numPr>
      <w:tabs>
        <w:tab w:val="left" w:pos="0"/>
        <w:tab w:val="left" w:pos="993"/>
      </w:tabs>
      <w:suppressAutoHyphens/>
      <w:overflowPunct/>
      <w:autoSpaceDE/>
      <w:autoSpaceDN/>
      <w:adjustRightInd/>
      <w:spacing w:line="360" w:lineRule="auto"/>
      <w:ind w:left="709" w:hanging="709"/>
      <w:jc w:val="both"/>
      <w:textAlignment w:val="auto"/>
      <w:outlineLvl w:val="0"/>
    </w:pPr>
    <w:rPr>
      <w:rFonts w:eastAsia="Calibri"/>
      <w:color w:val="000000"/>
      <w:sz w:val="24"/>
      <w:szCs w:val="24"/>
      <w:lang w:val="ru-RU" w:eastAsia="ru-RU"/>
    </w:rPr>
  </w:style>
  <w:style w:type="paragraph" w:customStyle="1" w:styleId="Referencelist">
    <w:name w:val="Reference list"/>
    <w:basedOn w:val="a1"/>
    <w:link w:val="ReferencelistChar"/>
    <w:uiPriority w:val="49"/>
    <w:qFormat/>
    <w:rsid w:val="00B01C84"/>
    <w:pPr>
      <w:numPr>
        <w:numId w:val="10"/>
      </w:numPr>
    </w:pPr>
    <w:rPr>
      <w:sz w:val="18"/>
      <w:szCs w:val="18"/>
    </w:rPr>
  </w:style>
  <w:style w:type="character" w:customStyle="1" w:styleId="ReferencelistChar">
    <w:name w:val="Reference list Char"/>
    <w:basedOn w:val="a5"/>
    <w:link w:val="Referencelist"/>
    <w:uiPriority w:val="49"/>
    <w:rsid w:val="00B01C84"/>
    <w:rPr>
      <w:rFonts w:ascii="Times New Roman" w:eastAsia="Times New Roman" w:hAnsi="Times New Roman" w:cs="Times New Roman"/>
      <w:sz w:val="18"/>
      <w:szCs w:val="18"/>
      <w:lang w:val="en-GB"/>
    </w:rPr>
  </w:style>
  <w:style w:type="character" w:customStyle="1" w:styleId="extended-textshort">
    <w:name w:val="extended-text__short"/>
    <w:rsid w:val="00B01C84"/>
  </w:style>
  <w:style w:type="paragraph" w:styleId="af">
    <w:name w:val="header"/>
    <w:basedOn w:val="a"/>
    <w:link w:val="af0"/>
    <w:uiPriority w:val="99"/>
    <w:unhideWhenUsed/>
    <w:rsid w:val="00000B9A"/>
    <w:pPr>
      <w:tabs>
        <w:tab w:val="center" w:pos="4677"/>
        <w:tab w:val="right" w:pos="9355"/>
      </w:tabs>
    </w:pPr>
  </w:style>
  <w:style w:type="character" w:customStyle="1" w:styleId="af0">
    <w:name w:val="Верхний колонтитул Знак"/>
    <w:basedOn w:val="a2"/>
    <w:link w:val="af"/>
    <w:uiPriority w:val="99"/>
    <w:rsid w:val="00000B9A"/>
    <w:rPr>
      <w:rFonts w:ascii="Times New Roman" w:eastAsia="Times New Roman" w:hAnsi="Times New Roman" w:cs="Times New Roman"/>
      <w:szCs w:val="20"/>
      <w:lang w:val="en-GB"/>
    </w:rPr>
  </w:style>
  <w:style w:type="paragraph" w:styleId="af1">
    <w:name w:val="footer"/>
    <w:basedOn w:val="a"/>
    <w:link w:val="af2"/>
    <w:uiPriority w:val="99"/>
    <w:unhideWhenUsed/>
    <w:rsid w:val="00000B9A"/>
    <w:pPr>
      <w:tabs>
        <w:tab w:val="center" w:pos="4677"/>
        <w:tab w:val="right" w:pos="9355"/>
      </w:tabs>
    </w:pPr>
  </w:style>
  <w:style w:type="character" w:customStyle="1" w:styleId="af2">
    <w:name w:val="Нижний колонтитул Знак"/>
    <w:basedOn w:val="a2"/>
    <w:link w:val="af1"/>
    <w:uiPriority w:val="99"/>
    <w:rsid w:val="00000B9A"/>
    <w:rPr>
      <w:rFonts w:ascii="Times New Roman" w:eastAsia="Times New Roman" w:hAnsi="Times New Roman" w:cs="Times New Roman"/>
      <w:szCs w:val="20"/>
      <w:lang w:val="en-GB"/>
    </w:rPr>
  </w:style>
  <w:style w:type="character" w:styleId="af3">
    <w:name w:val="FollowedHyperlink"/>
    <w:basedOn w:val="a2"/>
    <w:uiPriority w:val="99"/>
    <w:semiHidden/>
    <w:unhideWhenUsed/>
    <w:rsid w:val="00DF2AB6"/>
    <w:rPr>
      <w:color w:val="954F72" w:themeColor="followedHyperlink"/>
      <w:u w:val="single"/>
    </w:rPr>
  </w:style>
  <w:style w:type="paragraph" w:styleId="HTML">
    <w:name w:val="HTML Preformatted"/>
    <w:basedOn w:val="a"/>
    <w:link w:val="HTML0"/>
    <w:uiPriority w:val="99"/>
    <w:semiHidden/>
    <w:unhideWhenUsed/>
    <w:rsid w:val="00DF2AB6"/>
    <w:rPr>
      <w:rFonts w:ascii="Consolas" w:hAnsi="Consolas" w:cs="Consolas"/>
      <w:sz w:val="20"/>
    </w:rPr>
  </w:style>
  <w:style w:type="character" w:customStyle="1" w:styleId="HTML0">
    <w:name w:val="Стандартный HTML Знак"/>
    <w:basedOn w:val="a2"/>
    <w:link w:val="HTML"/>
    <w:uiPriority w:val="99"/>
    <w:semiHidden/>
    <w:rsid w:val="00DF2AB6"/>
    <w:rPr>
      <w:rFonts w:ascii="Consolas" w:eastAsia="Times New Roman" w:hAnsi="Consolas" w:cs="Consolas"/>
      <w:sz w:val="20"/>
      <w:szCs w:val="20"/>
      <w:lang w:val="en-GB"/>
    </w:rPr>
  </w:style>
  <w:style w:type="table" w:customStyle="1" w:styleId="12">
    <w:name w:val="Сетка таблицы1"/>
    <w:basedOn w:val="a3"/>
    <w:next w:val="a7"/>
    <w:uiPriority w:val="39"/>
    <w:rsid w:val="00AC54B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3C30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50">
      <w:bodyDiv w:val="1"/>
      <w:marLeft w:val="0"/>
      <w:marRight w:val="0"/>
      <w:marTop w:val="0"/>
      <w:marBottom w:val="0"/>
      <w:divBdr>
        <w:top w:val="none" w:sz="0" w:space="0" w:color="auto"/>
        <w:left w:val="none" w:sz="0" w:space="0" w:color="auto"/>
        <w:bottom w:val="none" w:sz="0" w:space="0" w:color="auto"/>
        <w:right w:val="none" w:sz="0" w:space="0" w:color="auto"/>
      </w:divBdr>
    </w:div>
    <w:div w:id="1273396799">
      <w:bodyDiv w:val="1"/>
      <w:marLeft w:val="0"/>
      <w:marRight w:val="0"/>
      <w:marTop w:val="0"/>
      <w:marBottom w:val="0"/>
      <w:divBdr>
        <w:top w:val="none" w:sz="0" w:space="0" w:color="auto"/>
        <w:left w:val="none" w:sz="0" w:space="0" w:color="auto"/>
        <w:bottom w:val="none" w:sz="0" w:space="0" w:color="auto"/>
        <w:right w:val="none" w:sz="0" w:space="0" w:color="auto"/>
      </w:divBdr>
    </w:div>
    <w:div w:id="1416243873">
      <w:bodyDiv w:val="1"/>
      <w:marLeft w:val="0"/>
      <w:marRight w:val="0"/>
      <w:marTop w:val="0"/>
      <w:marBottom w:val="0"/>
      <w:divBdr>
        <w:top w:val="none" w:sz="0" w:space="0" w:color="auto"/>
        <w:left w:val="none" w:sz="0" w:space="0" w:color="auto"/>
        <w:bottom w:val="none" w:sz="0" w:space="0" w:color="auto"/>
        <w:right w:val="none" w:sz="0" w:space="0" w:color="auto"/>
      </w:divBdr>
    </w:div>
    <w:div w:id="18071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ris.iaea.org/PRIS/About.aspx" TargetMode="External"/><Relationship Id="rId2" Type="http://schemas.openxmlformats.org/officeDocument/2006/relationships/numbering" Target="numbering.xml"/><Relationship Id="rId16" Type="http://schemas.openxmlformats.org/officeDocument/2006/relationships/hyperlink" Target="http://www/iaea/org/INP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emlvova@ipp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fegorov@ippe.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57147696928795"/>
          <c:y val="0.12745643749045393"/>
          <c:w val="0.78344426120318233"/>
          <c:h val="0.705641369296923"/>
        </c:manualLayout>
      </c:layout>
      <c:areaChart>
        <c:grouping val="stacked"/>
        <c:varyColors val="0"/>
        <c:ser>
          <c:idx val="4"/>
          <c:order val="0"/>
          <c:tx>
            <c:strRef>
              <c:f>Nat_U!$B$4</c:f>
              <c:strCache>
                <c:ptCount val="1"/>
                <c:pt idx="0">
                  <c:v>Unat[a]/production</c:v>
                </c:pt>
              </c:strCache>
            </c:strRef>
          </c:tx>
          <c:cat>
            <c:numRef>
              <c:f>Nat_U!$A$5:$A$105</c:f>
              <c:numCache>
                <c:formatCode>General</c:formatCode>
                <c:ptCount val="10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pt idx="51">
                  <c:v>2071</c:v>
                </c:pt>
                <c:pt idx="52">
                  <c:v>2072</c:v>
                </c:pt>
                <c:pt idx="53">
                  <c:v>2073</c:v>
                </c:pt>
                <c:pt idx="54">
                  <c:v>2074</c:v>
                </c:pt>
                <c:pt idx="55">
                  <c:v>2075</c:v>
                </c:pt>
                <c:pt idx="56">
                  <c:v>2076</c:v>
                </c:pt>
                <c:pt idx="57">
                  <c:v>2077</c:v>
                </c:pt>
                <c:pt idx="58">
                  <c:v>2078</c:v>
                </c:pt>
                <c:pt idx="59">
                  <c:v>2079</c:v>
                </c:pt>
                <c:pt idx="60">
                  <c:v>2080</c:v>
                </c:pt>
                <c:pt idx="61">
                  <c:v>2081</c:v>
                </c:pt>
                <c:pt idx="62">
                  <c:v>2082</c:v>
                </c:pt>
                <c:pt idx="63">
                  <c:v>2083</c:v>
                </c:pt>
                <c:pt idx="64">
                  <c:v>2084</c:v>
                </c:pt>
                <c:pt idx="65">
                  <c:v>2085</c:v>
                </c:pt>
                <c:pt idx="66">
                  <c:v>2086</c:v>
                </c:pt>
                <c:pt idx="67">
                  <c:v>2087</c:v>
                </c:pt>
                <c:pt idx="68">
                  <c:v>2088</c:v>
                </c:pt>
                <c:pt idx="69">
                  <c:v>2089</c:v>
                </c:pt>
                <c:pt idx="70">
                  <c:v>2090</c:v>
                </c:pt>
                <c:pt idx="71">
                  <c:v>2091</c:v>
                </c:pt>
                <c:pt idx="72">
                  <c:v>2092</c:v>
                </c:pt>
                <c:pt idx="73">
                  <c:v>2093</c:v>
                </c:pt>
                <c:pt idx="74">
                  <c:v>2094</c:v>
                </c:pt>
                <c:pt idx="75">
                  <c:v>2095</c:v>
                </c:pt>
                <c:pt idx="76">
                  <c:v>2096</c:v>
                </c:pt>
                <c:pt idx="77">
                  <c:v>2097</c:v>
                </c:pt>
                <c:pt idx="78">
                  <c:v>2098</c:v>
                </c:pt>
                <c:pt idx="79">
                  <c:v>2099</c:v>
                </c:pt>
                <c:pt idx="80">
                  <c:v>2100</c:v>
                </c:pt>
                <c:pt idx="81">
                  <c:v>2101</c:v>
                </c:pt>
                <c:pt idx="82">
                  <c:v>2102</c:v>
                </c:pt>
                <c:pt idx="83">
                  <c:v>2103</c:v>
                </c:pt>
                <c:pt idx="84">
                  <c:v>2104</c:v>
                </c:pt>
                <c:pt idx="85">
                  <c:v>2105</c:v>
                </c:pt>
                <c:pt idx="86">
                  <c:v>2106</c:v>
                </c:pt>
                <c:pt idx="87">
                  <c:v>2107</c:v>
                </c:pt>
                <c:pt idx="88">
                  <c:v>2108</c:v>
                </c:pt>
                <c:pt idx="89">
                  <c:v>2109</c:v>
                </c:pt>
                <c:pt idx="90">
                  <c:v>2110</c:v>
                </c:pt>
                <c:pt idx="91">
                  <c:v>2111</c:v>
                </c:pt>
                <c:pt idx="92">
                  <c:v>2112</c:v>
                </c:pt>
                <c:pt idx="93">
                  <c:v>2113</c:v>
                </c:pt>
                <c:pt idx="94">
                  <c:v>2114</c:v>
                </c:pt>
                <c:pt idx="95">
                  <c:v>2115</c:v>
                </c:pt>
                <c:pt idx="96">
                  <c:v>2116</c:v>
                </c:pt>
                <c:pt idx="97">
                  <c:v>2117</c:v>
                </c:pt>
                <c:pt idx="98">
                  <c:v>2118</c:v>
                </c:pt>
                <c:pt idx="99">
                  <c:v>2119</c:v>
                </c:pt>
                <c:pt idx="100">
                  <c:v>2120</c:v>
                </c:pt>
              </c:numCache>
            </c:numRef>
          </c:cat>
          <c:val>
            <c:numRef>
              <c:f>Nat_U!$B$5:$B$105</c:f>
              <c:numCache>
                <c:formatCode>General</c:formatCode>
                <c:ptCount val="101"/>
                <c:pt idx="0">
                  <c:v>132280</c:v>
                </c:pt>
                <c:pt idx="1">
                  <c:v>105854</c:v>
                </c:pt>
                <c:pt idx="2">
                  <c:v>111041</c:v>
                </c:pt>
                <c:pt idx="3">
                  <c:v>116228</c:v>
                </c:pt>
                <c:pt idx="4">
                  <c:v>121416</c:v>
                </c:pt>
                <c:pt idx="5">
                  <c:v>126603</c:v>
                </c:pt>
                <c:pt idx="6">
                  <c:v>131790</c:v>
                </c:pt>
                <c:pt idx="7">
                  <c:v>136977</c:v>
                </c:pt>
                <c:pt idx="8">
                  <c:v>142165</c:v>
                </c:pt>
                <c:pt idx="9">
                  <c:v>147352</c:v>
                </c:pt>
                <c:pt idx="10">
                  <c:v>155295</c:v>
                </c:pt>
                <c:pt idx="11">
                  <c:v>159722</c:v>
                </c:pt>
                <c:pt idx="12">
                  <c:v>165194</c:v>
                </c:pt>
                <c:pt idx="13">
                  <c:v>171255</c:v>
                </c:pt>
                <c:pt idx="14">
                  <c:v>177499</c:v>
                </c:pt>
                <c:pt idx="15">
                  <c:v>181151</c:v>
                </c:pt>
                <c:pt idx="16">
                  <c:v>187365</c:v>
                </c:pt>
                <c:pt idx="17">
                  <c:v>191999</c:v>
                </c:pt>
                <c:pt idx="18">
                  <c:v>197965</c:v>
                </c:pt>
                <c:pt idx="19">
                  <c:v>200630</c:v>
                </c:pt>
                <c:pt idx="20">
                  <c:v>208403</c:v>
                </c:pt>
                <c:pt idx="21">
                  <c:v>214740</c:v>
                </c:pt>
                <c:pt idx="22">
                  <c:v>218870</c:v>
                </c:pt>
                <c:pt idx="23">
                  <c:v>224711</c:v>
                </c:pt>
                <c:pt idx="24">
                  <c:v>233302</c:v>
                </c:pt>
                <c:pt idx="25">
                  <c:v>238411</c:v>
                </c:pt>
                <c:pt idx="26">
                  <c:v>242132</c:v>
                </c:pt>
                <c:pt idx="27">
                  <c:v>246460</c:v>
                </c:pt>
                <c:pt idx="28">
                  <c:v>113193</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numCache>
            </c:numRef>
          </c:val>
        </c:ser>
        <c:ser>
          <c:idx val="1"/>
          <c:order val="1"/>
          <c:tx>
            <c:strRef>
              <c:f>Nat_U!$C$4</c:f>
              <c:strCache>
                <c:ptCount val="1"/>
                <c:pt idx="0">
                  <c:v>Unat[b]/production</c:v>
                </c:pt>
              </c:strCache>
            </c:strRef>
          </c:tx>
          <c:cat>
            <c:numRef>
              <c:f>Nat_U!$A$5:$A$105</c:f>
              <c:numCache>
                <c:formatCode>General</c:formatCode>
                <c:ptCount val="10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pt idx="51">
                  <c:v>2071</c:v>
                </c:pt>
                <c:pt idx="52">
                  <c:v>2072</c:v>
                </c:pt>
                <c:pt idx="53">
                  <c:v>2073</c:v>
                </c:pt>
                <c:pt idx="54">
                  <c:v>2074</c:v>
                </c:pt>
                <c:pt idx="55">
                  <c:v>2075</c:v>
                </c:pt>
                <c:pt idx="56">
                  <c:v>2076</c:v>
                </c:pt>
                <c:pt idx="57">
                  <c:v>2077</c:v>
                </c:pt>
                <c:pt idx="58">
                  <c:v>2078</c:v>
                </c:pt>
                <c:pt idx="59">
                  <c:v>2079</c:v>
                </c:pt>
                <c:pt idx="60">
                  <c:v>2080</c:v>
                </c:pt>
                <c:pt idx="61">
                  <c:v>2081</c:v>
                </c:pt>
                <c:pt idx="62">
                  <c:v>2082</c:v>
                </c:pt>
                <c:pt idx="63">
                  <c:v>2083</c:v>
                </c:pt>
                <c:pt idx="64">
                  <c:v>2084</c:v>
                </c:pt>
                <c:pt idx="65">
                  <c:v>2085</c:v>
                </c:pt>
                <c:pt idx="66">
                  <c:v>2086</c:v>
                </c:pt>
                <c:pt idx="67">
                  <c:v>2087</c:v>
                </c:pt>
                <c:pt idx="68">
                  <c:v>2088</c:v>
                </c:pt>
                <c:pt idx="69">
                  <c:v>2089</c:v>
                </c:pt>
                <c:pt idx="70">
                  <c:v>2090</c:v>
                </c:pt>
                <c:pt idx="71">
                  <c:v>2091</c:v>
                </c:pt>
                <c:pt idx="72">
                  <c:v>2092</c:v>
                </c:pt>
                <c:pt idx="73">
                  <c:v>2093</c:v>
                </c:pt>
                <c:pt idx="74">
                  <c:v>2094</c:v>
                </c:pt>
                <c:pt idx="75">
                  <c:v>2095</c:v>
                </c:pt>
                <c:pt idx="76">
                  <c:v>2096</c:v>
                </c:pt>
                <c:pt idx="77">
                  <c:v>2097</c:v>
                </c:pt>
                <c:pt idx="78">
                  <c:v>2098</c:v>
                </c:pt>
                <c:pt idx="79">
                  <c:v>2099</c:v>
                </c:pt>
                <c:pt idx="80">
                  <c:v>2100</c:v>
                </c:pt>
                <c:pt idx="81">
                  <c:v>2101</c:v>
                </c:pt>
                <c:pt idx="82">
                  <c:v>2102</c:v>
                </c:pt>
                <c:pt idx="83">
                  <c:v>2103</c:v>
                </c:pt>
                <c:pt idx="84">
                  <c:v>2104</c:v>
                </c:pt>
                <c:pt idx="85">
                  <c:v>2105</c:v>
                </c:pt>
                <c:pt idx="86">
                  <c:v>2106</c:v>
                </c:pt>
                <c:pt idx="87">
                  <c:v>2107</c:v>
                </c:pt>
                <c:pt idx="88">
                  <c:v>2108</c:v>
                </c:pt>
                <c:pt idx="89">
                  <c:v>2109</c:v>
                </c:pt>
                <c:pt idx="90">
                  <c:v>2110</c:v>
                </c:pt>
                <c:pt idx="91">
                  <c:v>2111</c:v>
                </c:pt>
                <c:pt idx="92">
                  <c:v>2112</c:v>
                </c:pt>
                <c:pt idx="93">
                  <c:v>2113</c:v>
                </c:pt>
                <c:pt idx="94">
                  <c:v>2114</c:v>
                </c:pt>
                <c:pt idx="95">
                  <c:v>2115</c:v>
                </c:pt>
                <c:pt idx="96">
                  <c:v>2116</c:v>
                </c:pt>
                <c:pt idx="97">
                  <c:v>2117</c:v>
                </c:pt>
                <c:pt idx="98">
                  <c:v>2118</c:v>
                </c:pt>
                <c:pt idx="99">
                  <c:v>2119</c:v>
                </c:pt>
                <c:pt idx="100">
                  <c:v>2120</c:v>
                </c:pt>
              </c:numCache>
            </c:numRef>
          </c:cat>
          <c:val>
            <c:numRef>
              <c:f>Nat_U!$C$5:$C$105</c:f>
              <c:numCache>
                <c:formatCode>General</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133203</c:v>
                </c:pt>
                <c:pt idx="29">
                  <c:v>252557</c:v>
                </c:pt>
                <c:pt idx="30">
                  <c:v>257743</c:v>
                </c:pt>
                <c:pt idx="31">
                  <c:v>261250</c:v>
                </c:pt>
                <c:pt idx="32">
                  <c:v>266739</c:v>
                </c:pt>
                <c:pt idx="33">
                  <c:v>273482</c:v>
                </c:pt>
                <c:pt idx="34">
                  <c:v>277115</c:v>
                </c:pt>
                <c:pt idx="35">
                  <c:v>282179</c:v>
                </c:pt>
                <c:pt idx="36">
                  <c:v>288200</c:v>
                </c:pt>
                <c:pt idx="37">
                  <c:v>287648</c:v>
                </c:pt>
                <c:pt idx="38">
                  <c:v>293229</c:v>
                </c:pt>
                <c:pt idx="39">
                  <c:v>300414</c:v>
                </c:pt>
                <c:pt idx="40">
                  <c:v>306187</c:v>
                </c:pt>
                <c:pt idx="41">
                  <c:v>308779</c:v>
                </c:pt>
                <c:pt idx="42">
                  <c:v>315967</c:v>
                </c:pt>
                <c:pt idx="43">
                  <c:v>321135</c:v>
                </c:pt>
                <c:pt idx="44">
                  <c:v>324174</c:v>
                </c:pt>
                <c:pt idx="45">
                  <c:v>329221</c:v>
                </c:pt>
                <c:pt idx="46">
                  <c:v>334426</c:v>
                </c:pt>
                <c:pt idx="47">
                  <c:v>337868</c:v>
                </c:pt>
                <c:pt idx="48">
                  <c:v>342717</c:v>
                </c:pt>
                <c:pt idx="49">
                  <c:v>354086</c:v>
                </c:pt>
                <c:pt idx="50">
                  <c:v>358352</c:v>
                </c:pt>
                <c:pt idx="51">
                  <c:v>362086</c:v>
                </c:pt>
                <c:pt idx="52">
                  <c:v>367570</c:v>
                </c:pt>
                <c:pt idx="53">
                  <c:v>368913</c:v>
                </c:pt>
                <c:pt idx="54">
                  <c:v>370540</c:v>
                </c:pt>
                <c:pt idx="55">
                  <c:v>373889</c:v>
                </c:pt>
                <c:pt idx="56">
                  <c:v>374418</c:v>
                </c:pt>
                <c:pt idx="57">
                  <c:v>374141</c:v>
                </c:pt>
                <c:pt idx="58">
                  <c:v>375794</c:v>
                </c:pt>
                <c:pt idx="59">
                  <c:v>375271</c:v>
                </c:pt>
                <c:pt idx="60">
                  <c:v>410668</c:v>
                </c:pt>
                <c:pt idx="61">
                  <c:v>384690</c:v>
                </c:pt>
                <c:pt idx="62">
                  <c:v>382845</c:v>
                </c:pt>
                <c:pt idx="63">
                  <c:v>381192</c:v>
                </c:pt>
                <c:pt idx="64">
                  <c:v>383020</c:v>
                </c:pt>
                <c:pt idx="65">
                  <c:v>382761</c:v>
                </c:pt>
                <c:pt idx="66">
                  <c:v>383958</c:v>
                </c:pt>
                <c:pt idx="67">
                  <c:v>381852</c:v>
                </c:pt>
                <c:pt idx="68">
                  <c:v>384124</c:v>
                </c:pt>
                <c:pt idx="69">
                  <c:v>383735</c:v>
                </c:pt>
                <c:pt idx="70">
                  <c:v>385951</c:v>
                </c:pt>
                <c:pt idx="71">
                  <c:v>384716</c:v>
                </c:pt>
                <c:pt idx="72">
                  <c:v>387372</c:v>
                </c:pt>
                <c:pt idx="73">
                  <c:v>386479</c:v>
                </c:pt>
                <c:pt idx="74">
                  <c:v>388580</c:v>
                </c:pt>
                <c:pt idx="75">
                  <c:v>386268</c:v>
                </c:pt>
                <c:pt idx="76">
                  <c:v>389716</c:v>
                </c:pt>
                <c:pt idx="77">
                  <c:v>385578</c:v>
                </c:pt>
                <c:pt idx="78">
                  <c:v>390188</c:v>
                </c:pt>
                <c:pt idx="79">
                  <c:v>381946</c:v>
                </c:pt>
                <c:pt idx="80">
                  <c:v>392541</c:v>
                </c:pt>
                <c:pt idx="81">
                  <c:v>394483</c:v>
                </c:pt>
                <c:pt idx="82">
                  <c:v>394959</c:v>
                </c:pt>
                <c:pt idx="83">
                  <c:v>396586</c:v>
                </c:pt>
                <c:pt idx="84">
                  <c:v>399798</c:v>
                </c:pt>
                <c:pt idx="85">
                  <c:v>400498</c:v>
                </c:pt>
                <c:pt idx="86">
                  <c:v>400376</c:v>
                </c:pt>
                <c:pt idx="87">
                  <c:v>400786</c:v>
                </c:pt>
                <c:pt idx="88">
                  <c:v>400949</c:v>
                </c:pt>
                <c:pt idx="89">
                  <c:v>401722</c:v>
                </c:pt>
                <c:pt idx="90">
                  <c:v>403186</c:v>
                </c:pt>
                <c:pt idx="91">
                  <c:v>389796</c:v>
                </c:pt>
                <c:pt idx="92">
                  <c:v>388190</c:v>
                </c:pt>
                <c:pt idx="93">
                  <c:v>387306</c:v>
                </c:pt>
                <c:pt idx="94">
                  <c:v>384357</c:v>
                </c:pt>
                <c:pt idx="95">
                  <c:v>382458</c:v>
                </c:pt>
                <c:pt idx="96">
                  <c:v>381153</c:v>
                </c:pt>
                <c:pt idx="97">
                  <c:v>367460</c:v>
                </c:pt>
                <c:pt idx="98">
                  <c:v>361618</c:v>
                </c:pt>
                <c:pt idx="99">
                  <c:v>356432</c:v>
                </c:pt>
                <c:pt idx="100">
                  <c:v>351033</c:v>
                </c:pt>
              </c:numCache>
            </c:numRef>
          </c:val>
        </c:ser>
        <c:dLbls>
          <c:showLegendKey val="0"/>
          <c:showVal val="0"/>
          <c:showCatName val="0"/>
          <c:showSerName val="0"/>
          <c:showPercent val="0"/>
          <c:showBubbleSize val="0"/>
        </c:dLbls>
        <c:axId val="115026560"/>
        <c:axId val="115088384"/>
      </c:areaChart>
      <c:catAx>
        <c:axId val="115026560"/>
        <c:scaling>
          <c:orientation val="minMax"/>
        </c:scaling>
        <c:delete val="0"/>
        <c:axPos val="b"/>
        <c:majorGridlines>
          <c:spPr>
            <a:ln>
              <a:solidFill>
                <a:schemeClr val="bg1">
                  <a:lumMod val="65000"/>
                </a:schemeClr>
              </a:solidFill>
              <a:prstDash val="dash"/>
            </a:ln>
          </c:spPr>
        </c:majorGridlines>
        <c:title>
          <c:tx>
            <c:rich>
              <a:bodyPr/>
              <a:lstStyle/>
              <a:p>
                <a:pPr>
                  <a:defRPr sz="1100" b="0" i="0" baseline="0">
                    <a:latin typeface="Times New Roman" pitchFamily="18" charset="0"/>
                    <a:cs typeface="Times New Roman" pitchFamily="18" charset="0"/>
                  </a:defRPr>
                </a:pPr>
                <a:r>
                  <a:rPr lang="en-US" sz="1100" b="0" i="0" baseline="0">
                    <a:latin typeface="Times New Roman" pitchFamily="18" charset="0"/>
                    <a:cs typeface="Times New Roman" pitchFamily="18" charset="0"/>
                  </a:rPr>
                  <a:t>Years</a:t>
                </a:r>
                <a:endParaRPr lang="ru-RU" sz="1100" b="0" i="0" baseline="0">
                  <a:latin typeface="Times New Roman" pitchFamily="18" charset="0"/>
                  <a:cs typeface="Times New Roman" pitchFamily="18" charset="0"/>
                </a:endParaRPr>
              </a:p>
            </c:rich>
          </c:tx>
          <c:layout>
            <c:manualLayout>
              <c:xMode val="edge"/>
              <c:yMode val="edge"/>
              <c:x val="0.46771459655094411"/>
              <c:y val="0.90462910221328718"/>
            </c:manualLayout>
          </c:layout>
          <c:overlay val="0"/>
        </c:title>
        <c:numFmt formatCode="General" sourceLinked="1"/>
        <c:majorTickMark val="out"/>
        <c:minorTickMark val="none"/>
        <c:tickLblPos val="nextTo"/>
        <c:txPr>
          <a:bodyPr/>
          <a:lstStyle/>
          <a:p>
            <a:pPr>
              <a:defRPr sz="900" baseline="0">
                <a:latin typeface="Times New Roman" pitchFamily="18" charset="0"/>
                <a:cs typeface="Times New Roman" pitchFamily="18" charset="0"/>
              </a:defRPr>
            </a:pPr>
            <a:endParaRPr lang="ru-RU"/>
          </a:p>
        </c:txPr>
        <c:crossAx val="115088384"/>
        <c:crosses val="autoZero"/>
        <c:auto val="1"/>
        <c:lblAlgn val="ctr"/>
        <c:lblOffset val="100"/>
        <c:tickLblSkip val="20"/>
        <c:tickMarkSkip val="10"/>
        <c:noMultiLvlLbl val="0"/>
      </c:catAx>
      <c:valAx>
        <c:axId val="115088384"/>
        <c:scaling>
          <c:orientation val="minMax"/>
        </c:scaling>
        <c:delete val="0"/>
        <c:axPos val="l"/>
        <c:majorGridlines>
          <c:spPr>
            <a:ln>
              <a:solidFill>
                <a:schemeClr val="bg1">
                  <a:lumMod val="65000"/>
                </a:schemeClr>
              </a:solidFill>
              <a:prstDash val="dash"/>
            </a:ln>
          </c:spPr>
        </c:majorGridlines>
        <c:title>
          <c:tx>
            <c:rich>
              <a:bodyPr rot="-5400000" vert="horz"/>
              <a:lstStyle/>
              <a:p>
                <a:pPr>
                  <a:defRPr sz="1100" b="0" i="0" baseline="0">
                    <a:latin typeface="Times New Roman" pitchFamily="18" charset="0"/>
                    <a:cs typeface="Times New Roman" pitchFamily="18" charset="0"/>
                  </a:defRPr>
                </a:pPr>
                <a:r>
                  <a:rPr lang="en-US" sz="1100" b="0" i="0" baseline="0">
                    <a:latin typeface="Times New Roman" pitchFamily="18" charset="0"/>
                    <a:cs typeface="Times New Roman" pitchFamily="18" charset="0"/>
                  </a:rPr>
                  <a:t>Natural uranium consumption</a:t>
                </a:r>
                <a:r>
                  <a:rPr lang="ru-RU" sz="1100" b="0" i="0" baseline="0">
                    <a:latin typeface="Times New Roman" pitchFamily="18" charset="0"/>
                    <a:cs typeface="Times New Roman" pitchFamily="18" charset="0"/>
                  </a:rPr>
                  <a:t>, </a:t>
                </a:r>
                <a:r>
                  <a:rPr lang="en-US" sz="1100" b="0" i="0" baseline="0">
                    <a:latin typeface="Times New Roman" pitchFamily="18" charset="0"/>
                    <a:cs typeface="Times New Roman" pitchFamily="18" charset="0"/>
                  </a:rPr>
                  <a:t>t</a:t>
                </a:r>
              </a:p>
            </c:rich>
          </c:tx>
          <c:layout>
            <c:manualLayout>
              <c:xMode val="edge"/>
              <c:yMode val="edge"/>
              <c:x val="3.7644383520885798E-3"/>
              <c:y val="0.10879134789002438"/>
            </c:manualLayout>
          </c:layout>
          <c:overlay val="0"/>
        </c:title>
        <c:numFmt formatCode="#,##0" sourceLinked="0"/>
        <c:majorTickMark val="out"/>
        <c:minorTickMark val="none"/>
        <c:tickLblPos val="nextTo"/>
        <c:txPr>
          <a:bodyPr/>
          <a:lstStyle/>
          <a:p>
            <a:pPr>
              <a:defRPr sz="900" baseline="0">
                <a:latin typeface="Times New Roman" pitchFamily="18" charset="0"/>
                <a:cs typeface="Times New Roman" pitchFamily="18" charset="0"/>
              </a:defRPr>
            </a:pPr>
            <a:endParaRPr lang="ru-RU"/>
          </a:p>
        </c:txPr>
        <c:crossAx val="115026560"/>
        <c:crosses val="autoZero"/>
        <c:crossBetween val="midCat"/>
      </c:valAx>
    </c:plotArea>
    <c:legend>
      <c:legendPos val="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86499255199847"/>
          <c:y val="0.12935185185185186"/>
          <c:w val="0.75762878892629337"/>
          <c:h val="0.67453256854510213"/>
        </c:manualLayout>
      </c:layout>
      <c:areaChart>
        <c:grouping val="stacked"/>
        <c:varyColors val="0"/>
        <c:ser>
          <c:idx val="3"/>
          <c:order val="0"/>
          <c:tx>
            <c:strRef>
              <c:f>Re!$C$3</c:f>
              <c:strCache>
                <c:ptCount val="1"/>
                <c:pt idx="0">
                  <c:v>ТR</c:v>
                </c:pt>
              </c:strCache>
            </c:strRef>
          </c:tx>
          <c:cat>
            <c:numRef>
              <c:f>Re!$A$5:$A$105</c:f>
              <c:numCache>
                <c:formatCode>General</c:formatCode>
                <c:ptCount val="10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pt idx="51">
                  <c:v>2071</c:v>
                </c:pt>
                <c:pt idx="52">
                  <c:v>2072</c:v>
                </c:pt>
                <c:pt idx="53">
                  <c:v>2073</c:v>
                </c:pt>
                <c:pt idx="54">
                  <c:v>2074</c:v>
                </c:pt>
                <c:pt idx="55">
                  <c:v>2075</c:v>
                </c:pt>
                <c:pt idx="56">
                  <c:v>2076</c:v>
                </c:pt>
                <c:pt idx="57">
                  <c:v>2077</c:v>
                </c:pt>
                <c:pt idx="58">
                  <c:v>2078</c:v>
                </c:pt>
                <c:pt idx="59">
                  <c:v>2079</c:v>
                </c:pt>
                <c:pt idx="60">
                  <c:v>2080</c:v>
                </c:pt>
                <c:pt idx="61">
                  <c:v>2081</c:v>
                </c:pt>
                <c:pt idx="62">
                  <c:v>2082</c:v>
                </c:pt>
                <c:pt idx="63">
                  <c:v>2083</c:v>
                </c:pt>
                <c:pt idx="64">
                  <c:v>2084</c:v>
                </c:pt>
                <c:pt idx="65">
                  <c:v>2085</c:v>
                </c:pt>
                <c:pt idx="66">
                  <c:v>2086</c:v>
                </c:pt>
                <c:pt idx="67">
                  <c:v>2087</c:v>
                </c:pt>
                <c:pt idx="68">
                  <c:v>2088</c:v>
                </c:pt>
                <c:pt idx="69">
                  <c:v>2089</c:v>
                </c:pt>
                <c:pt idx="70">
                  <c:v>2090</c:v>
                </c:pt>
                <c:pt idx="71">
                  <c:v>2091</c:v>
                </c:pt>
                <c:pt idx="72">
                  <c:v>2092</c:v>
                </c:pt>
                <c:pt idx="73">
                  <c:v>2093</c:v>
                </c:pt>
                <c:pt idx="74">
                  <c:v>2094</c:v>
                </c:pt>
                <c:pt idx="75">
                  <c:v>2095</c:v>
                </c:pt>
                <c:pt idx="76">
                  <c:v>2096</c:v>
                </c:pt>
                <c:pt idx="77">
                  <c:v>2097</c:v>
                </c:pt>
                <c:pt idx="78">
                  <c:v>2098</c:v>
                </c:pt>
                <c:pt idx="79">
                  <c:v>2099</c:v>
                </c:pt>
                <c:pt idx="80">
                  <c:v>2100</c:v>
                </c:pt>
                <c:pt idx="81">
                  <c:v>2101</c:v>
                </c:pt>
                <c:pt idx="82">
                  <c:v>2102</c:v>
                </c:pt>
                <c:pt idx="83">
                  <c:v>2103</c:v>
                </c:pt>
                <c:pt idx="84">
                  <c:v>2104</c:v>
                </c:pt>
                <c:pt idx="85">
                  <c:v>2105</c:v>
                </c:pt>
                <c:pt idx="86">
                  <c:v>2106</c:v>
                </c:pt>
                <c:pt idx="87">
                  <c:v>2107</c:v>
                </c:pt>
                <c:pt idx="88">
                  <c:v>2108</c:v>
                </c:pt>
                <c:pt idx="89">
                  <c:v>2109</c:v>
                </c:pt>
                <c:pt idx="90">
                  <c:v>2110</c:v>
                </c:pt>
                <c:pt idx="91">
                  <c:v>2111</c:v>
                </c:pt>
                <c:pt idx="92">
                  <c:v>2112</c:v>
                </c:pt>
                <c:pt idx="93">
                  <c:v>2113</c:v>
                </c:pt>
                <c:pt idx="94">
                  <c:v>2114</c:v>
                </c:pt>
                <c:pt idx="95">
                  <c:v>2115</c:v>
                </c:pt>
                <c:pt idx="96">
                  <c:v>2116</c:v>
                </c:pt>
                <c:pt idx="97">
                  <c:v>2117</c:v>
                </c:pt>
                <c:pt idx="98">
                  <c:v>2118</c:v>
                </c:pt>
                <c:pt idx="99">
                  <c:v>2119</c:v>
                </c:pt>
                <c:pt idx="100">
                  <c:v>2120</c:v>
                </c:pt>
              </c:numCache>
            </c:numRef>
          </c:cat>
          <c:val>
            <c:numRef>
              <c:f>Re!$C$5:$C$105</c:f>
              <c:numCache>
                <c:formatCode>General</c:formatCode>
                <c:ptCount val="101"/>
                <c:pt idx="0">
                  <c:v>0</c:v>
                </c:pt>
                <c:pt idx="1">
                  <c:v>0</c:v>
                </c:pt>
                <c:pt idx="2">
                  <c:v>0</c:v>
                </c:pt>
                <c:pt idx="3">
                  <c:v>0</c:v>
                </c:pt>
                <c:pt idx="4">
                  <c:v>0</c:v>
                </c:pt>
                <c:pt idx="5">
                  <c:v>167.13800000000001</c:v>
                </c:pt>
                <c:pt idx="6">
                  <c:v>167.13800000000001</c:v>
                </c:pt>
                <c:pt idx="7">
                  <c:v>167.13800000000001</c:v>
                </c:pt>
                <c:pt idx="8">
                  <c:v>167.13800000000001</c:v>
                </c:pt>
                <c:pt idx="9">
                  <c:v>167.13800000000001</c:v>
                </c:pt>
                <c:pt idx="10">
                  <c:v>167.13800000000001</c:v>
                </c:pt>
                <c:pt idx="11">
                  <c:v>167.13800000000001</c:v>
                </c:pt>
                <c:pt idx="12">
                  <c:v>167.13800000000001</c:v>
                </c:pt>
                <c:pt idx="13">
                  <c:v>167.13800000000001</c:v>
                </c:pt>
                <c:pt idx="14">
                  <c:v>167.13800000000001</c:v>
                </c:pt>
                <c:pt idx="15">
                  <c:v>167.13800000000001</c:v>
                </c:pt>
                <c:pt idx="16">
                  <c:v>167.13800000000001</c:v>
                </c:pt>
                <c:pt idx="17">
                  <c:v>167.13800000000001</c:v>
                </c:pt>
                <c:pt idx="18">
                  <c:v>167.13800000000001</c:v>
                </c:pt>
                <c:pt idx="19">
                  <c:v>167.13800000000001</c:v>
                </c:pt>
                <c:pt idx="20">
                  <c:v>167.13800000000001</c:v>
                </c:pt>
                <c:pt idx="21">
                  <c:v>167.13800000000001</c:v>
                </c:pt>
                <c:pt idx="22">
                  <c:v>167.13800000000001</c:v>
                </c:pt>
                <c:pt idx="23">
                  <c:v>167.13800000000001</c:v>
                </c:pt>
                <c:pt idx="24">
                  <c:v>167.13800000000001</c:v>
                </c:pt>
                <c:pt idx="25">
                  <c:v>167.13800000000001</c:v>
                </c:pt>
                <c:pt idx="26">
                  <c:v>167.13800000000001</c:v>
                </c:pt>
                <c:pt idx="27">
                  <c:v>167.13800000000001</c:v>
                </c:pt>
                <c:pt idx="28">
                  <c:v>167.13800000000001</c:v>
                </c:pt>
                <c:pt idx="29">
                  <c:v>167.13800000000001</c:v>
                </c:pt>
                <c:pt idx="30">
                  <c:v>167.13800000000001</c:v>
                </c:pt>
                <c:pt idx="31">
                  <c:v>167.13800000000001</c:v>
                </c:pt>
                <c:pt idx="32">
                  <c:v>167.13800000000001</c:v>
                </c:pt>
                <c:pt idx="33">
                  <c:v>167.13800000000001</c:v>
                </c:pt>
                <c:pt idx="34">
                  <c:v>167.13800000000001</c:v>
                </c:pt>
                <c:pt idx="35">
                  <c:v>167.13800000000001</c:v>
                </c:pt>
                <c:pt idx="36">
                  <c:v>167.13800000000001</c:v>
                </c:pt>
                <c:pt idx="37">
                  <c:v>167.13800000000001</c:v>
                </c:pt>
                <c:pt idx="38">
                  <c:v>167.13800000000001</c:v>
                </c:pt>
                <c:pt idx="39">
                  <c:v>167.13800000000001</c:v>
                </c:pt>
                <c:pt idx="40">
                  <c:v>167.13800000000001</c:v>
                </c:pt>
                <c:pt idx="41">
                  <c:v>167.13800000000001</c:v>
                </c:pt>
                <c:pt idx="42">
                  <c:v>167.13800000000001</c:v>
                </c:pt>
                <c:pt idx="43">
                  <c:v>167.13800000000001</c:v>
                </c:pt>
                <c:pt idx="44">
                  <c:v>167.13800000000001</c:v>
                </c:pt>
                <c:pt idx="45">
                  <c:v>167.13800000000001</c:v>
                </c:pt>
                <c:pt idx="46">
                  <c:v>167.13800000000001</c:v>
                </c:pt>
                <c:pt idx="47">
                  <c:v>167.13800000000001</c:v>
                </c:pt>
                <c:pt idx="48">
                  <c:v>167.13800000000001</c:v>
                </c:pt>
                <c:pt idx="49">
                  <c:v>167.13800000000001</c:v>
                </c:pt>
                <c:pt idx="50">
                  <c:v>727.94</c:v>
                </c:pt>
                <c:pt idx="51">
                  <c:v>1293.3499999999999</c:v>
                </c:pt>
                <c:pt idx="52">
                  <c:v>1817.12</c:v>
                </c:pt>
                <c:pt idx="53">
                  <c:v>2347.9</c:v>
                </c:pt>
                <c:pt idx="54">
                  <c:v>3136.63</c:v>
                </c:pt>
                <c:pt idx="55">
                  <c:v>3934.17</c:v>
                </c:pt>
                <c:pt idx="56">
                  <c:v>4722.4399999999996</c:v>
                </c:pt>
                <c:pt idx="57">
                  <c:v>5597.98</c:v>
                </c:pt>
                <c:pt idx="58">
                  <c:v>6330.59</c:v>
                </c:pt>
                <c:pt idx="59">
                  <c:v>7008.99</c:v>
                </c:pt>
                <c:pt idx="60">
                  <c:v>7698.43</c:v>
                </c:pt>
                <c:pt idx="61">
                  <c:v>8312.77</c:v>
                </c:pt>
                <c:pt idx="62">
                  <c:v>8848.18</c:v>
                </c:pt>
                <c:pt idx="63">
                  <c:v>9382.5499999999993</c:v>
                </c:pt>
                <c:pt idx="64">
                  <c:v>9851.9599999999991</c:v>
                </c:pt>
                <c:pt idx="65">
                  <c:v>11687.4</c:v>
                </c:pt>
                <c:pt idx="66">
                  <c:v>12462.6</c:v>
                </c:pt>
                <c:pt idx="67">
                  <c:v>13093.8</c:v>
                </c:pt>
                <c:pt idx="68">
                  <c:v>13665.4</c:v>
                </c:pt>
                <c:pt idx="69">
                  <c:v>14288.9</c:v>
                </c:pt>
                <c:pt idx="70">
                  <c:v>14893.4</c:v>
                </c:pt>
                <c:pt idx="71">
                  <c:v>15524</c:v>
                </c:pt>
                <c:pt idx="72">
                  <c:v>16082.6</c:v>
                </c:pt>
                <c:pt idx="73">
                  <c:v>16708.599999999999</c:v>
                </c:pt>
                <c:pt idx="74">
                  <c:v>17311.400000000001</c:v>
                </c:pt>
                <c:pt idx="75">
                  <c:v>17996.7</c:v>
                </c:pt>
                <c:pt idx="76">
                  <c:v>18640.5</c:v>
                </c:pt>
                <c:pt idx="77">
                  <c:v>19364</c:v>
                </c:pt>
                <c:pt idx="78">
                  <c:v>20057.599999999999</c:v>
                </c:pt>
                <c:pt idx="79">
                  <c:v>20822.400000000001</c:v>
                </c:pt>
                <c:pt idx="80">
                  <c:v>21502.799999999999</c:v>
                </c:pt>
                <c:pt idx="81">
                  <c:v>22290</c:v>
                </c:pt>
                <c:pt idx="82">
                  <c:v>22941.3</c:v>
                </c:pt>
                <c:pt idx="83">
                  <c:v>23741.200000000001</c:v>
                </c:pt>
                <c:pt idx="84">
                  <c:v>24270.7</c:v>
                </c:pt>
                <c:pt idx="85">
                  <c:v>25145.8</c:v>
                </c:pt>
                <c:pt idx="86">
                  <c:v>26051.7</c:v>
                </c:pt>
                <c:pt idx="87">
                  <c:v>26929.5</c:v>
                </c:pt>
                <c:pt idx="88">
                  <c:v>27824.6</c:v>
                </c:pt>
                <c:pt idx="89">
                  <c:v>28810.9</c:v>
                </c:pt>
                <c:pt idx="90">
                  <c:v>29795.1</c:v>
                </c:pt>
                <c:pt idx="91">
                  <c:v>30740.2</c:v>
                </c:pt>
                <c:pt idx="92">
                  <c:v>31662.1</c:v>
                </c:pt>
                <c:pt idx="93">
                  <c:v>32514.1</c:v>
                </c:pt>
                <c:pt idx="94">
                  <c:v>33340.400000000001</c:v>
                </c:pt>
                <c:pt idx="95">
                  <c:v>34166.5</c:v>
                </c:pt>
                <c:pt idx="96">
                  <c:v>34563.5</c:v>
                </c:pt>
                <c:pt idx="97">
                  <c:v>34968.6</c:v>
                </c:pt>
                <c:pt idx="98">
                  <c:v>35415.4</c:v>
                </c:pt>
                <c:pt idx="99">
                  <c:v>35820.5</c:v>
                </c:pt>
                <c:pt idx="100">
                  <c:v>36222.300000000003</c:v>
                </c:pt>
              </c:numCache>
            </c:numRef>
          </c:val>
        </c:ser>
        <c:ser>
          <c:idx val="4"/>
          <c:order val="1"/>
          <c:tx>
            <c:strRef>
              <c:f>Re!$D$3</c:f>
              <c:strCache>
                <c:ptCount val="1"/>
                <c:pt idx="0">
                  <c:v>ТR_MOX</c:v>
                </c:pt>
              </c:strCache>
            </c:strRef>
          </c:tx>
          <c:cat>
            <c:numRef>
              <c:f>Re!$A$5:$A$105</c:f>
              <c:numCache>
                <c:formatCode>General</c:formatCode>
                <c:ptCount val="10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pt idx="51">
                  <c:v>2071</c:v>
                </c:pt>
                <c:pt idx="52">
                  <c:v>2072</c:v>
                </c:pt>
                <c:pt idx="53">
                  <c:v>2073</c:v>
                </c:pt>
                <c:pt idx="54">
                  <c:v>2074</c:v>
                </c:pt>
                <c:pt idx="55">
                  <c:v>2075</c:v>
                </c:pt>
                <c:pt idx="56">
                  <c:v>2076</c:v>
                </c:pt>
                <c:pt idx="57">
                  <c:v>2077</c:v>
                </c:pt>
                <c:pt idx="58">
                  <c:v>2078</c:v>
                </c:pt>
                <c:pt idx="59">
                  <c:v>2079</c:v>
                </c:pt>
                <c:pt idx="60">
                  <c:v>2080</c:v>
                </c:pt>
                <c:pt idx="61">
                  <c:v>2081</c:v>
                </c:pt>
                <c:pt idx="62">
                  <c:v>2082</c:v>
                </c:pt>
                <c:pt idx="63">
                  <c:v>2083</c:v>
                </c:pt>
                <c:pt idx="64">
                  <c:v>2084</c:v>
                </c:pt>
                <c:pt idx="65">
                  <c:v>2085</c:v>
                </c:pt>
                <c:pt idx="66">
                  <c:v>2086</c:v>
                </c:pt>
                <c:pt idx="67">
                  <c:v>2087</c:v>
                </c:pt>
                <c:pt idx="68">
                  <c:v>2088</c:v>
                </c:pt>
                <c:pt idx="69">
                  <c:v>2089</c:v>
                </c:pt>
                <c:pt idx="70">
                  <c:v>2090</c:v>
                </c:pt>
                <c:pt idx="71">
                  <c:v>2091</c:v>
                </c:pt>
                <c:pt idx="72">
                  <c:v>2092</c:v>
                </c:pt>
                <c:pt idx="73">
                  <c:v>2093</c:v>
                </c:pt>
                <c:pt idx="74">
                  <c:v>2094</c:v>
                </c:pt>
                <c:pt idx="75">
                  <c:v>2095</c:v>
                </c:pt>
                <c:pt idx="76">
                  <c:v>2096</c:v>
                </c:pt>
                <c:pt idx="77">
                  <c:v>2097</c:v>
                </c:pt>
                <c:pt idx="78">
                  <c:v>2098</c:v>
                </c:pt>
                <c:pt idx="79">
                  <c:v>2099</c:v>
                </c:pt>
                <c:pt idx="80">
                  <c:v>2100</c:v>
                </c:pt>
                <c:pt idx="81">
                  <c:v>2101</c:v>
                </c:pt>
                <c:pt idx="82">
                  <c:v>2102</c:v>
                </c:pt>
                <c:pt idx="83">
                  <c:v>2103</c:v>
                </c:pt>
                <c:pt idx="84">
                  <c:v>2104</c:v>
                </c:pt>
                <c:pt idx="85">
                  <c:v>2105</c:v>
                </c:pt>
                <c:pt idx="86">
                  <c:v>2106</c:v>
                </c:pt>
                <c:pt idx="87">
                  <c:v>2107</c:v>
                </c:pt>
                <c:pt idx="88">
                  <c:v>2108</c:v>
                </c:pt>
                <c:pt idx="89">
                  <c:v>2109</c:v>
                </c:pt>
                <c:pt idx="90">
                  <c:v>2110</c:v>
                </c:pt>
                <c:pt idx="91">
                  <c:v>2111</c:v>
                </c:pt>
                <c:pt idx="92">
                  <c:v>2112</c:v>
                </c:pt>
                <c:pt idx="93">
                  <c:v>2113</c:v>
                </c:pt>
                <c:pt idx="94">
                  <c:v>2114</c:v>
                </c:pt>
                <c:pt idx="95">
                  <c:v>2115</c:v>
                </c:pt>
                <c:pt idx="96">
                  <c:v>2116</c:v>
                </c:pt>
                <c:pt idx="97">
                  <c:v>2117</c:v>
                </c:pt>
                <c:pt idx="98">
                  <c:v>2118</c:v>
                </c:pt>
                <c:pt idx="99">
                  <c:v>2119</c:v>
                </c:pt>
                <c:pt idx="100">
                  <c:v>2120</c:v>
                </c:pt>
              </c:numCache>
            </c:numRef>
          </c:cat>
          <c:val>
            <c:numRef>
              <c:f>Re!$D$5:$D$105</c:f>
              <c:numCache>
                <c:formatCode>General</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13.4444</c:v>
                </c:pt>
                <c:pt idx="66">
                  <c:v>40.414900000000003</c:v>
                </c:pt>
                <c:pt idx="67">
                  <c:v>356.02100000000002</c:v>
                </c:pt>
                <c:pt idx="68">
                  <c:v>641.83000000000004</c:v>
                </c:pt>
                <c:pt idx="69">
                  <c:v>953.55899999999997</c:v>
                </c:pt>
                <c:pt idx="70">
                  <c:v>1255.8</c:v>
                </c:pt>
                <c:pt idx="71">
                  <c:v>1571.12</c:v>
                </c:pt>
                <c:pt idx="72">
                  <c:v>1850.42</c:v>
                </c:pt>
                <c:pt idx="73">
                  <c:v>2163.44</c:v>
                </c:pt>
                <c:pt idx="74">
                  <c:v>2464.84</c:v>
                </c:pt>
                <c:pt idx="75">
                  <c:v>2807.49</c:v>
                </c:pt>
                <c:pt idx="76">
                  <c:v>3129.39</c:v>
                </c:pt>
                <c:pt idx="77">
                  <c:v>3491.13</c:v>
                </c:pt>
                <c:pt idx="78">
                  <c:v>3837.93</c:v>
                </c:pt>
                <c:pt idx="79">
                  <c:v>4220.33</c:v>
                </c:pt>
                <c:pt idx="80">
                  <c:v>4560.54</c:v>
                </c:pt>
                <c:pt idx="81">
                  <c:v>4954.1400000000003</c:v>
                </c:pt>
                <c:pt idx="82">
                  <c:v>5279.78</c:v>
                </c:pt>
                <c:pt idx="83">
                  <c:v>5679.72</c:v>
                </c:pt>
                <c:pt idx="84">
                  <c:v>5944.45</c:v>
                </c:pt>
                <c:pt idx="85">
                  <c:v>6382.02</c:v>
                </c:pt>
                <c:pt idx="86">
                  <c:v>6834.98</c:v>
                </c:pt>
                <c:pt idx="87">
                  <c:v>7273.86</c:v>
                </c:pt>
                <c:pt idx="88">
                  <c:v>7721.42</c:v>
                </c:pt>
                <c:pt idx="89">
                  <c:v>8214.57</c:v>
                </c:pt>
                <c:pt idx="90">
                  <c:v>8706.66</c:v>
                </c:pt>
                <c:pt idx="91">
                  <c:v>9179.2099999999991</c:v>
                </c:pt>
                <c:pt idx="92">
                  <c:v>9640.18</c:v>
                </c:pt>
                <c:pt idx="93">
                  <c:v>10066.200000000001</c:v>
                </c:pt>
                <c:pt idx="94">
                  <c:v>10479.299999999999</c:v>
                </c:pt>
                <c:pt idx="95">
                  <c:v>10892.4</c:v>
                </c:pt>
                <c:pt idx="96">
                  <c:v>11090.9</c:v>
                </c:pt>
                <c:pt idx="97">
                  <c:v>11293.4</c:v>
                </c:pt>
                <c:pt idx="98">
                  <c:v>11516.8</c:v>
                </c:pt>
                <c:pt idx="99">
                  <c:v>11719.4</c:v>
                </c:pt>
                <c:pt idx="100">
                  <c:v>11920.3</c:v>
                </c:pt>
              </c:numCache>
            </c:numRef>
          </c:val>
        </c:ser>
        <c:ser>
          <c:idx val="1"/>
          <c:order val="2"/>
          <c:tx>
            <c:strRef>
              <c:f>Re!$B$3</c:f>
              <c:strCache>
                <c:ptCount val="1"/>
                <c:pt idx="0">
                  <c:v>FR</c:v>
                </c:pt>
              </c:strCache>
            </c:strRef>
          </c:tx>
          <c:cat>
            <c:numRef>
              <c:f>Re!$A$5:$A$105</c:f>
              <c:numCache>
                <c:formatCode>General</c:formatCode>
                <c:ptCount val="10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pt idx="51">
                  <c:v>2071</c:v>
                </c:pt>
                <c:pt idx="52">
                  <c:v>2072</c:v>
                </c:pt>
                <c:pt idx="53">
                  <c:v>2073</c:v>
                </c:pt>
                <c:pt idx="54">
                  <c:v>2074</c:v>
                </c:pt>
                <c:pt idx="55">
                  <c:v>2075</c:v>
                </c:pt>
                <c:pt idx="56">
                  <c:v>2076</c:v>
                </c:pt>
                <c:pt idx="57">
                  <c:v>2077</c:v>
                </c:pt>
                <c:pt idx="58">
                  <c:v>2078</c:v>
                </c:pt>
                <c:pt idx="59">
                  <c:v>2079</c:v>
                </c:pt>
                <c:pt idx="60">
                  <c:v>2080</c:v>
                </c:pt>
                <c:pt idx="61">
                  <c:v>2081</c:v>
                </c:pt>
                <c:pt idx="62">
                  <c:v>2082</c:v>
                </c:pt>
                <c:pt idx="63">
                  <c:v>2083</c:v>
                </c:pt>
                <c:pt idx="64">
                  <c:v>2084</c:v>
                </c:pt>
                <c:pt idx="65">
                  <c:v>2085</c:v>
                </c:pt>
                <c:pt idx="66">
                  <c:v>2086</c:v>
                </c:pt>
                <c:pt idx="67">
                  <c:v>2087</c:v>
                </c:pt>
                <c:pt idx="68">
                  <c:v>2088</c:v>
                </c:pt>
                <c:pt idx="69">
                  <c:v>2089</c:v>
                </c:pt>
                <c:pt idx="70">
                  <c:v>2090</c:v>
                </c:pt>
                <c:pt idx="71">
                  <c:v>2091</c:v>
                </c:pt>
                <c:pt idx="72">
                  <c:v>2092</c:v>
                </c:pt>
                <c:pt idx="73">
                  <c:v>2093</c:v>
                </c:pt>
                <c:pt idx="74">
                  <c:v>2094</c:v>
                </c:pt>
                <c:pt idx="75">
                  <c:v>2095</c:v>
                </c:pt>
                <c:pt idx="76">
                  <c:v>2096</c:v>
                </c:pt>
                <c:pt idx="77">
                  <c:v>2097</c:v>
                </c:pt>
                <c:pt idx="78">
                  <c:v>2098</c:v>
                </c:pt>
                <c:pt idx="79">
                  <c:v>2099</c:v>
                </c:pt>
                <c:pt idx="80">
                  <c:v>2100</c:v>
                </c:pt>
                <c:pt idx="81">
                  <c:v>2101</c:v>
                </c:pt>
                <c:pt idx="82">
                  <c:v>2102</c:v>
                </c:pt>
                <c:pt idx="83">
                  <c:v>2103</c:v>
                </c:pt>
                <c:pt idx="84">
                  <c:v>2104</c:v>
                </c:pt>
                <c:pt idx="85">
                  <c:v>2105</c:v>
                </c:pt>
                <c:pt idx="86">
                  <c:v>2106</c:v>
                </c:pt>
                <c:pt idx="87">
                  <c:v>2107</c:v>
                </c:pt>
                <c:pt idx="88">
                  <c:v>2108</c:v>
                </c:pt>
                <c:pt idx="89">
                  <c:v>2109</c:v>
                </c:pt>
                <c:pt idx="90">
                  <c:v>2110</c:v>
                </c:pt>
                <c:pt idx="91">
                  <c:v>2111</c:v>
                </c:pt>
                <c:pt idx="92">
                  <c:v>2112</c:v>
                </c:pt>
                <c:pt idx="93">
                  <c:v>2113</c:v>
                </c:pt>
                <c:pt idx="94">
                  <c:v>2114</c:v>
                </c:pt>
                <c:pt idx="95">
                  <c:v>2115</c:v>
                </c:pt>
                <c:pt idx="96">
                  <c:v>2116</c:v>
                </c:pt>
                <c:pt idx="97">
                  <c:v>2117</c:v>
                </c:pt>
                <c:pt idx="98">
                  <c:v>2118</c:v>
                </c:pt>
                <c:pt idx="99">
                  <c:v>2119</c:v>
                </c:pt>
                <c:pt idx="100">
                  <c:v>2120</c:v>
                </c:pt>
              </c:numCache>
            </c:numRef>
          </c:cat>
          <c:val>
            <c:numRef>
              <c:f>Re!$B$5:$B$105</c:f>
              <c:numCache>
                <c:formatCode>General</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42.913800000000002</c:v>
                </c:pt>
                <c:pt idx="36">
                  <c:v>42.913800000000002</c:v>
                </c:pt>
                <c:pt idx="37">
                  <c:v>171.39500000000001</c:v>
                </c:pt>
                <c:pt idx="38">
                  <c:v>217.05799999999999</c:v>
                </c:pt>
                <c:pt idx="39">
                  <c:v>193.24600000000001</c:v>
                </c:pt>
                <c:pt idx="40">
                  <c:v>193.24600000000001</c:v>
                </c:pt>
                <c:pt idx="41">
                  <c:v>269.86399999999998</c:v>
                </c:pt>
                <c:pt idx="42">
                  <c:v>269.86399999999998</c:v>
                </c:pt>
                <c:pt idx="43">
                  <c:v>263.50799999999998</c:v>
                </c:pt>
                <c:pt idx="44">
                  <c:v>347.23099999999999</c:v>
                </c:pt>
                <c:pt idx="45">
                  <c:v>361.32799999999997</c:v>
                </c:pt>
                <c:pt idx="46">
                  <c:v>361.32799999999997</c:v>
                </c:pt>
                <c:pt idx="47">
                  <c:v>438.923</c:v>
                </c:pt>
                <c:pt idx="48">
                  <c:v>474.33800000000002</c:v>
                </c:pt>
                <c:pt idx="49">
                  <c:v>484.53899999999999</c:v>
                </c:pt>
                <c:pt idx="50">
                  <c:v>559.39300000000003</c:v>
                </c:pt>
                <c:pt idx="51">
                  <c:v>613.77599999999995</c:v>
                </c:pt>
                <c:pt idx="52">
                  <c:v>638.89499999999998</c:v>
                </c:pt>
                <c:pt idx="53">
                  <c:v>759.23500000000001</c:v>
                </c:pt>
                <c:pt idx="54">
                  <c:v>888.39099999999996</c:v>
                </c:pt>
                <c:pt idx="55">
                  <c:v>989.71600000000001</c:v>
                </c:pt>
                <c:pt idx="56">
                  <c:v>1171.82</c:v>
                </c:pt>
                <c:pt idx="57">
                  <c:v>1405.49</c:v>
                </c:pt>
                <c:pt idx="58">
                  <c:v>1628.89</c:v>
                </c:pt>
                <c:pt idx="59">
                  <c:v>1923.49</c:v>
                </c:pt>
                <c:pt idx="60">
                  <c:v>2293.17</c:v>
                </c:pt>
                <c:pt idx="61">
                  <c:v>2489.5100000000002</c:v>
                </c:pt>
                <c:pt idx="62">
                  <c:v>3270.86</c:v>
                </c:pt>
                <c:pt idx="63">
                  <c:v>3587.24</c:v>
                </c:pt>
                <c:pt idx="64">
                  <c:v>3920.36</c:v>
                </c:pt>
                <c:pt idx="65">
                  <c:v>4116.09</c:v>
                </c:pt>
                <c:pt idx="66">
                  <c:v>4396.62</c:v>
                </c:pt>
                <c:pt idx="67">
                  <c:v>4603.17</c:v>
                </c:pt>
                <c:pt idx="68">
                  <c:v>4837.03</c:v>
                </c:pt>
                <c:pt idx="69">
                  <c:v>5033.3599999999997</c:v>
                </c:pt>
                <c:pt idx="70">
                  <c:v>5332.46</c:v>
                </c:pt>
                <c:pt idx="71">
                  <c:v>5535.56</c:v>
                </c:pt>
                <c:pt idx="72">
                  <c:v>5771.6</c:v>
                </c:pt>
                <c:pt idx="73">
                  <c:v>5995.24</c:v>
                </c:pt>
                <c:pt idx="74">
                  <c:v>6249.03</c:v>
                </c:pt>
                <c:pt idx="75">
                  <c:v>6400.25</c:v>
                </c:pt>
                <c:pt idx="76">
                  <c:v>6627.28</c:v>
                </c:pt>
                <c:pt idx="77">
                  <c:v>6793.08</c:v>
                </c:pt>
                <c:pt idx="78">
                  <c:v>7020.87</c:v>
                </c:pt>
                <c:pt idx="79">
                  <c:v>7135.29</c:v>
                </c:pt>
                <c:pt idx="80">
                  <c:v>7422.5</c:v>
                </c:pt>
                <c:pt idx="81">
                  <c:v>7527.45</c:v>
                </c:pt>
                <c:pt idx="82">
                  <c:v>7604.34</c:v>
                </c:pt>
                <c:pt idx="83">
                  <c:v>7690.53</c:v>
                </c:pt>
                <c:pt idx="84">
                  <c:v>7940.07</c:v>
                </c:pt>
                <c:pt idx="85">
                  <c:v>8016.62</c:v>
                </c:pt>
                <c:pt idx="86">
                  <c:v>8039.73</c:v>
                </c:pt>
                <c:pt idx="87">
                  <c:v>8077.44</c:v>
                </c:pt>
                <c:pt idx="88">
                  <c:v>7989.87</c:v>
                </c:pt>
                <c:pt idx="89">
                  <c:v>7968.76</c:v>
                </c:pt>
                <c:pt idx="90">
                  <c:v>7971.46</c:v>
                </c:pt>
                <c:pt idx="91">
                  <c:v>7462.13</c:v>
                </c:pt>
                <c:pt idx="92">
                  <c:v>7359.97</c:v>
                </c:pt>
                <c:pt idx="93">
                  <c:v>7318.84</c:v>
                </c:pt>
                <c:pt idx="94">
                  <c:v>7195.52</c:v>
                </c:pt>
                <c:pt idx="95">
                  <c:v>7106.16</c:v>
                </c:pt>
                <c:pt idx="96">
                  <c:v>7155.37</c:v>
                </c:pt>
                <c:pt idx="97">
                  <c:v>7149.46</c:v>
                </c:pt>
                <c:pt idx="98">
                  <c:v>7375.17</c:v>
                </c:pt>
                <c:pt idx="99">
                  <c:v>7693.83</c:v>
                </c:pt>
                <c:pt idx="100">
                  <c:v>8037.56</c:v>
                </c:pt>
              </c:numCache>
            </c:numRef>
          </c:val>
        </c:ser>
        <c:dLbls>
          <c:showLegendKey val="0"/>
          <c:showVal val="0"/>
          <c:showCatName val="0"/>
          <c:showSerName val="0"/>
          <c:showPercent val="0"/>
          <c:showBubbleSize val="0"/>
        </c:dLbls>
        <c:axId val="158094848"/>
        <c:axId val="158096768"/>
      </c:areaChart>
      <c:catAx>
        <c:axId val="158094848"/>
        <c:scaling>
          <c:orientation val="minMax"/>
        </c:scaling>
        <c:delete val="0"/>
        <c:axPos val="b"/>
        <c:majorGridlines>
          <c:spPr>
            <a:ln>
              <a:solidFill>
                <a:schemeClr val="bg1">
                  <a:lumMod val="65000"/>
                </a:schemeClr>
              </a:solidFill>
              <a:prstDash val="dash"/>
            </a:ln>
          </c:spPr>
        </c:majorGridlines>
        <c:title>
          <c:tx>
            <c:rich>
              <a:bodyPr/>
              <a:lstStyle/>
              <a:p>
                <a:pPr>
                  <a:defRPr sz="1100" b="0" i="0" baseline="0">
                    <a:latin typeface="Times New Roman" pitchFamily="18" charset="0"/>
                    <a:cs typeface="Times New Roman" pitchFamily="18" charset="0"/>
                  </a:defRPr>
                </a:pPr>
                <a:r>
                  <a:rPr lang="en-US" sz="1100" b="0" i="0" baseline="0">
                    <a:latin typeface="Times New Roman" pitchFamily="18" charset="0"/>
                    <a:cs typeface="Times New Roman" pitchFamily="18" charset="0"/>
                  </a:rPr>
                  <a:t>Years</a:t>
                </a:r>
                <a:endParaRPr lang="ru-RU" sz="1100" b="0" i="0" baseline="0">
                  <a:latin typeface="Times New Roman" pitchFamily="18" charset="0"/>
                  <a:cs typeface="Times New Roman" pitchFamily="18" charset="0"/>
                </a:endParaRPr>
              </a:p>
            </c:rich>
          </c:tx>
          <c:layout>
            <c:manualLayout>
              <c:xMode val="edge"/>
              <c:yMode val="edge"/>
              <c:x val="0.53870356451877077"/>
              <c:y val="0.89891963815408993"/>
            </c:manualLayout>
          </c:layout>
          <c:overlay val="0"/>
        </c:title>
        <c:numFmt formatCode="General" sourceLinked="1"/>
        <c:majorTickMark val="out"/>
        <c:minorTickMark val="none"/>
        <c:tickLblPos val="nextTo"/>
        <c:txPr>
          <a:bodyPr/>
          <a:lstStyle/>
          <a:p>
            <a:pPr>
              <a:defRPr sz="1000" baseline="0">
                <a:latin typeface="Times New Roman" pitchFamily="18" charset="0"/>
                <a:cs typeface="Times New Roman" pitchFamily="18" charset="0"/>
              </a:defRPr>
            </a:pPr>
            <a:endParaRPr lang="ru-RU"/>
          </a:p>
        </c:txPr>
        <c:crossAx val="158096768"/>
        <c:crosses val="autoZero"/>
        <c:auto val="1"/>
        <c:lblAlgn val="ctr"/>
        <c:lblOffset val="100"/>
        <c:tickLblSkip val="20"/>
        <c:tickMarkSkip val="10"/>
        <c:noMultiLvlLbl val="0"/>
      </c:catAx>
      <c:valAx>
        <c:axId val="158096768"/>
        <c:scaling>
          <c:orientation val="minMax"/>
        </c:scaling>
        <c:delete val="0"/>
        <c:axPos val="l"/>
        <c:majorGridlines>
          <c:spPr>
            <a:ln>
              <a:solidFill>
                <a:schemeClr val="bg1">
                  <a:lumMod val="65000"/>
                </a:schemeClr>
              </a:solidFill>
              <a:prstDash val="dash"/>
            </a:ln>
          </c:spPr>
        </c:majorGridlines>
        <c:title>
          <c:tx>
            <c:rich>
              <a:bodyPr rot="-5400000" vert="horz"/>
              <a:lstStyle/>
              <a:p>
                <a:pPr>
                  <a:defRPr sz="1100" b="0" i="0" baseline="0">
                    <a:latin typeface="Times New Roman" pitchFamily="18" charset="0"/>
                    <a:cs typeface="Times New Roman" pitchFamily="18" charset="0"/>
                  </a:defRPr>
                </a:pPr>
                <a:r>
                  <a:rPr lang="en-US" sz="1100" b="0" i="0" baseline="0">
                    <a:latin typeface="Times New Roman" pitchFamily="18" charset="0"/>
                    <a:cs typeface="Times New Roman" pitchFamily="18" charset="0"/>
                  </a:rPr>
                  <a:t>Volume of spent nuclear fuel</a:t>
                </a:r>
                <a:r>
                  <a:rPr lang="ru-RU" sz="1100" b="0" i="0" baseline="0">
                    <a:latin typeface="Times New Roman" pitchFamily="18" charset="0"/>
                    <a:cs typeface="Times New Roman" pitchFamily="18" charset="0"/>
                  </a:rPr>
                  <a:t>, </a:t>
                </a:r>
                <a:r>
                  <a:rPr lang="en-US" sz="1100" b="0" i="0" baseline="0">
                    <a:latin typeface="Times New Roman" pitchFamily="18" charset="0"/>
                    <a:cs typeface="Times New Roman" pitchFamily="18" charset="0"/>
                  </a:rPr>
                  <a:t>t</a:t>
                </a:r>
              </a:p>
            </c:rich>
          </c:tx>
          <c:layout>
            <c:manualLayout>
              <c:xMode val="edge"/>
              <c:yMode val="edge"/>
              <c:x val="3.0582308986084498E-2"/>
              <c:y val="0.12451182767058978"/>
            </c:manualLayout>
          </c:layout>
          <c:overlay val="0"/>
        </c:title>
        <c:numFmt formatCode="#,##0" sourceLinked="0"/>
        <c:majorTickMark val="out"/>
        <c:minorTickMark val="none"/>
        <c:tickLblPos val="nextTo"/>
        <c:txPr>
          <a:bodyPr/>
          <a:lstStyle/>
          <a:p>
            <a:pPr>
              <a:defRPr sz="1000" baseline="0">
                <a:latin typeface="Times New Roman" pitchFamily="18" charset="0"/>
                <a:cs typeface="Times New Roman" pitchFamily="18" charset="0"/>
              </a:defRPr>
            </a:pPr>
            <a:endParaRPr lang="ru-RU"/>
          </a:p>
        </c:txPr>
        <c:crossAx val="158094848"/>
        <c:crosses val="autoZero"/>
        <c:crossBetween val="midCat"/>
      </c:valAx>
    </c:plotArea>
    <c:legend>
      <c:legendPos val="t"/>
      <c:layout>
        <c:manualLayout>
          <c:xMode val="edge"/>
          <c:yMode val="edge"/>
          <c:x val="0.32233749895669411"/>
          <c:y val="5.2840620207418153E-3"/>
          <c:w val="0.3553247929024656"/>
          <c:h val="0.10122723380601417"/>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23064028761111"/>
          <c:y val="0.12962860529326276"/>
          <c:w val="0.83217768367189393"/>
          <c:h val="0.69338507293381124"/>
        </c:manualLayout>
      </c:layout>
      <c:barChart>
        <c:barDir val="col"/>
        <c:grouping val="clustered"/>
        <c:varyColors val="0"/>
        <c:ser>
          <c:idx val="0"/>
          <c:order val="0"/>
          <c:tx>
            <c:strRef>
              <c:f>Лист1!$B$3</c:f>
              <c:strCache>
                <c:ptCount val="1"/>
                <c:pt idx="0">
                  <c:v>изменение параметра на 0,5%</c:v>
                </c:pt>
              </c:strCache>
            </c:strRef>
          </c:tx>
          <c:spPr>
            <a:solidFill>
              <a:schemeClr val="accent5"/>
            </a:solidFill>
            <a:ln>
              <a:noFill/>
            </a:ln>
            <a:effectLst/>
          </c:spPr>
          <c:invertIfNegative val="0"/>
          <c:cat>
            <c:strRef>
              <c:f>Лист1!$F$6:$F$12</c:f>
              <c:strCache>
                <c:ptCount val="6"/>
                <c:pt idx="0">
                  <c:v>capital cost</c:v>
                </c:pt>
                <c:pt idx="1">
                  <c:v>purchase of uranium</c:v>
                </c:pt>
                <c:pt idx="2">
                  <c:v>fuel fabrication</c:v>
                </c:pt>
                <c:pt idx="3">
                  <c:v>recycling of spent fuel</c:v>
                </c:pt>
                <c:pt idx="4">
                  <c:v>final disposal</c:v>
                </c:pt>
                <c:pt idx="5">
                  <c:v>Pu storage</c:v>
                </c:pt>
              </c:strCache>
            </c:strRef>
          </c:cat>
          <c:val>
            <c:numRef>
              <c:f>Лист1!$G$6:$G$12</c:f>
              <c:numCache>
                <c:formatCode>General</c:formatCode>
                <c:ptCount val="6"/>
                <c:pt idx="0">
                  <c:v>13.3</c:v>
                </c:pt>
                <c:pt idx="1">
                  <c:v>3.5</c:v>
                </c:pt>
                <c:pt idx="2">
                  <c:v>0.3</c:v>
                </c:pt>
                <c:pt idx="3">
                  <c:v>0.13</c:v>
                </c:pt>
                <c:pt idx="4">
                  <c:v>0</c:v>
                </c:pt>
                <c:pt idx="5">
                  <c:v>0</c:v>
                </c:pt>
              </c:numCache>
            </c:numRef>
          </c:val>
          <c:extLst xmlns:c16r2="http://schemas.microsoft.com/office/drawing/2015/06/chart">
            <c:ext xmlns:c16="http://schemas.microsoft.com/office/drawing/2014/chart" uri="{C3380CC4-5D6E-409C-BE32-E72D297353CC}">
              <c16:uniqueId val="{00000000-ED90-486A-8CF6-3994B502D96E}"/>
            </c:ext>
          </c:extLst>
        </c:ser>
        <c:dLbls>
          <c:showLegendKey val="0"/>
          <c:showVal val="0"/>
          <c:showCatName val="0"/>
          <c:showSerName val="0"/>
          <c:showPercent val="0"/>
          <c:showBubbleSize val="0"/>
        </c:dLbls>
        <c:gapWidth val="219"/>
        <c:overlap val="-27"/>
        <c:axId val="132861312"/>
        <c:axId val="132863104"/>
      </c:barChart>
      <c:catAx>
        <c:axId val="1328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ru-RU"/>
          </a:p>
        </c:txPr>
        <c:crossAx val="132863104"/>
        <c:crosses val="autoZero"/>
        <c:auto val="1"/>
        <c:lblAlgn val="ctr"/>
        <c:lblOffset val="100"/>
        <c:noMultiLvlLbl val="0"/>
      </c:catAx>
      <c:valAx>
        <c:axId val="13286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r>
                  <a:rPr lang="en-US" sz="1200" baseline="0">
                    <a:solidFill>
                      <a:sysClr val="windowText" lastClr="000000"/>
                    </a:solidFill>
                    <a:latin typeface="Times New Roman" panose="02020603050405020304" pitchFamily="18" charset="0"/>
                  </a:rPr>
                  <a:t>Sensitivity</a:t>
                </a:r>
                <a:endParaRPr lang="ru-RU" sz="1200" baseline="0">
                  <a:solidFill>
                    <a:sysClr val="windowText" lastClr="000000"/>
                  </a:solidFill>
                  <a:latin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861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4FD7-8297-4C07-9CE1-BADEF904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dc:creator>
  <cp:lastModifiedBy>user</cp:lastModifiedBy>
  <cp:revision>5</cp:revision>
  <cp:lastPrinted>2021-04-21T08:02:00Z</cp:lastPrinted>
  <dcterms:created xsi:type="dcterms:W3CDTF">2022-03-16T06:55:00Z</dcterms:created>
  <dcterms:modified xsi:type="dcterms:W3CDTF">2022-03-16T08:08:00Z</dcterms:modified>
</cp:coreProperties>
</file>