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E9733" w14:textId="693FAD18" w:rsidR="005D615D" w:rsidRDefault="001D1ECE" w:rsidP="00537496">
      <w:pPr>
        <w:pStyle w:val="10"/>
      </w:pPr>
      <w:bookmarkStart w:id="0" w:name="_Hlk69130178"/>
      <w:r w:rsidRPr="001D1ECE">
        <w:t>Effect of Reactor Technology on Economics of SMR Projects</w:t>
      </w:r>
    </w:p>
    <w:p w14:paraId="433FE048" w14:textId="365C598A" w:rsidR="00FF386F" w:rsidRDefault="00FF386F" w:rsidP="00537496">
      <w:pPr>
        <w:pStyle w:val="Authornameandaffiliation"/>
      </w:pPr>
    </w:p>
    <w:p w14:paraId="67250DE4" w14:textId="72178E5D" w:rsidR="00003206" w:rsidRDefault="001D1ECE" w:rsidP="00003206">
      <w:pPr>
        <w:pStyle w:val="Authornameandaffiliation"/>
      </w:pPr>
      <w:r w:rsidRPr="001D1ECE">
        <w:t>I.</w:t>
      </w:r>
      <w:r>
        <w:t>ZHURAVLEV</w:t>
      </w:r>
    </w:p>
    <w:p w14:paraId="2AAFE484" w14:textId="77777777" w:rsidR="00003206" w:rsidRDefault="00003206" w:rsidP="00537496">
      <w:pPr>
        <w:pStyle w:val="Authornameandaffiliation"/>
      </w:pPr>
    </w:p>
    <w:p w14:paraId="2EFA8EC7" w14:textId="1D54DAF2" w:rsidR="00003206" w:rsidRPr="00FF386F" w:rsidRDefault="0035593A" w:rsidP="008E5C69">
      <w:pPr>
        <w:pStyle w:val="Authornameandaffiliation"/>
      </w:pPr>
      <w:r w:rsidRPr="0035593A">
        <w:t>Center for Analytical Research and Developments (CARD), Private Enterprise “Science and Innovation”, SC ROSATOM</w:t>
      </w:r>
      <w:r w:rsidR="00003206" w:rsidRPr="00FF386F">
        <w:t xml:space="preserve">, </w:t>
      </w:r>
      <w:r w:rsidR="008E5C69">
        <w:t>Russian Federation</w:t>
      </w:r>
    </w:p>
    <w:p w14:paraId="3F7D6C77" w14:textId="77777777" w:rsidR="00003206" w:rsidRDefault="00003206" w:rsidP="00003206">
      <w:pPr>
        <w:pStyle w:val="Authornameandaffiliation"/>
      </w:pPr>
    </w:p>
    <w:p w14:paraId="2EA71BD6" w14:textId="514557FE" w:rsidR="00003206" w:rsidRDefault="00003206" w:rsidP="00003206">
      <w:pPr>
        <w:pStyle w:val="Authornameandaffiliation"/>
      </w:pPr>
      <w:r>
        <w:t>Email</w:t>
      </w:r>
      <w:r w:rsidRPr="00003206">
        <w:t xml:space="preserve"> contact of </w:t>
      </w:r>
      <w:r>
        <w:t>corresponding</w:t>
      </w:r>
      <w:r w:rsidRPr="00003206">
        <w:t xml:space="preserve"> author</w:t>
      </w:r>
      <w:r>
        <w:t xml:space="preserve">: </w:t>
      </w:r>
      <w:hyperlink r:id="rId11" w:history="1">
        <w:r w:rsidR="001D1ECE" w:rsidRPr="006B3DE2">
          <w:rPr>
            <w:rStyle w:val="af9"/>
          </w:rPr>
          <w:t>IBoZhuravlev@rosatom.ru</w:t>
        </w:r>
      </w:hyperlink>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672AD271" w14:textId="77777777" w:rsidR="00080C4B" w:rsidRPr="00080C4B" w:rsidRDefault="00080C4B" w:rsidP="00080C4B">
      <w:pPr>
        <w:jc w:val="both"/>
        <w:rPr>
          <w:sz w:val="20"/>
          <w:lang w:val="en-US"/>
        </w:rPr>
      </w:pPr>
      <w:r w:rsidRPr="00080C4B">
        <w:rPr>
          <w:sz w:val="20"/>
          <w:lang w:val="en-US"/>
        </w:rPr>
        <w:t>Using regression analysis of the LCOE values published by vendors of SMR projects and own calculations, effects of the scale, “learning” and reactor technology on the economics of SMR were identified. The competiveness of SMR projects versus another power sources was considered in relation to two markets - "Off-Grid" market (the power supply of remote communities) and "Grid" market (basic generation in medium and large grids), differing by the upper limit of the LCOE. It is shown that SMR based on LWR (both PWR and BWR) can be competitive on the “Off-Grid”</w:t>
      </w:r>
      <w:bookmarkStart w:id="1" w:name="_GoBack"/>
      <w:bookmarkEnd w:id="1"/>
      <w:r w:rsidRPr="00080C4B">
        <w:rPr>
          <w:sz w:val="20"/>
          <w:lang w:val="en-US"/>
        </w:rPr>
        <w:t xml:space="preserve"> market starting from module power 50 MW. At the same time, the competiveness of PWR SMRs on “Grid” market is weak within the whole range of SMR module power (until 300 MW). BWR SMRs have a potential to be competitive on the “Grid” market starting from module power about 150 MW, but there may be safety concern arising from the Fukushima accident. Maximal potential of LCOE reduction have FBR SMRs, but their fuel cycle still needs commercialization, and at near time the non-proliferation issues may be addressed. The competitiveness of SMRs based on advanced reactor technologies beyond 2030 depends on the future severity of nonproliferation issues for potential customers. Depending on this, either HTGRs with a thermal spectrum (the most proliferation-resistant due to the use of TRISO fuel) or reactors with a fast neutron spectrum can receive priority.</w:t>
      </w:r>
    </w:p>
    <w:p w14:paraId="433FE04B" w14:textId="70D82039" w:rsidR="00647F33" w:rsidRPr="00080C4B" w:rsidRDefault="00080C4B" w:rsidP="00080C4B">
      <w:pPr>
        <w:jc w:val="both"/>
        <w:rPr>
          <w:sz w:val="20"/>
          <w:lang w:val="en-US"/>
        </w:rPr>
      </w:pPr>
      <w:r w:rsidRPr="00080C4B">
        <w:rPr>
          <w:sz w:val="20"/>
          <w:lang w:val="en-US"/>
        </w:rPr>
        <w:t xml:space="preserve">Keywords: Small Modular Reactors, Fast Neutron Reactors, Liquid Metal Coolants, </w:t>
      </w:r>
      <w:proofErr w:type="spellStart"/>
      <w:r w:rsidRPr="00080C4B">
        <w:rPr>
          <w:sz w:val="20"/>
          <w:lang w:val="en-US"/>
        </w:rPr>
        <w:t>Levelized</w:t>
      </w:r>
      <w:proofErr w:type="spellEnd"/>
      <w:r w:rsidRPr="00080C4B">
        <w:rPr>
          <w:sz w:val="20"/>
          <w:lang w:val="en-US"/>
        </w:rPr>
        <w:t xml:space="preserve"> Cost of Electricity, Economical Analysis.</w:t>
      </w:r>
    </w:p>
    <w:p w14:paraId="433FE04C" w14:textId="77777777" w:rsidR="00647F33" w:rsidRDefault="00F523CA" w:rsidP="00390271">
      <w:pPr>
        <w:pStyle w:val="2"/>
        <w:numPr>
          <w:ilvl w:val="1"/>
          <w:numId w:val="5"/>
        </w:numPr>
      </w:pPr>
      <w:r>
        <w:t>INTRODUCTION</w:t>
      </w:r>
    </w:p>
    <w:p w14:paraId="6680190A" w14:textId="77777777" w:rsidR="00421864" w:rsidRPr="00421864" w:rsidRDefault="00421864" w:rsidP="00421864">
      <w:pPr>
        <w:jc w:val="both"/>
        <w:rPr>
          <w:sz w:val="20"/>
          <w:lang w:val="en-US"/>
        </w:rPr>
      </w:pPr>
      <w:r w:rsidRPr="00421864">
        <w:rPr>
          <w:sz w:val="20"/>
          <w:lang w:val="en-US"/>
        </w:rPr>
        <w:t>Objectives of this study were: 1) to analyze the requirements of potential Small Modular Reactors (SMR) markets – “Grid” market and “Off Grid” market (energy supply for remote communities) and 2) to</w:t>
      </w:r>
      <w:r w:rsidRPr="00421864">
        <w:rPr>
          <w:bCs/>
          <w:sz w:val="20"/>
          <w:lang w:val="en-US"/>
        </w:rPr>
        <w:t xml:space="preserve"> identify effects of scale, learning and reactor technology on the economic characteristics of SMRs</w:t>
      </w:r>
      <w:r w:rsidRPr="00421864">
        <w:rPr>
          <w:sz w:val="20"/>
          <w:lang w:val="en-US"/>
        </w:rPr>
        <w:t>.</w:t>
      </w:r>
    </w:p>
    <w:p w14:paraId="5B4D7E5B" w14:textId="77777777" w:rsidR="00421864" w:rsidRPr="00421864" w:rsidRDefault="00421864" w:rsidP="00421864">
      <w:pPr>
        <w:jc w:val="both"/>
        <w:rPr>
          <w:sz w:val="20"/>
          <w:lang w:val="en-US"/>
        </w:rPr>
      </w:pPr>
      <w:r w:rsidRPr="00421864">
        <w:rPr>
          <w:sz w:val="20"/>
          <w:lang w:val="en-US"/>
        </w:rPr>
        <w:t>There is an increased interest worldwide in projects of SMR, which is associated with a number of advantages of low-power reactors, including modular ones, in comparison with large power reactors:</w:t>
      </w:r>
    </w:p>
    <w:p w14:paraId="46F54E36" w14:textId="77777777" w:rsidR="00421864" w:rsidRPr="00421864" w:rsidRDefault="00421864" w:rsidP="00421864">
      <w:pPr>
        <w:numPr>
          <w:ilvl w:val="0"/>
          <w:numId w:val="17"/>
        </w:numPr>
        <w:overflowPunct/>
        <w:autoSpaceDE/>
        <w:autoSpaceDN/>
        <w:adjustRightInd/>
        <w:spacing w:after="120"/>
        <w:ind w:left="714" w:hanging="357"/>
        <w:jc w:val="both"/>
        <w:textAlignment w:val="auto"/>
        <w:rPr>
          <w:sz w:val="20"/>
          <w:lang w:val="en-US"/>
        </w:rPr>
      </w:pPr>
      <w:r w:rsidRPr="00421864">
        <w:rPr>
          <w:bCs/>
          <w:iCs/>
          <w:sz w:val="20"/>
          <w:lang w:val="en-US"/>
        </w:rPr>
        <w:t>SMR modules allow manufacturing on a factory away from the construction site;</w:t>
      </w:r>
    </w:p>
    <w:p w14:paraId="4BC64FB3" w14:textId="77777777" w:rsidR="00421864" w:rsidRPr="00421864" w:rsidRDefault="00421864" w:rsidP="00421864">
      <w:pPr>
        <w:numPr>
          <w:ilvl w:val="0"/>
          <w:numId w:val="17"/>
        </w:numPr>
        <w:overflowPunct/>
        <w:autoSpaceDE/>
        <w:autoSpaceDN/>
        <w:adjustRightInd/>
        <w:spacing w:after="120"/>
        <w:ind w:left="714" w:hanging="357"/>
        <w:jc w:val="both"/>
        <w:textAlignment w:val="auto"/>
        <w:rPr>
          <w:sz w:val="20"/>
          <w:lang w:val="en-US"/>
        </w:rPr>
      </w:pPr>
      <w:r w:rsidRPr="00421864">
        <w:rPr>
          <w:bCs/>
          <w:iCs/>
          <w:sz w:val="20"/>
          <w:lang w:val="en-US"/>
        </w:rPr>
        <w:t>shorter payback period of the investment due to the modular design, shorter construction time and a serial commissioning of modules at one site;</w:t>
      </w:r>
    </w:p>
    <w:p w14:paraId="11EC56F4" w14:textId="77777777" w:rsidR="00421864" w:rsidRPr="00421864" w:rsidRDefault="00421864" w:rsidP="00421864">
      <w:pPr>
        <w:numPr>
          <w:ilvl w:val="0"/>
          <w:numId w:val="17"/>
        </w:numPr>
        <w:overflowPunct/>
        <w:autoSpaceDE/>
        <w:autoSpaceDN/>
        <w:adjustRightInd/>
        <w:spacing w:after="120"/>
        <w:ind w:left="714" w:hanging="357"/>
        <w:jc w:val="both"/>
        <w:textAlignment w:val="auto"/>
        <w:rPr>
          <w:sz w:val="20"/>
          <w:lang w:val="en-US"/>
        </w:rPr>
      </w:pPr>
      <w:r w:rsidRPr="00421864">
        <w:rPr>
          <w:bCs/>
          <w:iCs/>
          <w:sz w:val="20"/>
          <w:lang w:val="en-US"/>
        </w:rPr>
        <w:t>stronger motivation for financial institutes to lending for nuclear projects;</w:t>
      </w:r>
    </w:p>
    <w:p w14:paraId="32D088B6" w14:textId="77777777" w:rsidR="00421864" w:rsidRPr="00421864" w:rsidRDefault="00421864" w:rsidP="00421864">
      <w:pPr>
        <w:numPr>
          <w:ilvl w:val="0"/>
          <w:numId w:val="17"/>
        </w:numPr>
        <w:overflowPunct/>
        <w:autoSpaceDE/>
        <w:autoSpaceDN/>
        <w:adjustRightInd/>
        <w:spacing w:after="120"/>
        <w:ind w:left="714" w:hanging="357"/>
        <w:jc w:val="both"/>
        <w:textAlignment w:val="auto"/>
        <w:rPr>
          <w:sz w:val="20"/>
          <w:lang w:val="en-US"/>
        </w:rPr>
      </w:pPr>
      <w:r w:rsidRPr="00421864">
        <w:rPr>
          <w:bCs/>
          <w:sz w:val="20"/>
          <w:lang w:val="en-US"/>
        </w:rPr>
        <w:t>guaranteed safety (elimination of large radioactive releases), possibility to reduce the radius of the emergency planning zone (EPZ) around the nuclear power plant (up to 300 meters);</w:t>
      </w:r>
    </w:p>
    <w:p w14:paraId="05197F32" w14:textId="77777777" w:rsidR="00421864" w:rsidRPr="00421864" w:rsidRDefault="00421864" w:rsidP="00421864">
      <w:pPr>
        <w:numPr>
          <w:ilvl w:val="0"/>
          <w:numId w:val="17"/>
        </w:numPr>
        <w:overflowPunct/>
        <w:autoSpaceDE/>
        <w:autoSpaceDN/>
        <w:adjustRightInd/>
        <w:spacing w:after="120"/>
        <w:ind w:left="714" w:hanging="357"/>
        <w:jc w:val="both"/>
        <w:textAlignment w:val="auto"/>
        <w:rPr>
          <w:sz w:val="20"/>
          <w:lang w:val="en-US"/>
        </w:rPr>
      </w:pPr>
      <w:r w:rsidRPr="00421864">
        <w:rPr>
          <w:sz w:val="20"/>
          <w:lang w:val="en-US"/>
        </w:rPr>
        <w:t>possibility of realistic nuclear insurance due to the lower potential losses caused by potential accidents on SMR [1];</w:t>
      </w:r>
    </w:p>
    <w:p w14:paraId="3E3142CF" w14:textId="77777777" w:rsidR="00421864" w:rsidRPr="00421864" w:rsidRDefault="00421864" w:rsidP="00421864">
      <w:pPr>
        <w:numPr>
          <w:ilvl w:val="0"/>
          <w:numId w:val="17"/>
        </w:numPr>
        <w:overflowPunct/>
        <w:autoSpaceDE/>
        <w:autoSpaceDN/>
        <w:adjustRightInd/>
        <w:spacing w:after="120"/>
        <w:ind w:left="714" w:hanging="357"/>
        <w:jc w:val="both"/>
        <w:textAlignment w:val="auto"/>
        <w:rPr>
          <w:sz w:val="20"/>
          <w:lang w:val="en-US"/>
        </w:rPr>
      </w:pPr>
      <w:r w:rsidRPr="00421864">
        <w:rPr>
          <w:bCs/>
          <w:iCs/>
          <w:sz w:val="20"/>
          <w:lang w:val="en-US"/>
        </w:rPr>
        <w:t>higher ability of SMRs to vary their output (load following);</w:t>
      </w:r>
    </w:p>
    <w:p w14:paraId="02DCC809" w14:textId="77777777" w:rsidR="00421864" w:rsidRPr="00421864" w:rsidRDefault="00421864" w:rsidP="00421864">
      <w:pPr>
        <w:numPr>
          <w:ilvl w:val="0"/>
          <w:numId w:val="17"/>
        </w:numPr>
        <w:overflowPunct/>
        <w:autoSpaceDE/>
        <w:autoSpaceDN/>
        <w:adjustRightInd/>
        <w:spacing w:after="120"/>
        <w:ind w:left="714" w:hanging="357"/>
        <w:jc w:val="both"/>
        <w:textAlignment w:val="auto"/>
        <w:rPr>
          <w:sz w:val="20"/>
          <w:lang w:val="en-US"/>
        </w:rPr>
      </w:pPr>
      <w:r w:rsidRPr="00421864">
        <w:rPr>
          <w:bCs/>
          <w:iCs/>
          <w:sz w:val="20"/>
          <w:lang w:val="en-US"/>
        </w:rPr>
        <w:t>high mobility of SMR modules including an option of factory fuel loading (for some projects);</w:t>
      </w:r>
    </w:p>
    <w:p w14:paraId="6AF2A3A9" w14:textId="77777777" w:rsidR="00421864" w:rsidRPr="00421864" w:rsidRDefault="00421864" w:rsidP="00421864">
      <w:pPr>
        <w:numPr>
          <w:ilvl w:val="0"/>
          <w:numId w:val="17"/>
        </w:numPr>
        <w:overflowPunct/>
        <w:autoSpaceDE/>
        <w:autoSpaceDN/>
        <w:adjustRightInd/>
        <w:spacing w:after="120"/>
        <w:ind w:left="714" w:hanging="357"/>
        <w:jc w:val="both"/>
        <w:textAlignment w:val="auto"/>
        <w:rPr>
          <w:sz w:val="20"/>
          <w:lang w:val="en-US"/>
        </w:rPr>
      </w:pPr>
      <w:r w:rsidRPr="00421864">
        <w:rPr>
          <w:bCs/>
          <w:iCs/>
          <w:sz w:val="20"/>
        </w:rPr>
        <w:t>р</w:t>
      </w:r>
      <w:proofErr w:type="spellStart"/>
      <w:r w:rsidRPr="00421864">
        <w:rPr>
          <w:bCs/>
          <w:iCs/>
          <w:sz w:val="20"/>
          <w:lang w:val="en-US"/>
        </w:rPr>
        <w:t>ossibility</w:t>
      </w:r>
      <w:proofErr w:type="spellEnd"/>
      <w:r w:rsidRPr="00421864">
        <w:rPr>
          <w:bCs/>
          <w:iCs/>
          <w:sz w:val="20"/>
          <w:lang w:val="en-US"/>
        </w:rPr>
        <w:t xml:space="preserve"> of underground and underwater location of SMR;</w:t>
      </w:r>
    </w:p>
    <w:p w14:paraId="797D728B" w14:textId="77777777" w:rsidR="00421864" w:rsidRPr="00421864" w:rsidRDefault="00421864" w:rsidP="00421864">
      <w:pPr>
        <w:numPr>
          <w:ilvl w:val="0"/>
          <w:numId w:val="17"/>
        </w:numPr>
        <w:overflowPunct/>
        <w:autoSpaceDE/>
        <w:autoSpaceDN/>
        <w:adjustRightInd/>
        <w:spacing w:after="120"/>
        <w:ind w:left="714" w:hanging="357"/>
        <w:jc w:val="both"/>
        <w:textAlignment w:val="auto"/>
        <w:rPr>
          <w:sz w:val="20"/>
          <w:lang w:val="en-US"/>
        </w:rPr>
      </w:pPr>
      <w:r w:rsidRPr="00421864">
        <w:rPr>
          <w:bCs/>
          <w:iCs/>
          <w:sz w:val="20"/>
          <w:lang w:val="en-US"/>
        </w:rPr>
        <w:t>easier and less costly decommissioning;</w:t>
      </w:r>
    </w:p>
    <w:p w14:paraId="5CA041D8" w14:textId="77777777" w:rsidR="00421864" w:rsidRPr="00421864" w:rsidRDefault="00421864" w:rsidP="00421864">
      <w:pPr>
        <w:numPr>
          <w:ilvl w:val="0"/>
          <w:numId w:val="17"/>
        </w:numPr>
        <w:overflowPunct/>
        <w:autoSpaceDE/>
        <w:autoSpaceDN/>
        <w:adjustRightInd/>
        <w:spacing w:after="120"/>
        <w:ind w:left="714" w:hanging="357"/>
        <w:jc w:val="both"/>
        <w:textAlignment w:val="auto"/>
        <w:rPr>
          <w:sz w:val="20"/>
        </w:rPr>
      </w:pPr>
      <w:r w:rsidRPr="00421864">
        <w:rPr>
          <w:bCs/>
          <w:iCs/>
          <w:sz w:val="20"/>
          <w:lang w:val="en-US"/>
        </w:rPr>
        <w:t>smaller water consumption;</w:t>
      </w:r>
    </w:p>
    <w:p w14:paraId="0B0AE559" w14:textId="77777777" w:rsidR="00421864" w:rsidRPr="00421864" w:rsidRDefault="00421864" w:rsidP="00421864">
      <w:pPr>
        <w:numPr>
          <w:ilvl w:val="0"/>
          <w:numId w:val="17"/>
        </w:numPr>
        <w:overflowPunct/>
        <w:autoSpaceDE/>
        <w:autoSpaceDN/>
        <w:adjustRightInd/>
        <w:spacing w:after="160" w:line="360" w:lineRule="auto"/>
        <w:jc w:val="both"/>
        <w:textAlignment w:val="auto"/>
        <w:rPr>
          <w:bCs/>
          <w:iCs/>
          <w:sz w:val="20"/>
          <w:lang w:val="en-US"/>
        </w:rPr>
      </w:pPr>
      <w:r w:rsidRPr="00421864">
        <w:rPr>
          <w:bCs/>
          <w:iCs/>
          <w:sz w:val="20"/>
          <w:lang w:val="en-US"/>
        </w:rPr>
        <w:t>co-generation of the electricity and heat and/or water desalination is a possible option.</w:t>
      </w:r>
    </w:p>
    <w:p w14:paraId="5FD90A2D" w14:textId="0AB0EFFF" w:rsidR="00421864" w:rsidRDefault="00421864" w:rsidP="00421864">
      <w:pPr>
        <w:pStyle w:val="a1"/>
      </w:pPr>
      <w:r w:rsidRPr="00421864">
        <w:lastRenderedPageBreak/>
        <w:t>The Center for Analytical Researches and Developments (CARD) of Private enterprise “Science and Innovations” issued in 2019 an analytical study “Technical and Economic Aspects of SMR Projects” [2]. A statistical analysis of 54 foreign and 38 domestic SMR projects by their power, reactor technology, the readiness level and the vendor has been performed in the study.</w:t>
      </w:r>
    </w:p>
    <w:p w14:paraId="433FE04F" w14:textId="5C7038CC" w:rsidR="00E25B68" w:rsidRDefault="00421864" w:rsidP="00390271">
      <w:pPr>
        <w:pStyle w:val="2"/>
        <w:numPr>
          <w:ilvl w:val="1"/>
          <w:numId w:val="5"/>
        </w:numPr>
      </w:pPr>
      <w:r>
        <w:rPr>
          <w:lang w:val="en-US"/>
        </w:rPr>
        <w:t>SMR Analytical study</w:t>
      </w:r>
    </w:p>
    <w:p w14:paraId="4FE04CD9" w14:textId="77777777" w:rsidR="00421864" w:rsidRPr="00421864" w:rsidRDefault="00421864" w:rsidP="00421864">
      <w:pPr>
        <w:spacing w:after="160"/>
        <w:ind w:firstLine="567"/>
        <w:jc w:val="both"/>
        <w:rPr>
          <w:sz w:val="20"/>
          <w:lang w:val="en-US"/>
        </w:rPr>
      </w:pPr>
      <w:r w:rsidRPr="00421864">
        <w:rPr>
          <w:sz w:val="20"/>
          <w:lang w:val="en-US"/>
        </w:rPr>
        <w:t xml:space="preserve">Then, the competiveness of SMR projects versus another power sources has been analyzed in relation to two markets - "Off-Grid" market (the power supply of remote communities) and "Grid" market (basic generation in medium and large grids). The requirements of potential SMR markets were analyzed in terms of the upper limit of the </w:t>
      </w:r>
      <w:proofErr w:type="spellStart"/>
      <w:r w:rsidRPr="00421864">
        <w:rPr>
          <w:sz w:val="20"/>
          <w:lang w:val="en-US"/>
        </w:rPr>
        <w:t>Levelized</w:t>
      </w:r>
      <w:proofErr w:type="spellEnd"/>
      <w:r w:rsidRPr="00421864">
        <w:rPr>
          <w:sz w:val="20"/>
          <w:lang w:val="en-US"/>
        </w:rPr>
        <w:t xml:space="preserve"> Cost of Electricity (LCOE) which is restricted by competitive power sources for “Grid” and “Off Grid” markets, as shown in Table 1.</w:t>
      </w:r>
    </w:p>
    <w:p w14:paraId="6AF100D0" w14:textId="1983564A" w:rsidR="00421864" w:rsidRPr="00421864" w:rsidRDefault="00421864" w:rsidP="00421864">
      <w:pPr>
        <w:pStyle w:val="a1"/>
        <w:ind w:firstLine="0"/>
      </w:pPr>
      <w:r w:rsidRPr="00421864">
        <w:t>TABLE 1. ANTICIPATED REQUIREMENTS TO SMR PROJECTS ON “GRID” AND “OFF-GRID” MARKETS</w:t>
      </w:r>
    </w:p>
    <w:tbl>
      <w:tblPr>
        <w:tblStyle w:val="20"/>
        <w:tblW w:w="9360" w:type="dxa"/>
        <w:tblLayout w:type="fixed"/>
        <w:tblLook w:val="04A0" w:firstRow="1" w:lastRow="0" w:firstColumn="1" w:lastColumn="0" w:noHBand="0" w:noVBand="1"/>
      </w:tblPr>
      <w:tblGrid>
        <w:gridCol w:w="1440"/>
        <w:gridCol w:w="3960"/>
        <w:gridCol w:w="3960"/>
      </w:tblGrid>
      <w:tr w:rsidR="00421864" w:rsidRPr="0093630D" w14:paraId="4EF12587" w14:textId="77777777" w:rsidTr="001F5A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3AB91F8D" w14:textId="77777777" w:rsidR="00421864" w:rsidRPr="001F5A70" w:rsidRDefault="00421864" w:rsidP="001F5A70">
            <w:pPr>
              <w:jc w:val="center"/>
              <w:rPr>
                <w:sz w:val="20"/>
                <w:lang w:val="en-US"/>
              </w:rPr>
            </w:pPr>
            <w:r w:rsidRPr="001F5A70">
              <w:rPr>
                <w:sz w:val="20"/>
                <w:lang w:val="en-US"/>
              </w:rPr>
              <w:t>Parameter</w:t>
            </w:r>
          </w:p>
        </w:tc>
        <w:tc>
          <w:tcPr>
            <w:tcW w:w="3960" w:type="dxa"/>
            <w:vAlign w:val="center"/>
          </w:tcPr>
          <w:p w14:paraId="6AFC44F4" w14:textId="77777777" w:rsidR="00421864" w:rsidRPr="001F5A70" w:rsidRDefault="00421864" w:rsidP="001F5A70">
            <w:pPr>
              <w:jc w:val="center"/>
              <w:cnfStyle w:val="100000000000" w:firstRow="1" w:lastRow="0" w:firstColumn="0" w:lastColumn="0" w:oddVBand="0" w:evenVBand="0" w:oddHBand="0" w:evenHBand="0" w:firstRowFirstColumn="0" w:firstRowLastColumn="0" w:lastRowFirstColumn="0" w:lastRowLastColumn="0"/>
              <w:rPr>
                <w:sz w:val="20"/>
                <w:lang w:val="en-US"/>
              </w:rPr>
            </w:pPr>
            <w:r w:rsidRPr="001F5A70">
              <w:rPr>
                <w:i/>
                <w:iCs/>
                <w:sz w:val="20"/>
                <w:lang w:val="en-US"/>
              </w:rPr>
              <w:t>“Off-Grid” market</w:t>
            </w:r>
            <w:r w:rsidRPr="001F5A70">
              <w:rPr>
                <w:sz w:val="20"/>
                <w:lang w:val="en-US"/>
              </w:rPr>
              <w:t>: remote communities</w:t>
            </w:r>
          </w:p>
        </w:tc>
        <w:tc>
          <w:tcPr>
            <w:tcW w:w="3960" w:type="dxa"/>
            <w:vAlign w:val="center"/>
          </w:tcPr>
          <w:p w14:paraId="6AEE3196" w14:textId="77777777" w:rsidR="00421864" w:rsidRPr="001F5A70" w:rsidRDefault="00421864" w:rsidP="001F5A70">
            <w:pPr>
              <w:jc w:val="center"/>
              <w:cnfStyle w:val="100000000000" w:firstRow="1" w:lastRow="0" w:firstColumn="0" w:lastColumn="0" w:oddVBand="0" w:evenVBand="0" w:oddHBand="0" w:evenHBand="0" w:firstRowFirstColumn="0" w:firstRowLastColumn="0" w:lastRowFirstColumn="0" w:lastRowLastColumn="0"/>
              <w:rPr>
                <w:sz w:val="20"/>
                <w:lang w:val="en-US"/>
              </w:rPr>
            </w:pPr>
            <w:r w:rsidRPr="001F5A70">
              <w:rPr>
                <w:i/>
                <w:iCs/>
                <w:sz w:val="20"/>
                <w:lang w:val="en-US"/>
              </w:rPr>
              <w:t>“Grid” market</w:t>
            </w:r>
            <w:r w:rsidRPr="001F5A70">
              <w:rPr>
                <w:sz w:val="20"/>
                <w:lang w:val="en-US"/>
              </w:rPr>
              <w:t>: generation in medium and large grids</w:t>
            </w:r>
          </w:p>
        </w:tc>
      </w:tr>
      <w:tr w:rsidR="00421864" w:rsidRPr="00CF79B9" w14:paraId="1B03409D" w14:textId="77777777" w:rsidTr="001F5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14398463" w14:textId="77777777" w:rsidR="00421864" w:rsidRPr="001F5A70" w:rsidRDefault="00421864" w:rsidP="001F5A70">
            <w:pPr>
              <w:rPr>
                <w:sz w:val="20"/>
                <w:lang w:val="en-US"/>
              </w:rPr>
            </w:pPr>
            <w:r w:rsidRPr="001F5A70">
              <w:rPr>
                <w:sz w:val="20"/>
                <w:lang w:val="en-US"/>
              </w:rPr>
              <w:t>LCOE (at discount rate 7% $/MWh</w:t>
            </w:r>
          </w:p>
        </w:tc>
        <w:tc>
          <w:tcPr>
            <w:tcW w:w="3960" w:type="dxa"/>
            <w:vAlign w:val="center"/>
          </w:tcPr>
          <w:p w14:paraId="7D98835B" w14:textId="77777777" w:rsidR="00421864" w:rsidRPr="001F5A70" w:rsidRDefault="00421864" w:rsidP="001F5A70">
            <w:pPr>
              <w:cnfStyle w:val="000000100000" w:firstRow="0" w:lastRow="0" w:firstColumn="0" w:lastColumn="0" w:oddVBand="0" w:evenVBand="0" w:oddHBand="1" w:evenHBand="0" w:firstRowFirstColumn="0" w:firstRowLastColumn="0" w:lastRowFirstColumn="0" w:lastRowLastColumn="0"/>
              <w:rPr>
                <w:sz w:val="20"/>
                <w:lang w:val="en-US"/>
              </w:rPr>
            </w:pPr>
            <w:r w:rsidRPr="001F5A70">
              <w:rPr>
                <w:bCs/>
                <w:sz w:val="20"/>
                <w:lang w:val="en-US"/>
              </w:rPr>
              <w:sym w:font="Symbol" w:char="F0A3"/>
            </w:r>
            <w:r w:rsidRPr="001F5A70">
              <w:rPr>
                <w:bCs/>
                <w:sz w:val="20"/>
                <w:lang w:val="en-US"/>
              </w:rPr>
              <w:t xml:space="preserve"> 100</w:t>
            </w:r>
            <w:r w:rsidRPr="001F5A70">
              <w:rPr>
                <w:sz w:val="20"/>
                <w:lang w:val="en-US"/>
              </w:rPr>
              <w:t>.</w:t>
            </w:r>
          </w:p>
          <w:p w14:paraId="5EF43F81" w14:textId="77777777" w:rsidR="00421864" w:rsidRPr="001F5A70" w:rsidRDefault="00421864" w:rsidP="001F5A70">
            <w:pPr>
              <w:cnfStyle w:val="000000100000" w:firstRow="0" w:lastRow="0" w:firstColumn="0" w:lastColumn="0" w:oddVBand="0" w:evenVBand="0" w:oddHBand="1" w:evenHBand="0" w:firstRowFirstColumn="0" w:firstRowLastColumn="0" w:lastRowFirstColumn="0" w:lastRowLastColumn="0"/>
              <w:rPr>
                <w:sz w:val="20"/>
                <w:lang w:val="en-US"/>
              </w:rPr>
            </w:pPr>
            <w:r w:rsidRPr="001F5A70">
              <w:rPr>
                <w:sz w:val="20"/>
                <w:lang w:val="en-US"/>
              </w:rPr>
              <w:t>Competition with:</w:t>
            </w:r>
          </w:p>
          <w:p w14:paraId="5B352508" w14:textId="77777777" w:rsidR="00421864" w:rsidRPr="001F5A70" w:rsidRDefault="00421864" w:rsidP="001F5A70">
            <w:pPr>
              <w:cnfStyle w:val="000000100000" w:firstRow="0" w:lastRow="0" w:firstColumn="0" w:lastColumn="0" w:oddVBand="0" w:evenVBand="0" w:oddHBand="1" w:evenHBand="0" w:firstRowFirstColumn="0" w:firstRowLastColumn="0" w:lastRowFirstColumn="0" w:lastRowLastColumn="0"/>
              <w:rPr>
                <w:sz w:val="20"/>
                <w:lang w:val="en-US"/>
              </w:rPr>
            </w:pPr>
            <w:r w:rsidRPr="001F5A70">
              <w:rPr>
                <w:sz w:val="20"/>
                <w:lang w:val="en-US"/>
              </w:rPr>
              <w:t>Diesel generation ~ 400-700*;</w:t>
            </w:r>
          </w:p>
          <w:p w14:paraId="20DA96B3" w14:textId="77777777" w:rsidR="00421864" w:rsidRPr="001F5A70" w:rsidRDefault="00421864" w:rsidP="001F5A70">
            <w:pPr>
              <w:cnfStyle w:val="000000100000" w:firstRow="0" w:lastRow="0" w:firstColumn="0" w:lastColumn="0" w:oddVBand="0" w:evenVBand="0" w:oddHBand="1" w:evenHBand="0" w:firstRowFirstColumn="0" w:firstRowLastColumn="0" w:lastRowFirstColumn="0" w:lastRowLastColumn="0"/>
              <w:rPr>
                <w:sz w:val="20"/>
                <w:lang w:val="en-US"/>
              </w:rPr>
            </w:pPr>
            <w:r w:rsidRPr="001F5A70">
              <w:rPr>
                <w:sz w:val="20"/>
                <w:lang w:val="en-US"/>
              </w:rPr>
              <w:t>Renewables ~150-200* at strong weather conditions;</w:t>
            </w:r>
          </w:p>
          <w:p w14:paraId="7CD40EFD" w14:textId="77777777" w:rsidR="00421864" w:rsidRPr="001F5A70" w:rsidRDefault="00421864" w:rsidP="001F5A70">
            <w:pPr>
              <w:cnfStyle w:val="000000100000" w:firstRow="0" w:lastRow="0" w:firstColumn="0" w:lastColumn="0" w:oddVBand="0" w:evenVBand="0" w:oddHBand="1" w:evenHBand="0" w:firstRowFirstColumn="0" w:firstRowLastColumn="0" w:lastRowFirstColumn="0" w:lastRowLastColumn="0"/>
              <w:rPr>
                <w:sz w:val="20"/>
              </w:rPr>
            </w:pPr>
            <w:r w:rsidRPr="001F5A70">
              <w:rPr>
                <w:sz w:val="20"/>
                <w:lang w:val="en-US"/>
              </w:rPr>
              <w:t>LNG</w:t>
            </w:r>
            <w:r w:rsidRPr="001F5A70">
              <w:rPr>
                <w:sz w:val="20"/>
              </w:rPr>
              <w:t xml:space="preserve"> ~ 90 – 150</w:t>
            </w:r>
            <w:r w:rsidRPr="001F5A70">
              <w:rPr>
                <w:sz w:val="20"/>
                <w:lang w:val="en-US"/>
              </w:rPr>
              <w:t>*</w:t>
            </w:r>
            <w:r w:rsidRPr="001F5A70">
              <w:rPr>
                <w:sz w:val="20"/>
              </w:rPr>
              <w:t xml:space="preserve"> </w:t>
            </w:r>
            <w:r w:rsidRPr="001F5A70">
              <w:rPr>
                <w:sz w:val="20"/>
                <w:lang w:val="en-US"/>
              </w:rPr>
              <w:t>(including transportation)</w:t>
            </w:r>
            <w:r w:rsidRPr="001F5A70">
              <w:rPr>
                <w:sz w:val="20"/>
              </w:rPr>
              <w:t xml:space="preserve">. </w:t>
            </w:r>
          </w:p>
        </w:tc>
        <w:tc>
          <w:tcPr>
            <w:tcW w:w="3960" w:type="dxa"/>
            <w:vAlign w:val="center"/>
          </w:tcPr>
          <w:p w14:paraId="6E50086D" w14:textId="77777777" w:rsidR="00421864" w:rsidRPr="001F5A70" w:rsidRDefault="00421864" w:rsidP="001F5A70">
            <w:pPr>
              <w:cnfStyle w:val="000000100000" w:firstRow="0" w:lastRow="0" w:firstColumn="0" w:lastColumn="0" w:oddVBand="0" w:evenVBand="0" w:oddHBand="1" w:evenHBand="0" w:firstRowFirstColumn="0" w:firstRowLastColumn="0" w:lastRowFirstColumn="0" w:lastRowLastColumn="0"/>
              <w:rPr>
                <w:sz w:val="20"/>
                <w:lang w:val="en-US"/>
              </w:rPr>
            </w:pPr>
            <w:r w:rsidRPr="001F5A70">
              <w:rPr>
                <w:bCs/>
                <w:sz w:val="20"/>
                <w:lang w:val="en-US"/>
              </w:rPr>
              <w:sym w:font="Symbol" w:char="F0A3"/>
            </w:r>
            <w:r w:rsidRPr="001F5A70">
              <w:rPr>
                <w:bCs/>
                <w:sz w:val="20"/>
                <w:lang w:val="en-US"/>
              </w:rPr>
              <w:t xml:space="preserve"> 50</w:t>
            </w:r>
            <w:r w:rsidRPr="001F5A70">
              <w:rPr>
                <w:sz w:val="20"/>
                <w:lang w:val="en-US"/>
              </w:rPr>
              <w:t>.</w:t>
            </w:r>
          </w:p>
          <w:p w14:paraId="0F603C01" w14:textId="77777777" w:rsidR="00421864" w:rsidRPr="001F5A70" w:rsidRDefault="00421864" w:rsidP="001F5A70">
            <w:pPr>
              <w:cnfStyle w:val="000000100000" w:firstRow="0" w:lastRow="0" w:firstColumn="0" w:lastColumn="0" w:oddVBand="0" w:evenVBand="0" w:oddHBand="1" w:evenHBand="0" w:firstRowFirstColumn="0" w:firstRowLastColumn="0" w:lastRowFirstColumn="0" w:lastRowLastColumn="0"/>
              <w:rPr>
                <w:sz w:val="20"/>
                <w:lang w:val="en-US"/>
              </w:rPr>
            </w:pPr>
            <w:r w:rsidRPr="001F5A70">
              <w:rPr>
                <w:sz w:val="20"/>
                <w:lang w:val="en-US"/>
              </w:rPr>
              <w:t>Competition with:</w:t>
            </w:r>
          </w:p>
          <w:p w14:paraId="79EAB652" w14:textId="77777777" w:rsidR="00421864" w:rsidRPr="001F5A70" w:rsidRDefault="00421864" w:rsidP="001F5A70">
            <w:pPr>
              <w:cnfStyle w:val="000000100000" w:firstRow="0" w:lastRow="0" w:firstColumn="0" w:lastColumn="0" w:oddVBand="0" w:evenVBand="0" w:oddHBand="1" w:evenHBand="0" w:firstRowFirstColumn="0" w:firstRowLastColumn="0" w:lastRowFirstColumn="0" w:lastRowLastColumn="0"/>
              <w:rPr>
                <w:sz w:val="20"/>
                <w:lang w:val="en-US"/>
              </w:rPr>
            </w:pPr>
            <w:r w:rsidRPr="001F5A70">
              <w:rPr>
                <w:sz w:val="20"/>
                <w:lang w:val="en-US"/>
              </w:rPr>
              <w:t>Coal with CCS ~90-125**;</w:t>
            </w:r>
          </w:p>
          <w:p w14:paraId="3C615E54" w14:textId="77777777" w:rsidR="00421864" w:rsidRPr="001F5A70" w:rsidRDefault="00421864" w:rsidP="001F5A70">
            <w:pPr>
              <w:cnfStyle w:val="000000100000" w:firstRow="0" w:lastRow="0" w:firstColumn="0" w:lastColumn="0" w:oddVBand="0" w:evenVBand="0" w:oddHBand="1" w:evenHBand="0" w:firstRowFirstColumn="0" w:firstRowLastColumn="0" w:lastRowFirstColumn="0" w:lastRowLastColumn="0"/>
              <w:rPr>
                <w:sz w:val="20"/>
                <w:lang w:val="en-US"/>
              </w:rPr>
            </w:pPr>
            <w:r w:rsidRPr="001F5A70">
              <w:rPr>
                <w:sz w:val="20"/>
                <w:lang w:val="en-US"/>
              </w:rPr>
              <w:t>Gas combined cycle ~40-55 (75 with CCS)**;</w:t>
            </w:r>
            <w:r w:rsidRPr="001F5A70">
              <w:rPr>
                <w:sz w:val="20"/>
                <w:lang w:val="en-US"/>
              </w:rPr>
              <w:br/>
              <w:t xml:space="preserve">Combustion turbine ~70-100**; </w:t>
            </w:r>
          </w:p>
          <w:p w14:paraId="7E6C7DC6" w14:textId="77777777" w:rsidR="00421864" w:rsidRPr="001F5A70" w:rsidRDefault="00421864" w:rsidP="001F5A70">
            <w:pPr>
              <w:cnfStyle w:val="000000100000" w:firstRow="0" w:lastRow="0" w:firstColumn="0" w:lastColumn="0" w:oddVBand="0" w:evenVBand="0" w:oddHBand="1" w:evenHBand="0" w:firstRowFirstColumn="0" w:firstRowLastColumn="0" w:lastRowFirstColumn="0" w:lastRowLastColumn="0"/>
              <w:rPr>
                <w:sz w:val="20"/>
                <w:lang w:val="en-US"/>
              </w:rPr>
            </w:pPr>
            <w:r w:rsidRPr="001F5A70">
              <w:rPr>
                <w:sz w:val="20"/>
                <w:lang w:val="en-US"/>
              </w:rPr>
              <w:t xml:space="preserve">Large power nuclear ~75-80**; </w:t>
            </w:r>
          </w:p>
          <w:p w14:paraId="23221D27" w14:textId="77777777" w:rsidR="00421864" w:rsidRPr="001F5A70" w:rsidRDefault="00421864" w:rsidP="001F5A70">
            <w:pPr>
              <w:cnfStyle w:val="000000100000" w:firstRow="0" w:lastRow="0" w:firstColumn="0" w:lastColumn="0" w:oddVBand="0" w:evenVBand="0" w:oddHBand="1" w:evenHBand="0" w:firstRowFirstColumn="0" w:firstRowLastColumn="0" w:lastRowFirstColumn="0" w:lastRowLastColumn="0"/>
              <w:rPr>
                <w:sz w:val="20"/>
                <w:lang w:val="en-US"/>
              </w:rPr>
            </w:pPr>
            <w:r w:rsidRPr="001F5A70">
              <w:rPr>
                <w:sz w:val="20"/>
                <w:lang w:val="en-US"/>
              </w:rPr>
              <w:t>Wind, onshore ~40-70**;</w:t>
            </w:r>
          </w:p>
          <w:p w14:paraId="6EC51D55" w14:textId="77777777" w:rsidR="00421864" w:rsidRPr="001F5A70" w:rsidRDefault="00421864" w:rsidP="001F5A70">
            <w:pPr>
              <w:cnfStyle w:val="000000100000" w:firstRow="0" w:lastRow="0" w:firstColumn="0" w:lastColumn="0" w:oddVBand="0" w:evenVBand="0" w:oddHBand="1" w:evenHBand="0" w:firstRowFirstColumn="0" w:firstRowLastColumn="0" w:lastRowFirstColumn="0" w:lastRowLastColumn="0"/>
              <w:rPr>
                <w:sz w:val="20"/>
                <w:lang w:val="en-US"/>
              </w:rPr>
            </w:pPr>
            <w:r w:rsidRPr="001F5A70">
              <w:rPr>
                <w:sz w:val="20"/>
                <w:lang w:val="en-US"/>
              </w:rPr>
              <w:t xml:space="preserve">Solar: ~40-110**. </w:t>
            </w:r>
          </w:p>
        </w:tc>
      </w:tr>
      <w:tr w:rsidR="00421864" w:rsidRPr="0093630D" w14:paraId="14E0AAD6" w14:textId="77777777" w:rsidTr="001F5A70">
        <w:tc>
          <w:tcPr>
            <w:cnfStyle w:val="001000000000" w:firstRow="0" w:lastRow="0" w:firstColumn="1" w:lastColumn="0" w:oddVBand="0" w:evenVBand="0" w:oddHBand="0" w:evenHBand="0" w:firstRowFirstColumn="0" w:firstRowLastColumn="0" w:lastRowFirstColumn="0" w:lastRowLastColumn="0"/>
            <w:tcW w:w="1440" w:type="dxa"/>
            <w:vAlign w:val="center"/>
          </w:tcPr>
          <w:p w14:paraId="66D28EE4" w14:textId="77777777" w:rsidR="00421864" w:rsidRPr="001F5A70" w:rsidRDefault="00421864" w:rsidP="001F5A70">
            <w:pPr>
              <w:rPr>
                <w:sz w:val="20"/>
                <w:lang w:val="en-US"/>
              </w:rPr>
            </w:pPr>
            <w:r w:rsidRPr="001F5A70">
              <w:rPr>
                <w:sz w:val="20"/>
                <w:lang w:val="en-US"/>
              </w:rPr>
              <w:t>Power of SMR module</w:t>
            </w:r>
          </w:p>
        </w:tc>
        <w:tc>
          <w:tcPr>
            <w:tcW w:w="3960" w:type="dxa"/>
            <w:vAlign w:val="center"/>
          </w:tcPr>
          <w:p w14:paraId="36C0A216" w14:textId="77777777" w:rsidR="00421864" w:rsidRPr="001F5A70" w:rsidRDefault="00421864" w:rsidP="001F5A70">
            <w:pPr>
              <w:cnfStyle w:val="000000000000" w:firstRow="0" w:lastRow="0" w:firstColumn="0" w:lastColumn="0" w:oddVBand="0" w:evenVBand="0" w:oddHBand="0" w:evenHBand="0" w:firstRowFirstColumn="0" w:firstRowLastColumn="0" w:lastRowFirstColumn="0" w:lastRowLastColumn="0"/>
              <w:rPr>
                <w:sz w:val="20"/>
                <w:lang w:val="en-US"/>
              </w:rPr>
            </w:pPr>
            <w:r w:rsidRPr="001F5A70">
              <w:rPr>
                <w:sz w:val="20"/>
                <w:lang w:val="en-US"/>
              </w:rPr>
              <w:t>~ 30-50 MW.</w:t>
            </w:r>
          </w:p>
          <w:p w14:paraId="1716F6FE" w14:textId="77777777" w:rsidR="00421864" w:rsidRPr="001F5A70" w:rsidRDefault="00421864" w:rsidP="001F5A70">
            <w:pPr>
              <w:cnfStyle w:val="000000000000" w:firstRow="0" w:lastRow="0" w:firstColumn="0" w:lastColumn="0" w:oddVBand="0" w:evenVBand="0" w:oddHBand="0" w:evenHBand="0" w:firstRowFirstColumn="0" w:firstRowLastColumn="0" w:lastRowFirstColumn="0" w:lastRowLastColumn="0"/>
              <w:rPr>
                <w:sz w:val="20"/>
                <w:lang w:val="en-US"/>
              </w:rPr>
            </w:pPr>
            <w:r w:rsidRPr="001F5A70">
              <w:rPr>
                <w:sz w:val="20"/>
                <w:lang w:val="en-US"/>
              </w:rPr>
              <w:t>Up to 4-5 modules on site.</w:t>
            </w:r>
          </w:p>
        </w:tc>
        <w:tc>
          <w:tcPr>
            <w:tcW w:w="3960" w:type="dxa"/>
            <w:vAlign w:val="center"/>
          </w:tcPr>
          <w:p w14:paraId="670E2F4F" w14:textId="77777777" w:rsidR="00421864" w:rsidRPr="001F5A70" w:rsidRDefault="00421864" w:rsidP="001F5A70">
            <w:pPr>
              <w:cnfStyle w:val="000000000000" w:firstRow="0" w:lastRow="0" w:firstColumn="0" w:lastColumn="0" w:oddVBand="0" w:evenVBand="0" w:oddHBand="0" w:evenHBand="0" w:firstRowFirstColumn="0" w:firstRowLastColumn="0" w:lastRowFirstColumn="0" w:lastRowLastColumn="0"/>
              <w:rPr>
                <w:sz w:val="20"/>
                <w:lang w:val="en-US"/>
              </w:rPr>
            </w:pPr>
            <w:r w:rsidRPr="001F5A70">
              <w:rPr>
                <w:sz w:val="20"/>
                <w:lang w:val="en-US"/>
              </w:rPr>
              <w:t>~ 100-200 MW.</w:t>
            </w:r>
          </w:p>
          <w:p w14:paraId="2639DD04" w14:textId="77777777" w:rsidR="00421864" w:rsidRPr="001F5A70" w:rsidRDefault="00421864" w:rsidP="001F5A70">
            <w:pPr>
              <w:cnfStyle w:val="000000000000" w:firstRow="0" w:lastRow="0" w:firstColumn="0" w:lastColumn="0" w:oddVBand="0" w:evenVBand="0" w:oddHBand="0" w:evenHBand="0" w:firstRowFirstColumn="0" w:firstRowLastColumn="0" w:lastRowFirstColumn="0" w:lastRowLastColumn="0"/>
              <w:rPr>
                <w:sz w:val="20"/>
                <w:lang w:val="en-US"/>
              </w:rPr>
            </w:pPr>
            <w:r w:rsidRPr="001F5A70">
              <w:rPr>
                <w:sz w:val="20"/>
                <w:lang w:val="en-US"/>
              </w:rPr>
              <w:t xml:space="preserve"> Up to 10-12 modules on site for the replacement of coal and large power nuclear generation.</w:t>
            </w:r>
          </w:p>
        </w:tc>
      </w:tr>
      <w:tr w:rsidR="00421864" w:rsidRPr="00AA4C5D" w14:paraId="2F12B287" w14:textId="77777777" w:rsidTr="001F5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0A06990E" w14:textId="77777777" w:rsidR="00421864" w:rsidRPr="001F5A70" w:rsidRDefault="00421864" w:rsidP="001F5A70">
            <w:pPr>
              <w:rPr>
                <w:sz w:val="20"/>
                <w:lang w:val="en-US"/>
              </w:rPr>
            </w:pPr>
            <w:r w:rsidRPr="001F5A70">
              <w:rPr>
                <w:sz w:val="20"/>
                <w:lang w:val="en-US"/>
              </w:rPr>
              <w:t>Applications</w:t>
            </w:r>
          </w:p>
        </w:tc>
        <w:tc>
          <w:tcPr>
            <w:tcW w:w="3960" w:type="dxa"/>
            <w:vAlign w:val="center"/>
          </w:tcPr>
          <w:p w14:paraId="3A2A623D" w14:textId="77777777" w:rsidR="00421864" w:rsidRPr="001F5A70" w:rsidRDefault="00421864" w:rsidP="001F5A70">
            <w:pPr>
              <w:pStyle w:val="af8"/>
              <w:numPr>
                <w:ilvl w:val="0"/>
                <w:numId w:val="18"/>
              </w:num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sz w:val="20"/>
              </w:rPr>
            </w:pPr>
            <w:r w:rsidRPr="001F5A70">
              <w:rPr>
                <w:sz w:val="20"/>
                <w:lang w:val="en-US"/>
              </w:rPr>
              <w:t>Communal heat</w:t>
            </w:r>
          </w:p>
          <w:p w14:paraId="070781D3" w14:textId="77777777" w:rsidR="00421864" w:rsidRPr="001F5A70" w:rsidRDefault="00421864" w:rsidP="001F5A70">
            <w:pPr>
              <w:pStyle w:val="af8"/>
              <w:numPr>
                <w:ilvl w:val="0"/>
                <w:numId w:val="18"/>
              </w:num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sz w:val="20"/>
              </w:rPr>
            </w:pPr>
            <w:r w:rsidRPr="001F5A70">
              <w:rPr>
                <w:sz w:val="20"/>
                <w:lang w:val="en-US"/>
              </w:rPr>
              <w:t>Electric power</w:t>
            </w:r>
          </w:p>
          <w:p w14:paraId="460C2FF4" w14:textId="77777777" w:rsidR="00421864" w:rsidRPr="001F5A70" w:rsidRDefault="00421864" w:rsidP="001F5A70">
            <w:pPr>
              <w:pStyle w:val="af8"/>
              <w:numPr>
                <w:ilvl w:val="0"/>
                <w:numId w:val="18"/>
              </w:num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sz w:val="20"/>
              </w:rPr>
            </w:pPr>
            <w:r w:rsidRPr="001F5A70">
              <w:rPr>
                <w:sz w:val="20"/>
                <w:lang w:val="en-US"/>
              </w:rPr>
              <w:t>Water desalination</w:t>
            </w:r>
          </w:p>
        </w:tc>
        <w:tc>
          <w:tcPr>
            <w:tcW w:w="3960" w:type="dxa"/>
            <w:vAlign w:val="center"/>
          </w:tcPr>
          <w:p w14:paraId="5C98753C" w14:textId="77777777" w:rsidR="00421864" w:rsidRPr="001F5A70" w:rsidRDefault="00421864" w:rsidP="001F5A70">
            <w:pPr>
              <w:pStyle w:val="af8"/>
              <w:numPr>
                <w:ilvl w:val="0"/>
                <w:numId w:val="19"/>
              </w:num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sz w:val="20"/>
              </w:rPr>
            </w:pPr>
            <w:r w:rsidRPr="001F5A70">
              <w:rPr>
                <w:sz w:val="20"/>
                <w:lang w:val="en-US"/>
              </w:rPr>
              <w:t>Electric power</w:t>
            </w:r>
          </w:p>
          <w:p w14:paraId="5FD67794" w14:textId="77777777" w:rsidR="00421864" w:rsidRPr="001F5A70" w:rsidRDefault="00421864" w:rsidP="001F5A70">
            <w:pPr>
              <w:pStyle w:val="af8"/>
              <w:numPr>
                <w:ilvl w:val="0"/>
                <w:numId w:val="19"/>
              </w:num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sz w:val="20"/>
              </w:rPr>
            </w:pPr>
            <w:r w:rsidRPr="001F5A70">
              <w:rPr>
                <w:sz w:val="20"/>
                <w:lang w:val="en-US"/>
              </w:rPr>
              <w:t>Water desalination</w:t>
            </w:r>
          </w:p>
          <w:p w14:paraId="41B6617A" w14:textId="77777777" w:rsidR="00421864" w:rsidRPr="001F5A70" w:rsidRDefault="00421864" w:rsidP="001F5A70">
            <w:pPr>
              <w:pStyle w:val="af8"/>
              <w:numPr>
                <w:ilvl w:val="0"/>
                <w:numId w:val="19"/>
              </w:num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sz w:val="20"/>
              </w:rPr>
            </w:pPr>
            <w:r w:rsidRPr="001F5A70">
              <w:rPr>
                <w:sz w:val="20"/>
                <w:lang w:val="en-US"/>
              </w:rPr>
              <w:t>Communal heat</w:t>
            </w:r>
          </w:p>
          <w:p w14:paraId="0CC650B4" w14:textId="77777777" w:rsidR="00421864" w:rsidRPr="001F5A70" w:rsidRDefault="00421864" w:rsidP="001F5A70">
            <w:pPr>
              <w:pStyle w:val="af8"/>
              <w:numPr>
                <w:ilvl w:val="0"/>
                <w:numId w:val="19"/>
              </w:num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sz w:val="20"/>
              </w:rPr>
            </w:pPr>
            <w:r w:rsidRPr="001F5A70">
              <w:rPr>
                <w:sz w:val="20"/>
                <w:lang w:val="en-US"/>
              </w:rPr>
              <w:t>Industrial heat</w:t>
            </w:r>
          </w:p>
        </w:tc>
      </w:tr>
      <w:tr w:rsidR="00421864" w:rsidRPr="0093630D" w14:paraId="60AC98F6" w14:textId="77777777" w:rsidTr="001F5A70">
        <w:tc>
          <w:tcPr>
            <w:cnfStyle w:val="001000000000" w:firstRow="0" w:lastRow="0" w:firstColumn="1" w:lastColumn="0" w:oddVBand="0" w:evenVBand="0" w:oddHBand="0" w:evenHBand="0" w:firstRowFirstColumn="0" w:firstRowLastColumn="0" w:lastRowFirstColumn="0" w:lastRowLastColumn="0"/>
            <w:tcW w:w="1440" w:type="dxa"/>
            <w:vAlign w:val="center"/>
          </w:tcPr>
          <w:p w14:paraId="7B57B42A" w14:textId="77777777" w:rsidR="00421864" w:rsidRPr="001F5A70" w:rsidRDefault="00421864" w:rsidP="001F5A70">
            <w:pPr>
              <w:rPr>
                <w:sz w:val="20"/>
                <w:lang w:val="en-US"/>
              </w:rPr>
            </w:pPr>
            <w:r w:rsidRPr="001F5A70">
              <w:rPr>
                <w:sz w:val="20"/>
                <w:lang w:val="en-US"/>
              </w:rPr>
              <w:t>Fuel cycle</w:t>
            </w:r>
          </w:p>
        </w:tc>
        <w:tc>
          <w:tcPr>
            <w:tcW w:w="3960" w:type="dxa"/>
            <w:vAlign w:val="center"/>
          </w:tcPr>
          <w:p w14:paraId="6EA7A844" w14:textId="77777777" w:rsidR="00421864" w:rsidRPr="001F5A70" w:rsidRDefault="00421864" w:rsidP="001F5A70">
            <w:pPr>
              <w:cnfStyle w:val="000000000000" w:firstRow="0" w:lastRow="0" w:firstColumn="0" w:lastColumn="0" w:oddVBand="0" w:evenVBand="0" w:oddHBand="0" w:evenHBand="0" w:firstRowFirstColumn="0" w:firstRowLastColumn="0" w:lastRowFirstColumn="0" w:lastRowLastColumn="0"/>
              <w:rPr>
                <w:sz w:val="20"/>
                <w:lang w:val="en-US"/>
              </w:rPr>
            </w:pPr>
            <w:r w:rsidRPr="001F5A70">
              <w:rPr>
                <w:sz w:val="20"/>
                <w:lang w:val="en-US"/>
              </w:rPr>
              <w:t xml:space="preserve">Refueling once in 5 years (or more) on site with centralized service by the vendor. </w:t>
            </w:r>
          </w:p>
        </w:tc>
        <w:tc>
          <w:tcPr>
            <w:tcW w:w="3960" w:type="dxa"/>
            <w:vAlign w:val="center"/>
          </w:tcPr>
          <w:p w14:paraId="30EF2008" w14:textId="77777777" w:rsidR="00421864" w:rsidRPr="001F5A70" w:rsidRDefault="00421864" w:rsidP="001F5A70">
            <w:pPr>
              <w:cnfStyle w:val="000000000000" w:firstRow="0" w:lastRow="0" w:firstColumn="0" w:lastColumn="0" w:oddVBand="0" w:evenVBand="0" w:oddHBand="0" w:evenHBand="0" w:firstRowFirstColumn="0" w:firstRowLastColumn="0" w:lastRowFirstColumn="0" w:lastRowLastColumn="0"/>
              <w:rPr>
                <w:sz w:val="20"/>
                <w:lang w:val="en-US"/>
              </w:rPr>
            </w:pPr>
            <w:r w:rsidRPr="001F5A70">
              <w:rPr>
                <w:sz w:val="20"/>
                <w:lang w:val="en-US"/>
              </w:rPr>
              <w:t xml:space="preserve">Refueling once in 12-24 months by the operator. </w:t>
            </w:r>
          </w:p>
        </w:tc>
      </w:tr>
      <w:tr w:rsidR="00421864" w:rsidRPr="0093630D" w14:paraId="10501638" w14:textId="77777777" w:rsidTr="001F5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58750F33" w14:textId="77777777" w:rsidR="00421864" w:rsidRPr="001F5A70" w:rsidRDefault="00421864" w:rsidP="001F5A70">
            <w:pPr>
              <w:rPr>
                <w:sz w:val="20"/>
                <w:lang w:val="en-US"/>
              </w:rPr>
            </w:pPr>
            <w:r w:rsidRPr="001F5A70">
              <w:rPr>
                <w:sz w:val="20"/>
                <w:lang w:val="en-US"/>
              </w:rPr>
              <w:t>Load following</w:t>
            </w:r>
          </w:p>
        </w:tc>
        <w:tc>
          <w:tcPr>
            <w:tcW w:w="3960" w:type="dxa"/>
            <w:vAlign w:val="center"/>
          </w:tcPr>
          <w:p w14:paraId="1DD4FEB5" w14:textId="77777777" w:rsidR="00421864" w:rsidRPr="001F5A70" w:rsidRDefault="00421864" w:rsidP="001F5A70">
            <w:pPr>
              <w:cnfStyle w:val="000000100000" w:firstRow="0" w:lastRow="0" w:firstColumn="0" w:lastColumn="0" w:oddVBand="0" w:evenVBand="0" w:oddHBand="1" w:evenHBand="0" w:firstRowFirstColumn="0" w:firstRowLastColumn="0" w:lastRowFirstColumn="0" w:lastRowLastColumn="0"/>
              <w:rPr>
                <w:sz w:val="20"/>
                <w:lang w:val="en-US"/>
              </w:rPr>
            </w:pPr>
            <w:r w:rsidRPr="001F5A70">
              <w:rPr>
                <w:sz w:val="20"/>
                <w:lang w:val="en-US"/>
              </w:rPr>
              <w:t>100-30-100% within 24 hours, otherwise a support by diesel or energy storage system will be required that increases LCOE.</w:t>
            </w:r>
          </w:p>
        </w:tc>
        <w:tc>
          <w:tcPr>
            <w:tcW w:w="3960" w:type="dxa"/>
            <w:vAlign w:val="center"/>
          </w:tcPr>
          <w:p w14:paraId="0F3C1DCE" w14:textId="77777777" w:rsidR="00421864" w:rsidRPr="001F5A70" w:rsidRDefault="00421864" w:rsidP="001F5A70">
            <w:pPr>
              <w:cnfStyle w:val="000000100000" w:firstRow="0" w:lastRow="0" w:firstColumn="0" w:lastColumn="0" w:oddVBand="0" w:evenVBand="0" w:oddHBand="1" w:evenHBand="0" w:firstRowFirstColumn="0" w:firstRowLastColumn="0" w:lastRowFirstColumn="0" w:lastRowLastColumn="0"/>
              <w:rPr>
                <w:sz w:val="20"/>
                <w:lang w:val="en-US"/>
              </w:rPr>
            </w:pPr>
            <w:r w:rsidRPr="001F5A70">
              <w:rPr>
                <w:sz w:val="20"/>
                <w:lang w:val="en-US"/>
              </w:rPr>
              <w:t>100-50-100% in grids having a power reserve.</w:t>
            </w:r>
          </w:p>
        </w:tc>
      </w:tr>
    </w:tbl>
    <w:p w14:paraId="6B712687" w14:textId="77777777" w:rsidR="00421864" w:rsidRPr="001F5A70" w:rsidRDefault="00421864" w:rsidP="001F5A70">
      <w:pPr>
        <w:spacing w:after="160"/>
        <w:rPr>
          <w:sz w:val="20"/>
          <w:szCs w:val="24"/>
          <w:lang w:val="en-US"/>
        </w:rPr>
      </w:pPr>
      <w:r w:rsidRPr="001F5A70">
        <w:rPr>
          <w:sz w:val="20"/>
          <w:szCs w:val="24"/>
          <w:lang w:val="en-US"/>
        </w:rPr>
        <w:t>* Calculated LCOE values.</w:t>
      </w:r>
      <w:r w:rsidRPr="001F5A70">
        <w:rPr>
          <w:sz w:val="20"/>
          <w:szCs w:val="24"/>
          <w:lang w:val="en-US"/>
        </w:rPr>
        <w:br/>
        <w:t>** LCOE values taken from [3].</w:t>
      </w:r>
    </w:p>
    <w:p w14:paraId="6EDFEE1E" w14:textId="77777777" w:rsidR="00421864" w:rsidRPr="001F5A70" w:rsidRDefault="00421864" w:rsidP="001F5A70">
      <w:pPr>
        <w:ind w:firstLine="567"/>
        <w:jc w:val="both"/>
        <w:rPr>
          <w:sz w:val="20"/>
          <w:szCs w:val="24"/>
          <w:lang w:val="en-US"/>
        </w:rPr>
      </w:pPr>
      <w:r w:rsidRPr="001F5A70">
        <w:rPr>
          <w:sz w:val="20"/>
          <w:szCs w:val="24"/>
          <w:lang w:val="en-US"/>
        </w:rPr>
        <w:t>The scale effect has been analyzed from the point of view that the share of fixed (independent of a module’s power) costs in the total electricity generation costs (i.e. LCOE) of the module decreases with an increase in the power of the module. Separate regression dependences of LCOE on the electrical power of the module were derived for different reactor technologies based on the data published by SMR projects’ vendors and verified by own calculations.</w:t>
      </w:r>
    </w:p>
    <w:p w14:paraId="1FBEF674" w14:textId="77777777" w:rsidR="00421864" w:rsidRPr="001F5A70" w:rsidRDefault="00421864" w:rsidP="001F5A70">
      <w:pPr>
        <w:ind w:firstLine="567"/>
        <w:jc w:val="both"/>
        <w:rPr>
          <w:sz w:val="20"/>
          <w:szCs w:val="24"/>
          <w:lang w:val="en-US"/>
        </w:rPr>
      </w:pPr>
      <w:r w:rsidRPr="001F5A70">
        <w:rPr>
          <w:sz w:val="20"/>
          <w:szCs w:val="24"/>
          <w:lang w:val="en-US"/>
        </w:rPr>
        <w:t xml:space="preserve">The approximation of the dependence of the LCOE estimates on the installed electric power </w:t>
      </w:r>
      <w:r w:rsidRPr="001F5A70">
        <w:rPr>
          <w:i/>
          <w:sz w:val="20"/>
          <w:szCs w:val="24"/>
          <w:lang w:val="en-US"/>
        </w:rPr>
        <w:t>P</w:t>
      </w:r>
      <w:r w:rsidRPr="001F5A70">
        <w:rPr>
          <w:sz w:val="20"/>
          <w:szCs w:val="24"/>
          <w:lang w:val="en-US"/>
        </w:rPr>
        <w:t xml:space="preserve"> was expressed by the dependence described, in particular, in [4]:</w:t>
      </w:r>
    </w:p>
    <w:p w14:paraId="7C0175DC" w14:textId="3E9832E5" w:rsidR="00421864" w:rsidRPr="001F5A70" w:rsidRDefault="00421864" w:rsidP="001F5A70">
      <w:pPr>
        <w:tabs>
          <w:tab w:val="left" w:pos="8910"/>
        </w:tabs>
        <w:spacing w:before="160" w:after="160"/>
        <w:ind w:left="3600"/>
        <w:rPr>
          <w:sz w:val="20"/>
          <w:szCs w:val="24"/>
          <w:lang w:val="en-US"/>
        </w:rPr>
      </w:pPr>
      <w:r w:rsidRPr="001F5A70">
        <w:rPr>
          <w:i/>
          <w:sz w:val="20"/>
          <w:szCs w:val="24"/>
          <w:lang w:val="en-US"/>
        </w:rPr>
        <w:t>LCOE</w:t>
      </w:r>
      <w:r w:rsidRPr="001F5A70">
        <w:rPr>
          <w:sz w:val="20"/>
          <w:szCs w:val="24"/>
          <w:lang w:val="en-US"/>
        </w:rPr>
        <w:t xml:space="preserve"> (</w:t>
      </w:r>
      <w:r w:rsidRPr="001F5A70">
        <w:rPr>
          <w:i/>
          <w:sz w:val="20"/>
          <w:szCs w:val="24"/>
          <w:lang w:val="en-US"/>
        </w:rPr>
        <w:t>P</w:t>
      </w:r>
      <w:r w:rsidRPr="001F5A70">
        <w:rPr>
          <w:sz w:val="20"/>
          <w:szCs w:val="24"/>
          <w:lang w:val="en-US"/>
        </w:rPr>
        <w:t xml:space="preserve">) = </w:t>
      </w:r>
      <w:r w:rsidRPr="001F5A70">
        <w:rPr>
          <w:i/>
          <w:sz w:val="20"/>
          <w:szCs w:val="24"/>
          <w:lang w:val="en-US"/>
        </w:rPr>
        <w:t>A</w:t>
      </w:r>
      <w:r w:rsidRPr="001F5A70">
        <w:rPr>
          <w:sz w:val="20"/>
          <w:szCs w:val="24"/>
          <w:lang w:val="en-US"/>
        </w:rPr>
        <w:t xml:space="preserve"> + </w:t>
      </w:r>
      <w:r w:rsidRPr="001F5A70">
        <w:rPr>
          <w:i/>
          <w:sz w:val="20"/>
          <w:szCs w:val="24"/>
          <w:lang w:val="en-US"/>
        </w:rPr>
        <w:t>B</w:t>
      </w:r>
      <w:r w:rsidRPr="001F5A70">
        <w:rPr>
          <w:sz w:val="20"/>
          <w:szCs w:val="24"/>
          <w:lang w:val="en-US"/>
        </w:rPr>
        <w:t xml:space="preserve"> / </w:t>
      </w:r>
      <w:r w:rsidRPr="001F5A70">
        <w:rPr>
          <w:i/>
          <w:sz w:val="20"/>
          <w:szCs w:val="24"/>
          <w:lang w:val="en-US"/>
        </w:rPr>
        <w:t xml:space="preserve">P </w:t>
      </w:r>
      <w:r w:rsidR="001F5A70">
        <w:rPr>
          <w:i/>
          <w:sz w:val="20"/>
          <w:szCs w:val="24"/>
          <w:lang w:val="en-US"/>
        </w:rPr>
        <w:t xml:space="preserve">                                                     </w:t>
      </w:r>
      <w:r w:rsidR="001F5A70" w:rsidRPr="001F5A70">
        <w:rPr>
          <w:i/>
          <w:sz w:val="20"/>
          <w:szCs w:val="24"/>
          <w:lang w:val="en-US"/>
        </w:rPr>
        <w:t xml:space="preserve">             </w:t>
      </w:r>
      <w:r w:rsidRPr="001F5A70">
        <w:rPr>
          <w:sz w:val="20"/>
          <w:szCs w:val="24"/>
          <w:lang w:val="en-US"/>
        </w:rPr>
        <w:t>(1),</w:t>
      </w:r>
    </w:p>
    <w:p w14:paraId="5F138230" w14:textId="77777777" w:rsidR="00421864" w:rsidRPr="001F5A70" w:rsidRDefault="00421864" w:rsidP="001F5A70">
      <w:pPr>
        <w:jc w:val="both"/>
        <w:rPr>
          <w:sz w:val="20"/>
          <w:szCs w:val="24"/>
          <w:lang w:val="en-US"/>
        </w:rPr>
      </w:pPr>
      <w:r w:rsidRPr="001F5A70">
        <w:rPr>
          <w:sz w:val="20"/>
          <w:szCs w:val="24"/>
          <w:lang w:val="en-US"/>
        </w:rPr>
        <w:t xml:space="preserve">where </w:t>
      </w:r>
      <w:r w:rsidRPr="001F5A70">
        <w:rPr>
          <w:i/>
          <w:sz w:val="20"/>
          <w:szCs w:val="24"/>
          <w:lang w:val="en-US"/>
        </w:rPr>
        <w:t>A</w:t>
      </w:r>
      <w:r w:rsidRPr="001F5A70">
        <w:rPr>
          <w:sz w:val="20"/>
          <w:szCs w:val="24"/>
          <w:lang w:val="en-US"/>
        </w:rPr>
        <w:t xml:space="preserve"> and </w:t>
      </w:r>
      <w:r w:rsidRPr="001F5A70">
        <w:rPr>
          <w:i/>
          <w:sz w:val="20"/>
          <w:szCs w:val="24"/>
          <w:lang w:val="en-US"/>
        </w:rPr>
        <w:t>B</w:t>
      </w:r>
      <w:r w:rsidRPr="001F5A70">
        <w:rPr>
          <w:sz w:val="20"/>
          <w:szCs w:val="24"/>
          <w:lang w:val="en-US"/>
        </w:rPr>
        <w:t xml:space="preserve"> are coefficients.</w:t>
      </w:r>
    </w:p>
    <w:p w14:paraId="0A7662A7" w14:textId="77777777" w:rsidR="00421864" w:rsidRPr="001F5A70" w:rsidRDefault="00421864" w:rsidP="001F5A70">
      <w:pPr>
        <w:ind w:firstLine="567"/>
        <w:jc w:val="both"/>
        <w:rPr>
          <w:sz w:val="20"/>
          <w:szCs w:val="24"/>
          <w:lang w:val="en-US"/>
        </w:rPr>
      </w:pPr>
      <w:r w:rsidRPr="001F5A70">
        <w:rPr>
          <w:sz w:val="20"/>
          <w:szCs w:val="24"/>
          <w:lang w:val="en-US"/>
        </w:rPr>
        <w:t>The following approximation of LCOE has been found for projects of SMR with Pressurized Water Reactors (PWR):</w:t>
      </w:r>
    </w:p>
    <w:p w14:paraId="7AB353C4" w14:textId="724F07B8" w:rsidR="00421864" w:rsidRPr="001F5A70" w:rsidRDefault="00421864" w:rsidP="001F5A70">
      <w:pPr>
        <w:tabs>
          <w:tab w:val="left" w:pos="8910"/>
        </w:tabs>
        <w:spacing w:before="160" w:after="160"/>
        <w:ind w:left="3600"/>
        <w:rPr>
          <w:sz w:val="20"/>
          <w:szCs w:val="24"/>
          <w:lang w:val="en-US"/>
        </w:rPr>
      </w:pPr>
      <w:r w:rsidRPr="001F5A70">
        <w:rPr>
          <w:i/>
          <w:sz w:val="20"/>
          <w:szCs w:val="24"/>
          <w:lang w:val="en-US"/>
        </w:rPr>
        <w:t>LCOE</w:t>
      </w:r>
      <w:r w:rsidRPr="001F5A70">
        <w:rPr>
          <w:i/>
          <w:sz w:val="20"/>
          <w:szCs w:val="24"/>
          <w:vertAlign w:val="superscript"/>
          <w:lang w:val="en-US"/>
        </w:rPr>
        <w:t>PWR</w:t>
      </w:r>
      <w:r w:rsidRPr="001F5A70">
        <w:rPr>
          <w:i/>
          <w:sz w:val="20"/>
          <w:szCs w:val="24"/>
          <w:lang w:val="en-US"/>
        </w:rPr>
        <w:t xml:space="preserve"> = 83.5 + 966/P</w:t>
      </w:r>
      <w:r w:rsidR="001F5A70">
        <w:rPr>
          <w:i/>
          <w:sz w:val="20"/>
          <w:szCs w:val="24"/>
          <w:lang w:val="en-US"/>
        </w:rPr>
        <w:t xml:space="preserve">                                                              </w:t>
      </w:r>
      <w:r w:rsidRPr="001F5A70">
        <w:rPr>
          <w:sz w:val="20"/>
          <w:szCs w:val="24"/>
          <w:lang w:val="en-US"/>
        </w:rPr>
        <w:t>(2)</w:t>
      </w:r>
    </w:p>
    <w:p w14:paraId="4CA181C2" w14:textId="77777777" w:rsidR="00421864" w:rsidRPr="001F5A70" w:rsidRDefault="00421864" w:rsidP="001F5A70">
      <w:pPr>
        <w:jc w:val="both"/>
        <w:rPr>
          <w:sz w:val="20"/>
          <w:szCs w:val="24"/>
          <w:lang w:val="en-US"/>
        </w:rPr>
      </w:pPr>
      <w:r w:rsidRPr="001F5A70">
        <w:rPr>
          <w:sz w:val="20"/>
          <w:szCs w:val="24"/>
          <w:lang w:val="en-US"/>
        </w:rPr>
        <w:t xml:space="preserve">with coefficient of determination </w:t>
      </w:r>
      <w:r w:rsidRPr="001F5A70">
        <w:rPr>
          <w:i/>
          <w:sz w:val="20"/>
          <w:szCs w:val="24"/>
          <w:lang w:val="en-US"/>
        </w:rPr>
        <w:t>R</w:t>
      </w:r>
      <w:r w:rsidRPr="001F5A70">
        <w:rPr>
          <w:sz w:val="20"/>
          <w:szCs w:val="24"/>
          <w:vertAlign w:val="superscript"/>
          <w:lang w:val="en-US"/>
        </w:rPr>
        <w:t>2</w:t>
      </w:r>
      <w:r w:rsidRPr="001F5A70">
        <w:rPr>
          <w:sz w:val="20"/>
          <w:szCs w:val="24"/>
          <w:lang w:val="en-US"/>
        </w:rPr>
        <w:t xml:space="preserve"> = 84.6% and the standard error $ 24/MWh (Fig. 1).</w:t>
      </w:r>
    </w:p>
    <w:p w14:paraId="6AFBDD8B" w14:textId="77777777" w:rsidR="00421864" w:rsidRPr="001F5A70" w:rsidRDefault="00421864" w:rsidP="001F5A70">
      <w:pPr>
        <w:jc w:val="center"/>
        <w:rPr>
          <w:szCs w:val="28"/>
          <w:lang w:val="en-US"/>
        </w:rPr>
      </w:pPr>
      <w:r w:rsidRPr="001F5A70">
        <w:rPr>
          <w:noProof/>
          <w:sz w:val="18"/>
          <w:lang w:val="ru-RU" w:eastAsia="ru-RU"/>
        </w:rPr>
        <w:lastRenderedPageBreak/>
        <w:drawing>
          <wp:inline distT="0" distB="0" distL="0" distR="0" wp14:anchorId="41512CA8" wp14:editId="717E46C6">
            <wp:extent cx="5063752" cy="2976731"/>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76283" cy="2984097"/>
                    </a:xfrm>
                    <a:prstGeom prst="rect">
                      <a:avLst/>
                    </a:prstGeom>
                    <a:noFill/>
                    <a:ln>
                      <a:noFill/>
                    </a:ln>
                  </pic:spPr>
                </pic:pic>
              </a:graphicData>
            </a:graphic>
          </wp:inline>
        </w:drawing>
      </w:r>
    </w:p>
    <w:p w14:paraId="5B6F172E" w14:textId="77777777" w:rsidR="00421864" w:rsidRPr="001F5A70" w:rsidRDefault="00421864" w:rsidP="001F5A70">
      <w:pPr>
        <w:spacing w:after="160"/>
        <w:jc w:val="center"/>
        <w:rPr>
          <w:i/>
          <w:sz w:val="20"/>
          <w:szCs w:val="24"/>
          <w:lang w:val="en-US"/>
        </w:rPr>
      </w:pPr>
      <w:r w:rsidRPr="001F5A70">
        <w:rPr>
          <w:i/>
          <w:sz w:val="20"/>
          <w:szCs w:val="24"/>
          <w:lang w:val="en-US"/>
        </w:rPr>
        <w:t>Fig. 1. Approximation of LCOE Values for SMR projects with PWR</w:t>
      </w:r>
    </w:p>
    <w:p w14:paraId="4FD918F3" w14:textId="77777777" w:rsidR="00421864" w:rsidRPr="001F5A70" w:rsidRDefault="00421864" w:rsidP="001F5A70">
      <w:pPr>
        <w:ind w:firstLine="567"/>
        <w:jc w:val="both"/>
        <w:rPr>
          <w:sz w:val="20"/>
          <w:szCs w:val="24"/>
          <w:lang w:val="en-US"/>
        </w:rPr>
      </w:pPr>
      <w:r w:rsidRPr="001F5A70">
        <w:rPr>
          <w:sz w:val="20"/>
          <w:szCs w:val="24"/>
          <w:lang w:val="en-US"/>
        </w:rPr>
        <w:t xml:space="preserve">There are fewer SMR projects with Boiling Water Reactors (BWR) than with PWRs. That why the dependence of the LCOE for BWR based SMRs is splitting into to approximations – for First Of A Kind (FOAK) and for Nth Of A Kind (NOAK) SMR modules: </w:t>
      </w:r>
    </w:p>
    <w:p w14:paraId="569F08EE" w14:textId="1AE3A3AB" w:rsidR="00421864" w:rsidRPr="001F5A70" w:rsidRDefault="00421864" w:rsidP="001F5A70">
      <w:pPr>
        <w:tabs>
          <w:tab w:val="left" w:pos="8910"/>
        </w:tabs>
        <w:spacing w:before="160" w:after="160"/>
        <w:ind w:left="3600"/>
        <w:rPr>
          <w:i/>
          <w:sz w:val="20"/>
          <w:szCs w:val="24"/>
          <w:lang w:val="en-US"/>
        </w:rPr>
      </w:pPr>
      <w:r w:rsidRPr="001F5A70">
        <w:rPr>
          <w:i/>
          <w:sz w:val="20"/>
          <w:szCs w:val="24"/>
          <w:lang w:val="en-US"/>
        </w:rPr>
        <w:t>LCOE</w:t>
      </w:r>
      <w:r w:rsidRPr="001F5A70">
        <w:rPr>
          <w:i/>
          <w:sz w:val="20"/>
          <w:szCs w:val="24"/>
          <w:vertAlign w:val="superscript"/>
          <w:lang w:val="en-US"/>
        </w:rPr>
        <w:t>BWR</w:t>
      </w:r>
      <w:r w:rsidRPr="001F5A70">
        <w:rPr>
          <w:i/>
          <w:sz w:val="20"/>
          <w:szCs w:val="24"/>
          <w:vertAlign w:val="subscript"/>
          <w:lang w:val="en-US"/>
        </w:rPr>
        <w:t>FOAK</w:t>
      </w:r>
      <w:r w:rsidRPr="001F5A70">
        <w:rPr>
          <w:i/>
          <w:sz w:val="20"/>
          <w:szCs w:val="24"/>
          <w:lang w:val="en-US"/>
        </w:rPr>
        <w:t xml:space="preserve"> = 49 + 1595/P</w:t>
      </w:r>
      <w:r w:rsidR="001F5A70">
        <w:rPr>
          <w:i/>
          <w:sz w:val="20"/>
          <w:szCs w:val="24"/>
          <w:lang w:val="en-US"/>
        </w:rPr>
        <w:t xml:space="preserve">                                                        </w:t>
      </w:r>
      <w:r w:rsidRPr="001F5A70">
        <w:rPr>
          <w:sz w:val="20"/>
          <w:szCs w:val="24"/>
          <w:lang w:val="en-US"/>
        </w:rPr>
        <w:t>(3)</w:t>
      </w:r>
    </w:p>
    <w:p w14:paraId="2E266675" w14:textId="77777777" w:rsidR="00421864" w:rsidRPr="001F5A70" w:rsidRDefault="00421864" w:rsidP="001F5A70">
      <w:pPr>
        <w:jc w:val="both"/>
        <w:rPr>
          <w:sz w:val="20"/>
          <w:szCs w:val="24"/>
          <w:lang w:val="en-US"/>
        </w:rPr>
      </w:pPr>
      <w:r w:rsidRPr="001F5A70">
        <w:rPr>
          <w:sz w:val="20"/>
          <w:szCs w:val="24"/>
          <w:lang w:val="en-US"/>
        </w:rPr>
        <w:t xml:space="preserve">with coefficient of determination </w:t>
      </w:r>
      <w:r w:rsidRPr="001F5A70">
        <w:rPr>
          <w:i/>
          <w:sz w:val="20"/>
          <w:szCs w:val="24"/>
          <w:lang w:val="en-US"/>
        </w:rPr>
        <w:t>R</w:t>
      </w:r>
      <w:r w:rsidRPr="001F5A70">
        <w:rPr>
          <w:sz w:val="20"/>
          <w:szCs w:val="24"/>
          <w:vertAlign w:val="superscript"/>
          <w:lang w:val="en-US"/>
        </w:rPr>
        <w:t>2</w:t>
      </w:r>
      <w:r w:rsidRPr="001F5A70">
        <w:rPr>
          <w:sz w:val="20"/>
          <w:szCs w:val="24"/>
          <w:lang w:val="en-US"/>
        </w:rPr>
        <w:t xml:space="preserve"> = 79% and the standard error $ 9/MWh;</w:t>
      </w:r>
    </w:p>
    <w:p w14:paraId="123561BC" w14:textId="58D341A1" w:rsidR="00421864" w:rsidRPr="001F5A70" w:rsidRDefault="00421864" w:rsidP="001F5A70">
      <w:pPr>
        <w:tabs>
          <w:tab w:val="left" w:pos="8910"/>
        </w:tabs>
        <w:spacing w:before="160" w:after="160"/>
        <w:ind w:left="3600"/>
        <w:rPr>
          <w:sz w:val="20"/>
          <w:szCs w:val="24"/>
          <w:lang w:val="en-US"/>
        </w:rPr>
      </w:pPr>
      <w:r w:rsidRPr="001F5A70">
        <w:rPr>
          <w:i/>
          <w:sz w:val="20"/>
          <w:szCs w:val="24"/>
          <w:lang w:val="en-US"/>
        </w:rPr>
        <w:t>LCOE</w:t>
      </w:r>
      <w:r w:rsidRPr="001F5A70">
        <w:rPr>
          <w:i/>
          <w:sz w:val="20"/>
          <w:szCs w:val="24"/>
          <w:vertAlign w:val="superscript"/>
          <w:lang w:val="en-US"/>
        </w:rPr>
        <w:t>BWR</w:t>
      </w:r>
      <w:r w:rsidRPr="001F5A70">
        <w:rPr>
          <w:i/>
          <w:sz w:val="20"/>
          <w:szCs w:val="24"/>
          <w:vertAlign w:val="subscript"/>
          <w:lang w:val="en-US"/>
        </w:rPr>
        <w:t>NOAK</w:t>
      </w:r>
      <w:r w:rsidRPr="001F5A70">
        <w:rPr>
          <w:i/>
          <w:sz w:val="20"/>
          <w:szCs w:val="24"/>
          <w:lang w:val="en-US"/>
        </w:rPr>
        <w:t xml:space="preserve"> = 40 + 1832/P</w:t>
      </w:r>
      <w:r w:rsidR="001F5A70">
        <w:rPr>
          <w:i/>
          <w:sz w:val="20"/>
          <w:szCs w:val="24"/>
          <w:lang w:val="en-US"/>
        </w:rPr>
        <w:t xml:space="preserve">                                                        </w:t>
      </w:r>
      <w:r w:rsidRPr="001F5A70">
        <w:rPr>
          <w:sz w:val="20"/>
          <w:szCs w:val="24"/>
          <w:lang w:val="en-US"/>
        </w:rPr>
        <w:t>(4)</w:t>
      </w:r>
    </w:p>
    <w:p w14:paraId="24F32ADC" w14:textId="77777777" w:rsidR="00421864" w:rsidRPr="001F5A70" w:rsidRDefault="00421864" w:rsidP="001F5A70">
      <w:pPr>
        <w:jc w:val="both"/>
        <w:rPr>
          <w:sz w:val="20"/>
          <w:szCs w:val="24"/>
          <w:lang w:val="en-US"/>
        </w:rPr>
      </w:pPr>
      <w:r w:rsidRPr="001F5A70">
        <w:rPr>
          <w:sz w:val="20"/>
          <w:szCs w:val="24"/>
          <w:lang w:val="en-US"/>
        </w:rPr>
        <w:t xml:space="preserve">with coefficient of determination </w:t>
      </w:r>
      <w:r w:rsidRPr="001F5A70">
        <w:rPr>
          <w:i/>
          <w:sz w:val="20"/>
          <w:szCs w:val="24"/>
          <w:lang w:val="en-US"/>
        </w:rPr>
        <w:t>R</w:t>
      </w:r>
      <w:r w:rsidRPr="001F5A70">
        <w:rPr>
          <w:sz w:val="20"/>
          <w:szCs w:val="24"/>
          <w:vertAlign w:val="superscript"/>
          <w:lang w:val="en-US"/>
        </w:rPr>
        <w:t>2</w:t>
      </w:r>
      <w:r w:rsidRPr="001F5A70">
        <w:rPr>
          <w:sz w:val="20"/>
          <w:szCs w:val="24"/>
          <w:lang w:val="en-US"/>
        </w:rPr>
        <w:t xml:space="preserve"> = 98% and the standard error $ 3/MWh.</w:t>
      </w:r>
    </w:p>
    <w:p w14:paraId="1FC0114A" w14:textId="77777777" w:rsidR="00421864" w:rsidRPr="001F5A70" w:rsidRDefault="00421864" w:rsidP="001F5A70">
      <w:pPr>
        <w:jc w:val="both"/>
        <w:rPr>
          <w:sz w:val="20"/>
          <w:szCs w:val="24"/>
          <w:lang w:val="en-US"/>
        </w:rPr>
      </w:pPr>
      <w:r w:rsidRPr="001F5A70">
        <w:rPr>
          <w:sz w:val="20"/>
          <w:szCs w:val="24"/>
          <w:lang w:val="en-US"/>
        </w:rPr>
        <w:t>Both LCOE approximations for BWR based SMRs are shown on Fig. 2.</w:t>
      </w:r>
    </w:p>
    <w:p w14:paraId="266415C8" w14:textId="77777777" w:rsidR="00421864" w:rsidRPr="001F5A70" w:rsidRDefault="00421864" w:rsidP="001F5A70">
      <w:pPr>
        <w:jc w:val="center"/>
        <w:rPr>
          <w:sz w:val="20"/>
          <w:szCs w:val="24"/>
          <w:lang w:val="en-US"/>
        </w:rPr>
      </w:pPr>
    </w:p>
    <w:p w14:paraId="68A46196" w14:textId="77777777" w:rsidR="00421864" w:rsidRPr="001F5A70" w:rsidRDefault="00421864" w:rsidP="001F5A70">
      <w:pPr>
        <w:jc w:val="center"/>
        <w:rPr>
          <w:szCs w:val="28"/>
        </w:rPr>
      </w:pPr>
      <w:r w:rsidRPr="001F5A70">
        <w:rPr>
          <w:noProof/>
          <w:sz w:val="18"/>
          <w:lang w:val="ru-RU" w:eastAsia="ru-RU"/>
        </w:rPr>
        <w:drawing>
          <wp:inline distT="0" distB="0" distL="0" distR="0" wp14:anchorId="26174253" wp14:editId="3FF75F0E">
            <wp:extent cx="5001856" cy="2204403"/>
            <wp:effectExtent l="0" t="0" r="889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9714" cy="2212273"/>
                    </a:xfrm>
                    <a:prstGeom prst="rect">
                      <a:avLst/>
                    </a:prstGeom>
                    <a:noFill/>
                    <a:ln>
                      <a:noFill/>
                    </a:ln>
                  </pic:spPr>
                </pic:pic>
              </a:graphicData>
            </a:graphic>
          </wp:inline>
        </w:drawing>
      </w:r>
    </w:p>
    <w:p w14:paraId="05409FB9" w14:textId="77777777" w:rsidR="00421864" w:rsidRPr="001F5A70" w:rsidRDefault="00421864" w:rsidP="001F5A70">
      <w:pPr>
        <w:spacing w:after="160"/>
        <w:jc w:val="center"/>
        <w:rPr>
          <w:i/>
          <w:sz w:val="20"/>
          <w:szCs w:val="24"/>
          <w:lang w:val="en-US"/>
        </w:rPr>
      </w:pPr>
      <w:r w:rsidRPr="001F5A70">
        <w:rPr>
          <w:i/>
          <w:sz w:val="20"/>
          <w:szCs w:val="24"/>
          <w:lang w:val="en-US"/>
        </w:rPr>
        <w:t>Fig. 2. Approximation of LCOE Values for SMR projects with BWR</w:t>
      </w:r>
    </w:p>
    <w:p w14:paraId="1B3C22B9" w14:textId="73721C4F" w:rsidR="00421864" w:rsidRPr="001F5A70" w:rsidRDefault="00421864" w:rsidP="001F5A70">
      <w:pPr>
        <w:ind w:firstLine="567"/>
        <w:jc w:val="both"/>
        <w:rPr>
          <w:sz w:val="20"/>
          <w:szCs w:val="24"/>
          <w:lang w:val="en-US"/>
        </w:rPr>
      </w:pPr>
      <w:r w:rsidRPr="001F5A70">
        <w:rPr>
          <w:sz w:val="20"/>
          <w:szCs w:val="24"/>
          <w:lang w:val="en-US"/>
        </w:rPr>
        <w:t>The LCOE for PWR technology with increasing power tends to a range of about $ 56–117 / MWh (which corresponds to an 80 percent confidence interval of the LCOE). The upper limit of the range corresponds to a greater extent either to the FOAK stage, or to SMR layouts that do not provide for multi-modularity, and the lower one – for NOAK multi-module SMRs.</w:t>
      </w:r>
    </w:p>
    <w:p w14:paraId="6D0CD49E" w14:textId="77777777" w:rsidR="00421864" w:rsidRPr="001F5A70" w:rsidRDefault="00421864" w:rsidP="001F5A70">
      <w:pPr>
        <w:ind w:firstLine="567"/>
        <w:jc w:val="both"/>
        <w:rPr>
          <w:sz w:val="20"/>
          <w:szCs w:val="24"/>
          <w:lang w:val="en-US"/>
        </w:rPr>
      </w:pPr>
      <w:r w:rsidRPr="001F5A70">
        <w:rPr>
          <w:sz w:val="20"/>
          <w:szCs w:val="24"/>
          <w:lang w:val="en-US"/>
        </w:rPr>
        <w:t xml:space="preserve">The BWR technology at high module power allows achieving a very low LCOE of about $ 40 / MWh. Thus, the LCOE estimate for SMR projects based on BWRs can be 25-40% lower than the LCOE estimate for PWR-based projects. </w:t>
      </w:r>
    </w:p>
    <w:p w14:paraId="2045A132" w14:textId="77777777" w:rsidR="00421864" w:rsidRPr="001F5A70" w:rsidRDefault="00421864" w:rsidP="001F5A70">
      <w:pPr>
        <w:ind w:firstLine="567"/>
        <w:jc w:val="both"/>
        <w:rPr>
          <w:sz w:val="20"/>
          <w:szCs w:val="24"/>
          <w:lang w:val="en-US"/>
        </w:rPr>
      </w:pPr>
      <w:r w:rsidRPr="001F5A70">
        <w:rPr>
          <w:sz w:val="20"/>
          <w:szCs w:val="24"/>
          <w:lang w:val="en-US"/>
        </w:rPr>
        <w:t>SMR projects based on both PWRs and BWRs can be competitive on the “Off-Grid” market starting from module power 50 MW.</w:t>
      </w:r>
    </w:p>
    <w:p w14:paraId="2A45AEF1" w14:textId="77777777" w:rsidR="00421864" w:rsidRPr="001F5A70" w:rsidRDefault="00421864" w:rsidP="001F5A70">
      <w:pPr>
        <w:ind w:firstLine="567"/>
        <w:jc w:val="both"/>
        <w:rPr>
          <w:sz w:val="20"/>
          <w:szCs w:val="24"/>
          <w:lang w:val="en-US"/>
        </w:rPr>
      </w:pPr>
      <w:r w:rsidRPr="001F5A70">
        <w:rPr>
          <w:sz w:val="20"/>
          <w:szCs w:val="24"/>
          <w:lang w:val="en-US"/>
        </w:rPr>
        <w:lastRenderedPageBreak/>
        <w:t>It follows from the analysis that a LCOE value of less than $ 50 / MWh is in principle unattainable for PWR-based SMRs (this is the lower limit of the 90% confidence interval for the LCOE limit at the upper edge of the SMR power). Therefore, SMRs based on PWR technology are unlikely to be competitive at all against gas generation and renewable energy sources on the "Grid" market. On the contrary, BWR-based SMRs have the potential to achieve LCOE of about $ 45-60 / MWh at a 200-300 MW module power at the NOAK stage and can pretend on the "Grid" market starting from the module power about 150 MW, but there may be safety concern arising from the Fukushima accident.</w:t>
      </w:r>
    </w:p>
    <w:p w14:paraId="4E551ABB" w14:textId="77777777" w:rsidR="00421864" w:rsidRPr="001F5A70" w:rsidRDefault="00421864" w:rsidP="001F5A70">
      <w:pPr>
        <w:spacing w:after="160"/>
        <w:ind w:firstLine="567"/>
        <w:jc w:val="both"/>
        <w:rPr>
          <w:sz w:val="20"/>
          <w:szCs w:val="24"/>
          <w:lang w:val="en-US"/>
        </w:rPr>
      </w:pPr>
      <w:r w:rsidRPr="001F5A70">
        <w:rPr>
          <w:sz w:val="20"/>
          <w:szCs w:val="24"/>
          <w:lang w:val="en-US"/>
        </w:rPr>
        <w:t>According to a 2018 study of Energy Technology Institute (ETI) [5] the dependence of LCOE on reactor technology is significant (Fig. 3.). It can be seen that all advanced reactor technologies have a potential to reduce LCOE due to the low pressure inside the reactor vessel and due to the simplification of safety systems.</w:t>
      </w:r>
    </w:p>
    <w:p w14:paraId="31EF6734" w14:textId="77777777" w:rsidR="00421864" w:rsidRPr="001F5A70" w:rsidRDefault="00421864" w:rsidP="001F5A70">
      <w:pPr>
        <w:jc w:val="center"/>
        <w:rPr>
          <w:szCs w:val="28"/>
          <w:lang w:val="en-US"/>
        </w:rPr>
      </w:pPr>
      <w:r w:rsidRPr="001F5A70">
        <w:rPr>
          <w:noProof/>
          <w:sz w:val="18"/>
          <w:lang w:val="ru-RU" w:eastAsia="ru-RU"/>
        </w:rPr>
        <w:drawing>
          <wp:inline distT="0" distB="0" distL="0" distR="0" wp14:anchorId="043B4FB6" wp14:editId="726DA88B">
            <wp:extent cx="5940425" cy="200663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2006630"/>
                    </a:xfrm>
                    <a:prstGeom prst="rect">
                      <a:avLst/>
                    </a:prstGeom>
                    <a:noFill/>
                    <a:ln>
                      <a:noFill/>
                    </a:ln>
                  </pic:spPr>
                </pic:pic>
              </a:graphicData>
            </a:graphic>
          </wp:inline>
        </w:drawing>
      </w:r>
    </w:p>
    <w:p w14:paraId="4857059D" w14:textId="77777777" w:rsidR="00421864" w:rsidRPr="001F5A70" w:rsidRDefault="00421864" w:rsidP="001F5A70">
      <w:pPr>
        <w:spacing w:after="160"/>
        <w:jc w:val="center"/>
        <w:rPr>
          <w:i/>
          <w:sz w:val="20"/>
          <w:szCs w:val="24"/>
          <w:lang w:val="en-US"/>
        </w:rPr>
      </w:pPr>
      <w:r w:rsidRPr="001F5A70">
        <w:rPr>
          <w:i/>
          <w:sz w:val="20"/>
          <w:szCs w:val="24"/>
          <w:lang w:val="en-US"/>
        </w:rPr>
        <w:t>Fig 3. LCOE Estimates for SMR Based on Different Reactor Technologies in USA [5]</w:t>
      </w:r>
    </w:p>
    <w:p w14:paraId="4D7F3C10" w14:textId="77777777" w:rsidR="00421864" w:rsidRPr="001F5A70" w:rsidRDefault="00421864" w:rsidP="001F5A70">
      <w:pPr>
        <w:ind w:firstLine="567"/>
        <w:jc w:val="both"/>
        <w:rPr>
          <w:sz w:val="20"/>
          <w:szCs w:val="24"/>
          <w:lang w:val="en-US"/>
        </w:rPr>
      </w:pPr>
      <w:r w:rsidRPr="001F5A70">
        <w:rPr>
          <w:sz w:val="20"/>
          <w:szCs w:val="24"/>
          <w:lang w:val="en-US"/>
        </w:rPr>
        <w:t>Transition from water to more efficient coolants: gas (helium), metal (sodium, lead, lead-bismuth eutectic) or molten salts predetermines the achievement of improved technical and economic characteristics: an increase in thermodynamic efficiency, the increased safety based on physics laws instead of expensive emergency cooling systems, and leads to CAPEX reduction. A less expensive Brayton cycle with the gas turbine (HTGR, GFR) will be possible in some cases.</w:t>
      </w:r>
    </w:p>
    <w:p w14:paraId="25301E76" w14:textId="77777777" w:rsidR="00421864" w:rsidRPr="001F5A70" w:rsidRDefault="00421864" w:rsidP="001F5A70">
      <w:pPr>
        <w:spacing w:after="160"/>
        <w:ind w:firstLine="567"/>
        <w:jc w:val="both"/>
        <w:rPr>
          <w:sz w:val="20"/>
          <w:szCs w:val="24"/>
          <w:lang w:val="en-US"/>
        </w:rPr>
      </w:pPr>
      <w:r w:rsidRPr="001F5A70">
        <w:rPr>
          <w:sz w:val="20"/>
          <w:szCs w:val="24"/>
          <w:lang w:val="en-US"/>
        </w:rPr>
        <w:t>Results of the analysis of published LCOE estimates for SMR projects with different reactor technologies verified by LCOE calculations [2] are shown of Fig. 4 and are similar to ETI estimates (except the LCOE for Fast Breeder Reactors (FBR) which estimate by ETI seems to be too high because of very high fuel cost ($ 19/MWh) assumed for FBR).</w:t>
      </w:r>
    </w:p>
    <w:p w14:paraId="420D56E1" w14:textId="77777777" w:rsidR="00421864" w:rsidRPr="001F5A70" w:rsidRDefault="00421864" w:rsidP="001F5A70">
      <w:pPr>
        <w:jc w:val="center"/>
        <w:rPr>
          <w:szCs w:val="28"/>
          <w:lang w:val="en-US"/>
        </w:rPr>
      </w:pPr>
      <w:r w:rsidRPr="001F5A70">
        <w:rPr>
          <w:noProof/>
          <w:sz w:val="18"/>
          <w:lang w:val="ru-RU" w:eastAsia="ru-RU"/>
        </w:rPr>
        <w:drawing>
          <wp:inline distT="0" distB="0" distL="0" distR="0" wp14:anchorId="73E7DBDF" wp14:editId="20EAF220">
            <wp:extent cx="3910965" cy="26187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0965" cy="2618740"/>
                    </a:xfrm>
                    <a:prstGeom prst="rect">
                      <a:avLst/>
                    </a:prstGeom>
                    <a:noFill/>
                    <a:ln>
                      <a:noFill/>
                    </a:ln>
                  </pic:spPr>
                </pic:pic>
              </a:graphicData>
            </a:graphic>
          </wp:inline>
        </w:drawing>
      </w:r>
    </w:p>
    <w:p w14:paraId="14CAD08E" w14:textId="77777777" w:rsidR="00421864" w:rsidRPr="001F5A70" w:rsidRDefault="00421864" w:rsidP="001F5A70">
      <w:pPr>
        <w:spacing w:after="160"/>
        <w:contextualSpacing/>
        <w:jc w:val="center"/>
        <w:rPr>
          <w:i/>
          <w:sz w:val="20"/>
          <w:szCs w:val="24"/>
          <w:lang w:val="en-US"/>
        </w:rPr>
      </w:pPr>
      <w:r w:rsidRPr="001F5A70">
        <w:rPr>
          <w:i/>
          <w:sz w:val="20"/>
          <w:szCs w:val="24"/>
          <w:lang w:val="en-US"/>
        </w:rPr>
        <w:t>Fig. 4. Comparison of LCOE approximations for different reactor technology [2]</w:t>
      </w:r>
    </w:p>
    <w:p w14:paraId="433FE078" w14:textId="43AF90C2" w:rsidR="00897ED5" w:rsidRPr="001F5A70" w:rsidRDefault="00421864" w:rsidP="001F5A70">
      <w:pPr>
        <w:pStyle w:val="a1"/>
        <w:spacing w:line="240" w:lineRule="auto"/>
        <w:rPr>
          <w:sz w:val="16"/>
        </w:rPr>
      </w:pPr>
      <w:r w:rsidRPr="001F5A70">
        <w:rPr>
          <w:szCs w:val="24"/>
          <w:lang w:val="en-US"/>
        </w:rPr>
        <w:t>The analysis has shown that FBR SMRs have the maximum potential for reducing the LCOE, but their fuel cycle still needs commercialization, and at near time the non-proliferation issues may be addressed. HTGR with Brayton cycle have certain potential to reduce LCOE, but their deployment requires a deep R&amp;D.</w:t>
      </w:r>
    </w:p>
    <w:p w14:paraId="38879FD3" w14:textId="18A6C63B" w:rsidR="00603F06" w:rsidRDefault="00603F06" w:rsidP="00390271">
      <w:pPr>
        <w:pStyle w:val="2"/>
        <w:numPr>
          <w:ilvl w:val="1"/>
          <w:numId w:val="12"/>
        </w:numPr>
      </w:pPr>
      <w:r w:rsidRPr="009A4738">
        <w:rPr>
          <w:caps w:val="0"/>
        </w:rPr>
        <w:lastRenderedPageBreak/>
        <w:t>CONCLUSION</w:t>
      </w:r>
    </w:p>
    <w:p w14:paraId="15BF88D2" w14:textId="77777777" w:rsidR="001F5A70" w:rsidRDefault="001F5A70" w:rsidP="001F5A70">
      <w:pPr>
        <w:pStyle w:val="a1"/>
      </w:pPr>
      <w:r>
        <w:t xml:space="preserve">Thus, the competitiveness of SMR projects based on advanced reactor technologies beyond 2030 depends on the future severity of </w:t>
      </w:r>
      <w:proofErr w:type="spellStart"/>
      <w:r>
        <w:t>nonproliferation</w:t>
      </w:r>
      <w:proofErr w:type="spellEnd"/>
      <w:r>
        <w:t xml:space="preserve"> issues for potential customers. Depending on this, either HTGRs with a thermal spectrum (the most proliferation-resistant due to the use of TRISO fuel) or reactors with a fast neutron spectrum can receive priority.</w:t>
      </w:r>
    </w:p>
    <w:p w14:paraId="433117BB" w14:textId="6FF08BE5" w:rsidR="00603F06" w:rsidRPr="009A4738" w:rsidRDefault="001F5A70" w:rsidP="001F5A70">
      <w:pPr>
        <w:pStyle w:val="a1"/>
      </w:pPr>
      <w:r>
        <w:t>It should be mentioned that estimates of technology readiness level (TRL) for all advanced reactor technologies are lower than TRL of PWR technology. Thus, the question for further studies is: how strong the economical characteristics (CAPEX and LCOE) of SMR based on advanced reactor technologies are correlated with their readiness levels, and how much the economics of SMR projects can change with increase of TRL.</w:t>
      </w:r>
    </w:p>
    <w:p w14:paraId="433FE097" w14:textId="77777777" w:rsidR="00D26ADA" w:rsidRPr="00285755" w:rsidRDefault="00D26ADA" w:rsidP="00537496">
      <w:pPr>
        <w:pStyle w:val="Otherunnumberedheadings"/>
      </w:pPr>
      <w:r>
        <w:t>References</w:t>
      </w:r>
    </w:p>
    <w:p w14:paraId="7C102897" w14:textId="77777777" w:rsidR="00E36AA0" w:rsidRDefault="00E36AA0" w:rsidP="00E36AA0">
      <w:pPr>
        <w:pStyle w:val="Referencelist"/>
      </w:pPr>
      <w:proofErr w:type="spellStart"/>
      <w:r>
        <w:t>Zhuravlev</w:t>
      </w:r>
      <w:proofErr w:type="spellEnd"/>
      <w:r>
        <w:t xml:space="preserve"> I.B. Possibility of Capital Reserve Allocation for Nuclear-Risk Insurance Coverage on Transitioning to SMRs. - Atomic Energy. - 2020. - Vol. 128(5). - pp. 288-292. http://link.springer.com/article/10.1007/s10512-020-00693-5.</w:t>
      </w:r>
    </w:p>
    <w:p w14:paraId="12F22B75" w14:textId="77777777" w:rsidR="00E36AA0" w:rsidRDefault="00E36AA0" w:rsidP="00E36AA0">
      <w:pPr>
        <w:pStyle w:val="Referencelist"/>
      </w:pPr>
      <w:r>
        <w:t xml:space="preserve">Technological and Economic Aspects of Small Modular Reactor (SMR) Projects. Analytical report / </w:t>
      </w:r>
      <w:proofErr w:type="spellStart"/>
      <w:r>
        <w:t>Zhuravlev</w:t>
      </w:r>
      <w:proofErr w:type="spellEnd"/>
      <w:r>
        <w:t xml:space="preserve"> I.B., </w:t>
      </w:r>
      <w:proofErr w:type="spellStart"/>
      <w:r>
        <w:t>Krupnova</w:t>
      </w:r>
      <w:proofErr w:type="spellEnd"/>
      <w:r>
        <w:t xml:space="preserve"> A.P., </w:t>
      </w:r>
      <w:proofErr w:type="spellStart"/>
      <w:r>
        <w:t>Ptitsyn</w:t>
      </w:r>
      <w:proofErr w:type="spellEnd"/>
      <w:r>
        <w:t xml:space="preserve"> P.B. - CARD, PE "Science and Innovations". 2020. - 124 p.</w:t>
      </w:r>
    </w:p>
    <w:p w14:paraId="6F79F20E" w14:textId="77777777" w:rsidR="00E36AA0" w:rsidRDefault="00E36AA0" w:rsidP="00E36AA0">
      <w:pPr>
        <w:pStyle w:val="Referencelist"/>
      </w:pPr>
      <w:proofErr w:type="spellStart"/>
      <w:r>
        <w:t>Levelized</w:t>
      </w:r>
      <w:proofErr w:type="spellEnd"/>
      <w:r>
        <w:t xml:space="preserve"> Cost and </w:t>
      </w:r>
      <w:proofErr w:type="spellStart"/>
      <w:r>
        <w:t>Levelized</w:t>
      </w:r>
      <w:proofErr w:type="spellEnd"/>
      <w:r>
        <w:t xml:space="preserve"> Avoided Cost of New Generation Resources in the Annual Energy Outlook 2019. U.S. Energy Information Administration - February 2019.</w:t>
      </w:r>
    </w:p>
    <w:p w14:paraId="3447F906" w14:textId="77777777" w:rsidR="00E36AA0" w:rsidRDefault="00E36AA0" w:rsidP="00E36AA0">
      <w:pPr>
        <w:pStyle w:val="Referencelist"/>
      </w:pPr>
      <w:proofErr w:type="spellStart"/>
      <w:r>
        <w:t>Usynin</w:t>
      </w:r>
      <w:proofErr w:type="spellEnd"/>
      <w:r>
        <w:t xml:space="preserve"> G.B., </w:t>
      </w:r>
      <w:proofErr w:type="spellStart"/>
      <w:r>
        <w:t>Kusmartsev</w:t>
      </w:r>
      <w:proofErr w:type="spellEnd"/>
      <w:r>
        <w:t xml:space="preserve"> E.V. Fast neutron reactors / edited by F.M. </w:t>
      </w:r>
      <w:proofErr w:type="spellStart"/>
      <w:r>
        <w:t>Mitenkov</w:t>
      </w:r>
      <w:proofErr w:type="spellEnd"/>
      <w:r>
        <w:t>. - Moscow, 1985. - 288 p (in Russian).</w:t>
      </w:r>
    </w:p>
    <w:p w14:paraId="4829316C" w14:textId="77777777" w:rsidR="00E36AA0" w:rsidRDefault="00E36AA0" w:rsidP="00E36AA0">
      <w:pPr>
        <w:pStyle w:val="Referencelist"/>
      </w:pPr>
      <w:r>
        <w:t>The ETI Nuclear Cost Drivers Project: Summary Report. Energy Technology Institute - April 2018.</w:t>
      </w:r>
    </w:p>
    <w:p w14:paraId="7A445539" w14:textId="5BE1AF55" w:rsidR="00902A5E" w:rsidRPr="00360AE7" w:rsidRDefault="00902A5E" w:rsidP="00E36AA0">
      <w:pPr>
        <w:pStyle w:val="Referencelist"/>
        <w:numPr>
          <w:ilvl w:val="0"/>
          <w:numId w:val="0"/>
        </w:numPr>
        <w:ind w:left="720"/>
      </w:pPr>
    </w:p>
    <w:sectPr w:rsidR="00902A5E" w:rsidRPr="00360AE7" w:rsidSect="007C3E08">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1D280" w14:textId="77777777" w:rsidR="006353BA" w:rsidRDefault="006353BA">
      <w:r>
        <w:separator/>
      </w:r>
    </w:p>
  </w:endnote>
  <w:endnote w:type="continuationSeparator" w:id="0">
    <w:p w14:paraId="62FEA978" w14:textId="77777777" w:rsidR="006353BA" w:rsidRDefault="0063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3069B89A" w:rsidR="00E20E70" w:rsidRPr="00037321" w:rsidRDefault="00E20E70">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71AB4" w14:textId="77777777" w:rsidR="006353BA" w:rsidRDefault="006353BA">
      <w:r>
        <w:t>___________________________________________________________________________</w:t>
      </w:r>
    </w:p>
  </w:footnote>
  <w:footnote w:type="continuationSeparator" w:id="0">
    <w:p w14:paraId="51CBAEAB" w14:textId="77777777" w:rsidR="006353BA" w:rsidRDefault="006353BA">
      <w:r>
        <w:t>___________________________________________________________________________</w:t>
      </w:r>
    </w:p>
  </w:footnote>
  <w:footnote w:type="continuationNotice" w:id="1">
    <w:p w14:paraId="18E7DD84" w14:textId="77777777" w:rsidR="006353BA" w:rsidRDefault="006353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F11E1" w14:textId="2C1189FB" w:rsidR="00E36AA0" w:rsidRPr="00C73D34" w:rsidRDefault="00CF7AF3" w:rsidP="00E36AA0">
    <w:pPr>
      <w:pStyle w:val="Runninghead"/>
    </w:pPr>
    <w:r>
      <w:tab/>
    </w:r>
    <w:r w:rsidR="002C29DB">
      <w:t xml:space="preserve">FR21: </w:t>
    </w:r>
    <w:r>
      <w:t>IAEA-CN-</w:t>
    </w:r>
    <w:r w:rsidR="002C29DB">
      <w:t>291</w:t>
    </w:r>
    <w:r w:rsidR="00E36AA0">
      <w:t xml:space="preserve"> #142</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5" w14:textId="4CCA4616" w:rsidR="00037321" w:rsidRPr="009E1558" w:rsidRDefault="001D1ECE" w:rsidP="005D615D">
    <w:pPr>
      <w:pStyle w:val="Runninghead"/>
      <w:rPr>
        <w:color w:val="BFBFBF" w:themeColor="background1" w:themeShade="BF"/>
      </w:rPr>
    </w:pPr>
    <w:r w:rsidRPr="001D1ECE">
      <w:t>Z</w:t>
    </w:r>
    <w:r>
      <w:t>HURAVLEV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FD4"/>
    <w:multiLevelType w:val="multilevel"/>
    <w:tmpl w:val="CC98645A"/>
    <w:name w:val="HeadingTemplate4"/>
    <w:numStyleLink w:val="1"/>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0FB94CB0"/>
    <w:multiLevelType w:val="hybridMultilevel"/>
    <w:tmpl w:val="8B98E2FA"/>
    <w:lvl w:ilvl="0" w:tplc="2CB204BC">
      <w:start w:val="1"/>
      <w:numFmt w:val="bullet"/>
      <w:lvlText w:val="•"/>
      <w:lvlJc w:val="left"/>
      <w:pPr>
        <w:tabs>
          <w:tab w:val="num" w:pos="720"/>
        </w:tabs>
        <w:ind w:left="720" w:hanging="360"/>
      </w:pPr>
      <w:rPr>
        <w:rFonts w:ascii="Arial" w:hAnsi="Arial" w:hint="default"/>
      </w:rPr>
    </w:lvl>
    <w:lvl w:ilvl="1" w:tplc="03DECB7E" w:tentative="1">
      <w:start w:val="1"/>
      <w:numFmt w:val="bullet"/>
      <w:lvlText w:val="•"/>
      <w:lvlJc w:val="left"/>
      <w:pPr>
        <w:tabs>
          <w:tab w:val="num" w:pos="1440"/>
        </w:tabs>
        <w:ind w:left="1440" w:hanging="360"/>
      </w:pPr>
      <w:rPr>
        <w:rFonts w:ascii="Arial" w:hAnsi="Arial" w:hint="default"/>
      </w:rPr>
    </w:lvl>
    <w:lvl w:ilvl="2" w:tplc="2ECCD5EC" w:tentative="1">
      <w:start w:val="1"/>
      <w:numFmt w:val="bullet"/>
      <w:lvlText w:val="•"/>
      <w:lvlJc w:val="left"/>
      <w:pPr>
        <w:tabs>
          <w:tab w:val="num" w:pos="2160"/>
        </w:tabs>
        <w:ind w:left="2160" w:hanging="360"/>
      </w:pPr>
      <w:rPr>
        <w:rFonts w:ascii="Arial" w:hAnsi="Arial" w:hint="default"/>
      </w:rPr>
    </w:lvl>
    <w:lvl w:ilvl="3" w:tplc="703E7A72" w:tentative="1">
      <w:start w:val="1"/>
      <w:numFmt w:val="bullet"/>
      <w:lvlText w:val="•"/>
      <w:lvlJc w:val="left"/>
      <w:pPr>
        <w:tabs>
          <w:tab w:val="num" w:pos="2880"/>
        </w:tabs>
        <w:ind w:left="2880" w:hanging="360"/>
      </w:pPr>
      <w:rPr>
        <w:rFonts w:ascii="Arial" w:hAnsi="Arial" w:hint="default"/>
      </w:rPr>
    </w:lvl>
    <w:lvl w:ilvl="4" w:tplc="F43C366E" w:tentative="1">
      <w:start w:val="1"/>
      <w:numFmt w:val="bullet"/>
      <w:lvlText w:val="•"/>
      <w:lvlJc w:val="left"/>
      <w:pPr>
        <w:tabs>
          <w:tab w:val="num" w:pos="3600"/>
        </w:tabs>
        <w:ind w:left="3600" w:hanging="360"/>
      </w:pPr>
      <w:rPr>
        <w:rFonts w:ascii="Arial" w:hAnsi="Arial" w:hint="default"/>
      </w:rPr>
    </w:lvl>
    <w:lvl w:ilvl="5" w:tplc="A1A01F26" w:tentative="1">
      <w:start w:val="1"/>
      <w:numFmt w:val="bullet"/>
      <w:lvlText w:val="•"/>
      <w:lvlJc w:val="left"/>
      <w:pPr>
        <w:tabs>
          <w:tab w:val="num" w:pos="4320"/>
        </w:tabs>
        <w:ind w:left="4320" w:hanging="360"/>
      </w:pPr>
      <w:rPr>
        <w:rFonts w:ascii="Arial" w:hAnsi="Arial" w:hint="default"/>
      </w:rPr>
    </w:lvl>
    <w:lvl w:ilvl="6" w:tplc="4A482108" w:tentative="1">
      <w:start w:val="1"/>
      <w:numFmt w:val="bullet"/>
      <w:lvlText w:val="•"/>
      <w:lvlJc w:val="left"/>
      <w:pPr>
        <w:tabs>
          <w:tab w:val="num" w:pos="5040"/>
        </w:tabs>
        <w:ind w:left="5040" w:hanging="360"/>
      </w:pPr>
      <w:rPr>
        <w:rFonts w:ascii="Arial" w:hAnsi="Arial" w:hint="default"/>
      </w:rPr>
    </w:lvl>
    <w:lvl w:ilvl="7" w:tplc="BAA8653A" w:tentative="1">
      <w:start w:val="1"/>
      <w:numFmt w:val="bullet"/>
      <w:lvlText w:val="•"/>
      <w:lvlJc w:val="left"/>
      <w:pPr>
        <w:tabs>
          <w:tab w:val="num" w:pos="5760"/>
        </w:tabs>
        <w:ind w:left="5760" w:hanging="360"/>
      </w:pPr>
      <w:rPr>
        <w:rFonts w:ascii="Arial" w:hAnsi="Arial" w:hint="default"/>
      </w:rPr>
    </w:lvl>
    <w:lvl w:ilvl="8" w:tplc="F2D6C1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220A5D"/>
    <w:multiLevelType w:val="hybridMultilevel"/>
    <w:tmpl w:val="D7F4522C"/>
    <w:name w:val="HeadingTemplate3"/>
    <w:lvl w:ilvl="0" w:tplc="E126ED7A">
      <w:start w:val="5"/>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90E74CB"/>
    <w:multiLevelType w:val="multilevel"/>
    <w:tmpl w:val="96E8D29C"/>
    <w:name w:val="HeadingTemplate72"/>
    <w:lvl w:ilvl="0">
      <w:start w:val="1"/>
      <w:numFmt w:val="none"/>
      <w:lvlRestart w:val="0"/>
      <w:lvlText w:val=""/>
      <w:lvlJc w:val="left"/>
      <w:pPr>
        <w:tabs>
          <w:tab w:val="num" w:pos="459"/>
        </w:tabs>
        <w:ind w:left="0" w:firstLine="0"/>
      </w:pPr>
      <w:rPr>
        <w:rFonts w:hint="default"/>
      </w:rPr>
    </w:lvl>
    <w:lvl w:ilvl="1">
      <w:start w:val="3"/>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6" w15:restartNumberingAfterBreak="0">
    <w:nsid w:val="1B652102"/>
    <w:multiLevelType w:val="hybridMultilevel"/>
    <w:tmpl w:val="68806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531A9"/>
    <w:multiLevelType w:val="multilevel"/>
    <w:tmpl w:val="CC98645A"/>
    <w:styleLink w:val="1"/>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9"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02CAC"/>
    <w:multiLevelType w:val="multilevel"/>
    <w:tmpl w:val="169E25D4"/>
    <w:name w:val="HeadingTemplate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2"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C36E87"/>
    <w:multiLevelType w:val="multilevel"/>
    <w:tmpl w:val="0419001D"/>
    <w:name w:val="HeadingTempla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5D1887"/>
    <w:multiLevelType w:val="multilevel"/>
    <w:tmpl w:val="8BE6748A"/>
    <w:name w:val="HeadingTemplate"/>
    <w:lvl w:ilvl="0">
      <w:start w:val="1"/>
      <w:numFmt w:val="decimal"/>
      <w:lvlRestart w:val="0"/>
      <w:lvlText w:val="%1"/>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15:restartNumberingAfterBreak="0">
    <w:nsid w:val="49C260B6"/>
    <w:multiLevelType w:val="multilevel"/>
    <w:tmpl w:val="191A49E6"/>
    <w:name w:val="HeadingTemplate72"/>
    <w:lvl w:ilvl="0">
      <w:start w:val="1"/>
      <w:numFmt w:val="none"/>
      <w:lvlRestart w:val="0"/>
      <w:lvlText w:val=""/>
      <w:lvlJc w:val="left"/>
      <w:pPr>
        <w:tabs>
          <w:tab w:val="num" w:pos="459"/>
        </w:tabs>
        <w:ind w:left="0" w:firstLine="0"/>
      </w:pPr>
      <w:rPr>
        <w:rFonts w:hint="default"/>
      </w:rPr>
    </w:lvl>
    <w:lvl w:ilvl="1">
      <w:start w:val="4"/>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15:restartNumberingAfterBreak="0">
    <w:nsid w:val="4B2E62D6"/>
    <w:multiLevelType w:val="hybridMultilevel"/>
    <w:tmpl w:val="B9A45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D80143"/>
    <w:multiLevelType w:val="hybridMultilevel"/>
    <w:tmpl w:val="15769C14"/>
    <w:name w:val="HeadingTemplate6"/>
    <w:lvl w:ilvl="0" w:tplc="29FC2D50">
      <w:start w:val="1"/>
      <w:numFmt w:val="decimal"/>
      <w:pStyle w:val="4"/>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15:restartNumberingAfterBreak="0">
    <w:nsid w:val="58E9190A"/>
    <w:multiLevelType w:val="multilevel"/>
    <w:tmpl w:val="79482430"/>
    <w:name w:val="HeadingTemplate722"/>
    <w:lvl w:ilvl="0">
      <w:start w:val="1"/>
      <w:numFmt w:val="none"/>
      <w:lvlRestart w:val="0"/>
      <w:lvlText w:val=""/>
      <w:lvlJc w:val="left"/>
      <w:pPr>
        <w:tabs>
          <w:tab w:val="num" w:pos="459"/>
        </w:tabs>
        <w:ind w:left="0" w:firstLine="0"/>
      </w:pPr>
      <w:rPr>
        <w:rFonts w:hint="default"/>
      </w:rPr>
    </w:lvl>
    <w:lvl w:ilvl="1">
      <w:start w:val="5"/>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0" w15:restartNumberingAfterBreak="0">
    <w:nsid w:val="5BBD1F65"/>
    <w:multiLevelType w:val="multilevel"/>
    <w:tmpl w:val="47142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FD51093"/>
    <w:multiLevelType w:val="multilevel"/>
    <w:tmpl w:val="095429F2"/>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18"/>
  </w:num>
  <w:num w:numId="2">
    <w:abstractNumId w:val="9"/>
  </w:num>
  <w:num w:numId="3">
    <w:abstractNumId w:val="11"/>
  </w:num>
  <w:num w:numId="4">
    <w:abstractNumId w:val="1"/>
  </w:num>
  <w:num w:numId="5">
    <w:abstractNumId w:val="21"/>
  </w:num>
  <w:num w:numId="6">
    <w:abstractNumId w:val="4"/>
  </w:num>
  <w:num w:numId="7">
    <w:abstractNumId w:val="7"/>
  </w:num>
  <w:num w:numId="8">
    <w:abstractNumId w:val="12"/>
  </w:num>
  <w:num w:numId="9">
    <w:abstractNumId w:val="10"/>
  </w:num>
  <w:num w:numId="10">
    <w:abstractNumId w:val="8"/>
  </w:num>
  <w:num w:numId="11">
    <w:abstractNumId w:val="17"/>
  </w:num>
  <w:num w:numId="12">
    <w:abstractNumId w:val="5"/>
  </w:num>
  <w:num w:numId="13">
    <w:abstractNumId w:val="15"/>
  </w:num>
  <w:num w:numId="14">
    <w:abstractNumId w:val="19"/>
  </w:num>
  <w:num w:numId="15">
    <w:abstractNumId w:val="3"/>
  </w:num>
  <w:num w:numId="16">
    <w:abstractNumId w:val="20"/>
  </w:num>
  <w:num w:numId="17">
    <w:abstractNumId w:val="2"/>
  </w:num>
  <w:num w:numId="18">
    <w:abstractNumId w:val="16"/>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1029"/>
    <w:rsid w:val="00003206"/>
    <w:rsid w:val="000229AB"/>
    <w:rsid w:val="0002569A"/>
    <w:rsid w:val="00037321"/>
    <w:rsid w:val="00080C4B"/>
    <w:rsid w:val="00093A64"/>
    <w:rsid w:val="000A0299"/>
    <w:rsid w:val="000A2990"/>
    <w:rsid w:val="000C4285"/>
    <w:rsid w:val="000C4332"/>
    <w:rsid w:val="000F7E94"/>
    <w:rsid w:val="00103F05"/>
    <w:rsid w:val="001119D6"/>
    <w:rsid w:val="001308F2"/>
    <w:rsid w:val="001313E8"/>
    <w:rsid w:val="00183BC4"/>
    <w:rsid w:val="001A3E11"/>
    <w:rsid w:val="001C58F5"/>
    <w:rsid w:val="001C7544"/>
    <w:rsid w:val="001D1ECE"/>
    <w:rsid w:val="001D5CEE"/>
    <w:rsid w:val="001F0B0E"/>
    <w:rsid w:val="001F5A70"/>
    <w:rsid w:val="002071D9"/>
    <w:rsid w:val="0023450F"/>
    <w:rsid w:val="00256822"/>
    <w:rsid w:val="0026525A"/>
    <w:rsid w:val="00274790"/>
    <w:rsid w:val="002842D3"/>
    <w:rsid w:val="00285755"/>
    <w:rsid w:val="0029619D"/>
    <w:rsid w:val="002A1F9C"/>
    <w:rsid w:val="002B29C2"/>
    <w:rsid w:val="002C29DB"/>
    <w:rsid w:val="002C4208"/>
    <w:rsid w:val="00345864"/>
    <w:rsid w:val="00352DE1"/>
    <w:rsid w:val="0035570C"/>
    <w:rsid w:val="0035593A"/>
    <w:rsid w:val="00360AE7"/>
    <w:rsid w:val="003728E6"/>
    <w:rsid w:val="00390271"/>
    <w:rsid w:val="003B5E0E"/>
    <w:rsid w:val="003D255A"/>
    <w:rsid w:val="00416949"/>
    <w:rsid w:val="00421864"/>
    <w:rsid w:val="004231C2"/>
    <w:rsid w:val="004370D8"/>
    <w:rsid w:val="00472C43"/>
    <w:rsid w:val="004A12A3"/>
    <w:rsid w:val="004B619A"/>
    <w:rsid w:val="00516095"/>
    <w:rsid w:val="00537496"/>
    <w:rsid w:val="0054264A"/>
    <w:rsid w:val="00544ED3"/>
    <w:rsid w:val="00552211"/>
    <w:rsid w:val="0058477B"/>
    <w:rsid w:val="0058654F"/>
    <w:rsid w:val="00596ACA"/>
    <w:rsid w:val="005A4C93"/>
    <w:rsid w:val="005D615D"/>
    <w:rsid w:val="005E39BC"/>
    <w:rsid w:val="005F00A0"/>
    <w:rsid w:val="00603F06"/>
    <w:rsid w:val="006353BA"/>
    <w:rsid w:val="00647F33"/>
    <w:rsid w:val="00662532"/>
    <w:rsid w:val="00670F83"/>
    <w:rsid w:val="006B2274"/>
    <w:rsid w:val="006E5C46"/>
    <w:rsid w:val="006F70DE"/>
    <w:rsid w:val="00717C6F"/>
    <w:rsid w:val="007445DA"/>
    <w:rsid w:val="0075494A"/>
    <w:rsid w:val="007607E8"/>
    <w:rsid w:val="007B4FD1"/>
    <w:rsid w:val="007C3E08"/>
    <w:rsid w:val="007E7212"/>
    <w:rsid w:val="007F027B"/>
    <w:rsid w:val="00802381"/>
    <w:rsid w:val="00820286"/>
    <w:rsid w:val="0083096A"/>
    <w:rsid w:val="0084123C"/>
    <w:rsid w:val="00842987"/>
    <w:rsid w:val="0086759F"/>
    <w:rsid w:val="00871F40"/>
    <w:rsid w:val="00883848"/>
    <w:rsid w:val="00897ED5"/>
    <w:rsid w:val="008B6BB9"/>
    <w:rsid w:val="008E5C69"/>
    <w:rsid w:val="00902A5E"/>
    <w:rsid w:val="00911543"/>
    <w:rsid w:val="00943B18"/>
    <w:rsid w:val="009519C9"/>
    <w:rsid w:val="009D0B86"/>
    <w:rsid w:val="009E0D5B"/>
    <w:rsid w:val="009E1558"/>
    <w:rsid w:val="00A03960"/>
    <w:rsid w:val="00A13E04"/>
    <w:rsid w:val="00A21D2D"/>
    <w:rsid w:val="00A233D1"/>
    <w:rsid w:val="00A42898"/>
    <w:rsid w:val="00A57919"/>
    <w:rsid w:val="00AA6C4A"/>
    <w:rsid w:val="00AB6ACE"/>
    <w:rsid w:val="00AC5A3A"/>
    <w:rsid w:val="00AE4899"/>
    <w:rsid w:val="00B0398A"/>
    <w:rsid w:val="00B14862"/>
    <w:rsid w:val="00B34635"/>
    <w:rsid w:val="00B54F9D"/>
    <w:rsid w:val="00B604BE"/>
    <w:rsid w:val="00B65AF9"/>
    <w:rsid w:val="00B76179"/>
    <w:rsid w:val="00B82FA5"/>
    <w:rsid w:val="00BB6ABE"/>
    <w:rsid w:val="00BD1400"/>
    <w:rsid w:val="00BD605C"/>
    <w:rsid w:val="00BE2A76"/>
    <w:rsid w:val="00BE6651"/>
    <w:rsid w:val="00BF1901"/>
    <w:rsid w:val="00C5197F"/>
    <w:rsid w:val="00C65E60"/>
    <w:rsid w:val="00C73D34"/>
    <w:rsid w:val="00CA0102"/>
    <w:rsid w:val="00CE5A52"/>
    <w:rsid w:val="00CF7AF3"/>
    <w:rsid w:val="00D26ADA"/>
    <w:rsid w:val="00D35A78"/>
    <w:rsid w:val="00D555A1"/>
    <w:rsid w:val="00D64DC2"/>
    <w:rsid w:val="00DA46CA"/>
    <w:rsid w:val="00DB77A8"/>
    <w:rsid w:val="00DD0910"/>
    <w:rsid w:val="00DF21EB"/>
    <w:rsid w:val="00E0709B"/>
    <w:rsid w:val="00E20E70"/>
    <w:rsid w:val="00E25B68"/>
    <w:rsid w:val="00E36AA0"/>
    <w:rsid w:val="00E84003"/>
    <w:rsid w:val="00E8575B"/>
    <w:rsid w:val="00EC10FC"/>
    <w:rsid w:val="00ED0A99"/>
    <w:rsid w:val="00ED44ED"/>
    <w:rsid w:val="00EE0041"/>
    <w:rsid w:val="00EE29B9"/>
    <w:rsid w:val="00F004EE"/>
    <w:rsid w:val="00F42E23"/>
    <w:rsid w:val="00F45EEE"/>
    <w:rsid w:val="00F51E9C"/>
    <w:rsid w:val="00F523CA"/>
    <w:rsid w:val="00F55501"/>
    <w:rsid w:val="00F73892"/>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0">
    <w:name w:val="heading 1"/>
    <w:aliases w:val="Paper title"/>
    <w:next w:val="a0"/>
    <w:link w:val="11"/>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spacing w:before="100" w:beforeAutospacing="1" w:after="100" w:afterAutospacing="1" w:line="280" w:lineRule="atLeast"/>
      <w:outlineLvl w:val="1"/>
    </w:pPr>
    <w:rPr>
      <w:caps/>
      <w:lang w:eastAsia="en-US"/>
    </w:rPr>
  </w:style>
  <w:style w:type="paragraph" w:styleId="3">
    <w:name w:val="heading 3"/>
    <w:aliases w:val="2nd level paper heading"/>
    <w:next w:val="a1"/>
    <w:link w:val="30"/>
    <w:uiPriority w:val="4"/>
    <w:qFormat/>
    <w:rsid w:val="00BE6651"/>
    <w:pPr>
      <w:widowControl w:val="0"/>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numId w:val="11"/>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link w:val="ab"/>
    <w:uiPriority w:val="99"/>
    <w:semiHidden/>
    <w:locked/>
    <w:pPr>
      <w:tabs>
        <w:tab w:val="left" w:pos="459"/>
      </w:tabs>
      <w:spacing w:before="142"/>
      <w:ind w:left="459"/>
      <w:jc w:val="both"/>
    </w:pPr>
    <w:rPr>
      <w:sz w:val="18"/>
      <w:lang w:eastAsia="en-US"/>
    </w:rPr>
  </w:style>
  <w:style w:type="paragraph" w:styleId="ac">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6"/>
      </w:numPr>
      <w:ind w:left="709"/>
    </w:pPr>
  </w:style>
  <w:style w:type="paragraph" w:customStyle="1" w:styleId="ListNumbered">
    <w:name w:val="List Numbered"/>
    <w:basedOn w:val="a1"/>
    <w:uiPriority w:val="5"/>
    <w:qFormat/>
    <w:locked/>
    <w:rsid w:val="00717C6F"/>
    <w:pPr>
      <w:numPr>
        <w:numId w:val="7"/>
      </w:numPr>
    </w:pPr>
  </w:style>
  <w:style w:type="paragraph" w:styleId="ad">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e">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f">
    <w:name w:val="Table Grid"/>
    <w:basedOn w:val="a3"/>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0">
    <w:name w:val="Balloon Text"/>
    <w:basedOn w:val="a"/>
    <w:link w:val="af1"/>
    <w:uiPriority w:val="49"/>
    <w:locked/>
    <w:rsid w:val="005F00A0"/>
    <w:rPr>
      <w:rFonts w:ascii="Tahoma" w:hAnsi="Tahoma" w:cs="Tahoma"/>
      <w:sz w:val="16"/>
      <w:szCs w:val="16"/>
    </w:rPr>
  </w:style>
  <w:style w:type="character" w:customStyle="1" w:styleId="af1">
    <w:name w:val="Текст выноски Знак"/>
    <w:basedOn w:val="a2"/>
    <w:link w:val="af0"/>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8"/>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2">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f"/>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49"/>
    <w:semiHidden/>
    <w:unhideWhenUsed/>
    <w:locked/>
    <w:rsid w:val="00A233D1"/>
    <w:rPr>
      <w:sz w:val="16"/>
      <w:szCs w:val="16"/>
    </w:rPr>
  </w:style>
  <w:style w:type="paragraph" w:styleId="af4">
    <w:name w:val="annotation text"/>
    <w:basedOn w:val="a"/>
    <w:link w:val="af5"/>
    <w:uiPriority w:val="49"/>
    <w:semiHidden/>
    <w:unhideWhenUsed/>
    <w:locked/>
    <w:rsid w:val="00A233D1"/>
    <w:rPr>
      <w:sz w:val="20"/>
    </w:rPr>
  </w:style>
  <w:style w:type="character" w:customStyle="1" w:styleId="af5">
    <w:name w:val="Текст примечания Знак"/>
    <w:basedOn w:val="a2"/>
    <w:link w:val="af4"/>
    <w:uiPriority w:val="49"/>
    <w:semiHidden/>
    <w:rsid w:val="00A233D1"/>
    <w:rPr>
      <w:lang w:eastAsia="en-US"/>
    </w:rPr>
  </w:style>
  <w:style w:type="paragraph" w:styleId="af6">
    <w:name w:val="annotation subject"/>
    <w:basedOn w:val="af4"/>
    <w:next w:val="af4"/>
    <w:link w:val="af7"/>
    <w:uiPriority w:val="49"/>
    <w:semiHidden/>
    <w:unhideWhenUsed/>
    <w:locked/>
    <w:rsid w:val="00A233D1"/>
    <w:rPr>
      <w:b/>
      <w:bCs/>
    </w:rPr>
  </w:style>
  <w:style w:type="character" w:customStyle="1" w:styleId="af7">
    <w:name w:val="Тема примечания Знак"/>
    <w:basedOn w:val="af5"/>
    <w:link w:val="af6"/>
    <w:uiPriority w:val="49"/>
    <w:semiHidden/>
    <w:rsid w:val="00A233D1"/>
    <w:rPr>
      <w:b/>
      <w:bCs/>
      <w:lang w:eastAsia="en-US"/>
    </w:rPr>
  </w:style>
  <w:style w:type="character" w:customStyle="1" w:styleId="11">
    <w:name w:val="Заголовок 1 Знак"/>
    <w:aliases w:val="Paper title Знак"/>
    <w:basedOn w:val="a2"/>
    <w:link w:val="10"/>
    <w:rsid w:val="00B34635"/>
    <w:rPr>
      <w:rFonts w:ascii="Times New Roman Bold" w:hAnsi="Times New Roman Bold"/>
      <w:b/>
      <w:caps/>
      <w:sz w:val="24"/>
      <w:lang w:val="en-US" w:eastAsia="en-US"/>
    </w:rPr>
  </w:style>
  <w:style w:type="character" w:customStyle="1" w:styleId="30">
    <w:name w:val="Заголовок 3 Знак"/>
    <w:aliases w:val="2nd level paper heading Знак"/>
    <w:basedOn w:val="a2"/>
    <w:link w:val="3"/>
    <w:uiPriority w:val="4"/>
    <w:rsid w:val="00BE6651"/>
    <w:rPr>
      <w:b/>
      <w:lang w:eastAsia="en-US"/>
    </w:rPr>
  </w:style>
  <w:style w:type="paragraph" w:styleId="af8">
    <w:name w:val="List Paragraph"/>
    <w:basedOn w:val="a"/>
    <w:uiPriority w:val="34"/>
    <w:qFormat/>
    <w:locked/>
    <w:rsid w:val="00BE6651"/>
    <w:pPr>
      <w:ind w:left="720"/>
      <w:contextualSpacing/>
    </w:pPr>
  </w:style>
  <w:style w:type="numbering" w:customStyle="1" w:styleId="1">
    <w:name w:val="Стиль1"/>
    <w:uiPriority w:val="99"/>
    <w:rsid w:val="002842D3"/>
    <w:pPr>
      <w:numPr>
        <w:numId w:val="10"/>
      </w:numPr>
    </w:pPr>
  </w:style>
  <w:style w:type="paragraph" w:customStyle="1" w:styleId="Figure">
    <w:name w:val="Figure"/>
    <w:basedOn w:val="a"/>
    <w:next w:val="a"/>
    <w:link w:val="FigureChar"/>
    <w:qFormat/>
    <w:rsid w:val="00DD0910"/>
    <w:pPr>
      <w:overflowPunct/>
      <w:autoSpaceDE/>
      <w:autoSpaceDN/>
      <w:adjustRightInd/>
      <w:spacing w:beforeLines="100" w:after="120"/>
      <w:jc w:val="center"/>
      <w:textAlignment w:val="auto"/>
    </w:pPr>
    <w:rPr>
      <w:noProof/>
      <w:sz w:val="24"/>
      <w:szCs w:val="24"/>
      <w:lang w:eastAsia="en-GB"/>
    </w:rPr>
  </w:style>
  <w:style w:type="character" w:customStyle="1" w:styleId="FigureChar">
    <w:name w:val="Figure Char"/>
    <w:basedOn w:val="a2"/>
    <w:link w:val="Figure"/>
    <w:rsid w:val="00DD0910"/>
    <w:rPr>
      <w:noProof/>
      <w:sz w:val="24"/>
      <w:szCs w:val="24"/>
    </w:rPr>
  </w:style>
  <w:style w:type="character" w:styleId="af9">
    <w:name w:val="Hyperlink"/>
    <w:basedOn w:val="a2"/>
    <w:uiPriority w:val="49"/>
    <w:unhideWhenUsed/>
    <w:locked/>
    <w:rsid w:val="001D1ECE"/>
    <w:rPr>
      <w:color w:val="0000FF" w:themeColor="hyperlink"/>
      <w:u w:val="single"/>
    </w:rPr>
  </w:style>
  <w:style w:type="character" w:customStyle="1" w:styleId="ab">
    <w:name w:val="Текст сноски Знак"/>
    <w:basedOn w:val="a2"/>
    <w:link w:val="aa"/>
    <w:uiPriority w:val="99"/>
    <w:semiHidden/>
    <w:rsid w:val="00421864"/>
    <w:rPr>
      <w:sz w:val="18"/>
      <w:lang w:eastAsia="en-US"/>
    </w:rPr>
  </w:style>
  <w:style w:type="table" w:styleId="20">
    <w:name w:val="Plain Table 2"/>
    <w:basedOn w:val="a3"/>
    <w:uiPriority w:val="42"/>
    <w:rsid w:val="001F5A7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oZhuravlev@rosatom.ru"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7DCBC-F3EB-4204-8E08-E6E3A729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5</Pages>
  <Words>1764</Words>
  <Characters>10058</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Ilya Zhuravlev</cp:lastModifiedBy>
  <cp:revision>2</cp:revision>
  <cp:lastPrinted>2015-12-01T10:27:00Z</cp:lastPrinted>
  <dcterms:created xsi:type="dcterms:W3CDTF">2022-02-24T16:01:00Z</dcterms:created>
  <dcterms:modified xsi:type="dcterms:W3CDTF">2022-02-24T16:01:00Z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