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40158" w14:textId="74C1BA02" w:rsidR="00E92FBE" w:rsidRPr="00E92FBE" w:rsidRDefault="00E92FBE" w:rsidP="00E92FBE">
      <w:pPr>
        <w:pStyle w:val="Corpsdetexte"/>
        <w:jc w:val="center"/>
        <w:rPr>
          <w:rFonts w:ascii="Times New Roman Bold" w:hAnsi="Times New Roman Bold"/>
          <w:b/>
          <w:caps/>
          <w:sz w:val="24"/>
          <w:lang w:val="en-US"/>
        </w:rPr>
      </w:pPr>
      <w:r w:rsidRPr="00E92FBE">
        <w:rPr>
          <w:rFonts w:ascii="Times New Roman Bold" w:hAnsi="Times New Roman Bold"/>
          <w:b/>
          <w:caps/>
          <w:sz w:val="24"/>
          <w:lang w:val="en-US"/>
        </w:rPr>
        <w:t>PHENIX CONTROL ROD WITHDRAWAL TEST ANALYSIS USING A MULTIPHYSICS METHODOLOGY</w:t>
      </w:r>
    </w:p>
    <w:p w14:paraId="433FE03F" w14:textId="77777777" w:rsidR="00802381" w:rsidRDefault="00802381" w:rsidP="00537496">
      <w:pPr>
        <w:pStyle w:val="Authornameandaffiliation"/>
      </w:pPr>
    </w:p>
    <w:p w14:paraId="433FE040" w14:textId="38CFC980" w:rsidR="003B5E0E" w:rsidRDefault="00E92FBE" w:rsidP="00E92FBE">
      <w:pPr>
        <w:pStyle w:val="Authornameandaffiliation"/>
      </w:pPr>
      <w:r>
        <w:t xml:space="preserve">B. FORNO, </w:t>
      </w:r>
      <w:r w:rsidRPr="00E92FBE">
        <w:t>V. PASCAL, M. JEANNIN, T. KOOYMAN</w:t>
      </w:r>
    </w:p>
    <w:p w14:paraId="433FE043" w14:textId="79F41D3D" w:rsidR="00FF386F" w:rsidRPr="00E92FBE" w:rsidRDefault="00E92FBE" w:rsidP="00537496">
      <w:pPr>
        <w:pStyle w:val="Authornameandaffiliation"/>
        <w:rPr>
          <w:lang w:val="fr-FR"/>
        </w:rPr>
      </w:pPr>
      <w:r w:rsidRPr="00441CF6">
        <w:rPr>
          <w:rFonts w:asciiTheme="majorBidi" w:hAnsiTheme="majorBidi" w:cstheme="majorBidi"/>
          <w:iCs/>
          <w:szCs w:val="24"/>
          <w:lang w:val="fr-FR"/>
        </w:rPr>
        <w:t xml:space="preserve">CEA, </w:t>
      </w:r>
      <w:r w:rsidR="006B7AA9">
        <w:rPr>
          <w:rFonts w:asciiTheme="majorBidi" w:hAnsiTheme="majorBidi" w:cstheme="majorBidi"/>
          <w:iCs/>
          <w:szCs w:val="24"/>
          <w:lang w:val="fr-FR"/>
        </w:rPr>
        <w:t xml:space="preserve">DES, </w:t>
      </w:r>
      <w:r w:rsidR="00016B25">
        <w:rPr>
          <w:rFonts w:asciiTheme="majorBidi" w:hAnsiTheme="majorBidi" w:cstheme="majorBidi"/>
          <w:iCs/>
          <w:szCs w:val="24"/>
          <w:lang w:val="fr-FR"/>
        </w:rPr>
        <w:t xml:space="preserve">IRESNE, </w:t>
      </w:r>
      <w:r w:rsidRPr="00441CF6">
        <w:rPr>
          <w:rFonts w:asciiTheme="majorBidi" w:hAnsiTheme="majorBidi" w:cstheme="majorBidi"/>
          <w:iCs/>
          <w:szCs w:val="24"/>
          <w:lang w:val="fr-FR"/>
        </w:rPr>
        <w:t>DER, Cadarache, F-13108 Saint-Paul-lez-Durance, France</w:t>
      </w:r>
      <w:r w:rsidRPr="00E92FBE">
        <w:rPr>
          <w:lang w:val="fr-FR"/>
        </w:rPr>
        <w:t xml:space="preserve"> </w:t>
      </w:r>
      <w:r>
        <w:rPr>
          <w:lang w:val="fr-FR"/>
        </w:rPr>
        <w:br/>
      </w:r>
      <w:r w:rsidR="00FF386F" w:rsidRPr="00E92FBE">
        <w:rPr>
          <w:lang w:val="fr-FR"/>
        </w:rPr>
        <w:t xml:space="preserve">Email: </w:t>
      </w:r>
      <w:r>
        <w:rPr>
          <w:lang w:val="fr-FR"/>
        </w:rPr>
        <w:t>barbara.forno</w:t>
      </w:r>
      <w:r w:rsidR="00FF386F" w:rsidRPr="00E92FBE">
        <w:rPr>
          <w:lang w:val="fr-FR"/>
        </w:rPr>
        <w:t>@</w:t>
      </w:r>
      <w:r>
        <w:rPr>
          <w:lang w:val="fr-FR"/>
        </w:rPr>
        <w:t>cea.fr</w:t>
      </w:r>
    </w:p>
    <w:p w14:paraId="433FE048" w14:textId="77777777" w:rsidR="00FF386F" w:rsidRPr="00E92FBE" w:rsidRDefault="00FF386F" w:rsidP="00537496">
      <w:pPr>
        <w:pStyle w:val="Authornameandaffiliation"/>
        <w:rPr>
          <w:lang w:val="fr-FR"/>
        </w:rPr>
      </w:pPr>
    </w:p>
    <w:p w14:paraId="433FE049" w14:textId="77777777" w:rsidR="00647F33" w:rsidRPr="00647F33" w:rsidRDefault="00647F33" w:rsidP="00537496">
      <w:pPr>
        <w:pStyle w:val="Authornameandaffiliation"/>
        <w:rPr>
          <w:b/>
        </w:rPr>
      </w:pPr>
      <w:r w:rsidRPr="00647F33">
        <w:rPr>
          <w:b/>
        </w:rPr>
        <w:t>Abstract</w:t>
      </w:r>
    </w:p>
    <w:p w14:paraId="433FE04A" w14:textId="092BF782" w:rsidR="00647F33" w:rsidRPr="00A70C9B" w:rsidRDefault="00647F33" w:rsidP="00537496">
      <w:pPr>
        <w:pStyle w:val="Authornameandaffiliation"/>
        <w:rPr>
          <w:lang w:val="en-GB"/>
        </w:rPr>
      </w:pPr>
    </w:p>
    <w:p w14:paraId="76C2EF52" w14:textId="492F8CD2" w:rsidR="000E2AC6" w:rsidRDefault="000E2AC6" w:rsidP="00A70C9B">
      <w:pPr>
        <w:pStyle w:val="Abstracttext"/>
        <w:jc w:val="both"/>
      </w:pPr>
      <w:r w:rsidRPr="00EE7ACE">
        <w:t xml:space="preserve">Before the definitive shutdown of the </w:t>
      </w:r>
      <w:proofErr w:type="spellStart"/>
      <w:r w:rsidRPr="00EE7ACE">
        <w:t>Phénix</w:t>
      </w:r>
      <w:proofErr w:type="spellEnd"/>
      <w:r w:rsidRPr="00EE7ACE">
        <w:t xml:space="preserve"> reactor, a series of end of life tests were performed in 2009 and 2010, by CEA (</w:t>
      </w:r>
      <w:r w:rsidRPr="00542E57">
        <w:t xml:space="preserve">Commissariat à </w:t>
      </w:r>
      <w:proofErr w:type="spellStart"/>
      <w:r w:rsidRPr="00542E57">
        <w:t>l’Energie</w:t>
      </w:r>
      <w:proofErr w:type="spellEnd"/>
      <w:r w:rsidRPr="00542E57">
        <w:t xml:space="preserve"> </w:t>
      </w:r>
      <w:proofErr w:type="spellStart"/>
      <w:r w:rsidRPr="00542E57">
        <w:t>Atomique</w:t>
      </w:r>
      <w:proofErr w:type="spellEnd"/>
      <w:r w:rsidRPr="00542E57">
        <w:t xml:space="preserve"> </w:t>
      </w:r>
      <w:proofErr w:type="gramStart"/>
      <w:r w:rsidRPr="00542E57">
        <w:t>et</w:t>
      </w:r>
      <w:proofErr w:type="gramEnd"/>
      <w:r w:rsidRPr="00542E57">
        <w:t xml:space="preserve"> aux Energies Alternatives), EDF (</w:t>
      </w:r>
      <w:proofErr w:type="spellStart"/>
      <w:r w:rsidRPr="00542E57">
        <w:t>Électricité</w:t>
      </w:r>
      <w:proofErr w:type="spellEnd"/>
      <w:r w:rsidRPr="00542E57">
        <w:t xml:space="preserve"> de France) and AREVA. The main objectives were to enlarge experimental database for the research and design of Sodium cooled Fast Reactors (SFR). Due to this important opportunity, the IAEA (International Atomi</w:t>
      </w:r>
      <w:r w:rsidRPr="00A70C9B">
        <w:t xml:space="preserve">c Energy Agency) decided to establish a Coordinate Research Project from 2007 to 2011 to stimulate computational codes validation among different countries involved in fast reactors development. In this context, a benchmark was established on the “static Control Rod Withdrawal Test” (CRW) with the objective of the investigation on the flux and power local deformations related to different control rod insertions in the core. Such valuable experimental data are useful to improve calculation schemes used to analyze control rod withdrawal transient, which could potentially trigger a core melting accident in a SFR. The objective of the current study was to perform multi-physics simulation based on a loosely coupled approach to take into account local Doppler feedback effect on power deformations. The probabilistic particle transport code Serpent 2 (VTT Technical Research Centre of Finland, Ltd), associated with the JEFF-3.1 nuclear library, was chosen as reference neutron calculation code and was coupled to an in-house static thermal-hydraulic solver. Firstly, purely neutron transport calculations were done in order to build-up and check the overall core model. The uncoupled results were compared to benchmark results already published and show a correct accordance with experimental and calculated results providing that a heterogeneous description of control rods was used. A convergence study to estimate the required precision level of neutron calculations with respect to multiplication factors and power estimations was also performed. Secondly, coupling between neutron and thermal-hydraulics solvers were done through the Serpent 2 multi-physics interface with a regular exchange of the main coupled parameters such as fuel temperatures and neutron deposited powers for each axial node of each subassemblies of the fissile core. The coupled results on the power deviation are globally slightly nearer to the experimental ones than uncoupled results but are affected by probabilistic uncertainties and batch-to-batch inter correlation problems responsible for light power oscillations with respect to the number of simulated neutrons instead of a straight convergence. </w:t>
      </w:r>
    </w:p>
    <w:p w14:paraId="433FE04C" w14:textId="77777777" w:rsidR="00647F33" w:rsidRDefault="00F523CA" w:rsidP="00537496">
      <w:pPr>
        <w:pStyle w:val="Titre2"/>
        <w:numPr>
          <w:ilvl w:val="1"/>
          <w:numId w:val="10"/>
        </w:numPr>
      </w:pPr>
      <w:r>
        <w:t>INTRODUCTION</w:t>
      </w:r>
    </w:p>
    <w:p w14:paraId="2E6038E2" w14:textId="57451271" w:rsidR="001D4728" w:rsidRPr="00A70C9B" w:rsidRDefault="001D4728" w:rsidP="00A70C9B">
      <w:pPr>
        <w:pStyle w:val="Corpsdetexte"/>
        <w:rPr>
          <w:lang w:val="en-US"/>
        </w:rPr>
      </w:pPr>
      <w:r>
        <w:rPr>
          <w:lang w:val="en-US"/>
        </w:rPr>
        <w:t xml:space="preserve">The </w:t>
      </w:r>
      <w:r w:rsidR="00C809C0">
        <w:rPr>
          <w:lang w:val="en-US"/>
        </w:rPr>
        <w:t xml:space="preserve">international </w:t>
      </w:r>
      <w:r>
        <w:rPr>
          <w:lang w:val="en-US"/>
        </w:rPr>
        <w:t>research and development effort</w:t>
      </w:r>
      <w:r w:rsidR="00C809C0">
        <w:rPr>
          <w:lang w:val="en-US"/>
        </w:rPr>
        <w:t xml:space="preserve"> on Sodium cooled Fast Reactors</w:t>
      </w:r>
      <w:r>
        <w:rPr>
          <w:lang w:val="en-US"/>
        </w:rPr>
        <w:t xml:space="preserve"> is </w:t>
      </w:r>
      <w:r w:rsidR="00C809C0">
        <w:rPr>
          <w:lang w:val="en-US"/>
        </w:rPr>
        <w:t xml:space="preserve">currently </w:t>
      </w:r>
      <w:r>
        <w:rPr>
          <w:lang w:val="en-US"/>
        </w:rPr>
        <w:t xml:space="preserve">concentrated on improving safety features, implementing innovative possibilities and optimizing </w:t>
      </w:r>
      <w:r w:rsidR="00A70B41">
        <w:rPr>
          <w:lang w:val="en-US"/>
        </w:rPr>
        <w:t>operation in terms of economic</w:t>
      </w:r>
      <w:r>
        <w:rPr>
          <w:lang w:val="en-US"/>
        </w:rPr>
        <w:t xml:space="preserve"> </w:t>
      </w:r>
      <w:r w:rsidR="00A70B41">
        <w:rPr>
          <w:lang w:val="en-US"/>
        </w:rPr>
        <w:t>criteria</w:t>
      </w:r>
      <w:r w:rsidR="00E55F00" w:rsidRPr="00B97B2B">
        <w:rPr>
          <w:lang w:val="en-US"/>
        </w:rPr>
        <w:t xml:space="preserve"> [1]</w:t>
      </w:r>
      <w:r w:rsidRPr="00B97B2B">
        <w:rPr>
          <w:lang w:val="en-US"/>
        </w:rPr>
        <w:t>.</w:t>
      </w:r>
      <w:r>
        <w:rPr>
          <w:lang w:val="en-US"/>
        </w:rPr>
        <w:t xml:space="preserve"> </w:t>
      </w:r>
      <w:r w:rsidR="00983288">
        <w:rPr>
          <w:lang w:val="en-US"/>
        </w:rPr>
        <w:t xml:space="preserve"> </w:t>
      </w:r>
      <w:r>
        <w:rPr>
          <w:lang w:val="en-US"/>
        </w:rPr>
        <w:t xml:space="preserve">In 2009 - 2010 several tests were performed before the definitive shut down of the </w:t>
      </w:r>
      <w:proofErr w:type="spellStart"/>
      <w:r>
        <w:rPr>
          <w:lang w:val="en-US"/>
        </w:rPr>
        <w:t>Phénix</w:t>
      </w:r>
      <w:proofErr w:type="spellEnd"/>
      <w:r>
        <w:rPr>
          <w:lang w:val="en-US"/>
        </w:rPr>
        <w:t xml:space="preserve"> sodium cooled fast reactor in </w:t>
      </w:r>
      <w:r w:rsidRPr="003D2A39">
        <w:rPr>
          <w:lang w:val="en-US"/>
        </w:rPr>
        <w:t>order to</w:t>
      </w:r>
      <w:r>
        <w:rPr>
          <w:lang w:val="en-US"/>
        </w:rPr>
        <w:t xml:space="preserve"> enlarge knowledge on SFR. Thanks to the large data base provided by these tests, in 2007, IAEA</w:t>
      </w:r>
      <w:r w:rsidRPr="000407C4">
        <w:rPr>
          <w:lang w:val="en-US"/>
        </w:rPr>
        <w:t xml:space="preserve"> (International Atomic Energy Agency) decided to set up an international</w:t>
      </w:r>
      <w:r>
        <w:rPr>
          <w:lang w:val="en-US"/>
        </w:rPr>
        <w:t xml:space="preserve"> Coordinate Research P</w:t>
      </w:r>
      <w:r w:rsidRPr="000407C4">
        <w:rPr>
          <w:lang w:val="en-US"/>
        </w:rPr>
        <w:t>roject</w:t>
      </w:r>
      <w:r>
        <w:rPr>
          <w:lang w:val="en-US"/>
        </w:rPr>
        <w:t xml:space="preserve"> </w:t>
      </w:r>
      <w:r w:rsidRPr="000407C4">
        <w:rPr>
          <w:lang w:val="en-US"/>
        </w:rPr>
        <w:t>in order</w:t>
      </w:r>
      <w:r w:rsidRPr="003D2A39">
        <w:rPr>
          <w:lang w:val="en-US"/>
        </w:rPr>
        <w:t xml:space="preserve"> to</w:t>
      </w:r>
      <w:r>
        <w:rPr>
          <w:lang w:val="en-US"/>
        </w:rPr>
        <w:t xml:space="preserve"> enhance computational codes validation among different countries involved in fast reactors development. </w:t>
      </w:r>
      <w:r w:rsidRPr="00A70C9B">
        <w:t>A specific benchmark was dedicated to the investigation of the “static Control Rod Withdrawal Test</w:t>
      </w:r>
      <w:r w:rsidRPr="00B97B2B">
        <w:t>”</w:t>
      </w:r>
      <w:r w:rsidR="008C5530" w:rsidRPr="00B97B2B">
        <w:t xml:space="preserve"> [2]</w:t>
      </w:r>
      <w:r w:rsidRPr="00B97B2B">
        <w:t>.</w:t>
      </w:r>
      <w:r>
        <w:t xml:space="preserve"> These set of experiments had the</w:t>
      </w:r>
      <w:r w:rsidRPr="00EE7ACE">
        <w:t xml:space="preserve"> objective</w:t>
      </w:r>
      <w:r w:rsidRPr="00A70C9B">
        <w:t xml:space="preserve"> to investigate on flux and power local deformations due to diffe</w:t>
      </w:r>
      <w:r w:rsidRPr="00EE7ACE">
        <w:t>rent control rod configurations</w:t>
      </w:r>
      <w:r w:rsidR="00B73953">
        <w:t xml:space="preserve">. This experimental program was </w:t>
      </w:r>
      <w:r w:rsidR="00CD0E98">
        <w:t xml:space="preserve">related to </w:t>
      </w:r>
      <w:r w:rsidRPr="00FB1B3A">
        <w:t>the study of inadvertent control rod withdrawal</w:t>
      </w:r>
      <w:r w:rsidR="00CD0E98">
        <w:t>s</w:t>
      </w:r>
      <w:r w:rsidRPr="00FB1B3A">
        <w:t xml:space="preserve"> </w:t>
      </w:r>
      <w:r w:rsidR="00CD0E98">
        <w:t xml:space="preserve">which can be a </w:t>
      </w:r>
      <w:r w:rsidRPr="00FB1B3A">
        <w:t xml:space="preserve">possible initiating event </w:t>
      </w:r>
      <w:r w:rsidR="00CD0E98">
        <w:t>of</w:t>
      </w:r>
      <w:r w:rsidRPr="00FB1B3A">
        <w:t xml:space="preserve"> </w:t>
      </w:r>
      <w:r w:rsidR="00E703B2">
        <w:t xml:space="preserve">core </w:t>
      </w:r>
      <w:r w:rsidR="00A70C9B">
        <w:t>meltdown</w:t>
      </w:r>
      <w:r w:rsidRPr="00FB1B3A">
        <w:t>.</w:t>
      </w:r>
    </w:p>
    <w:p w14:paraId="68A62E8C" w14:textId="559E7E17" w:rsidR="00AD7513" w:rsidRPr="00D02FC7" w:rsidRDefault="001D4728" w:rsidP="00D02FC7">
      <w:pPr>
        <w:pStyle w:val="Corpsdetexte"/>
        <w:ind w:firstLine="0"/>
      </w:pPr>
      <w:r>
        <w:rPr>
          <w:lang w:val="en-US"/>
        </w:rPr>
        <w:t>The participants to the Coordinate Research Project</w:t>
      </w:r>
      <w:r w:rsidR="002E3EFD">
        <w:rPr>
          <w:lang w:val="en-US"/>
        </w:rPr>
        <w:t xml:space="preserve"> </w:t>
      </w:r>
      <w:r>
        <w:rPr>
          <w:lang w:val="en-US"/>
        </w:rPr>
        <w:t xml:space="preserve">developed models with different </w:t>
      </w:r>
      <w:proofErr w:type="spellStart"/>
      <w:r>
        <w:rPr>
          <w:lang w:val="en-US"/>
        </w:rPr>
        <w:t>neutronics</w:t>
      </w:r>
      <w:proofErr w:type="spellEnd"/>
      <w:r>
        <w:rPr>
          <w:lang w:val="en-US"/>
        </w:rPr>
        <w:t xml:space="preserve"> computational tools. The results on the power deformation in the various test configurations allowed a comparison between each model and the experimental results </w:t>
      </w:r>
      <w:r w:rsidR="00C819D7" w:rsidRPr="00C819D7">
        <w:t>[</w:t>
      </w:r>
      <w:r w:rsidR="00C819D7" w:rsidRPr="00B97B2B">
        <w:t>3, 4]</w:t>
      </w:r>
      <w:r w:rsidRPr="00B97B2B">
        <w:rPr>
          <w:lang w:val="en-US"/>
        </w:rPr>
        <w:t>.</w:t>
      </w:r>
      <w:r>
        <w:rPr>
          <w:lang w:val="en-US"/>
        </w:rPr>
        <w:t xml:space="preserve"> </w:t>
      </w:r>
      <w:r w:rsidR="00EB2EBE">
        <w:rPr>
          <w:lang w:val="en-US"/>
        </w:rPr>
        <w:t xml:space="preserve">The benchmark conclusions proposed various </w:t>
      </w:r>
      <w:r w:rsidR="005767C3">
        <w:rPr>
          <w:lang w:val="en-US"/>
        </w:rPr>
        <w:t xml:space="preserve">experimental and numerical causes </w:t>
      </w:r>
      <w:r w:rsidR="00EB2EBE">
        <w:rPr>
          <w:lang w:val="en-US"/>
        </w:rPr>
        <w:t xml:space="preserve">of </w:t>
      </w:r>
      <w:r w:rsidR="005767C3">
        <w:rPr>
          <w:lang w:val="en-US"/>
        </w:rPr>
        <w:t xml:space="preserve">the observed </w:t>
      </w:r>
      <w:r w:rsidR="00EB2EBE">
        <w:rPr>
          <w:lang w:val="en-US"/>
        </w:rPr>
        <w:t>discrepancies</w:t>
      </w:r>
      <w:r w:rsidR="005767C3">
        <w:rPr>
          <w:lang w:val="en-US"/>
        </w:rPr>
        <w:t xml:space="preserve"> between measured and calculated power deviations. One of the proposed explanation concerns the reactivity feedback effects due to the local temperature variations inside subassemblies located near shifted control rods which </w:t>
      </w:r>
      <w:r w:rsidR="005767C3" w:rsidRPr="009F7C74">
        <w:rPr>
          <w:lang w:val="en-US"/>
        </w:rPr>
        <w:t xml:space="preserve">were not taken into account. </w:t>
      </w:r>
      <w:r w:rsidR="001952DF" w:rsidRPr="009F7C74">
        <w:t xml:space="preserve">The objective of the </w:t>
      </w:r>
      <w:r w:rsidR="00CD0E98" w:rsidRPr="009F7C74">
        <w:t xml:space="preserve">present </w:t>
      </w:r>
      <w:r w:rsidR="001952DF" w:rsidRPr="009F7C74">
        <w:t xml:space="preserve">work is to </w:t>
      </w:r>
      <w:r w:rsidR="005767C3" w:rsidRPr="009F7C74">
        <w:t xml:space="preserve">analyse the impact of </w:t>
      </w:r>
      <w:r w:rsidR="00CD0E98" w:rsidRPr="009F7C74">
        <w:t xml:space="preserve">local </w:t>
      </w:r>
      <w:r w:rsidR="001952DF" w:rsidRPr="009F7C74">
        <w:t>Doppler effect</w:t>
      </w:r>
      <w:r w:rsidR="00CD0E98" w:rsidRPr="009F7C74">
        <w:t>s</w:t>
      </w:r>
      <w:r w:rsidR="001952DF" w:rsidRPr="009F7C74">
        <w:t xml:space="preserve"> </w:t>
      </w:r>
      <w:r w:rsidR="005767C3" w:rsidRPr="009F7C74">
        <w:t xml:space="preserve">on power </w:t>
      </w:r>
      <w:r w:rsidR="009F7C74" w:rsidRPr="009F7C74">
        <w:t>deviations</w:t>
      </w:r>
      <w:r w:rsidR="001952DF" w:rsidRPr="009F7C74">
        <w:t>.</w:t>
      </w:r>
      <w:r w:rsidR="00BC5801" w:rsidRPr="009F7C74">
        <w:t xml:space="preserve"> </w:t>
      </w:r>
      <w:r w:rsidR="00BC5801" w:rsidRPr="009F7C74">
        <w:rPr>
          <w:lang w:val="en-US"/>
        </w:rPr>
        <w:t>The</w:t>
      </w:r>
      <w:r w:rsidR="00C72CF7">
        <w:rPr>
          <w:lang w:val="en-US"/>
        </w:rPr>
        <w:t xml:space="preserve"> Doppler e</w:t>
      </w:r>
      <w:r w:rsidR="00BC5801">
        <w:rPr>
          <w:lang w:val="en-US"/>
        </w:rPr>
        <w:t>ffect is considered as a first step before taking into account other feedback effect</w:t>
      </w:r>
      <w:r w:rsidR="00D02FC7">
        <w:rPr>
          <w:lang w:val="en-US"/>
        </w:rPr>
        <w:t>s</w:t>
      </w:r>
      <w:r w:rsidR="00BC5801">
        <w:rPr>
          <w:lang w:val="en-US"/>
        </w:rPr>
        <w:t xml:space="preserve"> (</w:t>
      </w:r>
      <w:r w:rsidR="00D02FC7">
        <w:rPr>
          <w:lang w:val="en-US"/>
        </w:rPr>
        <w:t>as sodium density feedback and</w:t>
      </w:r>
      <w:r w:rsidR="00BC5801">
        <w:rPr>
          <w:lang w:val="en-US"/>
        </w:rPr>
        <w:t xml:space="preserve"> fuel expansion feedback</w:t>
      </w:r>
      <w:r w:rsidR="00D02FC7">
        <w:rPr>
          <w:lang w:val="en-US"/>
        </w:rPr>
        <w:t>, …</w:t>
      </w:r>
      <w:r w:rsidR="00BC5801">
        <w:rPr>
          <w:lang w:val="en-US"/>
        </w:rPr>
        <w:t>), as it is the main neutron feedback effect which opposes to any reactivity insertion.</w:t>
      </w:r>
    </w:p>
    <w:p w14:paraId="57173821" w14:textId="77777777" w:rsidR="00D02FC7" w:rsidRDefault="00D02FC7">
      <w:pPr>
        <w:overflowPunct/>
        <w:autoSpaceDE/>
        <w:autoSpaceDN/>
        <w:adjustRightInd/>
        <w:textAlignment w:val="auto"/>
        <w:rPr>
          <w:caps/>
          <w:sz w:val="20"/>
        </w:rPr>
      </w:pPr>
      <w:r>
        <w:br w:type="page"/>
      </w:r>
    </w:p>
    <w:p w14:paraId="3204C029" w14:textId="56CED03A" w:rsidR="000E2AC6" w:rsidRDefault="000E2AC6" w:rsidP="0026525A">
      <w:pPr>
        <w:pStyle w:val="Titre2"/>
        <w:numPr>
          <w:ilvl w:val="1"/>
          <w:numId w:val="10"/>
        </w:numPr>
      </w:pPr>
      <w:r>
        <w:lastRenderedPageBreak/>
        <w:t>PHénix reactor</w:t>
      </w:r>
      <w:r w:rsidR="006D53C2">
        <w:t xml:space="preserve"> and test set up</w:t>
      </w:r>
    </w:p>
    <w:p w14:paraId="6B7175A3" w14:textId="0B0C31A1" w:rsidR="000E2AC6" w:rsidRPr="00542E57" w:rsidRDefault="000E2AC6" w:rsidP="00A70C9B">
      <w:pPr>
        <w:pStyle w:val="Corpsdetexte"/>
        <w:rPr>
          <w:lang w:val="en-US"/>
        </w:rPr>
      </w:pPr>
      <w:proofErr w:type="spellStart"/>
      <w:r w:rsidRPr="00EE7ACE">
        <w:rPr>
          <w:lang w:val="en-US"/>
        </w:rPr>
        <w:t>Phénix</w:t>
      </w:r>
      <w:proofErr w:type="spellEnd"/>
      <w:r w:rsidRPr="00EE7ACE">
        <w:rPr>
          <w:lang w:val="en-US"/>
        </w:rPr>
        <w:t xml:space="preserve"> is</w:t>
      </w:r>
      <w:r w:rsidRPr="00542E57">
        <w:rPr>
          <w:lang w:val="en-US"/>
        </w:rPr>
        <w:t xml:space="preserve"> a pool-type sodium cooled fast reactor. It went into commercial operation in 1974 and was shut down in 2010. Between 1974 and 2003 the reactor worked at 563 </w:t>
      </w:r>
      <w:r w:rsidRPr="00CA0826">
        <w:rPr>
          <w:iCs/>
          <w:lang w:val="en-US"/>
        </w:rPr>
        <w:t>MW</w:t>
      </w:r>
      <w:r w:rsidR="00CA0826">
        <w:rPr>
          <w:iCs/>
          <w:lang w:val="en-US"/>
        </w:rPr>
        <w:t>(</w:t>
      </w:r>
      <w:proofErr w:type="spellStart"/>
      <w:r w:rsidRPr="00CA0826">
        <w:rPr>
          <w:iCs/>
          <w:lang w:val="en-US"/>
        </w:rPr>
        <w:t>th</w:t>
      </w:r>
      <w:proofErr w:type="spellEnd"/>
      <w:r w:rsidR="00CA0826">
        <w:rPr>
          <w:iCs/>
          <w:lang w:val="en-US"/>
        </w:rPr>
        <w:t>)</w:t>
      </w:r>
      <w:r w:rsidRPr="00CA0826">
        <w:rPr>
          <w:lang w:val="en-US"/>
        </w:rPr>
        <w:t xml:space="preserve"> </w:t>
      </w:r>
      <w:r w:rsidR="00CA0826">
        <w:rPr>
          <w:lang w:val="en-US"/>
        </w:rPr>
        <w:t xml:space="preserve">and </w:t>
      </w:r>
      <w:r w:rsidRPr="00A70C9B">
        <w:rPr>
          <w:lang w:val="en-US"/>
        </w:rPr>
        <w:t xml:space="preserve">250 </w:t>
      </w:r>
      <w:r w:rsidRPr="00CA0826">
        <w:rPr>
          <w:iCs/>
          <w:lang w:val="en-US"/>
        </w:rPr>
        <w:t>MW</w:t>
      </w:r>
      <w:r w:rsidR="00CA0826" w:rsidRPr="00CA0826">
        <w:rPr>
          <w:iCs/>
          <w:lang w:val="en-US"/>
        </w:rPr>
        <w:t>(</w:t>
      </w:r>
      <w:r w:rsidR="00CA0826">
        <w:rPr>
          <w:iCs/>
          <w:lang w:val="en-US"/>
        </w:rPr>
        <w:t>e</w:t>
      </w:r>
      <w:r w:rsidRPr="00CA0826">
        <w:rPr>
          <w:lang w:val="en-US"/>
        </w:rPr>
        <w:t xml:space="preserve">); </w:t>
      </w:r>
      <w:r w:rsidRPr="00A70C9B">
        <w:rPr>
          <w:lang w:val="en-US"/>
        </w:rPr>
        <w:t xml:space="preserve">while, after a period of safety upgrade and renovation of the reactor, in 2003 it was turned on again with the power reduced to 2/3 of the previous </w:t>
      </w:r>
      <w:r w:rsidRPr="00B97B2B">
        <w:rPr>
          <w:lang w:val="en-US"/>
        </w:rPr>
        <w:t>one</w:t>
      </w:r>
      <w:r w:rsidR="00726711" w:rsidRPr="00B97B2B">
        <w:rPr>
          <w:lang w:val="en-US"/>
        </w:rPr>
        <w:t xml:space="preserve"> </w:t>
      </w:r>
      <w:r w:rsidR="003A0811" w:rsidRPr="00B97B2B">
        <w:rPr>
          <w:lang w:val="en-US"/>
        </w:rPr>
        <w:t>[5</w:t>
      </w:r>
      <w:r w:rsidR="00726711" w:rsidRPr="00C819D7">
        <w:rPr>
          <w:lang w:val="en-US"/>
        </w:rPr>
        <w:t>]</w:t>
      </w:r>
      <w:r w:rsidRPr="00C819D7">
        <w:rPr>
          <w:lang w:val="en-US"/>
        </w:rPr>
        <w:t>.</w:t>
      </w:r>
    </w:p>
    <w:p w14:paraId="705C3069" w14:textId="1FCEA8C7" w:rsidR="000E2AC6" w:rsidRPr="00A70C9B" w:rsidRDefault="000E2AC6" w:rsidP="00A70C9B">
      <w:pPr>
        <w:pStyle w:val="Corpsdetexte"/>
        <w:rPr>
          <w:lang w:val="en-US"/>
        </w:rPr>
      </w:pPr>
      <w:proofErr w:type="spellStart"/>
      <w:r w:rsidRPr="00542E57">
        <w:rPr>
          <w:lang w:val="en-US"/>
        </w:rPr>
        <w:t>Phénix</w:t>
      </w:r>
      <w:proofErr w:type="spellEnd"/>
      <w:r w:rsidRPr="00542E57">
        <w:rPr>
          <w:lang w:val="en-US"/>
        </w:rPr>
        <w:t xml:space="preserve"> core is composed </w:t>
      </w:r>
      <w:r w:rsidR="00724E9D">
        <w:rPr>
          <w:lang w:val="en-US"/>
        </w:rPr>
        <w:t>by</w:t>
      </w:r>
      <w:r w:rsidR="009049A3">
        <w:rPr>
          <w:lang w:val="en-US"/>
        </w:rPr>
        <w:t xml:space="preserve"> hexagonal sub</w:t>
      </w:r>
      <w:r w:rsidRPr="00542E57">
        <w:rPr>
          <w:lang w:val="en-US"/>
        </w:rPr>
        <w:t>assemblies (S/As)</w:t>
      </w:r>
      <w:r w:rsidR="00724E9D">
        <w:rPr>
          <w:lang w:val="en-US"/>
        </w:rPr>
        <w:t>.</w:t>
      </w:r>
      <w:r w:rsidR="00132C07">
        <w:rPr>
          <w:lang w:val="en-US"/>
        </w:rPr>
        <w:t xml:space="preserve"> </w:t>
      </w:r>
      <w:r w:rsidR="00724E9D">
        <w:rPr>
          <w:lang w:val="en-US"/>
        </w:rPr>
        <w:t>Among them,</w:t>
      </w:r>
      <w:r w:rsidRPr="00542E57">
        <w:rPr>
          <w:lang w:val="en-US"/>
        </w:rPr>
        <w:t xml:space="preserve"> 217</w:t>
      </w:r>
      <w:r w:rsidR="00724E9D">
        <w:rPr>
          <w:lang w:val="en-US"/>
        </w:rPr>
        <w:t xml:space="preserve"> assemblies are</w:t>
      </w:r>
      <w:r w:rsidRPr="00542E57">
        <w:rPr>
          <w:lang w:val="en-US"/>
        </w:rPr>
        <w:t xml:space="preserve"> designed for fuel, mix of uranium and plutonium oxide</w:t>
      </w:r>
      <w:r w:rsidRPr="00A70C9B">
        <w:rPr>
          <w:lang w:val="en-US"/>
        </w:rPr>
        <w:t xml:space="preserve">, with different enrichments in different zones of the core. </w:t>
      </w:r>
      <w:r w:rsidR="00724E9D">
        <w:rPr>
          <w:lang w:val="en-US"/>
        </w:rPr>
        <w:t>The s</w:t>
      </w:r>
      <w:r w:rsidR="009049A3">
        <w:rPr>
          <w:lang w:val="en-US"/>
        </w:rPr>
        <w:t>ub</w:t>
      </w:r>
      <w:r w:rsidRPr="00A70C9B">
        <w:rPr>
          <w:lang w:val="en-US"/>
        </w:rPr>
        <w:t>assemblies are loaded in the core lattice following a particular loading map</w:t>
      </w:r>
      <w:r w:rsidR="00132C07">
        <w:rPr>
          <w:lang w:val="en-US"/>
        </w:rPr>
        <w:t xml:space="preserve"> </w:t>
      </w:r>
      <w:r w:rsidR="000A3AA1">
        <w:rPr>
          <w:lang w:val="en-US"/>
        </w:rPr>
        <w:t xml:space="preserve">as </w:t>
      </w:r>
      <w:r w:rsidR="00132C07">
        <w:rPr>
          <w:lang w:val="en-US"/>
        </w:rPr>
        <w:t xml:space="preserve">represented in </w:t>
      </w:r>
      <w:r w:rsidR="00891392">
        <w:rPr>
          <w:lang w:val="en-US"/>
        </w:rPr>
        <w:t>Fig.</w:t>
      </w:r>
      <w:r w:rsidR="00132C07">
        <w:rPr>
          <w:lang w:val="en-US"/>
        </w:rPr>
        <w:t xml:space="preserve"> 1. I</w:t>
      </w:r>
      <w:r w:rsidRPr="00A70C9B">
        <w:rPr>
          <w:lang w:val="en-US"/>
        </w:rPr>
        <w:t>n the center, a fissile zone</w:t>
      </w:r>
      <w:r w:rsidR="00132C07">
        <w:rPr>
          <w:lang w:val="en-US"/>
        </w:rPr>
        <w:t xml:space="preserve"> </w:t>
      </w:r>
      <w:r w:rsidRPr="00A70C9B">
        <w:rPr>
          <w:lang w:val="en-US"/>
        </w:rPr>
        <w:t>is present</w:t>
      </w:r>
      <w:r w:rsidR="006D0CB3">
        <w:rPr>
          <w:lang w:val="en-US"/>
        </w:rPr>
        <w:t xml:space="preserve"> (yellow</w:t>
      </w:r>
      <w:r w:rsidR="009A68AC">
        <w:rPr>
          <w:lang w:val="en-US"/>
        </w:rPr>
        <w:t xml:space="preserve"> and orange in the figure)</w:t>
      </w:r>
      <w:r w:rsidRPr="00A70C9B">
        <w:rPr>
          <w:lang w:val="en-US"/>
        </w:rPr>
        <w:t>, which is surrounded by a fertile zone</w:t>
      </w:r>
      <w:r w:rsidR="006D0CB3">
        <w:rPr>
          <w:lang w:val="en-US"/>
        </w:rPr>
        <w:t xml:space="preserve"> (white</w:t>
      </w:r>
      <w:r w:rsidR="009A68AC">
        <w:rPr>
          <w:lang w:val="en-US"/>
        </w:rPr>
        <w:t xml:space="preserve">), </w:t>
      </w:r>
      <w:r w:rsidRPr="00A70C9B">
        <w:rPr>
          <w:lang w:val="en-US"/>
        </w:rPr>
        <w:t>while in the external part of the core a reflector material</w:t>
      </w:r>
      <w:r w:rsidR="00132C07">
        <w:rPr>
          <w:lang w:val="en-US"/>
        </w:rPr>
        <w:t xml:space="preserve"> (</w:t>
      </w:r>
      <w:r w:rsidR="009A68AC">
        <w:rPr>
          <w:lang w:val="en-US"/>
        </w:rPr>
        <w:t>red</w:t>
      </w:r>
      <w:r w:rsidR="00132C07">
        <w:rPr>
          <w:lang w:val="en-US"/>
        </w:rPr>
        <w:t>)</w:t>
      </w:r>
      <w:r w:rsidRPr="00A70C9B">
        <w:rPr>
          <w:lang w:val="en-US"/>
        </w:rPr>
        <w:t xml:space="preserve"> is present together with neutron</w:t>
      </w:r>
      <w:r w:rsidR="002128F2" w:rsidRPr="00A70C9B">
        <w:rPr>
          <w:lang w:val="en-US"/>
        </w:rPr>
        <w:t xml:space="preserve"> shield</w:t>
      </w:r>
      <w:r w:rsidR="000A3AA1">
        <w:rPr>
          <w:lang w:val="en-US"/>
        </w:rPr>
        <w:t>s</w:t>
      </w:r>
      <w:r w:rsidR="00132C07">
        <w:rPr>
          <w:lang w:val="en-US"/>
        </w:rPr>
        <w:t xml:space="preserve"> (</w:t>
      </w:r>
      <w:r w:rsidR="006D0CB3">
        <w:rPr>
          <w:lang w:val="en-US"/>
        </w:rPr>
        <w:t>grey</w:t>
      </w:r>
      <w:r w:rsidR="00132C07">
        <w:rPr>
          <w:lang w:val="en-US"/>
        </w:rPr>
        <w:t>)</w:t>
      </w:r>
      <w:r w:rsidR="002128F2" w:rsidRPr="00A70C9B">
        <w:rPr>
          <w:lang w:val="en-US"/>
        </w:rPr>
        <w:t>. Six control rods</w:t>
      </w:r>
      <w:r w:rsidR="006D0CB3">
        <w:rPr>
          <w:lang w:val="en-US"/>
        </w:rPr>
        <w:t xml:space="preserve"> (blue)</w:t>
      </w:r>
      <w:r w:rsidR="002128F2" w:rsidRPr="00A70C9B">
        <w:rPr>
          <w:lang w:val="en-US"/>
        </w:rPr>
        <w:t xml:space="preserve">, for </w:t>
      </w:r>
      <w:r w:rsidRPr="00A70C9B">
        <w:rPr>
          <w:lang w:val="en-US"/>
        </w:rPr>
        <w:t>normal operation</w:t>
      </w:r>
      <w:r w:rsidR="009A68AC">
        <w:rPr>
          <w:lang w:val="en-US"/>
        </w:rPr>
        <w:t xml:space="preserve">, </w:t>
      </w:r>
      <w:r w:rsidRPr="00542E57">
        <w:rPr>
          <w:lang w:val="en-US"/>
        </w:rPr>
        <w:t>and one safety shut down</w:t>
      </w:r>
      <w:r w:rsidR="002128F2" w:rsidRPr="00542E57">
        <w:rPr>
          <w:lang w:val="en-US"/>
        </w:rPr>
        <w:t xml:space="preserve"> rod</w:t>
      </w:r>
      <w:r w:rsidR="006D0CB3">
        <w:rPr>
          <w:lang w:val="en-US"/>
        </w:rPr>
        <w:t xml:space="preserve"> (purple)</w:t>
      </w:r>
      <w:r w:rsidR="00132C07">
        <w:rPr>
          <w:lang w:val="en-US"/>
        </w:rPr>
        <w:t xml:space="preserve"> </w:t>
      </w:r>
      <w:r w:rsidR="0032271E">
        <w:rPr>
          <w:lang w:val="en-US"/>
        </w:rPr>
        <w:t>are also present</w:t>
      </w:r>
      <w:r w:rsidRPr="00A70C9B">
        <w:rPr>
          <w:lang w:val="en-US"/>
        </w:rPr>
        <w:t>.</w:t>
      </w:r>
    </w:p>
    <w:p w14:paraId="007A7792" w14:textId="7251F514" w:rsidR="000E2AC6" w:rsidRDefault="006A3EB3" w:rsidP="00AD7513">
      <w:pPr>
        <w:pStyle w:val="Corpsdetexte"/>
        <w:keepNext/>
        <w:jc w:val="left"/>
      </w:pPr>
      <w:r w:rsidRPr="00B27885">
        <w:rPr>
          <w:noProof/>
          <w:lang w:eastAsia="fr-FR"/>
        </w:rPr>
        <w:t xml:space="preserve"> </w:t>
      </w:r>
    </w:p>
    <w:p w14:paraId="20134A42" w14:textId="24CFA8EC" w:rsidR="00AD5762" w:rsidRDefault="000E2AC6" w:rsidP="00AD5762">
      <w:pPr>
        <w:pStyle w:val="Corpsdetexte"/>
      </w:pPr>
      <w:r w:rsidRPr="00A70C9B">
        <w:t>The CR</w:t>
      </w:r>
      <w:r w:rsidR="000A3AA1">
        <w:t>W (Control Rod Withdrawal)</w:t>
      </w:r>
      <w:r w:rsidRPr="00A70C9B">
        <w:t xml:space="preserve"> test w</w:t>
      </w:r>
      <w:r w:rsidR="00D02FC7">
        <w:t>as performed with the reactor at a</w:t>
      </w:r>
      <w:r w:rsidRPr="00A70C9B">
        <w:t xml:space="preserve"> power of 335.4 </w:t>
      </w:r>
      <w:proofErr w:type="gramStart"/>
      <w:r w:rsidRPr="00A70C9B">
        <w:t>MW</w:t>
      </w:r>
      <w:r w:rsidR="00F001A4">
        <w:t>(</w:t>
      </w:r>
      <w:proofErr w:type="spellStart"/>
      <w:proofErr w:type="gramEnd"/>
      <w:r w:rsidR="000A3AA1">
        <w:t>th</w:t>
      </w:r>
      <w:proofErr w:type="spellEnd"/>
      <w:r w:rsidR="00F001A4">
        <w:t>)</w:t>
      </w:r>
      <w:r w:rsidRPr="00A70C9B">
        <w:t>. The objective was the investigation of power redistribution and local power deformation due to control rods different insertion position</w:t>
      </w:r>
      <w:r w:rsidR="00B97B2B">
        <w:t>s</w:t>
      </w:r>
      <w:r w:rsidRPr="00A70C9B">
        <w:t>.</w:t>
      </w:r>
      <w:r w:rsidR="00983288">
        <w:t xml:space="preserve"> </w:t>
      </w:r>
      <w:r w:rsidRPr="00A70C9B">
        <w:t>During the test</w:t>
      </w:r>
      <w:r w:rsidR="00B97B2B">
        <w:t>,</w:t>
      </w:r>
      <w:r w:rsidRPr="00A70C9B">
        <w:t xml:space="preserve"> three distin</w:t>
      </w:r>
      <w:r w:rsidR="00B97B2B">
        <w:t>ct configurations were explored</w:t>
      </w:r>
      <w:r w:rsidRPr="00A70C9B">
        <w:t xml:space="preserve"> </w:t>
      </w:r>
      <w:r w:rsidR="00044640">
        <w:t>with different</w:t>
      </w:r>
      <w:r w:rsidR="00044640" w:rsidRPr="00A70C9B">
        <w:t xml:space="preserve"> </w:t>
      </w:r>
      <w:r w:rsidRPr="00A70C9B">
        <w:t>control rods position</w:t>
      </w:r>
      <w:r w:rsidR="00044640">
        <w:t>.</w:t>
      </w:r>
      <w:r w:rsidRPr="00A70C9B">
        <w:t xml:space="preserve"> </w:t>
      </w:r>
      <w:r w:rsidR="00044640">
        <w:t xml:space="preserve">The global power was kept </w:t>
      </w:r>
      <w:r w:rsidRPr="00A70C9B">
        <w:t xml:space="preserve">constant during the whole experiment. The objective was to measure the local power deviation </w:t>
      </w:r>
      <w:r w:rsidR="00D02FC7">
        <w:t xml:space="preserve">in the core with respect to the </w:t>
      </w:r>
      <w:r w:rsidRPr="00A70C9B">
        <w:t xml:space="preserve">state </w:t>
      </w:r>
      <w:r w:rsidR="00153B4F">
        <w:t>corresponding to the six control rods</w:t>
      </w:r>
      <w:r w:rsidR="00724E9D">
        <w:t xml:space="preserve"> </w:t>
      </w:r>
      <w:r w:rsidRPr="00A70C9B">
        <w:t>on rod bank</w:t>
      </w:r>
      <w:r w:rsidR="00D02FC7">
        <w:t>,</w:t>
      </w:r>
      <w:r w:rsidR="00044640">
        <w:t xml:space="preserve"> which corresponds to the normal operation state</w:t>
      </w:r>
      <w:r w:rsidRPr="00A70C9B">
        <w:t>.</w:t>
      </w:r>
      <w:r w:rsidR="00724E9D">
        <w:t xml:space="preserve"> </w:t>
      </w:r>
      <w:r w:rsidRPr="00A70C9B">
        <w:t xml:space="preserve">During the first step </w:t>
      </w:r>
      <w:r w:rsidR="00044640">
        <w:t xml:space="preserve">of the experiment, </w:t>
      </w:r>
      <w:r w:rsidRPr="00A70C9B">
        <w:t xml:space="preserve">the control rod </w:t>
      </w:r>
      <w:r w:rsidR="00D02FC7">
        <w:t xml:space="preserve">number </w:t>
      </w:r>
      <w:r w:rsidRPr="00A70C9B">
        <w:t xml:space="preserve">4 was inserted while all the others were extracted </w:t>
      </w:r>
      <w:r w:rsidR="00044640">
        <w:t xml:space="preserve">on rod </w:t>
      </w:r>
      <w:r w:rsidR="001952DF">
        <w:t>bank</w:t>
      </w:r>
      <w:r w:rsidRPr="00A70C9B">
        <w:t xml:space="preserve">. </w:t>
      </w:r>
      <w:r w:rsidR="00044640">
        <w:t xml:space="preserve">During the </w:t>
      </w:r>
      <w:r w:rsidRPr="00A70C9B">
        <w:t xml:space="preserve">second configuration the control rod 4 </w:t>
      </w:r>
      <w:r w:rsidR="00044640">
        <w:t xml:space="preserve">was </w:t>
      </w:r>
      <w:r w:rsidRPr="00A70C9B">
        <w:t xml:space="preserve">inserted </w:t>
      </w:r>
      <w:r w:rsidR="00044640">
        <w:t xml:space="preserve">while </w:t>
      </w:r>
      <w:r w:rsidRPr="00A70C9B">
        <w:t xml:space="preserve">the control rod </w:t>
      </w:r>
      <w:r w:rsidR="00D02FC7">
        <w:t xml:space="preserve">number </w:t>
      </w:r>
      <w:r w:rsidRPr="00A70C9B">
        <w:t>1</w:t>
      </w:r>
      <w:r w:rsidR="00044640">
        <w:t xml:space="preserve"> was kept</w:t>
      </w:r>
      <w:r w:rsidRPr="00A70C9B">
        <w:t xml:space="preserve"> extracted</w:t>
      </w:r>
      <w:r w:rsidR="00044640">
        <w:t xml:space="preserve"> and the others rod on rod bank</w:t>
      </w:r>
      <w:r w:rsidRPr="00A70C9B">
        <w:t xml:space="preserve">. </w:t>
      </w:r>
      <w:r w:rsidR="00044640">
        <w:t xml:space="preserve">In the last configuration, </w:t>
      </w:r>
      <w:r w:rsidRPr="00A70C9B">
        <w:t xml:space="preserve">only the control rod </w:t>
      </w:r>
      <w:r w:rsidR="00D02FC7">
        <w:t xml:space="preserve">number </w:t>
      </w:r>
      <w:r w:rsidRPr="00A70C9B">
        <w:t>4 was extracted. The overvi</w:t>
      </w:r>
      <w:r w:rsidR="002128F2" w:rsidRPr="00542E57">
        <w:t>ew of the test is s</w:t>
      </w:r>
      <w:r w:rsidR="0032271E">
        <w:t xml:space="preserve">hown in </w:t>
      </w:r>
      <w:r w:rsidR="00891392">
        <w:t>Fig.</w:t>
      </w:r>
      <w:r w:rsidR="002128F2" w:rsidRPr="00542E57">
        <w:t xml:space="preserve"> 2</w:t>
      </w:r>
      <w:r w:rsidRPr="00A70C9B">
        <w:t>.</w:t>
      </w:r>
    </w:p>
    <w:p w14:paraId="7E0DDFAC" w14:textId="77D909E1" w:rsidR="000E2AC6" w:rsidRPr="00A70C9B" w:rsidRDefault="000E2AC6" w:rsidP="00B97B2B">
      <w:pPr>
        <w:pStyle w:val="Corpsdetexte"/>
      </w:pPr>
      <w:r w:rsidRPr="00A70C9B">
        <w:t>During the whole test, the total power produced by fission was maintained constant</w:t>
      </w:r>
      <w:r w:rsidR="00A56E72">
        <w:t>,</w:t>
      </w:r>
      <w:r w:rsidR="00044640">
        <w:t xml:space="preserve"> s</w:t>
      </w:r>
      <w:r w:rsidR="00A56E72">
        <w:t>o as</w:t>
      </w:r>
      <w:r w:rsidR="00044640">
        <w:t xml:space="preserve"> the </w:t>
      </w:r>
      <w:r w:rsidR="00A56E72">
        <w:t>total sodium flowrate (primary pump speeds were not modified)</w:t>
      </w:r>
      <w:r w:rsidRPr="00A70C9B">
        <w:t xml:space="preserve">. The temperature at the core inlet </w:t>
      </w:r>
      <w:r w:rsidR="00A56E72">
        <w:t>was measured using thermocouples located in the three primary pumps</w:t>
      </w:r>
      <w:r w:rsidR="00D67246">
        <w:t>,</w:t>
      </w:r>
      <w:r w:rsidR="00A56E72">
        <w:t xml:space="preserve"> while subassembly outlet temperatures were measured using thermocouples located above ea</w:t>
      </w:r>
      <w:r w:rsidR="00B97B2B">
        <w:t>ch subassemblies (~10 cm above)</w:t>
      </w:r>
      <w:r w:rsidRPr="00A70C9B">
        <w:t xml:space="preserve">. </w:t>
      </w:r>
      <w:r w:rsidR="00A56E72">
        <w:t>Sodium density variations</w:t>
      </w:r>
      <w:r w:rsidR="00AD5762">
        <w:t xml:space="preserve"> were considered</w:t>
      </w:r>
      <w:r w:rsidR="00A56E72">
        <w:t xml:space="preserve"> to be negligible on individual subassembly flowrates, which were </w:t>
      </w:r>
      <w:r w:rsidR="00AD5762">
        <w:t>assumed</w:t>
      </w:r>
      <w:r w:rsidR="00FA562B">
        <w:t xml:space="preserve"> constant during the test.</w:t>
      </w:r>
      <w:r w:rsidR="00A56E72">
        <w:t xml:space="preserve"> I</w:t>
      </w:r>
      <w:r w:rsidR="009049A3">
        <w:t>ndividual power in each sub</w:t>
      </w:r>
      <w:r w:rsidRPr="00A70C9B">
        <w:t xml:space="preserve">assembly </w:t>
      </w:r>
      <w:r w:rsidR="00AD5762">
        <w:t>was</w:t>
      </w:r>
      <w:r w:rsidR="00A56E72">
        <w:t xml:space="preserve"> then </w:t>
      </w:r>
      <w:r w:rsidRPr="00A70C9B">
        <w:t xml:space="preserve">computed considering </w:t>
      </w:r>
      <w:r w:rsidR="00F20418">
        <w:t xml:space="preserve">the </w:t>
      </w:r>
      <w:r w:rsidR="00A56E72">
        <w:t xml:space="preserve">following </w:t>
      </w:r>
      <w:r w:rsidR="00F20418">
        <w:t>energy conservation equation in steady-state conditions</w:t>
      </w:r>
      <w:r w:rsidR="00745DA5">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9"/>
        <w:gridCol w:w="968"/>
      </w:tblGrid>
      <w:tr w:rsidR="000E2AC6" w:rsidRPr="009F7C74" w14:paraId="47B9E563" w14:textId="77777777" w:rsidTr="00EE7ACE">
        <w:tc>
          <w:tcPr>
            <w:tcW w:w="8755" w:type="dxa"/>
          </w:tcPr>
          <w:p w14:paraId="754AD1B3" w14:textId="0D605EA9" w:rsidR="000E2AC6" w:rsidRPr="009F7C74" w:rsidRDefault="00A57C5D" w:rsidP="00A70C9B">
            <w:pPr>
              <w:pStyle w:val="Corpsdetexte"/>
            </w:pPr>
            <m:oMathPara>
              <m:oMath>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i</m:t>
                    </m:r>
                  </m:sub>
                </m:sSub>
                <m:r>
                  <m:rPr>
                    <m:sty m:val="p"/>
                  </m:rP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p</m:t>
                        </m:r>
                      </m:sub>
                    </m:sSub>
                  </m:e>
                  <m:sub>
                    <m:r>
                      <w:rPr>
                        <w:rFonts w:ascii="Cambria Math" w:hAnsi="Cambria Math"/>
                      </w:rPr>
                      <m:t>Na</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ou</m:t>
                        </m:r>
                        <m:sSub>
                          <m:sSubPr>
                            <m:ctrlPr>
                              <w:rPr>
                                <w:rFonts w:ascii="Cambria Math" w:hAnsi="Cambria Math"/>
                                <w:i/>
                              </w:rPr>
                            </m:ctrlPr>
                          </m:sSubPr>
                          <m:e>
                            <m:r>
                              <w:rPr>
                                <w:rFonts w:ascii="Cambria Math" w:hAnsi="Cambria Math"/>
                              </w:rPr>
                              <m:t>t</m:t>
                            </m:r>
                          </m:e>
                          <m:sub>
                            <m:r>
                              <w:rPr>
                                <w:rFonts w:ascii="Cambria Math" w:hAnsi="Cambria Math"/>
                              </w:rPr>
                              <m:t>i</m:t>
                            </m:r>
                          </m:sub>
                        </m:sSub>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in</m:t>
                        </m:r>
                      </m:sub>
                    </m:sSub>
                  </m:e>
                </m:d>
                <m:r>
                  <w:rPr>
                    <w:rFonts w:ascii="Cambria Math" w:hAnsi="Cambria Math"/>
                  </w:rPr>
                  <m:t>,</m:t>
                </m:r>
              </m:oMath>
            </m:oMathPara>
          </w:p>
          <w:p w14:paraId="525BC8EC" w14:textId="77777777" w:rsidR="000E2AC6" w:rsidRPr="009F7C74" w:rsidRDefault="000E2AC6" w:rsidP="00A70C9B">
            <w:pPr>
              <w:pStyle w:val="Corpsdetexte"/>
            </w:pPr>
          </w:p>
        </w:tc>
        <w:tc>
          <w:tcPr>
            <w:tcW w:w="1023" w:type="dxa"/>
          </w:tcPr>
          <w:p w14:paraId="2637DA2E" w14:textId="34344DAA" w:rsidR="000E2AC6" w:rsidRPr="009F7C74" w:rsidRDefault="00F902BF" w:rsidP="00A70C9B">
            <w:pPr>
              <w:pStyle w:val="Corpsdetexte"/>
              <w:ind w:firstLine="0"/>
            </w:pPr>
            <w:r w:rsidRPr="009F7C74">
              <w:t>(1</w:t>
            </w:r>
            <w:r w:rsidR="000E2AC6" w:rsidRPr="009F7C74">
              <w:t>)</w:t>
            </w:r>
          </w:p>
        </w:tc>
      </w:tr>
    </w:tbl>
    <w:p w14:paraId="7A7B226C" w14:textId="0DAAA675" w:rsidR="000E2AC6" w:rsidRDefault="00F20418" w:rsidP="00AD5762">
      <w:pPr>
        <w:pStyle w:val="Corpsdetexte"/>
        <w:ind w:firstLine="0"/>
      </w:pPr>
      <w:proofErr w:type="gramStart"/>
      <w:r w:rsidRPr="009F7C74">
        <w:t>w</w:t>
      </w:r>
      <w:r w:rsidR="000E2AC6" w:rsidRPr="009F7C74">
        <w:t>here</w:t>
      </w:r>
      <w:proofErr w:type="gramEnd"/>
      <w:r w:rsidR="000E2AC6" w:rsidRPr="009F7C74">
        <w:t>:</w:t>
      </w:r>
      <w:r w:rsidR="00C440EC" w:rsidRPr="009F7C74">
        <w:t xml:space="preserve"> </w:t>
      </w:r>
      <m:oMath>
        <m:sSub>
          <m:sSubPr>
            <m:ctrlPr>
              <w:rPr>
                <w:rFonts w:ascii="Cambria Math" w:hAnsi="Cambria Math"/>
              </w:rPr>
            </m:ctrlPr>
          </m:sSubPr>
          <m:e>
            <m:r>
              <w:rPr>
                <w:rFonts w:ascii="Cambria Math" w:hAnsi="Cambria Math"/>
              </w:rPr>
              <m:t>P</m:t>
            </m:r>
          </m:e>
          <m:sub>
            <m:r>
              <w:rPr>
                <w:rFonts w:ascii="Cambria Math" w:hAnsi="Cambria Math"/>
              </w:rPr>
              <m:t>i</m:t>
            </m:r>
          </m:sub>
        </m:sSub>
      </m:oMath>
      <w:r w:rsidR="009049A3">
        <w:t xml:space="preserve"> is the total power in each sub</w:t>
      </w:r>
      <w:r w:rsidR="000E2AC6" w:rsidRPr="009F7C74">
        <w:t>assembly [W];</w:t>
      </w:r>
      <w:r w:rsidR="00C440EC" w:rsidRPr="009F7C74">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i</m:t>
            </m:r>
          </m:sub>
        </m:sSub>
        <m:r>
          <m:rPr>
            <m:sty m:val="p"/>
          </m:rPr>
          <w:rPr>
            <w:rFonts w:ascii="Cambria Math" w:hAnsi="Cambria Math"/>
          </w:rPr>
          <m:t xml:space="preserve">  </m:t>
        </m:r>
      </m:oMath>
      <w:r w:rsidR="000E2AC6" w:rsidRPr="009F7C74">
        <w:t>is the sodium mass flow rate in each S/A [kg/s];</w:t>
      </w:r>
      <w:r w:rsidR="00C440EC" w:rsidRPr="009F7C74">
        <w:t xml:space="preserve"> </w:t>
      </w:r>
      <m:oMath>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p</m:t>
                </m:r>
              </m:sub>
            </m:sSub>
          </m:e>
          <m:sub>
            <m:r>
              <w:rPr>
                <w:rFonts w:ascii="Cambria Math" w:hAnsi="Cambria Math"/>
              </w:rPr>
              <m:t>Na</m:t>
            </m:r>
          </m:sub>
        </m:sSub>
        <m:r>
          <m:rPr>
            <m:sty m:val="p"/>
          </m:rPr>
          <w:rPr>
            <w:rFonts w:ascii="Cambria Math" w:hAnsi="Cambria Math"/>
          </w:rPr>
          <m:t xml:space="preserve"> </m:t>
        </m:r>
      </m:oMath>
      <w:r w:rsidR="000E2AC6" w:rsidRPr="009F7C74">
        <w:t>i</w:t>
      </w:r>
      <w:proofErr w:type="spellStart"/>
      <w:r w:rsidR="000E2AC6" w:rsidRPr="009F7C74">
        <w:t>s</w:t>
      </w:r>
      <w:proofErr w:type="spellEnd"/>
      <w:r w:rsidR="000E2AC6" w:rsidRPr="009F7C74">
        <w:t xml:space="preserve"> the specific heat capacity of sodium [J/kg/K];</w:t>
      </w:r>
      <w:r w:rsidR="00C440EC" w:rsidRPr="009F7C74">
        <w:t xml:space="preserve"> </w:t>
      </w:r>
      <m:oMath>
        <m:sSub>
          <m:sSubPr>
            <m:ctrlPr>
              <w:rPr>
                <w:rFonts w:ascii="Cambria Math" w:hAnsi="Cambria Math"/>
              </w:rPr>
            </m:ctrlPr>
          </m:sSubPr>
          <m:e>
            <m:r>
              <w:rPr>
                <w:rFonts w:ascii="Cambria Math" w:hAnsi="Cambria Math"/>
              </w:rPr>
              <m:t>T</m:t>
            </m:r>
          </m:e>
          <m:sub>
            <m:r>
              <w:rPr>
                <w:rFonts w:ascii="Cambria Math" w:hAnsi="Cambria Math"/>
              </w:rPr>
              <m:t>ou</m:t>
            </m:r>
            <m:sSub>
              <m:sSubPr>
                <m:ctrlPr>
                  <w:rPr>
                    <w:rFonts w:ascii="Cambria Math" w:hAnsi="Cambria Math"/>
                    <w:i/>
                  </w:rPr>
                </m:ctrlPr>
              </m:sSubPr>
              <m:e>
                <m:r>
                  <w:rPr>
                    <w:rFonts w:ascii="Cambria Math" w:hAnsi="Cambria Math"/>
                  </w:rPr>
                  <m:t>t</m:t>
                </m:r>
              </m:e>
              <m:sub>
                <m:r>
                  <w:rPr>
                    <w:rFonts w:ascii="Cambria Math" w:hAnsi="Cambria Math"/>
                  </w:rPr>
                  <m:t>i</m:t>
                </m:r>
              </m:sub>
            </m:sSub>
          </m:sub>
        </m:sSub>
        <m:r>
          <m:rPr>
            <m:sty m:val="p"/>
          </m:rPr>
          <w:rPr>
            <w:rFonts w:ascii="Cambria Math" w:hAnsi="Cambria Math"/>
          </w:rPr>
          <m:t xml:space="preserve"> </m:t>
        </m:r>
        <m:r>
          <w:rPr>
            <w:rFonts w:ascii="Cambria Math" w:hAnsi="Cambria Math"/>
          </w:rPr>
          <m:t>and</m:t>
        </m:r>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in</m:t>
            </m:r>
          </m:sub>
        </m:sSub>
        <m:r>
          <m:rPr>
            <m:sty m:val="p"/>
          </m:rPr>
          <w:rPr>
            <w:rFonts w:ascii="Cambria Math" w:hAnsi="Cambria Math"/>
          </w:rPr>
          <m:t xml:space="preserve"> </m:t>
        </m:r>
      </m:oMath>
      <w:r w:rsidR="000E2AC6" w:rsidRPr="009F7C74">
        <w:t xml:space="preserve">are respectively the </w:t>
      </w:r>
      <w:r w:rsidR="00DD3E41" w:rsidRPr="009F7C74">
        <w:t>outlet</w:t>
      </w:r>
      <w:r w:rsidR="00DD3E41">
        <w:t xml:space="preserve"> sodium temperature of each subassembly</w:t>
      </w:r>
      <w:r w:rsidR="000E2AC6" w:rsidRPr="009F7C74">
        <w:t xml:space="preserve"> and inlet sodium temperature in the core [K].</w:t>
      </w:r>
    </w:p>
    <w:p w14:paraId="20E2BFD8" w14:textId="77777777" w:rsidR="00AD5762" w:rsidRPr="00A70C9B" w:rsidRDefault="00AD5762" w:rsidP="00AD5762">
      <w:pPr>
        <w:pStyle w:val="Corpsdetexte"/>
        <w:ind w:firstLine="0"/>
      </w:pPr>
    </w:p>
    <w:p w14:paraId="3A5F80AC" w14:textId="60A04421" w:rsidR="000E2AC6" w:rsidRPr="00A70C9B" w:rsidRDefault="00B301BC" w:rsidP="00A70C9B">
      <w:pPr>
        <w:pStyle w:val="Corpsdetexte"/>
      </w:pPr>
      <w:r>
        <w:t>The additional assumption</w:t>
      </w:r>
      <w:r w:rsidR="00036A16">
        <w:t>s</w:t>
      </w:r>
      <w:r w:rsidR="000E2AC6" w:rsidRPr="00A70C9B">
        <w:t xml:space="preserve"> </w:t>
      </w:r>
      <w:r w:rsidR="00036A16">
        <w:t xml:space="preserve">were </w:t>
      </w:r>
      <w:r w:rsidR="000E2AC6" w:rsidRPr="00A70C9B">
        <w:t>the negligibili</w:t>
      </w:r>
      <w:r w:rsidR="009049A3">
        <w:t>ty of heat transfer between sub</w:t>
      </w:r>
      <w:r w:rsidR="000E2AC6" w:rsidRPr="00A70C9B">
        <w:t>assemblies</w:t>
      </w:r>
      <w:r w:rsidR="00036A16">
        <w:t xml:space="preserve"> and the negligible impact on specific heat capacity of sodium temperature variations</w:t>
      </w:r>
      <w:r w:rsidR="000E2AC6" w:rsidRPr="00A70C9B">
        <w:t>. With these considerations it can be deducted that the power local deviation was obtained just from the deviation of the difference between inlet and outlet sodium temperature</w:t>
      </w:r>
      <w:r>
        <w:t>. We can write the following balance equation</w:t>
      </w:r>
      <w:r w:rsidR="000E2AC6" w:rsidRPr="00A70C9B">
        <w:t>:</w:t>
      </w:r>
    </w:p>
    <w:p w14:paraId="7CD82C89" w14:textId="77777777" w:rsidR="000E2AC6" w:rsidRPr="00A70C9B" w:rsidRDefault="000E2AC6" w:rsidP="00A70C9B">
      <w:pPr>
        <w:pStyle w:val="Corpsdetext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4"/>
        <w:gridCol w:w="943"/>
      </w:tblGrid>
      <w:tr w:rsidR="000E2AC6" w:rsidRPr="000E2AC6" w14:paraId="41A9A625" w14:textId="77777777" w:rsidTr="00EE7ACE">
        <w:tc>
          <w:tcPr>
            <w:tcW w:w="8755" w:type="dxa"/>
          </w:tcPr>
          <w:p w14:paraId="0C316CBF" w14:textId="24BEF057" w:rsidR="000E2AC6" w:rsidRPr="00A70C9B" w:rsidRDefault="00A57C5D" w:rsidP="00036A16">
            <w:pPr>
              <w:pStyle w:val="Corpsdetexte"/>
            </w:pPr>
            <m:oMathPara>
              <m:oMath>
                <m:sSub>
                  <m:sSubPr>
                    <m:ctrlPr>
                      <w:rPr>
                        <w:rFonts w:ascii="Cambria Math" w:hAnsi="Cambria Math"/>
                      </w:rPr>
                    </m:ctrlPr>
                  </m:sSubPr>
                  <m:e>
                    <m:r>
                      <w:rPr>
                        <w:rFonts w:ascii="Cambria Math" w:hAnsi="Cambria Math"/>
                      </w:rPr>
                      <m:t>δ</m:t>
                    </m:r>
                  </m:e>
                  <m:sub>
                    <m:r>
                      <w:rPr>
                        <w:rFonts w:ascii="Cambria Math" w:hAnsi="Cambria Math"/>
                      </w:rPr>
                      <m:t>rel</m:t>
                    </m:r>
                  </m:sub>
                </m:sSub>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i</m:t>
                        </m:r>
                      </m:sub>
                    </m:sSub>
                    <m:sSub>
                      <m:sSubPr>
                        <m:ctrlPr>
                          <w:rPr>
                            <w:rFonts w:ascii="Cambria Math" w:hAnsi="Cambria Math"/>
                          </w:rPr>
                        </m:ctrlPr>
                      </m:sSubPr>
                      <m:e>
                        <m:r>
                          <w:rPr>
                            <w:rFonts w:ascii="Cambria Math" w:hAnsi="Cambria Math"/>
                          </w:rPr>
                          <m:t>c</m:t>
                        </m:r>
                      </m:e>
                      <m:sub>
                        <m:r>
                          <w:rPr>
                            <w:rFonts w:ascii="Cambria Math" w:hAnsi="Cambria Math"/>
                          </w:rPr>
                          <m:t>pi</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i</m:t>
                        </m:r>
                      </m:sub>
                    </m:sSub>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i</m:t>
                        </m:r>
                      </m:sub>
                      <m:sup>
                        <m:r>
                          <w:rPr>
                            <w:rFonts w:ascii="Cambria Math" w:hAnsi="Cambria Math"/>
                          </w:rPr>
                          <m:t>initial</m:t>
                        </m:r>
                      </m:sup>
                    </m:sSubSup>
                    <m:r>
                      <m:rPr>
                        <m:sty m:val="p"/>
                      </m:rPr>
                      <w:rPr>
                        <w:rFonts w:ascii="Cambria Math" w:hAnsi="Cambria Math"/>
                      </w:rPr>
                      <m:t>)</m:t>
                    </m:r>
                  </m:num>
                  <m:den>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i</m:t>
                        </m:r>
                      </m:sub>
                    </m:sSub>
                    <m:sSub>
                      <m:sSubPr>
                        <m:ctrlPr>
                          <w:rPr>
                            <w:rFonts w:ascii="Cambria Math" w:hAnsi="Cambria Math"/>
                          </w:rPr>
                        </m:ctrlPr>
                      </m:sSubPr>
                      <m:e>
                        <m:r>
                          <w:rPr>
                            <w:rFonts w:ascii="Cambria Math" w:hAnsi="Cambria Math"/>
                          </w:rPr>
                          <m:t>c</m:t>
                        </m:r>
                      </m:e>
                      <m:sub>
                        <m:r>
                          <w:rPr>
                            <w:rFonts w:ascii="Cambria Math" w:hAnsi="Cambria Math"/>
                          </w:rPr>
                          <m:t>pi</m:t>
                        </m:r>
                      </m:sub>
                    </m:sSub>
                    <m:r>
                      <m:rPr>
                        <m:sty m:val="p"/>
                      </m:rPr>
                      <w:rPr>
                        <w:rFonts w:ascii="Cambria Math" w:hAnsi="Cambria Math"/>
                      </w:rPr>
                      <m:t xml:space="preserve"> ∆</m:t>
                    </m:r>
                    <m:sSubSup>
                      <m:sSubSupPr>
                        <m:ctrlPr>
                          <w:rPr>
                            <w:rFonts w:ascii="Cambria Math" w:hAnsi="Cambria Math"/>
                          </w:rPr>
                        </m:ctrlPr>
                      </m:sSubSupPr>
                      <m:e>
                        <m:r>
                          <w:rPr>
                            <w:rFonts w:ascii="Cambria Math" w:hAnsi="Cambria Math"/>
                          </w:rPr>
                          <m:t>T</m:t>
                        </m:r>
                      </m:e>
                      <m:sub>
                        <m:r>
                          <w:rPr>
                            <w:rFonts w:ascii="Cambria Math" w:hAnsi="Cambria Math"/>
                          </w:rPr>
                          <m:t>i</m:t>
                        </m:r>
                      </m:sub>
                      <m:sup>
                        <m:r>
                          <w:rPr>
                            <w:rFonts w:ascii="Cambria Math" w:hAnsi="Cambria Math"/>
                          </w:rPr>
                          <m:t>initial</m:t>
                        </m:r>
                      </m:sup>
                    </m:sSubSup>
                  </m:den>
                </m:f>
                <m: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m:t>
                        </m:r>
                      </m:sub>
                    </m:sSub>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i</m:t>
                        </m:r>
                      </m:sub>
                      <m:sup>
                        <m:r>
                          <w:rPr>
                            <w:rFonts w:ascii="Cambria Math" w:hAnsi="Cambria Math"/>
                          </w:rPr>
                          <m:t>initial</m:t>
                        </m:r>
                      </m:sup>
                    </m:sSubSup>
                    <m:r>
                      <m:rPr>
                        <m:sty m:val="p"/>
                      </m:rPr>
                      <w:rPr>
                        <w:rFonts w:ascii="Cambria Math" w:hAnsi="Cambria Math"/>
                      </w:rPr>
                      <m:t>)</m:t>
                    </m:r>
                  </m:num>
                  <m:den>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i</m:t>
                        </m:r>
                      </m:sub>
                      <m:sup>
                        <m:r>
                          <w:rPr>
                            <w:rFonts w:ascii="Cambria Math" w:hAnsi="Cambria Math"/>
                          </w:rPr>
                          <m:t>initial</m:t>
                        </m:r>
                      </m:sup>
                    </m:sSubSup>
                  </m:den>
                </m:f>
                <m:r>
                  <w:rPr>
                    <w:rFonts w:ascii="Cambria Math" w:hAnsi="Cambria Math"/>
                  </w:rPr>
                  <m:t>,</m:t>
                </m:r>
              </m:oMath>
            </m:oMathPara>
          </w:p>
        </w:tc>
        <w:tc>
          <w:tcPr>
            <w:tcW w:w="1023" w:type="dxa"/>
          </w:tcPr>
          <w:p w14:paraId="5F25A14B" w14:textId="7FBBC6D5" w:rsidR="000E2AC6" w:rsidRPr="00A70C9B" w:rsidRDefault="00F902BF" w:rsidP="00A70C9B">
            <w:pPr>
              <w:pStyle w:val="Corpsdetexte"/>
              <w:ind w:firstLine="0"/>
            </w:pPr>
            <w:r w:rsidRPr="00EE7ACE">
              <w:t>(</w:t>
            </w:r>
            <w:r w:rsidR="000E2AC6" w:rsidRPr="00A70C9B">
              <w:t>2)</w:t>
            </w:r>
          </w:p>
        </w:tc>
      </w:tr>
    </w:tbl>
    <w:p w14:paraId="2457A280" w14:textId="77777777" w:rsidR="000E2AC6" w:rsidRPr="00A70C9B" w:rsidRDefault="000E2AC6" w:rsidP="00A70C9B">
      <w:pPr>
        <w:pStyle w:val="Corpsdetexte"/>
      </w:pPr>
    </w:p>
    <w:p w14:paraId="7A7C8CCF" w14:textId="181BD5A5" w:rsidR="00B97B2B" w:rsidRPr="009F7C74" w:rsidRDefault="00F20418" w:rsidP="007B6C5C">
      <w:pPr>
        <w:pStyle w:val="Corpsdetexte"/>
        <w:ind w:firstLine="0"/>
      </w:pPr>
      <w:r w:rsidRPr="009F7C74">
        <w:t>w</w:t>
      </w:r>
      <w:r w:rsidR="000E2AC6" w:rsidRPr="009F7C74">
        <w:t>here:</w:t>
      </w:r>
      <w:r w:rsidR="00C440EC" w:rsidRPr="009F7C74">
        <w:t xml:space="preserve"> </w:t>
      </w:r>
      <m:oMath>
        <m:sSub>
          <m:sSubPr>
            <m:ctrlPr>
              <w:rPr>
                <w:rFonts w:ascii="Cambria Math" w:hAnsi="Cambria Math"/>
              </w:rPr>
            </m:ctrlPr>
          </m:sSubPr>
          <m:e>
            <m:r>
              <w:rPr>
                <w:rFonts w:ascii="Cambria Math" w:hAnsi="Cambria Math"/>
              </w:rPr>
              <m:t>δ</m:t>
            </m:r>
          </m:e>
          <m:sub>
            <m:r>
              <w:rPr>
                <w:rFonts w:ascii="Cambria Math" w:hAnsi="Cambria Math"/>
              </w:rPr>
              <m:t>rel</m:t>
            </m:r>
          </m:sub>
        </m:sSub>
        <m:sSub>
          <m:sSubPr>
            <m:ctrlPr>
              <w:rPr>
                <w:rFonts w:ascii="Cambria Math" w:hAnsi="Cambria Math"/>
              </w:rPr>
            </m:ctrlPr>
          </m:sSubPr>
          <m:e>
            <m:r>
              <w:rPr>
                <w:rFonts w:ascii="Cambria Math" w:hAnsi="Cambria Math"/>
              </w:rPr>
              <m:t>P</m:t>
            </m:r>
          </m:e>
          <m:sub>
            <m:r>
              <w:rPr>
                <w:rFonts w:ascii="Cambria Math" w:hAnsi="Cambria Math"/>
              </w:rPr>
              <m:t>i</m:t>
            </m:r>
          </m:sub>
        </m:sSub>
      </m:oMath>
      <w:r w:rsidR="000E2AC6" w:rsidRPr="009F7C74">
        <w:t xml:space="preserve"> is the rela</w:t>
      </w:r>
      <w:proofErr w:type="spellStart"/>
      <w:r w:rsidR="009049A3">
        <w:t>tive</w:t>
      </w:r>
      <w:proofErr w:type="spellEnd"/>
      <w:r w:rsidR="009049A3">
        <w:t xml:space="preserve"> power deviation of the sub</w:t>
      </w:r>
      <w:r w:rsidR="000E2AC6" w:rsidRPr="009F7C74">
        <w:t>as</w:t>
      </w:r>
      <w:r w:rsidR="00B97B2B" w:rsidRPr="009F7C74">
        <w:t xml:space="preserve">sembly </w:t>
      </w:r>
      <w:proofErr w:type="spellStart"/>
      <w:r w:rsidR="00B97B2B" w:rsidRPr="009F7C74">
        <w:t>i</w:t>
      </w:r>
      <w:proofErr w:type="spellEnd"/>
      <w:r w:rsidR="00B97B2B" w:rsidRPr="009F7C74">
        <w:t>, between the</w:t>
      </w:r>
      <w:r w:rsidR="000E2AC6" w:rsidRPr="009F7C74">
        <w:t xml:space="preserve"> considered configuration of t</w:t>
      </w:r>
      <w:r w:rsidR="00B97B2B" w:rsidRPr="009F7C74">
        <w:t>he test and the reference state [-]</w:t>
      </w:r>
      <w:r w:rsidR="000E2AC6" w:rsidRPr="009F7C74">
        <w:t>;</w:t>
      </w:r>
      <w:r w:rsidR="00C440EC" w:rsidRPr="009F7C74">
        <w:t xml:space="preserve"> </w:t>
      </w:r>
      <m:oMath>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i</m:t>
            </m:r>
          </m:sub>
          <m:sup>
            <m:r>
              <w:rPr>
                <w:rFonts w:ascii="Cambria Math" w:hAnsi="Cambria Math"/>
              </w:rPr>
              <m:t>initial</m:t>
            </m:r>
          </m:sup>
        </m:sSubSup>
      </m:oMath>
      <w:r w:rsidR="000E2AC6" w:rsidRPr="009F7C74">
        <w:t xml:space="preserve"> is the temperature difference betw</w:t>
      </w:r>
      <w:proofErr w:type="spellStart"/>
      <w:r w:rsidR="009049A3">
        <w:t>een</w:t>
      </w:r>
      <w:proofErr w:type="spellEnd"/>
      <w:r w:rsidR="009049A3">
        <w:t xml:space="preserve"> outlet and inlet of the sub</w:t>
      </w:r>
      <w:r w:rsidR="000E2AC6" w:rsidRPr="009F7C74">
        <w:t xml:space="preserve">assembly </w:t>
      </w:r>
      <w:proofErr w:type="spellStart"/>
      <w:r w:rsidR="000E2AC6" w:rsidRPr="009F7C74">
        <w:t>i</w:t>
      </w:r>
      <w:proofErr w:type="spellEnd"/>
      <w:r w:rsidR="000E2AC6" w:rsidRPr="009F7C74">
        <w:t>, in the reference state of the test [°C];</w:t>
      </w:r>
      <w:r w:rsidR="00C440EC" w:rsidRPr="009F7C74">
        <w:t xml:space="preserve"> </w:t>
      </w:r>
      <m:oMath>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m:t>
            </m:r>
          </m:sub>
        </m:sSub>
      </m:oMath>
      <w:r w:rsidR="000E2AC6" w:rsidRPr="009F7C74">
        <w:t xml:space="preserve"> is the temperature difference between outlet</w:t>
      </w:r>
      <w:r w:rsidR="009049A3">
        <w:t xml:space="preserve"> and inlet of the sub</w:t>
      </w:r>
      <w:r w:rsidR="000E2AC6" w:rsidRPr="009F7C74">
        <w:t xml:space="preserve">assembly </w:t>
      </w:r>
      <w:proofErr w:type="spellStart"/>
      <w:r w:rsidR="000E2AC6" w:rsidRPr="009F7C74">
        <w:t>i</w:t>
      </w:r>
      <w:proofErr w:type="spellEnd"/>
      <w:r w:rsidR="000E2AC6" w:rsidRPr="009F7C74">
        <w:t>, in the considered configuration of the test [°C]</w:t>
      </w:r>
      <w:r w:rsidR="002128F2" w:rsidRPr="009F7C74">
        <w:t>.</w:t>
      </w:r>
    </w:p>
    <w:p w14:paraId="7F13AC7A" w14:textId="386EA257" w:rsidR="007B6C5C" w:rsidRDefault="007B6C5C" w:rsidP="00B97B2B">
      <w:pPr>
        <w:pStyle w:val="Corpsdetexte"/>
      </w:pPr>
      <w:r w:rsidRPr="009F7C74">
        <w:t>The power deviation of each phase of the test could</w:t>
      </w:r>
      <w:r>
        <w:t xml:space="preserve"> be obtained </w:t>
      </w:r>
      <w:r w:rsidRPr="00A70C9B">
        <w:t>measuring only the outlet sodium tem</w:t>
      </w:r>
      <w:r>
        <w:t>perature, through thermocouples.</w:t>
      </w:r>
      <w:r w:rsidR="00036A16">
        <w:t xml:space="preserve"> Uncertainties on power deviations can easily be inferred from the equation (2) knowing uncertainties on measured sodium temperature variations.</w:t>
      </w:r>
    </w:p>
    <w:p w14:paraId="0756BB33" w14:textId="79C85C6D" w:rsidR="00AD7513" w:rsidRDefault="001D3E15" w:rsidP="00AD7513">
      <w:pPr>
        <w:pStyle w:val="Corpsdetexte"/>
        <w:jc w:val="center"/>
      </w:pPr>
      <w:r w:rsidRPr="001D3E15">
        <w:rPr>
          <w:noProof/>
          <w:lang w:val="fr-FR" w:eastAsia="fr-FR"/>
        </w:rPr>
        <w:lastRenderedPageBreak/>
        <w:drawing>
          <wp:inline distT="0" distB="0" distL="0" distR="0" wp14:anchorId="07DC92C0" wp14:editId="41DD3099">
            <wp:extent cx="5039736" cy="3600450"/>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03358" cy="3645902"/>
                    </a:xfrm>
                    <a:prstGeom prst="rect">
                      <a:avLst/>
                    </a:prstGeom>
                  </pic:spPr>
                </pic:pic>
              </a:graphicData>
            </a:graphic>
          </wp:inline>
        </w:drawing>
      </w:r>
    </w:p>
    <w:p w14:paraId="029652C7" w14:textId="626D18AC" w:rsidR="00AD7513" w:rsidRDefault="00AD7513" w:rsidP="00AD7513">
      <w:pPr>
        <w:pStyle w:val="Figurecaption"/>
      </w:pPr>
      <w:r>
        <w:t xml:space="preserve">FIG. </w:t>
      </w:r>
      <w:r w:rsidR="00A57C5D">
        <w:fldChar w:fldCharType="begin"/>
      </w:r>
      <w:r w:rsidR="00A57C5D">
        <w:instrText xml:space="preserve"> SEQ Figure \* ARABIC </w:instrText>
      </w:r>
      <w:r w:rsidR="00A57C5D">
        <w:fldChar w:fldCharType="separate"/>
      </w:r>
      <w:r>
        <w:rPr>
          <w:noProof/>
        </w:rPr>
        <w:t>1</w:t>
      </w:r>
      <w:r w:rsidR="00A57C5D">
        <w:rPr>
          <w:noProof/>
        </w:rPr>
        <w:fldChar w:fldCharType="end"/>
      </w:r>
      <w:r w:rsidR="009A68AC">
        <w:t xml:space="preserve">. </w:t>
      </w:r>
      <w:proofErr w:type="spellStart"/>
      <w:r w:rsidR="009A68AC">
        <w:t>Phénix</w:t>
      </w:r>
      <w:proofErr w:type="spellEnd"/>
      <w:r w:rsidR="009A68AC">
        <w:t xml:space="preserve"> core loading map.</w:t>
      </w:r>
    </w:p>
    <w:p w14:paraId="2276B102" w14:textId="3BFE133D" w:rsidR="00AD7513" w:rsidRDefault="00AD7513" w:rsidP="00AD7513">
      <w:pPr>
        <w:pStyle w:val="Corpsdetexte"/>
        <w:jc w:val="center"/>
      </w:pPr>
    </w:p>
    <w:p w14:paraId="7085FD6A" w14:textId="77777777" w:rsidR="00AD7513" w:rsidRDefault="00AD7513" w:rsidP="00AD7513">
      <w:pPr>
        <w:pStyle w:val="Corpsdetexte"/>
        <w:ind w:firstLine="0"/>
        <w:jc w:val="center"/>
        <w:rPr>
          <w:rStyle w:val="FigurecaptionChar"/>
        </w:rPr>
      </w:pPr>
      <w:r>
        <w:rPr>
          <w:noProof/>
          <w:lang w:val="fr-FR" w:eastAsia="fr-FR"/>
        </w:rPr>
        <w:drawing>
          <wp:inline distT="0" distB="0" distL="0" distR="0" wp14:anchorId="440F8F62" wp14:editId="23FC6F2E">
            <wp:extent cx="5234354" cy="962560"/>
            <wp:effectExtent l="0" t="0" r="444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2451" cy="965888"/>
                    </a:xfrm>
                    <a:prstGeom prst="rect">
                      <a:avLst/>
                    </a:prstGeom>
                  </pic:spPr>
                </pic:pic>
              </a:graphicData>
            </a:graphic>
          </wp:inline>
        </w:drawing>
      </w:r>
    </w:p>
    <w:p w14:paraId="1D34F051" w14:textId="541AAE41" w:rsidR="00AD7513" w:rsidRPr="00AD5762" w:rsidRDefault="00AD7513" w:rsidP="00AD5762">
      <w:pPr>
        <w:pStyle w:val="Corpsdetexte"/>
        <w:ind w:firstLine="0"/>
        <w:jc w:val="center"/>
        <w:rPr>
          <w:i/>
          <w:sz w:val="18"/>
        </w:rPr>
      </w:pPr>
      <w:r w:rsidRPr="00A70C9B">
        <w:rPr>
          <w:rStyle w:val="FigurecaptionChar"/>
        </w:rPr>
        <w:t>FIG. 2. Overview of the control rod withdrawal test phases.</w:t>
      </w:r>
    </w:p>
    <w:p w14:paraId="468EB39E" w14:textId="77777777" w:rsidR="000C7C05" w:rsidRDefault="000C7C05" w:rsidP="001453BF">
      <w:pPr>
        <w:pStyle w:val="Titre2"/>
        <w:numPr>
          <w:ilvl w:val="1"/>
          <w:numId w:val="10"/>
        </w:numPr>
      </w:pPr>
      <w:r>
        <w:t>proposed coupled model</w:t>
      </w:r>
    </w:p>
    <w:p w14:paraId="00AB11DF" w14:textId="7A966C72" w:rsidR="00CB2F29" w:rsidRPr="00542E57" w:rsidRDefault="000C7C05" w:rsidP="00CB2F29">
      <w:pPr>
        <w:pStyle w:val="Corpsdetexte"/>
        <w:rPr>
          <w:lang w:val="en-US"/>
        </w:rPr>
      </w:pPr>
      <w:r w:rsidRPr="00EE7ACE">
        <w:rPr>
          <w:lang w:val="en-US"/>
        </w:rPr>
        <w:t xml:space="preserve">To take into account Doppler </w:t>
      </w:r>
      <w:proofErr w:type="gramStart"/>
      <w:r w:rsidRPr="00EE7ACE">
        <w:rPr>
          <w:lang w:val="en-US"/>
        </w:rPr>
        <w:t>effect</w:t>
      </w:r>
      <w:proofErr w:type="gramEnd"/>
      <w:r w:rsidRPr="00EE7ACE">
        <w:rPr>
          <w:lang w:val="en-US"/>
        </w:rPr>
        <w:t xml:space="preserve"> on the fissile material, a coupled</w:t>
      </w:r>
      <w:r w:rsidRPr="00542E57">
        <w:rPr>
          <w:lang w:val="en-US"/>
        </w:rPr>
        <w:t xml:space="preserve"> model is proposed. </w:t>
      </w:r>
      <w:r w:rsidR="009C6B81">
        <w:rPr>
          <w:lang w:val="en-US"/>
        </w:rPr>
        <w:t>The Doppler Effect is considered as a first step before takin</w:t>
      </w:r>
      <w:r w:rsidR="00B97B2B">
        <w:rPr>
          <w:lang w:val="en-US"/>
        </w:rPr>
        <w:t>g</w:t>
      </w:r>
      <w:r w:rsidR="009C6B81">
        <w:rPr>
          <w:lang w:val="en-US"/>
        </w:rPr>
        <w:t xml:space="preserve"> into account other feedback effect (sodium density feedback, fuel expansion feedback …)</w:t>
      </w:r>
      <w:r w:rsidR="004F166B">
        <w:rPr>
          <w:lang w:val="en-US"/>
        </w:rPr>
        <w:t>, as it is the main neutron feedback effect which oppose</w:t>
      </w:r>
      <w:r w:rsidR="001E1226">
        <w:rPr>
          <w:lang w:val="en-US"/>
        </w:rPr>
        <w:t>s</w:t>
      </w:r>
      <w:r w:rsidR="004F166B">
        <w:rPr>
          <w:lang w:val="en-US"/>
        </w:rPr>
        <w:t xml:space="preserve"> to any reactivity insertion</w:t>
      </w:r>
      <w:r w:rsidR="009C6B81">
        <w:rPr>
          <w:lang w:val="en-US"/>
        </w:rPr>
        <w:t xml:space="preserve">. </w:t>
      </w:r>
      <w:r w:rsidRPr="00542E57">
        <w:rPr>
          <w:lang w:val="en-US"/>
        </w:rPr>
        <w:t xml:space="preserve">A </w:t>
      </w:r>
      <w:proofErr w:type="spellStart"/>
      <w:r w:rsidRPr="00542E57">
        <w:rPr>
          <w:lang w:val="en-US"/>
        </w:rPr>
        <w:t>neutronic</w:t>
      </w:r>
      <w:proofErr w:type="spellEnd"/>
      <w:r w:rsidRPr="00542E57">
        <w:rPr>
          <w:lang w:val="en-US"/>
        </w:rPr>
        <w:t xml:space="preserve"> flux solver and a </w:t>
      </w:r>
      <w:r w:rsidR="001E1226">
        <w:rPr>
          <w:lang w:val="en-US"/>
        </w:rPr>
        <w:t xml:space="preserve">steady-state </w:t>
      </w:r>
      <w:r w:rsidRPr="00542E57">
        <w:rPr>
          <w:lang w:val="en-US"/>
        </w:rPr>
        <w:t xml:space="preserve">thermal-hydraulic solver are coupled together </w:t>
      </w:r>
      <w:r w:rsidR="009C6B81">
        <w:rPr>
          <w:lang w:val="en-US"/>
        </w:rPr>
        <w:t>using a specific iteration process between the two</w:t>
      </w:r>
      <w:r w:rsidR="00B97B2B">
        <w:rPr>
          <w:lang w:val="en-US"/>
        </w:rPr>
        <w:t>,</w:t>
      </w:r>
      <w:r w:rsidR="009C6B81">
        <w:rPr>
          <w:lang w:val="en-US"/>
        </w:rPr>
        <w:t xml:space="preserve"> to insure </w:t>
      </w:r>
      <w:r w:rsidR="00B97B2B">
        <w:rPr>
          <w:lang w:val="en-US"/>
        </w:rPr>
        <w:t>convergence</w:t>
      </w:r>
      <w:r w:rsidRPr="00542E57">
        <w:rPr>
          <w:lang w:val="en-US"/>
        </w:rPr>
        <w:t xml:space="preserve">. In particular the </w:t>
      </w:r>
      <w:proofErr w:type="spellStart"/>
      <w:r w:rsidRPr="00542E57">
        <w:rPr>
          <w:lang w:val="en-US"/>
        </w:rPr>
        <w:t>neutronic</w:t>
      </w:r>
      <w:proofErr w:type="spellEnd"/>
      <w:r w:rsidRPr="00542E57">
        <w:rPr>
          <w:lang w:val="en-US"/>
        </w:rPr>
        <w:t xml:space="preserve"> model proposed uses Serpent 2, a Monte Carlo neutron transport code elaborated at VTT Technical Rese</w:t>
      </w:r>
      <w:r w:rsidRPr="00A70C9B">
        <w:rPr>
          <w:lang w:val="en-US"/>
        </w:rPr>
        <w:t xml:space="preserve">arch Centre of </w:t>
      </w:r>
      <w:r w:rsidRPr="00B97B2B">
        <w:rPr>
          <w:lang w:val="en-US"/>
        </w:rPr>
        <w:t>Finland</w:t>
      </w:r>
      <w:r w:rsidR="002128F2" w:rsidRPr="00B97B2B">
        <w:rPr>
          <w:lang w:val="en-US"/>
        </w:rPr>
        <w:t xml:space="preserve"> </w:t>
      </w:r>
      <w:r w:rsidR="00FE2B2E" w:rsidRPr="00B97B2B">
        <w:rPr>
          <w:lang w:val="en-US"/>
        </w:rPr>
        <w:t>[7, 8</w:t>
      </w:r>
      <w:r w:rsidR="002128F2" w:rsidRPr="00B97B2B">
        <w:rPr>
          <w:lang w:val="en-US"/>
        </w:rPr>
        <w:t>]</w:t>
      </w:r>
      <w:r w:rsidRPr="00B97B2B">
        <w:rPr>
          <w:lang w:val="en-US"/>
        </w:rPr>
        <w:t>.</w:t>
      </w:r>
      <w:r w:rsidR="00CB2F29">
        <w:rPr>
          <w:lang w:val="en-US"/>
        </w:rPr>
        <w:t xml:space="preserve"> </w:t>
      </w:r>
      <w:r w:rsidR="00CB2F29" w:rsidRPr="00542E57">
        <w:rPr>
          <w:lang w:val="en-US"/>
        </w:rPr>
        <w:t>JEFF-3.1.1</w:t>
      </w:r>
      <w:r w:rsidR="00CB2F29">
        <w:rPr>
          <w:lang w:val="en-US"/>
        </w:rPr>
        <w:t xml:space="preserve"> was used as </w:t>
      </w:r>
      <w:r w:rsidR="00CB2F29" w:rsidRPr="00542E57">
        <w:rPr>
          <w:lang w:val="en-US"/>
        </w:rPr>
        <w:t xml:space="preserve">nuclear data library to obtain punctual cross sections </w:t>
      </w:r>
      <w:r w:rsidR="00CB2F29" w:rsidRPr="0040506A">
        <w:rPr>
          <w:lang w:val="en-US"/>
        </w:rPr>
        <w:t>values [10].</w:t>
      </w:r>
      <w:r w:rsidR="00CB2F29">
        <w:rPr>
          <w:lang w:val="en-US"/>
        </w:rPr>
        <w:t xml:space="preserve"> In the coupling process the on-the-fly Doppler broadening procedure has been </w:t>
      </w:r>
      <w:r w:rsidR="0061596E">
        <w:rPr>
          <w:lang w:val="en-US"/>
        </w:rPr>
        <w:t>used, available in</w:t>
      </w:r>
      <w:r w:rsidR="00CB2F29">
        <w:rPr>
          <w:lang w:val="en-US"/>
        </w:rPr>
        <w:t xml:space="preserve"> the </w:t>
      </w:r>
      <w:r w:rsidR="0061596E">
        <w:rPr>
          <w:lang w:val="en-US"/>
        </w:rPr>
        <w:t>multi-physics Serpent procedure.</w:t>
      </w:r>
      <w:r w:rsidR="00CB2F29" w:rsidRPr="00542E57">
        <w:rPr>
          <w:lang w:val="en-US"/>
        </w:rPr>
        <w:t xml:space="preserve"> </w:t>
      </w:r>
      <w:r w:rsidR="00B12008">
        <w:rPr>
          <w:lang w:val="en-US"/>
        </w:rPr>
        <w:t>T</w:t>
      </w:r>
      <w:r w:rsidR="0061596E">
        <w:rPr>
          <w:lang w:val="en-US"/>
        </w:rPr>
        <w:t>he photon transport was not included in these calculations</w:t>
      </w:r>
      <w:r w:rsidR="00B12008">
        <w:rPr>
          <w:lang w:val="en-US"/>
        </w:rPr>
        <w:t xml:space="preserve"> and we made the assumption that photon energy is locally deposed. This assumption has a weak impact on core assembly powers but could have a more pronounced impact for blanket assemblies (this has not been assessed)</w:t>
      </w:r>
      <w:r w:rsidR="0061596E">
        <w:rPr>
          <w:lang w:val="en-US"/>
        </w:rPr>
        <w:t>.</w:t>
      </w:r>
    </w:p>
    <w:p w14:paraId="7D704502" w14:textId="03458A26" w:rsidR="000C7C05" w:rsidRPr="00542E57" w:rsidRDefault="000C7C05" w:rsidP="00A70C9B">
      <w:pPr>
        <w:pStyle w:val="Corpsdetexte"/>
        <w:rPr>
          <w:lang w:val="en-US"/>
        </w:rPr>
      </w:pPr>
      <w:r w:rsidRPr="00542E57">
        <w:rPr>
          <w:lang w:val="en-US"/>
        </w:rPr>
        <w:t xml:space="preserve"> On the other hand, the thermal-hydraulic model is a Python</w:t>
      </w:r>
      <w:r w:rsidR="002128F2">
        <w:rPr>
          <w:lang w:val="en-US"/>
        </w:rPr>
        <w:t xml:space="preserve"> </w:t>
      </w:r>
      <w:r w:rsidR="002128F2" w:rsidRPr="00B97B2B">
        <w:rPr>
          <w:lang w:val="en-US"/>
        </w:rPr>
        <w:t>[</w:t>
      </w:r>
      <w:r w:rsidR="00FE2B2E" w:rsidRPr="00B97B2B">
        <w:rPr>
          <w:lang w:val="en-US"/>
        </w:rPr>
        <w:t>9</w:t>
      </w:r>
      <w:r w:rsidR="002128F2" w:rsidRPr="00B97B2B">
        <w:rPr>
          <w:lang w:val="en-US"/>
        </w:rPr>
        <w:t>]</w:t>
      </w:r>
      <w:r w:rsidRPr="00542E57">
        <w:rPr>
          <w:lang w:val="en-US"/>
        </w:rPr>
        <w:t xml:space="preserve"> self-developed script </w:t>
      </w:r>
      <w:r w:rsidR="00F20418">
        <w:rPr>
          <w:lang w:val="en-US"/>
        </w:rPr>
        <w:t>considering</w:t>
      </w:r>
      <w:r w:rsidRPr="00542E57">
        <w:rPr>
          <w:lang w:val="en-US"/>
        </w:rPr>
        <w:t xml:space="preserve"> the heat exchange between the sodium and the fuel inside the core</w:t>
      </w:r>
      <w:r w:rsidR="00AD5762">
        <w:rPr>
          <w:lang w:val="en-US"/>
        </w:rPr>
        <w:t xml:space="preserve"> in a steady state condition</w:t>
      </w:r>
      <w:r w:rsidRPr="00542E57">
        <w:rPr>
          <w:lang w:val="en-US"/>
        </w:rPr>
        <w:t>.</w:t>
      </w:r>
    </w:p>
    <w:p w14:paraId="6CB02CA1" w14:textId="4A8EC80E" w:rsidR="00F53D22" w:rsidRDefault="000C7C05" w:rsidP="00D21207">
      <w:pPr>
        <w:pStyle w:val="Corpsdetexte"/>
        <w:rPr>
          <w:lang w:val="en-US"/>
        </w:rPr>
      </w:pPr>
      <w:r w:rsidRPr="00A70C9B">
        <w:rPr>
          <w:lang w:val="en-US"/>
        </w:rPr>
        <w:t xml:space="preserve">The </w:t>
      </w:r>
      <w:r w:rsidR="00400969" w:rsidRPr="00A70C9B">
        <w:rPr>
          <w:lang w:val="en-US"/>
        </w:rPr>
        <w:t>coupling is represent</w:t>
      </w:r>
      <w:r w:rsidR="0032271E">
        <w:rPr>
          <w:lang w:val="en-US"/>
        </w:rPr>
        <w:t xml:space="preserve">ed in </w:t>
      </w:r>
      <w:r w:rsidR="00891392">
        <w:rPr>
          <w:lang w:val="en-US"/>
        </w:rPr>
        <w:t>Fig.</w:t>
      </w:r>
      <w:r w:rsidR="00400969" w:rsidRPr="00A70C9B">
        <w:rPr>
          <w:lang w:val="en-US"/>
        </w:rPr>
        <w:t xml:space="preserve"> 3</w:t>
      </w:r>
      <w:r w:rsidRPr="00A70C9B">
        <w:rPr>
          <w:lang w:val="en-US"/>
        </w:rPr>
        <w:t>. In particular, the data exchanged</w:t>
      </w:r>
      <w:r w:rsidR="007B6C5C">
        <w:rPr>
          <w:lang w:val="en-US"/>
        </w:rPr>
        <w:t xml:space="preserve"> are the </w:t>
      </w:r>
      <w:r w:rsidR="007B6C5C" w:rsidRPr="00A70C9B">
        <w:rPr>
          <w:lang w:val="en-US"/>
        </w:rPr>
        <w:t xml:space="preserve">power produced from fission, </w:t>
      </w:r>
      <w:r w:rsidR="007B6C5C">
        <w:rPr>
          <w:lang w:val="en-US"/>
        </w:rPr>
        <w:t xml:space="preserve">and the fuel and sodium temperature </w:t>
      </w:r>
      <w:r w:rsidR="009049A3">
        <w:rPr>
          <w:lang w:val="en-US"/>
        </w:rPr>
        <w:t>in each sub</w:t>
      </w:r>
      <w:r w:rsidR="007B6C5C" w:rsidRPr="00A70C9B">
        <w:rPr>
          <w:lang w:val="en-US"/>
        </w:rPr>
        <w:t>assembly at each axial node of the core</w:t>
      </w:r>
      <w:r w:rsidR="007B6C5C">
        <w:rPr>
          <w:lang w:val="en-US"/>
        </w:rPr>
        <w:t>. The fission power is</w:t>
      </w:r>
      <w:r w:rsidRPr="00A70C9B">
        <w:rPr>
          <w:lang w:val="en-US"/>
        </w:rPr>
        <w:t xml:space="preserve"> </w:t>
      </w:r>
      <w:r w:rsidR="007B6C5C">
        <w:rPr>
          <w:lang w:val="en-US"/>
        </w:rPr>
        <w:t>the</w:t>
      </w:r>
      <w:r w:rsidR="00F20418">
        <w:rPr>
          <w:lang w:val="en-US"/>
        </w:rPr>
        <w:t xml:space="preserve"> </w:t>
      </w:r>
      <w:r w:rsidRPr="00A70C9B">
        <w:rPr>
          <w:lang w:val="en-US"/>
        </w:rPr>
        <w:t xml:space="preserve">output </w:t>
      </w:r>
      <w:r w:rsidR="00F20418">
        <w:rPr>
          <w:lang w:val="en-US"/>
        </w:rPr>
        <w:t>of the</w:t>
      </w:r>
      <w:r w:rsidRPr="00A70C9B">
        <w:rPr>
          <w:lang w:val="en-US"/>
        </w:rPr>
        <w:t xml:space="preserve"> </w:t>
      </w:r>
      <w:proofErr w:type="spellStart"/>
      <w:r w:rsidRPr="00A70C9B">
        <w:rPr>
          <w:lang w:val="en-US"/>
        </w:rPr>
        <w:t>neutronic</w:t>
      </w:r>
      <w:proofErr w:type="spellEnd"/>
      <w:r w:rsidRPr="00A70C9B">
        <w:rPr>
          <w:lang w:val="en-US"/>
        </w:rPr>
        <w:t xml:space="preserve"> calculations and</w:t>
      </w:r>
      <w:r w:rsidR="007B6C5C">
        <w:rPr>
          <w:lang w:val="en-US"/>
        </w:rPr>
        <w:t xml:space="preserve"> it is</w:t>
      </w:r>
      <w:r w:rsidRPr="00A70C9B">
        <w:rPr>
          <w:lang w:val="en-US"/>
        </w:rPr>
        <w:t xml:space="preserve"> used as input in the thermal-hydraulic solver. Vice-versa, from the thermal-hydraulic side, the fuel and sodium temperature is recomputed at each iteration and updated in the </w:t>
      </w:r>
      <w:proofErr w:type="spellStart"/>
      <w:r w:rsidRPr="00A70C9B">
        <w:rPr>
          <w:lang w:val="en-US"/>
        </w:rPr>
        <w:t>neutronic</w:t>
      </w:r>
      <w:proofErr w:type="spellEnd"/>
      <w:r w:rsidRPr="00A70C9B">
        <w:rPr>
          <w:lang w:val="en-US"/>
        </w:rPr>
        <w:t xml:space="preserve"> model. As first approach, the coupling process takes into account</w:t>
      </w:r>
      <w:r w:rsidR="00F20418">
        <w:rPr>
          <w:lang w:val="en-US"/>
        </w:rPr>
        <w:t xml:space="preserve"> only the</w:t>
      </w:r>
      <w:r w:rsidRPr="00A70C9B">
        <w:rPr>
          <w:lang w:val="en-US"/>
        </w:rPr>
        <w:t xml:space="preserve"> Doppler Effect on the fissile material as thermal feedbacks. </w:t>
      </w:r>
    </w:p>
    <w:p w14:paraId="0790FD17" w14:textId="77777777" w:rsidR="00D21207" w:rsidRPr="00A70C9B" w:rsidRDefault="00D21207" w:rsidP="00D21207">
      <w:pPr>
        <w:pStyle w:val="Corpsdetexte"/>
        <w:rPr>
          <w:lang w:val="en-US"/>
        </w:rPr>
      </w:pPr>
    </w:p>
    <w:p w14:paraId="1C9D62B3" w14:textId="164A2E63" w:rsidR="0085334F" w:rsidRDefault="000C7C05" w:rsidP="00A70C9B">
      <w:pPr>
        <w:pStyle w:val="Corpsdetexte"/>
        <w:jc w:val="center"/>
      </w:pPr>
      <w:r>
        <w:rPr>
          <w:noProof/>
          <w:lang w:val="fr-FR" w:eastAsia="fr-FR"/>
        </w:rPr>
        <w:drawing>
          <wp:inline distT="0" distB="0" distL="0" distR="0" wp14:anchorId="0C5AA1E6" wp14:editId="4001D582">
            <wp:extent cx="3709276" cy="3489195"/>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709276" cy="3489195"/>
                    </a:xfrm>
                    <a:prstGeom prst="rect">
                      <a:avLst/>
                    </a:prstGeom>
                  </pic:spPr>
                </pic:pic>
              </a:graphicData>
            </a:graphic>
          </wp:inline>
        </w:drawing>
      </w:r>
    </w:p>
    <w:p w14:paraId="585895C5" w14:textId="4868D3AD" w:rsidR="0085334F" w:rsidRDefault="0085334F" w:rsidP="00A70C9B">
      <w:pPr>
        <w:pStyle w:val="Figurecaption"/>
      </w:pPr>
      <w:r>
        <w:t>FIG.</w:t>
      </w:r>
      <w:r w:rsidR="00C773FB">
        <w:t xml:space="preserve"> </w:t>
      </w:r>
      <w:r>
        <w:t>3. Coupling scheme of the proposed model.</w:t>
      </w:r>
    </w:p>
    <w:p w14:paraId="23415748" w14:textId="16F4E2E4" w:rsidR="000C7C05" w:rsidRDefault="000C7C05" w:rsidP="001453BF">
      <w:pPr>
        <w:pStyle w:val="Titre2"/>
        <w:numPr>
          <w:ilvl w:val="1"/>
          <w:numId w:val="12"/>
        </w:numPr>
      </w:pPr>
      <w:r>
        <w:t>NEUtronic</w:t>
      </w:r>
      <w:r w:rsidR="007B6C5C">
        <w:t xml:space="preserve"> and thermal-hydraulic</w:t>
      </w:r>
      <w:r>
        <w:t xml:space="preserve"> model</w:t>
      </w:r>
      <w:r w:rsidR="007B6C5C">
        <w:t xml:space="preserve"> description</w:t>
      </w:r>
    </w:p>
    <w:p w14:paraId="4FA05053" w14:textId="0A5CFD9F" w:rsidR="000C7C05" w:rsidRPr="00542E57" w:rsidRDefault="000C7C05" w:rsidP="00A70C9B">
      <w:pPr>
        <w:pStyle w:val="Corpsdetexte"/>
        <w:rPr>
          <w:lang w:val="en-US"/>
        </w:rPr>
      </w:pPr>
    </w:p>
    <w:p w14:paraId="6187E45E" w14:textId="528121A2" w:rsidR="003716DA" w:rsidRDefault="000C7C05" w:rsidP="00A70C9B">
      <w:pPr>
        <w:pStyle w:val="Corpsdetexte"/>
        <w:rPr>
          <w:lang w:val="en-US"/>
        </w:rPr>
      </w:pPr>
      <w:r w:rsidRPr="00542E57">
        <w:rPr>
          <w:lang w:val="en-US"/>
        </w:rPr>
        <w:t xml:space="preserve">As first calculation, a comparison between a homogeneous and </w:t>
      </w:r>
      <w:r w:rsidR="00E6658D" w:rsidRPr="00542E57">
        <w:rPr>
          <w:lang w:val="en-US"/>
        </w:rPr>
        <w:t>a</w:t>
      </w:r>
      <w:r w:rsidRPr="00542E57">
        <w:rPr>
          <w:lang w:val="en-US"/>
        </w:rPr>
        <w:t xml:space="preserve"> heterogeneous model of the core was made.</w:t>
      </w:r>
      <w:r w:rsidR="00AD5762">
        <w:rPr>
          <w:lang w:val="en-US"/>
        </w:rPr>
        <w:t xml:space="preserve"> Heterogeneous description is a realistic description of control rods and fissile subassemblies while homogeneous description accounts for a simple homogeneous media representative in terms of material proportions. </w:t>
      </w:r>
      <w:r w:rsidRPr="00542E57">
        <w:rPr>
          <w:lang w:val="en-US"/>
        </w:rPr>
        <w:t xml:space="preserve">The control rods </w:t>
      </w:r>
      <w:proofErr w:type="spellStart"/>
      <w:r w:rsidRPr="00542E57">
        <w:rPr>
          <w:lang w:val="en-US"/>
        </w:rPr>
        <w:t>worth</w:t>
      </w:r>
      <w:r w:rsidR="000003A2">
        <w:rPr>
          <w:lang w:val="en-US"/>
        </w:rPr>
        <w:t>s</w:t>
      </w:r>
      <w:proofErr w:type="spellEnd"/>
      <w:r w:rsidR="00E6658D">
        <w:rPr>
          <w:lang w:val="en-US"/>
        </w:rPr>
        <w:t>,</w:t>
      </w:r>
      <w:r w:rsidRPr="00542E57">
        <w:rPr>
          <w:lang w:val="en-US"/>
        </w:rPr>
        <w:t xml:space="preserve"> obtained through the Serpent simulation</w:t>
      </w:r>
      <w:r w:rsidR="00E6658D">
        <w:rPr>
          <w:lang w:val="en-US"/>
        </w:rPr>
        <w:t>,</w:t>
      </w:r>
      <w:r w:rsidRPr="00542E57">
        <w:rPr>
          <w:lang w:val="en-US"/>
        </w:rPr>
        <w:t xml:space="preserve"> show that the heterogeneous description represents</w:t>
      </w:r>
      <w:r w:rsidR="00E6658D">
        <w:rPr>
          <w:lang w:val="en-US"/>
        </w:rPr>
        <w:t xml:space="preserve"> </w:t>
      </w:r>
      <w:r w:rsidR="00E6658D" w:rsidRPr="00542E57">
        <w:rPr>
          <w:lang w:val="en-US"/>
        </w:rPr>
        <w:t>better</w:t>
      </w:r>
      <w:r w:rsidR="00D74292">
        <w:rPr>
          <w:lang w:val="en-US"/>
        </w:rPr>
        <w:t xml:space="preserve"> the experimental situation, as </w:t>
      </w:r>
      <w:r w:rsidR="00D21207">
        <w:rPr>
          <w:lang w:val="en-US"/>
        </w:rPr>
        <w:t>shown in t</w:t>
      </w:r>
      <w:r w:rsidR="009F7C74">
        <w:rPr>
          <w:lang w:val="en-US"/>
        </w:rPr>
        <w:t>able 1</w:t>
      </w:r>
      <w:r w:rsidR="0010471E">
        <w:rPr>
          <w:lang w:val="en-US"/>
        </w:rPr>
        <w:t>.</w:t>
      </w:r>
      <w:r w:rsidR="00BC5801">
        <w:rPr>
          <w:lang w:val="en-US"/>
        </w:rPr>
        <w:t xml:space="preserve"> </w:t>
      </w:r>
    </w:p>
    <w:p w14:paraId="4B70B23F" w14:textId="77777777" w:rsidR="001B3470" w:rsidRDefault="001B3470" w:rsidP="00A70C9B">
      <w:pPr>
        <w:pStyle w:val="Corpsdetexte"/>
        <w:rPr>
          <w:lang w:val="en-US"/>
        </w:rPr>
      </w:pPr>
    </w:p>
    <w:p w14:paraId="37992CD1" w14:textId="42A1D23C" w:rsidR="001B3470" w:rsidRDefault="001B3470" w:rsidP="001B3470">
      <w:pPr>
        <w:pStyle w:val="Corpsdetexte"/>
        <w:ind w:firstLine="0"/>
      </w:pPr>
      <w:r w:rsidRPr="009F7C74">
        <w:t>TABLE 1.</w:t>
      </w:r>
      <w:r w:rsidRPr="009F7C74">
        <w:tab/>
      </w:r>
      <w:r w:rsidR="00D74292" w:rsidRPr="009F7C74">
        <w:t>COMPUTED CONTROL ROD WORTHS IN HOMOGENEOUS</w:t>
      </w:r>
      <w:r w:rsidR="006A3EB3" w:rsidRPr="009F7C74">
        <w:t xml:space="preserve"> AND HETEROGENEOUS</w:t>
      </w:r>
      <w:r w:rsidR="00D74292" w:rsidRPr="009F7C74">
        <w:t xml:space="preserve"> MODEL</w:t>
      </w:r>
    </w:p>
    <w:p w14:paraId="0A591137" w14:textId="77777777" w:rsidR="001B3470" w:rsidRDefault="001B3470" w:rsidP="001B3470">
      <w:pPr>
        <w:pStyle w:val="Corpsdetexte"/>
      </w:pPr>
    </w:p>
    <w:tbl>
      <w:tblPr>
        <w:tblStyle w:val="Grilledutableau"/>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2"/>
        <w:gridCol w:w="2132"/>
        <w:gridCol w:w="2133"/>
        <w:gridCol w:w="2133"/>
      </w:tblGrid>
      <w:tr w:rsidR="00D74292" w14:paraId="618067A5" w14:textId="4C7F3D51" w:rsidTr="00957833">
        <w:trPr>
          <w:trHeight w:val="405"/>
          <w:jc w:val="center"/>
        </w:trPr>
        <w:tc>
          <w:tcPr>
            <w:tcW w:w="2132" w:type="dxa"/>
            <w:tcBorders>
              <w:top w:val="single" w:sz="4" w:space="0" w:color="auto"/>
              <w:left w:val="nil"/>
              <w:bottom w:val="single" w:sz="4" w:space="0" w:color="auto"/>
              <w:right w:val="nil"/>
            </w:tcBorders>
            <w:hideMark/>
          </w:tcPr>
          <w:p w14:paraId="15F622CE" w14:textId="10B46AEB" w:rsidR="00D74292" w:rsidRDefault="00D74292">
            <w:pPr>
              <w:pStyle w:val="Corpsdetexte"/>
              <w:ind w:firstLine="0"/>
            </w:pPr>
            <w:r>
              <w:t>Control rod number</w:t>
            </w:r>
          </w:p>
        </w:tc>
        <w:tc>
          <w:tcPr>
            <w:tcW w:w="2132" w:type="dxa"/>
            <w:tcBorders>
              <w:top w:val="single" w:sz="4" w:space="0" w:color="auto"/>
              <w:left w:val="nil"/>
              <w:bottom w:val="single" w:sz="4" w:space="0" w:color="auto"/>
              <w:right w:val="nil"/>
            </w:tcBorders>
            <w:hideMark/>
          </w:tcPr>
          <w:p w14:paraId="1EA1F8AD" w14:textId="691EFF34" w:rsidR="00D74292" w:rsidRDefault="00D74292">
            <w:pPr>
              <w:pStyle w:val="Corpsdetexte"/>
              <w:ind w:firstLine="0"/>
              <w:jc w:val="center"/>
            </w:pPr>
            <w:r>
              <w:t xml:space="preserve">Computed </w:t>
            </w:r>
            <w:r>
              <w:rPr>
                <w:lang w:val="en-US"/>
              </w:rPr>
              <w:t>worth [</w:t>
            </w:r>
            <w:r w:rsidRPr="00F2582E">
              <w:rPr>
                <w:i/>
                <w:iCs/>
                <w:lang w:val="en-US"/>
              </w:rPr>
              <w:t>$</w:t>
            </w:r>
            <w:r>
              <w:rPr>
                <w:lang w:val="en-US"/>
              </w:rPr>
              <w:t>]</w:t>
            </w:r>
          </w:p>
        </w:tc>
        <w:tc>
          <w:tcPr>
            <w:tcW w:w="2133" w:type="dxa"/>
            <w:tcBorders>
              <w:top w:val="single" w:sz="4" w:space="0" w:color="auto"/>
              <w:left w:val="nil"/>
              <w:bottom w:val="single" w:sz="4" w:space="0" w:color="auto"/>
              <w:right w:val="nil"/>
            </w:tcBorders>
            <w:hideMark/>
          </w:tcPr>
          <w:p w14:paraId="46CDD565" w14:textId="075DC0CF" w:rsidR="00D74292" w:rsidRDefault="00D74292" w:rsidP="00D74292">
            <w:pPr>
              <w:pStyle w:val="Corpsdetexte"/>
              <w:ind w:firstLine="0"/>
              <w:jc w:val="center"/>
            </w:pPr>
            <w:r>
              <w:t xml:space="preserve">Experimental </w:t>
            </w:r>
            <w:r>
              <w:rPr>
                <w:lang w:val="en-US"/>
              </w:rPr>
              <w:t>result [</w:t>
            </w:r>
            <w:r w:rsidRPr="00F2582E">
              <w:rPr>
                <w:i/>
                <w:iCs/>
                <w:lang w:val="en-US"/>
              </w:rPr>
              <w:t>$</w:t>
            </w:r>
            <w:r>
              <w:rPr>
                <w:lang w:val="en-US"/>
              </w:rPr>
              <w:t>]</w:t>
            </w:r>
          </w:p>
        </w:tc>
        <w:tc>
          <w:tcPr>
            <w:tcW w:w="2133" w:type="dxa"/>
            <w:tcBorders>
              <w:top w:val="single" w:sz="4" w:space="0" w:color="auto"/>
              <w:left w:val="nil"/>
              <w:bottom w:val="single" w:sz="4" w:space="0" w:color="auto"/>
              <w:right w:val="nil"/>
            </w:tcBorders>
          </w:tcPr>
          <w:p w14:paraId="48602EBB" w14:textId="4D0FBEAB" w:rsidR="00D74292" w:rsidRDefault="00D74292" w:rsidP="00D74292">
            <w:pPr>
              <w:pStyle w:val="Corpsdetexte"/>
              <w:ind w:firstLine="0"/>
              <w:jc w:val="center"/>
            </w:pPr>
            <w:r>
              <w:rPr>
                <w:lang w:val="en-US"/>
              </w:rPr>
              <w:t xml:space="preserve">Discrepancy from experimental results </w:t>
            </w:r>
          </w:p>
        </w:tc>
      </w:tr>
      <w:tr w:rsidR="00D74292" w14:paraId="1393F58C" w14:textId="2CEDA1C3" w:rsidTr="006A3EB3">
        <w:trPr>
          <w:trHeight w:val="210"/>
          <w:jc w:val="center"/>
        </w:trPr>
        <w:tc>
          <w:tcPr>
            <w:tcW w:w="2132" w:type="dxa"/>
            <w:tcBorders>
              <w:top w:val="single" w:sz="4" w:space="0" w:color="auto"/>
              <w:left w:val="nil"/>
              <w:bottom w:val="nil"/>
              <w:right w:val="nil"/>
            </w:tcBorders>
            <w:hideMark/>
          </w:tcPr>
          <w:p w14:paraId="16150A9F" w14:textId="12E81403" w:rsidR="00D74292" w:rsidRDefault="00D74292">
            <w:pPr>
              <w:pStyle w:val="Corpsdetexte"/>
              <w:ind w:firstLine="0"/>
            </w:pPr>
            <w:r>
              <w:rPr>
                <w:rStyle w:val="TabletextChar"/>
              </w:rPr>
              <w:t>CR 1</w:t>
            </w:r>
            <w:r w:rsidR="006A3EB3">
              <w:rPr>
                <w:rStyle w:val="TabletextChar"/>
              </w:rPr>
              <w:t xml:space="preserve"> (homogeneous)</w:t>
            </w:r>
          </w:p>
        </w:tc>
        <w:tc>
          <w:tcPr>
            <w:tcW w:w="2132" w:type="dxa"/>
            <w:tcBorders>
              <w:top w:val="single" w:sz="4" w:space="0" w:color="auto"/>
              <w:left w:val="nil"/>
              <w:bottom w:val="nil"/>
              <w:right w:val="nil"/>
            </w:tcBorders>
            <w:hideMark/>
          </w:tcPr>
          <w:p w14:paraId="40453BE5" w14:textId="1321B658" w:rsidR="00D74292" w:rsidRDefault="00D74292">
            <w:pPr>
              <w:pStyle w:val="Corpsdetexte"/>
              <w:ind w:firstLine="0"/>
              <w:jc w:val="center"/>
            </w:pPr>
            <w:r>
              <w:rPr>
                <w:lang w:val="en-US"/>
              </w:rPr>
              <w:t>4.48 ± 0.03</w:t>
            </w:r>
          </w:p>
        </w:tc>
        <w:tc>
          <w:tcPr>
            <w:tcW w:w="2133" w:type="dxa"/>
            <w:tcBorders>
              <w:top w:val="single" w:sz="4" w:space="0" w:color="auto"/>
              <w:left w:val="nil"/>
              <w:bottom w:val="nil"/>
              <w:right w:val="nil"/>
            </w:tcBorders>
            <w:hideMark/>
          </w:tcPr>
          <w:p w14:paraId="3B179AA1" w14:textId="739864F5" w:rsidR="00D74292" w:rsidRDefault="00D74292">
            <w:pPr>
              <w:pStyle w:val="Corpsdetexte"/>
              <w:ind w:firstLine="0"/>
              <w:jc w:val="center"/>
            </w:pPr>
            <w:r>
              <w:rPr>
                <w:lang w:val="en-US"/>
              </w:rPr>
              <w:t>3.9</w:t>
            </w:r>
          </w:p>
        </w:tc>
        <w:tc>
          <w:tcPr>
            <w:tcW w:w="2133" w:type="dxa"/>
            <w:tcBorders>
              <w:top w:val="single" w:sz="4" w:space="0" w:color="auto"/>
              <w:left w:val="nil"/>
              <w:bottom w:val="nil"/>
              <w:right w:val="nil"/>
            </w:tcBorders>
          </w:tcPr>
          <w:p w14:paraId="336389E9" w14:textId="5459251E" w:rsidR="006A3EB3" w:rsidRDefault="00D74292" w:rsidP="006A3EB3">
            <w:pPr>
              <w:pStyle w:val="Corpsdetexte"/>
              <w:ind w:firstLine="0"/>
              <w:jc w:val="center"/>
            </w:pPr>
            <w:r>
              <w:t>15%</w:t>
            </w:r>
          </w:p>
        </w:tc>
      </w:tr>
      <w:tr w:rsidR="006A3EB3" w14:paraId="6A01CC64" w14:textId="77777777" w:rsidTr="006A3EB3">
        <w:trPr>
          <w:trHeight w:val="210"/>
          <w:jc w:val="center"/>
        </w:trPr>
        <w:tc>
          <w:tcPr>
            <w:tcW w:w="2132" w:type="dxa"/>
            <w:tcBorders>
              <w:top w:val="nil"/>
              <w:left w:val="nil"/>
              <w:bottom w:val="nil"/>
              <w:right w:val="nil"/>
            </w:tcBorders>
          </w:tcPr>
          <w:p w14:paraId="0004D062" w14:textId="2B04BEBB" w:rsidR="006A3EB3" w:rsidRDefault="006A3EB3" w:rsidP="006A3EB3">
            <w:pPr>
              <w:pStyle w:val="Corpsdetexte"/>
              <w:ind w:firstLine="0"/>
              <w:rPr>
                <w:rStyle w:val="TabletextChar"/>
              </w:rPr>
            </w:pPr>
            <w:r>
              <w:rPr>
                <w:rStyle w:val="TabletextChar"/>
              </w:rPr>
              <w:t>CR 1 (heterogeneous)</w:t>
            </w:r>
          </w:p>
        </w:tc>
        <w:tc>
          <w:tcPr>
            <w:tcW w:w="2132" w:type="dxa"/>
            <w:tcBorders>
              <w:top w:val="nil"/>
              <w:left w:val="nil"/>
              <w:bottom w:val="nil"/>
              <w:right w:val="nil"/>
            </w:tcBorders>
          </w:tcPr>
          <w:p w14:paraId="53BAF686" w14:textId="1EF3FED3" w:rsidR="006A3EB3" w:rsidRDefault="006A3EB3" w:rsidP="006A3EB3">
            <w:pPr>
              <w:pStyle w:val="Corpsdetexte"/>
              <w:ind w:firstLine="0"/>
              <w:jc w:val="center"/>
              <w:rPr>
                <w:lang w:val="en-US"/>
              </w:rPr>
            </w:pPr>
            <w:r>
              <w:rPr>
                <w:lang w:val="en-US"/>
              </w:rPr>
              <w:t>4.12 ± 0.03</w:t>
            </w:r>
          </w:p>
        </w:tc>
        <w:tc>
          <w:tcPr>
            <w:tcW w:w="2133" w:type="dxa"/>
            <w:tcBorders>
              <w:top w:val="nil"/>
              <w:left w:val="nil"/>
              <w:bottom w:val="nil"/>
              <w:right w:val="nil"/>
            </w:tcBorders>
          </w:tcPr>
          <w:p w14:paraId="469051FD" w14:textId="1183A9AA" w:rsidR="006A3EB3" w:rsidRDefault="006A3EB3" w:rsidP="006A3EB3">
            <w:pPr>
              <w:pStyle w:val="Corpsdetexte"/>
              <w:ind w:firstLine="0"/>
              <w:jc w:val="center"/>
              <w:rPr>
                <w:lang w:val="en-US"/>
              </w:rPr>
            </w:pPr>
            <w:r>
              <w:rPr>
                <w:lang w:val="en-US"/>
              </w:rPr>
              <w:t>3.9</w:t>
            </w:r>
          </w:p>
        </w:tc>
        <w:tc>
          <w:tcPr>
            <w:tcW w:w="2133" w:type="dxa"/>
            <w:tcBorders>
              <w:top w:val="nil"/>
              <w:left w:val="nil"/>
              <w:bottom w:val="nil"/>
              <w:right w:val="nil"/>
            </w:tcBorders>
          </w:tcPr>
          <w:p w14:paraId="5E38F7A4" w14:textId="77777777" w:rsidR="006A3EB3" w:rsidRDefault="006A3EB3" w:rsidP="006A3EB3">
            <w:pPr>
              <w:pStyle w:val="Corpsdetexte"/>
              <w:ind w:firstLine="0"/>
              <w:jc w:val="center"/>
            </w:pPr>
            <w:r>
              <w:t>6%</w:t>
            </w:r>
          </w:p>
          <w:p w14:paraId="29A64069" w14:textId="64F320AA" w:rsidR="006A3EB3" w:rsidRDefault="006A3EB3" w:rsidP="006A3EB3">
            <w:pPr>
              <w:pStyle w:val="Corpsdetexte"/>
              <w:ind w:firstLine="0"/>
              <w:jc w:val="center"/>
            </w:pPr>
          </w:p>
        </w:tc>
      </w:tr>
      <w:tr w:rsidR="00D74292" w14:paraId="63F585A9" w14:textId="0CAE81D8" w:rsidTr="006A3EB3">
        <w:trPr>
          <w:trHeight w:val="202"/>
          <w:jc w:val="center"/>
        </w:trPr>
        <w:tc>
          <w:tcPr>
            <w:tcW w:w="2132" w:type="dxa"/>
            <w:tcBorders>
              <w:top w:val="nil"/>
              <w:left w:val="nil"/>
              <w:bottom w:val="nil"/>
              <w:right w:val="nil"/>
            </w:tcBorders>
            <w:hideMark/>
          </w:tcPr>
          <w:p w14:paraId="2E3FB448" w14:textId="190E3981" w:rsidR="00D74292" w:rsidRDefault="00D74292">
            <w:pPr>
              <w:pStyle w:val="Corpsdetexte"/>
              <w:ind w:firstLine="0"/>
            </w:pPr>
            <w:r>
              <w:t>CR 4</w:t>
            </w:r>
            <w:r w:rsidR="006A3EB3">
              <w:t xml:space="preserve"> (</w:t>
            </w:r>
            <w:r w:rsidR="006A3EB3">
              <w:rPr>
                <w:rStyle w:val="TabletextChar"/>
              </w:rPr>
              <w:t>homogeneous)</w:t>
            </w:r>
          </w:p>
        </w:tc>
        <w:tc>
          <w:tcPr>
            <w:tcW w:w="2132" w:type="dxa"/>
            <w:tcBorders>
              <w:top w:val="nil"/>
              <w:left w:val="nil"/>
              <w:bottom w:val="nil"/>
              <w:right w:val="nil"/>
            </w:tcBorders>
            <w:hideMark/>
          </w:tcPr>
          <w:p w14:paraId="5CF3FF61" w14:textId="6806EF2B" w:rsidR="00D74292" w:rsidRDefault="00D74292">
            <w:pPr>
              <w:pStyle w:val="Corpsdetexte"/>
              <w:ind w:firstLine="0"/>
              <w:jc w:val="center"/>
            </w:pPr>
            <w:r>
              <w:rPr>
                <w:lang w:val="en-US"/>
              </w:rPr>
              <w:t>4.28 ± 0.03</w:t>
            </w:r>
          </w:p>
        </w:tc>
        <w:tc>
          <w:tcPr>
            <w:tcW w:w="2133" w:type="dxa"/>
            <w:tcBorders>
              <w:top w:val="nil"/>
              <w:left w:val="nil"/>
              <w:bottom w:val="nil"/>
              <w:right w:val="nil"/>
            </w:tcBorders>
            <w:hideMark/>
          </w:tcPr>
          <w:p w14:paraId="1799022F" w14:textId="292077EC" w:rsidR="00D74292" w:rsidRDefault="00D74292">
            <w:pPr>
              <w:pStyle w:val="Corpsdetexte"/>
              <w:ind w:firstLine="0"/>
              <w:jc w:val="center"/>
            </w:pPr>
            <w:r>
              <w:rPr>
                <w:lang w:val="en-US"/>
              </w:rPr>
              <w:t>3.8</w:t>
            </w:r>
          </w:p>
        </w:tc>
        <w:tc>
          <w:tcPr>
            <w:tcW w:w="2133" w:type="dxa"/>
            <w:tcBorders>
              <w:top w:val="nil"/>
              <w:left w:val="nil"/>
              <w:bottom w:val="nil"/>
              <w:right w:val="nil"/>
            </w:tcBorders>
          </w:tcPr>
          <w:p w14:paraId="1DB7F8EA" w14:textId="7CE460DD" w:rsidR="00D74292" w:rsidRDefault="00D74292">
            <w:pPr>
              <w:pStyle w:val="Corpsdetexte"/>
              <w:ind w:firstLine="0"/>
              <w:jc w:val="center"/>
            </w:pPr>
            <w:r>
              <w:t>12%</w:t>
            </w:r>
          </w:p>
        </w:tc>
      </w:tr>
      <w:tr w:rsidR="006A3EB3" w14:paraId="179E6A49" w14:textId="77777777" w:rsidTr="00CD0E98">
        <w:trPr>
          <w:trHeight w:val="202"/>
          <w:jc w:val="center"/>
        </w:trPr>
        <w:tc>
          <w:tcPr>
            <w:tcW w:w="2132" w:type="dxa"/>
            <w:tcBorders>
              <w:top w:val="nil"/>
              <w:left w:val="nil"/>
              <w:bottom w:val="single" w:sz="4" w:space="0" w:color="auto"/>
              <w:right w:val="nil"/>
            </w:tcBorders>
            <w:hideMark/>
          </w:tcPr>
          <w:p w14:paraId="5CB7E584" w14:textId="49035E26" w:rsidR="006A3EB3" w:rsidRDefault="006A3EB3" w:rsidP="00CD0E98">
            <w:pPr>
              <w:pStyle w:val="Corpsdetexte"/>
              <w:ind w:firstLine="0"/>
            </w:pPr>
            <w:r>
              <w:t xml:space="preserve">CR 4 </w:t>
            </w:r>
            <w:r>
              <w:rPr>
                <w:rStyle w:val="TabletextChar"/>
              </w:rPr>
              <w:t>(heterogeneous)</w:t>
            </w:r>
          </w:p>
        </w:tc>
        <w:tc>
          <w:tcPr>
            <w:tcW w:w="2132" w:type="dxa"/>
            <w:tcBorders>
              <w:top w:val="nil"/>
              <w:left w:val="nil"/>
              <w:bottom w:val="single" w:sz="4" w:space="0" w:color="auto"/>
              <w:right w:val="nil"/>
            </w:tcBorders>
            <w:hideMark/>
          </w:tcPr>
          <w:p w14:paraId="15ECD604" w14:textId="77777777" w:rsidR="006A3EB3" w:rsidRDefault="006A3EB3" w:rsidP="00CD0E98">
            <w:pPr>
              <w:pStyle w:val="Corpsdetexte"/>
              <w:ind w:firstLine="0"/>
              <w:jc w:val="center"/>
            </w:pPr>
            <w:r>
              <w:rPr>
                <w:lang w:val="en-US"/>
              </w:rPr>
              <w:t>3.92 ± 0.03</w:t>
            </w:r>
          </w:p>
        </w:tc>
        <w:tc>
          <w:tcPr>
            <w:tcW w:w="2133" w:type="dxa"/>
            <w:tcBorders>
              <w:top w:val="nil"/>
              <w:left w:val="nil"/>
              <w:bottom w:val="single" w:sz="4" w:space="0" w:color="auto"/>
              <w:right w:val="nil"/>
            </w:tcBorders>
            <w:hideMark/>
          </w:tcPr>
          <w:p w14:paraId="39DB21DC" w14:textId="77777777" w:rsidR="006A3EB3" w:rsidRDefault="006A3EB3" w:rsidP="00CD0E98">
            <w:pPr>
              <w:pStyle w:val="Corpsdetexte"/>
              <w:ind w:firstLine="0"/>
              <w:jc w:val="center"/>
            </w:pPr>
            <w:r>
              <w:rPr>
                <w:lang w:val="en-US"/>
              </w:rPr>
              <w:t>3.8</w:t>
            </w:r>
          </w:p>
        </w:tc>
        <w:tc>
          <w:tcPr>
            <w:tcW w:w="2133" w:type="dxa"/>
            <w:tcBorders>
              <w:top w:val="nil"/>
              <w:left w:val="nil"/>
              <w:bottom w:val="single" w:sz="4" w:space="0" w:color="auto"/>
              <w:right w:val="nil"/>
            </w:tcBorders>
          </w:tcPr>
          <w:p w14:paraId="26AEB690" w14:textId="77777777" w:rsidR="006A3EB3" w:rsidRDefault="006A3EB3" w:rsidP="00CD0E98">
            <w:pPr>
              <w:pStyle w:val="Corpsdetexte"/>
              <w:ind w:firstLine="0"/>
              <w:jc w:val="center"/>
            </w:pPr>
            <w:r>
              <w:t>3%</w:t>
            </w:r>
          </w:p>
        </w:tc>
      </w:tr>
    </w:tbl>
    <w:p w14:paraId="5D7128BF" w14:textId="77777777" w:rsidR="003716DA" w:rsidRDefault="003716DA" w:rsidP="006A3EB3">
      <w:pPr>
        <w:pStyle w:val="Corpsdetexte"/>
        <w:ind w:firstLine="0"/>
        <w:rPr>
          <w:lang w:val="en-US"/>
        </w:rPr>
      </w:pPr>
    </w:p>
    <w:p w14:paraId="458BA6E9" w14:textId="33C62905" w:rsidR="000C7C05" w:rsidRDefault="000C7C05" w:rsidP="00A70C9B">
      <w:pPr>
        <w:pStyle w:val="Corpsdetexte"/>
        <w:rPr>
          <w:lang w:val="en-US"/>
        </w:rPr>
      </w:pPr>
      <w:r>
        <w:rPr>
          <w:lang w:val="en-US"/>
        </w:rPr>
        <w:t xml:space="preserve"> </w:t>
      </w:r>
      <w:r w:rsidR="00E432AD">
        <w:rPr>
          <w:lang w:val="en-US"/>
        </w:rPr>
        <w:t>This is mainly due to control rod he</w:t>
      </w:r>
      <w:r w:rsidR="0006545F">
        <w:rPr>
          <w:lang w:val="en-US"/>
        </w:rPr>
        <w:t>terogeneous description. Indeed</w:t>
      </w:r>
      <w:r w:rsidR="00E432AD">
        <w:rPr>
          <w:lang w:val="en-US"/>
        </w:rPr>
        <w:t xml:space="preserve"> in a control rod there are strong spatial and energetic flux variations, </w:t>
      </w:r>
      <w:r w:rsidR="00AD5762">
        <w:rPr>
          <w:lang w:val="en-US"/>
        </w:rPr>
        <w:t xml:space="preserve">so </w:t>
      </w:r>
      <w:r w:rsidR="00E432AD">
        <w:rPr>
          <w:lang w:val="en-US"/>
        </w:rPr>
        <w:t>a precise model has to be used to correctly take into</w:t>
      </w:r>
      <w:r w:rsidR="00D21207">
        <w:rPr>
          <w:lang w:val="en-US"/>
        </w:rPr>
        <w:t xml:space="preserve"> account</w:t>
      </w:r>
      <w:r w:rsidR="00E432AD">
        <w:rPr>
          <w:lang w:val="en-US"/>
        </w:rPr>
        <w:t xml:space="preserve"> these phenomena. This effect has already been observed on CRP benchmark </w:t>
      </w:r>
      <w:r w:rsidR="0006545F">
        <w:rPr>
          <w:lang w:val="en-US"/>
        </w:rPr>
        <w:t>results a</w:t>
      </w:r>
      <w:r w:rsidR="0083109C">
        <w:rPr>
          <w:lang w:val="en-US"/>
        </w:rPr>
        <w:t xml:space="preserve">nd a conclusion of the CRP report was the necessity to use a </w:t>
      </w:r>
      <w:r w:rsidR="00E432AD">
        <w:rPr>
          <w:lang w:val="en-US"/>
        </w:rPr>
        <w:t>heterogeneous description of control rod</w:t>
      </w:r>
      <w:r w:rsidR="008B2C05">
        <w:rPr>
          <w:lang w:val="en-US"/>
        </w:rPr>
        <w:t xml:space="preserve"> </w:t>
      </w:r>
      <w:r w:rsidR="003A0811" w:rsidRPr="00D21207">
        <w:rPr>
          <w:lang w:val="en-US"/>
        </w:rPr>
        <w:t>[</w:t>
      </w:r>
      <w:r w:rsidR="003A0811" w:rsidRPr="009F7C74">
        <w:rPr>
          <w:lang w:val="en-US"/>
        </w:rPr>
        <w:t>6</w:t>
      </w:r>
      <w:r w:rsidR="00133F43" w:rsidRPr="009F7C74">
        <w:rPr>
          <w:lang w:val="en-US"/>
        </w:rPr>
        <w:t>, 11</w:t>
      </w:r>
      <w:r w:rsidR="008B2C05" w:rsidRPr="009F7C74">
        <w:rPr>
          <w:lang w:val="en-US"/>
        </w:rPr>
        <w:t>]</w:t>
      </w:r>
      <w:r w:rsidR="00E432AD" w:rsidRPr="009F7C74">
        <w:rPr>
          <w:lang w:val="en-US"/>
        </w:rPr>
        <w:t>.</w:t>
      </w:r>
      <w:r w:rsidR="00E432AD">
        <w:rPr>
          <w:lang w:val="en-US"/>
        </w:rPr>
        <w:t xml:space="preserve"> </w:t>
      </w:r>
      <w:r w:rsidR="00723144" w:rsidRPr="00EE7ACE">
        <w:rPr>
          <w:lang w:val="en-US"/>
        </w:rPr>
        <w:t>Therefore</w:t>
      </w:r>
      <w:r w:rsidR="00E6658D">
        <w:rPr>
          <w:lang w:val="en-US"/>
        </w:rPr>
        <w:t>,</w:t>
      </w:r>
      <w:r w:rsidRPr="00EE7ACE">
        <w:rPr>
          <w:lang w:val="en-US"/>
        </w:rPr>
        <w:t xml:space="preserve"> for the rest of the work, </w:t>
      </w:r>
      <w:proofErr w:type="spellStart"/>
      <w:r w:rsidRPr="00EE7ACE">
        <w:rPr>
          <w:lang w:val="en-US"/>
        </w:rPr>
        <w:t>Phénix</w:t>
      </w:r>
      <w:proofErr w:type="spellEnd"/>
      <w:r w:rsidRPr="00EE7ACE">
        <w:rPr>
          <w:lang w:val="en-US"/>
        </w:rPr>
        <w:t xml:space="preserve"> core is</w:t>
      </w:r>
      <w:r w:rsidRPr="00542E57">
        <w:rPr>
          <w:lang w:val="en-US"/>
        </w:rPr>
        <w:t xml:space="preserve"> modelled with a heterogeneous description of fissil</w:t>
      </w:r>
      <w:r w:rsidR="009049A3">
        <w:rPr>
          <w:lang w:val="en-US"/>
        </w:rPr>
        <w:t>e, fertile and control rods sub</w:t>
      </w:r>
      <w:r w:rsidRPr="00542E57">
        <w:rPr>
          <w:lang w:val="en-US"/>
        </w:rPr>
        <w:t xml:space="preserve">assemblies. </w:t>
      </w:r>
      <w:r w:rsidR="00A33921">
        <w:rPr>
          <w:lang w:val="en-US"/>
        </w:rPr>
        <w:t xml:space="preserve">This best effort </w:t>
      </w:r>
      <w:r w:rsidR="007B6C5C">
        <w:rPr>
          <w:lang w:val="en-US"/>
        </w:rPr>
        <w:t>core</w:t>
      </w:r>
      <w:r w:rsidR="00E13D48">
        <w:rPr>
          <w:lang w:val="en-US"/>
        </w:rPr>
        <w:t xml:space="preserve"> model </w:t>
      </w:r>
      <w:r w:rsidR="00400969" w:rsidRPr="00542E57">
        <w:rPr>
          <w:lang w:val="en-US"/>
        </w:rPr>
        <w:t xml:space="preserve">is presented in </w:t>
      </w:r>
      <w:r w:rsidR="00891392">
        <w:rPr>
          <w:lang w:val="en-US"/>
        </w:rPr>
        <w:t>Fig.</w:t>
      </w:r>
      <w:r w:rsidR="00400969">
        <w:rPr>
          <w:lang w:val="en-US"/>
        </w:rPr>
        <w:t xml:space="preserve"> 4</w:t>
      </w:r>
      <w:r w:rsidRPr="00542E57">
        <w:rPr>
          <w:lang w:val="en-US"/>
        </w:rPr>
        <w:t>.</w:t>
      </w:r>
    </w:p>
    <w:p w14:paraId="76A8E19C" w14:textId="7CE6C729" w:rsidR="00E13D48" w:rsidRDefault="00E13D48" w:rsidP="00AD7513">
      <w:pPr>
        <w:pStyle w:val="Corpsdetexte"/>
        <w:ind w:firstLine="0"/>
        <w:rPr>
          <w:lang w:val="en-US"/>
        </w:rPr>
      </w:pPr>
    </w:p>
    <w:p w14:paraId="07A7F487" w14:textId="543F06C5" w:rsidR="00D21207" w:rsidRDefault="00E13D48" w:rsidP="009658C1">
      <w:pPr>
        <w:pStyle w:val="Corpsdetexte"/>
      </w:pPr>
      <w:r w:rsidRPr="00A70C9B">
        <w:rPr>
          <w:rStyle w:val="CorpsdetexteCar"/>
        </w:rPr>
        <w:t>The thermal-hydraulic model was developed with Python</w:t>
      </w:r>
      <w:r w:rsidRPr="00D21207">
        <w:rPr>
          <w:rStyle w:val="CorpsdetexteCar"/>
        </w:rPr>
        <w:t>.</w:t>
      </w:r>
      <w:r>
        <w:rPr>
          <w:rStyle w:val="CorpsdetexteCar"/>
        </w:rPr>
        <w:t xml:space="preserve"> T</w:t>
      </w:r>
      <w:r w:rsidRPr="00A70C9B">
        <w:rPr>
          <w:rStyle w:val="CorpsdetexteCar"/>
        </w:rPr>
        <w:t>he heat exchange at each axial node b</w:t>
      </w:r>
      <w:r>
        <w:rPr>
          <w:rStyle w:val="CorpsdetexteCar"/>
        </w:rPr>
        <w:t>etween the fuel and the coolant was modelled. As input</w:t>
      </w:r>
      <w:r w:rsidR="006A5094">
        <w:rPr>
          <w:rStyle w:val="CorpsdetexteCar"/>
        </w:rPr>
        <w:t xml:space="preserve"> data for the thermal-hydraulic</w:t>
      </w:r>
      <w:r>
        <w:rPr>
          <w:rStyle w:val="CorpsdetexteCar"/>
        </w:rPr>
        <w:t xml:space="preserve"> calculations the following </w:t>
      </w:r>
      <w:r>
        <w:rPr>
          <w:rStyle w:val="CorpsdetexteCar"/>
        </w:rPr>
        <w:lastRenderedPageBreak/>
        <w:t>parameters have been used:</w:t>
      </w:r>
      <w:r w:rsidRPr="00A70C9B">
        <w:rPr>
          <w:rStyle w:val="CorpsdetexteCar"/>
        </w:rPr>
        <w:t xml:space="preserve"> the core inlet sodium temperat</w:t>
      </w:r>
      <w:r w:rsidR="00B80D2C">
        <w:rPr>
          <w:rStyle w:val="CorpsdetexteCar"/>
        </w:rPr>
        <w:t>ure in each sub-channel, the S/A</w:t>
      </w:r>
      <w:r w:rsidR="0006545F">
        <w:rPr>
          <w:rStyle w:val="CorpsdetexteCar"/>
        </w:rPr>
        <w:t>s</w:t>
      </w:r>
      <w:r w:rsidRPr="00A70C9B">
        <w:rPr>
          <w:rStyle w:val="CorpsdetexteCar"/>
        </w:rPr>
        <w:t xml:space="preserve"> flow rate that </w:t>
      </w:r>
      <w:r w:rsidRPr="00A70C9B">
        <w:t>is considered fixed, both set</w:t>
      </w:r>
      <w:r w:rsidRPr="00EE7ACE">
        <w:rPr>
          <w:lang w:val="en-US"/>
        </w:rPr>
        <w:t xml:space="preserve"> from the benchmark data, and the fission power produced at each axial node of each channel, obtained as </w:t>
      </w:r>
      <w:proofErr w:type="spellStart"/>
      <w:r w:rsidRPr="00EE7ACE">
        <w:rPr>
          <w:lang w:val="en-US"/>
        </w:rPr>
        <w:t>neutronic</w:t>
      </w:r>
      <w:proofErr w:type="spellEnd"/>
      <w:r w:rsidRPr="00EE7ACE">
        <w:rPr>
          <w:lang w:val="en-US"/>
        </w:rPr>
        <w:t xml:space="preserve"> output.</w:t>
      </w:r>
      <w:r>
        <w:t xml:space="preserve"> </w:t>
      </w:r>
      <w:r w:rsidRPr="00EE7ACE">
        <w:t>The thermal equations taken into account consider</w:t>
      </w:r>
      <w:r w:rsidR="006C6AEB">
        <w:t xml:space="preserve"> </w:t>
      </w:r>
      <w:r w:rsidR="006C6AEB" w:rsidRPr="00D21207">
        <w:t>[</w:t>
      </w:r>
      <w:r w:rsidR="00133F43" w:rsidRPr="00D21207">
        <w:t>12</w:t>
      </w:r>
      <w:r w:rsidR="00112A2C" w:rsidRPr="00D21207">
        <w:t>,</w:t>
      </w:r>
      <w:r w:rsidR="009658C1">
        <w:t xml:space="preserve"> </w:t>
      </w:r>
      <w:r w:rsidR="00133F43" w:rsidRPr="00D21207">
        <w:t>13</w:t>
      </w:r>
      <w:r w:rsidR="006C6AEB" w:rsidRPr="00D21207">
        <w:t>]</w:t>
      </w:r>
      <w:r w:rsidRPr="00D21207">
        <w:t>:</w:t>
      </w:r>
    </w:p>
    <w:p w14:paraId="10F398B9" w14:textId="77777777" w:rsidR="0006545F" w:rsidRDefault="0006545F" w:rsidP="009658C1">
      <w:pPr>
        <w:pStyle w:val="Corpsdetexte"/>
      </w:pPr>
    </w:p>
    <w:p w14:paraId="4AF7650F" w14:textId="77777777" w:rsidR="00E13D48" w:rsidRDefault="00E13D48" w:rsidP="00E13D48">
      <w:pPr>
        <w:pStyle w:val="Corpsdetexte"/>
        <w:numPr>
          <w:ilvl w:val="0"/>
          <w:numId w:val="36"/>
        </w:numPr>
        <w:ind w:left="709"/>
      </w:pPr>
      <w:r w:rsidRPr="00EE7ACE">
        <w:t>the conduction process in</w:t>
      </w:r>
      <w:r w:rsidRPr="00542E57">
        <w:t>side the fuel pellet</w:t>
      </w:r>
      <w:r>
        <w:t xml:space="preserve"> (in steady state for angular symmetry and infinite cylinder on z axis):</w:t>
      </w:r>
    </w:p>
    <w:tbl>
      <w:tblPr>
        <w:tblStyle w:val="Grilledutableau"/>
        <w:tblW w:w="9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3"/>
        <w:gridCol w:w="983"/>
      </w:tblGrid>
      <w:tr w:rsidR="00E13D48" w14:paraId="78E55839" w14:textId="77777777" w:rsidTr="00083ACA">
        <w:trPr>
          <w:trHeight w:val="812"/>
        </w:trPr>
        <w:tc>
          <w:tcPr>
            <w:tcW w:w="8163" w:type="dxa"/>
          </w:tcPr>
          <w:p w14:paraId="0D43E617" w14:textId="707BD3AE" w:rsidR="00E13D48" w:rsidRPr="00A36871" w:rsidRDefault="00A57C5D" w:rsidP="00083ACA">
            <w:pPr>
              <w:jc w:val="center"/>
              <w:rPr>
                <w:lang w:val="en-US"/>
              </w:rPr>
            </w:pPr>
            <m:oMathPara>
              <m:oMathParaPr>
                <m:jc m:val="center"/>
              </m:oMathParaPr>
              <m:oMath>
                <m:f>
                  <m:fPr>
                    <m:ctrlPr>
                      <w:rPr>
                        <w:rFonts w:ascii="Cambria Math" w:hAnsi="Cambria Math"/>
                        <w:i/>
                        <w:sz w:val="20"/>
                        <w:lang w:val="en-US"/>
                      </w:rPr>
                    </m:ctrlPr>
                  </m:fPr>
                  <m:num>
                    <m:r>
                      <w:rPr>
                        <w:rFonts w:ascii="Cambria Math" w:hAnsi="Cambria Math"/>
                        <w:sz w:val="20"/>
                        <w:lang w:val="en-US"/>
                      </w:rPr>
                      <m:t>1</m:t>
                    </m:r>
                  </m:num>
                  <m:den>
                    <m:r>
                      <w:rPr>
                        <w:rFonts w:ascii="Cambria Math" w:hAnsi="Cambria Math"/>
                        <w:sz w:val="20"/>
                        <w:lang w:val="en-US"/>
                      </w:rPr>
                      <m:t>r</m:t>
                    </m:r>
                  </m:den>
                </m:f>
                <m:f>
                  <m:fPr>
                    <m:ctrlPr>
                      <w:rPr>
                        <w:rFonts w:ascii="Cambria Math" w:hAnsi="Cambria Math"/>
                        <w:i/>
                        <w:sz w:val="20"/>
                        <w:lang w:val="en-US"/>
                      </w:rPr>
                    </m:ctrlPr>
                  </m:fPr>
                  <m:num>
                    <m:r>
                      <w:rPr>
                        <w:rFonts w:ascii="Cambria Math" w:hAnsi="Cambria Math"/>
                        <w:sz w:val="20"/>
                        <w:lang w:val="en-US"/>
                      </w:rPr>
                      <m:t>d</m:t>
                    </m:r>
                  </m:num>
                  <m:den>
                    <m:r>
                      <w:rPr>
                        <w:rFonts w:ascii="Cambria Math" w:hAnsi="Cambria Math"/>
                        <w:sz w:val="20"/>
                        <w:lang w:val="en-US"/>
                      </w:rPr>
                      <m:t>dr</m:t>
                    </m:r>
                  </m:den>
                </m:f>
                <m:d>
                  <m:dPr>
                    <m:ctrlPr>
                      <w:rPr>
                        <w:rFonts w:ascii="Cambria Math" w:hAnsi="Cambria Math"/>
                        <w:i/>
                        <w:sz w:val="20"/>
                        <w:lang w:val="en-US"/>
                      </w:rPr>
                    </m:ctrlPr>
                  </m:dPr>
                  <m:e>
                    <m:r>
                      <w:rPr>
                        <w:rFonts w:ascii="Cambria Math" w:hAnsi="Cambria Math"/>
                        <w:sz w:val="20"/>
                        <w:lang w:val="en-US"/>
                      </w:rPr>
                      <m:t>rk</m:t>
                    </m:r>
                    <m:f>
                      <m:fPr>
                        <m:ctrlPr>
                          <w:rPr>
                            <w:rFonts w:ascii="Cambria Math" w:hAnsi="Cambria Math"/>
                            <w:i/>
                            <w:sz w:val="20"/>
                            <w:lang w:val="en-US"/>
                          </w:rPr>
                        </m:ctrlPr>
                      </m:fPr>
                      <m:num>
                        <m:r>
                          <w:rPr>
                            <w:rFonts w:ascii="Cambria Math" w:hAnsi="Cambria Math"/>
                            <w:sz w:val="20"/>
                            <w:lang w:val="en-US"/>
                          </w:rPr>
                          <m:t>dT</m:t>
                        </m:r>
                      </m:num>
                      <m:den>
                        <m:r>
                          <w:rPr>
                            <w:rFonts w:ascii="Cambria Math" w:hAnsi="Cambria Math"/>
                            <w:sz w:val="20"/>
                            <w:lang w:val="en-US"/>
                          </w:rPr>
                          <m:t>dr</m:t>
                        </m:r>
                      </m:den>
                    </m:f>
                  </m:e>
                </m:d>
                <m:r>
                  <w:rPr>
                    <w:rFonts w:ascii="Cambria Math" w:hAnsi="Cambria Math"/>
                    <w:sz w:val="20"/>
                    <w:lang w:val="en-US"/>
                  </w:rPr>
                  <m:t>+Q=0,</m:t>
                </m:r>
              </m:oMath>
            </m:oMathPara>
          </w:p>
        </w:tc>
        <w:tc>
          <w:tcPr>
            <w:tcW w:w="983" w:type="dxa"/>
          </w:tcPr>
          <w:p w14:paraId="00DEA826" w14:textId="77777777" w:rsidR="00E13D48" w:rsidRPr="007C790F" w:rsidRDefault="00E13D48" w:rsidP="00083ACA">
            <w:pPr>
              <w:contextualSpacing/>
              <w:rPr>
                <w:lang w:val="en-US"/>
              </w:rPr>
            </w:pPr>
            <w:r>
              <w:rPr>
                <w:lang w:val="en-US"/>
              </w:rPr>
              <w:t>(3)</w:t>
            </w:r>
          </w:p>
        </w:tc>
      </w:tr>
    </w:tbl>
    <w:p w14:paraId="2DB034D8" w14:textId="19C390EB" w:rsidR="00E13D48" w:rsidRPr="00B80D2C" w:rsidRDefault="00AE2C06" w:rsidP="00AE2C06">
      <w:pPr>
        <w:pStyle w:val="Corpsdetexte"/>
        <w:ind w:left="567" w:firstLine="0"/>
        <w:rPr>
          <w:lang w:val="en-US"/>
        </w:rPr>
      </w:pPr>
      <w:proofErr w:type="gramStart"/>
      <w:r>
        <w:rPr>
          <w:lang w:val="en-US"/>
        </w:rPr>
        <w:t>where</w:t>
      </w:r>
      <w:proofErr w:type="gramEnd"/>
      <w:r w:rsidRPr="00D21207">
        <w:rPr>
          <w:i/>
          <w:lang w:val="en-US"/>
        </w:rPr>
        <w:t xml:space="preserve"> </w:t>
      </w:r>
      <w:r w:rsidR="00E13D48" w:rsidRPr="00D21207">
        <w:rPr>
          <w:i/>
          <w:lang w:val="en-US"/>
        </w:rPr>
        <w:t>r</w:t>
      </w:r>
      <w:r w:rsidR="00E13D48" w:rsidRPr="00B80D2C">
        <w:rPr>
          <w:lang w:val="en-US"/>
        </w:rPr>
        <w:t xml:space="preserve"> is the fuel pellet radial coordinate [</w:t>
      </w:r>
      <w:r w:rsidR="00E13D48" w:rsidRPr="00B80D2C">
        <w:rPr>
          <w:iCs/>
          <w:lang w:val="en-US"/>
        </w:rPr>
        <w:t>m</w:t>
      </w:r>
      <w:r w:rsidR="00E13D48" w:rsidRPr="00B80D2C">
        <w:rPr>
          <w:lang w:val="en-US"/>
        </w:rPr>
        <w:t>];</w:t>
      </w:r>
      <w:r>
        <w:rPr>
          <w:lang w:val="en-US"/>
        </w:rPr>
        <w:t xml:space="preserve"> </w:t>
      </w:r>
      <w:r w:rsidR="00E13D48" w:rsidRPr="00D21207">
        <w:rPr>
          <w:i/>
          <w:lang w:val="en-US"/>
        </w:rPr>
        <w:t xml:space="preserve">T </w:t>
      </w:r>
      <w:r w:rsidR="00E13D48" w:rsidRPr="00B80D2C">
        <w:rPr>
          <w:lang w:val="en-US"/>
        </w:rPr>
        <w:t>is the fuel temperature [</w:t>
      </w:r>
      <w:r w:rsidR="00E13D48" w:rsidRPr="00B80D2C">
        <w:rPr>
          <w:iCs/>
          <w:lang w:val="en-US"/>
        </w:rPr>
        <w:t>K</w:t>
      </w:r>
      <w:r w:rsidR="00E13D48" w:rsidRPr="00B80D2C">
        <w:rPr>
          <w:lang w:val="en-US"/>
        </w:rPr>
        <w:t>];</w:t>
      </w:r>
      <w:r>
        <w:rPr>
          <w:lang w:val="en-US"/>
        </w:rPr>
        <w:t xml:space="preserve"> </w:t>
      </w:r>
      <w:r w:rsidR="00E13D48" w:rsidRPr="00D21207">
        <w:rPr>
          <w:i/>
          <w:lang w:val="en-US"/>
        </w:rPr>
        <w:t xml:space="preserve">k </w:t>
      </w:r>
      <w:r w:rsidR="00E13D48" w:rsidRPr="00B80D2C">
        <w:rPr>
          <w:lang w:val="en-US"/>
        </w:rPr>
        <w:t>is the fuel thermal conductivity [</w:t>
      </w:r>
      <w:r w:rsidR="00E13D48" w:rsidRPr="00B80D2C">
        <w:rPr>
          <w:iCs/>
          <w:lang w:val="en-US"/>
        </w:rPr>
        <w:t>W/m/K</w:t>
      </w:r>
      <w:r w:rsidR="0006545F">
        <w:rPr>
          <w:lang w:val="en-US"/>
        </w:rPr>
        <w:t xml:space="preserve">] and </w:t>
      </w:r>
      <w:r w:rsidR="00E13D48" w:rsidRPr="00D21207">
        <w:rPr>
          <w:i/>
          <w:lang w:val="en-US"/>
        </w:rPr>
        <w:t xml:space="preserve">Q </w:t>
      </w:r>
      <w:r w:rsidR="00E13D48" w:rsidRPr="00B80D2C">
        <w:rPr>
          <w:lang w:val="en-US"/>
        </w:rPr>
        <w:t>is the heat source [</w:t>
      </w:r>
      <w:r w:rsidR="00E13D48" w:rsidRPr="00B80D2C">
        <w:rPr>
          <w:iCs/>
          <w:lang w:val="en-US"/>
        </w:rPr>
        <w:t>W/m</w:t>
      </w:r>
      <w:r w:rsidR="00E13D48" w:rsidRPr="00B80D2C">
        <w:rPr>
          <w:iCs/>
          <w:vertAlign w:val="superscript"/>
          <w:lang w:val="en-US"/>
        </w:rPr>
        <w:t>3</w:t>
      </w:r>
      <w:r w:rsidR="00E13D48" w:rsidRPr="00B80D2C">
        <w:rPr>
          <w:lang w:val="en-US"/>
        </w:rPr>
        <w:t>].</w:t>
      </w:r>
    </w:p>
    <w:p w14:paraId="1FA92858" w14:textId="24BCB822" w:rsidR="001453BF" w:rsidRDefault="00E13D48" w:rsidP="0006545F">
      <w:pPr>
        <w:pStyle w:val="Corpsdetexte"/>
        <w:ind w:left="567" w:firstLine="349"/>
        <w:rPr>
          <w:lang w:val="en-US"/>
        </w:rPr>
      </w:pPr>
      <w:r w:rsidRPr="00B80D2C">
        <w:rPr>
          <w:lang w:val="en-US"/>
        </w:rPr>
        <w:t xml:space="preserve">In this work, a constant thermal conductivity of 2 </w:t>
      </w:r>
      <w:r w:rsidRPr="00B80D2C">
        <w:rPr>
          <w:iCs/>
          <w:lang w:val="en-US"/>
        </w:rPr>
        <w:t>W/m/K</w:t>
      </w:r>
      <w:r w:rsidRPr="00B80D2C">
        <w:rPr>
          <w:lang w:val="en-US"/>
        </w:rPr>
        <w:t xml:space="preserve"> has been considered, to approach a simplified model. Some specific correlations could be used to improve the model like the </w:t>
      </w:r>
      <w:proofErr w:type="spellStart"/>
      <w:r w:rsidRPr="00B80D2C">
        <w:rPr>
          <w:lang w:val="en-US"/>
        </w:rPr>
        <w:t>Philipponneau</w:t>
      </w:r>
      <w:proofErr w:type="spellEnd"/>
      <w:r w:rsidRPr="00B80D2C">
        <w:rPr>
          <w:lang w:val="en-US"/>
        </w:rPr>
        <w:t xml:space="preserve"> correlations </w:t>
      </w:r>
      <w:r w:rsidR="0006545F">
        <w:rPr>
          <w:lang w:val="en-US"/>
        </w:rPr>
        <w:t>adapted for</w:t>
      </w:r>
      <w:r w:rsidR="00AE2C06">
        <w:rPr>
          <w:lang w:val="en-US"/>
        </w:rPr>
        <w:t xml:space="preserve"> MOX fuels for FR </w:t>
      </w:r>
      <w:r w:rsidR="00AE2C06" w:rsidRPr="00D21207">
        <w:rPr>
          <w:lang w:val="en-US"/>
        </w:rPr>
        <w:t>[</w:t>
      </w:r>
      <w:r w:rsidR="00133F43" w:rsidRPr="00D21207">
        <w:rPr>
          <w:lang w:val="en-US"/>
        </w:rPr>
        <w:t>14</w:t>
      </w:r>
      <w:r w:rsidR="00AE2C06">
        <w:rPr>
          <w:lang w:val="en-US"/>
        </w:rPr>
        <w:t>];</w:t>
      </w:r>
    </w:p>
    <w:p w14:paraId="76F0ABEB" w14:textId="77777777" w:rsidR="0006545F" w:rsidRPr="001453BF" w:rsidRDefault="0006545F" w:rsidP="0006545F">
      <w:pPr>
        <w:pStyle w:val="Corpsdetexte"/>
        <w:ind w:left="567" w:firstLine="349"/>
        <w:rPr>
          <w:lang w:val="en-US"/>
        </w:rPr>
      </w:pPr>
    </w:p>
    <w:p w14:paraId="1807B0DF" w14:textId="03CD5DD2" w:rsidR="006A3EB3" w:rsidRDefault="00E13D48" w:rsidP="006A3EB3">
      <w:pPr>
        <w:pStyle w:val="Corpsdetexte"/>
        <w:numPr>
          <w:ilvl w:val="0"/>
          <w:numId w:val="36"/>
        </w:numPr>
        <w:ind w:left="709"/>
      </w:pPr>
      <w:r>
        <w:t>convection inside the gap (considering the thermal resistance of a closed fuel gap as in the end of life):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7"/>
        <w:gridCol w:w="970"/>
      </w:tblGrid>
      <w:tr w:rsidR="00E13D48" w14:paraId="65FB4178" w14:textId="77777777" w:rsidTr="00083ACA">
        <w:tc>
          <w:tcPr>
            <w:tcW w:w="8755" w:type="dxa"/>
          </w:tcPr>
          <w:p w14:paraId="355F7211" w14:textId="5163F4C4" w:rsidR="00E13D48" w:rsidRPr="00A36871" w:rsidRDefault="00A57C5D" w:rsidP="00083ACA">
            <w:pPr>
              <w:pStyle w:val="ListEmdash"/>
              <w:numPr>
                <w:ilvl w:val="0"/>
                <w:numId w:val="0"/>
              </w:numPr>
              <w:spacing w:after="60" w:line="280" w:lineRule="exact"/>
              <w:ind w:left="1287"/>
              <w:rPr>
                <w:rFonts w:eastAsiaTheme="minorEastAsia"/>
                <w:lang w:val="en-US"/>
              </w:rPr>
            </w:pPr>
            <m:oMathPara>
              <m:oMathParaPr>
                <m:jc m:val="center"/>
              </m:oMathParaPr>
              <m:oMath>
                <m:sSup>
                  <m:sSupPr>
                    <m:ctrlPr>
                      <w:rPr>
                        <w:rFonts w:ascii="Cambria Math" w:hAnsi="Cambria Math"/>
                        <w:i/>
                        <w:lang w:val="en-US"/>
                      </w:rPr>
                    </m:ctrlPr>
                  </m:sSupPr>
                  <m:e>
                    <m:r>
                      <w:rPr>
                        <w:rFonts w:ascii="Cambria Math" w:hAnsi="Cambria Math"/>
                        <w:lang w:val="en-US"/>
                      </w:rPr>
                      <m:t>q</m:t>
                    </m:r>
                  </m:e>
                  <m:sup>
                    <m:r>
                      <w:rPr>
                        <w:rFonts w:ascii="Cambria Math" w:hAnsi="Cambria Math"/>
                        <w:lang w:val="en-US"/>
                      </w:rPr>
                      <m:t>'</m:t>
                    </m:r>
                  </m:sup>
                </m:sSup>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gap</m:t>
                    </m:r>
                  </m:sub>
                </m:sSub>
                <m:r>
                  <w:rPr>
                    <w:rFonts w:ascii="Cambria Math" w:hAnsi="Cambria Math"/>
                    <w:lang w:val="en-US"/>
                  </w:rPr>
                  <m:t xml:space="preserve"> 2π</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s</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ci</m:t>
                        </m:r>
                      </m:sub>
                    </m:sSub>
                  </m:e>
                </m:d>
                <m:r>
                  <w:rPr>
                    <w:rFonts w:ascii="Cambria Math" w:hAnsi="Cambria Math"/>
                    <w:lang w:val="en-US"/>
                  </w:rPr>
                  <m:t>,</m:t>
                </m:r>
              </m:oMath>
            </m:oMathPara>
          </w:p>
        </w:tc>
        <w:tc>
          <w:tcPr>
            <w:tcW w:w="1023" w:type="dxa"/>
          </w:tcPr>
          <w:p w14:paraId="227462B3" w14:textId="77777777" w:rsidR="00E13D48" w:rsidRPr="007C790F" w:rsidRDefault="00E13D48" w:rsidP="00083ACA">
            <w:pPr>
              <w:contextualSpacing/>
              <w:rPr>
                <w:lang w:val="en-US"/>
              </w:rPr>
            </w:pPr>
            <w:r>
              <w:rPr>
                <w:lang w:val="en-US"/>
              </w:rPr>
              <w:t xml:space="preserve"> (4)</w:t>
            </w:r>
          </w:p>
        </w:tc>
      </w:tr>
    </w:tbl>
    <w:p w14:paraId="3982C93E" w14:textId="01C96328" w:rsidR="00E13D48" w:rsidRPr="00B80D2C" w:rsidRDefault="00AE2C06" w:rsidP="00AE2C06">
      <w:pPr>
        <w:pStyle w:val="Corpsdetexte"/>
        <w:ind w:left="567" w:firstLine="0"/>
        <w:rPr>
          <w:rFonts w:eastAsiaTheme="minorEastAsia"/>
          <w:lang w:val="en-US"/>
        </w:rPr>
      </w:pPr>
      <w:proofErr w:type="gramStart"/>
      <w:r>
        <w:rPr>
          <w:rFonts w:eastAsiaTheme="minorEastAsia"/>
          <w:lang w:val="en-US"/>
        </w:rPr>
        <w:t>in</w:t>
      </w:r>
      <w:proofErr w:type="gramEnd"/>
      <w:r>
        <w:rPr>
          <w:rFonts w:eastAsiaTheme="minorEastAsia"/>
          <w:lang w:val="en-US"/>
        </w:rPr>
        <w:t xml:space="preserve"> the expression </w:t>
      </w: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gap</m:t>
            </m:r>
          </m:sub>
        </m:sSub>
        <m:r>
          <m:rPr>
            <m:sty m:val="p"/>
          </m:rPr>
          <w:rPr>
            <w:rFonts w:ascii="Cambria Math" w:hAnsi="Cambria Math"/>
            <w:lang w:val="en-US"/>
          </w:rPr>
          <m:t xml:space="preserve"> </m:t>
        </m:r>
      </m:oMath>
      <w:r w:rsidR="00E13D48" w:rsidRPr="00B80D2C">
        <w:rPr>
          <w:rFonts w:eastAsiaTheme="minorEastAsia"/>
          <w:lang w:val="en-US"/>
        </w:rPr>
        <w:t>is the gap conductance [</w:t>
      </w:r>
      <w:r w:rsidR="00E13D48" w:rsidRPr="00B80D2C">
        <w:rPr>
          <w:rFonts w:eastAsiaTheme="minorEastAsia"/>
          <w:iCs/>
          <w:lang w:val="en-US"/>
        </w:rPr>
        <w:t>W/m</w:t>
      </w:r>
      <w:r w:rsidR="00E13D48" w:rsidRPr="00B80D2C">
        <w:rPr>
          <w:rFonts w:eastAsiaTheme="minorEastAsia"/>
          <w:iCs/>
          <w:vertAlign w:val="superscript"/>
          <w:lang w:val="en-US"/>
        </w:rPr>
        <w:t>2</w:t>
      </w:r>
      <w:r w:rsidR="00E13D48" w:rsidRPr="00B80D2C">
        <w:rPr>
          <w:rFonts w:eastAsiaTheme="minorEastAsia"/>
          <w:iCs/>
          <w:lang w:val="en-US"/>
        </w:rPr>
        <w:t>/K</w:t>
      </w:r>
      <w:r w:rsidR="00E13D48" w:rsidRPr="00B80D2C">
        <w:rPr>
          <w:rFonts w:eastAsiaTheme="minorEastAsia"/>
          <w:lang w:val="en-US"/>
        </w:rPr>
        <w:t>];</w:t>
      </w:r>
      <w:r>
        <w:rPr>
          <w:rFonts w:eastAsiaTheme="minorEastAsia"/>
          <w:lang w:val="en-US"/>
        </w:rPr>
        <w:t xml:space="preserv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r>
          <m:rPr>
            <m:sty m:val="p"/>
          </m:rPr>
          <w:rPr>
            <w:rFonts w:ascii="Cambria Math" w:hAnsi="Cambria Math"/>
            <w:lang w:val="en-US"/>
          </w:rPr>
          <m:t xml:space="preserve"> </m:t>
        </m:r>
      </m:oMath>
      <w:r w:rsidR="00E13D48" w:rsidRPr="00B80D2C">
        <w:rPr>
          <w:rFonts w:eastAsiaTheme="minorEastAsia"/>
          <w:lang w:val="en-US"/>
        </w:rPr>
        <w:t>is the fuel pin radius [</w:t>
      </w:r>
      <w:r w:rsidR="00E13D48" w:rsidRPr="00B80D2C">
        <w:rPr>
          <w:rFonts w:eastAsiaTheme="minorEastAsia"/>
          <w:iCs/>
          <w:lang w:val="en-US"/>
        </w:rPr>
        <w:t>m</w:t>
      </w:r>
      <w:r w:rsidR="00E13D48" w:rsidRPr="00B80D2C">
        <w:rPr>
          <w:rFonts w:eastAsiaTheme="minorEastAsia"/>
          <w:lang w:val="en-US"/>
        </w:rPr>
        <w:t>];</w:t>
      </w:r>
      <w:r>
        <w:rPr>
          <w:rFonts w:eastAsiaTheme="minorEastAsia"/>
          <w:lang w:val="en-US"/>
        </w:rPr>
        <w:t xml:space="preserv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s</m:t>
            </m:r>
          </m:sub>
        </m:sSub>
      </m:oMath>
      <w:r w:rsidR="00E13D48" w:rsidRPr="00B80D2C">
        <w:rPr>
          <w:rFonts w:eastAsiaTheme="minorEastAsia"/>
          <w:lang w:val="en-US"/>
        </w:rPr>
        <w:t xml:space="preserve"> is the external fuel pin temperature [</w:t>
      </w:r>
      <w:r w:rsidR="00E13D48" w:rsidRPr="00B80D2C">
        <w:rPr>
          <w:rFonts w:eastAsiaTheme="minorEastAsia"/>
          <w:iCs/>
          <w:lang w:val="en-US"/>
        </w:rPr>
        <w:t>K</w:t>
      </w:r>
      <w:r w:rsidR="0006545F">
        <w:rPr>
          <w:rFonts w:eastAsiaTheme="minorEastAsia"/>
          <w:lang w:val="en-US"/>
        </w:rPr>
        <w:t>];</w:t>
      </w:r>
      <w:r>
        <w:rPr>
          <w:rFonts w:eastAsiaTheme="minorEastAsia"/>
          <w:lang w:val="en-US"/>
        </w:rPr>
        <w:t xml:space="preserv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ci</m:t>
            </m:r>
          </m:sub>
        </m:sSub>
      </m:oMath>
      <w:r w:rsidR="00E13D48" w:rsidRPr="00B80D2C">
        <w:rPr>
          <w:rFonts w:eastAsiaTheme="minorEastAsia"/>
          <w:lang w:val="en-US"/>
        </w:rPr>
        <w:t xml:space="preserve"> is the cladding temperature corresponding to the inner cladding radius [</w:t>
      </w:r>
      <w:r w:rsidR="00E13D48" w:rsidRPr="00B80D2C">
        <w:rPr>
          <w:rFonts w:eastAsiaTheme="minorEastAsia"/>
          <w:iCs/>
          <w:lang w:val="en-US"/>
        </w:rPr>
        <w:t>K</w:t>
      </w:r>
      <w:r w:rsidR="00E13D48" w:rsidRPr="00B80D2C">
        <w:rPr>
          <w:rFonts w:eastAsiaTheme="minorEastAsia"/>
          <w:lang w:val="en-US"/>
        </w:rPr>
        <w:t>].</w:t>
      </w:r>
    </w:p>
    <w:p w14:paraId="69BD9901" w14:textId="4AAAD916" w:rsidR="00E13D48" w:rsidRDefault="00E13D48" w:rsidP="001453BF">
      <w:pPr>
        <w:pStyle w:val="Corpsdetexte"/>
        <w:ind w:left="567"/>
      </w:pPr>
      <w:r w:rsidRPr="00B80D2C">
        <w:rPr>
          <w:rFonts w:eastAsiaTheme="minorEastAsia"/>
        </w:rPr>
        <w:t>A constant thermal conductance of 5000 W/m</w:t>
      </w:r>
      <w:r w:rsidRPr="00D21207">
        <w:rPr>
          <w:rFonts w:eastAsiaTheme="minorEastAsia"/>
          <w:vertAlign w:val="superscript"/>
        </w:rPr>
        <w:t>2</w:t>
      </w:r>
      <w:r w:rsidRPr="00B80D2C">
        <w:rPr>
          <w:rFonts w:eastAsiaTheme="minorEastAsia"/>
        </w:rPr>
        <w:t>/K was taken, representative of a closed gap</w:t>
      </w:r>
      <w:r w:rsidR="006C6AEB">
        <w:rPr>
          <w:rFonts w:eastAsiaTheme="minorEastAsia"/>
        </w:rPr>
        <w:t xml:space="preserve"> </w:t>
      </w:r>
      <w:r w:rsidR="006C6AEB" w:rsidRPr="0040506A">
        <w:rPr>
          <w:rFonts w:eastAsiaTheme="minorEastAsia"/>
        </w:rPr>
        <w:t>[</w:t>
      </w:r>
      <w:r w:rsidR="00133F43" w:rsidRPr="0040506A">
        <w:rPr>
          <w:rFonts w:eastAsiaTheme="minorEastAsia"/>
        </w:rPr>
        <w:t>15</w:t>
      </w:r>
      <w:r w:rsidR="006C6AEB" w:rsidRPr="0040506A">
        <w:rPr>
          <w:rFonts w:eastAsiaTheme="minorEastAsia"/>
        </w:rPr>
        <w:t>]</w:t>
      </w:r>
      <w:r w:rsidRPr="0040506A">
        <w:rPr>
          <w:rFonts w:eastAsiaTheme="minorEastAsia"/>
        </w:rPr>
        <w:t>.</w:t>
      </w:r>
      <w:r w:rsidR="00A33921">
        <w:rPr>
          <w:rFonts w:eastAsiaTheme="minorEastAsia"/>
        </w:rPr>
        <w:t xml:space="preserve"> No benchmark values were proposed for </w:t>
      </w:r>
      <w:r w:rsidR="00F92EF7">
        <w:rPr>
          <w:rFonts w:eastAsiaTheme="minorEastAsia"/>
        </w:rPr>
        <w:t>this gap conductance, so it was</w:t>
      </w:r>
      <w:r w:rsidR="00A33921">
        <w:rPr>
          <w:rFonts w:eastAsiaTheme="minorEastAsia"/>
        </w:rPr>
        <w:t xml:space="preserve"> made the assumption of a constant value. In order to evaluate more precisely this parameter (which depends on fuel burn-up and fuel temperature), fuel performance calculations </w:t>
      </w:r>
      <w:r w:rsidR="00ED4E33">
        <w:rPr>
          <w:rFonts w:eastAsiaTheme="minorEastAsia"/>
        </w:rPr>
        <w:t xml:space="preserve">could </w:t>
      </w:r>
      <w:r w:rsidR="00A33921">
        <w:rPr>
          <w:rFonts w:eastAsiaTheme="minorEastAsia"/>
        </w:rPr>
        <w:t xml:space="preserve">be done for each </w:t>
      </w:r>
      <w:r w:rsidR="00872CDD">
        <w:rPr>
          <w:rFonts w:eastAsiaTheme="minorEastAsia"/>
        </w:rPr>
        <w:t>fuel pins</w:t>
      </w:r>
      <w:r w:rsidR="00A33921">
        <w:rPr>
          <w:rFonts w:eastAsiaTheme="minorEastAsia"/>
        </w:rPr>
        <w:t xml:space="preserve"> of the core, taking into account their individual power history. For example, the GERMINAL V2.2 CEA fuel performance code could be used for that purpose</w:t>
      </w:r>
      <w:r w:rsidR="00FE2B2E">
        <w:rPr>
          <w:rFonts w:eastAsiaTheme="minorEastAsia"/>
        </w:rPr>
        <w:t xml:space="preserve"> </w:t>
      </w:r>
      <w:r w:rsidR="00133F43">
        <w:rPr>
          <w:rFonts w:eastAsiaTheme="minorEastAsia"/>
        </w:rPr>
        <w:t>[</w:t>
      </w:r>
      <w:r w:rsidR="00133F43" w:rsidRPr="00D21207">
        <w:rPr>
          <w:rFonts w:eastAsiaTheme="minorEastAsia"/>
        </w:rPr>
        <w:t>16</w:t>
      </w:r>
      <w:r w:rsidR="00FE2B2E" w:rsidRPr="00D21207">
        <w:rPr>
          <w:rFonts w:eastAsiaTheme="minorEastAsia"/>
        </w:rPr>
        <w:t>]</w:t>
      </w:r>
      <w:r w:rsidR="00A33921" w:rsidRPr="00D21207">
        <w:rPr>
          <w:rFonts w:eastAsiaTheme="minorEastAsia"/>
        </w:rPr>
        <w:t>.</w:t>
      </w:r>
      <w:r w:rsidR="00A33921">
        <w:rPr>
          <w:rFonts w:eastAsiaTheme="minorEastAsia"/>
        </w:rPr>
        <w:t xml:space="preserve"> However the goal of the present study was</w:t>
      </w:r>
      <w:r w:rsidR="0006545F">
        <w:rPr>
          <w:rFonts w:eastAsiaTheme="minorEastAsia"/>
        </w:rPr>
        <w:t xml:space="preserve"> to determine if local Doppler </w:t>
      </w:r>
      <w:proofErr w:type="gramStart"/>
      <w:r w:rsidR="0006545F">
        <w:rPr>
          <w:rFonts w:eastAsiaTheme="minorEastAsia"/>
        </w:rPr>
        <w:t>e</w:t>
      </w:r>
      <w:r w:rsidR="00A33921">
        <w:rPr>
          <w:rFonts w:eastAsiaTheme="minorEastAsia"/>
        </w:rPr>
        <w:t>ffect</w:t>
      </w:r>
      <w:proofErr w:type="gramEnd"/>
      <w:r w:rsidR="00A33921">
        <w:rPr>
          <w:rFonts w:eastAsiaTheme="minorEastAsia"/>
        </w:rPr>
        <w:t xml:space="preserve"> due to fuel temperature variations could improve calculated results. </w:t>
      </w:r>
      <w:r w:rsidR="00F73A52">
        <w:rPr>
          <w:rFonts w:eastAsiaTheme="minorEastAsia"/>
        </w:rPr>
        <w:t>As power deviations during the test are slight (&lt;less than 15%), gap conductance variations can be neglected</w:t>
      </w:r>
      <w:r w:rsidR="001453BF">
        <w:t>;</w:t>
      </w:r>
    </w:p>
    <w:p w14:paraId="3E3E9CA3" w14:textId="77777777" w:rsidR="001453BF" w:rsidRPr="0022657D" w:rsidRDefault="001453BF" w:rsidP="001453BF">
      <w:pPr>
        <w:pStyle w:val="Corpsdetexte"/>
        <w:ind w:left="567"/>
      </w:pPr>
    </w:p>
    <w:p w14:paraId="215D12AE" w14:textId="7BB000E2" w:rsidR="006A3EB3" w:rsidRPr="006A3EB3" w:rsidRDefault="00E13D48" w:rsidP="006A3EB3">
      <w:pPr>
        <w:pStyle w:val="Corpsdetexte"/>
        <w:numPr>
          <w:ilvl w:val="0"/>
          <w:numId w:val="36"/>
        </w:numPr>
        <w:ind w:left="709"/>
      </w:pPr>
      <w:r>
        <w:t>conduction inside the cladding (in steady state condition for linear heat flux):</w:t>
      </w:r>
    </w:p>
    <w:tbl>
      <w:tblPr>
        <w:tblStyle w:val="Grilledutableau"/>
        <w:tblW w:w="9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0"/>
        <w:gridCol w:w="985"/>
      </w:tblGrid>
      <w:tr w:rsidR="00E13D48" w14:paraId="6308B264" w14:textId="77777777" w:rsidTr="00083ACA">
        <w:trPr>
          <w:trHeight w:val="68"/>
        </w:trPr>
        <w:tc>
          <w:tcPr>
            <w:tcW w:w="8150" w:type="dxa"/>
          </w:tcPr>
          <w:p w14:paraId="3130FD00" w14:textId="75B06C0C" w:rsidR="00E13D48" w:rsidRPr="00A36871" w:rsidRDefault="00A57C5D" w:rsidP="00083ACA">
            <w:pPr>
              <w:pStyle w:val="ListEmdash"/>
              <w:numPr>
                <w:ilvl w:val="0"/>
                <w:numId w:val="0"/>
              </w:numPr>
              <w:spacing w:after="60" w:line="280" w:lineRule="exact"/>
              <w:ind w:left="1287"/>
              <w:rPr>
                <w:rFonts w:eastAsiaTheme="minorEastAsia"/>
                <w:lang w:val="en-US"/>
              </w:rPr>
            </w:pPr>
            <m:oMathPara>
              <m:oMath>
                <m:sSup>
                  <m:sSupPr>
                    <m:ctrlPr>
                      <w:rPr>
                        <w:rFonts w:ascii="Cambria Math" w:hAnsi="Cambria Math"/>
                        <w:i/>
                        <w:lang w:val="en-US"/>
                      </w:rPr>
                    </m:ctrlPr>
                  </m:sSupPr>
                  <m:e>
                    <m:r>
                      <w:rPr>
                        <w:rFonts w:ascii="Cambria Math" w:hAnsi="Cambria Math"/>
                        <w:lang w:val="en-US"/>
                      </w:rPr>
                      <m:t>q</m:t>
                    </m:r>
                  </m:e>
                  <m:sup>
                    <m:r>
                      <w:rPr>
                        <w:rFonts w:ascii="Cambria Math" w:hAnsi="Cambria Math"/>
                        <w:lang w:val="en-US"/>
                      </w:rPr>
                      <m:t>''</m:t>
                    </m:r>
                  </m:sup>
                </m:sSup>
                <m:r>
                  <w:rPr>
                    <w:rFonts w:ascii="Cambria Math" w:hAnsi="Cambria Math"/>
                    <w:lang w:val="en-US"/>
                  </w:rPr>
                  <m:t>=</m:t>
                </m:r>
                <m:r>
                  <w:rPr>
                    <w:rFonts w:ascii="Cambria Math" w:eastAsiaTheme="minorEastAsia" w:hAnsi="Cambria Math"/>
                    <w:lang w:val="en-US"/>
                  </w:rPr>
                  <m:t>-k dT/dr,</m:t>
                </m:r>
              </m:oMath>
            </m:oMathPara>
          </w:p>
        </w:tc>
        <w:tc>
          <w:tcPr>
            <w:tcW w:w="985" w:type="dxa"/>
          </w:tcPr>
          <w:p w14:paraId="3F66BA5F" w14:textId="77777777" w:rsidR="00E13D48" w:rsidRPr="007C790F" w:rsidRDefault="00E13D48" w:rsidP="00083ACA">
            <w:pPr>
              <w:contextualSpacing/>
              <w:rPr>
                <w:lang w:val="en-US"/>
              </w:rPr>
            </w:pPr>
            <w:r>
              <w:rPr>
                <w:lang w:val="en-US"/>
              </w:rPr>
              <w:t>(5)</w:t>
            </w:r>
          </w:p>
        </w:tc>
      </w:tr>
    </w:tbl>
    <w:p w14:paraId="0CB343F1" w14:textId="77777777" w:rsidR="009658C1" w:rsidRDefault="00AE2C06" w:rsidP="009658C1">
      <w:pPr>
        <w:pStyle w:val="Corpsdetexte"/>
        <w:ind w:left="567" w:firstLine="0"/>
        <w:rPr>
          <w:rFonts w:eastAsiaTheme="minorEastAsia"/>
          <w:lang w:val="en-US"/>
        </w:rPr>
      </w:pPr>
      <w:proofErr w:type="gramStart"/>
      <w:r>
        <w:rPr>
          <w:rFonts w:eastAsiaTheme="minorEastAsia"/>
          <w:lang w:val="en-US"/>
        </w:rPr>
        <w:t>where</w:t>
      </w:r>
      <w:proofErr w:type="gramEnd"/>
      <w:r w:rsidRPr="00D21207">
        <w:rPr>
          <w:rFonts w:eastAsiaTheme="minorEastAsia"/>
          <w:i/>
          <w:lang w:val="en-US"/>
        </w:rPr>
        <w:t xml:space="preserve"> </w:t>
      </w:r>
      <m:oMath>
        <m:r>
          <w:rPr>
            <w:rFonts w:ascii="Cambria Math" w:eastAsiaTheme="minorEastAsia" w:hAnsi="Cambria Math"/>
            <w:lang w:val="en-US"/>
          </w:rPr>
          <m:t>k</m:t>
        </m:r>
      </m:oMath>
      <w:r w:rsidR="00E13D48" w:rsidRPr="00B80D2C">
        <w:rPr>
          <w:rFonts w:eastAsiaTheme="minorEastAsia"/>
          <w:lang w:val="en-US"/>
        </w:rPr>
        <w:t xml:space="preserve"> is the cladding thermal conductivity [</w:t>
      </w:r>
      <w:r w:rsidR="00E13D48" w:rsidRPr="00B80D2C">
        <w:rPr>
          <w:rFonts w:eastAsiaTheme="minorEastAsia"/>
          <w:iCs/>
          <w:lang w:val="en-US"/>
        </w:rPr>
        <w:t>W/m/K</w:t>
      </w:r>
      <w:r w:rsidR="00E13D48" w:rsidRPr="00B80D2C">
        <w:rPr>
          <w:rFonts w:eastAsiaTheme="minorEastAsia"/>
          <w:lang w:val="en-US"/>
        </w:rPr>
        <w:t>];</w:t>
      </w:r>
      <w:r>
        <w:rPr>
          <w:rFonts w:eastAsiaTheme="minorEastAsia"/>
          <w:lang w:val="en-US"/>
        </w:rPr>
        <w:t xml:space="preserve"> </w:t>
      </w:r>
      <m:oMath>
        <m:r>
          <w:rPr>
            <w:rFonts w:ascii="Cambria Math" w:eastAsiaTheme="minorEastAsia" w:hAnsi="Cambria Math"/>
            <w:lang w:val="en-US"/>
          </w:rPr>
          <m:t>T</m:t>
        </m:r>
      </m:oMath>
      <w:r w:rsidR="00E13D48" w:rsidRPr="00D21207">
        <w:rPr>
          <w:rFonts w:eastAsiaTheme="minorEastAsia"/>
          <w:i/>
          <w:lang w:val="en-US"/>
        </w:rPr>
        <w:t xml:space="preserve"> </w:t>
      </w:r>
      <w:r w:rsidR="00E13D48" w:rsidRPr="00B80D2C">
        <w:rPr>
          <w:rFonts w:eastAsiaTheme="minorEastAsia"/>
          <w:lang w:val="en-US"/>
        </w:rPr>
        <w:t>and</w:t>
      </w:r>
      <w:r w:rsidR="00E13D48" w:rsidRPr="00D21207">
        <w:rPr>
          <w:rFonts w:eastAsiaTheme="minorEastAsia"/>
          <w:i/>
          <w:lang w:val="en-US"/>
        </w:rPr>
        <w:t xml:space="preserve"> </w:t>
      </w:r>
      <m:oMath>
        <m:r>
          <w:rPr>
            <w:rFonts w:ascii="Cambria Math" w:eastAsiaTheme="minorEastAsia" w:hAnsi="Cambria Math"/>
            <w:lang w:val="en-US"/>
          </w:rPr>
          <m:t>r</m:t>
        </m:r>
      </m:oMath>
      <w:r w:rsidR="00E13D48" w:rsidRPr="00B80D2C">
        <w:rPr>
          <w:rFonts w:eastAsiaTheme="minorEastAsia"/>
          <w:lang w:val="en-US"/>
        </w:rPr>
        <w:t xml:space="preserve"> are respectively the cladding temperature and radial coordinate [</w:t>
      </w:r>
      <w:r w:rsidR="00E13D48" w:rsidRPr="00B80D2C">
        <w:rPr>
          <w:rFonts w:eastAsiaTheme="minorEastAsia"/>
          <w:iCs/>
          <w:lang w:val="en-US"/>
        </w:rPr>
        <w:t>K</w:t>
      </w:r>
      <w:r w:rsidR="00E13D48" w:rsidRPr="00B80D2C">
        <w:rPr>
          <w:rFonts w:eastAsiaTheme="minorEastAsia"/>
          <w:lang w:val="en-US"/>
        </w:rPr>
        <w:t>] and [</w:t>
      </w:r>
      <w:r w:rsidR="00E13D48" w:rsidRPr="00B80D2C">
        <w:rPr>
          <w:rFonts w:eastAsiaTheme="minorEastAsia"/>
          <w:iCs/>
          <w:lang w:val="en-US"/>
        </w:rPr>
        <w:t>m</w:t>
      </w:r>
      <w:r w:rsidR="00E13D48" w:rsidRPr="00B80D2C">
        <w:rPr>
          <w:rFonts w:eastAsiaTheme="minorEastAsia"/>
          <w:lang w:val="en-US"/>
        </w:rPr>
        <w:t xml:space="preserve">]. </w:t>
      </w:r>
    </w:p>
    <w:p w14:paraId="3CFED087" w14:textId="406C101F" w:rsidR="00E13D48" w:rsidRPr="00B80D2C" w:rsidRDefault="00E13D48" w:rsidP="0006545F">
      <w:pPr>
        <w:pStyle w:val="Corpsdetexte"/>
        <w:ind w:left="567" w:firstLine="0"/>
        <w:rPr>
          <w:rFonts w:eastAsiaTheme="minorEastAsia"/>
          <w:lang w:val="en-US"/>
        </w:rPr>
      </w:pPr>
      <w:r w:rsidRPr="00B80D2C">
        <w:rPr>
          <w:rFonts w:eastAsiaTheme="minorEastAsia"/>
          <w:lang w:val="en-US"/>
        </w:rPr>
        <w:t xml:space="preserve">The cladding thermal conductivity has been assumed constant with the value of 26 </w:t>
      </w:r>
      <w:r w:rsidRPr="00B80D2C">
        <w:rPr>
          <w:rFonts w:eastAsiaTheme="minorEastAsia"/>
          <w:iCs/>
          <w:lang w:val="en-US"/>
        </w:rPr>
        <w:t>W/m/K,</w:t>
      </w:r>
      <w:r w:rsidRPr="00B80D2C">
        <w:rPr>
          <w:rFonts w:eastAsiaTheme="minorEastAsia"/>
          <w:lang w:val="en-US"/>
        </w:rPr>
        <w:t xml:space="preserve"> representative of the steel used in fast reactor</w:t>
      </w:r>
      <w:r w:rsidR="00E340B7">
        <w:rPr>
          <w:rFonts w:eastAsiaTheme="minorEastAsia"/>
          <w:lang w:val="en-US"/>
        </w:rPr>
        <w:t xml:space="preserve"> cladding</w:t>
      </w:r>
      <w:r w:rsidR="00AE2C06">
        <w:rPr>
          <w:rFonts w:eastAsiaTheme="minorEastAsia"/>
          <w:lang w:val="en-US"/>
        </w:rPr>
        <w:t>;</w:t>
      </w:r>
    </w:p>
    <w:p w14:paraId="1692B19F" w14:textId="77777777" w:rsidR="00E13D48" w:rsidRPr="002D50F5" w:rsidRDefault="00E13D48" w:rsidP="00E13D48">
      <w:pPr>
        <w:pStyle w:val="Corpsdetexte"/>
        <w:ind w:firstLine="0"/>
        <w:rPr>
          <w:lang w:val="en-US"/>
        </w:rPr>
      </w:pPr>
    </w:p>
    <w:p w14:paraId="14B4EDCA" w14:textId="77777777" w:rsidR="00E13D48" w:rsidRDefault="00E13D48" w:rsidP="00E13D48">
      <w:pPr>
        <w:pStyle w:val="Corpsdetexte"/>
        <w:numPr>
          <w:ilvl w:val="0"/>
          <w:numId w:val="36"/>
        </w:numPr>
        <w:ind w:left="709"/>
      </w:pPr>
      <w:r>
        <w:t>convection between cladding and sodium (in steady state condition, for 1D-vertically sodium heat transfer, incompressible fluid, neglecting gravitational contribution and irradiation heat transfer mechanism):</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7"/>
        <w:gridCol w:w="970"/>
      </w:tblGrid>
      <w:tr w:rsidR="00E13D48" w:rsidRPr="00502D1A" w14:paraId="5FDB305A" w14:textId="77777777" w:rsidTr="00083ACA">
        <w:tc>
          <w:tcPr>
            <w:tcW w:w="8755" w:type="dxa"/>
          </w:tcPr>
          <w:p w14:paraId="06CE467D" w14:textId="3451C87C" w:rsidR="00E13D48" w:rsidRPr="00E13D48" w:rsidRDefault="00E13D48" w:rsidP="00083ACA">
            <w:pPr>
              <w:pStyle w:val="ListEmdash"/>
              <w:numPr>
                <w:ilvl w:val="0"/>
                <w:numId w:val="0"/>
              </w:numPr>
              <w:spacing w:after="60" w:line="280" w:lineRule="exact"/>
              <w:ind w:left="1287"/>
              <w:rPr>
                <w:rFonts w:eastAsiaTheme="minorEastAsia"/>
                <w:i/>
                <w:lang w:val="en-US"/>
              </w:rPr>
            </w:pPr>
            <m:oMathPara>
              <m:oMath>
                <m:r>
                  <w:rPr>
                    <w:rFonts w:ascii="Cambria Math" w:eastAsiaTheme="minorEastAsia" w:hAnsi="Cambria Math"/>
                    <w:lang w:val="en-US"/>
                  </w:rPr>
                  <m:t>h</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co</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b</m:t>
                        </m:r>
                      </m:sub>
                    </m:sSub>
                  </m:e>
                </m:d>
                <m:r>
                  <w:rPr>
                    <w:rFonts w:ascii="Cambria Math" w:eastAsiaTheme="minorEastAsia" w:hAnsi="Cambria Math"/>
                    <w:lang w:val="en-US"/>
                  </w:rPr>
                  <m:t>2π</m:t>
                </m:r>
                <m:sSub>
                  <m:sSubPr>
                    <m:ctrlPr>
                      <w:rPr>
                        <w:rFonts w:ascii="Cambria Math" w:eastAsiaTheme="minorEastAsia" w:hAnsi="Cambria Math"/>
                        <w:i/>
                        <w:lang w:val="en-US"/>
                      </w:rPr>
                    </m:ctrlPr>
                  </m:sSubPr>
                  <m:e>
                    <m:r>
                      <w:rPr>
                        <w:rFonts w:ascii="Cambria Math" w:eastAsiaTheme="minorEastAsia" w:hAnsi="Cambria Math"/>
                        <w:lang w:val="en-US"/>
                      </w:rPr>
                      <m:t>R</m:t>
                    </m:r>
                  </m:e>
                  <m:sub>
                    <m:r>
                      <w:rPr>
                        <w:rFonts w:ascii="Cambria Math" w:eastAsiaTheme="minorEastAsia" w:hAnsi="Cambria Math"/>
                        <w:lang w:val="en-US"/>
                      </w:rPr>
                      <m:t>co</m:t>
                    </m:r>
                  </m:sub>
                </m:sSub>
                <m:r>
                  <w:rPr>
                    <w:rFonts w:ascii="Cambria Math" w:eastAsiaTheme="minorEastAsia" w:hAnsi="Cambria Math"/>
                    <w:lang w:val="en-US"/>
                  </w:rPr>
                  <m:t xml:space="preserve"> </m:t>
                </m:r>
                <m:r>
                  <m:rPr>
                    <m:sty m:val="p"/>
                  </m:rPr>
                  <w:rPr>
                    <w:rFonts w:ascii="Cambria Math" w:eastAsiaTheme="minorEastAsia" w:hAnsi="Cambria Math"/>
                    <w:lang w:val="en-US"/>
                  </w:rPr>
                  <m:t>Δ</m:t>
                </m:r>
                <m:r>
                  <w:rPr>
                    <w:rFonts w:ascii="Cambria Math" w:eastAsiaTheme="minorEastAsia" w:hAnsi="Cambria Math"/>
                    <w:lang w:val="en-US"/>
                  </w:rPr>
                  <m:t>z=</m:t>
                </m:r>
                <m:acc>
                  <m:accPr>
                    <m:chr m:val="̇"/>
                    <m:ctrlPr>
                      <w:rPr>
                        <w:rFonts w:ascii="Cambria Math" w:hAnsi="Cambria Math"/>
                        <w:i/>
                        <w:lang w:val="en-US"/>
                      </w:rPr>
                    </m:ctrlPr>
                  </m:accPr>
                  <m:e>
                    <m:r>
                      <w:rPr>
                        <w:rFonts w:ascii="Cambria Math" w:hAnsi="Cambria Math"/>
                        <w:lang w:val="en-US"/>
                      </w:rPr>
                      <m:t>m</m:t>
                    </m:r>
                  </m:e>
                </m:acc>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r>
                  <w:rPr>
                    <w:rFonts w:ascii="Cambria Math" w:hAnsi="Cambria Math"/>
                    <w:lang w:val="en-US"/>
                  </w:rPr>
                  <m:t xml:space="preserve"> </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out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in</m:t>
                        </m:r>
                      </m:sub>
                    </m:sSub>
                  </m:e>
                </m:d>
                <m:r>
                  <w:rPr>
                    <w:rFonts w:ascii="Cambria Math" w:hAnsi="Cambria Math"/>
                    <w:lang w:val="en-US"/>
                  </w:rPr>
                  <m:t>,</m:t>
                </m:r>
              </m:oMath>
            </m:oMathPara>
          </w:p>
        </w:tc>
        <w:tc>
          <w:tcPr>
            <w:tcW w:w="1023" w:type="dxa"/>
          </w:tcPr>
          <w:p w14:paraId="7BBEC010" w14:textId="77777777" w:rsidR="00E13D48" w:rsidRPr="00502D1A" w:rsidRDefault="00E13D48" w:rsidP="00083ACA">
            <w:pPr>
              <w:contextualSpacing/>
              <w:rPr>
                <w:lang w:val="en-US"/>
              </w:rPr>
            </w:pPr>
            <w:r>
              <w:rPr>
                <w:lang w:val="en-US"/>
              </w:rPr>
              <w:t xml:space="preserve"> (6</w:t>
            </w:r>
            <w:r w:rsidRPr="00502D1A">
              <w:rPr>
                <w:lang w:val="en-US"/>
              </w:rPr>
              <w:t>)</w:t>
            </w:r>
          </w:p>
        </w:tc>
      </w:tr>
    </w:tbl>
    <w:p w14:paraId="3F7899F7" w14:textId="1B34102D" w:rsidR="00E13D48" w:rsidRDefault="00AE2C06" w:rsidP="00AE2C06">
      <w:pPr>
        <w:pStyle w:val="Corpsdetexte"/>
        <w:ind w:left="567" w:firstLine="0"/>
        <w:rPr>
          <w:rFonts w:eastAsiaTheme="minorEastAsia"/>
          <w:lang w:val="en-US"/>
        </w:rPr>
      </w:pPr>
      <w:r>
        <w:rPr>
          <w:rFonts w:eastAsiaTheme="minorEastAsia"/>
          <w:lang w:val="en-US"/>
        </w:rPr>
        <w:t xml:space="preserve">where </w:t>
      </w:r>
      <m:oMath>
        <m:r>
          <w:rPr>
            <w:rFonts w:ascii="Cambria Math" w:eastAsiaTheme="minorEastAsia" w:hAnsi="Cambria Math"/>
            <w:lang w:val="en-US"/>
          </w:rPr>
          <m:t>h</m:t>
        </m:r>
      </m:oMath>
      <w:r w:rsidR="00E13D48" w:rsidRPr="00B80D2C">
        <w:rPr>
          <w:rFonts w:eastAsiaTheme="minorEastAsia"/>
          <w:lang w:val="en-US"/>
        </w:rPr>
        <w:t xml:space="preserve"> is the heat transfer coefficient [</w:t>
      </w:r>
      <w:r w:rsidR="00E13D48" w:rsidRPr="00B80D2C">
        <w:rPr>
          <w:rFonts w:eastAsiaTheme="minorEastAsia"/>
          <w:iCs/>
          <w:lang w:val="en-US"/>
        </w:rPr>
        <w:t>W/m</w:t>
      </w:r>
      <w:r w:rsidR="00E13D48" w:rsidRPr="00B80D2C">
        <w:rPr>
          <w:rFonts w:eastAsiaTheme="minorEastAsia"/>
          <w:iCs/>
          <w:vertAlign w:val="superscript"/>
          <w:lang w:val="en-US"/>
        </w:rPr>
        <w:t>2</w:t>
      </w:r>
      <w:r w:rsidR="00E13D48" w:rsidRPr="00B80D2C">
        <w:rPr>
          <w:rFonts w:eastAsiaTheme="minorEastAsia"/>
          <w:iCs/>
          <w:lang w:val="en-US"/>
        </w:rPr>
        <w:t>/K</w:t>
      </w:r>
      <w:r w:rsidR="00E13D48" w:rsidRPr="00B80D2C">
        <w:rPr>
          <w:rFonts w:eastAsiaTheme="minorEastAsia"/>
          <w:lang w:val="en-US"/>
        </w:rPr>
        <w:t>];</w:t>
      </w:r>
      <w:r>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co</m:t>
            </m:r>
          </m:sub>
        </m:sSub>
        <m:r>
          <m:rPr>
            <m:sty m:val="p"/>
          </m:rPr>
          <w:rPr>
            <w:rFonts w:ascii="Cambria Math" w:eastAsiaTheme="minorEastAsia" w:hAnsi="Cambria Math"/>
            <w:lang w:val="en-US"/>
          </w:rPr>
          <m:t xml:space="preserve"> </m:t>
        </m:r>
      </m:oMath>
      <w:r w:rsidR="00E13D48" w:rsidRPr="00B80D2C">
        <w:rPr>
          <w:rFonts w:eastAsiaTheme="minorEastAsia"/>
          <w:lang w:val="en-US"/>
        </w:rPr>
        <w:t>is the cladding temperature corresponding to the outer radius [</w:t>
      </w:r>
      <w:r w:rsidR="00E13D48" w:rsidRPr="00B80D2C">
        <w:rPr>
          <w:rFonts w:eastAsiaTheme="minorEastAsia"/>
          <w:iCs/>
          <w:lang w:val="en-US"/>
        </w:rPr>
        <w:t>K</w:t>
      </w:r>
      <w:r w:rsidR="00E13D48" w:rsidRPr="00B80D2C">
        <w:rPr>
          <w:rFonts w:eastAsiaTheme="minorEastAsia"/>
          <w:lang w:val="en-US"/>
        </w:rPr>
        <w:t>];</w:t>
      </w:r>
      <w:r>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b</m:t>
            </m:r>
          </m:sub>
        </m:sSub>
        <m:r>
          <m:rPr>
            <m:sty m:val="p"/>
          </m:rPr>
          <w:rPr>
            <w:rFonts w:ascii="Cambria Math" w:eastAsiaTheme="minorEastAsia" w:hAnsi="Cambria Math"/>
            <w:lang w:val="en-US"/>
          </w:rPr>
          <m:t xml:space="preserve"> </m:t>
        </m:r>
      </m:oMath>
      <w:r w:rsidR="00E13D48" w:rsidRPr="00B80D2C">
        <w:rPr>
          <w:rFonts w:eastAsiaTheme="minorEastAsia"/>
          <w:lang w:val="en-US"/>
        </w:rPr>
        <w:t>is the coolant bulk temperature [</w:t>
      </w:r>
      <w:r w:rsidR="00E13D48" w:rsidRPr="00B80D2C">
        <w:rPr>
          <w:rFonts w:eastAsiaTheme="minorEastAsia"/>
          <w:iCs/>
          <w:lang w:val="en-US"/>
        </w:rPr>
        <w:t>K</w:t>
      </w:r>
      <w:r w:rsidR="00E13D48" w:rsidRPr="00B80D2C">
        <w:rPr>
          <w:rFonts w:eastAsiaTheme="minorEastAsia"/>
          <w:lang w:val="en-US"/>
        </w:rPr>
        <w:t>];</w:t>
      </w:r>
      <w:r>
        <w:rPr>
          <w:rFonts w:eastAsiaTheme="minorEastAsia"/>
          <w:lang w:val="en-US"/>
        </w:rPr>
        <w:t xml:space="preserve"> </w:t>
      </w:r>
      <w:r w:rsidR="00E13D48" w:rsidRPr="00D21207">
        <w:rPr>
          <w:rFonts w:eastAsiaTheme="minorEastAsia"/>
          <w:i/>
          <w:lang w:val="en-US"/>
        </w:rPr>
        <w:t>z</w:t>
      </w:r>
      <w:r w:rsidR="00E13D48" w:rsidRPr="00B80D2C">
        <w:rPr>
          <w:rFonts w:eastAsiaTheme="minorEastAsia"/>
          <w:lang w:val="en-US"/>
        </w:rPr>
        <w:t xml:space="preserve"> is the axial coordinate [</w:t>
      </w:r>
      <w:r w:rsidR="00E13D48" w:rsidRPr="00B80D2C">
        <w:rPr>
          <w:rFonts w:eastAsiaTheme="minorEastAsia"/>
          <w:iCs/>
          <w:lang w:val="en-US"/>
        </w:rPr>
        <w:t>m</w:t>
      </w:r>
      <w:r w:rsidR="00E13D48" w:rsidRPr="00B80D2C">
        <w:rPr>
          <w:rFonts w:eastAsiaTheme="minorEastAsia"/>
          <w:lang w:val="en-US"/>
        </w:rPr>
        <w:t>];</w:t>
      </w:r>
      <w:r w:rsidRPr="00D21207">
        <w:rPr>
          <w:rFonts w:eastAsiaTheme="minorEastAsia"/>
          <w:i/>
          <w:lang w:val="en-US"/>
        </w:rPr>
        <w:t xml:space="preserve"> </w:t>
      </w:r>
      <m:oMath>
        <m:r>
          <w:rPr>
            <w:rFonts w:ascii="Cambria Math" w:eastAsiaTheme="minorEastAsia" w:hAnsi="Cambria Math"/>
            <w:lang w:val="en-US"/>
          </w:rPr>
          <m:t>ṁ</m:t>
        </m:r>
      </m:oMath>
      <w:r w:rsidR="00E13D48" w:rsidRPr="00B80D2C">
        <w:rPr>
          <w:rFonts w:eastAsiaTheme="minorEastAsia"/>
          <w:lang w:val="en-US"/>
        </w:rPr>
        <w:t xml:space="preserve"> is the coolant mass flow rate [</w:t>
      </w:r>
      <w:r w:rsidR="00E13D48" w:rsidRPr="00B80D2C">
        <w:rPr>
          <w:rFonts w:eastAsiaTheme="minorEastAsia"/>
          <w:iCs/>
          <w:lang w:val="en-US"/>
        </w:rPr>
        <w:t>kg/s</w:t>
      </w:r>
      <w:r w:rsidR="00E13D48" w:rsidRPr="00B80D2C">
        <w:rPr>
          <w:rFonts w:eastAsiaTheme="minorEastAsia"/>
          <w:lang w:val="en-US"/>
        </w:rPr>
        <w:t>];</w:t>
      </w:r>
      <w:r>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 xml:space="preserve">p </m:t>
            </m:r>
          </m:sub>
        </m:sSub>
      </m:oMath>
      <w:r w:rsidR="00E13D48" w:rsidRPr="00B80D2C">
        <w:rPr>
          <w:rFonts w:eastAsiaTheme="minorEastAsia"/>
          <w:lang w:val="en-US"/>
        </w:rPr>
        <w:t>is the sodium specific heat [</w:t>
      </w:r>
      <w:r w:rsidR="00E13D48" w:rsidRPr="00B80D2C">
        <w:rPr>
          <w:rFonts w:eastAsiaTheme="minorEastAsia"/>
          <w:iCs/>
          <w:lang w:val="en-US"/>
        </w:rPr>
        <w:t>W/kg/K</w:t>
      </w:r>
      <w:r w:rsidR="00E13D48" w:rsidRPr="00B80D2C">
        <w:rPr>
          <w:rFonts w:eastAsiaTheme="minorEastAsia"/>
          <w:lang w:val="en-US"/>
        </w:rPr>
        <w:t>];</w:t>
      </w:r>
      <w:r>
        <w:rPr>
          <w:rFonts w:eastAsiaTheme="minorEastAsia"/>
          <w:lang w:val="en-US"/>
        </w:rPr>
        <w:t xml:space="preserv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out</m:t>
            </m:r>
          </m:sub>
        </m:sSub>
      </m:oMath>
      <w:r w:rsidR="00E13D48" w:rsidRPr="00B80D2C">
        <w:rPr>
          <w:rFonts w:eastAsiaTheme="minorEastAsia"/>
          <w:lang w:val="en-US"/>
        </w:rPr>
        <w:t xml:space="preserve"> is the control volume sodium outlet temperature [</w:t>
      </w:r>
      <w:r w:rsidR="00E13D48" w:rsidRPr="00B80D2C">
        <w:rPr>
          <w:rFonts w:eastAsiaTheme="minorEastAsia"/>
          <w:iCs/>
          <w:lang w:val="en-US"/>
        </w:rPr>
        <w:t>K</w:t>
      </w:r>
      <w:r w:rsidR="0006545F">
        <w:rPr>
          <w:rFonts w:eastAsiaTheme="minorEastAsia"/>
          <w:lang w:val="en-US"/>
        </w:rPr>
        <w:t>] and</w:t>
      </w:r>
      <w:r>
        <w:rPr>
          <w:rFonts w:eastAsiaTheme="minorEastAsia"/>
          <w:lang w:val="en-US"/>
        </w:rPr>
        <w:t xml:space="preserv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in</m:t>
            </m:r>
          </m:sub>
        </m:sSub>
      </m:oMath>
      <w:r w:rsidR="00E13D48" w:rsidRPr="00B80D2C">
        <w:rPr>
          <w:rFonts w:eastAsiaTheme="minorEastAsia"/>
          <w:lang w:val="en-US"/>
        </w:rPr>
        <w:t xml:space="preserve"> is the control volume sodium inlet temperature [</w:t>
      </w:r>
      <w:r w:rsidR="00E13D48" w:rsidRPr="00B80D2C">
        <w:rPr>
          <w:rFonts w:eastAsiaTheme="minorEastAsia"/>
          <w:iCs/>
          <w:lang w:val="en-US"/>
        </w:rPr>
        <w:t>K</w:t>
      </w:r>
      <w:r w:rsidR="00E13D48" w:rsidRPr="00B80D2C">
        <w:rPr>
          <w:rFonts w:eastAsiaTheme="minorEastAsia"/>
          <w:lang w:val="en-US"/>
        </w:rPr>
        <w:t>].</w:t>
      </w:r>
      <w:r w:rsidR="009A544F">
        <w:rPr>
          <w:rFonts w:eastAsiaTheme="minorEastAsia"/>
          <w:lang w:val="en-US"/>
        </w:rPr>
        <w:t xml:space="preserve"> As the sodium channel has been divided into equally spaced axial nodes, the control volumes refers to</w:t>
      </w:r>
      <w:r w:rsidR="00016AB8">
        <w:rPr>
          <w:rFonts w:eastAsiaTheme="minorEastAsia"/>
          <w:lang w:val="en-US"/>
        </w:rPr>
        <w:t xml:space="preserve"> the mesh volumes</w:t>
      </w:r>
      <w:r w:rsidR="009A544F">
        <w:rPr>
          <w:rFonts w:eastAsiaTheme="minorEastAsia"/>
          <w:lang w:val="en-US"/>
        </w:rPr>
        <w:t>.</w:t>
      </w:r>
    </w:p>
    <w:p w14:paraId="375D4439" w14:textId="77777777" w:rsidR="00016AB8" w:rsidRPr="00B80D2C" w:rsidRDefault="00016AB8" w:rsidP="00AE2C06">
      <w:pPr>
        <w:pStyle w:val="Corpsdetexte"/>
        <w:ind w:left="567" w:firstLine="0"/>
        <w:rPr>
          <w:rFonts w:eastAsiaTheme="minorEastAsia"/>
          <w:lang w:val="en-US"/>
        </w:rPr>
      </w:pPr>
      <w:bookmarkStart w:id="0" w:name="_GoBack"/>
      <w:bookmarkEnd w:id="0"/>
    </w:p>
    <w:p w14:paraId="0F5671CB" w14:textId="41C2BC6D" w:rsidR="00D85D18" w:rsidRPr="009F7C74" w:rsidRDefault="00E13D48" w:rsidP="00D85D18">
      <w:pPr>
        <w:pStyle w:val="Corpsdetexte"/>
        <w:ind w:left="567"/>
        <w:rPr>
          <w:rFonts w:eastAsiaTheme="minorEastAsia"/>
          <w:lang w:val="en-US"/>
        </w:rPr>
      </w:pPr>
      <w:r>
        <w:rPr>
          <w:rFonts w:eastAsiaTheme="minorEastAsia"/>
          <w:lang w:val="en-US"/>
        </w:rPr>
        <w:t xml:space="preserve">Heat </w:t>
      </w:r>
      <w:r w:rsidRPr="009F7C74">
        <w:rPr>
          <w:rFonts w:eastAsiaTheme="minorEastAsia"/>
          <w:lang w:val="en-US"/>
        </w:rPr>
        <w:t>transfer between sodium and cladding has been extensively tested and various c</w:t>
      </w:r>
      <w:r w:rsidR="00D85D18" w:rsidRPr="009F7C74">
        <w:rPr>
          <w:rFonts w:eastAsiaTheme="minorEastAsia"/>
          <w:lang w:val="en-US"/>
        </w:rPr>
        <w:t xml:space="preserve">orrelations have been derived. In this work the </w:t>
      </w:r>
      <w:proofErr w:type="spellStart"/>
      <w:r w:rsidR="00D85D18" w:rsidRPr="009F7C74">
        <w:rPr>
          <w:rFonts w:eastAsiaTheme="minorEastAsia"/>
          <w:lang w:val="en-US"/>
        </w:rPr>
        <w:t>Seban</w:t>
      </w:r>
      <w:proofErr w:type="spellEnd"/>
      <w:r w:rsidR="00D85D18" w:rsidRPr="009F7C74">
        <w:rPr>
          <w:rFonts w:eastAsiaTheme="minorEastAsia"/>
          <w:lang w:val="en-US"/>
        </w:rPr>
        <w:t xml:space="preserve"> and </w:t>
      </w:r>
      <w:proofErr w:type="spellStart"/>
      <w:r w:rsidR="00D85D18" w:rsidRPr="009F7C74">
        <w:rPr>
          <w:rFonts w:eastAsiaTheme="minorEastAsia"/>
          <w:lang w:val="en-US"/>
        </w:rPr>
        <w:t>Shimazaki</w:t>
      </w:r>
      <w:proofErr w:type="spellEnd"/>
      <w:r w:rsidR="00D85D18" w:rsidRPr="009F7C74">
        <w:rPr>
          <w:rFonts w:eastAsiaTheme="minorEastAsia"/>
          <w:lang w:val="en-US"/>
        </w:rPr>
        <w:t xml:space="preserve"> correlation </w:t>
      </w:r>
      <w:r w:rsidRPr="009F7C74">
        <w:rPr>
          <w:rFonts w:eastAsiaTheme="minorEastAsia"/>
          <w:lang w:val="en-US"/>
        </w:rPr>
        <w:t>for the sodium convection inside a channel</w:t>
      </w:r>
      <w:r w:rsidR="00D85D18" w:rsidRPr="009F7C74">
        <w:rPr>
          <w:rFonts w:eastAsiaTheme="minorEastAsia"/>
          <w:lang w:val="en-US"/>
        </w:rPr>
        <w:t xml:space="preserve"> was used to determine the </w:t>
      </w:r>
      <w:proofErr w:type="spellStart"/>
      <w:r w:rsidR="00D85D18" w:rsidRPr="009F7C74">
        <w:rPr>
          <w:rFonts w:eastAsiaTheme="minorEastAsia"/>
          <w:lang w:val="en-US"/>
        </w:rPr>
        <w:t>Nusselt</w:t>
      </w:r>
      <w:proofErr w:type="spellEnd"/>
      <w:r w:rsidR="00D85D18" w:rsidRPr="009F7C74">
        <w:rPr>
          <w:rFonts w:eastAsiaTheme="minorEastAsia"/>
          <w:lang w:val="en-US"/>
        </w:rPr>
        <w:t xml:space="preserve"> number</w:t>
      </w:r>
      <w:r w:rsidRPr="009F7C74">
        <w:rPr>
          <w:rFonts w:eastAsiaTheme="minorEastAsia"/>
          <w:lang w:val="en-US"/>
        </w:rPr>
        <w:t xml:space="preserve"> [</w:t>
      </w:r>
      <w:r w:rsidR="00133F43" w:rsidRPr="009F7C74">
        <w:rPr>
          <w:rFonts w:eastAsiaTheme="minorEastAsia"/>
          <w:lang w:val="en-US"/>
        </w:rPr>
        <w:t>17</w:t>
      </w:r>
      <w:r w:rsidRPr="009F7C74">
        <w:rPr>
          <w:rFonts w:eastAsiaTheme="minorEastAsia"/>
          <w:lang w:val="en-US"/>
        </w:rPr>
        <w:t>]</w:t>
      </w:r>
      <w:r w:rsidR="00D85D18" w:rsidRPr="009F7C74">
        <w:rPr>
          <w:rFonts w:eastAsiaTheme="minorEastAsia"/>
          <w:lang w:val="en-US"/>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974"/>
      </w:tblGrid>
      <w:tr w:rsidR="00D85D18" w:rsidRPr="00502D1A" w14:paraId="22AFFE0E" w14:textId="77777777" w:rsidTr="006D7C43">
        <w:tc>
          <w:tcPr>
            <w:tcW w:w="8053" w:type="dxa"/>
          </w:tcPr>
          <w:p w14:paraId="20518962" w14:textId="78F4CDBC" w:rsidR="00D85D18" w:rsidRPr="009F7C74" w:rsidRDefault="00D85D18" w:rsidP="006A3EB3">
            <w:pPr>
              <w:pStyle w:val="Corpsdetexte"/>
              <w:ind w:firstLine="0"/>
              <w:rPr>
                <w:rFonts w:eastAsiaTheme="minorEastAsia"/>
                <w:lang w:val="en-US"/>
              </w:rPr>
            </w:pPr>
            <m:oMathPara>
              <m:oMath>
                <m:r>
                  <w:rPr>
                    <w:rFonts w:ascii="Cambria Math" w:eastAsiaTheme="minorEastAsia" w:hAnsi="Cambria Math"/>
                    <w:lang w:val="en-US"/>
                  </w:rPr>
                  <m:t>Nu=5+0.025 P</m:t>
                </m:r>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lang w:val="en-US"/>
                      </w:rPr>
                      <m:t>0.8</m:t>
                    </m:r>
                  </m:sup>
                </m:sSup>
                <m:r>
                  <w:rPr>
                    <w:rFonts w:ascii="Cambria Math" w:eastAsiaTheme="minorEastAsia" w:hAnsi="Cambria Math"/>
                    <w:lang w:val="en-US"/>
                  </w:rPr>
                  <m:t>,</m:t>
                </m:r>
              </m:oMath>
            </m:oMathPara>
          </w:p>
        </w:tc>
        <w:tc>
          <w:tcPr>
            <w:tcW w:w="974" w:type="dxa"/>
          </w:tcPr>
          <w:p w14:paraId="502E7E4C" w14:textId="2AC8BA93" w:rsidR="00D85D18" w:rsidRPr="00502D1A" w:rsidRDefault="00D85D18" w:rsidP="00957833">
            <w:pPr>
              <w:contextualSpacing/>
              <w:rPr>
                <w:lang w:val="en-US"/>
              </w:rPr>
            </w:pPr>
            <w:r w:rsidRPr="009F7C74">
              <w:rPr>
                <w:lang w:val="en-US"/>
              </w:rPr>
              <w:t xml:space="preserve"> (7)</w:t>
            </w:r>
          </w:p>
        </w:tc>
      </w:tr>
    </w:tbl>
    <w:p w14:paraId="180B8527" w14:textId="5815B1EB" w:rsidR="00E13D48" w:rsidRDefault="006A3EB3" w:rsidP="001453BF">
      <w:pPr>
        <w:pStyle w:val="Corpsdetexte"/>
        <w:rPr>
          <w:rFonts w:eastAsiaTheme="minorEastAsia"/>
          <w:lang w:val="en-US"/>
        </w:rPr>
      </w:pPr>
      <w:proofErr w:type="gramStart"/>
      <w:r>
        <w:rPr>
          <w:rFonts w:eastAsiaTheme="minorEastAsia"/>
          <w:lang w:val="en-US"/>
        </w:rPr>
        <w:t>w</w:t>
      </w:r>
      <w:r w:rsidR="00AE2C06">
        <w:rPr>
          <w:rFonts w:eastAsiaTheme="minorEastAsia"/>
          <w:lang w:val="en-US"/>
        </w:rPr>
        <w:t>here</w:t>
      </w:r>
      <w:proofErr w:type="gramEnd"/>
      <w:r w:rsidR="00AE2C06">
        <w:rPr>
          <w:rFonts w:eastAsiaTheme="minorEastAsia"/>
          <w:lang w:val="en-US"/>
        </w:rPr>
        <w:t xml:space="preserve"> </w:t>
      </w:r>
      <w:proofErr w:type="spellStart"/>
      <w:r w:rsidR="00AE2C06" w:rsidRPr="00D21207">
        <w:rPr>
          <w:rFonts w:eastAsiaTheme="minorEastAsia"/>
          <w:i/>
          <w:lang w:val="en-US"/>
        </w:rPr>
        <w:t>Pe</w:t>
      </w:r>
      <w:proofErr w:type="spellEnd"/>
      <w:r w:rsidR="00AE2C06">
        <w:rPr>
          <w:rFonts w:eastAsiaTheme="minorEastAsia"/>
          <w:lang w:val="en-US"/>
        </w:rPr>
        <w:t xml:space="preserve"> is the dimensionless </w:t>
      </w:r>
      <w:proofErr w:type="spellStart"/>
      <w:r w:rsidR="00AE2C06">
        <w:rPr>
          <w:rFonts w:eastAsiaTheme="minorEastAsia"/>
          <w:lang w:val="en-US"/>
        </w:rPr>
        <w:t>Peclet</w:t>
      </w:r>
      <w:proofErr w:type="spellEnd"/>
      <w:r w:rsidR="00AE2C06">
        <w:rPr>
          <w:rFonts w:eastAsiaTheme="minorEastAsia"/>
          <w:lang w:val="en-US"/>
        </w:rPr>
        <w:t xml:space="preserve"> number.</w:t>
      </w:r>
    </w:p>
    <w:p w14:paraId="3F4681A7" w14:textId="77777777" w:rsidR="00AD7513" w:rsidRDefault="00AD7513" w:rsidP="00AD7513">
      <w:pPr>
        <w:jc w:val="center"/>
        <w:rPr>
          <w:lang w:val="en-US"/>
        </w:rPr>
      </w:pPr>
      <w:r>
        <w:rPr>
          <w:noProof/>
          <w:lang w:val="fr-FR" w:eastAsia="fr-FR"/>
        </w:rPr>
        <w:lastRenderedPageBreak/>
        <w:drawing>
          <wp:inline distT="0" distB="0" distL="0" distR="0" wp14:anchorId="2F74808F" wp14:editId="2374C65E">
            <wp:extent cx="2660650" cy="2195037"/>
            <wp:effectExtent l="0" t="0" r="635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89571" cy="2218897"/>
                    </a:xfrm>
                    <a:prstGeom prst="rect">
                      <a:avLst/>
                    </a:prstGeom>
                  </pic:spPr>
                </pic:pic>
              </a:graphicData>
            </a:graphic>
          </wp:inline>
        </w:drawing>
      </w:r>
      <w:r>
        <w:rPr>
          <w:noProof/>
          <w:lang w:val="fr-FR" w:eastAsia="fr-FR"/>
        </w:rPr>
        <w:drawing>
          <wp:inline distT="0" distB="0" distL="0" distR="0" wp14:anchorId="51EAC483" wp14:editId="3681B08E">
            <wp:extent cx="2755900" cy="2150632"/>
            <wp:effectExtent l="0" t="0" r="635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736"/>
                    <a:stretch/>
                  </pic:blipFill>
                  <pic:spPr bwMode="auto">
                    <a:xfrm>
                      <a:off x="0" y="0"/>
                      <a:ext cx="2792295" cy="2179034"/>
                    </a:xfrm>
                    <a:prstGeom prst="rect">
                      <a:avLst/>
                    </a:prstGeom>
                    <a:ln>
                      <a:noFill/>
                    </a:ln>
                    <a:extLst>
                      <a:ext uri="{53640926-AAD7-44D8-BBD7-CCE9431645EC}">
                        <a14:shadowObscured xmlns:a14="http://schemas.microsoft.com/office/drawing/2010/main"/>
                      </a:ext>
                    </a:extLst>
                  </pic:spPr>
                </pic:pic>
              </a:graphicData>
            </a:graphic>
          </wp:inline>
        </w:drawing>
      </w:r>
    </w:p>
    <w:p w14:paraId="0EE8A888" w14:textId="77777777" w:rsidR="00AD7513" w:rsidRDefault="00AD7513" w:rsidP="00AD7513">
      <w:pPr>
        <w:pStyle w:val="Figurecaption"/>
      </w:pPr>
    </w:p>
    <w:p w14:paraId="53577849" w14:textId="790608E2" w:rsidR="00AD7513" w:rsidRPr="00AD7513" w:rsidRDefault="00AD7513" w:rsidP="00AD7513">
      <w:pPr>
        <w:pStyle w:val="Figurecaption"/>
      </w:pPr>
      <w:r>
        <w:t>FIG. 4. Radial cross section (on the left) and axial cross section (on the right) of the adopted heterogeneous model.</w:t>
      </w:r>
    </w:p>
    <w:p w14:paraId="353E5535" w14:textId="0A450FEA" w:rsidR="00E13D48" w:rsidRDefault="00E13D48" w:rsidP="001453BF">
      <w:pPr>
        <w:pStyle w:val="Titre2"/>
        <w:numPr>
          <w:ilvl w:val="1"/>
          <w:numId w:val="12"/>
        </w:numPr>
      </w:pPr>
      <w:r>
        <w:t>results</w:t>
      </w:r>
    </w:p>
    <w:p w14:paraId="5D1B2CA5" w14:textId="7416A900" w:rsidR="00E13D48" w:rsidRPr="00E13D48" w:rsidRDefault="00096939" w:rsidP="00E13D48">
      <w:pPr>
        <w:pStyle w:val="Titre3"/>
      </w:pPr>
      <w:r>
        <w:t xml:space="preserve">5.1 </w:t>
      </w:r>
      <w:proofErr w:type="spellStart"/>
      <w:r w:rsidR="00E13D48" w:rsidRPr="00E13D48">
        <w:t>Neutronic</w:t>
      </w:r>
      <w:proofErr w:type="spellEnd"/>
      <w:r w:rsidR="00E13D48" w:rsidRPr="00E13D48">
        <w:t xml:space="preserve"> results</w:t>
      </w:r>
    </w:p>
    <w:p w14:paraId="48B90F5F" w14:textId="03B7A8D7" w:rsidR="00E13D48" w:rsidRPr="00E13D48" w:rsidRDefault="00E13D48" w:rsidP="00E13D48">
      <w:pPr>
        <w:pStyle w:val="Corpsdetexte"/>
      </w:pPr>
      <w:r w:rsidRPr="00E13D48">
        <w:t>First</w:t>
      </w:r>
      <w:r w:rsidR="00083ACA">
        <w:t xml:space="preserve"> of all</w:t>
      </w:r>
      <w:r w:rsidR="001B3CE1">
        <w:t>,</w:t>
      </w:r>
      <w:r w:rsidR="00083ACA">
        <w:t xml:space="preserve"> </w:t>
      </w:r>
      <w:r w:rsidR="001B3CE1">
        <w:t xml:space="preserve">pure neutron </w:t>
      </w:r>
      <w:r w:rsidR="00083ACA">
        <w:t>calculations were performed</w:t>
      </w:r>
      <w:r w:rsidR="001B3CE1" w:rsidRPr="001B3CE1">
        <w:t xml:space="preserve"> </w:t>
      </w:r>
      <w:r w:rsidR="00D75317">
        <w:t>without thermal-</w:t>
      </w:r>
      <w:r w:rsidR="001B3CE1">
        <w:t>hydraulic coupling</w:t>
      </w:r>
      <w:r w:rsidRPr="00E13D48">
        <w:t xml:space="preserve">, in order to check the accuracy of the </w:t>
      </w:r>
      <w:r w:rsidR="001B3CE1">
        <w:t xml:space="preserve">neutron </w:t>
      </w:r>
      <w:r w:rsidR="00083ACA">
        <w:t>model</w:t>
      </w:r>
      <w:r w:rsidR="001B3CE1">
        <w:t xml:space="preserve"> of the core</w:t>
      </w:r>
      <w:r w:rsidRPr="00E13D48">
        <w:t xml:space="preserve">. </w:t>
      </w:r>
    </w:p>
    <w:p w14:paraId="448E254C" w14:textId="639C2841" w:rsidR="00B214F9" w:rsidRPr="00A70C9B" w:rsidRDefault="001B3CE1" w:rsidP="003D05C8">
      <w:pPr>
        <w:pStyle w:val="Corpsdetexte"/>
        <w:rPr>
          <w:lang w:val="en-US"/>
        </w:rPr>
      </w:pPr>
      <w:r>
        <w:rPr>
          <w:lang w:val="en-US"/>
        </w:rPr>
        <w:t>A</w:t>
      </w:r>
      <w:r w:rsidR="000C7C05" w:rsidRPr="00EE7ACE">
        <w:rPr>
          <w:lang w:val="en-US"/>
        </w:rPr>
        <w:t xml:space="preserve"> convergence study</w:t>
      </w:r>
      <w:r>
        <w:rPr>
          <w:lang w:val="en-US"/>
        </w:rPr>
        <w:t xml:space="preserve"> on multiplication factor was made in order to </w:t>
      </w:r>
      <w:r w:rsidR="00F81B6A">
        <w:rPr>
          <w:lang w:val="en-US"/>
        </w:rPr>
        <w:t>optimize simulation parameters</w:t>
      </w:r>
      <w:r w:rsidR="000C7C05" w:rsidRPr="00542E57">
        <w:rPr>
          <w:lang w:val="en-US"/>
        </w:rPr>
        <w:t xml:space="preserve">. </w:t>
      </w:r>
      <w:r w:rsidR="00F81B6A">
        <w:rPr>
          <w:lang w:val="en-US"/>
        </w:rPr>
        <w:t xml:space="preserve">The convergence target on multiplication factor </w:t>
      </w:r>
      <w:r w:rsidR="00F81B6A" w:rsidRPr="009F7C74">
        <w:rPr>
          <w:lang w:val="en-US"/>
        </w:rPr>
        <w:t xml:space="preserve">was </w:t>
      </w:r>
      <w:r w:rsidR="006E2415" w:rsidRPr="009F7C74">
        <w:rPr>
          <w:lang w:val="en-US"/>
        </w:rPr>
        <w:t>3</w:t>
      </w:r>
      <w:r w:rsidR="00F81B6A" w:rsidRPr="009F7C74">
        <w:rPr>
          <w:lang w:val="en-US"/>
        </w:rPr>
        <w:t xml:space="preserve"> </w:t>
      </w:r>
      <w:proofErr w:type="spellStart"/>
      <w:r w:rsidR="00F81B6A" w:rsidRPr="009F7C74">
        <w:rPr>
          <w:lang w:val="en-US"/>
        </w:rPr>
        <w:t>pcm</w:t>
      </w:r>
      <w:proofErr w:type="spellEnd"/>
      <w:r w:rsidR="00F81B6A" w:rsidRPr="009F7C74">
        <w:rPr>
          <w:lang w:val="en-US"/>
        </w:rPr>
        <w:t>.</w:t>
      </w:r>
      <w:r w:rsidR="00F81B6A">
        <w:rPr>
          <w:lang w:val="en-US"/>
        </w:rPr>
        <w:t xml:space="preserve"> The </w:t>
      </w:r>
      <w:r w:rsidR="00891392">
        <w:rPr>
          <w:lang w:val="en-US"/>
        </w:rPr>
        <w:t>Fig.</w:t>
      </w:r>
      <w:r w:rsidR="00F81B6A">
        <w:rPr>
          <w:lang w:val="en-US"/>
        </w:rPr>
        <w:t xml:space="preserve"> 5 shows this convergence study for two different cases (5000 and 20000 neutrons by active cycle). </w:t>
      </w:r>
      <w:r w:rsidR="000C7C05" w:rsidRPr="00542E57">
        <w:rPr>
          <w:lang w:val="en-US"/>
        </w:rPr>
        <w:t>As expected, the core reactivity value converges and the uncertainty decreases for increasing simulation parameters.</w:t>
      </w:r>
      <w:r w:rsidR="00F81B6A">
        <w:rPr>
          <w:lang w:val="en-US"/>
        </w:rPr>
        <w:t xml:space="preserve"> </w:t>
      </w:r>
      <w:r w:rsidR="004B5D3C">
        <w:rPr>
          <w:lang w:val="en-US"/>
        </w:rPr>
        <w:t xml:space="preserve">Note that core reactivity of the reference state converge toward -2370 </w:t>
      </w:r>
      <w:proofErr w:type="spellStart"/>
      <w:r w:rsidR="004B5D3C">
        <w:rPr>
          <w:lang w:val="en-US"/>
        </w:rPr>
        <w:t>pcm</w:t>
      </w:r>
      <w:proofErr w:type="spellEnd"/>
      <w:r w:rsidR="004B5D3C">
        <w:rPr>
          <w:lang w:val="en-US"/>
        </w:rPr>
        <w:t xml:space="preserve"> and not zero. This is explained by the averaged model used in terms of isotopic concentrations of fuel assemb</w:t>
      </w:r>
      <w:r w:rsidR="003D05C8">
        <w:rPr>
          <w:lang w:val="en-US"/>
        </w:rPr>
        <w:t>lies. Indeed, each subassembly</w:t>
      </w:r>
      <w:r w:rsidR="00706A3D">
        <w:rPr>
          <w:lang w:val="en-US"/>
        </w:rPr>
        <w:t xml:space="preserve"> was not described</w:t>
      </w:r>
      <w:r w:rsidR="004B5D3C">
        <w:rPr>
          <w:lang w:val="en-US"/>
        </w:rPr>
        <w:t xml:space="preserve"> individually in terms of isotopic concentrations. The report </w:t>
      </w:r>
      <w:r w:rsidR="004B5D3C">
        <w:rPr>
          <w:lang w:val="en-US"/>
        </w:rPr>
        <w:fldChar w:fldCharType="begin"/>
      </w:r>
      <w:r w:rsidR="004B5D3C">
        <w:rPr>
          <w:lang w:val="en-US"/>
        </w:rPr>
        <w:instrText xml:space="preserve"> REF _Ref69333119 \n \h </w:instrText>
      </w:r>
      <w:r w:rsidR="00133F43">
        <w:rPr>
          <w:lang w:val="en-US"/>
        </w:rPr>
        <w:instrText xml:space="preserve"> \* MERGEFORMAT </w:instrText>
      </w:r>
      <w:r w:rsidR="004B5D3C">
        <w:rPr>
          <w:lang w:val="en-US"/>
        </w:rPr>
      </w:r>
      <w:r w:rsidR="004B5D3C">
        <w:rPr>
          <w:lang w:val="en-US"/>
        </w:rPr>
        <w:fldChar w:fldCharType="separate"/>
      </w:r>
      <w:r w:rsidR="004B5D3C">
        <w:rPr>
          <w:lang w:val="en-US"/>
        </w:rPr>
        <w:t>[</w:t>
      </w:r>
      <w:r w:rsidR="00F73CB9" w:rsidRPr="0040506A">
        <w:rPr>
          <w:lang w:val="en-US"/>
        </w:rPr>
        <w:t>4</w:t>
      </w:r>
      <w:r w:rsidR="004B5D3C" w:rsidRPr="0040506A">
        <w:rPr>
          <w:lang w:val="en-US"/>
        </w:rPr>
        <w:t>]</w:t>
      </w:r>
      <w:r w:rsidR="004B5D3C">
        <w:rPr>
          <w:lang w:val="en-US"/>
        </w:rPr>
        <w:fldChar w:fldCharType="end"/>
      </w:r>
      <w:r w:rsidR="004B5D3C">
        <w:rPr>
          <w:lang w:val="en-US"/>
        </w:rPr>
        <w:t xml:space="preserve"> shows that this assumption do</w:t>
      </w:r>
      <w:r w:rsidR="000E3CF8">
        <w:rPr>
          <w:lang w:val="en-US"/>
        </w:rPr>
        <w:t>es</w:t>
      </w:r>
      <w:r w:rsidR="004B5D3C">
        <w:rPr>
          <w:lang w:val="en-US"/>
        </w:rPr>
        <w:t xml:space="preserve"> not have great </w:t>
      </w:r>
      <w:r w:rsidR="00D67BD7">
        <w:rPr>
          <w:lang w:val="en-US"/>
        </w:rPr>
        <w:t xml:space="preserve">influences on control rod </w:t>
      </w:r>
      <w:proofErr w:type="spellStart"/>
      <w:r w:rsidR="00D67BD7">
        <w:rPr>
          <w:lang w:val="en-US"/>
        </w:rPr>
        <w:t>worth</w:t>
      </w:r>
      <w:r w:rsidR="004B5D3C">
        <w:rPr>
          <w:lang w:val="en-US"/>
        </w:rPr>
        <w:t>s</w:t>
      </w:r>
      <w:proofErr w:type="spellEnd"/>
      <w:r w:rsidR="004B5D3C">
        <w:rPr>
          <w:lang w:val="en-US"/>
        </w:rPr>
        <w:t xml:space="preserve"> or power deviations (but it impacts notably multiplication factor</w:t>
      </w:r>
      <w:r w:rsidR="00ED4E33">
        <w:rPr>
          <w:lang w:val="en-US"/>
        </w:rPr>
        <w:t>s</w:t>
      </w:r>
      <w:r w:rsidR="004B5D3C">
        <w:rPr>
          <w:lang w:val="en-US"/>
        </w:rPr>
        <w:t xml:space="preserve"> or subassembly powers).</w:t>
      </w:r>
    </w:p>
    <w:p w14:paraId="00943E09" w14:textId="4698B091" w:rsidR="00FB43AE" w:rsidRDefault="006E2415" w:rsidP="00A70C9B">
      <w:pPr>
        <w:pStyle w:val="Corpsdetexte"/>
        <w:rPr>
          <w:lang w:val="en-US"/>
        </w:rPr>
      </w:pPr>
      <w:r>
        <w:rPr>
          <w:lang w:val="en-US"/>
        </w:rPr>
        <w:t>The simulations</w:t>
      </w:r>
      <w:r w:rsidR="000C7C05" w:rsidRPr="00EE7ACE">
        <w:rPr>
          <w:lang w:val="en-US"/>
        </w:rPr>
        <w:t xml:space="preserve"> that are propos</w:t>
      </w:r>
      <w:r>
        <w:rPr>
          <w:lang w:val="en-US"/>
        </w:rPr>
        <w:t>ed in the next paragraphs, were</w:t>
      </w:r>
      <w:r w:rsidR="00F81B6A">
        <w:rPr>
          <w:lang w:val="en-US"/>
        </w:rPr>
        <w:t xml:space="preserve"> </w:t>
      </w:r>
      <w:r w:rsidR="000C7C05" w:rsidRPr="00EE7ACE">
        <w:rPr>
          <w:lang w:val="en-US"/>
        </w:rPr>
        <w:t xml:space="preserve">launched with </w:t>
      </w:r>
      <w:r w:rsidR="00706A3D">
        <w:rPr>
          <w:lang w:val="en-US"/>
        </w:rPr>
        <w:t>the following parameters</w:t>
      </w:r>
      <w:r w:rsidR="00F81B6A">
        <w:rPr>
          <w:lang w:val="en-US"/>
        </w:rPr>
        <w:t xml:space="preserve">: </w:t>
      </w:r>
      <w:r w:rsidR="000C7C05" w:rsidRPr="00EE7ACE">
        <w:rPr>
          <w:lang w:val="en-US"/>
        </w:rPr>
        <w:t xml:space="preserve">20 000 </w:t>
      </w:r>
      <w:r w:rsidR="00F81B6A">
        <w:rPr>
          <w:lang w:val="en-US"/>
        </w:rPr>
        <w:t xml:space="preserve">neutrons by active cycle </w:t>
      </w:r>
      <w:r w:rsidR="000C7C05" w:rsidRPr="00EE7ACE">
        <w:rPr>
          <w:lang w:val="en-US"/>
        </w:rPr>
        <w:t>and 90</w:t>
      </w:r>
      <w:r w:rsidR="00F81B6A">
        <w:rPr>
          <w:lang w:val="en-US"/>
        </w:rPr>
        <w:t> </w:t>
      </w:r>
      <w:r w:rsidR="000C7C05" w:rsidRPr="00EE7ACE">
        <w:rPr>
          <w:lang w:val="en-US"/>
        </w:rPr>
        <w:t>000</w:t>
      </w:r>
      <w:r w:rsidR="00F81B6A">
        <w:rPr>
          <w:lang w:val="en-US"/>
        </w:rPr>
        <w:t xml:space="preserve"> active cycles</w:t>
      </w:r>
      <w:r w:rsidR="000C7C05" w:rsidRPr="00542E57">
        <w:rPr>
          <w:lang w:val="en-US"/>
        </w:rPr>
        <w:t>.</w:t>
      </w:r>
      <w:r w:rsidR="0040506A">
        <w:rPr>
          <w:lang w:val="en-US"/>
        </w:rPr>
        <w:t xml:space="preserve"> </w:t>
      </w:r>
      <w:r w:rsidR="00F81B6A">
        <w:rPr>
          <w:lang w:val="en-US"/>
        </w:rPr>
        <w:t xml:space="preserve">These parameters have been considered sufficient for </w:t>
      </w:r>
      <w:proofErr w:type="spellStart"/>
      <w:r w:rsidR="00F81B6A">
        <w:rPr>
          <w:lang w:val="en-US"/>
        </w:rPr>
        <w:t>Phénix</w:t>
      </w:r>
      <w:proofErr w:type="spellEnd"/>
      <w:r w:rsidR="00F81B6A">
        <w:rPr>
          <w:lang w:val="en-US"/>
        </w:rPr>
        <w:t xml:space="preserve"> core that has a volume of barely 1</w:t>
      </w:r>
      <w:r w:rsidR="00F81B6A" w:rsidRPr="00B80D2C">
        <w:rPr>
          <w:iCs/>
          <w:lang w:val="en-US"/>
        </w:rPr>
        <w:t xml:space="preserve"> m</w:t>
      </w:r>
      <w:r w:rsidR="00F81B6A" w:rsidRPr="00B80D2C">
        <w:rPr>
          <w:iCs/>
          <w:vertAlign w:val="superscript"/>
          <w:lang w:val="en-US"/>
        </w:rPr>
        <w:t>3</w:t>
      </w:r>
      <w:r w:rsidR="00F81B6A">
        <w:rPr>
          <w:lang w:val="en-US"/>
        </w:rPr>
        <w:t xml:space="preserve"> and for the objective of investigating the coupling mechanism and </w:t>
      </w:r>
      <w:r w:rsidR="00FB43AE">
        <w:rPr>
          <w:lang w:val="en-US"/>
        </w:rPr>
        <w:t xml:space="preserve">not only the </w:t>
      </w:r>
      <w:proofErr w:type="spellStart"/>
      <w:r w:rsidR="00FB43AE">
        <w:rPr>
          <w:lang w:val="en-US"/>
        </w:rPr>
        <w:t>neutronic</w:t>
      </w:r>
      <w:proofErr w:type="spellEnd"/>
      <w:r w:rsidR="00FB43AE">
        <w:rPr>
          <w:lang w:val="en-US"/>
        </w:rPr>
        <w:t xml:space="preserve"> aspects.</w:t>
      </w:r>
    </w:p>
    <w:p w14:paraId="46F46E8D" w14:textId="77777777" w:rsidR="009D2BE0" w:rsidRPr="002D50F5" w:rsidRDefault="009D2BE0" w:rsidP="00A70C9B">
      <w:pPr>
        <w:pStyle w:val="Corpsdetexte"/>
      </w:pPr>
    </w:p>
    <w:p w14:paraId="05D288B4" w14:textId="454F4A60" w:rsidR="00B214F9" w:rsidRPr="00A70C9B" w:rsidRDefault="00616C90" w:rsidP="003D05C8">
      <w:pPr>
        <w:pStyle w:val="Corpsdetexte"/>
        <w:rPr>
          <w:noProof/>
          <w:lang w:val="en-US" w:eastAsia="it-IT"/>
        </w:rPr>
      </w:pPr>
      <w:r>
        <w:rPr>
          <w:lang w:val="en-US"/>
        </w:rPr>
        <w:t>Then,</w:t>
      </w:r>
      <w:r w:rsidR="000C7C05" w:rsidRPr="00A70C9B">
        <w:rPr>
          <w:lang w:val="en-US"/>
        </w:rPr>
        <w:t xml:space="preserve"> the power deviation in the core was computed</w:t>
      </w:r>
      <w:r>
        <w:rPr>
          <w:lang w:val="en-US"/>
        </w:rPr>
        <w:t xml:space="preserve"> during the different phases of the test</w:t>
      </w:r>
      <w:r w:rsidR="000C7C05" w:rsidRPr="00A70C9B">
        <w:rPr>
          <w:lang w:val="en-US"/>
        </w:rPr>
        <w:t>.</w:t>
      </w:r>
      <w:r w:rsidR="000C7C05">
        <w:rPr>
          <w:lang w:val="en-US"/>
        </w:rPr>
        <w:t xml:space="preserve"> </w:t>
      </w:r>
      <w:r w:rsidR="00551A27">
        <w:rPr>
          <w:noProof/>
          <w:lang w:val="en-US" w:eastAsia="it-IT"/>
        </w:rPr>
        <w:t>T</w:t>
      </w:r>
      <w:r>
        <w:rPr>
          <w:noProof/>
          <w:lang w:val="en-US" w:eastAsia="it-IT"/>
        </w:rPr>
        <w:t>he</w:t>
      </w:r>
      <w:r w:rsidR="000C7C05" w:rsidRPr="00542E57">
        <w:rPr>
          <w:noProof/>
          <w:lang w:val="en-US" w:eastAsia="it-IT"/>
        </w:rPr>
        <w:t xml:space="preserve"> </w:t>
      </w:r>
      <w:r w:rsidR="00891392">
        <w:rPr>
          <w:noProof/>
          <w:lang w:val="en-US" w:eastAsia="it-IT"/>
        </w:rPr>
        <w:t>Fig.</w:t>
      </w:r>
      <w:r w:rsidR="00551A27">
        <w:rPr>
          <w:noProof/>
          <w:lang w:val="en-US" w:eastAsia="it-IT"/>
        </w:rPr>
        <w:t xml:space="preserve"> 6 illustrates </w:t>
      </w:r>
      <w:r w:rsidRPr="00542E57">
        <w:rPr>
          <w:noProof/>
          <w:lang w:val="en-US" w:eastAsia="it-IT"/>
        </w:rPr>
        <w:t xml:space="preserve">the </w:t>
      </w:r>
      <w:r w:rsidR="00551A27">
        <w:rPr>
          <w:noProof/>
          <w:lang w:val="en-US" w:eastAsia="it-IT"/>
        </w:rPr>
        <w:t xml:space="preserve">computed and measured </w:t>
      </w:r>
      <w:r w:rsidRPr="00542E57">
        <w:rPr>
          <w:noProof/>
          <w:lang w:val="en-US" w:eastAsia="it-IT"/>
        </w:rPr>
        <w:t>power deviation</w:t>
      </w:r>
      <w:r w:rsidR="00551A27">
        <w:rPr>
          <w:noProof/>
          <w:lang w:val="en-US" w:eastAsia="it-IT"/>
        </w:rPr>
        <w:t>s</w:t>
      </w:r>
      <w:r w:rsidRPr="00542E57">
        <w:rPr>
          <w:noProof/>
          <w:lang w:val="en-US" w:eastAsia="it-IT"/>
        </w:rPr>
        <w:t xml:space="preserve"> of step 2 with respect to reference state</w:t>
      </w:r>
      <w:r w:rsidR="00551A27">
        <w:rPr>
          <w:noProof/>
          <w:lang w:val="en-US" w:eastAsia="it-IT"/>
        </w:rPr>
        <w:t>. The</w:t>
      </w:r>
      <w:r w:rsidRPr="00542E57">
        <w:rPr>
          <w:noProof/>
          <w:lang w:val="en-US" w:eastAsia="it-IT"/>
        </w:rPr>
        <w:t xml:space="preserve"> </w:t>
      </w:r>
      <w:r w:rsidR="00EE7319">
        <w:rPr>
          <w:noProof/>
          <w:lang w:val="en-US" w:eastAsia="it-IT"/>
        </w:rPr>
        <w:t xml:space="preserve">chosen </w:t>
      </w:r>
      <w:r w:rsidR="000C7C05" w:rsidRPr="00542E57">
        <w:rPr>
          <w:noProof/>
          <w:lang w:val="en-US" w:eastAsia="it-IT"/>
        </w:rPr>
        <w:t xml:space="preserve">S/As </w:t>
      </w:r>
      <w:r w:rsidR="00EE7319">
        <w:rPr>
          <w:noProof/>
          <w:lang w:val="en-US" w:eastAsia="it-IT"/>
        </w:rPr>
        <w:t xml:space="preserve">belongs to </w:t>
      </w:r>
      <w:r w:rsidR="000C7C05" w:rsidRPr="00542E57">
        <w:rPr>
          <w:noProof/>
          <w:lang w:val="en-US" w:eastAsia="it-IT"/>
        </w:rPr>
        <w:t xml:space="preserve">the diagonal represented </w:t>
      </w:r>
      <w:r w:rsidR="00EE7319">
        <w:rPr>
          <w:noProof/>
          <w:lang w:val="en-US" w:eastAsia="it-IT"/>
        </w:rPr>
        <w:t xml:space="preserve">on the right side of </w:t>
      </w:r>
      <w:r w:rsidR="000C7C05" w:rsidRPr="00542E57">
        <w:rPr>
          <w:noProof/>
          <w:lang w:val="en-US" w:eastAsia="it-IT"/>
        </w:rPr>
        <w:t xml:space="preserve">the image. </w:t>
      </w:r>
    </w:p>
    <w:p w14:paraId="2D175436" w14:textId="228F4F80" w:rsidR="00AE2C06" w:rsidRPr="009D2BE0" w:rsidRDefault="00F93879" w:rsidP="00112A2C">
      <w:pPr>
        <w:pStyle w:val="Corpsdetexte"/>
        <w:rPr>
          <w:lang w:val="en-US"/>
        </w:rPr>
      </w:pPr>
      <w:r w:rsidRPr="00EE7ACE">
        <w:rPr>
          <w:lang w:val="en-US"/>
        </w:rPr>
        <w:t>It can be noticed that the power deviation is overestimated (in its absolute value) in both the left and right sides of the graph</w:t>
      </w:r>
      <w:r w:rsidRPr="00542E57">
        <w:rPr>
          <w:lang w:val="en-US"/>
        </w:rPr>
        <w:t xml:space="preserve">. </w:t>
      </w:r>
      <w:r w:rsidR="00551A27">
        <w:rPr>
          <w:lang w:val="en-US"/>
        </w:rPr>
        <w:t>Note that</w:t>
      </w:r>
      <w:r w:rsidR="00616C90">
        <w:rPr>
          <w:lang w:val="en-US"/>
        </w:rPr>
        <w:t xml:space="preserve"> t</w:t>
      </w:r>
      <w:r w:rsidRPr="00542E57">
        <w:rPr>
          <w:lang w:val="en-US"/>
        </w:rPr>
        <w:t>his overestimation</w:t>
      </w:r>
      <w:r w:rsidR="00083ACA">
        <w:rPr>
          <w:lang w:val="en-US"/>
        </w:rPr>
        <w:t xml:space="preserve"> </w:t>
      </w:r>
      <w:r w:rsidR="0064126E">
        <w:rPr>
          <w:lang w:val="en-US"/>
        </w:rPr>
        <w:t xml:space="preserve">remains included </w:t>
      </w:r>
      <w:r w:rsidRPr="00542E57">
        <w:rPr>
          <w:lang w:val="en-US"/>
        </w:rPr>
        <w:t>inside experimental uncertaint</w:t>
      </w:r>
      <w:r w:rsidR="0064126E">
        <w:rPr>
          <w:lang w:val="en-US"/>
        </w:rPr>
        <w:t>ies</w:t>
      </w:r>
      <w:r w:rsidRPr="00542E57">
        <w:rPr>
          <w:lang w:val="en-US"/>
        </w:rPr>
        <w:t>.</w:t>
      </w:r>
      <w:r w:rsidR="009B5876">
        <w:rPr>
          <w:lang w:val="en-US"/>
        </w:rPr>
        <w:t xml:space="preserve"> </w:t>
      </w:r>
      <w:r w:rsidR="00EE7319">
        <w:rPr>
          <w:lang w:val="en-US"/>
        </w:rPr>
        <w:t>These</w:t>
      </w:r>
      <w:r w:rsidR="00551A27">
        <w:rPr>
          <w:lang w:val="en-US"/>
        </w:rPr>
        <w:t xml:space="preserve"> observed</w:t>
      </w:r>
      <w:r w:rsidR="003D05C8">
        <w:rPr>
          <w:lang w:val="en-US"/>
        </w:rPr>
        <w:t xml:space="preserve"> phenomena</w:t>
      </w:r>
      <w:r w:rsidR="00551A27">
        <w:rPr>
          <w:lang w:val="en-US"/>
        </w:rPr>
        <w:t xml:space="preserve"> </w:t>
      </w:r>
      <w:r w:rsidR="00EE7319">
        <w:rPr>
          <w:lang w:val="en-US"/>
        </w:rPr>
        <w:t xml:space="preserve">are </w:t>
      </w:r>
      <w:r w:rsidR="00551A27">
        <w:rPr>
          <w:lang w:val="en-US"/>
        </w:rPr>
        <w:t xml:space="preserve">coherent with the main conclusions of the IAEA </w:t>
      </w:r>
      <w:r w:rsidR="00551A27" w:rsidRPr="009D2BE0">
        <w:rPr>
          <w:lang w:val="en-US"/>
        </w:rPr>
        <w:t xml:space="preserve">CRP benchmark </w:t>
      </w:r>
      <w:r w:rsidR="00551A27" w:rsidRPr="009D2BE0">
        <w:rPr>
          <w:lang w:val="en-US"/>
        </w:rPr>
        <w:fldChar w:fldCharType="begin"/>
      </w:r>
      <w:r w:rsidR="00551A27" w:rsidRPr="009D2BE0">
        <w:rPr>
          <w:lang w:val="en-US"/>
        </w:rPr>
        <w:instrText xml:space="preserve"> REF _Ref69332535 \n \h </w:instrText>
      </w:r>
      <w:r w:rsidR="009D2BE0">
        <w:rPr>
          <w:lang w:val="en-US"/>
        </w:rPr>
        <w:instrText xml:space="preserve"> \* MERGEFORMAT </w:instrText>
      </w:r>
      <w:r w:rsidR="00551A27" w:rsidRPr="009D2BE0">
        <w:rPr>
          <w:lang w:val="en-US"/>
        </w:rPr>
      </w:r>
      <w:r w:rsidR="00551A27" w:rsidRPr="009D2BE0">
        <w:rPr>
          <w:lang w:val="en-US"/>
        </w:rPr>
        <w:fldChar w:fldCharType="separate"/>
      </w:r>
      <w:r w:rsidR="00551A27" w:rsidRPr="009D2BE0">
        <w:rPr>
          <w:lang w:val="en-US"/>
        </w:rPr>
        <w:t>[2]</w:t>
      </w:r>
      <w:r w:rsidR="00551A27" w:rsidRPr="009D2BE0">
        <w:rPr>
          <w:lang w:val="en-US"/>
        </w:rPr>
        <w:fldChar w:fldCharType="end"/>
      </w:r>
      <w:r w:rsidR="00551A27" w:rsidRPr="009D2BE0">
        <w:rPr>
          <w:lang w:val="en-US"/>
        </w:rPr>
        <w:t>.</w:t>
      </w:r>
      <w:r w:rsidR="00B209A6" w:rsidRPr="009D2BE0">
        <w:rPr>
          <w:lang w:val="en-US"/>
        </w:rPr>
        <w:t xml:space="preserve"> Proposed explanations</w:t>
      </w:r>
      <w:r w:rsidR="009B5876" w:rsidRPr="009D2BE0">
        <w:rPr>
          <w:lang w:val="en-US"/>
        </w:rPr>
        <w:t xml:space="preserve"> </w:t>
      </w:r>
      <w:r w:rsidR="009B5876" w:rsidRPr="009D2BE0">
        <w:rPr>
          <w:sz w:val="22"/>
          <w:lang w:val="en-US"/>
        </w:rPr>
        <w:t xml:space="preserve">in </w:t>
      </w:r>
      <w:r w:rsidR="009B5876" w:rsidRPr="009D2BE0">
        <w:rPr>
          <w:sz w:val="22"/>
          <w:lang w:val="en-US"/>
        </w:rPr>
        <w:fldChar w:fldCharType="begin"/>
      </w:r>
      <w:r w:rsidR="009B5876" w:rsidRPr="009D2BE0">
        <w:rPr>
          <w:sz w:val="22"/>
          <w:lang w:val="en-US"/>
        </w:rPr>
        <w:instrText xml:space="preserve"> REF _Ref69332535 \n \h </w:instrText>
      </w:r>
      <w:r w:rsidR="00112A2C" w:rsidRPr="009D2BE0">
        <w:rPr>
          <w:sz w:val="22"/>
          <w:lang w:val="en-US"/>
        </w:rPr>
        <w:instrText xml:space="preserve"> \* MERGEFORMAT </w:instrText>
      </w:r>
      <w:r w:rsidR="009B5876" w:rsidRPr="009D2BE0">
        <w:rPr>
          <w:sz w:val="22"/>
          <w:lang w:val="en-US"/>
        </w:rPr>
      </w:r>
      <w:r w:rsidR="009B5876" w:rsidRPr="009D2BE0">
        <w:rPr>
          <w:sz w:val="22"/>
          <w:lang w:val="en-US"/>
        </w:rPr>
        <w:fldChar w:fldCharType="separate"/>
      </w:r>
      <w:r w:rsidR="009B5876" w:rsidRPr="009D2BE0">
        <w:rPr>
          <w:sz w:val="22"/>
          <w:lang w:val="en-US"/>
        </w:rPr>
        <w:t>[2]</w:t>
      </w:r>
      <w:r w:rsidR="009B5876" w:rsidRPr="009D2BE0">
        <w:rPr>
          <w:sz w:val="22"/>
          <w:lang w:val="en-US"/>
        </w:rPr>
        <w:fldChar w:fldCharType="end"/>
      </w:r>
      <w:r w:rsidR="009B5876" w:rsidRPr="009D2BE0">
        <w:rPr>
          <w:sz w:val="22"/>
          <w:lang w:val="en-US"/>
        </w:rPr>
        <w:t xml:space="preserve"> and </w:t>
      </w:r>
      <w:r w:rsidR="009B5876" w:rsidRPr="009D2BE0">
        <w:rPr>
          <w:sz w:val="22"/>
          <w:lang w:val="en-US"/>
        </w:rPr>
        <w:fldChar w:fldCharType="begin"/>
      </w:r>
      <w:r w:rsidR="009B5876" w:rsidRPr="009D2BE0">
        <w:rPr>
          <w:sz w:val="22"/>
          <w:lang w:val="en-US"/>
        </w:rPr>
        <w:instrText xml:space="preserve"> REF _Ref69333119 \n \h </w:instrText>
      </w:r>
      <w:r w:rsidR="00112A2C" w:rsidRPr="009D2BE0">
        <w:rPr>
          <w:sz w:val="22"/>
          <w:lang w:val="en-US"/>
        </w:rPr>
        <w:instrText xml:space="preserve"> \* MERGEFORMAT </w:instrText>
      </w:r>
      <w:r w:rsidR="009B5876" w:rsidRPr="009D2BE0">
        <w:rPr>
          <w:sz w:val="22"/>
          <w:lang w:val="en-US"/>
        </w:rPr>
      </w:r>
      <w:r w:rsidR="009B5876" w:rsidRPr="009D2BE0">
        <w:rPr>
          <w:sz w:val="22"/>
          <w:lang w:val="en-US"/>
        </w:rPr>
        <w:fldChar w:fldCharType="separate"/>
      </w:r>
      <w:r w:rsidR="009B5876" w:rsidRPr="009D2BE0">
        <w:rPr>
          <w:sz w:val="22"/>
          <w:lang w:val="en-US"/>
        </w:rPr>
        <w:t>[</w:t>
      </w:r>
      <w:r w:rsidR="00F73CB9" w:rsidRPr="009D2BE0">
        <w:rPr>
          <w:sz w:val="22"/>
          <w:lang w:val="en-US"/>
        </w:rPr>
        <w:t>4</w:t>
      </w:r>
      <w:r w:rsidR="009B5876" w:rsidRPr="009D2BE0">
        <w:rPr>
          <w:sz w:val="22"/>
          <w:lang w:val="en-US"/>
        </w:rPr>
        <w:t>]</w:t>
      </w:r>
      <w:r w:rsidR="009B5876" w:rsidRPr="009D2BE0">
        <w:rPr>
          <w:sz w:val="22"/>
          <w:lang w:val="en-US"/>
        </w:rPr>
        <w:fldChar w:fldCharType="end"/>
      </w:r>
      <w:r w:rsidR="009B5876" w:rsidRPr="009D2BE0">
        <w:rPr>
          <w:lang w:val="en-US"/>
        </w:rPr>
        <w:t xml:space="preserve"> </w:t>
      </w:r>
      <w:r w:rsidR="00B209A6" w:rsidRPr="009D2BE0">
        <w:rPr>
          <w:lang w:val="en-US"/>
        </w:rPr>
        <w:t>can be summarized as follows:</w:t>
      </w:r>
    </w:p>
    <w:p w14:paraId="36057241" w14:textId="43E84A84" w:rsidR="00B209A6" w:rsidRPr="009D2BE0" w:rsidRDefault="00B209A6" w:rsidP="00AE2C06">
      <w:pPr>
        <w:pStyle w:val="Corpsdetexte"/>
        <w:numPr>
          <w:ilvl w:val="0"/>
          <w:numId w:val="44"/>
        </w:numPr>
        <w:rPr>
          <w:lang w:val="en-US"/>
        </w:rPr>
      </w:pPr>
      <w:proofErr w:type="gramStart"/>
      <w:r w:rsidRPr="009D2BE0">
        <w:rPr>
          <w:lang w:val="en-US"/>
        </w:rPr>
        <w:t>bias</w:t>
      </w:r>
      <w:proofErr w:type="gramEnd"/>
      <w:r w:rsidRPr="009D2BE0">
        <w:rPr>
          <w:lang w:val="en-US"/>
        </w:rPr>
        <w:t xml:space="preserve"> bounded to the measurement of the sodium temper</w:t>
      </w:r>
      <w:r w:rsidR="009049A3">
        <w:rPr>
          <w:lang w:val="en-US"/>
        </w:rPr>
        <w:t>atures at the outlet of the sub</w:t>
      </w:r>
      <w:r w:rsidRPr="009D2BE0">
        <w:rPr>
          <w:lang w:val="en-US"/>
        </w:rPr>
        <w:t>assembly. This aspect is connected to the thermal-hydraulic phenomenon of sodium flowing nearby the thermocouples</w:t>
      </w:r>
      <w:r w:rsidR="009B5876" w:rsidRPr="009D2BE0">
        <w:rPr>
          <w:lang w:val="en-US"/>
        </w:rPr>
        <w:t xml:space="preserve"> (sodium mixing, heat transfer between S/</w:t>
      </w:r>
      <w:r w:rsidR="00AC521B" w:rsidRPr="009D2BE0">
        <w:rPr>
          <w:lang w:val="en-US"/>
        </w:rPr>
        <w:t>As, thermocouple uncertainties);</w:t>
      </w:r>
    </w:p>
    <w:p w14:paraId="09FD0581" w14:textId="62CDA3C7" w:rsidR="00B209A6" w:rsidRPr="009D2BE0" w:rsidRDefault="00B209A6" w:rsidP="00AE2C06">
      <w:pPr>
        <w:pStyle w:val="Paragraphedeliste"/>
        <w:numPr>
          <w:ilvl w:val="0"/>
          <w:numId w:val="44"/>
        </w:numPr>
        <w:overflowPunct/>
        <w:autoSpaceDE/>
        <w:autoSpaceDN/>
        <w:adjustRightInd/>
        <w:spacing w:line="276" w:lineRule="auto"/>
        <w:jc w:val="both"/>
        <w:textAlignment w:val="auto"/>
        <w:rPr>
          <w:sz w:val="20"/>
          <w:lang w:val="en-US"/>
        </w:rPr>
      </w:pPr>
      <w:r w:rsidRPr="009D2BE0">
        <w:rPr>
          <w:sz w:val="20"/>
          <w:lang w:val="en-US"/>
        </w:rPr>
        <w:t>bias bounded to the measure of control rod position in the core;</w:t>
      </w:r>
    </w:p>
    <w:p w14:paraId="38379828" w14:textId="5FEE7AF2" w:rsidR="00B209A6" w:rsidRDefault="00B209A6" w:rsidP="001923AE">
      <w:pPr>
        <w:pStyle w:val="Paragraphedeliste"/>
        <w:numPr>
          <w:ilvl w:val="0"/>
          <w:numId w:val="44"/>
        </w:numPr>
        <w:overflowPunct/>
        <w:autoSpaceDE/>
        <w:autoSpaceDN/>
        <w:adjustRightInd/>
        <w:spacing w:line="276" w:lineRule="auto"/>
        <w:jc w:val="both"/>
        <w:textAlignment w:val="auto"/>
        <w:rPr>
          <w:sz w:val="20"/>
          <w:lang w:val="en-US"/>
        </w:rPr>
      </w:pPr>
      <w:proofErr w:type="gramStart"/>
      <w:r w:rsidRPr="009D2BE0">
        <w:rPr>
          <w:sz w:val="20"/>
          <w:lang w:val="en-US"/>
        </w:rPr>
        <w:t>bias</w:t>
      </w:r>
      <w:proofErr w:type="gramEnd"/>
      <w:r w:rsidRPr="009D2BE0">
        <w:rPr>
          <w:sz w:val="20"/>
          <w:lang w:val="en-US"/>
        </w:rPr>
        <w:t xml:space="preserve"> bounded to the calculation model</w:t>
      </w:r>
      <w:r w:rsidR="009B5876" w:rsidRPr="009D2BE0">
        <w:rPr>
          <w:sz w:val="20"/>
          <w:lang w:val="en-US"/>
        </w:rPr>
        <w:t xml:space="preserve"> (reactivity feedback effects, nuclear data, S/A isotopic concentrations especially blanket S/As). </w:t>
      </w:r>
    </w:p>
    <w:p w14:paraId="5AEF8A34" w14:textId="45E735E2" w:rsidR="003D05C8" w:rsidRPr="003D05C8" w:rsidRDefault="003D05C8" w:rsidP="003D05C8">
      <w:pPr>
        <w:pStyle w:val="Corpsdetexte"/>
        <w:rPr>
          <w:lang w:val="en-US"/>
        </w:rPr>
      </w:pPr>
      <w:r>
        <w:rPr>
          <w:lang w:val="en-US"/>
        </w:rPr>
        <w:t>Furthermore, i</w:t>
      </w:r>
      <w:r w:rsidRPr="003D05C8">
        <w:rPr>
          <w:lang w:val="en-US"/>
        </w:rPr>
        <w:t>n the last subassembly, belonging to the radial blanket, an unexpected power deviation value is observed</w:t>
      </w:r>
      <w:r>
        <w:rPr>
          <w:lang w:val="en-US"/>
        </w:rPr>
        <w:t xml:space="preserve"> and t</w:t>
      </w:r>
      <w:r w:rsidRPr="003D05C8">
        <w:rPr>
          <w:lang w:val="en-US"/>
        </w:rPr>
        <w:t>his value could require further investigations on the model.</w:t>
      </w:r>
    </w:p>
    <w:p w14:paraId="66CE4CC6" w14:textId="77777777" w:rsidR="003D05C8" w:rsidRDefault="003D05C8" w:rsidP="001453BF">
      <w:pPr>
        <w:pStyle w:val="Corpsdetexte"/>
        <w:rPr>
          <w:lang w:val="en-US"/>
        </w:rPr>
      </w:pPr>
    </w:p>
    <w:p w14:paraId="11D1C5AC" w14:textId="4D7F859C" w:rsidR="00F271A0" w:rsidRPr="00A70C9B" w:rsidRDefault="004934D9" w:rsidP="00F271A0">
      <w:pPr>
        <w:ind w:firstLine="567"/>
        <w:jc w:val="center"/>
        <w:rPr>
          <w:sz w:val="20"/>
          <w:lang w:val="en-US"/>
        </w:rPr>
      </w:pPr>
      <w:r>
        <w:rPr>
          <w:noProof/>
          <w:lang w:val="fr-FR" w:eastAsia="fr-FR"/>
        </w:rPr>
        <w:lastRenderedPageBreak/>
        <w:drawing>
          <wp:inline distT="0" distB="0" distL="0" distR="0" wp14:anchorId="4C397A84" wp14:editId="0A8E19EC">
            <wp:extent cx="2706983" cy="1986280"/>
            <wp:effectExtent l="0" t="0" r="0" b="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cm-conv.png"/>
                    <pic:cNvPicPr/>
                  </pic:nvPicPr>
                  <pic:blipFill rotWithShape="1">
                    <a:blip r:embed="rId16" cstate="print">
                      <a:extLst>
                        <a:ext uri="{28A0092B-C50C-407E-A947-70E740481C1C}">
                          <a14:useLocalDpi xmlns:a14="http://schemas.microsoft.com/office/drawing/2010/main" val="0"/>
                        </a:ext>
                      </a:extLst>
                    </a:blip>
                    <a:srcRect b="2158"/>
                    <a:stretch/>
                  </pic:blipFill>
                  <pic:spPr bwMode="auto">
                    <a:xfrm>
                      <a:off x="0" y="0"/>
                      <a:ext cx="2762759" cy="2027206"/>
                    </a:xfrm>
                    <a:prstGeom prst="rect">
                      <a:avLst/>
                    </a:prstGeom>
                    <a:ln>
                      <a:noFill/>
                    </a:ln>
                    <a:extLst>
                      <a:ext uri="{53640926-AAD7-44D8-BBD7-CCE9431645EC}">
                        <a14:shadowObscured xmlns:a14="http://schemas.microsoft.com/office/drawing/2010/main"/>
                      </a:ext>
                    </a:extLst>
                  </pic:spPr>
                </pic:pic>
              </a:graphicData>
            </a:graphic>
          </wp:inline>
        </w:drawing>
      </w:r>
      <w:r w:rsidR="00751EB5">
        <w:rPr>
          <w:noProof/>
          <w:lang w:val="fr-FR" w:eastAsia="fr-FR"/>
        </w:rPr>
        <w:drawing>
          <wp:inline distT="0" distB="0" distL="0" distR="0" wp14:anchorId="30358F2F" wp14:editId="496BCFFC">
            <wp:extent cx="2631440" cy="1957727"/>
            <wp:effectExtent l="0" t="0" r="0"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b="1081"/>
                    <a:stretch/>
                  </pic:blipFill>
                  <pic:spPr bwMode="auto">
                    <a:xfrm>
                      <a:off x="0" y="0"/>
                      <a:ext cx="2663458" cy="1981547"/>
                    </a:xfrm>
                    <a:prstGeom prst="rect">
                      <a:avLst/>
                    </a:prstGeom>
                    <a:ln>
                      <a:noFill/>
                    </a:ln>
                    <a:extLst>
                      <a:ext uri="{53640926-AAD7-44D8-BBD7-CCE9431645EC}">
                        <a14:shadowObscured xmlns:a14="http://schemas.microsoft.com/office/drawing/2010/main"/>
                      </a:ext>
                    </a:extLst>
                  </pic:spPr>
                </pic:pic>
              </a:graphicData>
            </a:graphic>
          </wp:inline>
        </w:drawing>
      </w:r>
    </w:p>
    <w:p w14:paraId="41D4D5AB" w14:textId="0023C097" w:rsidR="00F271A0" w:rsidRDefault="00F271A0" w:rsidP="00A439E7">
      <w:pPr>
        <w:pStyle w:val="Figurecaption"/>
        <w:spacing w:after="120"/>
      </w:pPr>
      <w:r>
        <w:t>FIG. 5. Reactivity convergence study (on the left) and its related standard deviation (on the right).</w:t>
      </w:r>
    </w:p>
    <w:p w14:paraId="00A17478" w14:textId="77777777" w:rsidR="00F271A0" w:rsidRDefault="00F271A0" w:rsidP="00F271A0">
      <w:pPr>
        <w:ind w:firstLine="567"/>
        <w:jc w:val="center"/>
        <w:rPr>
          <w:sz w:val="20"/>
          <w:lang w:val="en-US"/>
        </w:rPr>
      </w:pPr>
      <w:r>
        <w:rPr>
          <w:noProof/>
          <w:lang w:val="fr-FR" w:eastAsia="fr-FR"/>
        </w:rPr>
        <w:drawing>
          <wp:inline distT="0" distB="0" distL="0" distR="0" wp14:anchorId="41F5F26E" wp14:editId="13CB6859">
            <wp:extent cx="5040835" cy="2275840"/>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 b="2476"/>
                    <a:stretch/>
                  </pic:blipFill>
                  <pic:spPr bwMode="auto">
                    <a:xfrm>
                      <a:off x="0" y="0"/>
                      <a:ext cx="5122495" cy="2312708"/>
                    </a:xfrm>
                    <a:prstGeom prst="rect">
                      <a:avLst/>
                    </a:prstGeom>
                    <a:ln>
                      <a:noFill/>
                    </a:ln>
                    <a:extLst>
                      <a:ext uri="{53640926-AAD7-44D8-BBD7-CCE9431645EC}">
                        <a14:shadowObscured xmlns:a14="http://schemas.microsoft.com/office/drawing/2010/main"/>
                      </a:ext>
                    </a:extLst>
                  </pic:spPr>
                </pic:pic>
              </a:graphicData>
            </a:graphic>
          </wp:inline>
        </w:drawing>
      </w:r>
    </w:p>
    <w:p w14:paraId="7DB7A607" w14:textId="1D368120" w:rsidR="00F271A0" w:rsidRPr="00F4265F" w:rsidRDefault="00F271A0" w:rsidP="00F4265F">
      <w:pPr>
        <w:pStyle w:val="Figurecaption"/>
      </w:pPr>
      <w:r>
        <w:t>FIG.6. Power deviation of the step 2 of the test with respect to reference state.</w:t>
      </w:r>
    </w:p>
    <w:p w14:paraId="6C5F7EF9" w14:textId="166E2AD2" w:rsidR="00083ACA" w:rsidRPr="00542E57" w:rsidRDefault="00096939" w:rsidP="00083ACA">
      <w:pPr>
        <w:pStyle w:val="Titre3"/>
      </w:pPr>
      <w:r>
        <w:t xml:space="preserve">5.2 </w:t>
      </w:r>
      <w:r w:rsidR="00083ACA">
        <w:t>Thermal-hydraulic results</w:t>
      </w:r>
    </w:p>
    <w:p w14:paraId="1EFB0BB9" w14:textId="6B0156F4" w:rsidR="00B214F9" w:rsidRPr="00A70C9B" w:rsidRDefault="00891392" w:rsidP="00F4265F">
      <w:pPr>
        <w:pStyle w:val="Corpsdetexte"/>
        <w:rPr>
          <w:lang w:val="en-US"/>
        </w:rPr>
      </w:pPr>
      <w:r>
        <w:rPr>
          <w:lang w:val="en-US"/>
        </w:rPr>
        <w:t>The Fig.</w:t>
      </w:r>
      <w:r w:rsidR="00195B1E">
        <w:rPr>
          <w:lang w:val="en-US"/>
        </w:rPr>
        <w:t xml:space="preserve"> 7 shows </w:t>
      </w:r>
      <w:r w:rsidR="00F93879" w:rsidRPr="00A70C9B">
        <w:rPr>
          <w:lang w:val="en-US"/>
        </w:rPr>
        <w:t xml:space="preserve">the </w:t>
      </w:r>
      <w:r w:rsidR="00195B1E">
        <w:rPr>
          <w:lang w:val="en-US"/>
        </w:rPr>
        <w:t xml:space="preserve">nominal </w:t>
      </w:r>
      <w:r w:rsidR="00F93879" w:rsidRPr="00A70C9B">
        <w:rPr>
          <w:lang w:val="en-US"/>
        </w:rPr>
        <w:t xml:space="preserve">temperature axial </w:t>
      </w:r>
      <w:r w:rsidR="00195B1E">
        <w:rPr>
          <w:lang w:val="en-US"/>
        </w:rPr>
        <w:t xml:space="preserve">profiles for two subassemblies (20/21 and 19/26), </w:t>
      </w:r>
      <w:r w:rsidR="00195B1E" w:rsidRPr="00A70C9B">
        <w:rPr>
          <w:lang w:val="en-US"/>
        </w:rPr>
        <w:t>belonging respectively to core 1 and core 2</w:t>
      </w:r>
      <w:r w:rsidR="00195B1E">
        <w:rPr>
          <w:lang w:val="en-US"/>
        </w:rPr>
        <w:t xml:space="preserve">. </w:t>
      </w:r>
      <w:r w:rsidR="007A21A5">
        <w:rPr>
          <w:lang w:val="en-US"/>
        </w:rPr>
        <w:t xml:space="preserve">The total power of the reference state is equal to 334 </w:t>
      </w:r>
      <w:proofErr w:type="gramStart"/>
      <w:r w:rsidR="007A21A5">
        <w:rPr>
          <w:lang w:val="en-US"/>
        </w:rPr>
        <w:t>MW</w:t>
      </w:r>
      <w:r w:rsidR="004234B9">
        <w:rPr>
          <w:lang w:val="en-US"/>
        </w:rPr>
        <w:t>(</w:t>
      </w:r>
      <w:proofErr w:type="spellStart"/>
      <w:proofErr w:type="gramEnd"/>
      <w:r w:rsidR="007A21A5">
        <w:rPr>
          <w:lang w:val="en-US"/>
        </w:rPr>
        <w:t>th</w:t>
      </w:r>
      <w:proofErr w:type="spellEnd"/>
      <w:r w:rsidR="004234B9">
        <w:rPr>
          <w:lang w:val="en-US"/>
        </w:rPr>
        <w:t>)</w:t>
      </w:r>
      <w:r w:rsidR="007A21A5">
        <w:rPr>
          <w:lang w:val="en-US"/>
        </w:rPr>
        <w:t xml:space="preserve"> and the individual power of the two subassemblies are respectively </w:t>
      </w:r>
      <w:r w:rsidR="00F93879" w:rsidRPr="00A70C9B">
        <w:rPr>
          <w:lang w:val="en-US"/>
        </w:rPr>
        <w:t xml:space="preserve">3.64 </w:t>
      </w:r>
      <w:r w:rsidR="00F93879" w:rsidRPr="00083ACA">
        <w:rPr>
          <w:iCs/>
          <w:lang w:val="en-US"/>
        </w:rPr>
        <w:t>MW</w:t>
      </w:r>
      <w:r w:rsidR="00F93879" w:rsidRPr="00A70C9B">
        <w:rPr>
          <w:lang w:val="en-US"/>
        </w:rPr>
        <w:t xml:space="preserve"> and 1.95 </w:t>
      </w:r>
      <w:r w:rsidR="00F93879" w:rsidRPr="00083ACA">
        <w:rPr>
          <w:iCs/>
          <w:lang w:val="en-US"/>
        </w:rPr>
        <w:t>MW</w:t>
      </w:r>
      <w:r w:rsidR="00F93879" w:rsidRPr="00A70C9B">
        <w:rPr>
          <w:lang w:val="en-US"/>
        </w:rPr>
        <w:t>.</w:t>
      </w:r>
      <w:r w:rsidR="00F93879">
        <w:rPr>
          <w:lang w:val="en-US"/>
        </w:rPr>
        <w:t xml:space="preserve"> </w:t>
      </w:r>
      <w:r w:rsidR="00F93879" w:rsidRPr="00EE7ACE">
        <w:rPr>
          <w:lang w:val="en-US"/>
        </w:rPr>
        <w:t>The</w:t>
      </w:r>
      <w:r w:rsidR="0096260B">
        <w:rPr>
          <w:lang w:val="en-US"/>
        </w:rPr>
        <w:t xml:space="preserve"> temperature is displayed </w:t>
      </w:r>
      <w:r w:rsidR="00F93879" w:rsidRPr="00EE7ACE">
        <w:rPr>
          <w:lang w:val="en-US"/>
        </w:rPr>
        <w:t xml:space="preserve">for each </w:t>
      </w:r>
      <w:r w:rsidR="007A21A5">
        <w:rPr>
          <w:lang w:val="en-US"/>
        </w:rPr>
        <w:t xml:space="preserve">internal </w:t>
      </w:r>
      <w:r w:rsidR="009049A3">
        <w:rPr>
          <w:lang w:val="en-US"/>
        </w:rPr>
        <w:t xml:space="preserve">component of the </w:t>
      </w:r>
      <w:r w:rsidR="00075BBD">
        <w:rPr>
          <w:lang w:val="en-US"/>
        </w:rPr>
        <w:t>fuel pin</w:t>
      </w:r>
      <w:r w:rsidR="00075BBD" w:rsidRPr="00EE7ACE">
        <w:rPr>
          <w:lang w:val="en-US"/>
        </w:rPr>
        <w:t xml:space="preserve"> </w:t>
      </w:r>
      <w:r w:rsidR="007A21A5">
        <w:rPr>
          <w:lang w:val="en-US"/>
        </w:rPr>
        <w:t>(</w:t>
      </w:r>
      <w:r w:rsidR="00F93879" w:rsidRPr="00542E57">
        <w:rPr>
          <w:lang w:val="en-US"/>
        </w:rPr>
        <w:t>sodium, cladding, gap and fuel</w:t>
      </w:r>
      <w:r w:rsidR="007A21A5">
        <w:rPr>
          <w:lang w:val="en-US"/>
        </w:rPr>
        <w:t>)</w:t>
      </w:r>
      <w:r w:rsidR="00F93879" w:rsidRPr="00542E57">
        <w:rPr>
          <w:lang w:val="en-US"/>
        </w:rPr>
        <w:t>.</w:t>
      </w:r>
    </w:p>
    <w:p w14:paraId="228D4F13" w14:textId="7B048962" w:rsidR="00554765" w:rsidRDefault="00F93879" w:rsidP="00A70C9B">
      <w:pPr>
        <w:pStyle w:val="Corpsdetexte"/>
        <w:rPr>
          <w:lang w:val="en-US"/>
        </w:rPr>
      </w:pPr>
      <w:r w:rsidRPr="00B80D2C">
        <w:rPr>
          <w:lang w:val="en-US"/>
        </w:rPr>
        <w:t xml:space="preserve">The fuel temperature axial shape is in accordance with the neutron flux axial shape in the core. The maximum fuel temperature in the center of the core 1 zone reaches about 2017 </w:t>
      </w:r>
      <w:r w:rsidRPr="00B80D2C">
        <w:rPr>
          <w:iCs/>
          <w:lang w:val="en-US"/>
        </w:rPr>
        <w:t>K</w:t>
      </w:r>
      <w:r w:rsidRPr="00B80D2C">
        <w:rPr>
          <w:lang w:val="en-US"/>
        </w:rPr>
        <w:t xml:space="preserve">, while the temperature of 1800 </w:t>
      </w:r>
      <w:r w:rsidRPr="00B80D2C">
        <w:rPr>
          <w:iCs/>
          <w:lang w:val="en-US"/>
        </w:rPr>
        <w:t>K</w:t>
      </w:r>
      <w:r w:rsidRPr="00B80D2C">
        <w:rPr>
          <w:lang w:val="en-US"/>
        </w:rPr>
        <w:t xml:space="preserve"> is reac</w:t>
      </w:r>
      <w:r w:rsidR="00554765">
        <w:rPr>
          <w:lang w:val="en-US"/>
        </w:rPr>
        <w:t xml:space="preserve">hed in the </w:t>
      </w:r>
      <w:r w:rsidR="00554765" w:rsidRPr="009D2BE0">
        <w:rPr>
          <w:lang w:val="en-US"/>
        </w:rPr>
        <w:t>core 2</w:t>
      </w:r>
      <w:r w:rsidR="00FC2BED">
        <w:rPr>
          <w:lang w:val="en-US"/>
        </w:rPr>
        <w:t>, the order of magnitude are in accordance with</w:t>
      </w:r>
      <w:r w:rsidR="00F765BD">
        <w:rPr>
          <w:lang w:val="en-US"/>
        </w:rPr>
        <w:t xml:space="preserve"> [18]</w:t>
      </w:r>
      <w:r w:rsidR="00FC2BED">
        <w:rPr>
          <w:lang w:val="en-US"/>
        </w:rPr>
        <w:t xml:space="preserve"> and [19]</w:t>
      </w:r>
      <w:r w:rsidR="009D2BE0" w:rsidRPr="009D2BE0">
        <w:rPr>
          <w:lang w:val="en-US"/>
        </w:rPr>
        <w:t>.</w:t>
      </w:r>
      <w:r w:rsidR="009D2BE0">
        <w:rPr>
          <w:lang w:val="en-US"/>
        </w:rPr>
        <w:t xml:space="preserve"> </w:t>
      </w:r>
      <w:r w:rsidR="009D2BE0" w:rsidRPr="009D2BE0">
        <w:rPr>
          <w:lang w:val="en-US"/>
        </w:rPr>
        <w:t>The</w:t>
      </w:r>
      <w:r w:rsidR="006D7C43" w:rsidRPr="009D2BE0">
        <w:rPr>
          <w:lang w:val="en-US"/>
        </w:rPr>
        <w:t xml:space="preserve"> temperature difference between sodium outlet and inlet channel in reference state </w:t>
      </w:r>
      <w:r w:rsidR="00AB6DAD" w:rsidRPr="009D2BE0">
        <w:rPr>
          <w:lang w:val="en-US"/>
        </w:rPr>
        <w:t>is of the same order of the experimental one</w:t>
      </w:r>
      <w:r w:rsidR="009D2BE0" w:rsidRPr="009D2BE0">
        <w:rPr>
          <w:lang w:val="en-US"/>
        </w:rPr>
        <w:t xml:space="preserve"> [2]</w:t>
      </w:r>
      <w:r w:rsidR="00AB6DAD" w:rsidRPr="009D2BE0">
        <w:rPr>
          <w:lang w:val="en-US"/>
        </w:rPr>
        <w:t>.</w:t>
      </w:r>
    </w:p>
    <w:p w14:paraId="3B81EC41" w14:textId="5E26451C" w:rsidR="00F93879" w:rsidRDefault="00083ACA" w:rsidP="00A70C9B">
      <w:pPr>
        <w:pStyle w:val="Corpsdetexte"/>
        <w:rPr>
          <w:lang w:val="en-US"/>
        </w:rPr>
      </w:pPr>
      <w:r w:rsidRPr="00B80D2C">
        <w:rPr>
          <w:lang w:val="en-US"/>
        </w:rPr>
        <w:t>The blue line in the results represents</w:t>
      </w:r>
      <w:r w:rsidR="00F93879" w:rsidRPr="00B80D2C">
        <w:rPr>
          <w:lang w:val="en-US"/>
        </w:rPr>
        <w:t xml:space="preserve"> the effective t</w:t>
      </w:r>
      <w:r w:rsidRPr="00B80D2C">
        <w:rPr>
          <w:lang w:val="en-US"/>
        </w:rPr>
        <w:t>emperature (Rowland formulation</w:t>
      </w:r>
      <w:r w:rsidR="00A36871" w:rsidRPr="00B80D2C">
        <w:rPr>
          <w:lang w:val="en-US"/>
        </w:rPr>
        <w:t>)</w:t>
      </w:r>
      <w:r w:rsidRPr="00B80D2C">
        <w:rPr>
          <w:lang w:val="en-US"/>
        </w:rPr>
        <w:t xml:space="preserve">, </w:t>
      </w:r>
      <w:r w:rsidR="0069621C">
        <w:rPr>
          <w:lang w:val="en-US"/>
        </w:rPr>
        <w:t>which</w:t>
      </w:r>
      <w:r w:rsidR="0069621C" w:rsidRPr="00B80D2C">
        <w:rPr>
          <w:lang w:val="en-US"/>
        </w:rPr>
        <w:t xml:space="preserve"> </w:t>
      </w:r>
      <w:r w:rsidR="00F93879" w:rsidRPr="00B80D2C">
        <w:rPr>
          <w:lang w:val="en-US"/>
        </w:rPr>
        <w:t>is the temperature chosen to be used for the coupling process</w:t>
      </w:r>
      <w:r w:rsidR="00A5643F" w:rsidRPr="00B80D2C">
        <w:rPr>
          <w:lang w:val="en-US"/>
        </w:rPr>
        <w:t xml:space="preserve"> </w:t>
      </w:r>
      <w:r w:rsidR="0069621C">
        <w:rPr>
          <w:lang w:val="en-US"/>
        </w:rPr>
        <w:t xml:space="preserve">and Doppler feedback evaluations </w:t>
      </w:r>
      <w:r w:rsidR="00A5643F" w:rsidRPr="00AC18A1">
        <w:rPr>
          <w:lang w:val="en-US"/>
        </w:rPr>
        <w:t>[</w:t>
      </w:r>
      <w:r w:rsidR="00A439E7">
        <w:rPr>
          <w:lang w:val="en-US"/>
        </w:rPr>
        <w:t>20</w:t>
      </w:r>
      <w:r w:rsidR="00A5643F" w:rsidRPr="00AC18A1">
        <w:rPr>
          <w:lang w:val="en-US"/>
        </w:rPr>
        <w:t>]</w:t>
      </w:r>
      <w:r w:rsidR="00F93879" w:rsidRPr="00AC18A1">
        <w:rPr>
          <w:lang w:val="en-US"/>
        </w:rPr>
        <w:t>.</w:t>
      </w:r>
      <w:r w:rsidR="0069621C">
        <w:rPr>
          <w:lang w:val="en-US"/>
        </w:rPr>
        <w:t xml:space="preserve"> </w:t>
      </w:r>
    </w:p>
    <w:p w14:paraId="663E605D" w14:textId="2DD41B59" w:rsidR="005138E1" w:rsidRDefault="005D7FEF" w:rsidP="005138E1">
      <w:pPr>
        <w:ind w:firstLine="567"/>
        <w:jc w:val="center"/>
        <w:rPr>
          <w:sz w:val="20"/>
          <w:lang w:val="en-US"/>
        </w:rPr>
      </w:pPr>
      <w:r>
        <w:rPr>
          <w:noProof/>
          <w:lang w:val="fr-FR" w:eastAsia="fr-FR"/>
        </w:rPr>
        <w:drawing>
          <wp:anchor distT="0" distB="0" distL="114300" distR="114300" simplePos="0" relativeHeight="251660288" behindDoc="0" locked="0" layoutInCell="1" allowOverlap="1" wp14:anchorId="3B780150" wp14:editId="7EC1452C">
            <wp:simplePos x="0" y="0"/>
            <wp:positionH relativeFrom="column">
              <wp:posOffset>4519295</wp:posOffset>
            </wp:positionH>
            <wp:positionV relativeFrom="paragraph">
              <wp:posOffset>488315</wp:posOffset>
            </wp:positionV>
            <wp:extent cx="930275" cy="746125"/>
            <wp:effectExtent l="0" t="0" r="317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0275" cy="746125"/>
                    </a:xfrm>
                    <a:prstGeom prst="rect">
                      <a:avLst/>
                    </a:prstGeom>
                  </pic:spPr>
                </pic:pic>
              </a:graphicData>
            </a:graphic>
            <wp14:sizeRelH relativeFrom="page">
              <wp14:pctWidth>0</wp14:pctWidth>
            </wp14:sizeRelH>
            <wp14:sizeRelV relativeFrom="page">
              <wp14:pctHeight>0</wp14:pctHeight>
            </wp14:sizeRelV>
          </wp:anchor>
        </w:drawing>
      </w:r>
      <w:r w:rsidRPr="00A70C9B">
        <w:rPr>
          <w:noProof/>
          <w:sz w:val="20"/>
          <w:lang w:val="fr-FR" w:eastAsia="fr-FR"/>
        </w:rPr>
        <w:drawing>
          <wp:anchor distT="0" distB="0" distL="114300" distR="114300" simplePos="0" relativeHeight="251659264" behindDoc="0" locked="0" layoutInCell="1" allowOverlap="1" wp14:anchorId="0597DB6C" wp14:editId="0C75855B">
            <wp:simplePos x="0" y="0"/>
            <wp:positionH relativeFrom="column">
              <wp:posOffset>2547620</wp:posOffset>
            </wp:positionH>
            <wp:positionV relativeFrom="paragraph">
              <wp:posOffset>6985</wp:posOffset>
            </wp:positionV>
            <wp:extent cx="1983740" cy="1832610"/>
            <wp:effectExtent l="0" t="0" r="0" b="0"/>
            <wp:wrapSquare wrapText="bothSides"/>
            <wp:docPr id="19" name="Immagine 33" descr="D:\CEA\Report\Last\Tdistr_sa_1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CEA\Report\Last\Tdistr_sa_1926.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027" r="24478"/>
                    <a:stretch/>
                  </pic:blipFill>
                  <pic:spPr bwMode="auto">
                    <a:xfrm>
                      <a:off x="0" y="0"/>
                      <a:ext cx="1983740" cy="1832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38E1" w:rsidRPr="00A70C9B">
        <w:rPr>
          <w:noProof/>
          <w:sz w:val="20"/>
          <w:lang w:val="fr-FR" w:eastAsia="fr-FR"/>
        </w:rPr>
        <w:drawing>
          <wp:inline distT="0" distB="0" distL="0" distR="0" wp14:anchorId="641313D3" wp14:editId="5D76617F">
            <wp:extent cx="1964394" cy="1869786"/>
            <wp:effectExtent l="0" t="0" r="0" b="0"/>
            <wp:docPr id="18" name="Immagine 34" descr="D:\CEA\Report\Last\Tdistr_sa_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CEA\Report\Last\Tdistr_sa_2021.png"/>
                    <pic:cNvPicPr>
                      <a:picLocks noChangeAspect="1" noChangeArrowheads="1"/>
                    </pic:cNvPicPr>
                  </pic:nvPicPr>
                  <pic:blipFill rotWithShape="1">
                    <a:blip r:embed="rId21"/>
                    <a:srcRect t="5925" r="28703"/>
                    <a:stretch/>
                  </pic:blipFill>
                  <pic:spPr bwMode="auto">
                    <a:xfrm>
                      <a:off x="0" y="0"/>
                      <a:ext cx="2014343" cy="1917330"/>
                    </a:xfrm>
                    <a:prstGeom prst="rect">
                      <a:avLst/>
                    </a:prstGeom>
                    <a:noFill/>
                    <a:ln>
                      <a:noFill/>
                    </a:ln>
                    <a:extLst>
                      <a:ext uri="{53640926-AAD7-44D8-BBD7-CCE9431645EC}">
                        <a14:shadowObscured xmlns:a14="http://schemas.microsoft.com/office/drawing/2010/main"/>
                      </a:ext>
                    </a:extLst>
                  </pic:spPr>
                </pic:pic>
              </a:graphicData>
            </a:graphic>
          </wp:inline>
        </w:drawing>
      </w:r>
    </w:p>
    <w:p w14:paraId="7957ECF0" w14:textId="10819769" w:rsidR="005138E1" w:rsidRPr="001D3E15" w:rsidRDefault="005138E1" w:rsidP="001D3E15">
      <w:pPr>
        <w:pStyle w:val="Figurecaption"/>
      </w:pPr>
      <w:r>
        <w:t>FIG.7. Axial temperature distribut</w:t>
      </w:r>
      <w:r w:rsidR="0006545F">
        <w:t>ion in S/A 20/21, core 1 (on the left)</w:t>
      </w:r>
      <w:r>
        <w:t xml:space="preserve"> and </w:t>
      </w:r>
      <w:r w:rsidR="00F4265F">
        <w:t xml:space="preserve">S/A </w:t>
      </w:r>
      <w:r>
        <w:t>19</w:t>
      </w:r>
      <w:r w:rsidR="0006545F">
        <w:t>/26, core 2 (on the right)</w:t>
      </w:r>
      <w:r>
        <w:t>.</w:t>
      </w:r>
    </w:p>
    <w:p w14:paraId="5B2FAF51" w14:textId="11301E67" w:rsidR="00083ACA" w:rsidRPr="00083ACA" w:rsidRDefault="00096939" w:rsidP="00083ACA">
      <w:pPr>
        <w:pStyle w:val="Titre3"/>
      </w:pPr>
      <w:r>
        <w:lastRenderedPageBreak/>
        <w:t xml:space="preserve">5.3 </w:t>
      </w:r>
      <w:r w:rsidR="00083ACA">
        <w:t>Coupled results</w:t>
      </w:r>
    </w:p>
    <w:p w14:paraId="72B4B64A" w14:textId="1A02CA14" w:rsidR="00F93879" w:rsidRPr="00A70C9B" w:rsidRDefault="00F93879" w:rsidP="00A70C9B">
      <w:pPr>
        <w:pStyle w:val="Corpsdetexte"/>
      </w:pPr>
      <w:r w:rsidRPr="00EE7ACE">
        <w:rPr>
          <w:lang w:val="en-US"/>
        </w:rPr>
        <w:t>The coupled simulation is launched for several numbers</w:t>
      </w:r>
      <w:r w:rsidRPr="00542E57">
        <w:rPr>
          <w:lang w:val="en-US"/>
        </w:rPr>
        <w:t xml:space="preserve"> of iterations to see the effect on some parameters such as the neutron multiplication factor and the power distribution in the S/A 20/23 (near t</w:t>
      </w:r>
      <w:r w:rsidR="0096260B" w:rsidRPr="00542E57">
        <w:rPr>
          <w:lang w:val="en-US"/>
        </w:rPr>
        <w:t>he cont</w:t>
      </w:r>
      <w:r w:rsidR="0096260B" w:rsidRPr="00A70C9B">
        <w:rPr>
          <w:lang w:val="en-US"/>
        </w:rPr>
        <w:t xml:space="preserve">rol rod n. 4), see </w:t>
      </w:r>
      <w:r w:rsidR="00891392">
        <w:rPr>
          <w:lang w:val="en-US"/>
        </w:rPr>
        <w:t>Fig.</w:t>
      </w:r>
      <w:r w:rsidR="0096260B" w:rsidRPr="00A70C9B">
        <w:rPr>
          <w:lang w:val="en-US"/>
        </w:rPr>
        <w:t xml:space="preserve"> 8</w:t>
      </w:r>
      <w:r w:rsidR="0096260B">
        <w:rPr>
          <w:lang w:val="en-US"/>
        </w:rPr>
        <w:t>.</w:t>
      </w:r>
      <w:r w:rsidRPr="00542E57">
        <w:rPr>
          <w:lang w:val="en-US"/>
        </w:rPr>
        <w:t xml:space="preserve"> During th</w:t>
      </w:r>
      <w:r w:rsidR="00D924BF">
        <w:rPr>
          <w:lang w:val="en-US"/>
        </w:rPr>
        <w:t>i</w:t>
      </w:r>
      <w:r w:rsidRPr="00542E57">
        <w:rPr>
          <w:lang w:val="en-US"/>
        </w:rPr>
        <w:t>s coupl</w:t>
      </w:r>
      <w:r w:rsidR="00D924BF">
        <w:rPr>
          <w:lang w:val="en-US"/>
        </w:rPr>
        <w:t>ing,</w:t>
      </w:r>
      <w:r w:rsidRPr="00542E57">
        <w:rPr>
          <w:lang w:val="en-US"/>
        </w:rPr>
        <w:t xml:space="preserve"> the reactor </w:t>
      </w:r>
      <w:r w:rsidR="00D924BF">
        <w:rPr>
          <w:lang w:val="en-US"/>
        </w:rPr>
        <w:t>is considered to be</w:t>
      </w:r>
      <w:r w:rsidRPr="00542E57">
        <w:rPr>
          <w:lang w:val="en-US"/>
        </w:rPr>
        <w:t xml:space="preserve"> at the reference state with a total power of 334 </w:t>
      </w:r>
      <w:proofErr w:type="gramStart"/>
      <w:r w:rsidRPr="00542E57">
        <w:rPr>
          <w:lang w:val="en-US"/>
        </w:rPr>
        <w:t>MW</w:t>
      </w:r>
      <w:r w:rsidR="006D7C43">
        <w:rPr>
          <w:lang w:val="en-US"/>
        </w:rPr>
        <w:t>(</w:t>
      </w:r>
      <w:proofErr w:type="spellStart"/>
      <w:proofErr w:type="gramEnd"/>
      <w:r w:rsidR="00B061C1">
        <w:rPr>
          <w:lang w:val="en-US"/>
        </w:rPr>
        <w:t>th</w:t>
      </w:r>
      <w:proofErr w:type="spellEnd"/>
      <w:r w:rsidR="006D7C43">
        <w:rPr>
          <w:lang w:val="en-US"/>
        </w:rPr>
        <w:t>)</w:t>
      </w:r>
      <w:r w:rsidRPr="00542E57">
        <w:rPr>
          <w:lang w:val="en-US"/>
        </w:rPr>
        <w:t xml:space="preserve">. The Serpent 2 parameters were set to 5000 neutrons </w:t>
      </w:r>
      <w:r w:rsidR="00B061C1">
        <w:rPr>
          <w:lang w:val="en-US"/>
        </w:rPr>
        <w:t xml:space="preserve">by cycle </w:t>
      </w:r>
      <w:r w:rsidRPr="00542E57">
        <w:rPr>
          <w:lang w:val="en-US"/>
        </w:rPr>
        <w:t>and 10 000 active cycles.</w:t>
      </w:r>
      <w:r w:rsidR="00B061C1">
        <w:rPr>
          <w:lang w:val="en-US"/>
        </w:rPr>
        <w:t xml:space="preserve"> It is less than the parameters used for pure neutron calculations in order to limit the </w:t>
      </w:r>
      <w:r w:rsidR="00B061C1" w:rsidRPr="00B14058">
        <w:rPr>
          <w:lang w:val="en-US"/>
        </w:rPr>
        <w:t>calculation time</w:t>
      </w:r>
      <w:r w:rsidR="00CE42C7" w:rsidRPr="00B14058">
        <w:rPr>
          <w:lang w:val="en-US"/>
        </w:rPr>
        <w:t xml:space="preserve"> (5 days for 16 coupled iteration on a personal scientific computer)</w:t>
      </w:r>
      <w:r w:rsidR="00B061C1" w:rsidRPr="00B14058">
        <w:rPr>
          <w:lang w:val="en-US"/>
        </w:rPr>
        <w:t>. Convergen</w:t>
      </w:r>
      <w:r w:rsidR="00B061C1">
        <w:rPr>
          <w:lang w:val="en-US"/>
        </w:rPr>
        <w:t xml:space="preserve">ce process will be </w:t>
      </w:r>
      <w:r w:rsidR="00891392">
        <w:rPr>
          <w:lang w:val="en-US"/>
        </w:rPr>
        <w:t>affected as we can see in Fig.</w:t>
      </w:r>
      <w:r w:rsidR="00B061C1">
        <w:rPr>
          <w:lang w:val="en-US"/>
        </w:rPr>
        <w:t xml:space="preserve"> 8. However note that the external convergence proces</w:t>
      </w:r>
      <w:r w:rsidR="00D75317">
        <w:rPr>
          <w:lang w:val="en-US"/>
        </w:rPr>
        <w:t xml:space="preserve">s between </w:t>
      </w:r>
      <w:proofErr w:type="spellStart"/>
      <w:r w:rsidR="00D75317">
        <w:rPr>
          <w:lang w:val="en-US"/>
        </w:rPr>
        <w:t>neutronic</w:t>
      </w:r>
      <w:proofErr w:type="spellEnd"/>
      <w:r w:rsidR="00D75317">
        <w:rPr>
          <w:lang w:val="en-US"/>
        </w:rPr>
        <w:t xml:space="preserve"> and thermal-</w:t>
      </w:r>
      <w:r w:rsidR="00B061C1">
        <w:rPr>
          <w:lang w:val="en-US"/>
        </w:rPr>
        <w:t>hydraulic calculations partly compensates the decrease in Serpent 2 convergence parameters. Both multiplication factor and power results converge globally but</w:t>
      </w:r>
      <w:r w:rsidR="00CE42C7">
        <w:rPr>
          <w:lang w:val="en-US"/>
        </w:rPr>
        <w:t xml:space="preserve"> it is observable</w:t>
      </w:r>
      <w:r w:rsidR="00B061C1">
        <w:rPr>
          <w:lang w:val="en-US"/>
        </w:rPr>
        <w:t xml:space="preserve"> an oscillatory behavior </w:t>
      </w:r>
      <w:r w:rsidR="00A0088A">
        <w:rPr>
          <w:lang w:val="en-US"/>
        </w:rPr>
        <w:t>larger</w:t>
      </w:r>
      <w:r w:rsidR="00CE42C7">
        <w:rPr>
          <w:lang w:val="en-US"/>
        </w:rPr>
        <w:t xml:space="preserve"> than standard deviation.</w:t>
      </w:r>
    </w:p>
    <w:p w14:paraId="4CDC7B3E" w14:textId="6B79F44D" w:rsidR="00F93879" w:rsidRPr="00A70C9B" w:rsidRDefault="00F93879" w:rsidP="00827055">
      <w:pPr>
        <w:pStyle w:val="Corpsdetexte"/>
        <w:rPr>
          <w:lang w:val="en-US"/>
        </w:rPr>
      </w:pPr>
      <w:r w:rsidRPr="00EE7ACE">
        <w:rPr>
          <w:lang w:val="en-US"/>
        </w:rPr>
        <w:t xml:space="preserve">From these </w:t>
      </w:r>
      <w:r w:rsidR="00D924BF">
        <w:rPr>
          <w:lang w:val="en-US"/>
        </w:rPr>
        <w:t>results</w:t>
      </w:r>
      <w:r w:rsidRPr="00EE7ACE">
        <w:rPr>
          <w:lang w:val="en-US"/>
        </w:rPr>
        <w:t xml:space="preserve"> it can be noticed that the two parameters, after the first iteration, set up on a small range of values. Oscillations are presents, they reside in the range of 26</w:t>
      </w:r>
      <w:r w:rsidRPr="00B80D2C">
        <w:rPr>
          <w:lang w:val="en-US"/>
        </w:rPr>
        <w:t xml:space="preserve"> </w:t>
      </w:r>
      <w:proofErr w:type="spellStart"/>
      <w:r w:rsidRPr="00B80D2C">
        <w:rPr>
          <w:iCs/>
          <w:lang w:val="en-US"/>
        </w:rPr>
        <w:t>pcm</w:t>
      </w:r>
      <w:proofErr w:type="spellEnd"/>
      <w:r w:rsidRPr="00542E57">
        <w:rPr>
          <w:lang w:val="en-US"/>
        </w:rPr>
        <w:t xml:space="preserve"> for the reactivity parameter, while the power </w:t>
      </w:r>
      <w:r w:rsidRPr="00A70C9B">
        <w:rPr>
          <w:lang w:val="en-US"/>
        </w:rPr>
        <w:t>fluctuations are of the order of 0.29%</w:t>
      </w:r>
      <w:r w:rsidR="00D269D8">
        <w:rPr>
          <w:lang w:val="en-US"/>
        </w:rPr>
        <w:t xml:space="preserve"> of assembly power</w:t>
      </w:r>
      <w:r w:rsidRPr="00A70C9B">
        <w:rPr>
          <w:lang w:val="en-US"/>
        </w:rPr>
        <w:t xml:space="preserve">. Further investigation could be done in order to understand if this oscillation phenomenon is bounded </w:t>
      </w:r>
      <w:r w:rsidR="000E3CF8">
        <w:rPr>
          <w:lang w:val="en-US"/>
        </w:rPr>
        <w:t>to neutron clustering effects which can a</w:t>
      </w:r>
      <w:r w:rsidR="00734B16">
        <w:rPr>
          <w:lang w:val="en-US"/>
        </w:rPr>
        <w:t xml:space="preserve">ffect flux estimations by Monte </w:t>
      </w:r>
      <w:r w:rsidR="000E3CF8">
        <w:rPr>
          <w:lang w:val="en-US"/>
        </w:rPr>
        <w:t xml:space="preserve">Carlo methods (the effect is somehow related to the </w:t>
      </w:r>
      <w:r w:rsidRPr="00A70C9B">
        <w:rPr>
          <w:lang w:val="en-US"/>
        </w:rPr>
        <w:t>higher order harmonic</w:t>
      </w:r>
      <w:r w:rsidR="00F62BC5">
        <w:rPr>
          <w:lang w:val="en-US"/>
        </w:rPr>
        <w:t>s</w:t>
      </w:r>
      <w:r w:rsidRPr="00A70C9B">
        <w:rPr>
          <w:lang w:val="en-US"/>
        </w:rPr>
        <w:t xml:space="preserve"> of the flux</w:t>
      </w:r>
      <w:r w:rsidR="000E3CF8">
        <w:rPr>
          <w:lang w:val="en-US"/>
        </w:rPr>
        <w:t>)</w:t>
      </w:r>
      <w:r w:rsidR="00A36871">
        <w:rPr>
          <w:lang w:val="en-US"/>
        </w:rPr>
        <w:t xml:space="preserve"> </w:t>
      </w:r>
      <w:r w:rsidR="0034253B">
        <w:rPr>
          <w:lang w:val="en-US"/>
        </w:rPr>
        <w:t>[21</w:t>
      </w:r>
      <w:r w:rsidR="00112A2C" w:rsidRPr="00AC18A1">
        <w:rPr>
          <w:lang w:val="en-US"/>
        </w:rPr>
        <w:t>]</w:t>
      </w:r>
      <w:r w:rsidRPr="00AC18A1">
        <w:rPr>
          <w:lang w:val="en-US"/>
        </w:rPr>
        <w:t>.</w:t>
      </w:r>
      <w:r w:rsidR="003B66A2">
        <w:rPr>
          <w:lang w:val="en-US"/>
        </w:rPr>
        <w:t xml:space="preserve"> No uncertainty propagation has been done in order to assess the impact of power fluctuations due to statistical model on power deviation results and coupling results. The 0.29 % statistical uncertainties on power will</w:t>
      </w:r>
      <w:r w:rsidR="0056484B">
        <w:rPr>
          <w:lang w:val="en-US"/>
        </w:rPr>
        <w:t xml:space="preserve"> for example</w:t>
      </w:r>
      <w:r w:rsidR="003B66A2">
        <w:rPr>
          <w:lang w:val="en-US"/>
        </w:rPr>
        <w:t xml:space="preserve"> be transferred on </w:t>
      </w:r>
      <w:r w:rsidR="0056484B">
        <w:rPr>
          <w:lang w:val="en-US"/>
        </w:rPr>
        <w:t>temperature</w:t>
      </w:r>
      <w:r w:rsidR="003B66A2">
        <w:rPr>
          <w:lang w:val="en-US"/>
        </w:rPr>
        <w:t xml:space="preserve"> increase inside pellets and then on </w:t>
      </w:r>
      <w:r w:rsidR="0056484B">
        <w:rPr>
          <w:lang w:val="en-US"/>
        </w:rPr>
        <w:t xml:space="preserve">the pellet mean temperature for Doppler evaluation. The impact is considered to be weak. </w:t>
      </w:r>
      <w:r w:rsidR="003B66A2">
        <w:rPr>
          <w:lang w:val="en-US"/>
        </w:rPr>
        <w:t xml:space="preserve">A simple estimation of combined uncertainties on power deviations have been estimated by assuming the independence of power statistical fluctuations between both power calculations. </w:t>
      </w:r>
    </w:p>
    <w:p w14:paraId="0178DEDB" w14:textId="77777777" w:rsidR="00734B16" w:rsidRDefault="00734B16" w:rsidP="00A70C9B">
      <w:pPr>
        <w:pStyle w:val="Corpsdetexte"/>
        <w:rPr>
          <w:lang w:val="en-US"/>
        </w:rPr>
      </w:pPr>
    </w:p>
    <w:p w14:paraId="4170E1E6" w14:textId="194246DF" w:rsidR="00F93879" w:rsidRPr="00542E57" w:rsidRDefault="00F93879" w:rsidP="00A70C9B">
      <w:pPr>
        <w:pStyle w:val="Corpsdetexte"/>
        <w:rPr>
          <w:lang w:val="en-US"/>
        </w:rPr>
      </w:pPr>
      <w:r w:rsidRPr="00A70C9B">
        <w:rPr>
          <w:lang w:val="en-US"/>
        </w:rPr>
        <w:t>At the end, the configuration 2 power deviation from the referen</w:t>
      </w:r>
      <w:r w:rsidR="0096260B" w:rsidRPr="00A70C9B">
        <w:rPr>
          <w:lang w:val="en-US"/>
        </w:rPr>
        <w:t>ce state is represented</w:t>
      </w:r>
      <w:r w:rsidR="003C28DB">
        <w:rPr>
          <w:lang w:val="en-US"/>
        </w:rPr>
        <w:t xml:space="preserve"> in </w:t>
      </w:r>
      <w:r w:rsidR="00891392">
        <w:rPr>
          <w:lang w:val="en-US"/>
        </w:rPr>
        <w:t>Fig.</w:t>
      </w:r>
      <w:r w:rsidR="0096260B" w:rsidRPr="00A70C9B">
        <w:rPr>
          <w:lang w:val="en-US"/>
        </w:rPr>
        <w:t xml:space="preserve"> </w:t>
      </w:r>
      <w:r w:rsidR="0096260B">
        <w:rPr>
          <w:lang w:val="en-US"/>
        </w:rPr>
        <w:t>9</w:t>
      </w:r>
      <w:r w:rsidRPr="00542E57">
        <w:rPr>
          <w:lang w:val="en-US"/>
        </w:rPr>
        <w:t xml:space="preserve">. In this </w:t>
      </w:r>
      <w:r w:rsidR="00D924BF">
        <w:rPr>
          <w:lang w:val="en-US"/>
        </w:rPr>
        <w:t>calculation</w:t>
      </w:r>
      <w:r w:rsidR="00D924BF" w:rsidRPr="00542E57">
        <w:rPr>
          <w:lang w:val="en-US"/>
        </w:rPr>
        <w:t xml:space="preserve"> </w:t>
      </w:r>
      <w:r w:rsidRPr="00542E57">
        <w:rPr>
          <w:lang w:val="en-US"/>
        </w:rPr>
        <w:t xml:space="preserve">the </w:t>
      </w:r>
      <w:proofErr w:type="spellStart"/>
      <w:r w:rsidRPr="00542E57">
        <w:rPr>
          <w:lang w:val="en-US"/>
        </w:rPr>
        <w:t>neutronic</w:t>
      </w:r>
      <w:proofErr w:type="spellEnd"/>
      <w:r w:rsidRPr="00542E57">
        <w:rPr>
          <w:lang w:val="en-US"/>
        </w:rPr>
        <w:t xml:space="preserve"> parameters were set accordingly to the convergence study to 20 000 source neutrons and 90 000 active cycles</w:t>
      </w:r>
      <w:r w:rsidR="00F62BC5">
        <w:rPr>
          <w:lang w:val="en-US"/>
        </w:rPr>
        <w:t xml:space="preserve"> but with only two external iteration</w:t>
      </w:r>
      <w:r w:rsidR="00D75317">
        <w:rPr>
          <w:lang w:val="en-US"/>
        </w:rPr>
        <w:t xml:space="preserve">s between </w:t>
      </w:r>
      <w:proofErr w:type="spellStart"/>
      <w:r w:rsidR="00D75317">
        <w:rPr>
          <w:lang w:val="en-US"/>
        </w:rPr>
        <w:t>neutronic</w:t>
      </w:r>
      <w:proofErr w:type="spellEnd"/>
      <w:r w:rsidR="00D75317">
        <w:rPr>
          <w:lang w:val="en-US"/>
        </w:rPr>
        <w:t xml:space="preserve"> and thermal-</w:t>
      </w:r>
      <w:r w:rsidR="00F62BC5">
        <w:rPr>
          <w:lang w:val="en-US"/>
        </w:rPr>
        <w:t>hydraulic</w:t>
      </w:r>
      <w:r w:rsidRPr="00542E57">
        <w:rPr>
          <w:lang w:val="en-US"/>
        </w:rPr>
        <w:t>.</w:t>
      </w:r>
    </w:p>
    <w:p w14:paraId="53FDCBC1" w14:textId="6A0D716D" w:rsidR="00F93879" w:rsidRDefault="00F93879" w:rsidP="001453BF">
      <w:pPr>
        <w:pStyle w:val="Corpsdetexte"/>
        <w:rPr>
          <w:lang w:val="en-US"/>
        </w:rPr>
      </w:pPr>
      <w:r w:rsidRPr="00A70C9B">
        <w:rPr>
          <w:lang w:val="en-US"/>
        </w:rPr>
        <w:t>A modification of the results is pre</w:t>
      </w:r>
      <w:r w:rsidR="00AC18A1">
        <w:rPr>
          <w:lang w:val="en-US"/>
        </w:rPr>
        <w:t>sent after the coupling process</w:t>
      </w:r>
      <w:r w:rsidRPr="00A70C9B">
        <w:rPr>
          <w:lang w:val="en-US"/>
        </w:rPr>
        <w:t xml:space="preserve">. Anyway, it has to be taken into account that all these values are affected by Monte Carlo uncertainties, represented in </w:t>
      </w:r>
      <w:r w:rsidR="00891392">
        <w:rPr>
          <w:lang w:val="en-US"/>
        </w:rPr>
        <w:t xml:space="preserve">Fig. </w:t>
      </w:r>
      <w:r w:rsidR="00A36871">
        <w:rPr>
          <w:lang w:val="en-US"/>
        </w:rPr>
        <w:t xml:space="preserve">9 </w:t>
      </w:r>
      <w:r w:rsidRPr="00A70C9B">
        <w:rPr>
          <w:lang w:val="en-US"/>
        </w:rPr>
        <w:t xml:space="preserve">by the uncertainty bar. </w:t>
      </w:r>
    </w:p>
    <w:p w14:paraId="2260F61D" w14:textId="4636FB74" w:rsidR="005138E1" w:rsidRPr="00A70C9B" w:rsidRDefault="005138E1" w:rsidP="001453BF">
      <w:pPr>
        <w:pStyle w:val="Corpsdetexte"/>
        <w:rPr>
          <w:lang w:val="en-US"/>
        </w:rPr>
      </w:pPr>
    </w:p>
    <w:p w14:paraId="030F2943" w14:textId="5AEE2399" w:rsidR="002C29DB" w:rsidRDefault="00F93879" w:rsidP="00A70C9B">
      <w:pPr>
        <w:pStyle w:val="Corpsdetexte"/>
        <w:rPr>
          <w:lang w:val="en-US"/>
        </w:rPr>
      </w:pPr>
      <w:r w:rsidRPr="00F93879">
        <w:rPr>
          <w:lang w:val="en-US"/>
        </w:rPr>
        <w:t>In a future perspective of the work the simulations could be run with the objective of reducing as much as possible the related uncertainties, thus meaning requiring a higher computational effort (the time required for two coupled iteration with the set parameter</w:t>
      </w:r>
      <w:r w:rsidR="00B20A16">
        <w:rPr>
          <w:lang w:val="en-US"/>
        </w:rPr>
        <w:t>s</w:t>
      </w:r>
      <w:r w:rsidRPr="00F93879">
        <w:rPr>
          <w:lang w:val="en-US"/>
        </w:rPr>
        <w:t xml:space="preserve"> explained before is of  about 7 days</w:t>
      </w:r>
      <w:r w:rsidR="00AB2680">
        <w:rPr>
          <w:lang w:val="en-US"/>
        </w:rPr>
        <w:t xml:space="preserve"> on a personal scientific computer</w:t>
      </w:r>
      <w:r w:rsidRPr="00F93879">
        <w:rPr>
          <w:lang w:val="en-US"/>
        </w:rPr>
        <w:t>).</w:t>
      </w:r>
      <w:r>
        <w:rPr>
          <w:lang w:val="en-US"/>
        </w:rPr>
        <w:t xml:space="preserve"> </w:t>
      </w:r>
      <w:r w:rsidRPr="00EE7ACE">
        <w:rPr>
          <w:lang w:val="en-US"/>
        </w:rPr>
        <w:t xml:space="preserve">In addition, only the fissile S/As were coupled with the </w:t>
      </w:r>
      <w:proofErr w:type="spellStart"/>
      <w:r w:rsidRPr="00EE7ACE">
        <w:rPr>
          <w:lang w:val="en-US"/>
        </w:rPr>
        <w:t>neutronic</w:t>
      </w:r>
      <w:proofErr w:type="spellEnd"/>
      <w:r w:rsidRPr="00EE7ACE">
        <w:rPr>
          <w:lang w:val="en-US"/>
        </w:rPr>
        <w:t xml:space="preserve"> mo</w:t>
      </w:r>
      <w:r w:rsidRPr="00542E57">
        <w:rPr>
          <w:lang w:val="en-US"/>
        </w:rPr>
        <w:t xml:space="preserve">del, thus bringing to neglect the Doppler </w:t>
      </w:r>
      <w:proofErr w:type="gramStart"/>
      <w:r w:rsidRPr="00542E57">
        <w:rPr>
          <w:lang w:val="en-US"/>
        </w:rPr>
        <w:t>effect</w:t>
      </w:r>
      <w:proofErr w:type="gramEnd"/>
      <w:r w:rsidRPr="00542E57">
        <w:rPr>
          <w:lang w:val="en-US"/>
        </w:rPr>
        <w:t xml:space="preserve"> on the fertile material. Moreover</w:t>
      </w:r>
      <w:r w:rsidR="004F0EF1">
        <w:rPr>
          <w:lang w:val="en-US"/>
        </w:rPr>
        <w:t>,</w:t>
      </w:r>
      <w:r w:rsidRPr="00542E57">
        <w:rPr>
          <w:lang w:val="en-US"/>
        </w:rPr>
        <w:t xml:space="preserve"> in the t</w:t>
      </w:r>
      <w:r w:rsidR="00D75317">
        <w:rPr>
          <w:lang w:val="en-US"/>
        </w:rPr>
        <w:t>hermal-hydraulic</w:t>
      </w:r>
      <w:r w:rsidRPr="00542E57">
        <w:rPr>
          <w:lang w:val="en-US"/>
        </w:rPr>
        <w:t xml:space="preserve"> model</w:t>
      </w:r>
      <w:r w:rsidR="004F0EF1">
        <w:rPr>
          <w:lang w:val="en-US"/>
        </w:rPr>
        <w:t>,</w:t>
      </w:r>
      <w:r w:rsidRPr="00542E57">
        <w:rPr>
          <w:lang w:val="en-US"/>
        </w:rPr>
        <w:t xml:space="preserve"> the heat transfer coefficients were all defined as constant and the temperature dependence was not considered. All these aspect are considered as future perspective</w:t>
      </w:r>
      <w:r w:rsidR="00F62BC5">
        <w:rPr>
          <w:lang w:val="en-US"/>
        </w:rPr>
        <w:t>s</w:t>
      </w:r>
      <w:r w:rsidR="00723144">
        <w:rPr>
          <w:lang w:val="en-US"/>
        </w:rPr>
        <w:t>.</w:t>
      </w:r>
    </w:p>
    <w:p w14:paraId="47A61A63" w14:textId="6D720A39" w:rsidR="005138E1" w:rsidRDefault="00016AB8" w:rsidP="005138E1">
      <w:pPr>
        <w:ind w:firstLine="567"/>
        <w:jc w:val="center"/>
        <w:rPr>
          <w:sz w:val="20"/>
        </w:rPr>
      </w:pPr>
      <w:r>
        <w:rPr>
          <w:noProof/>
          <w:sz w:val="20"/>
          <w:lang w:val="fr-FR" w:eastAsia="fr-FR"/>
        </w:rPr>
        <w:pict w14:anchorId="1D574D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4pt;height:138.6pt">
            <v:imagedata r:id="rId22" o:title="kcoupl"/>
          </v:shape>
        </w:pict>
      </w:r>
      <w:r>
        <w:rPr>
          <w:noProof/>
          <w:sz w:val="20"/>
          <w:lang w:val="fr-FR" w:eastAsia="fr-FR"/>
        </w:rPr>
        <w:pict w14:anchorId="1A371C1A">
          <v:shape id="_x0000_i1026" type="#_x0000_t75" style="width:196.8pt;height:138pt">
            <v:imagedata r:id="rId23" o:title="pow_conv_bank_sa_2023"/>
          </v:shape>
        </w:pict>
      </w:r>
    </w:p>
    <w:p w14:paraId="4A4F2BEB" w14:textId="7343A3CE" w:rsidR="005138E1" w:rsidRDefault="005138E1" w:rsidP="005138E1">
      <w:pPr>
        <w:pStyle w:val="Figurecaption"/>
      </w:pPr>
      <w:r>
        <w:t>FIG. 8. Convergence study for coupled iteration on core multiplication factor</w:t>
      </w:r>
      <w:r w:rsidR="0006545F">
        <w:t xml:space="preserve"> (on the left)</w:t>
      </w:r>
      <w:r>
        <w:t xml:space="preserve"> and </w:t>
      </w:r>
      <w:r w:rsidR="0006545F">
        <w:t xml:space="preserve">power (on the right) of </w:t>
      </w:r>
      <w:r>
        <w:t>S/A 20/23.</w:t>
      </w:r>
    </w:p>
    <w:p w14:paraId="33DA3B42" w14:textId="77777777" w:rsidR="005138E1" w:rsidRDefault="005138E1" w:rsidP="005138E1">
      <w:pPr>
        <w:pStyle w:val="Corpsdetexte"/>
        <w:jc w:val="center"/>
        <w:rPr>
          <w:lang w:val="en-US"/>
        </w:rPr>
      </w:pPr>
      <w:r>
        <w:rPr>
          <w:noProof/>
          <w:lang w:val="fr-FR" w:eastAsia="fr-FR"/>
        </w:rPr>
        <w:lastRenderedPageBreak/>
        <w:drawing>
          <wp:inline distT="0" distB="0" distL="0" distR="0" wp14:anchorId="29DD3130" wp14:editId="3FA1E266">
            <wp:extent cx="3474720" cy="254166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25875" cy="2579082"/>
                    </a:xfrm>
                    <a:prstGeom prst="rect">
                      <a:avLst/>
                    </a:prstGeom>
                  </pic:spPr>
                </pic:pic>
              </a:graphicData>
            </a:graphic>
          </wp:inline>
        </w:drawing>
      </w:r>
    </w:p>
    <w:p w14:paraId="577B9B21" w14:textId="05088B5E" w:rsidR="005138E1" w:rsidRPr="00F4265F" w:rsidRDefault="005138E1" w:rsidP="00F4265F">
      <w:pPr>
        <w:pStyle w:val="Figurecaption"/>
      </w:pPr>
      <w:r>
        <w:t>FIG. 9. Power deviations with respect to reference state after coupling process (2 iterations) [%] – step 2 of the test.</w:t>
      </w:r>
    </w:p>
    <w:p w14:paraId="2E29A7C9" w14:textId="55347E34" w:rsidR="00F93879" w:rsidRPr="001453BF" w:rsidRDefault="001453BF" w:rsidP="001453BF">
      <w:pPr>
        <w:pStyle w:val="Titre2"/>
      </w:pPr>
      <w:r>
        <w:t xml:space="preserve">6. </w:t>
      </w:r>
      <w:r w:rsidR="00F93879" w:rsidRPr="001453BF">
        <w:t>conclusions</w:t>
      </w:r>
    </w:p>
    <w:p w14:paraId="338BF223" w14:textId="3DC8DCD1" w:rsidR="00F93879" w:rsidRPr="00A70C9B" w:rsidRDefault="00F93879" w:rsidP="00A70C9B">
      <w:pPr>
        <w:pStyle w:val="Corpsdetexte"/>
        <w:rPr>
          <w:lang w:val="en-US"/>
        </w:rPr>
      </w:pPr>
      <w:r w:rsidRPr="00EE7ACE">
        <w:rPr>
          <w:lang w:val="en-US"/>
        </w:rPr>
        <w:t xml:space="preserve">Before the definitive shutdown of </w:t>
      </w:r>
      <w:proofErr w:type="spellStart"/>
      <w:r w:rsidRPr="00EE7ACE">
        <w:rPr>
          <w:lang w:val="en-US"/>
        </w:rPr>
        <w:t>Phénix</w:t>
      </w:r>
      <w:proofErr w:type="spellEnd"/>
      <w:r w:rsidRPr="00EE7ACE">
        <w:rPr>
          <w:lang w:val="en-US"/>
        </w:rPr>
        <w:t xml:space="preserve"> reactor a series of tests were performed to enlarge SFR research database and to validate the main existing fast reactor codes.</w:t>
      </w:r>
      <w:r w:rsidR="00E723F4">
        <w:rPr>
          <w:lang w:val="en-US"/>
        </w:rPr>
        <w:t xml:space="preserve"> </w:t>
      </w:r>
      <w:r w:rsidRPr="00542E57">
        <w:rPr>
          <w:lang w:val="en-US"/>
        </w:rPr>
        <w:t xml:space="preserve">In particular the Control Rod Withdrawal test was focused on the exploration of the power local deformation due to control rod shift. </w:t>
      </w:r>
    </w:p>
    <w:p w14:paraId="5D37E58D" w14:textId="7ADFFACB" w:rsidR="00C22A23" w:rsidRDefault="00BA3B46" w:rsidP="00A70C9B">
      <w:pPr>
        <w:pStyle w:val="Corpsdetexte"/>
        <w:rPr>
          <w:lang w:val="en-US"/>
        </w:rPr>
      </w:pPr>
      <w:r>
        <w:rPr>
          <w:lang w:val="en-US"/>
        </w:rPr>
        <w:t>In the</w:t>
      </w:r>
      <w:r w:rsidR="00F93879" w:rsidRPr="00A70C9B">
        <w:rPr>
          <w:lang w:val="en-US"/>
        </w:rPr>
        <w:t xml:space="preserve"> </w:t>
      </w:r>
      <w:r w:rsidR="002E3BF9">
        <w:rPr>
          <w:lang w:val="en-US"/>
        </w:rPr>
        <w:t xml:space="preserve">present </w:t>
      </w:r>
      <w:r w:rsidR="00F93879" w:rsidRPr="00A70C9B">
        <w:rPr>
          <w:lang w:val="en-US"/>
        </w:rPr>
        <w:t xml:space="preserve">work a multi-physics </w:t>
      </w:r>
      <w:r w:rsidR="00F93879" w:rsidRPr="00B14058">
        <w:rPr>
          <w:lang w:val="en-US"/>
        </w:rPr>
        <w:t xml:space="preserve">approach is proposed, coupling </w:t>
      </w:r>
      <w:proofErr w:type="spellStart"/>
      <w:r w:rsidR="00F93879" w:rsidRPr="00B14058">
        <w:rPr>
          <w:lang w:val="en-US"/>
        </w:rPr>
        <w:t>neutronic</w:t>
      </w:r>
      <w:proofErr w:type="spellEnd"/>
      <w:r w:rsidR="00F93879" w:rsidRPr="00B14058">
        <w:rPr>
          <w:lang w:val="en-US"/>
        </w:rPr>
        <w:t xml:space="preserve"> model with thermal-hydraulic calculations. The main objective is to explore the contribution of the</w:t>
      </w:r>
      <w:r w:rsidR="00BE1D0D">
        <w:rPr>
          <w:lang w:val="en-US"/>
        </w:rPr>
        <w:t xml:space="preserve"> reactivity Doppler </w:t>
      </w:r>
      <w:proofErr w:type="gramStart"/>
      <w:r w:rsidR="00BE1D0D">
        <w:rPr>
          <w:lang w:val="en-US"/>
        </w:rPr>
        <w:t>e</w:t>
      </w:r>
      <w:r w:rsidR="00F97A4E" w:rsidRPr="00B14058">
        <w:rPr>
          <w:lang w:val="en-US"/>
        </w:rPr>
        <w:t>ffect</w:t>
      </w:r>
      <w:proofErr w:type="gramEnd"/>
      <w:r w:rsidR="00F97A4E" w:rsidRPr="00B14058">
        <w:rPr>
          <w:lang w:val="en-US"/>
        </w:rPr>
        <w:t xml:space="preserve"> feedback on</w:t>
      </w:r>
      <w:r w:rsidR="00F93879" w:rsidRPr="00B14058">
        <w:rPr>
          <w:lang w:val="en-US"/>
        </w:rPr>
        <w:t xml:space="preserve"> the results of the test</w:t>
      </w:r>
      <w:r w:rsidR="00C22A23">
        <w:rPr>
          <w:lang w:val="en-US"/>
        </w:rPr>
        <w:t xml:space="preserve"> simulations, with respect to the pure </w:t>
      </w:r>
      <w:proofErr w:type="spellStart"/>
      <w:r w:rsidR="00C22A23">
        <w:rPr>
          <w:lang w:val="en-US"/>
        </w:rPr>
        <w:t>neutronic</w:t>
      </w:r>
      <w:proofErr w:type="spellEnd"/>
      <w:r w:rsidR="00C22A23">
        <w:rPr>
          <w:lang w:val="en-US"/>
        </w:rPr>
        <w:t xml:space="preserve"> calculations</w:t>
      </w:r>
      <w:r w:rsidR="00F93879" w:rsidRPr="00B14058">
        <w:rPr>
          <w:lang w:val="en-US"/>
        </w:rPr>
        <w:t>.</w:t>
      </w:r>
    </w:p>
    <w:p w14:paraId="77B3400F" w14:textId="5C25A2FC" w:rsidR="00F93879" w:rsidRPr="00A70C9B" w:rsidRDefault="00E723F4" w:rsidP="00A70C9B">
      <w:pPr>
        <w:pStyle w:val="Corpsdetexte"/>
        <w:rPr>
          <w:lang w:val="en-US"/>
        </w:rPr>
      </w:pPr>
      <w:r w:rsidRPr="00B14058">
        <w:rPr>
          <w:lang w:val="en-US"/>
        </w:rPr>
        <w:t xml:space="preserve"> </w:t>
      </w:r>
      <w:r w:rsidR="00F93879" w:rsidRPr="00B14058">
        <w:rPr>
          <w:lang w:val="en-US"/>
        </w:rPr>
        <w:t xml:space="preserve">The </w:t>
      </w:r>
      <w:proofErr w:type="spellStart"/>
      <w:r w:rsidR="00F93879" w:rsidRPr="00B14058">
        <w:rPr>
          <w:lang w:val="en-US"/>
        </w:rPr>
        <w:t>neutronic</w:t>
      </w:r>
      <w:proofErr w:type="spellEnd"/>
      <w:r w:rsidR="00F93879" w:rsidRPr="00B14058">
        <w:rPr>
          <w:lang w:val="en-US"/>
        </w:rPr>
        <w:t xml:space="preserve"> model has been developed using the Monte Carlo code Serpent 2 and coupled to a self-developed thermal-hydraulic model through</w:t>
      </w:r>
      <w:r w:rsidR="00F93879" w:rsidRPr="00A70C9B">
        <w:rPr>
          <w:lang w:val="en-US"/>
        </w:rPr>
        <w:t xml:space="preserve"> a wrapper code that allows the iteration between the two.</w:t>
      </w:r>
      <w:r w:rsidR="002E3BF9">
        <w:rPr>
          <w:lang w:val="en-US"/>
        </w:rPr>
        <w:t xml:space="preserve"> </w:t>
      </w:r>
    </w:p>
    <w:p w14:paraId="32AD7131" w14:textId="3A800499" w:rsidR="00F93879" w:rsidRDefault="00B20A16" w:rsidP="00A70C9B">
      <w:pPr>
        <w:pStyle w:val="Corpsdetexte"/>
        <w:rPr>
          <w:lang w:val="en-US"/>
        </w:rPr>
      </w:pPr>
      <w:r>
        <w:rPr>
          <w:lang w:val="en-US"/>
        </w:rPr>
        <w:t>Firstly,</w:t>
      </w:r>
      <w:r w:rsidR="0098207C">
        <w:rPr>
          <w:lang w:val="en-US"/>
        </w:rPr>
        <w:t xml:space="preserve"> pure </w:t>
      </w:r>
      <w:proofErr w:type="spellStart"/>
      <w:r w:rsidR="0098207C">
        <w:rPr>
          <w:lang w:val="en-US"/>
        </w:rPr>
        <w:t>neutronic</w:t>
      </w:r>
      <w:proofErr w:type="spellEnd"/>
      <w:r w:rsidR="0098207C">
        <w:rPr>
          <w:lang w:val="en-US"/>
        </w:rPr>
        <w:t xml:space="preserve"> p</w:t>
      </w:r>
      <w:r w:rsidR="00FB43AE">
        <w:rPr>
          <w:lang w:val="en-US"/>
        </w:rPr>
        <w:t xml:space="preserve">ower </w:t>
      </w:r>
      <w:r w:rsidR="00F93879" w:rsidRPr="00A70C9B">
        <w:rPr>
          <w:lang w:val="en-US"/>
        </w:rPr>
        <w:t>deviation map</w:t>
      </w:r>
      <w:r w:rsidR="008A7665">
        <w:rPr>
          <w:lang w:val="en-US"/>
        </w:rPr>
        <w:t>s</w:t>
      </w:r>
      <w:r w:rsidR="00BE1D0D">
        <w:rPr>
          <w:lang w:val="en-US"/>
        </w:rPr>
        <w:t>,</w:t>
      </w:r>
      <w:r w:rsidR="00F93879" w:rsidRPr="00A70C9B">
        <w:rPr>
          <w:lang w:val="en-US"/>
        </w:rPr>
        <w:t xml:space="preserve"> </w:t>
      </w:r>
      <w:r w:rsidR="00BE1D0D" w:rsidRPr="00A70C9B">
        <w:rPr>
          <w:lang w:val="en-US"/>
        </w:rPr>
        <w:t>of the second step of the test with respect to the reference state</w:t>
      </w:r>
      <w:r w:rsidR="00BE1D0D">
        <w:rPr>
          <w:lang w:val="en-US"/>
        </w:rPr>
        <w:t xml:space="preserve">, </w:t>
      </w:r>
      <w:r w:rsidR="008A7665">
        <w:rPr>
          <w:lang w:val="en-US"/>
        </w:rPr>
        <w:t xml:space="preserve">were </w:t>
      </w:r>
      <w:r w:rsidR="00F93879" w:rsidRPr="00A70C9B">
        <w:rPr>
          <w:lang w:val="en-US"/>
        </w:rPr>
        <w:t xml:space="preserve">computed. </w:t>
      </w:r>
      <w:r w:rsidR="0056484B">
        <w:rPr>
          <w:lang w:val="en-US"/>
        </w:rPr>
        <w:t>The comparisons with measured values are coherent</w:t>
      </w:r>
      <w:r w:rsidR="00F93879" w:rsidRPr="00A70C9B">
        <w:rPr>
          <w:lang w:val="en-US"/>
        </w:rPr>
        <w:t xml:space="preserve">, except for an unbalance in </w:t>
      </w:r>
      <w:r w:rsidR="008A7665">
        <w:rPr>
          <w:lang w:val="en-US"/>
        </w:rPr>
        <w:t>blanket subassemblies</w:t>
      </w:r>
      <w:r w:rsidR="0056484B">
        <w:rPr>
          <w:lang w:val="en-US"/>
        </w:rPr>
        <w:t xml:space="preserve"> and a weak </w:t>
      </w:r>
      <w:r w:rsidR="008A7665">
        <w:rPr>
          <w:lang w:val="en-US"/>
        </w:rPr>
        <w:t xml:space="preserve">overestimation of calculated power deviation </w:t>
      </w:r>
      <w:r w:rsidR="0056484B">
        <w:rPr>
          <w:lang w:val="en-US"/>
        </w:rPr>
        <w:t>in fissile</w:t>
      </w:r>
      <w:r w:rsidR="00021A2A">
        <w:rPr>
          <w:lang w:val="en-US"/>
        </w:rPr>
        <w:t xml:space="preserve">, as already stated in </w:t>
      </w:r>
      <w:r w:rsidR="008A7665">
        <w:rPr>
          <w:lang w:val="en-US"/>
        </w:rPr>
        <w:t xml:space="preserve">in the CRP results </w:t>
      </w:r>
      <w:r w:rsidR="008A7665">
        <w:rPr>
          <w:lang w:val="en-US"/>
        </w:rPr>
        <w:fldChar w:fldCharType="begin"/>
      </w:r>
      <w:r w:rsidR="008A7665">
        <w:rPr>
          <w:lang w:val="en-US"/>
        </w:rPr>
        <w:instrText xml:space="preserve"> REF _Ref69332535 \n \h </w:instrText>
      </w:r>
      <w:r w:rsidR="008A7665">
        <w:rPr>
          <w:lang w:val="en-US"/>
        </w:rPr>
      </w:r>
      <w:r w:rsidR="008A7665">
        <w:rPr>
          <w:lang w:val="en-US"/>
        </w:rPr>
        <w:fldChar w:fldCharType="separate"/>
      </w:r>
      <w:r w:rsidR="008A7665">
        <w:rPr>
          <w:lang w:val="en-US"/>
        </w:rPr>
        <w:t>[2]</w:t>
      </w:r>
      <w:r w:rsidR="008A7665">
        <w:rPr>
          <w:lang w:val="en-US"/>
        </w:rPr>
        <w:fldChar w:fldCharType="end"/>
      </w:r>
      <w:r w:rsidR="00021A2A">
        <w:rPr>
          <w:lang w:val="en-US"/>
        </w:rPr>
        <w:t>.  F</w:t>
      </w:r>
      <w:r w:rsidR="008A7665">
        <w:rPr>
          <w:lang w:val="en-US"/>
        </w:rPr>
        <w:t>eedback effects</w:t>
      </w:r>
      <w:r w:rsidR="00021A2A">
        <w:rPr>
          <w:lang w:val="en-US"/>
        </w:rPr>
        <w:t>,</w:t>
      </w:r>
      <w:r w:rsidR="008A7665">
        <w:rPr>
          <w:lang w:val="en-US"/>
        </w:rPr>
        <w:t xml:space="preserve"> which were not taken into account</w:t>
      </w:r>
      <w:r w:rsidR="00021A2A">
        <w:rPr>
          <w:lang w:val="en-US"/>
        </w:rPr>
        <w:t xml:space="preserve">, and </w:t>
      </w:r>
      <w:r w:rsidR="00FB4B3C">
        <w:rPr>
          <w:lang w:val="en-US"/>
        </w:rPr>
        <w:t xml:space="preserve">the neglecting of the gamma transport </w:t>
      </w:r>
      <w:r w:rsidR="0056484B">
        <w:rPr>
          <w:lang w:val="en-US"/>
        </w:rPr>
        <w:t xml:space="preserve">in blanket assemblies </w:t>
      </w:r>
      <w:r w:rsidR="00FB4B3C">
        <w:rPr>
          <w:lang w:val="en-US"/>
        </w:rPr>
        <w:t xml:space="preserve">could </w:t>
      </w:r>
      <w:r w:rsidR="00021A2A">
        <w:rPr>
          <w:lang w:val="en-US"/>
        </w:rPr>
        <w:t>explain the observed</w:t>
      </w:r>
      <w:r w:rsidR="00FB4B3C">
        <w:rPr>
          <w:lang w:val="en-US"/>
        </w:rPr>
        <w:t xml:space="preserve"> </w:t>
      </w:r>
      <w:r w:rsidR="00021A2A">
        <w:rPr>
          <w:lang w:val="en-US"/>
        </w:rPr>
        <w:t>deviations</w:t>
      </w:r>
      <w:r w:rsidR="008A7665">
        <w:rPr>
          <w:lang w:val="en-US"/>
        </w:rPr>
        <w:t>.</w:t>
      </w:r>
    </w:p>
    <w:p w14:paraId="1D92CFA2" w14:textId="3785BF01" w:rsidR="00BE1D0D" w:rsidRDefault="00021A2A" w:rsidP="00BE1D0D">
      <w:pPr>
        <w:pStyle w:val="Corpsdetexte"/>
        <w:rPr>
          <w:lang w:val="en-US"/>
        </w:rPr>
      </w:pPr>
      <w:r>
        <w:rPr>
          <w:lang w:val="en-US"/>
        </w:rPr>
        <w:t>To investigate the effect of local feedback effects, a</w:t>
      </w:r>
      <w:r w:rsidR="008A7665">
        <w:rPr>
          <w:lang w:val="en-US"/>
        </w:rPr>
        <w:t xml:space="preserve"> stationary thermal-hydraulic solver was developed</w:t>
      </w:r>
      <w:r>
        <w:rPr>
          <w:lang w:val="en-US"/>
        </w:rPr>
        <w:t xml:space="preserve"> and</w:t>
      </w:r>
      <w:r w:rsidR="008A7665">
        <w:rPr>
          <w:lang w:val="en-US"/>
        </w:rPr>
        <w:t xml:space="preserve"> coupled with Serpent 2 thanks to its multi</w:t>
      </w:r>
      <w:r w:rsidR="00FB43AE">
        <w:rPr>
          <w:lang w:val="en-US"/>
        </w:rPr>
        <w:t>-</w:t>
      </w:r>
      <w:r w:rsidR="008A7665">
        <w:rPr>
          <w:lang w:val="en-US"/>
        </w:rPr>
        <w:t>physics programming interface. T</w:t>
      </w:r>
      <w:r w:rsidR="00D75317">
        <w:rPr>
          <w:lang w:val="en-US"/>
        </w:rPr>
        <w:t>hermal-</w:t>
      </w:r>
      <w:r w:rsidR="00F93879" w:rsidRPr="00A70C9B">
        <w:rPr>
          <w:lang w:val="en-US"/>
        </w:rPr>
        <w:t>hydraulic calculations have been carried out to compute fuel and coolant temperature axial distribution in the core</w:t>
      </w:r>
      <w:r w:rsidR="008A7665">
        <w:rPr>
          <w:lang w:val="en-US"/>
        </w:rPr>
        <w:t xml:space="preserve"> by subassemblies and to </w:t>
      </w:r>
      <w:r w:rsidR="00C22A23">
        <w:rPr>
          <w:lang w:val="en-US"/>
        </w:rPr>
        <w:t>validate</w:t>
      </w:r>
      <w:r w:rsidR="008A7665">
        <w:rPr>
          <w:lang w:val="en-US"/>
        </w:rPr>
        <w:t xml:space="preserve"> the in-house solver</w:t>
      </w:r>
      <w:r w:rsidR="00F93879" w:rsidRPr="00A70C9B">
        <w:rPr>
          <w:lang w:val="en-US"/>
        </w:rPr>
        <w:t>.</w:t>
      </w:r>
      <w:r w:rsidR="00B20A16">
        <w:rPr>
          <w:lang w:val="en-US"/>
        </w:rPr>
        <w:t xml:space="preserve"> </w:t>
      </w:r>
      <w:r w:rsidR="00F93879" w:rsidRPr="00A70C9B">
        <w:rPr>
          <w:lang w:val="en-US"/>
        </w:rPr>
        <w:t xml:space="preserve">The </w:t>
      </w:r>
      <w:r>
        <w:rPr>
          <w:lang w:val="en-US"/>
        </w:rPr>
        <w:t>multi</w:t>
      </w:r>
      <w:r w:rsidR="00B20A16">
        <w:rPr>
          <w:lang w:val="en-US"/>
        </w:rPr>
        <w:t>-</w:t>
      </w:r>
      <w:r>
        <w:rPr>
          <w:lang w:val="en-US"/>
        </w:rPr>
        <w:t xml:space="preserve">physics coupling algorithm </w:t>
      </w:r>
      <w:r w:rsidR="00F93879" w:rsidRPr="00A70C9B">
        <w:rPr>
          <w:lang w:val="en-US"/>
        </w:rPr>
        <w:t>produces a convergence of the reactivity and power parameters in the core</w:t>
      </w:r>
      <w:r>
        <w:rPr>
          <w:lang w:val="en-US"/>
        </w:rPr>
        <w:t xml:space="preserve">. The convergence is weakly affected by </w:t>
      </w:r>
      <w:r w:rsidR="00F93879" w:rsidRPr="00A70C9B">
        <w:rPr>
          <w:lang w:val="en-US"/>
        </w:rPr>
        <w:t xml:space="preserve">oscillatory phenomena </w:t>
      </w:r>
      <w:r>
        <w:rPr>
          <w:lang w:val="en-US"/>
        </w:rPr>
        <w:t xml:space="preserve">which are </w:t>
      </w:r>
      <w:r w:rsidR="008A7665">
        <w:rPr>
          <w:lang w:val="en-US"/>
        </w:rPr>
        <w:t xml:space="preserve">linked to neutron clustering effect. This problem </w:t>
      </w:r>
      <w:r w:rsidR="00F93879" w:rsidRPr="00A70C9B">
        <w:rPr>
          <w:lang w:val="en-US"/>
        </w:rPr>
        <w:t>requires more in-depth investigations</w:t>
      </w:r>
      <w:r w:rsidR="00BE1D0D">
        <w:rPr>
          <w:lang w:val="en-US"/>
        </w:rPr>
        <w:t>, but is</w:t>
      </w:r>
      <w:r w:rsidR="00991CFB">
        <w:rPr>
          <w:lang w:val="en-US"/>
        </w:rPr>
        <w:t xml:space="preserve"> considered as negligible </w:t>
      </w:r>
      <w:r w:rsidR="00AB2680">
        <w:rPr>
          <w:lang w:val="en-US"/>
        </w:rPr>
        <w:t>in the context of the current study</w:t>
      </w:r>
      <w:r w:rsidR="00F93879" w:rsidRPr="00A70C9B">
        <w:rPr>
          <w:lang w:val="en-US"/>
        </w:rPr>
        <w:t>.</w:t>
      </w:r>
      <w:r w:rsidR="00BE1D0D">
        <w:rPr>
          <w:lang w:val="en-US"/>
        </w:rPr>
        <w:t xml:space="preserve"> </w:t>
      </w:r>
    </w:p>
    <w:p w14:paraId="49F48E82" w14:textId="001AFA23" w:rsidR="00F93879" w:rsidRPr="00A70C9B" w:rsidRDefault="0098207C" w:rsidP="00BE1D0D">
      <w:pPr>
        <w:pStyle w:val="Corpsdetexte"/>
        <w:rPr>
          <w:lang w:val="en-US"/>
        </w:rPr>
      </w:pPr>
      <w:r>
        <w:rPr>
          <w:lang w:val="en-US"/>
        </w:rPr>
        <w:t>Finally t</w:t>
      </w:r>
      <w:r w:rsidR="00BE1D0D">
        <w:rPr>
          <w:lang w:val="en-US"/>
        </w:rPr>
        <w:t>he</w:t>
      </w:r>
      <w:r w:rsidR="00F93879" w:rsidRPr="00A70C9B">
        <w:rPr>
          <w:lang w:val="en-US"/>
        </w:rPr>
        <w:t xml:space="preserve"> power deviation of the second step of the test with respect to the reference state </w:t>
      </w:r>
      <w:r w:rsidR="00AB2680">
        <w:rPr>
          <w:lang w:val="en-US"/>
        </w:rPr>
        <w:t xml:space="preserve">was </w:t>
      </w:r>
      <w:r w:rsidR="00F93879" w:rsidRPr="00A70C9B">
        <w:rPr>
          <w:lang w:val="en-US"/>
        </w:rPr>
        <w:t xml:space="preserve">calculated with the coupled approach. Results obtained </w:t>
      </w:r>
      <w:r w:rsidR="00021A2A">
        <w:rPr>
          <w:lang w:val="en-US"/>
        </w:rPr>
        <w:t xml:space="preserve">are </w:t>
      </w:r>
      <w:r w:rsidR="00F93879" w:rsidRPr="00A70C9B">
        <w:rPr>
          <w:lang w:val="en-US"/>
        </w:rPr>
        <w:t xml:space="preserve">slightly closer to the experimental ones than </w:t>
      </w:r>
      <w:r w:rsidR="00AB2680">
        <w:rPr>
          <w:lang w:val="en-US"/>
        </w:rPr>
        <w:t xml:space="preserve">pure </w:t>
      </w:r>
      <w:proofErr w:type="spellStart"/>
      <w:r w:rsidR="00F93879" w:rsidRPr="00A70C9B">
        <w:rPr>
          <w:lang w:val="en-US"/>
        </w:rPr>
        <w:t>neutronic</w:t>
      </w:r>
      <w:proofErr w:type="spellEnd"/>
      <w:r w:rsidR="00F93879" w:rsidRPr="00A70C9B">
        <w:rPr>
          <w:lang w:val="en-US"/>
        </w:rPr>
        <w:t xml:space="preserve"> calculations even if </w:t>
      </w:r>
      <w:r w:rsidR="00021A2A">
        <w:rPr>
          <w:lang w:val="en-US"/>
        </w:rPr>
        <w:t xml:space="preserve">the low </w:t>
      </w:r>
      <w:r w:rsidR="00F93879" w:rsidRPr="00A70C9B">
        <w:rPr>
          <w:lang w:val="en-US"/>
        </w:rPr>
        <w:t xml:space="preserve">statistical </w:t>
      </w:r>
      <w:r w:rsidR="00F93879" w:rsidRPr="00B14058">
        <w:rPr>
          <w:lang w:val="en-US"/>
        </w:rPr>
        <w:t>uncertainties do not allow to conclude with a large confidence.</w:t>
      </w:r>
      <w:r w:rsidR="00AB2680" w:rsidRPr="00B14058">
        <w:rPr>
          <w:lang w:val="en-US"/>
        </w:rPr>
        <w:t xml:space="preserve"> </w:t>
      </w:r>
      <w:r w:rsidR="00F93879" w:rsidRPr="00B14058">
        <w:rPr>
          <w:lang w:val="en-US"/>
        </w:rPr>
        <w:t>In the end Doppler feedback effect</w:t>
      </w:r>
      <w:r w:rsidR="002B1A63" w:rsidRPr="00B14058">
        <w:rPr>
          <w:lang w:val="en-US"/>
        </w:rPr>
        <w:t xml:space="preserve"> </w:t>
      </w:r>
      <w:r w:rsidR="00F93879" w:rsidRPr="00B14058">
        <w:rPr>
          <w:lang w:val="en-US"/>
        </w:rPr>
        <w:t>cannot fully explain observed deviations</w:t>
      </w:r>
      <w:r w:rsidR="00B20A16">
        <w:rPr>
          <w:lang w:val="en-US"/>
        </w:rPr>
        <w:t xml:space="preserve"> (of about </w:t>
      </w:r>
      <w:r w:rsidR="00A40FB5">
        <w:rPr>
          <w:lang w:val="en-US"/>
        </w:rPr>
        <w:t>0.</w:t>
      </w:r>
      <w:r w:rsidR="00B20A16">
        <w:rPr>
          <w:lang w:val="en-US"/>
        </w:rPr>
        <w:t>5%</w:t>
      </w:r>
      <w:r w:rsidR="00A40FB5">
        <w:rPr>
          <w:lang w:val="en-US"/>
        </w:rPr>
        <w:t xml:space="preserve"> of the power deviation</w:t>
      </w:r>
      <w:r w:rsidR="00B20A16">
        <w:rPr>
          <w:lang w:val="en-US"/>
        </w:rPr>
        <w:t xml:space="preserve">)  </w:t>
      </w:r>
      <w:r w:rsidR="00F93879" w:rsidRPr="00B14058">
        <w:rPr>
          <w:lang w:val="en-US"/>
        </w:rPr>
        <w:t>between measured and calculated parameters</w:t>
      </w:r>
      <w:r w:rsidR="00021A2A">
        <w:rPr>
          <w:lang w:val="en-US"/>
        </w:rPr>
        <w:t xml:space="preserve"> and other reasons have to be studied (like neutron feedbacks related to </w:t>
      </w:r>
      <w:r w:rsidR="00021A2A" w:rsidRPr="00A70C9B">
        <w:rPr>
          <w:lang w:val="en-US"/>
        </w:rPr>
        <w:t>core and material</w:t>
      </w:r>
      <w:r w:rsidR="00021A2A">
        <w:rPr>
          <w:lang w:val="en-US"/>
        </w:rPr>
        <w:t>s</w:t>
      </w:r>
      <w:r w:rsidR="00021A2A" w:rsidRPr="00A70C9B">
        <w:rPr>
          <w:lang w:val="en-US"/>
        </w:rPr>
        <w:t xml:space="preserve"> thermal expansion</w:t>
      </w:r>
      <w:r w:rsidR="00021A2A">
        <w:rPr>
          <w:lang w:val="en-US"/>
        </w:rPr>
        <w:t>, technological uncertainties on control rod expansion</w:t>
      </w:r>
      <w:r w:rsidR="002108F7">
        <w:rPr>
          <w:lang w:val="en-US"/>
        </w:rPr>
        <w:t>, gamma transport, tridimensional thermal-</w:t>
      </w:r>
      <w:r w:rsidR="002108F7" w:rsidRPr="00A70C9B">
        <w:rPr>
          <w:lang w:val="en-US"/>
        </w:rPr>
        <w:t xml:space="preserve">hydraulics phenomena </w:t>
      </w:r>
      <w:r w:rsidR="002108F7">
        <w:rPr>
          <w:lang w:val="en-US"/>
        </w:rPr>
        <w:t xml:space="preserve">which can influence the temperature measurements </w:t>
      </w:r>
      <w:r w:rsidR="002108F7" w:rsidRPr="00A70C9B">
        <w:rPr>
          <w:lang w:val="en-US"/>
        </w:rPr>
        <w:t>(sodium mixing)</w:t>
      </w:r>
      <w:r w:rsidR="00021A2A">
        <w:rPr>
          <w:lang w:val="en-US"/>
        </w:rPr>
        <w:t>)</w:t>
      </w:r>
      <w:r w:rsidR="00F93879" w:rsidRPr="00B14058">
        <w:rPr>
          <w:lang w:val="en-US"/>
        </w:rPr>
        <w:t>.</w:t>
      </w:r>
    </w:p>
    <w:p w14:paraId="7EBF1C4E" w14:textId="01F76055" w:rsidR="00D178D8" w:rsidRDefault="00F93879" w:rsidP="00DF2AEA">
      <w:pPr>
        <w:pStyle w:val="Corpsdetexte"/>
        <w:rPr>
          <w:lang w:val="en-US"/>
        </w:rPr>
      </w:pPr>
      <w:r w:rsidRPr="00A70C9B">
        <w:rPr>
          <w:lang w:val="en-US"/>
        </w:rPr>
        <w:t xml:space="preserve">It has however to be noted that the global bias is finally low which shows good abilities of </w:t>
      </w:r>
      <w:r w:rsidR="007371C2">
        <w:rPr>
          <w:lang w:val="en-US"/>
        </w:rPr>
        <w:t>the</w:t>
      </w:r>
      <w:r w:rsidR="007371C2" w:rsidRPr="00A70C9B">
        <w:rPr>
          <w:lang w:val="en-US"/>
        </w:rPr>
        <w:t xml:space="preserve"> </w:t>
      </w:r>
      <w:r w:rsidRPr="00A70C9B">
        <w:rPr>
          <w:lang w:val="en-US"/>
        </w:rPr>
        <w:t>presented calculation schemes (neutron scheme/coupled scheme) to estimate power deviation during the test.</w:t>
      </w:r>
    </w:p>
    <w:p w14:paraId="0A37578D" w14:textId="698D4552" w:rsidR="00DF2AEA" w:rsidRDefault="00DF2AEA" w:rsidP="00DF2AEA">
      <w:pPr>
        <w:pStyle w:val="Corpsdetexte"/>
        <w:rPr>
          <w:lang w:val="en-US"/>
        </w:rPr>
      </w:pPr>
    </w:p>
    <w:p w14:paraId="6BA9427D" w14:textId="47CB31AF" w:rsidR="00DF2AEA" w:rsidRDefault="00DF2AEA" w:rsidP="00DF2AEA">
      <w:pPr>
        <w:pStyle w:val="Corpsdetexte"/>
        <w:rPr>
          <w:lang w:val="en-US"/>
        </w:rPr>
      </w:pPr>
    </w:p>
    <w:p w14:paraId="593DD985" w14:textId="77777777" w:rsidR="00DF2AEA" w:rsidRPr="00DF2AEA" w:rsidRDefault="00DF2AEA" w:rsidP="00DF2AEA">
      <w:pPr>
        <w:pStyle w:val="Corpsdetexte"/>
        <w:rPr>
          <w:lang w:val="en-US"/>
        </w:rPr>
      </w:pPr>
    </w:p>
    <w:p w14:paraId="433FE097" w14:textId="273A32E4" w:rsidR="00D26ADA" w:rsidRPr="00285755" w:rsidRDefault="00D26ADA" w:rsidP="00537496">
      <w:pPr>
        <w:pStyle w:val="Otherunnumberedheadings"/>
      </w:pPr>
      <w:r>
        <w:lastRenderedPageBreak/>
        <w:t>References</w:t>
      </w:r>
    </w:p>
    <w:p w14:paraId="4545C675" w14:textId="60200359" w:rsidR="00E55F00" w:rsidRDefault="00E55F00" w:rsidP="00537496">
      <w:pPr>
        <w:pStyle w:val="Referencelist"/>
      </w:pPr>
      <w:r>
        <w:t>GIF, GIF Annual Report 2019</w:t>
      </w:r>
      <w:r w:rsidR="00452AD3">
        <w:t xml:space="preserve">, </w:t>
      </w:r>
      <w:r w:rsidR="00704E88">
        <w:t>2019.</w:t>
      </w:r>
    </w:p>
    <w:p w14:paraId="1D65A2BD" w14:textId="29BC9F1D" w:rsidR="00704E88" w:rsidRDefault="00726711" w:rsidP="00542E57">
      <w:pPr>
        <w:pStyle w:val="Referencelist"/>
      </w:pPr>
      <w:bookmarkStart w:id="1" w:name="_Ref69332535"/>
      <w:r>
        <w:t>INTERNATIONAL ATOMIC ENERGY AGENCY</w:t>
      </w:r>
      <w:r w:rsidR="00704E88">
        <w:t xml:space="preserve">, Benchmark </w:t>
      </w:r>
      <w:r w:rsidR="00704E88">
        <w:rPr>
          <w:noProof/>
        </w:rPr>
        <w:t xml:space="preserve">analyses on the control rod withdrawal tests </w:t>
      </w:r>
      <w:r w:rsidR="00704E88" w:rsidRPr="00B14058">
        <w:rPr>
          <w:noProof/>
        </w:rPr>
        <w:t>performed during the PHÉNIX end-of-life experiments,</w:t>
      </w:r>
      <w:r w:rsidR="00F001A4" w:rsidRPr="00B14058">
        <w:rPr>
          <w:noProof/>
        </w:rPr>
        <w:t xml:space="preserve"> IAEA-TECDOC-1742,</w:t>
      </w:r>
      <w:r w:rsidRPr="00B14058">
        <w:rPr>
          <w:noProof/>
        </w:rPr>
        <w:t xml:space="preserve"> IAEA,</w:t>
      </w:r>
      <w:r w:rsidR="00704E88" w:rsidRPr="00B14058">
        <w:rPr>
          <w:noProof/>
        </w:rPr>
        <w:t xml:space="preserve"> V</w:t>
      </w:r>
      <w:r w:rsidRPr="00B14058">
        <w:rPr>
          <w:noProof/>
        </w:rPr>
        <w:t>ienna (</w:t>
      </w:r>
      <w:r w:rsidR="00704E88" w:rsidRPr="00B14058">
        <w:rPr>
          <w:noProof/>
        </w:rPr>
        <w:t>2014</w:t>
      </w:r>
      <w:r w:rsidRPr="00B14058">
        <w:rPr>
          <w:noProof/>
        </w:rPr>
        <w:t>)</w:t>
      </w:r>
      <w:r w:rsidR="00704E88" w:rsidRPr="00B14058">
        <w:rPr>
          <w:noProof/>
        </w:rPr>
        <w:t>.</w:t>
      </w:r>
      <w:bookmarkEnd w:id="1"/>
    </w:p>
    <w:p w14:paraId="1814BD2D" w14:textId="6534A3C8" w:rsidR="00C819D7" w:rsidRPr="00B14058" w:rsidRDefault="00C819D7" w:rsidP="00C819D7">
      <w:pPr>
        <w:pStyle w:val="Referencelist"/>
      </w:pPr>
      <w:r w:rsidRPr="00B14058">
        <w:t>V. PASCAL et al</w:t>
      </w:r>
      <w:r w:rsidR="00751AB0">
        <w:t>.</w:t>
      </w:r>
      <w:r w:rsidRPr="00B14058">
        <w:t xml:space="preserve">, Benchmark calculations on Control Rod Withdrawal tests performed during </w:t>
      </w:r>
      <w:proofErr w:type="spellStart"/>
      <w:r w:rsidRPr="00B14058">
        <w:t>Phénix</w:t>
      </w:r>
      <w:proofErr w:type="spellEnd"/>
      <w:r w:rsidRPr="00B14058">
        <w:t xml:space="preserve"> End-Of-Life experiments, ICAPP ’13, Korea, (2013).</w:t>
      </w:r>
    </w:p>
    <w:p w14:paraId="690E27BE" w14:textId="3364DFB4" w:rsidR="00C819D7" w:rsidRPr="00B14058" w:rsidRDefault="003A0811" w:rsidP="003A0811">
      <w:pPr>
        <w:pStyle w:val="Referencelist"/>
      </w:pPr>
      <w:bookmarkStart w:id="2" w:name="_Ref69333119"/>
      <w:r w:rsidRPr="00B14058">
        <w:t xml:space="preserve">V.PASCAL et al., Interpretation of the Control Rod Withdrawal test in the sodium cooled fast reactor </w:t>
      </w:r>
      <w:proofErr w:type="spellStart"/>
      <w:r w:rsidRPr="00B14058">
        <w:t>Phénix</w:t>
      </w:r>
      <w:proofErr w:type="spellEnd"/>
      <w:r w:rsidRPr="00B14058">
        <w:t xml:space="preserve">, Nuclear Science </w:t>
      </w:r>
      <w:proofErr w:type="gramStart"/>
      <w:r w:rsidRPr="00B14058">
        <w:t>And</w:t>
      </w:r>
      <w:proofErr w:type="gramEnd"/>
      <w:r w:rsidRPr="00B14058">
        <w:t xml:space="preserve"> Engineering (2012)</w:t>
      </w:r>
      <w:bookmarkEnd w:id="2"/>
      <w:r w:rsidRPr="00B14058">
        <w:t xml:space="preserve"> 109-123.</w:t>
      </w:r>
    </w:p>
    <w:p w14:paraId="0E0CA8E0" w14:textId="43A1F35A" w:rsidR="00726711" w:rsidRDefault="0054291D">
      <w:pPr>
        <w:pStyle w:val="Referencelist"/>
      </w:pPr>
      <w:r>
        <w:rPr>
          <w:noProof/>
        </w:rPr>
        <w:t>J.-F. SAUVAGE</w:t>
      </w:r>
      <w:r w:rsidR="00726711">
        <w:rPr>
          <w:noProof/>
        </w:rPr>
        <w:t>, Phénix, 30 years of hystory: the heart of a reactor, Valrho: Ellipse, CEA (2004).</w:t>
      </w:r>
    </w:p>
    <w:p w14:paraId="25F90432" w14:textId="626980E4" w:rsidR="0054291D" w:rsidRDefault="0054291D" w:rsidP="00537496">
      <w:pPr>
        <w:pStyle w:val="Referencelist"/>
      </w:pPr>
      <w:r>
        <w:t xml:space="preserve">V. PASCAL </w:t>
      </w:r>
      <w:r w:rsidR="002216FD">
        <w:t>et al</w:t>
      </w:r>
      <w:r>
        <w:t xml:space="preserve">., CEA contribution to the analysis of the control rod withdrawal test performed during </w:t>
      </w:r>
      <w:proofErr w:type="spellStart"/>
      <w:r>
        <w:t>Phénix</w:t>
      </w:r>
      <w:proofErr w:type="spellEnd"/>
      <w:r>
        <w:t xml:space="preserve"> end-of-life experiments (IAEA Common Research Program), </w:t>
      </w:r>
      <w:r w:rsidRPr="00A70C9B">
        <w:t xml:space="preserve">PHYSOR 2014 – The Role of Reactor Physics </w:t>
      </w:r>
      <w:proofErr w:type="gramStart"/>
      <w:r w:rsidRPr="00A70C9B">
        <w:t>Toward</w:t>
      </w:r>
      <w:proofErr w:type="gramEnd"/>
      <w:r w:rsidRPr="00A70C9B">
        <w:t xml:space="preserve"> a Sustainable Future</w:t>
      </w:r>
      <w:r w:rsidR="00080768">
        <w:t xml:space="preserve">, </w:t>
      </w:r>
      <w:r>
        <w:t>Kyoto (2014).</w:t>
      </w:r>
    </w:p>
    <w:p w14:paraId="1BD2BEBE" w14:textId="5F244F10" w:rsidR="002128F2" w:rsidRDefault="002216FD" w:rsidP="002216FD">
      <w:pPr>
        <w:pStyle w:val="Referencelist"/>
      </w:pPr>
      <w:r>
        <w:rPr>
          <w:noProof/>
        </w:rPr>
        <w:t>J. LEPPANEN</w:t>
      </w:r>
      <w:r w:rsidR="002128F2">
        <w:rPr>
          <w:noProof/>
        </w:rPr>
        <w:t xml:space="preserve"> </w:t>
      </w:r>
      <w:r>
        <w:rPr>
          <w:noProof/>
        </w:rPr>
        <w:t>et al</w:t>
      </w:r>
      <w:r w:rsidR="002128F2">
        <w:rPr>
          <w:noProof/>
        </w:rPr>
        <w:t>., Serpent - a Continuous-energy Monte Carlo Reactor physics Burnup Calculation Code</w:t>
      </w:r>
      <w:r>
        <w:rPr>
          <w:noProof/>
        </w:rPr>
        <w:t xml:space="preserve"> (</w:t>
      </w:r>
      <w:r w:rsidR="00F7454A">
        <w:rPr>
          <w:noProof/>
        </w:rPr>
        <w:t>2019</w:t>
      </w:r>
      <w:r>
        <w:rPr>
          <w:noProof/>
        </w:rPr>
        <w:t xml:space="preserve">), </w:t>
      </w:r>
      <w:r w:rsidRPr="002216FD">
        <w:rPr>
          <w:noProof/>
        </w:rPr>
        <w:t>http://montecarlo.vtt.fi/</w:t>
      </w:r>
      <w:r w:rsidR="00E4251E">
        <w:rPr>
          <w:noProof/>
        </w:rPr>
        <w:t>.</w:t>
      </w:r>
    </w:p>
    <w:p w14:paraId="2406E1BB" w14:textId="70BAB5E0" w:rsidR="002128F2" w:rsidRDefault="002128F2" w:rsidP="00537496">
      <w:pPr>
        <w:pStyle w:val="Referencelist"/>
      </w:pPr>
      <w:r>
        <w:rPr>
          <w:noProof/>
        </w:rPr>
        <w:t>J. LEPPANEN, Serpent - a Continuous-energy Monte Carlo Reactor Physics Burnup Calculation Code, Users manual, VTT Technical research Centre of Finland (2015).</w:t>
      </w:r>
    </w:p>
    <w:p w14:paraId="485A76A2" w14:textId="21A9434E" w:rsidR="00452AD3" w:rsidRDefault="00E4251E" w:rsidP="00FE2B2E">
      <w:pPr>
        <w:pStyle w:val="Referencelist"/>
      </w:pPr>
      <w:r>
        <w:t xml:space="preserve">PYTHON SOFTWARE FOUNDATION, </w:t>
      </w:r>
      <w:r w:rsidR="00AA12F3">
        <w:t xml:space="preserve">Welcome to </w:t>
      </w:r>
      <w:r>
        <w:t>Python</w:t>
      </w:r>
      <w:r w:rsidR="00AA12F3">
        <w:t>.org</w:t>
      </w:r>
      <w:r w:rsidR="002216FD">
        <w:t xml:space="preserve"> (</w:t>
      </w:r>
      <w:r w:rsidR="00F7454A">
        <w:t>2013</w:t>
      </w:r>
      <w:r w:rsidR="002216FD">
        <w:t>)</w:t>
      </w:r>
      <w:r w:rsidR="00AA12F3">
        <w:t xml:space="preserve">, </w:t>
      </w:r>
      <w:r w:rsidR="00AA12F3" w:rsidRPr="00AA12F3">
        <w:t>https://www.python.org/</w:t>
      </w:r>
      <w:r>
        <w:t>.</w:t>
      </w:r>
    </w:p>
    <w:p w14:paraId="0D9F458A" w14:textId="0B1B2AB2" w:rsidR="00E4251E" w:rsidRPr="00B14058" w:rsidRDefault="00A44FDE" w:rsidP="00537496">
      <w:pPr>
        <w:pStyle w:val="Referencelist"/>
      </w:pPr>
      <w:r w:rsidRPr="00B14058">
        <w:t xml:space="preserve">A. SANTAMARINA </w:t>
      </w:r>
      <w:r w:rsidR="00F7454A" w:rsidRPr="00B14058">
        <w:t>et al</w:t>
      </w:r>
      <w:r w:rsidRPr="00B14058">
        <w:t xml:space="preserve">., </w:t>
      </w:r>
      <w:proofErr w:type="gramStart"/>
      <w:r w:rsidRPr="00B14058">
        <w:t>The</w:t>
      </w:r>
      <w:proofErr w:type="gramEnd"/>
      <w:r w:rsidRPr="00B14058">
        <w:t xml:space="preserve"> JEFF-3.1.1 Nuclear Data Library. Validation Results from JEF-2.2 to JEFF-3.1.1, Nuclear Energy Agency (2009).</w:t>
      </w:r>
    </w:p>
    <w:p w14:paraId="2C41B58C" w14:textId="107142C3" w:rsidR="00133F43" w:rsidRPr="00B14058" w:rsidRDefault="00133F43" w:rsidP="00133F43">
      <w:pPr>
        <w:pStyle w:val="Referencelist"/>
      </w:pPr>
      <w:r w:rsidRPr="00B14058">
        <w:t xml:space="preserve">V. PASCAL et al., Main results on </w:t>
      </w:r>
      <w:proofErr w:type="spellStart"/>
      <w:r w:rsidRPr="00B14058">
        <w:t>Phénix</w:t>
      </w:r>
      <w:proofErr w:type="spellEnd"/>
      <w:r w:rsidRPr="00B14058">
        <w:t xml:space="preserve"> final core physics tests, ICAPP ’12, USA, (2012).</w:t>
      </w:r>
    </w:p>
    <w:p w14:paraId="451B86B6" w14:textId="4AF3F80B" w:rsidR="00112A2C" w:rsidRPr="00AD3EF2" w:rsidRDefault="00112A2C" w:rsidP="00112A2C">
      <w:pPr>
        <w:pStyle w:val="Referencelist"/>
      </w:pPr>
      <w:r w:rsidRPr="00AD3EF2">
        <w:t xml:space="preserve">B.R. MUNSON </w:t>
      </w:r>
      <w:r w:rsidR="00751AB0" w:rsidRPr="00AD3EF2">
        <w:t>et al</w:t>
      </w:r>
      <w:r>
        <w:t>.</w:t>
      </w:r>
      <w:r w:rsidRPr="00AD3EF2">
        <w:t>, Fundamentals of Fluid Mechanics, 7</w:t>
      </w:r>
      <w:r w:rsidRPr="00F7454A">
        <w:rPr>
          <w:vertAlign w:val="superscript"/>
        </w:rPr>
        <w:t>th</w:t>
      </w:r>
      <w:r w:rsidRPr="00AD3EF2">
        <w:t xml:space="preserve"> edition, Wiley, </w:t>
      </w:r>
      <w:r>
        <w:t>(</w:t>
      </w:r>
      <w:r w:rsidRPr="00AD3EF2">
        <w:t>2013</w:t>
      </w:r>
      <w:r>
        <w:t>)</w:t>
      </w:r>
      <w:r w:rsidRPr="00AD3EF2">
        <w:t>.</w:t>
      </w:r>
    </w:p>
    <w:p w14:paraId="630D0388" w14:textId="40F8967C" w:rsidR="00112A2C" w:rsidRDefault="00112A2C" w:rsidP="00112A2C">
      <w:pPr>
        <w:pStyle w:val="Referencelist"/>
      </w:pPr>
      <w:r>
        <w:t>F.P. INCROPERA, Fundamentals of Heat and Mass Transfer, 7</w:t>
      </w:r>
      <w:r w:rsidRPr="00A70C9B">
        <w:rPr>
          <w:vertAlign w:val="superscript"/>
        </w:rPr>
        <w:t>th</w:t>
      </w:r>
      <w:r>
        <w:t xml:space="preserve"> edition, Wiley (2011).</w:t>
      </w:r>
    </w:p>
    <w:p w14:paraId="7E35CDF4" w14:textId="6BBC6B90" w:rsidR="00A5643F" w:rsidRDefault="00794FAB">
      <w:pPr>
        <w:pStyle w:val="Referencelist"/>
      </w:pPr>
      <w:r>
        <w:t>Y. PHILIPPONNEAU, Thermal conductivity of (</w:t>
      </w:r>
      <w:proofErr w:type="spellStart"/>
      <w:r>
        <w:t>U</w:t>
      </w:r>
      <w:proofErr w:type="gramStart"/>
      <w:r>
        <w:t>,Pu</w:t>
      </w:r>
      <w:proofErr w:type="spellEnd"/>
      <w:proofErr w:type="gramEnd"/>
      <w:r>
        <w:t>) O2-x mixed oxide fuel</w:t>
      </w:r>
      <w:r w:rsidR="0049224C">
        <w:t xml:space="preserve">, Journal of Nuclear Materials </w:t>
      </w:r>
      <w:r>
        <w:t>(1992)</w:t>
      </w:r>
      <w:r w:rsidR="0049224C">
        <w:t xml:space="preserve"> 194-197</w:t>
      </w:r>
      <w:r>
        <w:t>.</w:t>
      </w:r>
    </w:p>
    <w:p w14:paraId="4FB79B42" w14:textId="4EFA669F" w:rsidR="006C6AEB" w:rsidRDefault="006C6AEB" w:rsidP="006C6AEB">
      <w:pPr>
        <w:pStyle w:val="Referencelist"/>
      </w:pPr>
      <w:r>
        <w:t>A. LAZARO ET AL., Code assessment and modelling for design basis accident analysis of the European sodium fast reactor design. Part I: System description, modelling and benchmarking, Nuclear Engineering and Design</w:t>
      </w:r>
      <w:r w:rsidR="0049224C">
        <w:t>,</w:t>
      </w:r>
      <w:r>
        <w:t xml:space="preserve"> (2014)</w:t>
      </w:r>
      <w:r w:rsidR="0049224C" w:rsidRPr="0049224C">
        <w:t xml:space="preserve"> </w:t>
      </w:r>
      <w:r w:rsidR="0049224C">
        <w:t>1-16</w:t>
      </w:r>
      <w:r>
        <w:t>.</w:t>
      </w:r>
    </w:p>
    <w:p w14:paraId="35CA9417" w14:textId="00C90DCB" w:rsidR="003A0811" w:rsidRPr="009D2BE0" w:rsidRDefault="003A0811" w:rsidP="003A0811">
      <w:pPr>
        <w:pStyle w:val="Referencelist"/>
        <w:rPr>
          <w:lang w:val="en-US"/>
        </w:rPr>
      </w:pPr>
      <w:r w:rsidRPr="009D2BE0">
        <w:rPr>
          <w:lang w:val="en-US"/>
        </w:rPr>
        <w:t>M. LAINET et al., GERM</w:t>
      </w:r>
      <w:r w:rsidR="00751AB0">
        <w:rPr>
          <w:lang w:val="en-US"/>
        </w:rPr>
        <w:t>INAL, a</w:t>
      </w:r>
      <w:r w:rsidRPr="009D2BE0">
        <w:rPr>
          <w:lang w:val="en-US"/>
        </w:rPr>
        <w:t xml:space="preserve"> fuel performance code of the PLEIADES platform to</w:t>
      </w:r>
      <w:r w:rsidR="00751AB0">
        <w:rPr>
          <w:lang w:val="en-US"/>
        </w:rPr>
        <w:t xml:space="preserve"> </w:t>
      </w:r>
      <w:r w:rsidRPr="009D2BE0">
        <w:rPr>
          <w:lang w:val="en-US"/>
        </w:rPr>
        <w:t xml:space="preserve">simulate the in-pile </w:t>
      </w:r>
      <w:r w:rsidR="00751AB0" w:rsidRPr="009D2BE0">
        <w:rPr>
          <w:lang w:val="en-US"/>
        </w:rPr>
        <w:t>behavior</w:t>
      </w:r>
      <w:r w:rsidRPr="009D2BE0">
        <w:rPr>
          <w:lang w:val="en-US"/>
        </w:rPr>
        <w:t xml:space="preserve"> of mixed oxide fuel pins for sodium-cooled fast reactors, Journal of Nuclear Materials (2019) 30-53.</w:t>
      </w:r>
    </w:p>
    <w:p w14:paraId="4AAB1842" w14:textId="0837221E" w:rsidR="0049224C" w:rsidRPr="00DF2AEA" w:rsidRDefault="0049224C" w:rsidP="0049224C">
      <w:pPr>
        <w:pStyle w:val="Referencelist"/>
        <w:rPr>
          <w:lang w:val="fr-FR"/>
        </w:rPr>
      </w:pPr>
      <w:r>
        <w:t xml:space="preserve">R. A. </w:t>
      </w:r>
      <w:proofErr w:type="spellStart"/>
      <w:r>
        <w:t>Seban</w:t>
      </w:r>
      <w:proofErr w:type="spellEnd"/>
      <w:r>
        <w:t xml:space="preserve"> , T. T. </w:t>
      </w:r>
      <w:proofErr w:type="spellStart"/>
      <w:r>
        <w:t>Shimazaki</w:t>
      </w:r>
      <w:proofErr w:type="spellEnd"/>
      <w:r>
        <w:t xml:space="preserve">, </w:t>
      </w:r>
      <w:r w:rsidRPr="0049224C">
        <w:t>Heat Transfer to a Fluid Flowing Turbulently in a Smooth Pipe with</w:t>
      </w:r>
      <w:r>
        <w:t xml:space="preserve"> Walls at Constant Temperature,</w:t>
      </w:r>
      <w:r w:rsidRPr="0049224C">
        <w:t xml:space="preserve"> Trans. ASME, 73, 803 (1951).</w:t>
      </w:r>
    </w:p>
    <w:p w14:paraId="46249909" w14:textId="1AB60E9D" w:rsidR="00FC2BED" w:rsidRPr="00CB3DC8" w:rsidRDefault="00FC2BED" w:rsidP="0049224C">
      <w:pPr>
        <w:pStyle w:val="Referencelist"/>
        <w:rPr>
          <w:lang w:val="fr-FR"/>
        </w:rPr>
      </w:pPr>
      <w:r>
        <w:rPr>
          <w:lang w:val="fr-FR"/>
        </w:rPr>
        <w:t xml:space="preserve">K. </w:t>
      </w:r>
      <w:proofErr w:type="spellStart"/>
      <w:r>
        <w:rPr>
          <w:lang w:val="fr-FR"/>
        </w:rPr>
        <w:t>Herbreteau</w:t>
      </w:r>
      <w:proofErr w:type="spellEnd"/>
      <w:r>
        <w:rPr>
          <w:lang w:val="fr-FR"/>
        </w:rPr>
        <w:t xml:space="preserve">, </w:t>
      </w:r>
      <w:r w:rsidRPr="00FC2BED">
        <w:rPr>
          <w:lang w:val="fr-FR"/>
        </w:rPr>
        <w:t>Développement d’un outil physique orienté conception pour la simulation des excursions de puissance non protégée dans un RNR-Na</w:t>
      </w:r>
      <w:r>
        <w:rPr>
          <w:lang w:val="fr-FR"/>
        </w:rPr>
        <w:t xml:space="preserve">, </w:t>
      </w:r>
      <w:r w:rsidRPr="00FC2BED">
        <w:rPr>
          <w:noProof/>
          <w:lang w:val="fr-FR"/>
        </w:rPr>
        <w:t>Université Grenoble Alpes,</w:t>
      </w:r>
      <w:r>
        <w:rPr>
          <w:lang w:val="fr-FR"/>
        </w:rPr>
        <w:t xml:space="preserve"> (2018).</w:t>
      </w:r>
    </w:p>
    <w:p w14:paraId="588C3E0C" w14:textId="1DF727BC" w:rsidR="00CB3DC8" w:rsidRPr="00CB3DC8" w:rsidRDefault="00CB3DC8" w:rsidP="00CB3DC8">
      <w:pPr>
        <w:pStyle w:val="Referencelist"/>
        <w:rPr>
          <w:noProof/>
        </w:rPr>
      </w:pPr>
      <w:r w:rsidRPr="00CB3DC8">
        <w:rPr>
          <w:noProof/>
        </w:rPr>
        <w:t>F. Acosta, Development of a thermal-hydraulics/thermomechanics coupling model for the evaluation of the behavior of SFR fuel assemblies under irradiation, Université Grenoble Alpes, (2019).</w:t>
      </w:r>
    </w:p>
    <w:p w14:paraId="6AA42316" w14:textId="38C9C2DF" w:rsidR="00794FAB" w:rsidRDefault="00794FAB" w:rsidP="0049224C">
      <w:pPr>
        <w:pStyle w:val="Referencelist"/>
        <w:rPr>
          <w:lang w:val="fr-FR"/>
        </w:rPr>
      </w:pPr>
      <w:r w:rsidRPr="00A36871">
        <w:rPr>
          <w:lang w:val="fr-FR"/>
        </w:rPr>
        <w:t xml:space="preserve">A. CASENAVE, Etude d’un </w:t>
      </w:r>
      <w:r w:rsidR="00751AB0" w:rsidRPr="00A36871">
        <w:rPr>
          <w:lang w:val="fr-FR"/>
        </w:rPr>
        <w:t>schéma</w:t>
      </w:r>
      <w:r w:rsidRPr="00A36871">
        <w:rPr>
          <w:lang w:val="fr-FR"/>
        </w:rPr>
        <w:t xml:space="preserve"> de calcul pour la </w:t>
      </w:r>
      <w:r w:rsidR="00751AB0" w:rsidRPr="00A36871">
        <w:rPr>
          <w:lang w:val="fr-FR"/>
        </w:rPr>
        <w:t>détermination</w:t>
      </w:r>
      <w:r w:rsidRPr="00A36871">
        <w:rPr>
          <w:lang w:val="fr-FR"/>
        </w:rPr>
        <w:t xml:space="preserve"> des </w:t>
      </w:r>
      <w:r w:rsidR="00751AB0" w:rsidRPr="00A36871">
        <w:rPr>
          <w:lang w:val="fr-FR"/>
        </w:rPr>
        <w:t>sections</w:t>
      </w:r>
      <w:r w:rsidRPr="00A36871">
        <w:rPr>
          <w:lang w:val="fr-FR"/>
        </w:rPr>
        <w:t xml:space="preserve"> </w:t>
      </w:r>
      <w:r w:rsidR="00751AB0" w:rsidRPr="00A36871">
        <w:rPr>
          <w:lang w:val="fr-FR"/>
        </w:rPr>
        <w:t>efficaces</w:t>
      </w:r>
      <w:r w:rsidRPr="00A36871">
        <w:rPr>
          <w:lang w:val="fr-FR"/>
        </w:rPr>
        <w:t xml:space="preserve"> d’un </w:t>
      </w:r>
      <w:proofErr w:type="spellStart"/>
      <w:r w:rsidRPr="00A36871">
        <w:rPr>
          <w:lang w:val="fr-FR"/>
        </w:rPr>
        <w:t>Coeur</w:t>
      </w:r>
      <w:proofErr w:type="spellEnd"/>
      <w:r w:rsidRPr="00A36871">
        <w:rPr>
          <w:lang w:val="fr-FR"/>
        </w:rPr>
        <w:t xml:space="preserve"> de REP, Ecole Polyt</w:t>
      </w:r>
      <w:r w:rsidR="00FD5B20">
        <w:rPr>
          <w:lang w:val="fr-FR"/>
        </w:rPr>
        <w:t>echnique de Montréal, Montréal (</w:t>
      </w:r>
      <w:r w:rsidR="00481626">
        <w:rPr>
          <w:lang w:val="fr-FR"/>
        </w:rPr>
        <w:t>2012</w:t>
      </w:r>
      <w:r w:rsidR="00FD5B20">
        <w:rPr>
          <w:lang w:val="fr-FR"/>
        </w:rPr>
        <w:t>)</w:t>
      </w:r>
      <w:r w:rsidRPr="00A36871">
        <w:rPr>
          <w:lang w:val="fr-FR"/>
        </w:rPr>
        <w:t>.</w:t>
      </w:r>
    </w:p>
    <w:p w14:paraId="4766167F" w14:textId="43CE061A" w:rsidR="00FE2B2E" w:rsidRPr="00A36871" w:rsidRDefault="00833794" w:rsidP="006202F9">
      <w:pPr>
        <w:pStyle w:val="Referencelist"/>
      </w:pPr>
      <w:r w:rsidRPr="00833794">
        <w:rPr>
          <w:noProof/>
        </w:rPr>
        <w:t>G. BELL</w:t>
      </w:r>
      <w:r>
        <w:rPr>
          <w:noProof/>
        </w:rPr>
        <w:t xml:space="preserve">, S. GLASSTONE </w:t>
      </w:r>
      <w:r w:rsidRPr="00833794">
        <w:rPr>
          <w:noProof/>
        </w:rPr>
        <w:t xml:space="preserve">, Nuclear Reactor Theory, </w:t>
      </w:r>
      <w:r w:rsidRPr="00E50C29">
        <w:rPr>
          <w:lang w:val="en-US" w:eastAsia="en-GB"/>
        </w:rPr>
        <w:t xml:space="preserve">Van </w:t>
      </w:r>
      <w:proofErr w:type="spellStart"/>
      <w:r w:rsidRPr="00E50C29">
        <w:rPr>
          <w:lang w:val="en-US" w:eastAsia="en-GB"/>
        </w:rPr>
        <w:t>Nostrand</w:t>
      </w:r>
      <w:proofErr w:type="spellEnd"/>
      <w:r w:rsidRPr="00E50C29">
        <w:rPr>
          <w:lang w:val="en-US" w:eastAsia="en-GB"/>
        </w:rPr>
        <w:t xml:space="preserve"> Reinhold Company, New York (1970).</w:t>
      </w:r>
    </w:p>
    <w:sectPr w:rsidR="00FE2B2E" w:rsidRPr="00A36871" w:rsidSect="0026525A">
      <w:headerReference w:type="even" r:id="rId25"/>
      <w:headerReference w:type="default" r:id="rId26"/>
      <w:footerReference w:type="even" r:id="rId27"/>
      <w:footerReference w:type="default" r:id="rId28"/>
      <w:headerReference w:type="first" r:id="rId29"/>
      <w:footerReference w:type="first" r:id="rId30"/>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048B0" w14:textId="77777777" w:rsidR="00A57C5D" w:rsidRDefault="00A57C5D">
      <w:r>
        <w:separator/>
      </w:r>
    </w:p>
  </w:endnote>
  <w:endnote w:type="continuationSeparator" w:id="0">
    <w:p w14:paraId="008F7029" w14:textId="77777777" w:rsidR="00A57C5D" w:rsidRDefault="00A57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6" w14:textId="77777777" w:rsidR="00021A2A" w:rsidRDefault="00021A2A">
    <w:pPr>
      <w:pStyle w:val="zyxClassification1"/>
    </w:pPr>
    <w:r>
      <w:fldChar w:fldCharType="begin"/>
    </w:r>
    <w:r>
      <w:instrText xml:space="preserve"> DOCPROPERTY "IaeaClassification"  \* MERGEFORMAT </w:instrText>
    </w:r>
    <w:r>
      <w:fldChar w:fldCharType="end"/>
    </w:r>
  </w:p>
  <w:p w14:paraId="433FE0C7" w14:textId="77777777" w:rsidR="00021A2A" w:rsidRDefault="00021A2A">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8" w14:textId="77777777" w:rsidR="00021A2A" w:rsidRDefault="00021A2A">
    <w:pPr>
      <w:pStyle w:val="zyxClassification1"/>
    </w:pPr>
    <w:r>
      <w:fldChar w:fldCharType="begin"/>
    </w:r>
    <w:r>
      <w:instrText xml:space="preserve"> DOCPROPERTY "IaeaClassification"  \* MERGEFORMAT </w:instrText>
    </w:r>
    <w:r>
      <w:fldChar w:fldCharType="end"/>
    </w:r>
  </w:p>
  <w:p w14:paraId="433FE0C9" w14:textId="43F86472" w:rsidR="00021A2A" w:rsidRPr="00037321" w:rsidRDefault="00021A2A">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016AB8">
      <w:rPr>
        <w:rFonts w:ascii="Times New Roman" w:hAnsi="Times New Roman" w:cs="Times New Roman"/>
        <w:noProof/>
        <w:sz w:val="20"/>
      </w:rPr>
      <w:t>7</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021A2A" w14:paraId="433FE0D8" w14:textId="77777777">
      <w:trPr>
        <w:cantSplit/>
      </w:trPr>
      <w:tc>
        <w:tcPr>
          <w:tcW w:w="4644" w:type="dxa"/>
        </w:tcPr>
        <w:p w14:paraId="433FE0D4" w14:textId="77777777" w:rsidR="00021A2A" w:rsidRDefault="00021A2A">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021A2A" w:rsidRDefault="00021A2A">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4" w:name="DOC_bkmClassification2"/>
      <w:tc>
        <w:tcPr>
          <w:tcW w:w="5670" w:type="dxa"/>
          <w:tcMar>
            <w:right w:w="249" w:type="dxa"/>
          </w:tcMar>
        </w:tcPr>
        <w:p w14:paraId="433FE0D6" w14:textId="77777777" w:rsidR="00021A2A" w:rsidRDefault="00021A2A">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
        <w:p w14:paraId="433FE0D7" w14:textId="77777777" w:rsidR="00021A2A" w:rsidRDefault="00021A2A">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5" w:name="DOC_bkmFileName"/>
  <w:p w14:paraId="433FE0D9" w14:textId="77777777" w:rsidR="00021A2A" w:rsidRDefault="00021A2A">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5"/>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18CB03" w14:textId="77777777" w:rsidR="00A57C5D" w:rsidRDefault="00A57C5D">
      <w:r>
        <w:t>___________________________________________________________________________</w:t>
      </w:r>
    </w:p>
  </w:footnote>
  <w:footnote w:type="continuationSeparator" w:id="0">
    <w:p w14:paraId="6A280C34" w14:textId="77777777" w:rsidR="00A57C5D" w:rsidRDefault="00A57C5D">
      <w:r>
        <w:t>___________________________________________________________________________</w:t>
      </w:r>
    </w:p>
  </w:footnote>
  <w:footnote w:type="continuationNotice" w:id="1">
    <w:p w14:paraId="61450C7B" w14:textId="77777777" w:rsidR="00A57C5D" w:rsidRDefault="00A57C5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2" w14:textId="4552D988" w:rsidR="00021A2A" w:rsidRDefault="00021A2A" w:rsidP="00E92FBE">
    <w:pPr>
      <w:pStyle w:val="Runninghead"/>
    </w:pPr>
    <w:r>
      <w:tab/>
      <w:t xml:space="preserve">FR21: IAEA-CN-291/116 </w:t>
    </w:r>
  </w:p>
  <w:p w14:paraId="433FE0C3" w14:textId="77777777" w:rsidR="00021A2A" w:rsidRDefault="00021A2A">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5" w14:textId="458A329B" w:rsidR="00021A2A" w:rsidRPr="00E92FBE" w:rsidRDefault="00021A2A" w:rsidP="00E92FBE">
    <w:pPr>
      <w:pStyle w:val="Runninghead"/>
    </w:pPr>
    <w:r>
      <w:t xml:space="preserve">B. FORNO et al.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021A2A" w14:paraId="433FE0CE" w14:textId="77777777">
      <w:trPr>
        <w:cantSplit/>
        <w:trHeight w:val="716"/>
      </w:trPr>
      <w:tc>
        <w:tcPr>
          <w:tcW w:w="979" w:type="dxa"/>
          <w:vMerge w:val="restart"/>
        </w:tcPr>
        <w:p w14:paraId="433FE0CA" w14:textId="77777777" w:rsidR="00021A2A" w:rsidRDefault="00021A2A">
          <w:pPr>
            <w:spacing w:before="180"/>
            <w:ind w:left="17"/>
          </w:pPr>
        </w:p>
      </w:tc>
      <w:tc>
        <w:tcPr>
          <w:tcW w:w="3638" w:type="dxa"/>
          <w:vAlign w:val="bottom"/>
        </w:tcPr>
        <w:p w14:paraId="433FE0CB" w14:textId="77777777" w:rsidR="00021A2A" w:rsidRDefault="00021A2A">
          <w:pPr>
            <w:spacing w:after="20"/>
          </w:pPr>
        </w:p>
      </w:tc>
      <w:bookmarkStart w:id="3" w:name="DOC_bkmClassification1"/>
      <w:tc>
        <w:tcPr>
          <w:tcW w:w="5702" w:type="dxa"/>
          <w:vMerge w:val="restart"/>
          <w:tcMar>
            <w:right w:w="193" w:type="dxa"/>
          </w:tcMar>
        </w:tcPr>
        <w:p w14:paraId="433FE0CC" w14:textId="77777777" w:rsidR="00021A2A" w:rsidRDefault="00021A2A">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
        <w:p w14:paraId="433FE0CD" w14:textId="77777777" w:rsidR="00021A2A" w:rsidRDefault="00021A2A">
          <w:pPr>
            <w:pStyle w:val="zyxConfid2Red"/>
          </w:pPr>
          <w:r>
            <w:fldChar w:fldCharType="begin"/>
          </w:r>
          <w:r>
            <w:instrText>DOCPROPERTY "IaeaClassification2"  \* MERGEFORMAT</w:instrText>
          </w:r>
          <w:r>
            <w:fldChar w:fldCharType="end"/>
          </w:r>
        </w:p>
      </w:tc>
    </w:tr>
    <w:tr w:rsidR="00021A2A" w14:paraId="433FE0D2" w14:textId="77777777">
      <w:trPr>
        <w:cantSplit/>
        <w:trHeight w:val="167"/>
      </w:trPr>
      <w:tc>
        <w:tcPr>
          <w:tcW w:w="979" w:type="dxa"/>
          <w:vMerge/>
        </w:tcPr>
        <w:p w14:paraId="433FE0CF" w14:textId="77777777" w:rsidR="00021A2A" w:rsidRDefault="00021A2A">
          <w:pPr>
            <w:spacing w:before="57"/>
          </w:pPr>
        </w:p>
      </w:tc>
      <w:tc>
        <w:tcPr>
          <w:tcW w:w="3638" w:type="dxa"/>
          <w:vAlign w:val="bottom"/>
        </w:tcPr>
        <w:p w14:paraId="433FE0D0" w14:textId="77777777" w:rsidR="00021A2A" w:rsidRDefault="00021A2A">
          <w:pPr>
            <w:pStyle w:val="Titre9"/>
            <w:spacing w:before="0" w:after="10"/>
          </w:pPr>
        </w:p>
      </w:tc>
      <w:tc>
        <w:tcPr>
          <w:tcW w:w="5702" w:type="dxa"/>
          <w:vMerge/>
          <w:vAlign w:val="bottom"/>
        </w:tcPr>
        <w:p w14:paraId="433FE0D1" w14:textId="77777777" w:rsidR="00021A2A" w:rsidRDefault="00021A2A">
          <w:pPr>
            <w:pStyle w:val="Titre9"/>
            <w:spacing w:before="0" w:after="10"/>
          </w:pPr>
        </w:p>
      </w:tc>
    </w:tr>
  </w:tbl>
  <w:p w14:paraId="433FE0D3" w14:textId="77777777" w:rsidR="00021A2A" w:rsidRDefault="00021A2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1A349DC"/>
    <w:multiLevelType w:val="hybridMultilevel"/>
    <w:tmpl w:val="BFDCE5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EA1DA4"/>
    <w:multiLevelType w:val="hybridMultilevel"/>
    <w:tmpl w:val="29F03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8" w15:restartNumberingAfterBreak="0">
    <w:nsid w:val="33090FD2"/>
    <w:multiLevelType w:val="hybridMultilevel"/>
    <w:tmpl w:val="8BE2F340"/>
    <w:lvl w:ilvl="0" w:tplc="4D7CFFDE">
      <w:start w:val="2"/>
      <w:numFmt w:val="bullet"/>
      <w:lvlText w:val="-"/>
      <w:lvlJc w:val="left"/>
      <w:pPr>
        <w:ind w:left="709" w:hanging="360"/>
      </w:pPr>
      <w:rPr>
        <w:rFonts w:ascii="Times New Roman" w:eastAsia="Times New Roman" w:hAnsi="Times New Roman" w:cs="Times New Roman" w:hint="default"/>
      </w:rPr>
    </w:lvl>
    <w:lvl w:ilvl="1" w:tplc="040C0003" w:tentative="1">
      <w:start w:val="1"/>
      <w:numFmt w:val="bullet"/>
      <w:lvlText w:val="o"/>
      <w:lvlJc w:val="left"/>
      <w:pPr>
        <w:ind w:left="1429" w:hanging="360"/>
      </w:pPr>
      <w:rPr>
        <w:rFonts w:ascii="Courier New" w:hAnsi="Courier New" w:cs="Courier New" w:hint="default"/>
      </w:rPr>
    </w:lvl>
    <w:lvl w:ilvl="2" w:tplc="040C0005" w:tentative="1">
      <w:start w:val="1"/>
      <w:numFmt w:val="bullet"/>
      <w:lvlText w:val=""/>
      <w:lvlJc w:val="left"/>
      <w:pPr>
        <w:ind w:left="2149" w:hanging="360"/>
      </w:pPr>
      <w:rPr>
        <w:rFonts w:ascii="Wingdings" w:hAnsi="Wingdings" w:hint="default"/>
      </w:rPr>
    </w:lvl>
    <w:lvl w:ilvl="3" w:tplc="040C0001" w:tentative="1">
      <w:start w:val="1"/>
      <w:numFmt w:val="bullet"/>
      <w:lvlText w:val=""/>
      <w:lvlJc w:val="left"/>
      <w:pPr>
        <w:ind w:left="2869" w:hanging="360"/>
      </w:pPr>
      <w:rPr>
        <w:rFonts w:ascii="Symbol" w:hAnsi="Symbol" w:hint="default"/>
      </w:rPr>
    </w:lvl>
    <w:lvl w:ilvl="4" w:tplc="040C0003" w:tentative="1">
      <w:start w:val="1"/>
      <w:numFmt w:val="bullet"/>
      <w:lvlText w:val="o"/>
      <w:lvlJc w:val="left"/>
      <w:pPr>
        <w:ind w:left="3589" w:hanging="360"/>
      </w:pPr>
      <w:rPr>
        <w:rFonts w:ascii="Courier New" w:hAnsi="Courier New" w:cs="Courier New" w:hint="default"/>
      </w:rPr>
    </w:lvl>
    <w:lvl w:ilvl="5" w:tplc="040C0005" w:tentative="1">
      <w:start w:val="1"/>
      <w:numFmt w:val="bullet"/>
      <w:lvlText w:val=""/>
      <w:lvlJc w:val="left"/>
      <w:pPr>
        <w:ind w:left="4309" w:hanging="360"/>
      </w:pPr>
      <w:rPr>
        <w:rFonts w:ascii="Wingdings" w:hAnsi="Wingdings" w:hint="default"/>
      </w:rPr>
    </w:lvl>
    <w:lvl w:ilvl="6" w:tplc="040C0001" w:tentative="1">
      <w:start w:val="1"/>
      <w:numFmt w:val="bullet"/>
      <w:lvlText w:val=""/>
      <w:lvlJc w:val="left"/>
      <w:pPr>
        <w:ind w:left="5029" w:hanging="360"/>
      </w:pPr>
      <w:rPr>
        <w:rFonts w:ascii="Symbol" w:hAnsi="Symbol" w:hint="default"/>
      </w:rPr>
    </w:lvl>
    <w:lvl w:ilvl="7" w:tplc="040C0003" w:tentative="1">
      <w:start w:val="1"/>
      <w:numFmt w:val="bullet"/>
      <w:lvlText w:val="o"/>
      <w:lvlJc w:val="left"/>
      <w:pPr>
        <w:ind w:left="5749" w:hanging="360"/>
      </w:pPr>
      <w:rPr>
        <w:rFonts w:ascii="Courier New" w:hAnsi="Courier New" w:cs="Courier New" w:hint="default"/>
      </w:rPr>
    </w:lvl>
    <w:lvl w:ilvl="8" w:tplc="040C0005" w:tentative="1">
      <w:start w:val="1"/>
      <w:numFmt w:val="bullet"/>
      <w:lvlText w:val=""/>
      <w:lvlJc w:val="left"/>
      <w:pPr>
        <w:ind w:left="6469" w:hanging="360"/>
      </w:pPr>
      <w:rPr>
        <w:rFonts w:ascii="Wingdings" w:hAnsi="Wingdings" w:hint="default"/>
      </w:rPr>
    </w:lvl>
  </w:abstractNum>
  <w:abstractNum w:abstractNumId="9"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FD461E"/>
    <w:multiLevelType w:val="hybridMultilevel"/>
    <w:tmpl w:val="FAB48C82"/>
    <w:lvl w:ilvl="0" w:tplc="729E8378">
      <w:start w:val="19"/>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A70C2C"/>
    <w:multiLevelType w:val="hybridMultilevel"/>
    <w:tmpl w:val="0AE2F326"/>
    <w:lvl w:ilvl="0" w:tplc="B2C01942">
      <w:start w:val="2"/>
      <w:numFmt w:val="bullet"/>
      <w:lvlText w:val="-"/>
      <w:lvlJc w:val="left"/>
      <w:pPr>
        <w:ind w:left="1080" w:hanging="360"/>
      </w:pPr>
      <w:rPr>
        <w:rFonts w:ascii="Century Schoolbook" w:eastAsiaTheme="minorHAnsi" w:hAnsi="Century Schoolbook"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4C826681"/>
    <w:multiLevelType w:val="hybridMultilevel"/>
    <w:tmpl w:val="29F03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4" w15:restartNumberingAfterBreak="0">
    <w:nsid w:val="52973D19"/>
    <w:multiLevelType w:val="hybridMultilevel"/>
    <w:tmpl w:val="55DEA058"/>
    <w:lvl w:ilvl="0" w:tplc="5060C84A">
      <w:start w:val="2"/>
      <w:numFmt w:val="bullet"/>
      <w:lvlText w:val="-"/>
      <w:lvlJc w:val="left"/>
      <w:pPr>
        <w:ind w:left="927" w:hanging="360"/>
      </w:pPr>
      <w:rPr>
        <w:rFonts w:ascii="Times New Roman" w:eastAsia="Times New Roman" w:hAnsi="Times New Roman"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5"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DFD0474"/>
    <w:multiLevelType w:val="hybridMultilevel"/>
    <w:tmpl w:val="F0ACAE8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DAF2B42"/>
    <w:multiLevelType w:val="hybridMultilevel"/>
    <w:tmpl w:val="DDC2E4F6"/>
    <w:lvl w:ilvl="0" w:tplc="812AC5C6">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suff w:val="space"/>
      <w:lvlText w:val="%1%2."/>
      <w:lvlJc w:val="left"/>
      <w:pPr>
        <w:ind w:left="0" w:firstLine="0"/>
      </w:pPr>
      <w:rPr>
        <w:rFonts w:hint="default"/>
        <w:color w:val="auto"/>
      </w:rPr>
    </w:lvl>
    <w:lvl w:ilvl="2">
      <w:start w:val="1"/>
      <w:numFmt w:val="decimal"/>
      <w:lvlRestart w:val="0"/>
      <w:lvlText w:val="%1%2.%3."/>
      <w:lvlJc w:val="left"/>
      <w:pPr>
        <w:ind w:left="0" w:firstLine="0"/>
      </w:pPr>
      <w:rPr>
        <w:rFonts w:hint="default"/>
      </w:rPr>
    </w:lvl>
    <w:lvl w:ilvl="3">
      <w:start w:val="1"/>
      <w:numFmt w:val="decimal"/>
      <w:lvlRestart w:val="0"/>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20"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7A3B0F34"/>
    <w:multiLevelType w:val="hybridMultilevel"/>
    <w:tmpl w:val="722CA636"/>
    <w:lvl w:ilvl="0" w:tplc="952C6432">
      <w:start w:val="7"/>
      <w:numFmt w:val="bullet"/>
      <w:lvlText w:val="-"/>
      <w:lvlJc w:val="left"/>
      <w:pPr>
        <w:ind w:left="927" w:hanging="360"/>
      </w:pPr>
      <w:rPr>
        <w:rFonts w:ascii="Times New Roman" w:eastAsia="Times New Roman" w:hAnsi="Times New Roman"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num w:numId="1">
    <w:abstractNumId w:val="13"/>
  </w:num>
  <w:num w:numId="2">
    <w:abstractNumId w:val="5"/>
  </w:num>
  <w:num w:numId="3">
    <w:abstractNumId w:val="19"/>
  </w:num>
  <w:num w:numId="4">
    <w:abstractNumId w:val="19"/>
  </w:num>
  <w:num w:numId="5">
    <w:abstractNumId w:val="19"/>
  </w:num>
  <w:num w:numId="6">
    <w:abstractNumId w:val="7"/>
  </w:num>
  <w:num w:numId="7">
    <w:abstractNumId w:val="15"/>
  </w:num>
  <w:num w:numId="8">
    <w:abstractNumId w:val="20"/>
  </w:num>
  <w:num w:numId="9">
    <w:abstractNumId w:val="1"/>
  </w:num>
  <w:num w:numId="10">
    <w:abstractNumId w:val="19"/>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lvlText w:val="%1%2."/>
        <w:lvlJc w:val="left"/>
        <w:pPr>
          <w:ind w:left="0" w:firstLine="0"/>
        </w:pPr>
        <w:rPr>
          <w:rFonts w:hint="default"/>
          <w:color w:val="auto"/>
        </w:rPr>
      </w:lvl>
    </w:lvlOverride>
    <w:lvlOverride w:ilvl="2">
      <w:lvl w:ilvl="2">
        <w:start w:val="1"/>
        <w:numFmt w:val="decimal"/>
        <w:lvlRestart w:val="0"/>
        <w:lvlText w:val="%1%2.%3."/>
        <w:lvlJc w:val="left"/>
        <w:pPr>
          <w:ind w:left="0" w:firstLine="0"/>
        </w:pPr>
        <w:rPr>
          <w:rFonts w:hint="default"/>
        </w:rPr>
      </w:lvl>
    </w:lvlOverride>
    <w:lvlOverride w:ilvl="3">
      <w:lvl w:ilvl="3">
        <w:start w:val="1"/>
        <w:numFmt w:val="none"/>
        <w:lvlRestart w:val="0"/>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9"/>
  </w:num>
  <w:num w:numId="12">
    <w:abstractNumId w:val="19"/>
  </w:num>
  <w:num w:numId="13">
    <w:abstractNumId w:val="19"/>
  </w:num>
  <w:num w:numId="14">
    <w:abstractNumId w:val="19"/>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suff w:val="space"/>
        <w:lvlText w:val="%1%2."/>
        <w:lvlJc w:val="left"/>
        <w:pPr>
          <w:ind w:left="0" w:firstLine="0"/>
        </w:pPr>
        <w:rPr>
          <w:rFonts w:hint="default"/>
          <w:color w:val="auto"/>
        </w:rPr>
      </w:lvl>
    </w:lvlOverride>
    <w:lvlOverride w:ilvl="2">
      <w:lvl w:ilvl="2">
        <w:start w:val="1"/>
        <w:numFmt w:val="decimal"/>
        <w:lvlRestart w:val="0"/>
        <w:suff w:val="space"/>
        <w:lvlText w:val="%1%2.%3."/>
        <w:lvlJc w:val="left"/>
        <w:pPr>
          <w:ind w:left="0" w:firstLine="0"/>
        </w:pPr>
        <w:rPr>
          <w:rFonts w:hint="default"/>
        </w:rPr>
      </w:lvl>
    </w:lvlOverride>
    <w:lvlOverride w:ilvl="3">
      <w:lvl w:ilvl="3">
        <w:start w:val="1"/>
        <w:numFmt w:val="decimal"/>
        <w:lvlRestart w:val="0"/>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9"/>
  </w:num>
  <w:num w:numId="16">
    <w:abstractNumId w:val="19"/>
  </w:num>
  <w:num w:numId="17">
    <w:abstractNumId w:val="19"/>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3"/>
  </w:num>
  <w:num w:numId="21">
    <w:abstractNumId w:val="19"/>
  </w:num>
  <w:num w:numId="22">
    <w:abstractNumId w:val="4"/>
  </w:num>
  <w:num w:numId="23">
    <w:abstractNumId w:val="0"/>
  </w:num>
  <w:num w:numId="24">
    <w:abstractNumId w:val="18"/>
  </w:num>
  <w:num w:numId="25">
    <w:abstractNumId w:val="19"/>
  </w:num>
  <w:num w:numId="26">
    <w:abstractNumId w:val="19"/>
  </w:num>
  <w:num w:numId="27">
    <w:abstractNumId w:val="19"/>
  </w:num>
  <w:num w:numId="28">
    <w:abstractNumId w:val="19"/>
  </w:num>
  <w:num w:numId="29">
    <w:abstractNumId w:val="19"/>
  </w:num>
  <w:num w:numId="30">
    <w:abstractNumId w:val="9"/>
  </w:num>
  <w:num w:numId="31">
    <w:abstractNumId w:val="9"/>
  </w:num>
  <w:num w:numId="32">
    <w:abstractNumId w:val="19"/>
  </w:num>
  <w:num w:numId="33">
    <w:abstractNumId w:val="6"/>
  </w:num>
  <w:num w:numId="34">
    <w:abstractNumId w:val="12"/>
  </w:num>
  <w:num w:numId="35">
    <w:abstractNumId w:val="14"/>
  </w:num>
  <w:num w:numId="36">
    <w:abstractNumId w:val="3"/>
  </w:num>
  <w:num w:numId="37">
    <w:abstractNumId w:val="8"/>
  </w:num>
  <w:num w:numId="38">
    <w:abstractNumId w:val="10"/>
  </w:num>
  <w:num w:numId="39">
    <w:abstractNumId w:val="16"/>
  </w:num>
  <w:num w:numId="40">
    <w:abstractNumId w:val="2"/>
  </w:num>
  <w:num w:numId="41">
    <w:abstractNumId w:val="11"/>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3A2"/>
    <w:rsid w:val="00016AB8"/>
    <w:rsid w:val="00016B25"/>
    <w:rsid w:val="00021A2A"/>
    <w:rsid w:val="000229AB"/>
    <w:rsid w:val="0002569A"/>
    <w:rsid w:val="000270F4"/>
    <w:rsid w:val="00027F94"/>
    <w:rsid w:val="00036A16"/>
    <w:rsid w:val="00037321"/>
    <w:rsid w:val="00044640"/>
    <w:rsid w:val="00064E86"/>
    <w:rsid w:val="0006545F"/>
    <w:rsid w:val="00071A1F"/>
    <w:rsid w:val="00074DBA"/>
    <w:rsid w:val="00075BBD"/>
    <w:rsid w:val="00080768"/>
    <w:rsid w:val="00083ACA"/>
    <w:rsid w:val="00093A64"/>
    <w:rsid w:val="00094DFD"/>
    <w:rsid w:val="00096939"/>
    <w:rsid w:val="000A0299"/>
    <w:rsid w:val="000A2990"/>
    <w:rsid w:val="000A3AA1"/>
    <w:rsid w:val="000B6366"/>
    <w:rsid w:val="000C4332"/>
    <w:rsid w:val="000C7C05"/>
    <w:rsid w:val="000E2AC6"/>
    <w:rsid w:val="000E3CF8"/>
    <w:rsid w:val="000E7174"/>
    <w:rsid w:val="000F7E94"/>
    <w:rsid w:val="00100C10"/>
    <w:rsid w:val="0010471E"/>
    <w:rsid w:val="001119D6"/>
    <w:rsid w:val="00112A2C"/>
    <w:rsid w:val="00121817"/>
    <w:rsid w:val="001308F2"/>
    <w:rsid w:val="001313E8"/>
    <w:rsid w:val="00132C07"/>
    <w:rsid w:val="00133F43"/>
    <w:rsid w:val="001453BF"/>
    <w:rsid w:val="00153B4F"/>
    <w:rsid w:val="00166864"/>
    <w:rsid w:val="00183BC4"/>
    <w:rsid w:val="00187EF7"/>
    <w:rsid w:val="001923AE"/>
    <w:rsid w:val="001952DF"/>
    <w:rsid w:val="00195B1E"/>
    <w:rsid w:val="001B3470"/>
    <w:rsid w:val="001B3CE1"/>
    <w:rsid w:val="001C22C8"/>
    <w:rsid w:val="001C58F5"/>
    <w:rsid w:val="001C6C9A"/>
    <w:rsid w:val="001D3E15"/>
    <w:rsid w:val="001D4728"/>
    <w:rsid w:val="001D5CEE"/>
    <w:rsid w:val="001E1217"/>
    <w:rsid w:val="001E1226"/>
    <w:rsid w:val="001F43BC"/>
    <w:rsid w:val="002071D9"/>
    <w:rsid w:val="002108F7"/>
    <w:rsid w:val="00210AF0"/>
    <w:rsid w:val="002128F2"/>
    <w:rsid w:val="002216FD"/>
    <w:rsid w:val="0022657D"/>
    <w:rsid w:val="0025535B"/>
    <w:rsid w:val="00256822"/>
    <w:rsid w:val="00260149"/>
    <w:rsid w:val="0026060C"/>
    <w:rsid w:val="0026525A"/>
    <w:rsid w:val="00274790"/>
    <w:rsid w:val="00275A00"/>
    <w:rsid w:val="002763C1"/>
    <w:rsid w:val="00285755"/>
    <w:rsid w:val="002A1F9C"/>
    <w:rsid w:val="002B1A63"/>
    <w:rsid w:val="002B29C2"/>
    <w:rsid w:val="002B5C7A"/>
    <w:rsid w:val="002C29DB"/>
    <w:rsid w:val="002C4208"/>
    <w:rsid w:val="002D50F5"/>
    <w:rsid w:val="002E1A9B"/>
    <w:rsid w:val="002E3BF9"/>
    <w:rsid w:val="002E3EFD"/>
    <w:rsid w:val="002F42D0"/>
    <w:rsid w:val="0032271E"/>
    <w:rsid w:val="0034253B"/>
    <w:rsid w:val="00352DE1"/>
    <w:rsid w:val="003716DA"/>
    <w:rsid w:val="003728E6"/>
    <w:rsid w:val="003842E9"/>
    <w:rsid w:val="00385B19"/>
    <w:rsid w:val="003A0811"/>
    <w:rsid w:val="003A2DFC"/>
    <w:rsid w:val="003B1D99"/>
    <w:rsid w:val="003B4B10"/>
    <w:rsid w:val="003B5E0E"/>
    <w:rsid w:val="003B66A2"/>
    <w:rsid w:val="003C28DB"/>
    <w:rsid w:val="003C75B6"/>
    <w:rsid w:val="003D05C8"/>
    <w:rsid w:val="003D255A"/>
    <w:rsid w:val="00400969"/>
    <w:rsid w:val="0040506A"/>
    <w:rsid w:val="00416949"/>
    <w:rsid w:val="00420F01"/>
    <w:rsid w:val="00421487"/>
    <w:rsid w:val="004234B9"/>
    <w:rsid w:val="00424D30"/>
    <w:rsid w:val="00432BAE"/>
    <w:rsid w:val="004370D8"/>
    <w:rsid w:val="00446DD7"/>
    <w:rsid w:val="00452AD3"/>
    <w:rsid w:val="00456C89"/>
    <w:rsid w:val="00472C43"/>
    <w:rsid w:val="00481626"/>
    <w:rsid w:val="004879FD"/>
    <w:rsid w:val="00491BE4"/>
    <w:rsid w:val="0049224C"/>
    <w:rsid w:val="004934D9"/>
    <w:rsid w:val="004B5D3C"/>
    <w:rsid w:val="004C65C4"/>
    <w:rsid w:val="004E162D"/>
    <w:rsid w:val="004E30FF"/>
    <w:rsid w:val="004F0EF1"/>
    <w:rsid w:val="004F166B"/>
    <w:rsid w:val="004F19FF"/>
    <w:rsid w:val="004F51FC"/>
    <w:rsid w:val="005138E1"/>
    <w:rsid w:val="0053488E"/>
    <w:rsid w:val="00537496"/>
    <w:rsid w:val="0054167B"/>
    <w:rsid w:val="0054291D"/>
    <w:rsid w:val="00542E57"/>
    <w:rsid w:val="00544ED3"/>
    <w:rsid w:val="00551A27"/>
    <w:rsid w:val="00554765"/>
    <w:rsid w:val="0056484B"/>
    <w:rsid w:val="0057457D"/>
    <w:rsid w:val="00575823"/>
    <w:rsid w:val="005767C3"/>
    <w:rsid w:val="0058477B"/>
    <w:rsid w:val="0058654F"/>
    <w:rsid w:val="00595C7F"/>
    <w:rsid w:val="00596ACA"/>
    <w:rsid w:val="005A00F9"/>
    <w:rsid w:val="005D4B28"/>
    <w:rsid w:val="005D7630"/>
    <w:rsid w:val="005D7FEF"/>
    <w:rsid w:val="005E39BC"/>
    <w:rsid w:val="005F00A0"/>
    <w:rsid w:val="005F4CF9"/>
    <w:rsid w:val="00602F1D"/>
    <w:rsid w:val="0061596E"/>
    <w:rsid w:val="006168B1"/>
    <w:rsid w:val="00616C90"/>
    <w:rsid w:val="006171FF"/>
    <w:rsid w:val="006202F9"/>
    <w:rsid w:val="00631B8D"/>
    <w:rsid w:val="00634CAC"/>
    <w:rsid w:val="00635BF5"/>
    <w:rsid w:val="0064126E"/>
    <w:rsid w:val="00647F33"/>
    <w:rsid w:val="00652415"/>
    <w:rsid w:val="0065387D"/>
    <w:rsid w:val="00655E12"/>
    <w:rsid w:val="00662532"/>
    <w:rsid w:val="0066497D"/>
    <w:rsid w:val="006741EE"/>
    <w:rsid w:val="006779FD"/>
    <w:rsid w:val="0069621C"/>
    <w:rsid w:val="006A2D4E"/>
    <w:rsid w:val="006A3EB3"/>
    <w:rsid w:val="006A5094"/>
    <w:rsid w:val="006B2274"/>
    <w:rsid w:val="006B7AA9"/>
    <w:rsid w:val="006C16CF"/>
    <w:rsid w:val="006C6AEB"/>
    <w:rsid w:val="006D0CB3"/>
    <w:rsid w:val="006D14A8"/>
    <w:rsid w:val="006D3D2B"/>
    <w:rsid w:val="006D53C2"/>
    <w:rsid w:val="006D7C43"/>
    <w:rsid w:val="006E2415"/>
    <w:rsid w:val="006F15CB"/>
    <w:rsid w:val="00704E88"/>
    <w:rsid w:val="00706A3D"/>
    <w:rsid w:val="00717C6F"/>
    <w:rsid w:val="00723144"/>
    <w:rsid w:val="00724E9D"/>
    <w:rsid w:val="00726711"/>
    <w:rsid w:val="00730DF5"/>
    <w:rsid w:val="00734240"/>
    <w:rsid w:val="00734B16"/>
    <w:rsid w:val="007371C2"/>
    <w:rsid w:val="007445DA"/>
    <w:rsid w:val="00745DA5"/>
    <w:rsid w:val="00747930"/>
    <w:rsid w:val="00751AB0"/>
    <w:rsid w:val="00751EB5"/>
    <w:rsid w:val="00774EFD"/>
    <w:rsid w:val="00794FAB"/>
    <w:rsid w:val="007A21A5"/>
    <w:rsid w:val="007B4FD1"/>
    <w:rsid w:val="007B686A"/>
    <w:rsid w:val="007B6C5C"/>
    <w:rsid w:val="007D221C"/>
    <w:rsid w:val="007F014D"/>
    <w:rsid w:val="007F1A22"/>
    <w:rsid w:val="00802381"/>
    <w:rsid w:val="00827055"/>
    <w:rsid w:val="0083096A"/>
    <w:rsid w:val="0083109C"/>
    <w:rsid w:val="00833794"/>
    <w:rsid w:val="00837A74"/>
    <w:rsid w:val="00840EC7"/>
    <w:rsid w:val="00846191"/>
    <w:rsid w:val="0085334F"/>
    <w:rsid w:val="0085691C"/>
    <w:rsid w:val="0086759F"/>
    <w:rsid w:val="00871F40"/>
    <w:rsid w:val="00872CDD"/>
    <w:rsid w:val="00883848"/>
    <w:rsid w:val="008844E7"/>
    <w:rsid w:val="00891392"/>
    <w:rsid w:val="00897ED5"/>
    <w:rsid w:val="008A3A33"/>
    <w:rsid w:val="008A7665"/>
    <w:rsid w:val="008B2C05"/>
    <w:rsid w:val="008B6BB9"/>
    <w:rsid w:val="008C5530"/>
    <w:rsid w:val="009049A3"/>
    <w:rsid w:val="00911543"/>
    <w:rsid w:val="0091242B"/>
    <w:rsid w:val="00922C89"/>
    <w:rsid w:val="009314B2"/>
    <w:rsid w:val="009451DC"/>
    <w:rsid w:val="009519C9"/>
    <w:rsid w:val="00957833"/>
    <w:rsid w:val="0096260B"/>
    <w:rsid w:val="009658C1"/>
    <w:rsid w:val="0098207C"/>
    <w:rsid w:val="00983288"/>
    <w:rsid w:val="00991CFB"/>
    <w:rsid w:val="00992543"/>
    <w:rsid w:val="00995F77"/>
    <w:rsid w:val="009A544F"/>
    <w:rsid w:val="009A68AC"/>
    <w:rsid w:val="009B5876"/>
    <w:rsid w:val="009C58BC"/>
    <w:rsid w:val="009C6B81"/>
    <w:rsid w:val="009D0B86"/>
    <w:rsid w:val="009D2BE0"/>
    <w:rsid w:val="009E0D5B"/>
    <w:rsid w:val="009E1558"/>
    <w:rsid w:val="009F2CE4"/>
    <w:rsid w:val="009F5C6E"/>
    <w:rsid w:val="009F784D"/>
    <w:rsid w:val="009F7C74"/>
    <w:rsid w:val="00A0088A"/>
    <w:rsid w:val="00A065C9"/>
    <w:rsid w:val="00A233D1"/>
    <w:rsid w:val="00A33921"/>
    <w:rsid w:val="00A36871"/>
    <w:rsid w:val="00A40FB5"/>
    <w:rsid w:val="00A42898"/>
    <w:rsid w:val="00A439E7"/>
    <w:rsid w:val="00A44FDE"/>
    <w:rsid w:val="00A53E7A"/>
    <w:rsid w:val="00A5643F"/>
    <w:rsid w:val="00A56E72"/>
    <w:rsid w:val="00A577C9"/>
    <w:rsid w:val="00A57919"/>
    <w:rsid w:val="00A57C5D"/>
    <w:rsid w:val="00A70B41"/>
    <w:rsid w:val="00A70BF4"/>
    <w:rsid w:val="00A70C9B"/>
    <w:rsid w:val="00AA12F3"/>
    <w:rsid w:val="00AB2680"/>
    <w:rsid w:val="00AB6ACE"/>
    <w:rsid w:val="00AB6DAD"/>
    <w:rsid w:val="00AC18A1"/>
    <w:rsid w:val="00AC453B"/>
    <w:rsid w:val="00AC521B"/>
    <w:rsid w:val="00AC5A3A"/>
    <w:rsid w:val="00AC7AC5"/>
    <w:rsid w:val="00AD3EF2"/>
    <w:rsid w:val="00AD5762"/>
    <w:rsid w:val="00AD7513"/>
    <w:rsid w:val="00AE2C06"/>
    <w:rsid w:val="00AF5FEE"/>
    <w:rsid w:val="00B02641"/>
    <w:rsid w:val="00B061C1"/>
    <w:rsid w:val="00B12008"/>
    <w:rsid w:val="00B14058"/>
    <w:rsid w:val="00B209A6"/>
    <w:rsid w:val="00B20A16"/>
    <w:rsid w:val="00B214F9"/>
    <w:rsid w:val="00B26D51"/>
    <w:rsid w:val="00B27883"/>
    <w:rsid w:val="00B27885"/>
    <w:rsid w:val="00B301BC"/>
    <w:rsid w:val="00B322E2"/>
    <w:rsid w:val="00B604BE"/>
    <w:rsid w:val="00B6304A"/>
    <w:rsid w:val="00B73953"/>
    <w:rsid w:val="00B777C9"/>
    <w:rsid w:val="00B80D2C"/>
    <w:rsid w:val="00B82FA5"/>
    <w:rsid w:val="00B97B2B"/>
    <w:rsid w:val="00BA1A64"/>
    <w:rsid w:val="00BA3B46"/>
    <w:rsid w:val="00BA4E80"/>
    <w:rsid w:val="00BB0916"/>
    <w:rsid w:val="00BC5801"/>
    <w:rsid w:val="00BD1400"/>
    <w:rsid w:val="00BD605C"/>
    <w:rsid w:val="00BE1D0D"/>
    <w:rsid w:val="00BE2A76"/>
    <w:rsid w:val="00BE4475"/>
    <w:rsid w:val="00C22A23"/>
    <w:rsid w:val="00C25A22"/>
    <w:rsid w:val="00C2604A"/>
    <w:rsid w:val="00C34381"/>
    <w:rsid w:val="00C440EC"/>
    <w:rsid w:val="00C632EC"/>
    <w:rsid w:val="00C65E60"/>
    <w:rsid w:val="00C66438"/>
    <w:rsid w:val="00C72CF7"/>
    <w:rsid w:val="00C773FB"/>
    <w:rsid w:val="00C809C0"/>
    <w:rsid w:val="00C819D7"/>
    <w:rsid w:val="00C81DA0"/>
    <w:rsid w:val="00C947AA"/>
    <w:rsid w:val="00CA0102"/>
    <w:rsid w:val="00CA0826"/>
    <w:rsid w:val="00CB2F29"/>
    <w:rsid w:val="00CB3DC8"/>
    <w:rsid w:val="00CB7147"/>
    <w:rsid w:val="00CD0E98"/>
    <w:rsid w:val="00CD4702"/>
    <w:rsid w:val="00CE14D5"/>
    <w:rsid w:val="00CE42C7"/>
    <w:rsid w:val="00CE598D"/>
    <w:rsid w:val="00CE5A52"/>
    <w:rsid w:val="00CE6788"/>
    <w:rsid w:val="00CF7AF3"/>
    <w:rsid w:val="00D02FC7"/>
    <w:rsid w:val="00D178D8"/>
    <w:rsid w:val="00D21207"/>
    <w:rsid w:val="00D22FE8"/>
    <w:rsid w:val="00D269D8"/>
    <w:rsid w:val="00D26ADA"/>
    <w:rsid w:val="00D35A78"/>
    <w:rsid w:val="00D555A1"/>
    <w:rsid w:val="00D64DC2"/>
    <w:rsid w:val="00D65212"/>
    <w:rsid w:val="00D67246"/>
    <w:rsid w:val="00D67BD7"/>
    <w:rsid w:val="00D74292"/>
    <w:rsid w:val="00D75317"/>
    <w:rsid w:val="00D804AD"/>
    <w:rsid w:val="00D85D18"/>
    <w:rsid w:val="00D924BF"/>
    <w:rsid w:val="00DA46CA"/>
    <w:rsid w:val="00DD3E41"/>
    <w:rsid w:val="00DF21EB"/>
    <w:rsid w:val="00DF2AEA"/>
    <w:rsid w:val="00E07C44"/>
    <w:rsid w:val="00E13D48"/>
    <w:rsid w:val="00E20E70"/>
    <w:rsid w:val="00E25B68"/>
    <w:rsid w:val="00E340B7"/>
    <w:rsid w:val="00E34F0A"/>
    <w:rsid w:val="00E4251E"/>
    <w:rsid w:val="00E429FB"/>
    <w:rsid w:val="00E42D0E"/>
    <w:rsid w:val="00E432AD"/>
    <w:rsid w:val="00E50C29"/>
    <w:rsid w:val="00E55F00"/>
    <w:rsid w:val="00E60AFF"/>
    <w:rsid w:val="00E6658D"/>
    <w:rsid w:val="00E703B2"/>
    <w:rsid w:val="00E723F4"/>
    <w:rsid w:val="00E76EC7"/>
    <w:rsid w:val="00E7772F"/>
    <w:rsid w:val="00E84003"/>
    <w:rsid w:val="00E92FBE"/>
    <w:rsid w:val="00E93EB6"/>
    <w:rsid w:val="00E96817"/>
    <w:rsid w:val="00EA093D"/>
    <w:rsid w:val="00EB2EBE"/>
    <w:rsid w:val="00EC10FC"/>
    <w:rsid w:val="00ED0A99"/>
    <w:rsid w:val="00ED4E33"/>
    <w:rsid w:val="00EE0041"/>
    <w:rsid w:val="00EE29B9"/>
    <w:rsid w:val="00EE7319"/>
    <w:rsid w:val="00EE7ACE"/>
    <w:rsid w:val="00EF1D6E"/>
    <w:rsid w:val="00F001A4"/>
    <w:rsid w:val="00F004EE"/>
    <w:rsid w:val="00F12A99"/>
    <w:rsid w:val="00F13850"/>
    <w:rsid w:val="00F17C42"/>
    <w:rsid w:val="00F20418"/>
    <w:rsid w:val="00F271A0"/>
    <w:rsid w:val="00F347F6"/>
    <w:rsid w:val="00F422CC"/>
    <w:rsid w:val="00F4265F"/>
    <w:rsid w:val="00F42E23"/>
    <w:rsid w:val="00F45EEE"/>
    <w:rsid w:val="00F51E9C"/>
    <w:rsid w:val="00F523CA"/>
    <w:rsid w:val="00F53D22"/>
    <w:rsid w:val="00F607C2"/>
    <w:rsid w:val="00F62AE6"/>
    <w:rsid w:val="00F62BC5"/>
    <w:rsid w:val="00F662BE"/>
    <w:rsid w:val="00F73A52"/>
    <w:rsid w:val="00F73CB9"/>
    <w:rsid w:val="00F7454A"/>
    <w:rsid w:val="00F74A9D"/>
    <w:rsid w:val="00F765BD"/>
    <w:rsid w:val="00F81B6A"/>
    <w:rsid w:val="00F86623"/>
    <w:rsid w:val="00F902BF"/>
    <w:rsid w:val="00F90896"/>
    <w:rsid w:val="00F92EF7"/>
    <w:rsid w:val="00F93879"/>
    <w:rsid w:val="00F938A1"/>
    <w:rsid w:val="00F97A4E"/>
    <w:rsid w:val="00FA0783"/>
    <w:rsid w:val="00FA562B"/>
    <w:rsid w:val="00FB43AE"/>
    <w:rsid w:val="00FB4B3C"/>
    <w:rsid w:val="00FB7E7B"/>
    <w:rsid w:val="00FC06F6"/>
    <w:rsid w:val="00FC2BED"/>
    <w:rsid w:val="00FD1789"/>
    <w:rsid w:val="00FD5B20"/>
    <w:rsid w:val="00FE2B2E"/>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99"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Titre1">
    <w:name w:val="heading 1"/>
    <w:aliases w:val="Paper title"/>
    <w:next w:val="Sous-titr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itre2">
    <w:name w:val="heading 2"/>
    <w:aliases w:val="1st level paper heading"/>
    <w:next w:val="Corpsdetexte"/>
    <w:link w:val="Titre2Car"/>
    <w:uiPriority w:val="4"/>
    <w:qFormat/>
    <w:rsid w:val="00EE0041"/>
    <w:pPr>
      <w:widowControl w:val="0"/>
      <w:spacing w:before="100" w:beforeAutospacing="1" w:after="100" w:afterAutospacing="1" w:line="280" w:lineRule="atLeast"/>
      <w:outlineLvl w:val="1"/>
    </w:pPr>
    <w:rPr>
      <w:caps/>
      <w:lang w:eastAsia="en-US"/>
    </w:rPr>
  </w:style>
  <w:style w:type="paragraph" w:styleId="Titre3">
    <w:name w:val="heading 3"/>
    <w:aliases w:val="2nd level paper heading"/>
    <w:next w:val="Corpsdetexte"/>
    <w:uiPriority w:val="4"/>
    <w:qFormat/>
    <w:rsid w:val="00897ED5"/>
    <w:pPr>
      <w:widowControl w:val="0"/>
      <w:spacing w:before="240" w:after="240" w:line="240" w:lineRule="exact"/>
      <w:outlineLvl w:val="2"/>
    </w:pPr>
    <w:rPr>
      <w:b/>
      <w:lang w:eastAsia="en-US"/>
    </w:rPr>
  </w:style>
  <w:style w:type="paragraph" w:styleId="Titre4">
    <w:name w:val="heading 4"/>
    <w:aliases w:val="3rd level paper heading"/>
    <w:basedOn w:val="Normal"/>
    <w:next w:val="Corpsdetexte"/>
    <w:uiPriority w:val="4"/>
    <w:qFormat/>
    <w:rsid w:val="00897ED5"/>
    <w:pPr>
      <w:widowControl w:val="0"/>
      <w:spacing w:before="100" w:beforeAutospacing="1" w:after="100" w:afterAutospacing="1" w:line="240" w:lineRule="atLeast"/>
      <w:outlineLvl w:val="3"/>
    </w:pPr>
    <w:rPr>
      <w:i/>
      <w:sz w:val="20"/>
      <w:lang w:val="en-US"/>
    </w:rPr>
  </w:style>
  <w:style w:type="paragraph" w:styleId="Titre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Titre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Titre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Titre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Titre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link w:val="CorpsdetexteCar"/>
    <w:qFormat/>
    <w:rsid w:val="00647F33"/>
    <w:pPr>
      <w:spacing w:line="260" w:lineRule="atLeast"/>
      <w:ind w:firstLine="567"/>
      <w:contextualSpacing/>
      <w:jc w:val="both"/>
    </w:pPr>
    <w:rPr>
      <w:lang w:eastAsia="en-US"/>
    </w:rPr>
  </w:style>
  <w:style w:type="paragraph" w:styleId="Retraitcorpsdetexte">
    <w:name w:val="Body Text Indent"/>
    <w:basedOn w:val="Corpsdetexte"/>
    <w:uiPriority w:val="49"/>
    <w:locked/>
    <w:pPr>
      <w:ind w:left="1134" w:hanging="675"/>
    </w:pPr>
  </w:style>
  <w:style w:type="paragraph" w:customStyle="1" w:styleId="BodyTextMultiline">
    <w:name w:val="Body Text Multiline"/>
    <w:basedOn w:val="Corpsdetexte"/>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Lgende">
    <w:name w:val="caption"/>
    <w:next w:val="Normal"/>
    <w:uiPriority w:val="49"/>
    <w:pPr>
      <w:spacing w:after="85"/>
    </w:pPr>
    <w:rPr>
      <w:bCs/>
      <w:sz w:val="18"/>
      <w:lang w:val="en-US" w:eastAsia="en-US"/>
    </w:rPr>
  </w:style>
  <w:style w:type="paragraph" w:styleId="Pieddepage">
    <w:name w:val="footer"/>
    <w:basedOn w:val="Normal"/>
    <w:link w:val="PieddepageCar"/>
    <w:uiPriority w:val="99"/>
    <w:locked/>
    <w:pPr>
      <w:overflowPunct/>
      <w:autoSpaceDE/>
      <w:autoSpaceDN/>
      <w:adjustRightInd/>
      <w:textAlignment w:val="auto"/>
    </w:pPr>
    <w:rPr>
      <w:sz w:val="2"/>
      <w:lang w:val="en-US"/>
    </w:rPr>
  </w:style>
  <w:style w:type="paragraph" w:styleId="Notedebasdepage">
    <w:name w:val="footnote text"/>
    <w:link w:val="NotedebasdepageCar"/>
    <w:uiPriority w:val="99"/>
    <w:semiHidden/>
    <w:locked/>
    <w:pPr>
      <w:tabs>
        <w:tab w:val="left" w:pos="459"/>
      </w:tabs>
      <w:spacing w:before="142"/>
      <w:ind w:left="459"/>
      <w:jc w:val="both"/>
    </w:pPr>
    <w:rPr>
      <w:sz w:val="18"/>
      <w:lang w:eastAsia="en-US"/>
    </w:rPr>
  </w:style>
  <w:style w:type="paragraph" w:styleId="En-tte">
    <w:name w:val="header"/>
    <w:next w:val="Corpsdetexte"/>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Corpsdetexte"/>
    <w:uiPriority w:val="6"/>
    <w:qFormat/>
    <w:rsid w:val="00717C6F"/>
    <w:pPr>
      <w:numPr>
        <w:numId w:val="20"/>
      </w:numPr>
      <w:ind w:left="709"/>
    </w:pPr>
  </w:style>
  <w:style w:type="paragraph" w:customStyle="1" w:styleId="ListNumbered">
    <w:name w:val="List Numbered"/>
    <w:basedOn w:val="Corpsdetexte"/>
    <w:uiPriority w:val="5"/>
    <w:qFormat/>
    <w:locked/>
    <w:rsid w:val="00717C6F"/>
    <w:pPr>
      <w:numPr>
        <w:numId w:val="22"/>
      </w:numPr>
    </w:pPr>
  </w:style>
  <w:style w:type="paragraph" w:styleId="Titr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Appelnotedebasdep">
    <w:name w:val="footnote reference"/>
    <w:basedOn w:val="Policepardfaut"/>
    <w:uiPriority w:val="99"/>
    <w:semiHidden/>
    <w:locked/>
    <w:rPr>
      <w:vertAlign w:val="superscript"/>
    </w:rPr>
  </w:style>
  <w:style w:type="paragraph" w:styleId="Sous-titre">
    <w:name w:val="Subtitle"/>
    <w:next w:val="Corpsdetexte"/>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sdetexte"/>
    <w:uiPriority w:val="49"/>
    <w:locked/>
    <w:pPr>
      <w:spacing w:line="280" w:lineRule="exact"/>
      <w:jc w:val="right"/>
    </w:pPr>
    <w:rPr>
      <w:rFonts w:ascii="Arial" w:hAnsi="Arial" w:cs="Arial"/>
      <w:b/>
      <w:bCs/>
      <w:caps/>
      <w:sz w:val="24"/>
    </w:rPr>
  </w:style>
  <w:style w:type="paragraph" w:customStyle="1" w:styleId="zyxClassification2">
    <w:name w:val="zyxClassification2"/>
    <w:basedOn w:val="Pieddepage"/>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eddepageCar">
    <w:name w:val="Pied de page Car"/>
    <w:basedOn w:val="Policepardfaut"/>
    <w:link w:val="Pieddepage"/>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Policepardfau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sdetexteCar">
    <w:name w:val="Corps de texte Car"/>
    <w:basedOn w:val="Policepardfaut"/>
    <w:link w:val="Corpsdetexte"/>
    <w:rsid w:val="00647F33"/>
    <w:rPr>
      <w:lang w:eastAsia="en-US"/>
    </w:rPr>
  </w:style>
  <w:style w:type="character" w:customStyle="1" w:styleId="AuthornameandaffiliationChar">
    <w:name w:val="Author name and affiliation Char"/>
    <w:basedOn w:val="CorpsdetexteCar"/>
    <w:link w:val="Authornameandaffiliation"/>
    <w:uiPriority w:val="49"/>
    <w:rsid w:val="00647F33"/>
    <w:rPr>
      <w:lang w:val="en-US" w:eastAsia="en-US"/>
    </w:rPr>
  </w:style>
  <w:style w:type="table" w:styleId="Grilledutableau">
    <w:name w:val="Table Grid"/>
    <w:basedOn w:val="Tableau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xtedebulles">
    <w:name w:val="Balloon Text"/>
    <w:basedOn w:val="Normal"/>
    <w:link w:val="TextedebullesCar"/>
    <w:uiPriority w:val="49"/>
    <w:locked/>
    <w:rsid w:val="005F00A0"/>
    <w:rPr>
      <w:rFonts w:ascii="Tahoma" w:hAnsi="Tahoma" w:cs="Tahoma"/>
      <w:sz w:val="16"/>
      <w:szCs w:val="16"/>
    </w:rPr>
  </w:style>
  <w:style w:type="character" w:customStyle="1" w:styleId="TextedebullesCar">
    <w:name w:val="Texte de bulles Car"/>
    <w:basedOn w:val="Policepardfaut"/>
    <w:link w:val="Textedebulles"/>
    <w:uiPriority w:val="49"/>
    <w:rsid w:val="005F00A0"/>
    <w:rPr>
      <w:rFonts w:ascii="Tahoma" w:hAnsi="Tahoma" w:cs="Tahoma"/>
      <w:sz w:val="16"/>
      <w:szCs w:val="16"/>
      <w:lang w:eastAsia="en-US"/>
    </w:rPr>
  </w:style>
  <w:style w:type="paragraph" w:customStyle="1" w:styleId="Figurecaption">
    <w:name w:val="Figure caption"/>
    <w:basedOn w:val="Corpsdetexte"/>
    <w:link w:val="FigurecaptionChar"/>
    <w:uiPriority w:val="49"/>
    <w:qFormat/>
    <w:locked/>
    <w:rsid w:val="00717C6F"/>
    <w:pPr>
      <w:jc w:val="center"/>
    </w:pPr>
    <w:rPr>
      <w:i/>
      <w:sz w:val="18"/>
    </w:rPr>
  </w:style>
  <w:style w:type="paragraph" w:customStyle="1" w:styleId="Otherunnumberedheadings">
    <w:name w:val="Other unnumbered headings"/>
    <w:next w:val="Corpsdetexte"/>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sdetexteCar"/>
    <w:link w:val="Figurecaption"/>
    <w:uiPriority w:val="49"/>
    <w:rsid w:val="00717C6F"/>
    <w:rPr>
      <w:i/>
      <w:sz w:val="18"/>
      <w:lang w:eastAsia="en-US"/>
    </w:rPr>
  </w:style>
  <w:style w:type="paragraph" w:customStyle="1" w:styleId="Referencelist">
    <w:name w:val="Reference list"/>
    <w:basedOn w:val="Corpsdetexte"/>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orpsdetexteC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sdetexteCar"/>
    <w:link w:val="Referencelist"/>
    <w:uiPriority w:val="49"/>
    <w:rsid w:val="009E0D5B"/>
    <w:rPr>
      <w:sz w:val="18"/>
      <w:szCs w:val="18"/>
      <w:lang w:eastAsia="en-US"/>
    </w:rPr>
  </w:style>
  <w:style w:type="paragraph" w:customStyle="1" w:styleId="Tabletext">
    <w:name w:val="Table text"/>
    <w:basedOn w:val="Corpsdetexte"/>
    <w:link w:val="TabletextChar"/>
    <w:uiPriority w:val="49"/>
    <w:qFormat/>
    <w:rsid w:val="00883848"/>
    <w:pPr>
      <w:ind w:firstLine="0"/>
    </w:pPr>
  </w:style>
  <w:style w:type="character" w:customStyle="1" w:styleId="TabletextChar">
    <w:name w:val="Table text Char"/>
    <w:basedOn w:val="CorpsdetexteCar"/>
    <w:link w:val="Tabletext"/>
    <w:uiPriority w:val="49"/>
    <w:rsid w:val="00883848"/>
    <w:rPr>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Policepardfaut"/>
    <w:link w:val="FIG-LONG"/>
    <w:rsid w:val="002C29DB"/>
    <w:rPr>
      <w:rFonts w:eastAsiaTheme="minorEastAsia"/>
      <w:i/>
      <w:iCs/>
      <w:sz w:val="18"/>
      <w:szCs w:val="18"/>
      <w:lang w:eastAsia="en-US"/>
    </w:rPr>
  </w:style>
  <w:style w:type="table" w:customStyle="1" w:styleId="TableGrid1">
    <w:name w:val="Table Grid1"/>
    <w:basedOn w:val="TableauNormal"/>
    <w:next w:val="Grilledutableau"/>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49"/>
    <w:semiHidden/>
    <w:unhideWhenUsed/>
    <w:locked/>
    <w:rsid w:val="00A233D1"/>
    <w:rPr>
      <w:sz w:val="16"/>
      <w:szCs w:val="16"/>
    </w:rPr>
  </w:style>
  <w:style w:type="paragraph" w:styleId="Commentaire">
    <w:name w:val="annotation text"/>
    <w:basedOn w:val="Normal"/>
    <w:link w:val="CommentaireCar"/>
    <w:uiPriority w:val="49"/>
    <w:semiHidden/>
    <w:unhideWhenUsed/>
    <w:locked/>
    <w:rsid w:val="00A233D1"/>
    <w:rPr>
      <w:sz w:val="20"/>
    </w:rPr>
  </w:style>
  <w:style w:type="character" w:customStyle="1" w:styleId="CommentaireCar">
    <w:name w:val="Commentaire Car"/>
    <w:basedOn w:val="Policepardfaut"/>
    <w:link w:val="Commentaire"/>
    <w:uiPriority w:val="49"/>
    <w:semiHidden/>
    <w:rsid w:val="00A233D1"/>
    <w:rPr>
      <w:lang w:eastAsia="en-US"/>
    </w:rPr>
  </w:style>
  <w:style w:type="paragraph" w:styleId="Objetducommentaire">
    <w:name w:val="annotation subject"/>
    <w:basedOn w:val="Commentaire"/>
    <w:next w:val="Commentaire"/>
    <w:link w:val="ObjetducommentaireCar"/>
    <w:uiPriority w:val="49"/>
    <w:semiHidden/>
    <w:unhideWhenUsed/>
    <w:locked/>
    <w:rsid w:val="00A233D1"/>
    <w:rPr>
      <w:b/>
      <w:bCs/>
    </w:rPr>
  </w:style>
  <w:style w:type="character" w:customStyle="1" w:styleId="ObjetducommentaireCar">
    <w:name w:val="Objet du commentaire Car"/>
    <w:basedOn w:val="CommentaireCar"/>
    <w:link w:val="Objetducommentaire"/>
    <w:uiPriority w:val="49"/>
    <w:semiHidden/>
    <w:rsid w:val="00A233D1"/>
    <w:rPr>
      <w:b/>
      <w:bCs/>
      <w:lang w:eastAsia="en-US"/>
    </w:rPr>
  </w:style>
  <w:style w:type="character" w:customStyle="1" w:styleId="NotedebasdepageCar">
    <w:name w:val="Note de bas de page Car"/>
    <w:basedOn w:val="Policepardfaut"/>
    <w:link w:val="Notedebasdepage"/>
    <w:uiPriority w:val="99"/>
    <w:semiHidden/>
    <w:rsid w:val="000C7C05"/>
    <w:rPr>
      <w:sz w:val="18"/>
      <w:lang w:eastAsia="en-US"/>
    </w:rPr>
  </w:style>
  <w:style w:type="character" w:styleId="Lienhypertexte">
    <w:name w:val="Hyperlink"/>
    <w:basedOn w:val="Policepardfaut"/>
    <w:uiPriority w:val="49"/>
    <w:unhideWhenUsed/>
    <w:locked/>
    <w:rsid w:val="002128F2"/>
    <w:rPr>
      <w:color w:val="0000FF" w:themeColor="hyperlink"/>
      <w:u w:val="single"/>
    </w:rPr>
  </w:style>
  <w:style w:type="paragraph" w:styleId="Bibliographie">
    <w:name w:val="Bibliography"/>
    <w:basedOn w:val="Normal"/>
    <w:next w:val="Normal"/>
    <w:uiPriority w:val="37"/>
    <w:unhideWhenUsed/>
    <w:locked/>
    <w:rsid w:val="00E4251E"/>
    <w:pPr>
      <w:overflowPunct/>
      <w:autoSpaceDE/>
      <w:autoSpaceDN/>
      <w:adjustRightInd/>
      <w:spacing w:line="276" w:lineRule="auto"/>
      <w:jc w:val="both"/>
      <w:textAlignment w:val="auto"/>
    </w:pPr>
    <w:rPr>
      <w:rFonts w:asciiTheme="minorHAnsi" w:eastAsiaTheme="minorHAnsi" w:hAnsiTheme="minorHAnsi" w:cstheme="minorBidi"/>
      <w:szCs w:val="22"/>
      <w:lang w:val="it-IT"/>
    </w:rPr>
  </w:style>
  <w:style w:type="paragraph" w:styleId="Paragraphedeliste">
    <w:name w:val="List Paragraph"/>
    <w:basedOn w:val="Normal"/>
    <w:uiPriority w:val="34"/>
    <w:qFormat/>
    <w:locked/>
    <w:rsid w:val="00542E57"/>
    <w:pPr>
      <w:ind w:left="720"/>
      <w:contextualSpacing/>
    </w:pPr>
  </w:style>
  <w:style w:type="character" w:customStyle="1" w:styleId="Titre2Car">
    <w:name w:val="Titre 2 Car"/>
    <w:aliases w:val="1st level paper heading Car"/>
    <w:basedOn w:val="Policepardfaut"/>
    <w:link w:val="Titre2"/>
    <w:uiPriority w:val="9"/>
    <w:rsid w:val="001C22C8"/>
    <w:rPr>
      <w:caps/>
      <w:lang w:eastAsia="en-US"/>
    </w:rPr>
  </w:style>
  <w:style w:type="character" w:styleId="Textedelespacerserv">
    <w:name w:val="Placeholder Text"/>
    <w:basedOn w:val="Policepardfaut"/>
    <w:uiPriority w:val="99"/>
    <w:semiHidden/>
    <w:locked/>
    <w:rsid w:val="001C22C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041681">
      <w:bodyDiv w:val="1"/>
      <w:marLeft w:val="0"/>
      <w:marRight w:val="0"/>
      <w:marTop w:val="0"/>
      <w:marBottom w:val="0"/>
      <w:divBdr>
        <w:top w:val="none" w:sz="0" w:space="0" w:color="auto"/>
        <w:left w:val="none" w:sz="0" w:space="0" w:color="auto"/>
        <w:bottom w:val="none" w:sz="0" w:space="0" w:color="auto"/>
        <w:right w:val="none" w:sz="0" w:space="0" w:color="auto"/>
      </w:divBdr>
    </w:div>
    <w:div w:id="307444453">
      <w:bodyDiv w:val="1"/>
      <w:marLeft w:val="0"/>
      <w:marRight w:val="0"/>
      <w:marTop w:val="0"/>
      <w:marBottom w:val="0"/>
      <w:divBdr>
        <w:top w:val="none" w:sz="0" w:space="0" w:color="auto"/>
        <w:left w:val="none" w:sz="0" w:space="0" w:color="auto"/>
        <w:bottom w:val="none" w:sz="0" w:space="0" w:color="auto"/>
        <w:right w:val="none" w:sz="0" w:space="0" w:color="auto"/>
      </w:divBdr>
    </w:div>
    <w:div w:id="484201716">
      <w:bodyDiv w:val="1"/>
      <w:marLeft w:val="0"/>
      <w:marRight w:val="0"/>
      <w:marTop w:val="0"/>
      <w:marBottom w:val="0"/>
      <w:divBdr>
        <w:top w:val="none" w:sz="0" w:space="0" w:color="auto"/>
        <w:left w:val="none" w:sz="0" w:space="0" w:color="auto"/>
        <w:bottom w:val="none" w:sz="0" w:space="0" w:color="auto"/>
        <w:right w:val="none" w:sz="0" w:space="0" w:color="auto"/>
      </w:divBdr>
    </w:div>
    <w:div w:id="524248177">
      <w:bodyDiv w:val="1"/>
      <w:marLeft w:val="0"/>
      <w:marRight w:val="0"/>
      <w:marTop w:val="0"/>
      <w:marBottom w:val="0"/>
      <w:divBdr>
        <w:top w:val="none" w:sz="0" w:space="0" w:color="auto"/>
        <w:left w:val="none" w:sz="0" w:space="0" w:color="auto"/>
        <w:bottom w:val="none" w:sz="0" w:space="0" w:color="auto"/>
        <w:right w:val="none" w:sz="0" w:space="0" w:color="auto"/>
      </w:divBdr>
    </w:div>
    <w:div w:id="88942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b:Source>
    <b:Tag>GIF19</b:Tag>
    <b:SourceType>Report</b:SourceType>
    <b:Guid>{8E99D672-EEE0-4DB5-9CAA-38C98CE8C04C}</b:Guid>
    <b:Author>
      <b:Author>
        <b:Corporate>GIF</b:Corporate>
      </b:Author>
    </b:Author>
    <b:Title>GIF Annual Report</b:Title>
    <b:Year>2019</b:Year>
    <b:RefOrder>1</b:RefOrder>
  </b:Source>
  <b:Source>
    <b:Tag>IAE141</b:Tag>
    <b:SourceType>Report</b:SourceType>
    <b:Guid>{7948AC49-2054-47F3-A992-F0C086301303}</b:Guid>
    <b:Author>
      <b:Author>
        <b:Corporate>IAEA</b:Corporate>
      </b:Author>
    </b:Author>
    <b:Title>Benchmark analysis on the control rod withdrawal tests performed during the PHÉNIX end-of-life experiments</b:Title>
    <b:Year>2014</b:Year>
    <b:Publisher>IAEA  International Atomic Energy Agency</b:Publisher>
    <b:City>Vienna</b:City>
    <b:RefOrder>2</b:RefOrder>
  </b:Source>
  <b:Source>
    <b:Tag>Laz14</b:Tag>
    <b:SourceType>JournalArticle</b:SourceType>
    <b:Guid>{CB8FC3AA-64E3-40A5-8943-37B37B58B92D}</b:Guid>
    <b:Author>
      <b:Author>
        <b:Corporate>Lazaro et al</b:Corporate>
      </b:Author>
    </b:Author>
    <b:Title>Code assessment and modelling for design basis accident analysis of the european sodium fast reactor design. Part I: System description, modelling and benchmarking</b:Title>
    <b:JournalName>Nuclear Engineering and Design</b:JournalName>
    <b:Year>2014</b:Year>
    <b:Pages>1616</b:Pages>
    <b:Volume>266</b:Volume>
    <b:RefOrder>29</b:RefOrder>
  </b:Source>
  <b:Source>
    <b:Tag>YPh92</b:Tag>
    <b:SourceType>JournalArticle</b:SourceType>
    <b:Guid>{30E0EA19-E56D-4B30-B3E6-BA2D3CED9355}</b:Guid>
    <b:LCID>en-US</b:LCID>
    <b:Author>
      <b:Author>
        <b:Corporate>Y. Philipponneau</b:Corporate>
      </b:Author>
    </b:Author>
    <b:Title>Thermal conductivity of (U,Pu) O2-x mixed oxide fuel</b:Title>
    <b:Year>1992</b:Year>
    <b:JournalName>Journal of Nuclear Materials </b:JournalName>
    <b:Pages>194-197</b:Pages>
    <b:Volume>188</b:Volume>
    <b:RefOrder>28</b:RefOrder>
  </b:Source>
</b:Sources>
</file>

<file path=customXml/itemProps1.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9F65FB4D-B9E7-4222-B5FB-29A3F1D1F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126</TotalTime>
  <Pages>10</Pages>
  <Words>4729</Words>
  <Characters>26010</Characters>
  <Application>Microsoft Office Word</Application>
  <DocSecurity>0</DocSecurity>
  <Lines>216</Lines>
  <Paragraphs>61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30678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FORNO Barbara 262684</cp:lastModifiedBy>
  <cp:revision>16</cp:revision>
  <cp:lastPrinted>2015-12-01T10:27:00Z</cp:lastPrinted>
  <dcterms:created xsi:type="dcterms:W3CDTF">2022-03-17T10:19:00Z</dcterms:created>
  <dcterms:modified xsi:type="dcterms:W3CDTF">2022-03-28T06:35:00Z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