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FE03C" w14:textId="614B7DA6" w:rsidR="00E20E70" w:rsidRPr="00EE29B9" w:rsidRDefault="009006EF" w:rsidP="00537496">
      <w:pPr>
        <w:pStyle w:val="1"/>
      </w:pPr>
      <w:bookmarkStart w:id="0" w:name="_Hlk69130178"/>
      <w:r w:rsidRPr="009006EF">
        <w:t>Validation of SARAX Code for the Transient Analysis of Sodium-cooled Fast Reactor</w:t>
      </w:r>
    </w:p>
    <w:p w14:paraId="433FE03F" w14:textId="77777777" w:rsidR="00802381" w:rsidRDefault="00802381" w:rsidP="00537496">
      <w:pPr>
        <w:pStyle w:val="Authornameandaffiliation"/>
      </w:pPr>
    </w:p>
    <w:p w14:paraId="67250DE4" w14:textId="3477D974" w:rsidR="00003206" w:rsidRDefault="009006EF" w:rsidP="00003206">
      <w:pPr>
        <w:pStyle w:val="Authornameandaffiliation"/>
      </w:pPr>
      <w:r>
        <w:t>Jia Xiaoqian</w:t>
      </w:r>
      <w:r w:rsidR="00003206" w:rsidRPr="00003206">
        <w:rPr>
          <w:vertAlign w:val="superscript"/>
        </w:rPr>
        <w:t>1</w:t>
      </w:r>
      <w:r w:rsidR="00003206">
        <w:t xml:space="preserve">, </w:t>
      </w:r>
      <w:r>
        <w:t>Zheng Youqi</w:t>
      </w:r>
      <w:r w:rsidR="00003206" w:rsidRPr="00003206">
        <w:rPr>
          <w:vertAlign w:val="superscript"/>
        </w:rPr>
        <w:t>1</w:t>
      </w:r>
      <w:r>
        <w:rPr>
          <w:vertAlign w:val="superscript"/>
        </w:rPr>
        <w:t>,*</w:t>
      </w:r>
      <w:r w:rsidR="00003206">
        <w:t xml:space="preserve">, </w:t>
      </w:r>
      <w:r>
        <w:t>Du Xianan</w:t>
      </w:r>
      <w:r w:rsidR="00003206" w:rsidRPr="00003206">
        <w:rPr>
          <w:vertAlign w:val="superscript"/>
        </w:rPr>
        <w:t>1</w:t>
      </w:r>
    </w:p>
    <w:p w14:paraId="2AAFE484" w14:textId="77777777" w:rsidR="00003206" w:rsidRDefault="00003206" w:rsidP="00537496">
      <w:pPr>
        <w:pStyle w:val="Authornameandaffiliation"/>
      </w:pPr>
    </w:p>
    <w:p w14:paraId="2EFA8EC7" w14:textId="07436EF5" w:rsidR="00003206" w:rsidRPr="00FF386F" w:rsidRDefault="00003206" w:rsidP="009006EF">
      <w:pPr>
        <w:pStyle w:val="Authornameandaffiliation"/>
      </w:pPr>
      <w:r>
        <w:rPr>
          <w:vertAlign w:val="superscript"/>
        </w:rPr>
        <w:t>1</w:t>
      </w:r>
      <w:r w:rsidR="009006EF">
        <w:t xml:space="preserve">School of Nuclear Science and Technology, Xi’an </w:t>
      </w:r>
      <w:proofErr w:type="spellStart"/>
      <w:r w:rsidR="009006EF">
        <w:t>Jiaotong</w:t>
      </w:r>
      <w:proofErr w:type="spellEnd"/>
      <w:r w:rsidR="009006EF">
        <w:t xml:space="preserve"> University</w:t>
      </w:r>
      <w:r w:rsidR="009006EF">
        <w:rPr>
          <w:rFonts w:hint="eastAsia"/>
          <w:lang w:eastAsia="zh-CN"/>
        </w:rPr>
        <w:t>,</w:t>
      </w:r>
      <w:r w:rsidR="009006EF">
        <w:rPr>
          <w:lang w:eastAsia="zh-CN"/>
        </w:rPr>
        <w:t xml:space="preserve"> </w:t>
      </w:r>
      <w:r w:rsidR="009006EF">
        <w:t>Xi’an, Shaanxi Province, China</w:t>
      </w:r>
    </w:p>
    <w:p w14:paraId="3F7D6C77" w14:textId="77777777" w:rsidR="00003206" w:rsidRDefault="00003206" w:rsidP="00003206">
      <w:pPr>
        <w:pStyle w:val="Authornameandaffiliation"/>
      </w:pPr>
    </w:p>
    <w:p w14:paraId="2EA71BD6" w14:textId="26A7E066" w:rsidR="00003206" w:rsidRDefault="00003206" w:rsidP="00003206">
      <w:pPr>
        <w:pStyle w:val="Authornameandaffiliation"/>
      </w:pPr>
      <w:r>
        <w:t>Email</w:t>
      </w:r>
      <w:r w:rsidRPr="00003206">
        <w:t xml:space="preserve"> contact of </w:t>
      </w:r>
      <w:r>
        <w:t>corresponding</w:t>
      </w:r>
      <w:r w:rsidRPr="00003206">
        <w:t xml:space="preserve"> author</w:t>
      </w:r>
      <w:r>
        <w:t xml:space="preserve">: </w:t>
      </w:r>
      <w:r w:rsidR="009006EF" w:rsidRPr="009006EF">
        <w:t>yqzheng@mail.xjtu.edu.cn</w:t>
      </w:r>
    </w:p>
    <w:p w14:paraId="47497415" w14:textId="67F72CAF" w:rsidR="00003206" w:rsidRDefault="00003206" w:rsidP="00537496">
      <w:pPr>
        <w:pStyle w:val="Authornameandaffiliation"/>
      </w:pPr>
    </w:p>
    <w:p w14:paraId="107A145D" w14:textId="77777777" w:rsidR="00003206" w:rsidRDefault="00003206"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bookmarkEnd w:id="0"/>
    <w:p w14:paraId="433FE04A" w14:textId="77777777" w:rsidR="00647F33" w:rsidRDefault="00647F33" w:rsidP="00537496">
      <w:pPr>
        <w:pStyle w:val="Authornameandaffiliation"/>
      </w:pPr>
    </w:p>
    <w:p w14:paraId="433FE04B" w14:textId="414FCEAB" w:rsidR="00647F33" w:rsidRPr="00BD605C" w:rsidRDefault="0073316F" w:rsidP="0073316F">
      <w:pPr>
        <w:pStyle w:val="Abstracttext"/>
        <w:jc w:val="both"/>
      </w:pPr>
      <w:r w:rsidRPr="0073316F">
        <w:t>Th</w:t>
      </w:r>
      <w:r>
        <w:t>e</w:t>
      </w:r>
      <w:r w:rsidRPr="0073316F">
        <w:t xml:space="preserve"> paper describes the validation work of SARAX code for the transient analysis of sodium-cooled fast reactors (SFR). The Experimental Breeder Reactor II (EBR-II) benchmark released by ANL were modeled and calculated. The reference EBR-II benchmark includes neutronics calculation of the core and SHRT-45R transient (Shutdown Heat Removal Test). The SARAX code is a neutronics analysis package developed by the NECP team at Xi’an </w:t>
      </w:r>
      <w:proofErr w:type="spellStart"/>
      <w:r w:rsidRPr="0073316F">
        <w:t>Jiaotong</w:t>
      </w:r>
      <w:proofErr w:type="spellEnd"/>
      <w:r w:rsidRPr="0073316F">
        <w:t xml:space="preserve"> University and aiming for the advanced reactor research and development. It consists in a cross-section generation code named TULIP, a steady state neutronics calculation code named LAVENDER and a transient analysis code named DAISY. The simulation of EBR-II SHRT-45R transient showed that SARAX gave comparable results with the reference results, which verified the complete code system for transient calculations of SFR.</w:t>
      </w:r>
    </w:p>
    <w:p w14:paraId="433FE04C" w14:textId="77777777" w:rsidR="00647F33" w:rsidRDefault="00F523CA" w:rsidP="00537496">
      <w:pPr>
        <w:pStyle w:val="2"/>
        <w:numPr>
          <w:ilvl w:val="1"/>
          <w:numId w:val="10"/>
        </w:numPr>
      </w:pPr>
      <w:r>
        <w:t>INTRODUCTION</w:t>
      </w:r>
    </w:p>
    <w:p w14:paraId="54F128B4" w14:textId="73C15AA5" w:rsidR="006959B6" w:rsidRDefault="006959B6" w:rsidP="006959B6">
      <w:pPr>
        <w:pStyle w:val="a1"/>
      </w:pPr>
      <w:r>
        <w:t xml:space="preserve">Fast reactors have a long history, from the world's first fast reactor in 1946, years of operating experience have been accumulated so far. China Experimental Fast Reactor (CEFR) began in May 2000 at the China Institute of Atomic Energy (CIAE). It reached critical for the first time in July 2010 and combined to the grid in July 2011. During this process, relevant experience in fast reactor construction, experiment and operation has been accumulated. However, the development of Chinese own transient analysis code is still a key task in the design and construction of sodium-cooled fast reactor. In order to accurately simulate the core </w:t>
      </w:r>
      <w:r w:rsidR="00456409">
        <w:t xml:space="preserve">behaviour </w:t>
      </w:r>
      <w:r>
        <w:t xml:space="preserve">in the transient process of sodium cooled fast reactor, the NECP lab. of Xi’an </w:t>
      </w:r>
      <w:proofErr w:type="spellStart"/>
      <w:r>
        <w:t>Jiaotong</w:t>
      </w:r>
      <w:proofErr w:type="spellEnd"/>
      <w:r>
        <w:t xml:space="preserve"> University has developed the SARAX code</w:t>
      </w:r>
      <w:r w:rsidR="003D12B2">
        <w:t xml:space="preserve"> [1]</w:t>
      </w:r>
      <w:r>
        <w:t xml:space="preserve">, which is capable of performing calculations required for a fast core design. SARAX code includes a cross section generation code TULIP, a steady state core analysis code LAVENDER and a transient analysis code DAISY. </w:t>
      </w:r>
    </w:p>
    <w:p w14:paraId="42B367F8" w14:textId="6B18BF2E" w:rsidR="006959B6" w:rsidRDefault="006959B6" w:rsidP="006959B6">
      <w:pPr>
        <w:pStyle w:val="a1"/>
      </w:pPr>
      <w:r>
        <w:t>The cross-section generation program TULIP</w:t>
      </w:r>
      <w:r w:rsidR="007018BC">
        <w:t xml:space="preserve"> [</w:t>
      </w:r>
      <w:r w:rsidR="00127534">
        <w:t>2</w:t>
      </w:r>
      <w:r w:rsidR="007018BC">
        <w:t>]</w:t>
      </w:r>
      <w:r>
        <w:t xml:space="preserve"> and the steady state core analysis program LAVENDER</w:t>
      </w:r>
      <w:r w:rsidR="007018BC">
        <w:t xml:space="preserve"> [</w:t>
      </w:r>
      <w:r w:rsidR="00127534">
        <w:t>3</w:t>
      </w:r>
      <w:r w:rsidR="007018BC">
        <w:t>]</w:t>
      </w:r>
      <w:r>
        <w:t xml:space="preserve"> have been fully verified and validated. However, for transient analysis process, the steady-state calculation will also have an impact on the final results. This paper will still present the detailed calculation results of TULIP and LAVENDER for the integrity of the results, but will focus on the results of the transient analysis program DAISY. DAISY is developed based on point-kinetics method and integrated thermal-hydraulic feedback model of sodium, lead and LBE</w:t>
      </w:r>
      <w:r w:rsidR="007018BC">
        <w:t xml:space="preserve"> [</w:t>
      </w:r>
      <w:r w:rsidR="00127534">
        <w:t>4</w:t>
      </w:r>
      <w:r w:rsidR="007018BC">
        <w:t>]</w:t>
      </w:r>
      <w:r>
        <w:t xml:space="preserve">. </w:t>
      </w:r>
      <w:bookmarkStart w:id="1" w:name="_Hlk98893639"/>
      <w:r w:rsidR="001D64F9" w:rsidRPr="001D64F9">
        <w:t>In the previous version of SARAX, the point-kinetics method with a single-channel thermal-hydraulic model was adopted. This coupled method would give the change of average temperature in the core during transient process. Together with lumped reactivity feedback coefficients, several kinds of reactivity feedback could be calculated and then substituted into the point-kinetics equation, including fuel Doppler feedback, coolant density feedback,</w:t>
      </w:r>
      <w:bookmarkEnd w:id="1"/>
      <w:r w:rsidR="001D64F9" w:rsidRPr="001D64F9">
        <w:t xml:space="preserve"> axial expansion feedback and radial expansion feedback. This method could give approximate changes of power and temperature with a fast speed. But in realistic transient process, each location in the core will have different temperature changes and different deformation amount. It is impractical to use the average temperature and the lumped feedback coefficients to calculate the reactivity feedback. Recently, a spatial-dependent reactivity feedback model was developed in SARAX for reactor transient </w:t>
      </w:r>
      <w:proofErr w:type="gramStart"/>
      <w:r w:rsidR="001D64F9" w:rsidRPr="001D64F9">
        <w:t>analysis</w:t>
      </w:r>
      <w:r w:rsidR="001D64F9">
        <w:t>[</w:t>
      </w:r>
      <w:proofErr w:type="gramEnd"/>
      <w:r w:rsidR="001D64F9">
        <w:t>5]</w:t>
      </w:r>
      <w:r w:rsidR="001D64F9" w:rsidRPr="001D64F9">
        <w:t xml:space="preserve">. In the spatial-dependent model, the results of the detailed reactivity feedback distribution including fuel Doppler feedback, coolant density feedback, axial expansion feedback, grid expansion feedback, and control rod driveline expansion feedback can be </w:t>
      </w:r>
      <w:proofErr w:type="spellStart"/>
      <w:r w:rsidR="001D64F9" w:rsidRPr="001D64F9">
        <w:t>modeled</w:t>
      </w:r>
      <w:proofErr w:type="spellEnd"/>
      <w:r w:rsidR="001D64F9" w:rsidRPr="001D64F9">
        <w:t>.</w:t>
      </w:r>
      <w:r w:rsidR="001D64F9">
        <w:t xml:space="preserve"> </w:t>
      </w:r>
      <w:r>
        <w:t xml:space="preserve">With the spatial-dependent reactivity feedback model developed in recent </w:t>
      </w:r>
      <w:proofErr w:type="gramStart"/>
      <w:r>
        <w:t>years</w:t>
      </w:r>
      <w:r w:rsidR="007018BC">
        <w:t xml:space="preserve"> </w:t>
      </w:r>
      <w:r>
        <w:t>,</w:t>
      </w:r>
      <w:proofErr w:type="gramEnd"/>
      <w:r>
        <w:t xml:space="preserve"> it can more accurately simulate the dilatation and deformation of the core during the transient process. </w:t>
      </w:r>
    </w:p>
    <w:p w14:paraId="77A8621E" w14:textId="12D19270" w:rsidR="006959B6" w:rsidRDefault="006959B6" w:rsidP="006959B6">
      <w:pPr>
        <w:pStyle w:val="a1"/>
      </w:pPr>
      <w:r>
        <w:t xml:space="preserve">Since the NECP lab. did not participate in the benchmark analysis work of EBR-II shutdown heat removal test organized by the IAEA, the results presented in this paper can be compared with the results of several participant institutes in the IAEA report. Since EBR-II SHRT-45R test began after a burnup period of Run 138B, </w:t>
      </w:r>
      <w:r>
        <w:lastRenderedPageBreak/>
        <w:t>the nuclide density is quite different in every fuel assembly and not clear in reference. Then in this paper, the nuclide density of fuel material used in the steady state calculation will be an average nuclide density. It should be noted that the DAISY program currently does not have the function of system analysis, so the changes of inlet core flow rate involved in the transient will use a fitting curve as input instead of the system analysis process. This fitting curve comes from the measured results in the IAEA report</w:t>
      </w:r>
      <w:r w:rsidR="004C5B39">
        <w:t xml:space="preserve"> </w:t>
      </w:r>
      <w:r>
        <w:t>[</w:t>
      </w:r>
      <w:r w:rsidR="00127534">
        <w:t>6</w:t>
      </w:r>
      <w:r>
        <w:t>].</w:t>
      </w:r>
    </w:p>
    <w:p w14:paraId="433FE04E" w14:textId="79D7F2FC" w:rsidR="00EE0041" w:rsidRDefault="006959B6" w:rsidP="006959B6">
      <w:pPr>
        <w:pStyle w:val="a1"/>
      </w:pPr>
      <w:r>
        <w:t xml:space="preserve">In the process of simulation, TULIP will generate the 33-group cross sections of all materials, of which the fuel material will be </w:t>
      </w:r>
      <w:proofErr w:type="spellStart"/>
      <w:r>
        <w:t>modeled</w:t>
      </w:r>
      <w:proofErr w:type="spellEnd"/>
      <w:r>
        <w:t xml:space="preserve"> using a heterogeneous one-dimensional cylinder geometry</w:t>
      </w:r>
      <w:r w:rsidR="00127534">
        <w:t xml:space="preserve"> </w:t>
      </w:r>
      <w:r>
        <w:t xml:space="preserve">and others will be </w:t>
      </w:r>
      <w:proofErr w:type="spellStart"/>
      <w:r>
        <w:t>modeled</w:t>
      </w:r>
      <w:proofErr w:type="spellEnd"/>
      <w:r>
        <w:t xml:space="preserve"> using homogeneous geometry. LAVENDER will give the results of steady state parameters like power distribution, critical control rod position, reactivity coefficients and kinetics parameters. Then, DAISY will simulate the transient progress with a space-dependent point-kinetics model and a parallel multi-channel thermal-hydraulics model. It will also give the results of peaking fuel temperature, cladding temperature, coolant temperature and reactivity feedback variation during the transient.</w:t>
      </w:r>
    </w:p>
    <w:p w14:paraId="433FE04F" w14:textId="75FC980F" w:rsidR="00E25B68" w:rsidRDefault="007565B1" w:rsidP="0026525A">
      <w:pPr>
        <w:pStyle w:val="2"/>
        <w:numPr>
          <w:ilvl w:val="1"/>
          <w:numId w:val="10"/>
        </w:numPr>
      </w:pPr>
      <w:r w:rsidRPr="007565B1">
        <w:t>EBR-II reactor benchmark core and SHRT-45R</w:t>
      </w:r>
    </w:p>
    <w:p w14:paraId="69717E66" w14:textId="5C5C191D" w:rsidR="007565B1" w:rsidRDefault="007565B1" w:rsidP="007565B1">
      <w:pPr>
        <w:pStyle w:val="a1"/>
      </w:pPr>
      <w:r>
        <w:t>Shutdown heat removal tests were conducted on EBR-II by ANL in 1980s, and the experimental data was released in 2012 [</w:t>
      </w:r>
      <w:r w:rsidR="00F462BC">
        <w:t>6</w:t>
      </w:r>
      <w:r>
        <w:t>]. The benchmark includes SHRT-17 and SHRT-45R. The former demonstrated the effectiveness of natural circulation in EBR-II [</w:t>
      </w:r>
      <w:r w:rsidR="00F462BC">
        <w:t>7</w:t>
      </w:r>
      <w:r>
        <w:t xml:space="preserve">] and it can be used to confirm the correctness of thermal hydraulic system </w:t>
      </w:r>
      <w:proofErr w:type="spellStart"/>
      <w:r>
        <w:t>modeling</w:t>
      </w:r>
      <w:proofErr w:type="spellEnd"/>
      <w:r>
        <w:t xml:space="preserve">. The latter, SHRT-45R, was very similar to SHRT-17 but more like a severe unprotected loss-of-flow transient. SHRT-45R test demonstrated the effectiveness of passive feedback in EBR-II and had very complicated reactivity feedback during the process. </w:t>
      </w:r>
      <w:proofErr w:type="gramStart"/>
      <w:r>
        <w:t>So</w:t>
      </w:r>
      <w:proofErr w:type="gramEnd"/>
      <w:r>
        <w:t xml:space="preserve"> this paper chooses the SHRT-45R test to do the validation work of DAISY.</w:t>
      </w:r>
    </w:p>
    <w:p w14:paraId="420AEBF8" w14:textId="77777777" w:rsidR="007565B1" w:rsidRDefault="007565B1" w:rsidP="007565B1">
      <w:pPr>
        <w:pStyle w:val="a1"/>
      </w:pPr>
      <w:r>
        <w:t xml:space="preserve">The reference core is the EBR-II Run 138B core and accommodated 637 hexagonal assemblies. There were two types of driver assemblies, MK-II AI and MK-II A, which were processed by different manufacturer and had different fuel element length. Besides, there was another kind of driver assemblies named Half-worth Driver, having the same characteristics with MK-II AI. But half of fuel elements in Half-worth Driver were replaced by dummy elements. U-5 </w:t>
      </w:r>
      <w:proofErr w:type="spellStart"/>
      <w:r>
        <w:t>wt</w:t>
      </w:r>
      <w:proofErr w:type="spellEnd"/>
      <w:r>
        <w:t xml:space="preserve">% Fs was chosen as fuel to be loaded in the core. </w:t>
      </w:r>
    </w:p>
    <w:p w14:paraId="380B5107" w14:textId="7532A8AC" w:rsidR="007565B1" w:rsidRDefault="007565B1" w:rsidP="007565B1">
      <w:pPr>
        <w:pStyle w:val="a1"/>
      </w:pPr>
      <w:r>
        <w:t>In EBR-II, three types of movable control rods assemblies were used to control reactivity and ensure safety. In addition to control rods assembly and safety rods assembly with fuel segment, high-worth control rods assembly was also designed. High-worth control rods were comprised of a fuel</w:t>
      </w:r>
      <w:r w:rsidR="00BA139F">
        <w:t xml:space="preserve"> </w:t>
      </w:r>
      <w:r>
        <w:t>segment and a poison segment while other control rods were only comprised of a fuel segment. Different from the traditional control rods design, the insertion of all the control rods means the fuel segment was placed in the core. As for High-worth control rods, when it was retracted the poison segment was within the core. This design could maximize the reactivity swing.</w:t>
      </w:r>
    </w:p>
    <w:p w14:paraId="25303B68" w14:textId="77777777" w:rsidR="007565B1" w:rsidRDefault="007565B1" w:rsidP="007565B1">
      <w:pPr>
        <w:pStyle w:val="a1"/>
      </w:pPr>
      <w:r>
        <w:t>Many types of experimental assemblies were also loaded in the core, such as XY-16, X302C, X402A, X412 and C2776A. Instrumented assemblies in the core, XX09 and XX10, were similar to a control rods assembly, but was not movable. Out of active core region, there were three rows of reflector assemblies. At the outermost part of the core, blanket assemblies loaded with depleted Uranium.</w:t>
      </w:r>
    </w:p>
    <w:p w14:paraId="433FE052" w14:textId="5C65FCA5" w:rsidR="0026525A" w:rsidRDefault="007565B1" w:rsidP="007565B1">
      <w:pPr>
        <w:pStyle w:val="a1"/>
      </w:pPr>
      <w:r>
        <w:t xml:space="preserve">Considering that some experimental assemblies can be </w:t>
      </w:r>
      <w:proofErr w:type="spellStart"/>
      <w:r>
        <w:t>modeled</w:t>
      </w:r>
      <w:proofErr w:type="spellEnd"/>
      <w:r>
        <w:t xml:space="preserve"> as fuel assembly or dummy assembly, 29 MK-II AI driver assemblies, 44 MK-II A driver assemblies, 13 Half-worth Driver assemblies, 8 dummy assemblies, 2 safety rods assemblies, 1 control rods assembly, 7 High Worth Control Rods assemblies, 200 reflector assemblies, 331 blanket assemblies, 1 XX10 experimental assembly and 1 XX09 experimental assembly were </w:t>
      </w:r>
      <w:proofErr w:type="spellStart"/>
      <w:r>
        <w:t>modeled</w:t>
      </w:r>
      <w:proofErr w:type="spellEnd"/>
      <w:r>
        <w:t xml:space="preserve"> by SARAX. The dimensional parameters of core structures can be detailed in </w:t>
      </w:r>
      <w:r w:rsidR="00130000">
        <w:rPr>
          <w:rFonts w:hint="eastAsia"/>
          <w:lang w:eastAsia="zh-CN"/>
        </w:rPr>
        <w:t>reference</w:t>
      </w:r>
      <w:r w:rsidR="00130000">
        <w:t xml:space="preserve"> </w:t>
      </w:r>
      <w:r>
        <w:t>[</w:t>
      </w:r>
      <w:r w:rsidR="009C5B3B">
        <w:t>8-9</w:t>
      </w:r>
      <w:r>
        <w:t xml:space="preserve">]. Fig.1 shows the core layout of EBR-II in the reference and Fig.2 shows the computing mesh of SARAX at a cross section view at midplane of the core. The results will be compared with that in </w:t>
      </w:r>
      <w:r w:rsidR="00130000">
        <w:t xml:space="preserve">reference </w:t>
      </w:r>
      <w:r>
        <w:t>[</w:t>
      </w:r>
      <w:r w:rsidR="009C5B3B">
        <w:t>9</w:t>
      </w:r>
      <w:r>
        <w:t>]. As mentioned above, since SHRT-45R test sequence includes complex changes in primary coolant circuit and SARAX now does not have the ability to model system devices, it is approximated by a flow curve. The curve could simulate the loss of flow during the transient process as shown in Fig. 3. The initial coolant inlet temperature is set to 617K. Since the flowrate does not have a great change after 500s, the transient process duration is set to 500 seconds and time step is 0.00</w:t>
      </w:r>
      <w:r w:rsidR="00AE738F">
        <w:t>2</w:t>
      </w:r>
      <w:r>
        <w:t>s.</w:t>
      </w:r>
    </w:p>
    <w:p w14:paraId="580265F2" w14:textId="7E49C8ED" w:rsidR="00876825" w:rsidRDefault="00876825" w:rsidP="00876825">
      <w:pPr>
        <w:pStyle w:val="Figurecaption"/>
        <w:ind w:firstLine="0"/>
        <w:rPr>
          <w:rFonts w:eastAsia="Times New Roman"/>
          <w:kern w:val="14"/>
          <w:szCs w:val="22"/>
          <w:lang w:val="en-US" w:eastAsia="zh-CN"/>
        </w:rPr>
      </w:pPr>
      <w:r w:rsidRPr="00876825">
        <w:rPr>
          <w:rFonts w:eastAsia="Times New Roman"/>
          <w:noProof/>
          <w:kern w:val="2"/>
          <w:sz w:val="21"/>
          <w:szCs w:val="24"/>
          <w:lang w:val="en-US" w:eastAsia="zh-CN"/>
        </w:rPr>
        <w:lastRenderedPageBreak/>
        <w:drawing>
          <wp:inline distT="0" distB="0" distL="0" distR="0" wp14:anchorId="760D271E" wp14:editId="58D29BA8">
            <wp:extent cx="3863538" cy="2705100"/>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rotWithShape="1">
                    <a:blip r:embed="rId11">
                      <a:extLst>
                        <a:ext uri="{28A0092B-C50C-407E-A947-70E740481C1C}">
                          <a14:useLocalDpi xmlns:a14="http://schemas.microsoft.com/office/drawing/2010/main" val="0"/>
                        </a:ext>
                      </a:extLst>
                    </a:blip>
                    <a:srcRect l="3328" t="2899"/>
                    <a:stretch/>
                  </pic:blipFill>
                  <pic:spPr bwMode="auto">
                    <a:xfrm>
                      <a:off x="0" y="0"/>
                      <a:ext cx="3909060" cy="2736973"/>
                    </a:xfrm>
                    <a:prstGeom prst="rect">
                      <a:avLst/>
                    </a:prstGeom>
                    <a:ln>
                      <a:noFill/>
                    </a:ln>
                    <a:extLst>
                      <a:ext uri="{53640926-AAD7-44D8-BBD7-CCE9431645EC}">
                        <a14:shadowObscured xmlns:a14="http://schemas.microsoft.com/office/drawing/2010/main"/>
                      </a:ext>
                    </a:extLst>
                  </pic:spPr>
                </pic:pic>
              </a:graphicData>
            </a:graphic>
          </wp:inline>
        </w:drawing>
      </w:r>
    </w:p>
    <w:p w14:paraId="1B37ADB1" w14:textId="30FD78FD" w:rsidR="00876825" w:rsidRPr="00876825" w:rsidRDefault="00876825" w:rsidP="00876825">
      <w:pPr>
        <w:pStyle w:val="Figurecaption"/>
        <w:ind w:firstLine="0"/>
        <w:rPr>
          <w:lang w:eastAsia="es-ES"/>
        </w:rPr>
      </w:pPr>
      <w:r w:rsidRPr="00876825">
        <w:rPr>
          <w:caps/>
          <w:lang w:eastAsia="es-ES"/>
        </w:rPr>
        <w:t xml:space="preserve">Fig.1 </w:t>
      </w:r>
      <w:r w:rsidRPr="00876825">
        <w:rPr>
          <w:lang w:eastAsia="es-ES"/>
        </w:rPr>
        <w:t>EBR-II Benchmark Core layout in the reference</w:t>
      </w:r>
      <w:bookmarkStart w:id="2" w:name="_Hlk73311505"/>
      <w:r w:rsidR="00AE738F">
        <w:rPr>
          <w:lang w:eastAsia="es-ES"/>
        </w:rPr>
        <w:t xml:space="preserve"> </w:t>
      </w:r>
      <w:r w:rsidRPr="00876825">
        <w:rPr>
          <w:lang w:eastAsia="es-ES"/>
        </w:rPr>
        <w:t>(</w:t>
      </w:r>
      <w:r w:rsidRPr="00AE738F">
        <w:rPr>
          <w:lang w:eastAsia="es-ES"/>
        </w:rPr>
        <w:t>adapted from [</w:t>
      </w:r>
      <w:r w:rsidR="003C4A36" w:rsidRPr="00AE738F">
        <w:rPr>
          <w:lang w:eastAsia="es-ES"/>
        </w:rPr>
        <w:t>6</w:t>
      </w:r>
      <w:r w:rsidRPr="00AE738F">
        <w:rPr>
          <w:lang w:eastAsia="es-ES"/>
        </w:rPr>
        <w:t>])</w:t>
      </w:r>
      <w:r>
        <w:rPr>
          <w:lang w:eastAsia="es-ES"/>
        </w:rPr>
        <w:t>.</w:t>
      </w:r>
      <w:bookmarkEnd w:id="2"/>
    </w:p>
    <w:p w14:paraId="7DE987D9" w14:textId="77777777" w:rsidR="00876825" w:rsidRPr="003C4A36" w:rsidRDefault="00876825" w:rsidP="00876825">
      <w:pPr>
        <w:widowControl w:val="0"/>
        <w:suppressAutoHyphens/>
        <w:overflowPunct/>
        <w:autoSpaceDE/>
        <w:autoSpaceDN/>
        <w:adjustRightInd/>
        <w:jc w:val="center"/>
        <w:textAlignment w:val="auto"/>
        <w:rPr>
          <w:rFonts w:eastAsia="Times New Roman"/>
          <w:kern w:val="2"/>
          <w:sz w:val="21"/>
          <w:szCs w:val="24"/>
          <w:lang w:eastAsia="zh-CN"/>
        </w:rPr>
      </w:pPr>
    </w:p>
    <w:p w14:paraId="5583A429" w14:textId="6FAE2960" w:rsidR="00876825" w:rsidRPr="00876825" w:rsidRDefault="00876825" w:rsidP="00876825">
      <w:pPr>
        <w:widowControl w:val="0"/>
        <w:suppressAutoHyphens/>
        <w:overflowPunct/>
        <w:autoSpaceDE/>
        <w:autoSpaceDN/>
        <w:adjustRightInd/>
        <w:jc w:val="center"/>
        <w:textAlignment w:val="auto"/>
        <w:rPr>
          <w:rFonts w:eastAsia="Times New Roman"/>
          <w:kern w:val="2"/>
          <w:sz w:val="21"/>
          <w:szCs w:val="24"/>
          <w:lang w:val="en-US" w:eastAsia="zh-CN"/>
        </w:rPr>
      </w:pPr>
      <w:r w:rsidRPr="00876825">
        <w:rPr>
          <w:rFonts w:eastAsia="Times New Roman"/>
          <w:noProof/>
          <w:kern w:val="2"/>
          <w:sz w:val="21"/>
          <w:szCs w:val="24"/>
          <w:lang w:val="en-US" w:eastAsia="zh-CN"/>
        </w:rPr>
        <w:drawing>
          <wp:inline distT="0" distB="0" distL="0" distR="0" wp14:anchorId="06AF8CDA" wp14:editId="17BB4DDB">
            <wp:extent cx="3022979" cy="2971394"/>
            <wp:effectExtent l="0" t="0" r="635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06" t="3536" r="17237" b="9805"/>
                    <a:stretch/>
                  </pic:blipFill>
                  <pic:spPr bwMode="auto">
                    <a:xfrm>
                      <a:off x="0" y="0"/>
                      <a:ext cx="3047035" cy="2995040"/>
                    </a:xfrm>
                    <a:prstGeom prst="rect">
                      <a:avLst/>
                    </a:prstGeom>
                    <a:noFill/>
                    <a:ln>
                      <a:noFill/>
                    </a:ln>
                    <a:extLst>
                      <a:ext uri="{53640926-AAD7-44D8-BBD7-CCE9431645EC}">
                        <a14:shadowObscured xmlns:a14="http://schemas.microsoft.com/office/drawing/2010/main"/>
                      </a:ext>
                    </a:extLst>
                  </pic:spPr>
                </pic:pic>
              </a:graphicData>
            </a:graphic>
          </wp:inline>
        </w:drawing>
      </w:r>
    </w:p>
    <w:p w14:paraId="0C510984" w14:textId="396C193C" w:rsidR="00876825" w:rsidRDefault="00876825" w:rsidP="00876825">
      <w:pPr>
        <w:pStyle w:val="Figurecaption"/>
        <w:ind w:firstLine="0"/>
        <w:rPr>
          <w:lang w:eastAsia="es-ES"/>
        </w:rPr>
      </w:pPr>
      <w:r w:rsidRPr="00876825">
        <w:rPr>
          <w:caps/>
          <w:lang w:eastAsia="es-ES"/>
        </w:rPr>
        <w:t xml:space="preserve">Fig.2 </w:t>
      </w:r>
      <w:r w:rsidRPr="00876825">
        <w:rPr>
          <w:lang w:eastAsia="es-ES"/>
        </w:rPr>
        <w:t>Computing Mesh at midplane of EBR-II Benchmark Core by SARAX</w:t>
      </w:r>
      <w:r>
        <w:rPr>
          <w:lang w:eastAsia="es-ES"/>
        </w:rPr>
        <w:t>.</w:t>
      </w:r>
    </w:p>
    <w:p w14:paraId="0310ECA4" w14:textId="77777777" w:rsidR="003C4A36" w:rsidRDefault="003C4A36" w:rsidP="00876825">
      <w:pPr>
        <w:pStyle w:val="Figurecaption"/>
        <w:ind w:firstLine="0"/>
      </w:pPr>
    </w:p>
    <w:p w14:paraId="7E938C14" w14:textId="4157FE82" w:rsidR="00876825" w:rsidRPr="00876825" w:rsidRDefault="001D64F9" w:rsidP="00876825">
      <w:pPr>
        <w:pStyle w:val="a1"/>
        <w:ind w:firstLine="0"/>
        <w:jc w:val="center"/>
      </w:pPr>
      <w:r w:rsidRPr="00190DB7">
        <w:rPr>
          <w:noProof/>
        </w:rPr>
        <w:drawing>
          <wp:inline distT="0" distB="0" distL="0" distR="0" wp14:anchorId="29E212FA" wp14:editId="12A88803">
            <wp:extent cx="3275511" cy="2247900"/>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b="423"/>
                    <a:stretch>
                      <a:fillRect/>
                    </a:stretch>
                  </pic:blipFill>
                  <pic:spPr bwMode="auto">
                    <a:xfrm>
                      <a:off x="0" y="0"/>
                      <a:ext cx="3291802" cy="2259080"/>
                    </a:xfrm>
                    <a:prstGeom prst="rect">
                      <a:avLst/>
                    </a:prstGeom>
                    <a:noFill/>
                    <a:ln>
                      <a:noFill/>
                    </a:ln>
                  </pic:spPr>
                </pic:pic>
              </a:graphicData>
            </a:graphic>
          </wp:inline>
        </w:drawing>
      </w:r>
    </w:p>
    <w:p w14:paraId="570E3327" w14:textId="66EF8325" w:rsidR="00876825" w:rsidRPr="00130000" w:rsidRDefault="00876825" w:rsidP="00130000">
      <w:pPr>
        <w:pStyle w:val="Figurecaption"/>
        <w:ind w:firstLine="0"/>
        <w:rPr>
          <w:caps/>
          <w:lang w:eastAsia="es-ES"/>
        </w:rPr>
      </w:pPr>
      <w:r w:rsidRPr="00876825">
        <w:rPr>
          <w:caps/>
          <w:lang w:eastAsia="es-ES"/>
        </w:rPr>
        <w:t xml:space="preserve">Fig. 3 </w:t>
      </w:r>
      <w:r w:rsidRPr="00876825">
        <w:rPr>
          <w:lang w:eastAsia="es-ES"/>
        </w:rPr>
        <w:t>The variation of inlet flow for EBR-II SHRT-45R</w:t>
      </w:r>
      <w:r>
        <w:rPr>
          <w:lang w:eastAsia="es-ES"/>
        </w:rPr>
        <w:t>.</w:t>
      </w:r>
    </w:p>
    <w:p w14:paraId="433FE053" w14:textId="6B1FD3C6" w:rsidR="00EE0041" w:rsidRDefault="00BB418D" w:rsidP="0026525A">
      <w:pPr>
        <w:pStyle w:val="2"/>
        <w:numPr>
          <w:ilvl w:val="1"/>
          <w:numId w:val="10"/>
        </w:numPr>
      </w:pPr>
      <w:r w:rsidRPr="00BB418D">
        <w:lastRenderedPageBreak/>
        <w:t>Neutronic Results of EBR-II by SARAX</w:t>
      </w:r>
    </w:p>
    <w:p w14:paraId="18B0C2E5" w14:textId="47BDD179" w:rsidR="00AC4A0D" w:rsidRDefault="00025DDA" w:rsidP="00537496">
      <w:pPr>
        <w:pStyle w:val="a1"/>
      </w:pPr>
      <w:r w:rsidRPr="00025DDA">
        <w:t xml:space="preserve">The material of the </w:t>
      </w:r>
      <w:r w:rsidR="004B03EF">
        <w:t>core</w:t>
      </w:r>
      <w:r w:rsidRPr="00025DDA">
        <w:t xml:space="preserve"> from different kinds of assembly is </w:t>
      </w:r>
      <w:proofErr w:type="spellStart"/>
      <w:r w:rsidRPr="00025DDA">
        <w:t>modeled</w:t>
      </w:r>
      <w:proofErr w:type="spellEnd"/>
      <w:r w:rsidRPr="00025DDA">
        <w:t xml:space="preserve"> by a heterogeneous one-dimensional cylinder geometry. For EBR-II benchmark core, four typical assembly composition is shown in Fig.</w:t>
      </w:r>
      <w:r w:rsidR="00AE738F">
        <w:t>4</w:t>
      </w:r>
      <w:r w:rsidRPr="00025DDA">
        <w:t>. Among them, since the composition of Half-worth Driver is too complex, its equivalent one-dimensional cylinder geometry model is presented in Fig.</w:t>
      </w:r>
      <w:r w:rsidR="00AE738F">
        <w:t>5</w:t>
      </w:r>
      <w:r w:rsidRPr="00025DDA">
        <w:t xml:space="preserve">. To verify the work of cross section generation, the four kinds of fuel segments are also </w:t>
      </w:r>
      <w:proofErr w:type="spellStart"/>
      <w:r w:rsidRPr="00025DDA">
        <w:t>modeled</w:t>
      </w:r>
      <w:proofErr w:type="spellEnd"/>
      <w:r w:rsidRPr="00025DDA">
        <w:t xml:space="preserve"> by Monte-Carlo code</w:t>
      </w:r>
      <w:r w:rsidR="002004E0">
        <w:t xml:space="preserve">, </w:t>
      </w:r>
      <w:proofErr w:type="spellStart"/>
      <w:r w:rsidR="002004E0">
        <w:t>OpenMC</w:t>
      </w:r>
      <w:proofErr w:type="spellEnd"/>
      <w:r w:rsidR="002004E0">
        <w:t>.</w:t>
      </w:r>
      <w:r w:rsidR="002004E0" w:rsidRPr="00025DDA">
        <w:t xml:space="preserve"> </w:t>
      </w:r>
      <w:proofErr w:type="spellStart"/>
      <w:r w:rsidRPr="00025DDA">
        <w:t>k</w:t>
      </w:r>
      <w:r w:rsidRPr="00AE738F">
        <w:rPr>
          <w:vertAlign w:val="subscript"/>
        </w:rPr>
        <w:t>inf</w:t>
      </w:r>
      <w:proofErr w:type="spellEnd"/>
      <w:r w:rsidRPr="00025DDA">
        <w:t xml:space="preserve"> is calculated and set as reference result. As shown in Table </w:t>
      </w:r>
      <w:r w:rsidR="00AE738F">
        <w:t>1</w:t>
      </w:r>
      <w:r w:rsidRPr="00025DDA">
        <w:t xml:space="preserve">, the result proves that TULIP has good accuracy in cross section generation even in case of complex geometry like Half-worth Driver and the difference is within 300 pcm. As for the depleted Uranium fuel segment in blanket assembly, the </w:t>
      </w:r>
      <w:proofErr w:type="spellStart"/>
      <w:r w:rsidRPr="00025DDA">
        <w:t>k</w:t>
      </w:r>
      <w:r w:rsidRPr="00AE738F">
        <w:rPr>
          <w:vertAlign w:val="subscript"/>
        </w:rPr>
        <w:t>inf</w:t>
      </w:r>
      <w:proofErr w:type="spellEnd"/>
      <w:r w:rsidRPr="00025DDA">
        <w:t xml:space="preserve"> difference with Monte-Carlo code is up to 600 pcm which is acceptable due to the small </w:t>
      </w:r>
      <w:proofErr w:type="spellStart"/>
      <w:r w:rsidRPr="00025DDA">
        <w:t>k</w:t>
      </w:r>
      <w:r w:rsidRPr="00AE738F">
        <w:rPr>
          <w:vertAlign w:val="subscript"/>
        </w:rPr>
        <w:t>inf</w:t>
      </w:r>
      <w:proofErr w:type="spellEnd"/>
      <w:r w:rsidRPr="00025DDA">
        <w:t xml:space="preserve">. The other material segments in the assemblies are </w:t>
      </w:r>
      <w:proofErr w:type="spellStart"/>
      <w:r w:rsidRPr="00025DDA">
        <w:t>modeled</w:t>
      </w:r>
      <w:proofErr w:type="spellEnd"/>
      <w:r w:rsidRPr="00025DDA">
        <w:t xml:space="preserve"> by a homogeneous geometry.</w:t>
      </w:r>
    </w:p>
    <w:p w14:paraId="7CF70568" w14:textId="77777777" w:rsidR="00025DDA" w:rsidRPr="004A7F71" w:rsidRDefault="00025DDA" w:rsidP="00025DDA">
      <w:pPr>
        <w:spacing w:line="360" w:lineRule="auto"/>
        <w:jc w:val="center"/>
      </w:pPr>
      <w:r w:rsidRPr="004A7F71">
        <w:rPr>
          <w:noProof/>
        </w:rPr>
        <w:drawing>
          <wp:inline distT="0" distB="0" distL="0" distR="0" wp14:anchorId="37C7357B" wp14:editId="705B7750">
            <wp:extent cx="2749550" cy="2812716"/>
            <wp:effectExtent l="0" t="0" r="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411" t="3089" r="22439" b="12035"/>
                    <a:stretch/>
                  </pic:blipFill>
                  <pic:spPr bwMode="auto">
                    <a:xfrm>
                      <a:off x="0" y="0"/>
                      <a:ext cx="2799207" cy="2863514"/>
                    </a:xfrm>
                    <a:prstGeom prst="rect">
                      <a:avLst/>
                    </a:prstGeom>
                    <a:ln>
                      <a:noFill/>
                    </a:ln>
                    <a:extLst>
                      <a:ext uri="{53640926-AAD7-44D8-BBD7-CCE9431645EC}">
                        <a14:shadowObscured xmlns:a14="http://schemas.microsoft.com/office/drawing/2010/main"/>
                      </a:ext>
                    </a:extLst>
                  </pic:spPr>
                </pic:pic>
              </a:graphicData>
            </a:graphic>
          </wp:inline>
        </w:drawing>
      </w:r>
    </w:p>
    <w:p w14:paraId="2B975501" w14:textId="071761D2" w:rsidR="00025DDA" w:rsidRPr="000363DC" w:rsidRDefault="00025DDA" w:rsidP="00025DDA">
      <w:pPr>
        <w:pStyle w:val="a6"/>
        <w:spacing w:line="360" w:lineRule="auto"/>
        <w:ind w:firstLine="0"/>
        <w:jc w:val="center"/>
        <w:rPr>
          <w:sz w:val="18"/>
          <w:szCs w:val="22"/>
          <w:lang w:eastAsia="zh-CN"/>
        </w:rPr>
      </w:pPr>
      <w:r w:rsidRPr="00025DDA">
        <w:rPr>
          <w:i/>
          <w:caps/>
          <w:sz w:val="18"/>
          <w:lang w:eastAsia="es-ES"/>
        </w:rPr>
        <w:t>Fig. 4</w:t>
      </w:r>
      <w:r w:rsidRPr="004A7F71">
        <w:rPr>
          <w:rFonts w:eastAsia="宋体"/>
          <w:sz w:val="18"/>
          <w:szCs w:val="22"/>
          <w:lang w:eastAsia="zh-CN"/>
        </w:rPr>
        <w:t xml:space="preserve"> </w:t>
      </w:r>
      <w:r w:rsidRPr="00025DDA">
        <w:rPr>
          <w:i/>
          <w:sz w:val="18"/>
          <w:lang w:eastAsia="es-ES"/>
        </w:rPr>
        <w:t xml:space="preserve">Assembly Composition Views </w:t>
      </w:r>
      <w:proofErr w:type="gramStart"/>
      <w:r w:rsidRPr="00025DDA">
        <w:rPr>
          <w:i/>
          <w:sz w:val="18"/>
          <w:lang w:eastAsia="es-ES"/>
        </w:rPr>
        <w:t>of :</w:t>
      </w:r>
      <w:proofErr w:type="gramEnd"/>
      <w:r w:rsidRPr="00025DDA">
        <w:rPr>
          <w:i/>
          <w:sz w:val="18"/>
          <w:lang w:eastAsia="es-ES"/>
        </w:rPr>
        <w:t xml:space="preserve"> (A)Driver, (B) Half-worth Driver, (C)Control assembly and (D)Blanket assembly</w:t>
      </w:r>
      <w:r w:rsidR="00AE738F">
        <w:rPr>
          <w:i/>
          <w:sz w:val="18"/>
          <w:lang w:eastAsia="es-ES"/>
        </w:rPr>
        <w:t xml:space="preserve"> </w:t>
      </w:r>
      <w:r w:rsidRPr="00AE738F">
        <w:rPr>
          <w:i/>
          <w:sz w:val="18"/>
          <w:lang w:eastAsia="es-ES"/>
        </w:rPr>
        <w:t>(adapted from [</w:t>
      </w:r>
      <w:r w:rsidR="00AE738F" w:rsidRPr="00AE738F">
        <w:rPr>
          <w:i/>
          <w:sz w:val="18"/>
          <w:lang w:eastAsia="es-ES"/>
        </w:rPr>
        <w:t>8</w:t>
      </w:r>
      <w:r w:rsidRPr="00AE738F">
        <w:rPr>
          <w:i/>
          <w:sz w:val="18"/>
          <w:lang w:eastAsia="es-ES"/>
        </w:rPr>
        <w:t>]).</w:t>
      </w:r>
    </w:p>
    <w:p w14:paraId="67A4C254" w14:textId="77777777" w:rsidR="00025DDA" w:rsidRPr="004A7F71" w:rsidRDefault="00025DDA" w:rsidP="00025DDA">
      <w:pPr>
        <w:pStyle w:val="a6"/>
        <w:spacing w:line="360" w:lineRule="auto"/>
        <w:ind w:firstLine="0"/>
        <w:jc w:val="center"/>
        <w:rPr>
          <w:sz w:val="18"/>
          <w:szCs w:val="22"/>
          <w:lang w:eastAsia="zh-CN"/>
        </w:rPr>
      </w:pPr>
      <w:r>
        <w:rPr>
          <w:noProof/>
          <w:sz w:val="18"/>
          <w:szCs w:val="22"/>
          <w:lang w:eastAsia="zh-CN"/>
        </w:rPr>
        <w:drawing>
          <wp:inline distT="0" distB="0" distL="0" distR="0" wp14:anchorId="7FFD2AC6" wp14:editId="2E5EF1BB">
            <wp:extent cx="3952191" cy="2599899"/>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绘图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81550" cy="2619213"/>
                    </a:xfrm>
                    <a:prstGeom prst="rect">
                      <a:avLst/>
                    </a:prstGeom>
                  </pic:spPr>
                </pic:pic>
              </a:graphicData>
            </a:graphic>
          </wp:inline>
        </w:drawing>
      </w:r>
    </w:p>
    <w:p w14:paraId="36C00ED8" w14:textId="77777777" w:rsidR="00025DDA" w:rsidRPr="004A7F71" w:rsidRDefault="00025DDA" w:rsidP="00025DDA">
      <w:pPr>
        <w:pStyle w:val="a6"/>
        <w:spacing w:line="360" w:lineRule="auto"/>
        <w:ind w:firstLine="0"/>
        <w:jc w:val="center"/>
        <w:rPr>
          <w:sz w:val="18"/>
          <w:szCs w:val="22"/>
          <w:highlight w:val="yellow"/>
          <w:lang w:eastAsia="zh-CN"/>
        </w:rPr>
      </w:pPr>
      <w:r w:rsidRPr="00025DDA">
        <w:rPr>
          <w:i/>
          <w:caps/>
          <w:sz w:val="18"/>
          <w:lang w:eastAsia="es-ES"/>
        </w:rPr>
        <w:t xml:space="preserve">Fig. 5 </w:t>
      </w:r>
      <w:r w:rsidRPr="00025DDA">
        <w:rPr>
          <w:i/>
          <w:sz w:val="18"/>
          <w:lang w:eastAsia="es-ES"/>
        </w:rPr>
        <w:t>Equivalent one-dimensional cylinder geometry of fuel material in Half-worth Driver</w:t>
      </w:r>
    </w:p>
    <w:p w14:paraId="010657C1" w14:textId="611B7D0A" w:rsidR="00025DDA" w:rsidRDefault="00025DDA" w:rsidP="00025DDA">
      <w:pPr>
        <w:pStyle w:val="a6"/>
        <w:spacing w:line="360" w:lineRule="auto"/>
        <w:jc w:val="center"/>
        <w:rPr>
          <w:sz w:val="18"/>
          <w:szCs w:val="22"/>
        </w:rPr>
      </w:pPr>
    </w:p>
    <w:p w14:paraId="7698C53E" w14:textId="5DD3C8D8" w:rsidR="00025DDA" w:rsidRDefault="00025DDA" w:rsidP="00025DDA">
      <w:pPr>
        <w:pStyle w:val="a6"/>
        <w:spacing w:line="360" w:lineRule="auto"/>
        <w:jc w:val="center"/>
        <w:rPr>
          <w:sz w:val="18"/>
          <w:szCs w:val="22"/>
        </w:rPr>
      </w:pPr>
    </w:p>
    <w:p w14:paraId="20CCE0E9" w14:textId="6EDD0755" w:rsidR="00025DDA" w:rsidRDefault="00025DDA" w:rsidP="00025DDA">
      <w:pPr>
        <w:pStyle w:val="a6"/>
        <w:spacing w:line="360" w:lineRule="auto"/>
        <w:jc w:val="center"/>
        <w:rPr>
          <w:sz w:val="18"/>
          <w:szCs w:val="22"/>
        </w:rPr>
      </w:pPr>
    </w:p>
    <w:p w14:paraId="306F4D07" w14:textId="77777777" w:rsidR="00025DDA" w:rsidRPr="004A7F71" w:rsidRDefault="00025DDA" w:rsidP="00025DDA">
      <w:pPr>
        <w:pStyle w:val="a6"/>
        <w:spacing w:line="360" w:lineRule="auto"/>
        <w:jc w:val="center"/>
        <w:rPr>
          <w:sz w:val="18"/>
          <w:szCs w:val="22"/>
        </w:rPr>
      </w:pPr>
    </w:p>
    <w:p w14:paraId="6B612E13" w14:textId="7A640E66" w:rsidR="00025DDA" w:rsidRPr="00524588" w:rsidRDefault="00025DDA" w:rsidP="00524588">
      <w:pPr>
        <w:pStyle w:val="a1"/>
        <w:ind w:firstLine="0"/>
      </w:pPr>
      <w:r w:rsidRPr="00524588">
        <w:lastRenderedPageBreak/>
        <w:t xml:space="preserve">TABLE </w:t>
      </w:r>
      <w:r w:rsidR="00014755">
        <w:t>1</w:t>
      </w:r>
      <w:r w:rsidRPr="00524588">
        <w:t xml:space="preserve"> </w:t>
      </w:r>
      <w:proofErr w:type="spellStart"/>
      <w:r w:rsidR="00524588">
        <w:rPr>
          <w:rFonts w:hint="eastAsia"/>
          <w:lang w:eastAsia="zh-CN"/>
        </w:rPr>
        <w:t>k</w:t>
      </w:r>
      <w:r w:rsidRPr="00524588">
        <w:rPr>
          <w:vertAlign w:val="subscript"/>
        </w:rPr>
        <w:t>inf</w:t>
      </w:r>
      <w:proofErr w:type="spellEnd"/>
      <w:r w:rsidRPr="00524588">
        <w:t xml:space="preserve"> of materials</w:t>
      </w:r>
    </w:p>
    <w:tbl>
      <w:tblPr>
        <w:tblStyle w:val="10"/>
        <w:tblW w:w="7679" w:type="dxa"/>
        <w:jc w:val="center"/>
        <w:tblLook w:val="0600" w:firstRow="0" w:lastRow="0" w:firstColumn="0" w:lastColumn="0" w:noHBand="1" w:noVBand="1"/>
      </w:tblPr>
      <w:tblGrid>
        <w:gridCol w:w="2202"/>
        <w:gridCol w:w="1559"/>
        <w:gridCol w:w="2301"/>
        <w:gridCol w:w="1617"/>
      </w:tblGrid>
      <w:tr w:rsidR="00025DDA" w:rsidRPr="004A7F71" w14:paraId="1B8700DA" w14:textId="77777777" w:rsidTr="00014755">
        <w:trPr>
          <w:trHeight w:val="286"/>
          <w:jc w:val="center"/>
        </w:trPr>
        <w:tc>
          <w:tcPr>
            <w:tcW w:w="2202" w:type="dxa"/>
            <w:tcBorders>
              <w:top w:val="single" w:sz="4" w:space="0" w:color="auto"/>
              <w:left w:val="nil"/>
              <w:bottom w:val="single" w:sz="4" w:space="0" w:color="auto"/>
              <w:right w:val="nil"/>
            </w:tcBorders>
            <w:vAlign w:val="center"/>
            <w:hideMark/>
          </w:tcPr>
          <w:p w14:paraId="0A317A21" w14:textId="4C3BC3B4" w:rsidR="00025DDA" w:rsidRPr="00524588" w:rsidRDefault="00524588" w:rsidP="00524588">
            <w:pPr>
              <w:pStyle w:val="a1"/>
              <w:ind w:firstLine="0"/>
              <w:rPr>
                <w:lang w:val="en-GB"/>
              </w:rPr>
            </w:pPr>
            <w:r w:rsidRPr="00524588">
              <w:rPr>
                <w:lang w:val="en-GB"/>
              </w:rPr>
              <w:t>Position of fuel material</w:t>
            </w:r>
          </w:p>
        </w:tc>
        <w:tc>
          <w:tcPr>
            <w:tcW w:w="1559" w:type="dxa"/>
            <w:tcBorders>
              <w:top w:val="single" w:sz="4" w:space="0" w:color="auto"/>
              <w:left w:val="nil"/>
              <w:bottom w:val="single" w:sz="4" w:space="0" w:color="auto"/>
              <w:right w:val="nil"/>
            </w:tcBorders>
            <w:vAlign w:val="center"/>
            <w:hideMark/>
          </w:tcPr>
          <w:p w14:paraId="2727004F" w14:textId="6F9109CB" w:rsidR="00025DDA" w:rsidRPr="00524588" w:rsidRDefault="00BC2113" w:rsidP="00524588">
            <w:pPr>
              <w:pStyle w:val="a1"/>
              <w:ind w:firstLine="0"/>
              <w:jc w:val="center"/>
              <w:rPr>
                <w:lang w:val="en-GB"/>
              </w:rPr>
            </w:pPr>
            <w:proofErr w:type="spellStart"/>
            <w:r>
              <w:rPr>
                <w:rFonts w:hint="eastAsia"/>
                <w:lang w:eastAsia="zh-CN"/>
              </w:rPr>
              <w:t>k</w:t>
            </w:r>
            <w:r w:rsidRPr="00524588">
              <w:rPr>
                <w:vertAlign w:val="subscript"/>
              </w:rPr>
              <w:t>inf</w:t>
            </w:r>
            <w:proofErr w:type="spellEnd"/>
            <w:r w:rsidRPr="00524588">
              <w:rPr>
                <w:lang w:val="en-GB"/>
              </w:rPr>
              <w:t xml:space="preserve"> </w:t>
            </w:r>
            <w:r w:rsidR="00025DDA" w:rsidRPr="00524588">
              <w:rPr>
                <w:lang w:val="en-GB"/>
              </w:rPr>
              <w:t>by TULIP</w:t>
            </w:r>
          </w:p>
        </w:tc>
        <w:tc>
          <w:tcPr>
            <w:tcW w:w="2301" w:type="dxa"/>
            <w:tcBorders>
              <w:top w:val="single" w:sz="4" w:space="0" w:color="auto"/>
              <w:left w:val="nil"/>
              <w:bottom w:val="single" w:sz="4" w:space="0" w:color="auto"/>
              <w:right w:val="nil"/>
            </w:tcBorders>
            <w:vAlign w:val="center"/>
            <w:hideMark/>
          </w:tcPr>
          <w:p w14:paraId="1E4392A5" w14:textId="4D0B26B8" w:rsidR="00025DDA" w:rsidRPr="00524588" w:rsidRDefault="00BC2113" w:rsidP="00524588">
            <w:pPr>
              <w:pStyle w:val="a1"/>
              <w:ind w:firstLine="0"/>
              <w:jc w:val="center"/>
              <w:rPr>
                <w:lang w:val="en-GB"/>
              </w:rPr>
            </w:pPr>
            <w:proofErr w:type="spellStart"/>
            <w:r>
              <w:rPr>
                <w:rFonts w:hint="eastAsia"/>
                <w:lang w:eastAsia="zh-CN"/>
              </w:rPr>
              <w:t>k</w:t>
            </w:r>
            <w:r w:rsidRPr="00524588">
              <w:rPr>
                <w:vertAlign w:val="subscript"/>
              </w:rPr>
              <w:t>inf</w:t>
            </w:r>
            <w:proofErr w:type="spellEnd"/>
            <w:r w:rsidR="00025DDA" w:rsidRPr="00524588">
              <w:rPr>
                <w:lang w:val="en-GB"/>
              </w:rPr>
              <w:t xml:space="preserve"> by Monte Carlo code</w:t>
            </w:r>
          </w:p>
        </w:tc>
        <w:tc>
          <w:tcPr>
            <w:tcW w:w="1617" w:type="dxa"/>
            <w:tcBorders>
              <w:top w:val="single" w:sz="4" w:space="0" w:color="auto"/>
              <w:left w:val="nil"/>
              <w:bottom w:val="single" w:sz="4" w:space="0" w:color="auto"/>
              <w:right w:val="nil"/>
            </w:tcBorders>
            <w:vAlign w:val="center"/>
            <w:hideMark/>
          </w:tcPr>
          <w:p w14:paraId="215D8368" w14:textId="77777777" w:rsidR="00025DDA" w:rsidRPr="00524588" w:rsidRDefault="00025DDA" w:rsidP="00524588">
            <w:pPr>
              <w:pStyle w:val="a1"/>
              <w:ind w:firstLine="0"/>
              <w:jc w:val="center"/>
              <w:rPr>
                <w:lang w:val="en-GB"/>
              </w:rPr>
            </w:pPr>
            <w:r w:rsidRPr="00524588">
              <w:rPr>
                <w:lang w:val="en-GB"/>
              </w:rPr>
              <w:t>Difference/pcm</w:t>
            </w:r>
          </w:p>
        </w:tc>
      </w:tr>
      <w:tr w:rsidR="00025DDA" w:rsidRPr="004A7F71" w14:paraId="1A89D16A" w14:textId="77777777" w:rsidTr="00014755">
        <w:trPr>
          <w:trHeight w:val="286"/>
          <w:jc w:val="center"/>
        </w:trPr>
        <w:tc>
          <w:tcPr>
            <w:tcW w:w="2202" w:type="dxa"/>
            <w:tcBorders>
              <w:top w:val="single" w:sz="4" w:space="0" w:color="auto"/>
              <w:left w:val="nil"/>
              <w:bottom w:val="nil"/>
              <w:right w:val="nil"/>
            </w:tcBorders>
            <w:vAlign w:val="center"/>
            <w:hideMark/>
          </w:tcPr>
          <w:p w14:paraId="25387D65" w14:textId="77777777" w:rsidR="00025DDA" w:rsidRPr="00524588" w:rsidRDefault="00025DDA" w:rsidP="00524588">
            <w:pPr>
              <w:pStyle w:val="a1"/>
              <w:ind w:firstLine="0"/>
              <w:rPr>
                <w:lang w:val="en-GB"/>
              </w:rPr>
            </w:pPr>
            <w:r w:rsidRPr="00524588">
              <w:rPr>
                <w:lang w:val="en-GB"/>
              </w:rPr>
              <w:t>Driver</w:t>
            </w:r>
          </w:p>
        </w:tc>
        <w:tc>
          <w:tcPr>
            <w:tcW w:w="1559" w:type="dxa"/>
            <w:tcBorders>
              <w:top w:val="single" w:sz="4" w:space="0" w:color="auto"/>
              <w:left w:val="nil"/>
              <w:bottom w:val="nil"/>
              <w:right w:val="nil"/>
            </w:tcBorders>
            <w:vAlign w:val="center"/>
            <w:hideMark/>
          </w:tcPr>
          <w:p w14:paraId="032F4923" w14:textId="77777777" w:rsidR="00025DDA" w:rsidRPr="00524588" w:rsidRDefault="00025DDA" w:rsidP="00524588">
            <w:pPr>
              <w:pStyle w:val="a1"/>
              <w:ind w:firstLine="0"/>
              <w:jc w:val="center"/>
              <w:rPr>
                <w:lang w:val="en-GB"/>
              </w:rPr>
            </w:pPr>
            <w:r w:rsidRPr="00524588">
              <w:rPr>
                <w:lang w:val="en-GB"/>
              </w:rPr>
              <w:t>1.98984</w:t>
            </w:r>
          </w:p>
        </w:tc>
        <w:tc>
          <w:tcPr>
            <w:tcW w:w="2301" w:type="dxa"/>
            <w:tcBorders>
              <w:top w:val="single" w:sz="4" w:space="0" w:color="auto"/>
              <w:left w:val="nil"/>
              <w:bottom w:val="nil"/>
              <w:right w:val="nil"/>
            </w:tcBorders>
            <w:vAlign w:val="center"/>
            <w:hideMark/>
          </w:tcPr>
          <w:p w14:paraId="48157518" w14:textId="77777777" w:rsidR="00025DDA" w:rsidRPr="00524588" w:rsidRDefault="00025DDA" w:rsidP="00524588">
            <w:pPr>
              <w:pStyle w:val="a1"/>
              <w:ind w:firstLine="0"/>
              <w:jc w:val="center"/>
              <w:rPr>
                <w:lang w:val="en-GB"/>
              </w:rPr>
            </w:pPr>
            <w:r w:rsidRPr="00524588">
              <w:rPr>
                <w:lang w:val="en-GB"/>
              </w:rPr>
              <w:t>1.98934±0.00113</w:t>
            </w:r>
          </w:p>
        </w:tc>
        <w:tc>
          <w:tcPr>
            <w:tcW w:w="1617" w:type="dxa"/>
            <w:tcBorders>
              <w:top w:val="single" w:sz="4" w:space="0" w:color="auto"/>
              <w:left w:val="nil"/>
              <w:bottom w:val="nil"/>
              <w:right w:val="nil"/>
            </w:tcBorders>
            <w:vAlign w:val="center"/>
            <w:hideMark/>
          </w:tcPr>
          <w:p w14:paraId="7A39E818" w14:textId="77777777" w:rsidR="00025DDA" w:rsidRPr="00524588" w:rsidRDefault="00025DDA" w:rsidP="00524588">
            <w:pPr>
              <w:pStyle w:val="a1"/>
              <w:ind w:firstLine="0"/>
              <w:jc w:val="center"/>
              <w:rPr>
                <w:lang w:val="en-GB"/>
              </w:rPr>
            </w:pPr>
            <w:r w:rsidRPr="00524588">
              <w:rPr>
                <w:lang w:val="en-GB"/>
              </w:rPr>
              <w:t>50</w:t>
            </w:r>
          </w:p>
        </w:tc>
      </w:tr>
      <w:tr w:rsidR="00025DDA" w:rsidRPr="004A7F71" w14:paraId="71E665DA" w14:textId="77777777" w:rsidTr="00014755">
        <w:trPr>
          <w:trHeight w:val="286"/>
          <w:jc w:val="center"/>
        </w:trPr>
        <w:tc>
          <w:tcPr>
            <w:tcW w:w="2202" w:type="dxa"/>
            <w:tcBorders>
              <w:top w:val="nil"/>
              <w:left w:val="nil"/>
              <w:bottom w:val="nil"/>
              <w:right w:val="nil"/>
            </w:tcBorders>
            <w:vAlign w:val="center"/>
            <w:hideMark/>
          </w:tcPr>
          <w:p w14:paraId="34338A2D" w14:textId="77777777" w:rsidR="00025DDA" w:rsidRPr="00524588" w:rsidRDefault="00025DDA" w:rsidP="00524588">
            <w:pPr>
              <w:pStyle w:val="a1"/>
              <w:ind w:firstLine="0"/>
              <w:rPr>
                <w:lang w:val="en-GB"/>
              </w:rPr>
            </w:pPr>
            <w:r w:rsidRPr="00524588">
              <w:rPr>
                <w:lang w:val="en-GB"/>
              </w:rPr>
              <w:t>Control assembly</w:t>
            </w:r>
          </w:p>
        </w:tc>
        <w:tc>
          <w:tcPr>
            <w:tcW w:w="1559" w:type="dxa"/>
            <w:tcBorders>
              <w:top w:val="nil"/>
              <w:left w:val="nil"/>
              <w:bottom w:val="nil"/>
              <w:right w:val="nil"/>
            </w:tcBorders>
            <w:vAlign w:val="center"/>
            <w:hideMark/>
          </w:tcPr>
          <w:p w14:paraId="3848C2CE" w14:textId="77777777" w:rsidR="00025DDA" w:rsidRPr="00524588" w:rsidRDefault="00025DDA" w:rsidP="00524588">
            <w:pPr>
              <w:pStyle w:val="a1"/>
              <w:ind w:firstLine="0"/>
              <w:jc w:val="center"/>
              <w:rPr>
                <w:lang w:val="en-GB"/>
              </w:rPr>
            </w:pPr>
            <w:r w:rsidRPr="00524588">
              <w:rPr>
                <w:lang w:val="en-GB"/>
              </w:rPr>
              <w:t>1.94197</w:t>
            </w:r>
          </w:p>
        </w:tc>
        <w:tc>
          <w:tcPr>
            <w:tcW w:w="2301" w:type="dxa"/>
            <w:tcBorders>
              <w:top w:val="nil"/>
              <w:left w:val="nil"/>
              <w:bottom w:val="nil"/>
              <w:right w:val="nil"/>
            </w:tcBorders>
            <w:vAlign w:val="center"/>
            <w:hideMark/>
          </w:tcPr>
          <w:p w14:paraId="5A66263C" w14:textId="77777777" w:rsidR="00025DDA" w:rsidRPr="00524588" w:rsidRDefault="00025DDA" w:rsidP="00524588">
            <w:pPr>
              <w:pStyle w:val="a1"/>
              <w:ind w:firstLine="0"/>
              <w:jc w:val="center"/>
              <w:rPr>
                <w:lang w:val="en-GB"/>
              </w:rPr>
            </w:pPr>
            <w:r w:rsidRPr="00524588">
              <w:rPr>
                <w:lang w:val="en-GB"/>
              </w:rPr>
              <w:t>1.94214±0.00106</w:t>
            </w:r>
          </w:p>
        </w:tc>
        <w:tc>
          <w:tcPr>
            <w:tcW w:w="1617" w:type="dxa"/>
            <w:tcBorders>
              <w:top w:val="nil"/>
              <w:left w:val="nil"/>
              <w:bottom w:val="nil"/>
              <w:right w:val="nil"/>
            </w:tcBorders>
            <w:vAlign w:val="center"/>
            <w:hideMark/>
          </w:tcPr>
          <w:p w14:paraId="1BD5BDFD" w14:textId="77777777" w:rsidR="00025DDA" w:rsidRPr="00524588" w:rsidRDefault="00025DDA" w:rsidP="00524588">
            <w:pPr>
              <w:pStyle w:val="a1"/>
              <w:ind w:firstLine="0"/>
              <w:jc w:val="center"/>
              <w:rPr>
                <w:lang w:val="en-GB"/>
              </w:rPr>
            </w:pPr>
            <w:r w:rsidRPr="00524588">
              <w:rPr>
                <w:lang w:val="en-GB"/>
              </w:rPr>
              <w:t>-17</w:t>
            </w:r>
          </w:p>
        </w:tc>
      </w:tr>
      <w:tr w:rsidR="00025DDA" w:rsidRPr="004A7F71" w14:paraId="33E437C5" w14:textId="77777777" w:rsidTr="00014755">
        <w:trPr>
          <w:trHeight w:val="286"/>
          <w:jc w:val="center"/>
        </w:trPr>
        <w:tc>
          <w:tcPr>
            <w:tcW w:w="2202" w:type="dxa"/>
            <w:tcBorders>
              <w:top w:val="nil"/>
              <w:left w:val="nil"/>
              <w:bottom w:val="nil"/>
              <w:right w:val="nil"/>
            </w:tcBorders>
            <w:vAlign w:val="center"/>
            <w:hideMark/>
          </w:tcPr>
          <w:p w14:paraId="2EDE5F52" w14:textId="77777777" w:rsidR="00025DDA" w:rsidRPr="00524588" w:rsidRDefault="00025DDA" w:rsidP="00524588">
            <w:pPr>
              <w:pStyle w:val="a1"/>
              <w:ind w:firstLine="0"/>
              <w:rPr>
                <w:lang w:val="en-GB"/>
              </w:rPr>
            </w:pPr>
            <w:r w:rsidRPr="00524588">
              <w:rPr>
                <w:lang w:val="en-GB"/>
              </w:rPr>
              <w:t>Half-worth driver</w:t>
            </w:r>
          </w:p>
        </w:tc>
        <w:tc>
          <w:tcPr>
            <w:tcW w:w="1559" w:type="dxa"/>
            <w:tcBorders>
              <w:top w:val="nil"/>
              <w:left w:val="nil"/>
              <w:bottom w:val="nil"/>
              <w:right w:val="nil"/>
            </w:tcBorders>
            <w:vAlign w:val="center"/>
            <w:hideMark/>
          </w:tcPr>
          <w:p w14:paraId="23FBA1D6" w14:textId="77777777" w:rsidR="00025DDA" w:rsidRPr="00524588" w:rsidRDefault="00025DDA" w:rsidP="00524588">
            <w:pPr>
              <w:pStyle w:val="a1"/>
              <w:ind w:firstLine="0"/>
              <w:jc w:val="center"/>
              <w:rPr>
                <w:lang w:val="en-GB"/>
              </w:rPr>
            </w:pPr>
            <w:r w:rsidRPr="00524588">
              <w:rPr>
                <w:lang w:val="en-GB"/>
              </w:rPr>
              <w:t>1.82971</w:t>
            </w:r>
          </w:p>
        </w:tc>
        <w:tc>
          <w:tcPr>
            <w:tcW w:w="2301" w:type="dxa"/>
            <w:tcBorders>
              <w:top w:val="nil"/>
              <w:left w:val="nil"/>
              <w:bottom w:val="nil"/>
              <w:right w:val="nil"/>
            </w:tcBorders>
            <w:vAlign w:val="center"/>
            <w:hideMark/>
          </w:tcPr>
          <w:p w14:paraId="077C4871" w14:textId="77777777" w:rsidR="00025DDA" w:rsidRPr="00524588" w:rsidRDefault="00025DDA" w:rsidP="00524588">
            <w:pPr>
              <w:pStyle w:val="a1"/>
              <w:ind w:firstLine="0"/>
              <w:jc w:val="center"/>
              <w:rPr>
                <w:lang w:val="en-GB"/>
              </w:rPr>
            </w:pPr>
            <w:r w:rsidRPr="00524588">
              <w:rPr>
                <w:lang w:val="en-GB"/>
              </w:rPr>
              <w:t>1.83253±0.00098</w:t>
            </w:r>
          </w:p>
        </w:tc>
        <w:tc>
          <w:tcPr>
            <w:tcW w:w="1617" w:type="dxa"/>
            <w:tcBorders>
              <w:top w:val="nil"/>
              <w:left w:val="nil"/>
              <w:bottom w:val="nil"/>
              <w:right w:val="nil"/>
            </w:tcBorders>
            <w:vAlign w:val="center"/>
            <w:hideMark/>
          </w:tcPr>
          <w:p w14:paraId="45F3C548" w14:textId="77777777" w:rsidR="00025DDA" w:rsidRPr="00524588" w:rsidRDefault="00025DDA" w:rsidP="00524588">
            <w:pPr>
              <w:pStyle w:val="a1"/>
              <w:ind w:firstLine="0"/>
              <w:jc w:val="center"/>
              <w:rPr>
                <w:lang w:val="en-GB"/>
              </w:rPr>
            </w:pPr>
            <w:r w:rsidRPr="00524588">
              <w:rPr>
                <w:lang w:val="en-GB"/>
              </w:rPr>
              <w:t>-282</w:t>
            </w:r>
          </w:p>
        </w:tc>
      </w:tr>
      <w:tr w:rsidR="00025DDA" w:rsidRPr="004A7F71" w14:paraId="39A5F49E" w14:textId="77777777" w:rsidTr="00014755">
        <w:trPr>
          <w:trHeight w:val="286"/>
          <w:jc w:val="center"/>
        </w:trPr>
        <w:tc>
          <w:tcPr>
            <w:tcW w:w="2202" w:type="dxa"/>
            <w:tcBorders>
              <w:top w:val="nil"/>
              <w:left w:val="nil"/>
              <w:bottom w:val="single" w:sz="4" w:space="0" w:color="auto"/>
              <w:right w:val="nil"/>
            </w:tcBorders>
            <w:vAlign w:val="center"/>
            <w:hideMark/>
          </w:tcPr>
          <w:p w14:paraId="553C4786" w14:textId="77777777" w:rsidR="00025DDA" w:rsidRPr="00524588" w:rsidRDefault="00025DDA" w:rsidP="00524588">
            <w:pPr>
              <w:pStyle w:val="a1"/>
              <w:ind w:firstLine="0"/>
              <w:rPr>
                <w:lang w:val="en-GB"/>
              </w:rPr>
            </w:pPr>
            <w:r w:rsidRPr="00524588">
              <w:rPr>
                <w:lang w:val="en-GB"/>
              </w:rPr>
              <w:t>Blanket assembly</w:t>
            </w:r>
          </w:p>
        </w:tc>
        <w:tc>
          <w:tcPr>
            <w:tcW w:w="1559" w:type="dxa"/>
            <w:tcBorders>
              <w:top w:val="nil"/>
              <w:left w:val="nil"/>
              <w:bottom w:val="single" w:sz="4" w:space="0" w:color="auto"/>
              <w:right w:val="nil"/>
            </w:tcBorders>
            <w:vAlign w:val="center"/>
            <w:hideMark/>
          </w:tcPr>
          <w:p w14:paraId="0490BA0C" w14:textId="77777777" w:rsidR="00025DDA" w:rsidRPr="00524588" w:rsidRDefault="00025DDA" w:rsidP="00524588">
            <w:pPr>
              <w:pStyle w:val="a1"/>
              <w:ind w:firstLine="0"/>
              <w:jc w:val="center"/>
              <w:rPr>
                <w:lang w:val="en-GB"/>
              </w:rPr>
            </w:pPr>
            <w:r w:rsidRPr="00524588">
              <w:rPr>
                <w:lang w:val="en-GB"/>
              </w:rPr>
              <w:t>0.37259</w:t>
            </w:r>
          </w:p>
        </w:tc>
        <w:tc>
          <w:tcPr>
            <w:tcW w:w="2301" w:type="dxa"/>
            <w:tcBorders>
              <w:top w:val="nil"/>
              <w:left w:val="nil"/>
              <w:bottom w:val="single" w:sz="4" w:space="0" w:color="auto"/>
              <w:right w:val="nil"/>
            </w:tcBorders>
            <w:vAlign w:val="center"/>
            <w:hideMark/>
          </w:tcPr>
          <w:p w14:paraId="3F3E1415" w14:textId="77777777" w:rsidR="00025DDA" w:rsidRPr="00524588" w:rsidRDefault="00025DDA" w:rsidP="00524588">
            <w:pPr>
              <w:pStyle w:val="a1"/>
              <w:ind w:firstLine="0"/>
              <w:jc w:val="center"/>
              <w:rPr>
                <w:lang w:val="en-GB"/>
              </w:rPr>
            </w:pPr>
            <w:r w:rsidRPr="00524588">
              <w:rPr>
                <w:lang w:val="en-GB"/>
              </w:rPr>
              <w:t>0.37856</w:t>
            </w:r>
          </w:p>
        </w:tc>
        <w:tc>
          <w:tcPr>
            <w:tcW w:w="1617" w:type="dxa"/>
            <w:tcBorders>
              <w:top w:val="nil"/>
              <w:left w:val="nil"/>
              <w:bottom w:val="single" w:sz="4" w:space="0" w:color="auto"/>
              <w:right w:val="nil"/>
            </w:tcBorders>
            <w:vAlign w:val="center"/>
            <w:hideMark/>
          </w:tcPr>
          <w:p w14:paraId="4B954C89" w14:textId="77777777" w:rsidR="00025DDA" w:rsidRPr="00524588" w:rsidRDefault="00025DDA" w:rsidP="00524588">
            <w:pPr>
              <w:pStyle w:val="a1"/>
              <w:ind w:firstLine="0"/>
              <w:jc w:val="center"/>
              <w:rPr>
                <w:lang w:val="en-GB"/>
              </w:rPr>
            </w:pPr>
            <w:r w:rsidRPr="00524588">
              <w:rPr>
                <w:lang w:val="en-GB"/>
              </w:rPr>
              <w:t>-597</w:t>
            </w:r>
          </w:p>
        </w:tc>
      </w:tr>
    </w:tbl>
    <w:p w14:paraId="2EA62ADD" w14:textId="460FE8EC" w:rsidR="00025DDA" w:rsidRDefault="00025DDA" w:rsidP="00014755">
      <w:pPr>
        <w:pStyle w:val="a6"/>
        <w:spacing w:line="360" w:lineRule="auto"/>
        <w:ind w:left="0" w:firstLine="0"/>
      </w:pPr>
    </w:p>
    <w:p w14:paraId="0918CC09" w14:textId="69613A48" w:rsidR="00014755" w:rsidRPr="00014755" w:rsidRDefault="00014755" w:rsidP="00014755">
      <w:pPr>
        <w:pStyle w:val="a1"/>
      </w:pPr>
      <w:r w:rsidRPr="00014755">
        <w:t xml:space="preserve">With the </w:t>
      </w:r>
      <w:proofErr w:type="spellStart"/>
      <w:r w:rsidRPr="00014755">
        <w:t>modeling</w:t>
      </w:r>
      <w:proofErr w:type="spellEnd"/>
      <w:r w:rsidRPr="00014755">
        <w:t xml:space="preserve"> of the core by LAVENDER composed of 637 assemblies and the cross section generated by TULIP, the steady state physics calculation result by LAVENDER is shown in Table 2 below. The reference results </w:t>
      </w:r>
      <w:proofErr w:type="gramStart"/>
      <w:r w:rsidRPr="00014755">
        <w:t>is</w:t>
      </w:r>
      <w:proofErr w:type="gramEnd"/>
      <w:r w:rsidRPr="00014755">
        <w:t xml:space="preserve"> from </w:t>
      </w:r>
      <w:r w:rsidR="00130000">
        <w:t xml:space="preserve">technical report </w:t>
      </w:r>
      <w:r w:rsidRPr="00014755">
        <w:t>[</w:t>
      </w:r>
      <w:r w:rsidR="004D171D" w:rsidRPr="004D171D">
        <w:t>6</w:t>
      </w:r>
      <w:r w:rsidR="00130000">
        <w:rPr>
          <w:lang w:eastAsia="zh-CN"/>
        </w:rPr>
        <w:t>,</w:t>
      </w:r>
      <w:r w:rsidR="004D171D" w:rsidRPr="004D171D">
        <w:rPr>
          <w:lang w:eastAsia="zh-CN"/>
        </w:rPr>
        <w:t>9</w:t>
      </w:r>
      <w:r w:rsidRPr="00014755">
        <w:t xml:space="preserve">]. The results show that the </w:t>
      </w:r>
      <w:proofErr w:type="spellStart"/>
      <w:r w:rsidRPr="00014755">
        <w:t>modeling</w:t>
      </w:r>
      <w:proofErr w:type="spellEnd"/>
      <w:r w:rsidRPr="00014755">
        <w:t xml:space="preserve"> by SARAX is correct. In order to accurately calculate the value of the control rod and consider the influence of the fuel around it on its value, the absorber cross section in the control rod assembly is generated using the Super-cell model. In Super-cell model of TULIP, a two-ring geometry is defined: the absorber material of interest is located at the center while the external ring is a fissile material used in fuel assembly acting as a neutron supplier. Table 3 gives the worth of three groups of control rods. </w:t>
      </w:r>
    </w:p>
    <w:p w14:paraId="175825AD" w14:textId="77777777" w:rsidR="00014755" w:rsidRPr="00014755" w:rsidRDefault="00014755" w:rsidP="00014755">
      <w:pPr>
        <w:suppressAutoHyphens/>
        <w:overflowPunct/>
        <w:autoSpaceDE/>
        <w:autoSpaceDN/>
        <w:adjustRightInd/>
        <w:spacing w:line="360" w:lineRule="auto"/>
        <w:ind w:firstLine="360"/>
        <w:jc w:val="both"/>
        <w:textAlignment w:val="auto"/>
        <w:rPr>
          <w:rFonts w:eastAsia="Times New Roman"/>
          <w:kern w:val="14"/>
          <w:sz w:val="21"/>
          <w:szCs w:val="22"/>
          <w:lang w:val="en-US"/>
        </w:rPr>
      </w:pPr>
    </w:p>
    <w:p w14:paraId="2BAA1E5D" w14:textId="31520F10" w:rsidR="00014755" w:rsidRPr="00014755" w:rsidRDefault="00014755" w:rsidP="00014755">
      <w:pPr>
        <w:pStyle w:val="a1"/>
        <w:ind w:firstLine="0"/>
        <w:rPr>
          <w:rFonts w:eastAsia="宋体"/>
          <w:kern w:val="14"/>
          <w:sz w:val="18"/>
          <w:szCs w:val="22"/>
          <w:lang w:val="en-US" w:eastAsia="zh-CN"/>
        </w:rPr>
      </w:pPr>
      <w:r w:rsidRPr="00014755">
        <w:t xml:space="preserve">TABLE 2 </w:t>
      </w:r>
      <w:proofErr w:type="spellStart"/>
      <w:r w:rsidRPr="00014755">
        <w:t>k</w:t>
      </w:r>
      <w:r w:rsidRPr="00014755">
        <w:rPr>
          <w:vertAlign w:val="subscript"/>
        </w:rPr>
        <w:t>eff</w:t>
      </w:r>
      <w:proofErr w:type="spellEnd"/>
      <w:r w:rsidRPr="00014755">
        <w:t xml:space="preserve"> </w:t>
      </w:r>
      <w:r w:rsidR="00C55FA3">
        <w:t xml:space="preserve">comparison </w:t>
      </w:r>
      <w:r w:rsidRPr="00014755">
        <w:t>of the EBR-II benchmark core</w:t>
      </w:r>
    </w:p>
    <w:tbl>
      <w:tblPr>
        <w:tblW w:w="7657" w:type="dxa"/>
        <w:jc w:val="center"/>
        <w:tblBorders>
          <w:top w:val="single" w:sz="4" w:space="0" w:color="000000"/>
          <w:bottom w:val="single" w:sz="4" w:space="0" w:color="000000"/>
          <w:insideH w:val="single" w:sz="4" w:space="0" w:color="000000"/>
        </w:tblBorders>
        <w:tblCellMar>
          <w:left w:w="0" w:type="dxa"/>
          <w:right w:w="0" w:type="dxa"/>
        </w:tblCellMar>
        <w:tblLook w:val="0420" w:firstRow="1" w:lastRow="0" w:firstColumn="0" w:lastColumn="0" w:noHBand="0" w:noVBand="1"/>
      </w:tblPr>
      <w:tblGrid>
        <w:gridCol w:w="2033"/>
        <w:gridCol w:w="2812"/>
        <w:gridCol w:w="2812"/>
      </w:tblGrid>
      <w:tr w:rsidR="00B36696" w:rsidRPr="00014755" w14:paraId="774FED80" w14:textId="11ADF4A0" w:rsidTr="006B33E6">
        <w:trPr>
          <w:trHeight w:val="259"/>
          <w:jc w:val="center"/>
        </w:trPr>
        <w:tc>
          <w:tcPr>
            <w:tcW w:w="2033" w:type="dxa"/>
            <w:tcBorders>
              <w:bottom w:val="single" w:sz="4" w:space="0" w:color="000000"/>
            </w:tcBorders>
            <w:shd w:val="clear" w:color="auto" w:fill="auto"/>
            <w:tcMar>
              <w:top w:w="20" w:type="dxa"/>
              <w:left w:w="20" w:type="dxa"/>
              <w:bottom w:w="72" w:type="dxa"/>
              <w:right w:w="20" w:type="dxa"/>
            </w:tcMar>
            <w:vAlign w:val="center"/>
            <w:hideMark/>
          </w:tcPr>
          <w:p w14:paraId="385B9853" w14:textId="77777777" w:rsidR="00B36696" w:rsidRPr="00014755" w:rsidRDefault="00B36696" w:rsidP="00014755">
            <w:pPr>
              <w:pStyle w:val="a1"/>
              <w:ind w:firstLine="0"/>
            </w:pPr>
          </w:p>
        </w:tc>
        <w:tc>
          <w:tcPr>
            <w:tcW w:w="2812" w:type="dxa"/>
            <w:tcBorders>
              <w:bottom w:val="single" w:sz="4" w:space="0" w:color="000000"/>
            </w:tcBorders>
            <w:shd w:val="clear" w:color="auto" w:fill="auto"/>
            <w:tcMar>
              <w:top w:w="20" w:type="dxa"/>
              <w:left w:w="20" w:type="dxa"/>
              <w:bottom w:w="72" w:type="dxa"/>
              <w:right w:w="20" w:type="dxa"/>
            </w:tcMar>
            <w:vAlign w:val="center"/>
            <w:hideMark/>
          </w:tcPr>
          <w:p w14:paraId="2CEF6705" w14:textId="77777777" w:rsidR="00B36696" w:rsidRPr="00014755" w:rsidRDefault="00B36696" w:rsidP="00014755">
            <w:pPr>
              <w:pStyle w:val="a1"/>
              <w:ind w:firstLine="0"/>
              <w:jc w:val="center"/>
            </w:pPr>
            <w:proofErr w:type="spellStart"/>
            <w:r w:rsidRPr="00014755">
              <w:t>k</w:t>
            </w:r>
            <w:r w:rsidRPr="00014755">
              <w:rPr>
                <w:vertAlign w:val="subscript"/>
              </w:rPr>
              <w:t>eff</w:t>
            </w:r>
            <w:r w:rsidRPr="00014755">
              <w:t>±σ</w:t>
            </w:r>
            <w:proofErr w:type="spellEnd"/>
          </w:p>
        </w:tc>
        <w:tc>
          <w:tcPr>
            <w:tcW w:w="2812" w:type="dxa"/>
            <w:tcBorders>
              <w:bottom w:val="single" w:sz="4" w:space="0" w:color="000000"/>
            </w:tcBorders>
          </w:tcPr>
          <w:p w14:paraId="598E4A2E" w14:textId="0B3DDA4B" w:rsidR="00B36696" w:rsidRPr="00014755" w:rsidRDefault="00B36696" w:rsidP="00014755">
            <w:pPr>
              <w:pStyle w:val="a1"/>
              <w:ind w:firstLine="0"/>
              <w:jc w:val="center"/>
            </w:pPr>
            <w:r w:rsidRPr="00524588">
              <w:t>Difference/</w:t>
            </w:r>
            <w:proofErr w:type="spellStart"/>
            <w:r w:rsidRPr="00524588">
              <w:t>pcm</w:t>
            </w:r>
            <w:proofErr w:type="spellEnd"/>
          </w:p>
        </w:tc>
      </w:tr>
      <w:tr w:rsidR="00B36696" w:rsidRPr="00014755" w14:paraId="69BEA418" w14:textId="42C0BF6C" w:rsidTr="006B33E6">
        <w:trPr>
          <w:trHeight w:val="259"/>
          <w:jc w:val="center"/>
        </w:trPr>
        <w:tc>
          <w:tcPr>
            <w:tcW w:w="2033" w:type="dxa"/>
            <w:tcBorders>
              <w:bottom w:val="nil"/>
            </w:tcBorders>
            <w:shd w:val="clear" w:color="auto" w:fill="auto"/>
            <w:tcMar>
              <w:top w:w="20" w:type="dxa"/>
              <w:left w:w="20" w:type="dxa"/>
              <w:bottom w:w="72" w:type="dxa"/>
              <w:right w:w="20" w:type="dxa"/>
            </w:tcMar>
            <w:vAlign w:val="center"/>
            <w:hideMark/>
          </w:tcPr>
          <w:p w14:paraId="50573AAA" w14:textId="77777777" w:rsidR="00B36696" w:rsidRPr="00014755" w:rsidRDefault="00B36696" w:rsidP="00014755">
            <w:pPr>
              <w:pStyle w:val="a1"/>
              <w:ind w:firstLine="0"/>
            </w:pPr>
            <w:r w:rsidRPr="00014755">
              <w:t>benchmark</w:t>
            </w:r>
          </w:p>
        </w:tc>
        <w:tc>
          <w:tcPr>
            <w:tcW w:w="2812" w:type="dxa"/>
            <w:tcBorders>
              <w:bottom w:val="nil"/>
            </w:tcBorders>
            <w:shd w:val="clear" w:color="auto" w:fill="auto"/>
            <w:tcMar>
              <w:top w:w="20" w:type="dxa"/>
              <w:left w:w="20" w:type="dxa"/>
              <w:bottom w:w="72" w:type="dxa"/>
              <w:right w:w="20" w:type="dxa"/>
            </w:tcMar>
            <w:vAlign w:val="center"/>
            <w:hideMark/>
          </w:tcPr>
          <w:p w14:paraId="3D726CA4" w14:textId="77777777" w:rsidR="00B36696" w:rsidRPr="00014755" w:rsidRDefault="00B36696" w:rsidP="00014755">
            <w:pPr>
              <w:pStyle w:val="a1"/>
              <w:ind w:firstLine="0"/>
              <w:jc w:val="center"/>
            </w:pPr>
            <w:r w:rsidRPr="00014755">
              <w:t>1.00927±0.00458</w:t>
            </w:r>
          </w:p>
        </w:tc>
        <w:tc>
          <w:tcPr>
            <w:tcW w:w="2812" w:type="dxa"/>
            <w:tcBorders>
              <w:bottom w:val="nil"/>
            </w:tcBorders>
          </w:tcPr>
          <w:p w14:paraId="777C5D9C" w14:textId="065E9A2A" w:rsidR="00B36696" w:rsidRPr="00014755" w:rsidRDefault="00B36696" w:rsidP="00014755">
            <w:pPr>
              <w:pStyle w:val="a1"/>
              <w:ind w:firstLine="0"/>
              <w:jc w:val="center"/>
              <w:rPr>
                <w:lang w:eastAsia="zh-CN"/>
              </w:rPr>
            </w:pPr>
            <w:r>
              <w:rPr>
                <w:rFonts w:hint="eastAsia"/>
                <w:lang w:eastAsia="zh-CN"/>
              </w:rPr>
              <w:t>-</w:t>
            </w:r>
          </w:p>
        </w:tc>
      </w:tr>
      <w:tr w:rsidR="00B36696" w:rsidRPr="00014755" w14:paraId="1848E44C" w14:textId="79201F88" w:rsidTr="006B33E6">
        <w:trPr>
          <w:trHeight w:val="259"/>
          <w:jc w:val="center"/>
        </w:trPr>
        <w:tc>
          <w:tcPr>
            <w:tcW w:w="2033" w:type="dxa"/>
            <w:tcBorders>
              <w:top w:val="nil"/>
              <w:bottom w:val="nil"/>
            </w:tcBorders>
            <w:shd w:val="clear" w:color="auto" w:fill="auto"/>
            <w:tcMar>
              <w:top w:w="20" w:type="dxa"/>
              <w:left w:w="20" w:type="dxa"/>
              <w:bottom w:w="72" w:type="dxa"/>
              <w:right w:w="20" w:type="dxa"/>
            </w:tcMar>
            <w:vAlign w:val="center"/>
            <w:hideMark/>
          </w:tcPr>
          <w:p w14:paraId="51AA28B9" w14:textId="77777777" w:rsidR="00B36696" w:rsidRPr="00014755" w:rsidRDefault="00B36696" w:rsidP="00014755">
            <w:pPr>
              <w:pStyle w:val="a1"/>
              <w:ind w:firstLine="0"/>
            </w:pPr>
            <w:r w:rsidRPr="00014755">
              <w:t>INL calculated</w:t>
            </w:r>
          </w:p>
        </w:tc>
        <w:tc>
          <w:tcPr>
            <w:tcW w:w="2812" w:type="dxa"/>
            <w:tcBorders>
              <w:top w:val="nil"/>
              <w:bottom w:val="nil"/>
            </w:tcBorders>
            <w:shd w:val="clear" w:color="auto" w:fill="auto"/>
            <w:tcMar>
              <w:top w:w="20" w:type="dxa"/>
              <w:left w:w="20" w:type="dxa"/>
              <w:bottom w:w="72" w:type="dxa"/>
              <w:right w:w="20" w:type="dxa"/>
            </w:tcMar>
            <w:vAlign w:val="center"/>
            <w:hideMark/>
          </w:tcPr>
          <w:p w14:paraId="07E932A7" w14:textId="77777777" w:rsidR="00B36696" w:rsidRPr="00014755" w:rsidRDefault="00B36696" w:rsidP="00014755">
            <w:pPr>
              <w:pStyle w:val="a1"/>
              <w:ind w:firstLine="0"/>
              <w:jc w:val="center"/>
            </w:pPr>
            <w:r w:rsidRPr="00014755">
              <w:t>1.01169±0.00005</w:t>
            </w:r>
          </w:p>
        </w:tc>
        <w:tc>
          <w:tcPr>
            <w:tcW w:w="2812" w:type="dxa"/>
            <w:tcBorders>
              <w:top w:val="nil"/>
              <w:bottom w:val="nil"/>
            </w:tcBorders>
          </w:tcPr>
          <w:p w14:paraId="606699F8" w14:textId="7E055790" w:rsidR="00B36696" w:rsidRPr="00014755" w:rsidRDefault="00C55FA3" w:rsidP="00014755">
            <w:pPr>
              <w:pStyle w:val="a1"/>
              <w:ind w:firstLine="0"/>
              <w:jc w:val="center"/>
              <w:rPr>
                <w:lang w:eastAsia="zh-CN"/>
              </w:rPr>
            </w:pPr>
            <w:r>
              <w:rPr>
                <w:rFonts w:hint="eastAsia"/>
                <w:lang w:eastAsia="zh-CN"/>
              </w:rPr>
              <w:t>2</w:t>
            </w:r>
            <w:r>
              <w:rPr>
                <w:lang w:eastAsia="zh-CN"/>
              </w:rPr>
              <w:t>37</w:t>
            </w:r>
          </w:p>
        </w:tc>
      </w:tr>
      <w:tr w:rsidR="00B36696" w:rsidRPr="00014755" w14:paraId="0EEE38BB" w14:textId="5B2D98C8" w:rsidTr="006B33E6">
        <w:trPr>
          <w:trHeight w:val="259"/>
          <w:jc w:val="center"/>
        </w:trPr>
        <w:tc>
          <w:tcPr>
            <w:tcW w:w="2033" w:type="dxa"/>
            <w:tcBorders>
              <w:top w:val="nil"/>
            </w:tcBorders>
            <w:shd w:val="clear" w:color="auto" w:fill="auto"/>
            <w:tcMar>
              <w:top w:w="20" w:type="dxa"/>
              <w:left w:w="20" w:type="dxa"/>
              <w:bottom w:w="72" w:type="dxa"/>
              <w:right w:w="20" w:type="dxa"/>
            </w:tcMar>
            <w:vAlign w:val="center"/>
            <w:hideMark/>
          </w:tcPr>
          <w:p w14:paraId="3F6AF0DB" w14:textId="77777777" w:rsidR="00B36696" w:rsidRPr="00014755" w:rsidRDefault="00B36696" w:rsidP="00014755">
            <w:pPr>
              <w:pStyle w:val="a1"/>
              <w:ind w:firstLine="0"/>
            </w:pPr>
            <w:r w:rsidRPr="00014755">
              <w:t>LAVENDER</w:t>
            </w:r>
          </w:p>
        </w:tc>
        <w:tc>
          <w:tcPr>
            <w:tcW w:w="2812" w:type="dxa"/>
            <w:tcBorders>
              <w:top w:val="nil"/>
            </w:tcBorders>
            <w:shd w:val="clear" w:color="auto" w:fill="auto"/>
            <w:tcMar>
              <w:top w:w="20" w:type="dxa"/>
              <w:left w:w="20" w:type="dxa"/>
              <w:bottom w:w="72" w:type="dxa"/>
              <w:right w:w="20" w:type="dxa"/>
            </w:tcMar>
            <w:vAlign w:val="center"/>
            <w:hideMark/>
          </w:tcPr>
          <w:p w14:paraId="04A6D2B6" w14:textId="43178280" w:rsidR="00B36696" w:rsidRPr="00014755" w:rsidRDefault="00B36696" w:rsidP="00014755">
            <w:pPr>
              <w:pStyle w:val="a1"/>
              <w:ind w:firstLine="0"/>
              <w:jc w:val="center"/>
            </w:pPr>
            <w:r w:rsidRPr="00014755">
              <w:t>1.00979</w:t>
            </w:r>
          </w:p>
        </w:tc>
        <w:tc>
          <w:tcPr>
            <w:tcW w:w="2812" w:type="dxa"/>
            <w:tcBorders>
              <w:top w:val="nil"/>
            </w:tcBorders>
          </w:tcPr>
          <w:p w14:paraId="7F4B1AC0" w14:textId="6FBE1CC8" w:rsidR="00B36696" w:rsidRPr="00014755" w:rsidRDefault="00C55FA3" w:rsidP="00014755">
            <w:pPr>
              <w:pStyle w:val="a1"/>
              <w:ind w:firstLine="0"/>
              <w:jc w:val="center"/>
              <w:rPr>
                <w:lang w:eastAsia="zh-CN"/>
              </w:rPr>
            </w:pPr>
            <w:r>
              <w:rPr>
                <w:rFonts w:hint="eastAsia"/>
                <w:lang w:eastAsia="zh-CN"/>
              </w:rPr>
              <w:t>5</w:t>
            </w:r>
            <w:r>
              <w:rPr>
                <w:lang w:eastAsia="zh-CN"/>
              </w:rPr>
              <w:t>1</w:t>
            </w:r>
          </w:p>
        </w:tc>
      </w:tr>
    </w:tbl>
    <w:p w14:paraId="6754DD12" w14:textId="1D5FC722" w:rsidR="00014755" w:rsidRPr="00014755" w:rsidRDefault="00014755" w:rsidP="00014755">
      <w:pPr>
        <w:pStyle w:val="a1"/>
        <w:ind w:firstLine="0"/>
      </w:pPr>
      <w:r w:rsidRPr="00014755">
        <w:t>TABLE 3 The worth of three groups of control rods</w:t>
      </w:r>
      <w:r w:rsidR="00C55FA3">
        <w:t xml:space="preserve"> by SARAX</w:t>
      </w:r>
    </w:p>
    <w:tbl>
      <w:tblPr>
        <w:tblW w:w="5140" w:type="dxa"/>
        <w:jc w:val="center"/>
        <w:tblBorders>
          <w:top w:val="single" w:sz="4" w:space="0" w:color="000000"/>
          <w:bottom w:val="single" w:sz="4" w:space="0" w:color="000000"/>
          <w:insideH w:val="single" w:sz="4" w:space="0" w:color="000000"/>
        </w:tblBorders>
        <w:tblCellMar>
          <w:left w:w="0" w:type="dxa"/>
          <w:right w:w="0" w:type="dxa"/>
        </w:tblCellMar>
        <w:tblLook w:val="0420" w:firstRow="1" w:lastRow="0" w:firstColumn="0" w:lastColumn="0" w:noHBand="0" w:noVBand="1"/>
      </w:tblPr>
      <w:tblGrid>
        <w:gridCol w:w="2122"/>
        <w:gridCol w:w="1417"/>
        <w:gridCol w:w="1601"/>
      </w:tblGrid>
      <w:tr w:rsidR="00014755" w:rsidRPr="00014755" w14:paraId="3F3A4BC5" w14:textId="77777777" w:rsidTr="00014755">
        <w:trPr>
          <w:trHeight w:val="274"/>
          <w:jc w:val="center"/>
        </w:trPr>
        <w:tc>
          <w:tcPr>
            <w:tcW w:w="2122" w:type="dxa"/>
            <w:tcBorders>
              <w:bottom w:val="single" w:sz="4" w:space="0" w:color="000000"/>
            </w:tcBorders>
            <w:shd w:val="clear" w:color="auto" w:fill="auto"/>
            <w:tcMar>
              <w:top w:w="20" w:type="dxa"/>
              <w:left w:w="20" w:type="dxa"/>
              <w:bottom w:w="72" w:type="dxa"/>
              <w:right w:w="20" w:type="dxa"/>
            </w:tcMar>
            <w:vAlign w:val="center"/>
            <w:hideMark/>
          </w:tcPr>
          <w:p w14:paraId="3DB1E02B" w14:textId="77777777" w:rsidR="00014755" w:rsidRPr="00014755" w:rsidRDefault="00014755" w:rsidP="00014755">
            <w:pPr>
              <w:pStyle w:val="a1"/>
              <w:ind w:firstLine="0"/>
            </w:pPr>
          </w:p>
        </w:tc>
        <w:tc>
          <w:tcPr>
            <w:tcW w:w="1417" w:type="dxa"/>
            <w:tcBorders>
              <w:bottom w:val="single" w:sz="4" w:space="0" w:color="000000"/>
            </w:tcBorders>
            <w:shd w:val="clear" w:color="auto" w:fill="auto"/>
            <w:tcMar>
              <w:top w:w="20" w:type="dxa"/>
              <w:left w:w="20" w:type="dxa"/>
              <w:bottom w:w="72" w:type="dxa"/>
              <w:right w:w="20" w:type="dxa"/>
            </w:tcMar>
            <w:vAlign w:val="center"/>
            <w:hideMark/>
          </w:tcPr>
          <w:p w14:paraId="6BF1A949" w14:textId="77777777" w:rsidR="00014755" w:rsidRPr="00014755" w:rsidRDefault="00014755" w:rsidP="00014755">
            <w:pPr>
              <w:suppressAutoHyphens/>
              <w:overflowPunct/>
              <w:autoSpaceDE/>
              <w:autoSpaceDN/>
              <w:adjustRightInd/>
              <w:spacing w:line="360" w:lineRule="auto"/>
              <w:jc w:val="center"/>
              <w:textAlignment w:val="auto"/>
              <w:rPr>
                <w:sz w:val="20"/>
              </w:rPr>
            </w:pPr>
            <w:r w:rsidRPr="00014755">
              <w:rPr>
                <w:sz w:val="20"/>
              </w:rPr>
              <w:t>k</w:t>
            </w:r>
            <w:r w:rsidRPr="00014755">
              <w:rPr>
                <w:sz w:val="20"/>
                <w:vertAlign w:val="subscript"/>
              </w:rPr>
              <w:t>eff</w:t>
            </w:r>
          </w:p>
        </w:tc>
        <w:tc>
          <w:tcPr>
            <w:tcW w:w="1601" w:type="dxa"/>
            <w:tcBorders>
              <w:bottom w:val="single" w:sz="4" w:space="0" w:color="000000"/>
            </w:tcBorders>
            <w:shd w:val="clear" w:color="auto" w:fill="auto"/>
            <w:tcMar>
              <w:top w:w="20" w:type="dxa"/>
              <w:left w:w="20" w:type="dxa"/>
              <w:bottom w:w="72" w:type="dxa"/>
              <w:right w:w="20" w:type="dxa"/>
            </w:tcMar>
            <w:vAlign w:val="center"/>
            <w:hideMark/>
          </w:tcPr>
          <w:p w14:paraId="30F8434A" w14:textId="77777777" w:rsidR="00014755" w:rsidRPr="00014755" w:rsidRDefault="00014755" w:rsidP="00014755">
            <w:pPr>
              <w:suppressAutoHyphens/>
              <w:overflowPunct/>
              <w:autoSpaceDE/>
              <w:autoSpaceDN/>
              <w:adjustRightInd/>
              <w:spacing w:line="360" w:lineRule="auto"/>
              <w:jc w:val="center"/>
              <w:textAlignment w:val="auto"/>
              <w:rPr>
                <w:sz w:val="20"/>
              </w:rPr>
            </w:pPr>
            <w:r w:rsidRPr="00014755">
              <w:rPr>
                <w:sz w:val="20"/>
              </w:rPr>
              <w:t>worth/pcm</w:t>
            </w:r>
          </w:p>
        </w:tc>
      </w:tr>
      <w:tr w:rsidR="00014755" w:rsidRPr="00014755" w14:paraId="4351B9A9" w14:textId="77777777" w:rsidTr="00014755">
        <w:trPr>
          <w:trHeight w:val="274"/>
          <w:jc w:val="center"/>
        </w:trPr>
        <w:tc>
          <w:tcPr>
            <w:tcW w:w="2122" w:type="dxa"/>
            <w:tcBorders>
              <w:bottom w:val="nil"/>
            </w:tcBorders>
            <w:shd w:val="clear" w:color="auto" w:fill="auto"/>
            <w:tcMar>
              <w:top w:w="20" w:type="dxa"/>
              <w:left w:w="20" w:type="dxa"/>
              <w:bottom w:w="72" w:type="dxa"/>
              <w:right w:w="20" w:type="dxa"/>
            </w:tcMar>
            <w:vAlign w:val="center"/>
            <w:hideMark/>
          </w:tcPr>
          <w:p w14:paraId="3A798EE5" w14:textId="77777777" w:rsidR="00014755" w:rsidRPr="00014755" w:rsidRDefault="00014755" w:rsidP="00014755">
            <w:pPr>
              <w:pStyle w:val="a1"/>
              <w:ind w:firstLine="0"/>
            </w:pPr>
            <w:r w:rsidRPr="00014755">
              <w:t>ARO</w:t>
            </w:r>
          </w:p>
        </w:tc>
        <w:tc>
          <w:tcPr>
            <w:tcW w:w="1417" w:type="dxa"/>
            <w:tcBorders>
              <w:bottom w:val="nil"/>
            </w:tcBorders>
            <w:shd w:val="clear" w:color="auto" w:fill="auto"/>
            <w:tcMar>
              <w:top w:w="20" w:type="dxa"/>
              <w:left w:w="20" w:type="dxa"/>
              <w:bottom w:w="72" w:type="dxa"/>
              <w:right w:w="20" w:type="dxa"/>
            </w:tcMar>
            <w:vAlign w:val="center"/>
            <w:hideMark/>
          </w:tcPr>
          <w:p w14:paraId="646BC839" w14:textId="5FD53BB7" w:rsidR="00014755" w:rsidRPr="00014755" w:rsidRDefault="00014755" w:rsidP="00014755">
            <w:pPr>
              <w:pStyle w:val="a1"/>
              <w:ind w:firstLine="0"/>
              <w:jc w:val="center"/>
            </w:pPr>
            <w:r w:rsidRPr="00014755">
              <w:t>1.00979</w:t>
            </w:r>
          </w:p>
        </w:tc>
        <w:tc>
          <w:tcPr>
            <w:tcW w:w="1601" w:type="dxa"/>
            <w:tcBorders>
              <w:bottom w:val="nil"/>
            </w:tcBorders>
            <w:shd w:val="clear" w:color="auto" w:fill="auto"/>
            <w:tcMar>
              <w:top w:w="20" w:type="dxa"/>
              <w:left w:w="20" w:type="dxa"/>
              <w:bottom w:w="72" w:type="dxa"/>
              <w:right w:w="20" w:type="dxa"/>
            </w:tcMar>
            <w:vAlign w:val="center"/>
            <w:hideMark/>
          </w:tcPr>
          <w:p w14:paraId="15ED152A" w14:textId="77777777" w:rsidR="00014755" w:rsidRPr="00014755" w:rsidRDefault="00014755" w:rsidP="00014755">
            <w:pPr>
              <w:pStyle w:val="a1"/>
              <w:ind w:firstLine="0"/>
              <w:jc w:val="center"/>
            </w:pPr>
            <w:r w:rsidRPr="00014755">
              <w:t>-</w:t>
            </w:r>
          </w:p>
        </w:tc>
      </w:tr>
      <w:tr w:rsidR="00014755" w:rsidRPr="00014755" w14:paraId="581F70DB" w14:textId="77777777" w:rsidTr="00014755">
        <w:trPr>
          <w:trHeight w:val="274"/>
          <w:jc w:val="center"/>
        </w:trPr>
        <w:tc>
          <w:tcPr>
            <w:tcW w:w="2122" w:type="dxa"/>
            <w:tcBorders>
              <w:top w:val="nil"/>
              <w:bottom w:val="nil"/>
            </w:tcBorders>
            <w:shd w:val="clear" w:color="auto" w:fill="auto"/>
            <w:tcMar>
              <w:top w:w="20" w:type="dxa"/>
              <w:left w:w="20" w:type="dxa"/>
              <w:bottom w:w="72" w:type="dxa"/>
              <w:right w:w="20" w:type="dxa"/>
            </w:tcMar>
            <w:vAlign w:val="center"/>
            <w:hideMark/>
          </w:tcPr>
          <w:p w14:paraId="314C5439" w14:textId="77777777" w:rsidR="00014755" w:rsidRPr="00014755" w:rsidRDefault="00014755" w:rsidP="00014755">
            <w:pPr>
              <w:pStyle w:val="a1"/>
              <w:ind w:firstLine="0"/>
            </w:pPr>
            <w:r w:rsidRPr="00014755">
              <w:t>CR insert 36 cm</w:t>
            </w:r>
          </w:p>
        </w:tc>
        <w:tc>
          <w:tcPr>
            <w:tcW w:w="1417" w:type="dxa"/>
            <w:tcBorders>
              <w:top w:val="nil"/>
              <w:bottom w:val="nil"/>
            </w:tcBorders>
            <w:shd w:val="clear" w:color="auto" w:fill="auto"/>
            <w:tcMar>
              <w:top w:w="20" w:type="dxa"/>
              <w:left w:w="20" w:type="dxa"/>
              <w:bottom w:w="72" w:type="dxa"/>
              <w:right w:w="20" w:type="dxa"/>
            </w:tcMar>
            <w:vAlign w:val="center"/>
            <w:hideMark/>
          </w:tcPr>
          <w:p w14:paraId="5847E1A7" w14:textId="1260D159" w:rsidR="00014755" w:rsidRPr="00014755" w:rsidRDefault="00014755" w:rsidP="00014755">
            <w:pPr>
              <w:pStyle w:val="a1"/>
              <w:ind w:firstLine="0"/>
              <w:jc w:val="center"/>
            </w:pPr>
            <w:r w:rsidRPr="00014755">
              <w:t>1.00729</w:t>
            </w:r>
          </w:p>
        </w:tc>
        <w:tc>
          <w:tcPr>
            <w:tcW w:w="1601" w:type="dxa"/>
            <w:tcBorders>
              <w:top w:val="nil"/>
              <w:bottom w:val="nil"/>
            </w:tcBorders>
            <w:shd w:val="clear" w:color="auto" w:fill="auto"/>
            <w:tcMar>
              <w:top w:w="20" w:type="dxa"/>
              <w:left w:w="20" w:type="dxa"/>
              <w:bottom w:w="72" w:type="dxa"/>
              <w:right w:w="20" w:type="dxa"/>
            </w:tcMar>
            <w:vAlign w:val="center"/>
            <w:hideMark/>
          </w:tcPr>
          <w:p w14:paraId="58A8A06E" w14:textId="274BEC18" w:rsidR="00014755" w:rsidRPr="00014755" w:rsidRDefault="00014755" w:rsidP="00014755">
            <w:pPr>
              <w:pStyle w:val="a1"/>
              <w:ind w:firstLine="0"/>
              <w:jc w:val="center"/>
            </w:pPr>
            <w:r w:rsidRPr="00014755">
              <w:t>243</w:t>
            </w:r>
          </w:p>
        </w:tc>
      </w:tr>
      <w:tr w:rsidR="00014755" w:rsidRPr="00014755" w14:paraId="5D116FB5" w14:textId="77777777" w:rsidTr="00014755">
        <w:trPr>
          <w:trHeight w:val="274"/>
          <w:jc w:val="center"/>
        </w:trPr>
        <w:tc>
          <w:tcPr>
            <w:tcW w:w="2122" w:type="dxa"/>
            <w:tcBorders>
              <w:top w:val="nil"/>
              <w:bottom w:val="nil"/>
            </w:tcBorders>
            <w:shd w:val="clear" w:color="auto" w:fill="auto"/>
            <w:tcMar>
              <w:top w:w="20" w:type="dxa"/>
              <w:left w:w="20" w:type="dxa"/>
              <w:bottom w:w="72" w:type="dxa"/>
              <w:right w:w="20" w:type="dxa"/>
            </w:tcMar>
            <w:vAlign w:val="center"/>
            <w:hideMark/>
          </w:tcPr>
          <w:p w14:paraId="493953AE" w14:textId="77777777" w:rsidR="00014755" w:rsidRPr="00014755" w:rsidRDefault="00014755" w:rsidP="00014755">
            <w:pPr>
              <w:pStyle w:val="a1"/>
              <w:ind w:firstLine="0"/>
            </w:pPr>
            <w:r w:rsidRPr="00014755">
              <w:t>SR insert 36 cm</w:t>
            </w:r>
          </w:p>
        </w:tc>
        <w:tc>
          <w:tcPr>
            <w:tcW w:w="1417" w:type="dxa"/>
            <w:tcBorders>
              <w:top w:val="nil"/>
              <w:bottom w:val="nil"/>
            </w:tcBorders>
            <w:shd w:val="clear" w:color="auto" w:fill="auto"/>
            <w:tcMar>
              <w:top w:w="20" w:type="dxa"/>
              <w:left w:w="20" w:type="dxa"/>
              <w:bottom w:w="72" w:type="dxa"/>
              <w:right w:w="20" w:type="dxa"/>
            </w:tcMar>
            <w:vAlign w:val="center"/>
            <w:hideMark/>
          </w:tcPr>
          <w:p w14:paraId="374C170C" w14:textId="26AD275E" w:rsidR="00014755" w:rsidRPr="00014755" w:rsidRDefault="00014755" w:rsidP="00014755">
            <w:pPr>
              <w:pStyle w:val="a1"/>
              <w:ind w:firstLine="0"/>
              <w:jc w:val="center"/>
            </w:pPr>
            <w:r w:rsidRPr="00014755">
              <w:t>1.00483</w:t>
            </w:r>
          </w:p>
        </w:tc>
        <w:tc>
          <w:tcPr>
            <w:tcW w:w="1601" w:type="dxa"/>
            <w:tcBorders>
              <w:top w:val="nil"/>
              <w:bottom w:val="nil"/>
            </w:tcBorders>
            <w:shd w:val="clear" w:color="auto" w:fill="auto"/>
            <w:tcMar>
              <w:top w:w="20" w:type="dxa"/>
              <w:left w:w="20" w:type="dxa"/>
              <w:bottom w:w="72" w:type="dxa"/>
              <w:right w:w="20" w:type="dxa"/>
            </w:tcMar>
            <w:vAlign w:val="center"/>
            <w:hideMark/>
          </w:tcPr>
          <w:p w14:paraId="7D1D0338" w14:textId="5BCC0209" w:rsidR="00014755" w:rsidRPr="00014755" w:rsidRDefault="00014755" w:rsidP="00014755">
            <w:pPr>
              <w:pStyle w:val="a1"/>
              <w:ind w:firstLine="0"/>
              <w:jc w:val="center"/>
            </w:pPr>
            <w:r w:rsidRPr="00014755">
              <w:t>486</w:t>
            </w:r>
          </w:p>
        </w:tc>
      </w:tr>
      <w:tr w:rsidR="00014755" w:rsidRPr="00014755" w14:paraId="67D6EF65" w14:textId="77777777" w:rsidTr="00014755">
        <w:trPr>
          <w:trHeight w:val="274"/>
          <w:jc w:val="center"/>
        </w:trPr>
        <w:tc>
          <w:tcPr>
            <w:tcW w:w="2122" w:type="dxa"/>
            <w:tcBorders>
              <w:top w:val="nil"/>
            </w:tcBorders>
            <w:shd w:val="clear" w:color="auto" w:fill="auto"/>
            <w:tcMar>
              <w:top w:w="20" w:type="dxa"/>
              <w:left w:w="20" w:type="dxa"/>
              <w:bottom w:w="72" w:type="dxa"/>
              <w:right w:w="20" w:type="dxa"/>
            </w:tcMar>
            <w:vAlign w:val="center"/>
            <w:hideMark/>
          </w:tcPr>
          <w:p w14:paraId="00F7500B" w14:textId="77777777" w:rsidR="00014755" w:rsidRPr="00014755" w:rsidRDefault="00014755" w:rsidP="00014755">
            <w:pPr>
              <w:pStyle w:val="a1"/>
              <w:ind w:firstLine="0"/>
            </w:pPr>
            <w:r w:rsidRPr="00014755">
              <w:t>HWCR insert 48.5 cm</w:t>
            </w:r>
          </w:p>
        </w:tc>
        <w:tc>
          <w:tcPr>
            <w:tcW w:w="1417" w:type="dxa"/>
            <w:tcBorders>
              <w:top w:val="nil"/>
            </w:tcBorders>
            <w:shd w:val="clear" w:color="auto" w:fill="auto"/>
            <w:tcMar>
              <w:top w:w="20" w:type="dxa"/>
              <w:left w:w="20" w:type="dxa"/>
              <w:bottom w:w="72" w:type="dxa"/>
              <w:right w:w="20" w:type="dxa"/>
            </w:tcMar>
            <w:vAlign w:val="center"/>
            <w:hideMark/>
          </w:tcPr>
          <w:p w14:paraId="2AC66EF1" w14:textId="3C76F8A6" w:rsidR="00014755" w:rsidRPr="00014755" w:rsidRDefault="00014755" w:rsidP="00014755">
            <w:pPr>
              <w:pStyle w:val="a1"/>
              <w:ind w:firstLine="0"/>
              <w:jc w:val="center"/>
            </w:pPr>
            <w:r w:rsidRPr="00014755">
              <w:t>0.95916</w:t>
            </w:r>
          </w:p>
        </w:tc>
        <w:tc>
          <w:tcPr>
            <w:tcW w:w="1601" w:type="dxa"/>
            <w:tcBorders>
              <w:top w:val="nil"/>
            </w:tcBorders>
            <w:shd w:val="clear" w:color="auto" w:fill="auto"/>
            <w:tcMar>
              <w:top w:w="20" w:type="dxa"/>
              <w:left w:w="20" w:type="dxa"/>
              <w:bottom w:w="72" w:type="dxa"/>
              <w:right w:w="20" w:type="dxa"/>
            </w:tcMar>
            <w:vAlign w:val="center"/>
            <w:hideMark/>
          </w:tcPr>
          <w:p w14:paraId="199AEF31" w14:textId="3B2DC8EE" w:rsidR="00014755" w:rsidRPr="00014755" w:rsidRDefault="00014755" w:rsidP="00014755">
            <w:pPr>
              <w:pStyle w:val="a1"/>
              <w:ind w:firstLine="0"/>
              <w:jc w:val="center"/>
            </w:pPr>
            <w:r w:rsidRPr="00014755">
              <w:t>5224</w:t>
            </w:r>
          </w:p>
        </w:tc>
      </w:tr>
    </w:tbl>
    <w:p w14:paraId="3BAAEDEA" w14:textId="77777777" w:rsidR="00014755" w:rsidRPr="00014755" w:rsidRDefault="00014755" w:rsidP="00014755">
      <w:pPr>
        <w:suppressAutoHyphens/>
        <w:overflowPunct/>
        <w:autoSpaceDE/>
        <w:autoSpaceDN/>
        <w:adjustRightInd/>
        <w:spacing w:line="360" w:lineRule="auto"/>
        <w:jc w:val="both"/>
        <w:textAlignment w:val="auto"/>
        <w:rPr>
          <w:rFonts w:eastAsia="宋体"/>
          <w:kern w:val="14"/>
          <w:sz w:val="21"/>
          <w:szCs w:val="22"/>
          <w:lang w:val="en-US" w:eastAsia="zh-CN"/>
        </w:rPr>
      </w:pPr>
    </w:p>
    <w:p w14:paraId="277601AD" w14:textId="77777777" w:rsidR="00014755" w:rsidRPr="00014755" w:rsidRDefault="00014755" w:rsidP="00014755">
      <w:pPr>
        <w:pStyle w:val="a1"/>
      </w:pPr>
      <w:r w:rsidRPr="00014755">
        <w:t xml:space="preserve">Before transient analysis kinetics parameters and several reactivity feedback coefficients are calculated. In order to consider the reactivity feedback in different locations more accurately, the spatial-dependent reactivity feedback model is adopted in this calculation. The model is based on first-order perturbation theory and will give reactivity feedback coefficients of every node. The coefficients will be stored in a file generated by LAVENDER, and then will be used by DAISY. For this transient process, the reactivity feedback caused by fuel Doppler effect, coolant density change, axial expansion, radial expansion and control rod drivelines expansion is taken into consideration. </w:t>
      </w:r>
    </w:p>
    <w:p w14:paraId="752B1140" w14:textId="4BDE776A" w:rsidR="00014755" w:rsidRPr="00014755" w:rsidRDefault="00014755" w:rsidP="00014755">
      <w:pPr>
        <w:pStyle w:val="a1"/>
      </w:pPr>
      <w:r w:rsidRPr="00014755">
        <w:t xml:space="preserve">Since it is difficult to show the coefficients of every node in this paper, a series of lumped coefficients of the core are shown in Table 4. The reference is from </w:t>
      </w:r>
      <w:r w:rsidR="00BC098F">
        <w:t xml:space="preserve">report </w:t>
      </w:r>
      <w:r w:rsidRPr="00014755">
        <w:t>[</w:t>
      </w:r>
      <w:r w:rsidR="004D171D">
        <w:t>6</w:t>
      </w:r>
      <w:r w:rsidRPr="00014755">
        <w:t>].</w:t>
      </w:r>
    </w:p>
    <w:p w14:paraId="1041C86D" w14:textId="77777777" w:rsidR="00014755" w:rsidRPr="00014755" w:rsidRDefault="00014755" w:rsidP="00014755">
      <w:pPr>
        <w:suppressAutoHyphens/>
        <w:overflowPunct/>
        <w:autoSpaceDE/>
        <w:autoSpaceDN/>
        <w:adjustRightInd/>
        <w:spacing w:line="360" w:lineRule="auto"/>
        <w:ind w:firstLine="360"/>
        <w:jc w:val="both"/>
        <w:textAlignment w:val="auto"/>
        <w:rPr>
          <w:rFonts w:eastAsia="Times New Roman"/>
          <w:kern w:val="14"/>
          <w:sz w:val="20"/>
          <w:lang w:val="en-US"/>
        </w:rPr>
      </w:pPr>
    </w:p>
    <w:p w14:paraId="46B2C0F5" w14:textId="5819ECD7" w:rsidR="00014755" w:rsidRPr="00014755" w:rsidRDefault="00014755" w:rsidP="00014755">
      <w:pPr>
        <w:pStyle w:val="a1"/>
        <w:ind w:firstLine="0"/>
      </w:pPr>
      <w:r w:rsidRPr="00014755">
        <w:t>Table 4 Lumped reactivity feedback coefficients of the core</w:t>
      </w:r>
    </w:p>
    <w:tbl>
      <w:tblPr>
        <w:tblW w:w="6804" w:type="dxa"/>
        <w:jc w:val="center"/>
        <w:tblCellMar>
          <w:left w:w="0" w:type="dxa"/>
          <w:right w:w="0" w:type="dxa"/>
        </w:tblCellMar>
        <w:tblLook w:val="0420" w:firstRow="1" w:lastRow="0" w:firstColumn="0" w:lastColumn="0" w:noHBand="0" w:noVBand="1"/>
      </w:tblPr>
      <w:tblGrid>
        <w:gridCol w:w="1481"/>
        <w:gridCol w:w="1213"/>
        <w:gridCol w:w="2126"/>
        <w:gridCol w:w="1984"/>
      </w:tblGrid>
      <w:tr w:rsidR="00014755" w:rsidRPr="00014755" w14:paraId="2D6D3FC3" w14:textId="77777777" w:rsidTr="00BB418D">
        <w:trPr>
          <w:trHeight w:val="250"/>
          <w:jc w:val="center"/>
        </w:trPr>
        <w:tc>
          <w:tcPr>
            <w:tcW w:w="1481" w:type="dxa"/>
            <w:tcBorders>
              <w:top w:val="single" w:sz="4" w:space="0" w:color="000000"/>
              <w:bottom w:val="single" w:sz="4" w:space="0" w:color="000000"/>
            </w:tcBorders>
            <w:shd w:val="clear" w:color="auto" w:fill="auto"/>
            <w:tcMar>
              <w:top w:w="20" w:type="dxa"/>
              <w:left w:w="20" w:type="dxa"/>
              <w:bottom w:w="72" w:type="dxa"/>
              <w:right w:w="20" w:type="dxa"/>
            </w:tcMar>
            <w:vAlign w:val="center"/>
            <w:hideMark/>
          </w:tcPr>
          <w:p w14:paraId="52A15C28" w14:textId="77777777" w:rsidR="00014755" w:rsidRPr="00014755" w:rsidRDefault="00014755" w:rsidP="00014755">
            <w:pPr>
              <w:pStyle w:val="a1"/>
              <w:ind w:firstLine="0"/>
            </w:pPr>
          </w:p>
        </w:tc>
        <w:tc>
          <w:tcPr>
            <w:tcW w:w="1213" w:type="dxa"/>
            <w:tcBorders>
              <w:top w:val="single" w:sz="4" w:space="0" w:color="000000"/>
              <w:bottom w:val="single" w:sz="4" w:space="0" w:color="000000"/>
            </w:tcBorders>
            <w:shd w:val="clear" w:color="auto" w:fill="auto"/>
            <w:tcMar>
              <w:top w:w="20" w:type="dxa"/>
              <w:left w:w="20" w:type="dxa"/>
              <w:bottom w:w="72" w:type="dxa"/>
              <w:right w:w="20" w:type="dxa"/>
            </w:tcMar>
            <w:vAlign w:val="center"/>
            <w:hideMark/>
          </w:tcPr>
          <w:p w14:paraId="13594C9E" w14:textId="77777777" w:rsidR="00014755" w:rsidRPr="00014755" w:rsidRDefault="00014755" w:rsidP="00BB418D">
            <w:pPr>
              <w:pStyle w:val="a1"/>
              <w:ind w:firstLine="0"/>
              <w:jc w:val="center"/>
            </w:pPr>
            <w:r w:rsidRPr="00014755">
              <w:t>SARAX</w:t>
            </w:r>
          </w:p>
        </w:tc>
        <w:tc>
          <w:tcPr>
            <w:tcW w:w="2126" w:type="dxa"/>
            <w:tcBorders>
              <w:top w:val="single" w:sz="4" w:space="0" w:color="000000"/>
              <w:bottom w:val="single" w:sz="4" w:space="0" w:color="000000"/>
            </w:tcBorders>
            <w:shd w:val="clear" w:color="auto" w:fill="auto"/>
            <w:tcMar>
              <w:top w:w="20" w:type="dxa"/>
              <w:left w:w="20" w:type="dxa"/>
              <w:bottom w:w="72" w:type="dxa"/>
              <w:right w:w="20" w:type="dxa"/>
            </w:tcMar>
            <w:vAlign w:val="center"/>
            <w:hideMark/>
          </w:tcPr>
          <w:p w14:paraId="63DCF3F5" w14:textId="77777777" w:rsidR="00014755" w:rsidRPr="00014755" w:rsidRDefault="00014755" w:rsidP="00BB418D">
            <w:pPr>
              <w:pStyle w:val="a1"/>
              <w:ind w:firstLine="0"/>
              <w:jc w:val="center"/>
            </w:pPr>
            <w:r w:rsidRPr="00014755">
              <w:t>ANL transport code</w:t>
            </w:r>
          </w:p>
        </w:tc>
        <w:tc>
          <w:tcPr>
            <w:tcW w:w="1984" w:type="dxa"/>
            <w:tcBorders>
              <w:top w:val="single" w:sz="4" w:space="0" w:color="000000"/>
              <w:bottom w:val="single" w:sz="4" w:space="0" w:color="000000"/>
            </w:tcBorders>
            <w:shd w:val="clear" w:color="auto" w:fill="auto"/>
            <w:tcMar>
              <w:top w:w="20" w:type="dxa"/>
              <w:left w:w="20" w:type="dxa"/>
              <w:bottom w:w="72" w:type="dxa"/>
              <w:right w:w="20" w:type="dxa"/>
            </w:tcMar>
            <w:vAlign w:val="center"/>
            <w:hideMark/>
          </w:tcPr>
          <w:p w14:paraId="2E87DE70" w14:textId="77777777" w:rsidR="00014755" w:rsidRPr="00014755" w:rsidRDefault="00014755" w:rsidP="00BB418D">
            <w:pPr>
              <w:pStyle w:val="a1"/>
              <w:ind w:firstLine="0"/>
              <w:jc w:val="center"/>
            </w:pPr>
            <w:r w:rsidRPr="00014755">
              <w:t>Equivalent ΔT used/K</w:t>
            </w:r>
          </w:p>
        </w:tc>
      </w:tr>
      <w:tr w:rsidR="00014755" w:rsidRPr="00014755" w14:paraId="28D0A9EF" w14:textId="77777777" w:rsidTr="00BB418D">
        <w:trPr>
          <w:trHeight w:val="250"/>
          <w:jc w:val="center"/>
        </w:trPr>
        <w:tc>
          <w:tcPr>
            <w:tcW w:w="1481" w:type="dxa"/>
            <w:tcBorders>
              <w:top w:val="single" w:sz="4" w:space="0" w:color="000000"/>
            </w:tcBorders>
            <w:shd w:val="clear" w:color="auto" w:fill="auto"/>
            <w:tcMar>
              <w:top w:w="20" w:type="dxa"/>
              <w:left w:w="20" w:type="dxa"/>
              <w:bottom w:w="72" w:type="dxa"/>
              <w:right w:w="20" w:type="dxa"/>
            </w:tcMar>
            <w:vAlign w:val="center"/>
            <w:hideMark/>
          </w:tcPr>
          <w:p w14:paraId="5333E3D8" w14:textId="77777777" w:rsidR="00014755" w:rsidRPr="00014755" w:rsidRDefault="00014755" w:rsidP="00014755">
            <w:pPr>
              <w:pStyle w:val="a1"/>
              <w:ind w:firstLine="0"/>
            </w:pPr>
            <w:r w:rsidRPr="00014755">
              <w:t>β</w:t>
            </w:r>
            <w:r w:rsidRPr="00014755">
              <w:rPr>
                <w:vertAlign w:val="subscript"/>
              </w:rPr>
              <w:t>eff</w:t>
            </w:r>
            <w:r w:rsidRPr="00014755">
              <w:t>, pcm</w:t>
            </w:r>
          </w:p>
        </w:tc>
        <w:tc>
          <w:tcPr>
            <w:tcW w:w="1213" w:type="dxa"/>
            <w:tcBorders>
              <w:top w:val="single" w:sz="4" w:space="0" w:color="000000"/>
            </w:tcBorders>
            <w:shd w:val="clear" w:color="auto" w:fill="auto"/>
            <w:tcMar>
              <w:top w:w="20" w:type="dxa"/>
              <w:left w:w="20" w:type="dxa"/>
              <w:bottom w:w="72" w:type="dxa"/>
              <w:right w:w="20" w:type="dxa"/>
            </w:tcMar>
            <w:vAlign w:val="center"/>
            <w:hideMark/>
          </w:tcPr>
          <w:p w14:paraId="08B8C4AB" w14:textId="77777777" w:rsidR="00014755" w:rsidRPr="00014755" w:rsidRDefault="00014755" w:rsidP="00BB418D">
            <w:pPr>
              <w:pStyle w:val="a1"/>
              <w:ind w:firstLine="0"/>
              <w:jc w:val="center"/>
            </w:pPr>
            <w:r w:rsidRPr="00014755">
              <w:t>698</w:t>
            </w:r>
          </w:p>
        </w:tc>
        <w:tc>
          <w:tcPr>
            <w:tcW w:w="2126" w:type="dxa"/>
            <w:tcBorders>
              <w:top w:val="single" w:sz="4" w:space="0" w:color="000000"/>
            </w:tcBorders>
            <w:shd w:val="clear" w:color="auto" w:fill="auto"/>
            <w:tcMar>
              <w:top w:w="20" w:type="dxa"/>
              <w:left w:w="20" w:type="dxa"/>
              <w:bottom w:w="72" w:type="dxa"/>
              <w:right w:w="20" w:type="dxa"/>
            </w:tcMar>
            <w:vAlign w:val="center"/>
            <w:hideMark/>
          </w:tcPr>
          <w:p w14:paraId="335D7684" w14:textId="77777777" w:rsidR="00014755" w:rsidRPr="00014755" w:rsidRDefault="00014755" w:rsidP="00BB418D">
            <w:pPr>
              <w:pStyle w:val="a1"/>
              <w:ind w:firstLine="0"/>
              <w:jc w:val="center"/>
            </w:pPr>
            <w:r w:rsidRPr="00014755">
              <w:t>705</w:t>
            </w:r>
          </w:p>
        </w:tc>
        <w:tc>
          <w:tcPr>
            <w:tcW w:w="1984" w:type="dxa"/>
            <w:tcBorders>
              <w:top w:val="single" w:sz="4" w:space="0" w:color="000000"/>
            </w:tcBorders>
            <w:shd w:val="clear" w:color="auto" w:fill="auto"/>
            <w:tcMar>
              <w:top w:w="20" w:type="dxa"/>
              <w:left w:w="20" w:type="dxa"/>
              <w:bottom w:w="72" w:type="dxa"/>
              <w:right w:w="20" w:type="dxa"/>
            </w:tcMar>
            <w:vAlign w:val="center"/>
            <w:hideMark/>
          </w:tcPr>
          <w:p w14:paraId="239867BE" w14:textId="77777777" w:rsidR="00014755" w:rsidRPr="00014755" w:rsidRDefault="00014755" w:rsidP="00BB418D">
            <w:pPr>
              <w:pStyle w:val="a1"/>
              <w:ind w:firstLine="0"/>
              <w:jc w:val="center"/>
            </w:pPr>
            <w:r w:rsidRPr="00014755">
              <w:t>-</w:t>
            </w:r>
          </w:p>
        </w:tc>
      </w:tr>
      <w:tr w:rsidR="00014755" w:rsidRPr="00014755" w14:paraId="60FE817D" w14:textId="77777777" w:rsidTr="00BB418D">
        <w:trPr>
          <w:trHeight w:val="250"/>
          <w:jc w:val="center"/>
        </w:trPr>
        <w:tc>
          <w:tcPr>
            <w:tcW w:w="1481" w:type="dxa"/>
            <w:shd w:val="clear" w:color="auto" w:fill="auto"/>
            <w:tcMar>
              <w:top w:w="20" w:type="dxa"/>
              <w:left w:w="20" w:type="dxa"/>
              <w:bottom w:w="72" w:type="dxa"/>
              <w:right w:w="20" w:type="dxa"/>
            </w:tcMar>
            <w:vAlign w:val="center"/>
            <w:hideMark/>
          </w:tcPr>
          <w:p w14:paraId="6813FB5B" w14:textId="77777777" w:rsidR="00014755" w:rsidRPr="00014755" w:rsidRDefault="00014755" w:rsidP="00014755">
            <w:pPr>
              <w:pStyle w:val="a1"/>
              <w:ind w:firstLine="0"/>
            </w:pPr>
            <w:r w:rsidRPr="00014755">
              <w:t>α</w:t>
            </w:r>
            <w:proofErr w:type="gramStart"/>
            <w:r w:rsidRPr="00014755">
              <w:rPr>
                <w:vertAlign w:val="subscript"/>
              </w:rPr>
              <w:t>D</w:t>
            </w:r>
            <w:r w:rsidRPr="00014755">
              <w:t xml:space="preserve"> ,</w:t>
            </w:r>
            <w:proofErr w:type="gramEnd"/>
            <w:r w:rsidRPr="00014755">
              <w:t xml:space="preserve"> pcm/K</w:t>
            </w:r>
          </w:p>
        </w:tc>
        <w:tc>
          <w:tcPr>
            <w:tcW w:w="1213" w:type="dxa"/>
            <w:shd w:val="clear" w:color="auto" w:fill="auto"/>
            <w:tcMar>
              <w:top w:w="20" w:type="dxa"/>
              <w:left w:w="20" w:type="dxa"/>
              <w:bottom w:w="72" w:type="dxa"/>
              <w:right w:w="20" w:type="dxa"/>
            </w:tcMar>
            <w:vAlign w:val="center"/>
            <w:hideMark/>
          </w:tcPr>
          <w:p w14:paraId="619EC17A" w14:textId="412D8EF7" w:rsidR="00014755" w:rsidRPr="00014755" w:rsidRDefault="00014755" w:rsidP="00BB418D">
            <w:pPr>
              <w:pStyle w:val="a1"/>
              <w:ind w:firstLine="0"/>
              <w:jc w:val="center"/>
            </w:pPr>
            <w:r w:rsidRPr="00014755">
              <w:t>-0.08</w:t>
            </w:r>
          </w:p>
        </w:tc>
        <w:tc>
          <w:tcPr>
            <w:tcW w:w="2126" w:type="dxa"/>
            <w:shd w:val="clear" w:color="auto" w:fill="auto"/>
            <w:tcMar>
              <w:top w:w="20" w:type="dxa"/>
              <w:left w:w="20" w:type="dxa"/>
              <w:bottom w:w="72" w:type="dxa"/>
              <w:right w:w="20" w:type="dxa"/>
            </w:tcMar>
            <w:vAlign w:val="center"/>
            <w:hideMark/>
          </w:tcPr>
          <w:p w14:paraId="227142FC" w14:textId="0BD272D3" w:rsidR="00014755" w:rsidRPr="00014755" w:rsidRDefault="00014755" w:rsidP="00BB418D">
            <w:pPr>
              <w:pStyle w:val="a1"/>
              <w:ind w:firstLine="0"/>
              <w:jc w:val="center"/>
            </w:pPr>
            <w:r w:rsidRPr="00014755">
              <w:t>-0.06</w:t>
            </w:r>
          </w:p>
        </w:tc>
        <w:tc>
          <w:tcPr>
            <w:tcW w:w="1984" w:type="dxa"/>
            <w:shd w:val="clear" w:color="auto" w:fill="auto"/>
            <w:tcMar>
              <w:top w:w="20" w:type="dxa"/>
              <w:left w:w="20" w:type="dxa"/>
              <w:bottom w:w="72" w:type="dxa"/>
              <w:right w:w="20" w:type="dxa"/>
            </w:tcMar>
            <w:vAlign w:val="center"/>
            <w:hideMark/>
          </w:tcPr>
          <w:p w14:paraId="6E2372F8" w14:textId="238BBB02" w:rsidR="00014755" w:rsidRPr="00014755" w:rsidRDefault="00014755" w:rsidP="00BB418D">
            <w:pPr>
              <w:pStyle w:val="a1"/>
              <w:ind w:firstLine="0"/>
              <w:jc w:val="center"/>
            </w:pPr>
            <w:r w:rsidRPr="00014755">
              <w:t>14.0</w:t>
            </w:r>
          </w:p>
        </w:tc>
      </w:tr>
      <w:tr w:rsidR="00014755" w:rsidRPr="00014755" w14:paraId="395A55B8" w14:textId="77777777" w:rsidTr="00BB418D">
        <w:trPr>
          <w:trHeight w:val="250"/>
          <w:jc w:val="center"/>
        </w:trPr>
        <w:tc>
          <w:tcPr>
            <w:tcW w:w="1481" w:type="dxa"/>
            <w:shd w:val="clear" w:color="auto" w:fill="auto"/>
            <w:tcMar>
              <w:top w:w="20" w:type="dxa"/>
              <w:left w:w="20" w:type="dxa"/>
              <w:bottom w:w="72" w:type="dxa"/>
              <w:right w:w="20" w:type="dxa"/>
            </w:tcMar>
            <w:vAlign w:val="center"/>
            <w:hideMark/>
          </w:tcPr>
          <w:p w14:paraId="1EBA79BF" w14:textId="77777777" w:rsidR="00014755" w:rsidRPr="00014755" w:rsidRDefault="00014755" w:rsidP="00014755">
            <w:pPr>
              <w:pStyle w:val="a1"/>
              <w:ind w:firstLine="0"/>
            </w:pPr>
            <w:r w:rsidRPr="00014755">
              <w:t>α</w:t>
            </w:r>
            <w:proofErr w:type="gramStart"/>
            <w:r w:rsidRPr="00014755">
              <w:rPr>
                <w:vertAlign w:val="subscript"/>
              </w:rPr>
              <w:t>axial</w:t>
            </w:r>
            <w:r w:rsidRPr="00014755">
              <w:t xml:space="preserve"> ,</w:t>
            </w:r>
            <w:proofErr w:type="gramEnd"/>
            <w:r w:rsidRPr="00014755">
              <w:t xml:space="preserve"> pcm/K</w:t>
            </w:r>
          </w:p>
        </w:tc>
        <w:tc>
          <w:tcPr>
            <w:tcW w:w="1213" w:type="dxa"/>
            <w:shd w:val="clear" w:color="auto" w:fill="auto"/>
            <w:tcMar>
              <w:top w:w="20" w:type="dxa"/>
              <w:left w:w="20" w:type="dxa"/>
              <w:bottom w:w="72" w:type="dxa"/>
              <w:right w:w="20" w:type="dxa"/>
            </w:tcMar>
            <w:vAlign w:val="center"/>
            <w:hideMark/>
          </w:tcPr>
          <w:p w14:paraId="72DD45FD" w14:textId="4291F19A" w:rsidR="00014755" w:rsidRPr="00014755" w:rsidRDefault="00014755" w:rsidP="00BB418D">
            <w:pPr>
              <w:pStyle w:val="a1"/>
              <w:ind w:firstLine="0"/>
              <w:jc w:val="center"/>
            </w:pPr>
            <w:r w:rsidRPr="00014755">
              <w:t>-0.71</w:t>
            </w:r>
          </w:p>
        </w:tc>
        <w:tc>
          <w:tcPr>
            <w:tcW w:w="2126" w:type="dxa"/>
            <w:shd w:val="clear" w:color="auto" w:fill="auto"/>
            <w:tcMar>
              <w:top w:w="20" w:type="dxa"/>
              <w:left w:w="20" w:type="dxa"/>
              <w:bottom w:w="72" w:type="dxa"/>
              <w:right w:w="20" w:type="dxa"/>
            </w:tcMar>
            <w:vAlign w:val="center"/>
            <w:hideMark/>
          </w:tcPr>
          <w:p w14:paraId="2DD2DE31" w14:textId="73EE6B6C" w:rsidR="00014755" w:rsidRPr="00014755" w:rsidRDefault="00014755" w:rsidP="00BB418D">
            <w:pPr>
              <w:pStyle w:val="a1"/>
              <w:ind w:firstLine="0"/>
              <w:jc w:val="center"/>
            </w:pPr>
            <w:r w:rsidRPr="00014755">
              <w:t>-0.65</w:t>
            </w:r>
          </w:p>
        </w:tc>
        <w:tc>
          <w:tcPr>
            <w:tcW w:w="1984" w:type="dxa"/>
            <w:shd w:val="clear" w:color="auto" w:fill="auto"/>
            <w:tcMar>
              <w:top w:w="20" w:type="dxa"/>
              <w:left w:w="20" w:type="dxa"/>
              <w:bottom w:w="72" w:type="dxa"/>
              <w:right w:w="20" w:type="dxa"/>
            </w:tcMar>
            <w:vAlign w:val="center"/>
            <w:hideMark/>
          </w:tcPr>
          <w:p w14:paraId="0DA2CB35" w14:textId="1C9BFD35" w:rsidR="00014755" w:rsidRPr="00014755" w:rsidRDefault="00014755" w:rsidP="00BB418D">
            <w:pPr>
              <w:pStyle w:val="a1"/>
              <w:ind w:firstLine="0"/>
              <w:jc w:val="center"/>
            </w:pPr>
            <w:r w:rsidRPr="00014755">
              <w:t>560.8</w:t>
            </w:r>
          </w:p>
        </w:tc>
      </w:tr>
      <w:tr w:rsidR="00014755" w:rsidRPr="00014755" w14:paraId="38AEBD9F" w14:textId="77777777" w:rsidTr="00BB418D">
        <w:trPr>
          <w:trHeight w:val="250"/>
          <w:jc w:val="center"/>
        </w:trPr>
        <w:tc>
          <w:tcPr>
            <w:tcW w:w="1481" w:type="dxa"/>
            <w:shd w:val="clear" w:color="auto" w:fill="auto"/>
            <w:tcMar>
              <w:top w:w="20" w:type="dxa"/>
              <w:left w:w="20" w:type="dxa"/>
              <w:bottom w:w="72" w:type="dxa"/>
              <w:right w:w="20" w:type="dxa"/>
            </w:tcMar>
            <w:vAlign w:val="center"/>
            <w:hideMark/>
          </w:tcPr>
          <w:p w14:paraId="599746CA" w14:textId="77777777" w:rsidR="00014755" w:rsidRPr="00014755" w:rsidRDefault="00014755" w:rsidP="00014755">
            <w:pPr>
              <w:pStyle w:val="a1"/>
              <w:ind w:firstLine="0"/>
            </w:pPr>
            <w:r w:rsidRPr="00014755">
              <w:t>α</w:t>
            </w:r>
            <w:proofErr w:type="gramStart"/>
            <w:r w:rsidRPr="00014755">
              <w:rPr>
                <w:vertAlign w:val="subscript"/>
              </w:rPr>
              <w:t>C</w:t>
            </w:r>
            <w:r w:rsidRPr="00014755">
              <w:t xml:space="preserve"> ,</w:t>
            </w:r>
            <w:proofErr w:type="gramEnd"/>
            <w:r w:rsidRPr="00014755">
              <w:t xml:space="preserve"> pcm/K</w:t>
            </w:r>
          </w:p>
        </w:tc>
        <w:tc>
          <w:tcPr>
            <w:tcW w:w="1213" w:type="dxa"/>
            <w:shd w:val="clear" w:color="auto" w:fill="auto"/>
            <w:tcMar>
              <w:top w:w="20" w:type="dxa"/>
              <w:left w:w="20" w:type="dxa"/>
              <w:bottom w:w="72" w:type="dxa"/>
              <w:right w:w="20" w:type="dxa"/>
            </w:tcMar>
            <w:vAlign w:val="center"/>
            <w:hideMark/>
          </w:tcPr>
          <w:p w14:paraId="1B839026" w14:textId="274D8E2E" w:rsidR="00014755" w:rsidRPr="00014755" w:rsidRDefault="00014755" w:rsidP="00BB418D">
            <w:pPr>
              <w:pStyle w:val="a1"/>
              <w:ind w:firstLine="0"/>
              <w:jc w:val="center"/>
            </w:pPr>
            <w:r w:rsidRPr="00014755">
              <w:t>-1.71</w:t>
            </w:r>
          </w:p>
        </w:tc>
        <w:tc>
          <w:tcPr>
            <w:tcW w:w="2126" w:type="dxa"/>
            <w:shd w:val="clear" w:color="auto" w:fill="auto"/>
            <w:tcMar>
              <w:top w:w="20" w:type="dxa"/>
              <w:left w:w="20" w:type="dxa"/>
              <w:bottom w:w="72" w:type="dxa"/>
              <w:right w:w="20" w:type="dxa"/>
            </w:tcMar>
            <w:vAlign w:val="center"/>
            <w:hideMark/>
          </w:tcPr>
          <w:p w14:paraId="213DB056" w14:textId="65544FD4" w:rsidR="00014755" w:rsidRPr="00014755" w:rsidRDefault="00014755" w:rsidP="00BB418D">
            <w:pPr>
              <w:pStyle w:val="a1"/>
              <w:ind w:firstLine="0"/>
              <w:jc w:val="center"/>
            </w:pPr>
            <w:r w:rsidRPr="00014755">
              <w:t>-1.49</w:t>
            </w:r>
          </w:p>
        </w:tc>
        <w:tc>
          <w:tcPr>
            <w:tcW w:w="1984" w:type="dxa"/>
            <w:shd w:val="clear" w:color="auto" w:fill="auto"/>
            <w:tcMar>
              <w:top w:w="20" w:type="dxa"/>
              <w:left w:w="20" w:type="dxa"/>
              <w:bottom w:w="72" w:type="dxa"/>
              <w:right w:w="20" w:type="dxa"/>
            </w:tcMar>
            <w:vAlign w:val="center"/>
            <w:hideMark/>
          </w:tcPr>
          <w:p w14:paraId="56A2A55D" w14:textId="6E875F0A" w:rsidR="00014755" w:rsidRPr="00014755" w:rsidRDefault="00014755" w:rsidP="00BB418D">
            <w:pPr>
              <w:pStyle w:val="a1"/>
              <w:ind w:firstLine="0"/>
              <w:jc w:val="center"/>
            </w:pPr>
            <w:r w:rsidRPr="00014755">
              <w:t>362.9</w:t>
            </w:r>
          </w:p>
        </w:tc>
      </w:tr>
      <w:tr w:rsidR="00014755" w:rsidRPr="00014755" w14:paraId="70E6AF62" w14:textId="77777777" w:rsidTr="00BB418D">
        <w:trPr>
          <w:trHeight w:val="250"/>
          <w:jc w:val="center"/>
        </w:trPr>
        <w:tc>
          <w:tcPr>
            <w:tcW w:w="1481" w:type="dxa"/>
            <w:tcBorders>
              <w:bottom w:val="single" w:sz="4" w:space="0" w:color="000000"/>
            </w:tcBorders>
            <w:shd w:val="clear" w:color="auto" w:fill="auto"/>
            <w:tcMar>
              <w:top w:w="20" w:type="dxa"/>
              <w:left w:w="20" w:type="dxa"/>
              <w:bottom w:w="72" w:type="dxa"/>
              <w:right w:w="20" w:type="dxa"/>
            </w:tcMar>
            <w:vAlign w:val="center"/>
            <w:hideMark/>
          </w:tcPr>
          <w:p w14:paraId="22AD58A0" w14:textId="77777777" w:rsidR="00014755" w:rsidRPr="00014755" w:rsidRDefault="00014755" w:rsidP="00014755">
            <w:pPr>
              <w:pStyle w:val="a1"/>
              <w:ind w:firstLine="0"/>
            </w:pPr>
            <w:r w:rsidRPr="00014755">
              <w:t>α</w:t>
            </w:r>
            <w:proofErr w:type="gramStart"/>
            <w:r w:rsidRPr="00014755">
              <w:rPr>
                <w:vertAlign w:val="subscript"/>
              </w:rPr>
              <w:t>radial</w:t>
            </w:r>
            <w:r w:rsidRPr="00014755">
              <w:t xml:space="preserve"> ,</w:t>
            </w:r>
            <w:proofErr w:type="gramEnd"/>
            <w:r w:rsidRPr="00014755">
              <w:t xml:space="preserve"> pcm/K </w:t>
            </w:r>
          </w:p>
        </w:tc>
        <w:tc>
          <w:tcPr>
            <w:tcW w:w="1213" w:type="dxa"/>
            <w:tcBorders>
              <w:bottom w:val="single" w:sz="4" w:space="0" w:color="000000"/>
            </w:tcBorders>
            <w:shd w:val="clear" w:color="auto" w:fill="auto"/>
            <w:tcMar>
              <w:top w:w="20" w:type="dxa"/>
              <w:left w:w="20" w:type="dxa"/>
              <w:bottom w:w="72" w:type="dxa"/>
              <w:right w:w="20" w:type="dxa"/>
            </w:tcMar>
            <w:vAlign w:val="center"/>
            <w:hideMark/>
          </w:tcPr>
          <w:p w14:paraId="6F2DC01F" w14:textId="5A55F978" w:rsidR="00014755" w:rsidRPr="00014755" w:rsidRDefault="00014755" w:rsidP="00BB418D">
            <w:pPr>
              <w:pStyle w:val="a1"/>
              <w:ind w:firstLine="0"/>
              <w:jc w:val="center"/>
            </w:pPr>
            <w:r w:rsidRPr="00014755">
              <w:t>-1.56</w:t>
            </w:r>
          </w:p>
        </w:tc>
        <w:tc>
          <w:tcPr>
            <w:tcW w:w="2126" w:type="dxa"/>
            <w:tcBorders>
              <w:bottom w:val="single" w:sz="4" w:space="0" w:color="000000"/>
            </w:tcBorders>
            <w:shd w:val="clear" w:color="auto" w:fill="auto"/>
            <w:tcMar>
              <w:top w:w="20" w:type="dxa"/>
              <w:left w:w="20" w:type="dxa"/>
              <w:bottom w:w="72" w:type="dxa"/>
              <w:right w:w="20" w:type="dxa"/>
            </w:tcMar>
            <w:vAlign w:val="center"/>
            <w:hideMark/>
          </w:tcPr>
          <w:p w14:paraId="493068D6" w14:textId="2F504DBB" w:rsidR="00014755" w:rsidRPr="00014755" w:rsidRDefault="00014755" w:rsidP="00BB418D">
            <w:pPr>
              <w:pStyle w:val="a1"/>
              <w:ind w:firstLine="0"/>
              <w:jc w:val="center"/>
            </w:pPr>
            <w:r w:rsidRPr="00014755">
              <w:t>-1.67</w:t>
            </w:r>
          </w:p>
        </w:tc>
        <w:tc>
          <w:tcPr>
            <w:tcW w:w="1984" w:type="dxa"/>
            <w:tcBorders>
              <w:bottom w:val="single" w:sz="4" w:space="0" w:color="000000"/>
            </w:tcBorders>
            <w:shd w:val="clear" w:color="auto" w:fill="auto"/>
            <w:tcMar>
              <w:top w:w="20" w:type="dxa"/>
              <w:left w:w="20" w:type="dxa"/>
              <w:bottom w:w="72" w:type="dxa"/>
              <w:right w:w="20" w:type="dxa"/>
            </w:tcMar>
            <w:vAlign w:val="center"/>
            <w:hideMark/>
          </w:tcPr>
          <w:p w14:paraId="6132B215" w14:textId="36C2D04E" w:rsidR="00014755" w:rsidRPr="00014755" w:rsidRDefault="00014755" w:rsidP="00BB418D">
            <w:pPr>
              <w:pStyle w:val="a1"/>
              <w:ind w:firstLine="0"/>
              <w:jc w:val="center"/>
            </w:pPr>
            <w:r w:rsidRPr="00014755">
              <w:t>572.5</w:t>
            </w:r>
          </w:p>
        </w:tc>
      </w:tr>
    </w:tbl>
    <w:p w14:paraId="520FC873" w14:textId="15F10F80" w:rsidR="00BB418D" w:rsidRPr="00BB418D" w:rsidRDefault="00BB418D" w:rsidP="00452B4A">
      <w:pPr>
        <w:pStyle w:val="2"/>
        <w:numPr>
          <w:ilvl w:val="1"/>
          <w:numId w:val="10"/>
        </w:numPr>
      </w:pPr>
      <w:r>
        <w:lastRenderedPageBreak/>
        <w:t>T</w:t>
      </w:r>
      <w:r>
        <w:rPr>
          <w:rFonts w:hint="eastAsia"/>
        </w:rPr>
        <w:t>ransient</w:t>
      </w:r>
      <w:r w:rsidRPr="00BB418D">
        <w:t xml:space="preserve"> </w:t>
      </w:r>
      <w:r>
        <w:t>simulation results</w:t>
      </w:r>
      <w:r w:rsidRPr="00BB418D">
        <w:t xml:space="preserve"> of EBR-II</w:t>
      </w:r>
      <w:r>
        <w:t xml:space="preserve"> shrt-45r</w:t>
      </w:r>
      <w:r w:rsidRPr="00BB418D">
        <w:t xml:space="preserve"> by SARAX</w:t>
      </w:r>
    </w:p>
    <w:p w14:paraId="164FE188" w14:textId="00EBA169" w:rsidR="00014755" w:rsidRPr="00014755" w:rsidRDefault="00014755" w:rsidP="00014755">
      <w:pPr>
        <w:pStyle w:val="a1"/>
      </w:pPr>
      <w:r w:rsidRPr="00014755">
        <w:t xml:space="preserve">It is noticed that in the transient process of SHRT-45R, the reactivity feedback caused by the expansion of control rod driveline (CRD) is significant. During the transient process, the High Worth Control Rods are the only group of control rods being taken into consideration. The other control rods are all like fuel assemblies and always in the core so that there is no issue about their driveline expansion. Parameters of upper plenum full of coolant can be found in </w:t>
      </w:r>
      <w:r w:rsidR="00FA137A">
        <w:t xml:space="preserve">report </w:t>
      </w:r>
      <w:r w:rsidRPr="00014755">
        <w:t>[</w:t>
      </w:r>
      <w:r w:rsidR="004D171D">
        <w:t>6</w:t>
      </w:r>
      <w:r w:rsidRPr="00014755">
        <w:t>].</w:t>
      </w:r>
    </w:p>
    <w:p w14:paraId="118BEAD6" w14:textId="7D97D19C" w:rsidR="00014755" w:rsidRPr="00014755" w:rsidRDefault="00913EE7" w:rsidP="00014755">
      <w:pPr>
        <w:pStyle w:val="a1"/>
      </w:pPr>
      <w:bookmarkStart w:id="3" w:name="_Hlk98890878"/>
      <w:bookmarkStart w:id="4" w:name="_Hlk72251392"/>
      <w:r w:rsidRPr="00913EE7">
        <w:t>The transient simulation was performed to verify the spatial-dependent reactivity feedback model and other corresponding models in SARAX. The reference results are selected from the IAEA benchmark report [6] by different participants. Some results from China Institute of Atomic Energy (CIAE), Karlsruhe Institute of Technology (KIT), University of Fukui (UFUKUI), Korea Atomic Energy Research Institute (KAERI), Nuclear Research and Consultancy Group (NRG), and Argonne National Laboratory (ANL) are shown.</w:t>
      </w:r>
      <w:bookmarkEnd w:id="3"/>
      <w:r w:rsidRPr="00913EE7">
        <w:t xml:space="preserve"> </w:t>
      </w:r>
      <w:r w:rsidR="00014755" w:rsidRPr="00014755">
        <w:t xml:space="preserve">Fig. </w:t>
      </w:r>
      <w:r w:rsidR="00126261">
        <w:t>6-10</w:t>
      </w:r>
      <w:bookmarkEnd w:id="4"/>
      <w:r w:rsidR="00014755" w:rsidRPr="00014755">
        <w:t xml:space="preserve"> shows the analysis results of SHRT-45R transient of EBR-II benchmark core by DAISY, and the reference results</w:t>
      </w:r>
      <w:r>
        <w:t>,</w:t>
      </w:r>
      <w:r w:rsidR="00014755" w:rsidRPr="00014755">
        <w:t xml:space="preserve"> including power variation, coolant outlet temperature variation and reactivity feedback variation. </w:t>
      </w:r>
      <w:r w:rsidR="003334AB" w:rsidRPr="003334AB">
        <w:t>The trends of total and fission power by SARAX agree well with the reference. After 350 seconds, the value of power tends to stabilize. It can be seen that the deviation of power results between SARAX and references in the late transient becomes larger. Since the final stabilized power level is closely related to the change of core flow rate, and the total reactivity feedback amount during the whole transient agree with the results of most institutes, the cause of reactivity feedback can be excluded. The deviation may be caused by the fitting flowrate curve. It should be noted that there are several break points in the simulated curves during the transient. It was caused by the slight error from the simplification of numerical fitting of inlet flow, which is ignored in this paper.</w:t>
      </w:r>
    </w:p>
    <w:p w14:paraId="5AAD64AA" w14:textId="1A5936FE" w:rsidR="003334AB" w:rsidRDefault="003334AB" w:rsidP="00014755">
      <w:pPr>
        <w:pStyle w:val="a1"/>
      </w:pPr>
      <w:r w:rsidRPr="003334AB">
        <w:t>In the benchmark report [</w:t>
      </w:r>
      <w:r>
        <w:t>6</w:t>
      </w:r>
      <w:r w:rsidRPr="003334AB">
        <w:t xml:space="preserve">], a curve of experimental Z-pipe inlet temperature variation was given as a reference with a lack of 75s to 200s. Due to the lack of data, values of the calculated results cannot be compared with the experimental data. The comparison of results can only focus on the comparison of changing trends. </w:t>
      </w:r>
      <w:r>
        <w:t>I</w:t>
      </w:r>
      <w:r w:rsidRPr="003334AB">
        <w:t>n this paper, the temperature compared was replaced by the mixed-up core outlet temperature by assuming that the temperatures at these two positions are very close. As shown in Fig.</w:t>
      </w:r>
      <w:r>
        <w:t>8</w:t>
      </w:r>
      <w:r w:rsidRPr="003334AB">
        <w:t>, the trend of Z-pipe inlet temperature calculated by SARAX is in agreement with the results of most institutes, which increases in first 100s due to the loss of flow and then falls down due to the negative reactivity feedback. It can be seen that the calculated temperature rises more rapidly and has higher values, which is reasonable because the calculated temperature is closer to the core outlet.</w:t>
      </w:r>
    </w:p>
    <w:p w14:paraId="4E4A0647" w14:textId="53440087" w:rsidR="00126261" w:rsidRPr="00014755" w:rsidRDefault="00126261" w:rsidP="00014755">
      <w:pPr>
        <w:pStyle w:val="a1"/>
      </w:pPr>
    </w:p>
    <w:p w14:paraId="71AB153F" w14:textId="7A43B051" w:rsidR="00126261" w:rsidRPr="00126261" w:rsidRDefault="00126261" w:rsidP="00126261">
      <w:pPr>
        <w:suppressAutoHyphens/>
        <w:kinsoku w:val="0"/>
        <w:overflowPunct/>
        <w:autoSpaceDE/>
        <w:autoSpaceDN/>
        <w:adjustRightInd/>
        <w:spacing w:line="360" w:lineRule="auto"/>
        <w:jc w:val="center"/>
        <w:textAlignment w:val="auto"/>
        <w:rPr>
          <w:rFonts w:eastAsia="Times New Roman"/>
          <w:noProof/>
          <w:kern w:val="14"/>
          <w:sz w:val="24"/>
          <w:lang w:val="en-US"/>
        </w:rPr>
      </w:pPr>
      <w:r w:rsidRPr="00126261">
        <w:rPr>
          <w:rFonts w:eastAsia="Times New Roman"/>
          <w:noProof/>
          <w:kern w:val="14"/>
          <w:sz w:val="24"/>
          <w:lang w:val="en-US"/>
        </w:rPr>
        <w:drawing>
          <wp:inline distT="0" distB="0" distL="0" distR="0" wp14:anchorId="376D0FD9" wp14:editId="691C35AA">
            <wp:extent cx="4743450" cy="34340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43450" cy="3434080"/>
                    </a:xfrm>
                    <a:prstGeom prst="rect">
                      <a:avLst/>
                    </a:prstGeom>
                    <a:noFill/>
                    <a:ln>
                      <a:noFill/>
                    </a:ln>
                  </pic:spPr>
                </pic:pic>
              </a:graphicData>
            </a:graphic>
          </wp:inline>
        </w:drawing>
      </w:r>
    </w:p>
    <w:p w14:paraId="7E8A1CD8" w14:textId="28004A79" w:rsidR="00126261" w:rsidRPr="006B33E6" w:rsidRDefault="00126261" w:rsidP="006B33E6">
      <w:pPr>
        <w:suppressAutoHyphens/>
        <w:overflowPunct/>
        <w:autoSpaceDE/>
        <w:autoSpaceDN/>
        <w:adjustRightInd/>
        <w:spacing w:line="360" w:lineRule="auto"/>
        <w:jc w:val="center"/>
        <w:textAlignment w:val="auto"/>
        <w:rPr>
          <w:i/>
          <w:caps/>
          <w:sz w:val="18"/>
          <w:lang w:eastAsia="es-ES"/>
        </w:rPr>
      </w:pPr>
      <w:r w:rsidRPr="006B33E6">
        <w:rPr>
          <w:i/>
          <w:caps/>
          <w:sz w:val="18"/>
          <w:lang w:eastAsia="es-ES"/>
        </w:rPr>
        <w:t>Fig.</w:t>
      </w:r>
      <w:r>
        <w:rPr>
          <w:i/>
          <w:caps/>
          <w:sz w:val="18"/>
          <w:lang w:eastAsia="es-ES"/>
        </w:rPr>
        <w:t>6 Total</w:t>
      </w:r>
      <w:r w:rsidRPr="006B33E6">
        <w:rPr>
          <w:i/>
          <w:caps/>
          <w:sz w:val="18"/>
          <w:lang w:eastAsia="es-ES"/>
        </w:rPr>
        <w:t xml:space="preserve"> power variation results from different institutes</w:t>
      </w:r>
    </w:p>
    <w:p w14:paraId="13817445" w14:textId="14D574CA" w:rsidR="00126261" w:rsidRPr="00126261" w:rsidRDefault="00126261" w:rsidP="00126261">
      <w:pPr>
        <w:suppressAutoHyphens/>
        <w:kinsoku w:val="0"/>
        <w:overflowPunct/>
        <w:autoSpaceDE/>
        <w:autoSpaceDN/>
        <w:adjustRightInd/>
        <w:spacing w:line="360" w:lineRule="auto"/>
        <w:jc w:val="center"/>
        <w:textAlignment w:val="auto"/>
        <w:rPr>
          <w:rFonts w:eastAsia="宋体"/>
          <w:kern w:val="14"/>
          <w:sz w:val="24"/>
          <w:szCs w:val="24"/>
          <w:lang w:val="en-US" w:eastAsia="zh-CN"/>
        </w:rPr>
      </w:pPr>
      <w:r w:rsidRPr="00126261">
        <w:rPr>
          <w:rFonts w:eastAsia="Times New Roman"/>
          <w:noProof/>
          <w:kern w:val="14"/>
          <w:sz w:val="24"/>
          <w:lang w:val="en-US"/>
        </w:rPr>
        <w:lastRenderedPageBreak/>
        <w:drawing>
          <wp:inline distT="0" distB="0" distL="0" distR="0" wp14:anchorId="6E05DAE2" wp14:editId="240CA9A9">
            <wp:extent cx="4672330" cy="338645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2330" cy="3386455"/>
                    </a:xfrm>
                    <a:prstGeom prst="rect">
                      <a:avLst/>
                    </a:prstGeom>
                    <a:noFill/>
                    <a:ln>
                      <a:noFill/>
                    </a:ln>
                  </pic:spPr>
                </pic:pic>
              </a:graphicData>
            </a:graphic>
          </wp:inline>
        </w:drawing>
      </w:r>
    </w:p>
    <w:p w14:paraId="685640D3" w14:textId="0D1ADDA8" w:rsidR="00126261" w:rsidRPr="00126261" w:rsidRDefault="00126261" w:rsidP="006B33E6">
      <w:pPr>
        <w:suppressAutoHyphens/>
        <w:overflowPunct/>
        <w:autoSpaceDE/>
        <w:autoSpaceDN/>
        <w:adjustRightInd/>
        <w:spacing w:line="360" w:lineRule="auto"/>
        <w:jc w:val="center"/>
        <w:textAlignment w:val="auto"/>
        <w:rPr>
          <w:rFonts w:eastAsia="Times New Roman"/>
          <w:kern w:val="14"/>
          <w:sz w:val="24"/>
          <w:lang w:val="en-US"/>
        </w:rPr>
      </w:pPr>
      <w:r w:rsidRPr="006B33E6">
        <w:rPr>
          <w:i/>
          <w:caps/>
          <w:sz w:val="18"/>
          <w:lang w:eastAsia="es-ES"/>
        </w:rPr>
        <w:t xml:space="preserve">Fig. </w:t>
      </w:r>
      <w:r>
        <w:rPr>
          <w:i/>
          <w:caps/>
          <w:sz w:val="18"/>
          <w:lang w:eastAsia="es-ES"/>
        </w:rPr>
        <w:t>7</w:t>
      </w:r>
      <w:r w:rsidRPr="006B33E6">
        <w:rPr>
          <w:i/>
          <w:caps/>
          <w:sz w:val="18"/>
          <w:lang w:eastAsia="es-ES"/>
        </w:rPr>
        <w:t xml:space="preserve"> Fission power variation results from different institutes</w:t>
      </w:r>
    </w:p>
    <w:p w14:paraId="49C5EEE9" w14:textId="77777777" w:rsidR="00014755" w:rsidRPr="00014755" w:rsidRDefault="00014755" w:rsidP="00014755">
      <w:pPr>
        <w:suppressAutoHyphens/>
        <w:overflowPunct/>
        <w:autoSpaceDE/>
        <w:autoSpaceDN/>
        <w:adjustRightInd/>
        <w:spacing w:line="360" w:lineRule="auto"/>
        <w:ind w:firstLine="360"/>
        <w:jc w:val="both"/>
        <w:textAlignment w:val="auto"/>
        <w:rPr>
          <w:rFonts w:eastAsia="Times New Roman"/>
          <w:kern w:val="14"/>
          <w:sz w:val="20"/>
          <w:lang w:val="en-US"/>
        </w:rPr>
      </w:pPr>
    </w:p>
    <w:p w14:paraId="00904315" w14:textId="77777777" w:rsidR="00014755" w:rsidRPr="00014755" w:rsidRDefault="00014755" w:rsidP="00014755">
      <w:pPr>
        <w:suppressAutoHyphens/>
        <w:overflowPunct/>
        <w:autoSpaceDE/>
        <w:autoSpaceDN/>
        <w:adjustRightInd/>
        <w:spacing w:line="360" w:lineRule="auto"/>
        <w:jc w:val="center"/>
        <w:textAlignment w:val="auto"/>
        <w:rPr>
          <w:rFonts w:eastAsia="宋体"/>
          <w:kern w:val="14"/>
          <w:sz w:val="18"/>
          <w:szCs w:val="22"/>
          <w:highlight w:val="yellow"/>
          <w:lang w:val="en-US" w:eastAsia="zh-CN"/>
        </w:rPr>
      </w:pPr>
    </w:p>
    <w:p w14:paraId="396A1AC0" w14:textId="77777777" w:rsidR="00014755" w:rsidRPr="00014755" w:rsidRDefault="00014755" w:rsidP="00014755">
      <w:pPr>
        <w:suppressAutoHyphens/>
        <w:overflowPunct/>
        <w:autoSpaceDE/>
        <w:autoSpaceDN/>
        <w:adjustRightInd/>
        <w:spacing w:line="360" w:lineRule="auto"/>
        <w:jc w:val="center"/>
        <w:textAlignment w:val="auto"/>
        <w:rPr>
          <w:rFonts w:eastAsia="宋体"/>
          <w:kern w:val="14"/>
          <w:sz w:val="18"/>
          <w:szCs w:val="22"/>
          <w:highlight w:val="yellow"/>
          <w:lang w:val="en-US" w:eastAsia="zh-CN"/>
        </w:rPr>
      </w:pPr>
      <w:r w:rsidRPr="00014755">
        <w:rPr>
          <w:rFonts w:eastAsia="Times New Roman"/>
          <w:noProof/>
          <w:kern w:val="14"/>
          <w:sz w:val="20"/>
          <w:lang w:val="en-US"/>
        </w:rPr>
        <w:drawing>
          <wp:inline distT="0" distB="0" distL="0" distR="0" wp14:anchorId="02B21E9B" wp14:editId="064CC7F3">
            <wp:extent cx="4459995" cy="326181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75296" cy="3273006"/>
                    </a:xfrm>
                    <a:prstGeom prst="rect">
                      <a:avLst/>
                    </a:prstGeom>
                  </pic:spPr>
                </pic:pic>
              </a:graphicData>
            </a:graphic>
          </wp:inline>
        </w:drawing>
      </w:r>
    </w:p>
    <w:p w14:paraId="36911257" w14:textId="473C561A" w:rsidR="00014755" w:rsidRPr="00014755" w:rsidRDefault="00014755" w:rsidP="00014755">
      <w:pPr>
        <w:suppressAutoHyphens/>
        <w:overflowPunct/>
        <w:autoSpaceDE/>
        <w:autoSpaceDN/>
        <w:adjustRightInd/>
        <w:spacing w:line="360" w:lineRule="auto"/>
        <w:jc w:val="center"/>
        <w:textAlignment w:val="auto"/>
        <w:rPr>
          <w:rFonts w:eastAsia="宋体"/>
          <w:kern w:val="14"/>
          <w:sz w:val="18"/>
          <w:szCs w:val="22"/>
          <w:highlight w:val="yellow"/>
          <w:lang w:val="en-US" w:eastAsia="zh-CN"/>
        </w:rPr>
      </w:pPr>
      <w:bookmarkStart w:id="5" w:name="_Hlk73042241"/>
      <w:r w:rsidRPr="00014755">
        <w:rPr>
          <w:i/>
          <w:caps/>
          <w:sz w:val="18"/>
          <w:lang w:eastAsia="es-ES"/>
        </w:rPr>
        <w:t xml:space="preserve">Fig. </w:t>
      </w:r>
      <w:r w:rsidR="00126261">
        <w:rPr>
          <w:i/>
          <w:caps/>
          <w:sz w:val="18"/>
          <w:lang w:eastAsia="es-ES"/>
        </w:rPr>
        <w:t>8</w:t>
      </w:r>
      <w:r w:rsidR="00126261" w:rsidRPr="00014755">
        <w:rPr>
          <w:i/>
          <w:caps/>
          <w:sz w:val="18"/>
          <w:lang w:eastAsia="es-ES"/>
        </w:rPr>
        <w:t xml:space="preserve"> </w:t>
      </w:r>
      <w:r w:rsidRPr="00014755">
        <w:rPr>
          <w:i/>
          <w:sz w:val="18"/>
          <w:lang w:eastAsia="es-ES"/>
        </w:rPr>
        <w:t>Z-PIPE inlet temperature variation compared with experiment results and other institutes</w:t>
      </w:r>
    </w:p>
    <w:bookmarkEnd w:id="5"/>
    <w:p w14:paraId="767969B2" w14:textId="77777777" w:rsidR="00014755" w:rsidRPr="00014755" w:rsidRDefault="00014755" w:rsidP="00014755">
      <w:pPr>
        <w:suppressAutoHyphens/>
        <w:overflowPunct/>
        <w:autoSpaceDE/>
        <w:autoSpaceDN/>
        <w:adjustRightInd/>
        <w:spacing w:line="360" w:lineRule="auto"/>
        <w:jc w:val="center"/>
        <w:textAlignment w:val="auto"/>
        <w:rPr>
          <w:rFonts w:eastAsia="宋体"/>
          <w:kern w:val="14"/>
          <w:sz w:val="18"/>
          <w:szCs w:val="22"/>
          <w:highlight w:val="yellow"/>
          <w:lang w:val="en-US" w:eastAsia="zh-CN"/>
        </w:rPr>
      </w:pPr>
      <w:r w:rsidRPr="00014755">
        <w:rPr>
          <w:rFonts w:eastAsia="Times New Roman"/>
          <w:noProof/>
          <w:kern w:val="14"/>
          <w:sz w:val="20"/>
          <w:lang w:val="en-US"/>
        </w:rPr>
        <w:lastRenderedPageBreak/>
        <w:drawing>
          <wp:inline distT="0" distB="0" distL="0" distR="0" wp14:anchorId="4A9F6C20" wp14:editId="6103F6F5">
            <wp:extent cx="4660332" cy="3548418"/>
            <wp:effectExtent l="0" t="0" r="698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71209" cy="3556700"/>
                    </a:xfrm>
                    <a:prstGeom prst="rect">
                      <a:avLst/>
                    </a:prstGeom>
                  </pic:spPr>
                </pic:pic>
              </a:graphicData>
            </a:graphic>
          </wp:inline>
        </w:drawing>
      </w:r>
    </w:p>
    <w:p w14:paraId="2AD8C68E" w14:textId="7C3EAA27" w:rsidR="00014755" w:rsidRPr="00014755" w:rsidRDefault="00014755" w:rsidP="00014755">
      <w:pPr>
        <w:suppressAutoHyphens/>
        <w:overflowPunct/>
        <w:autoSpaceDE/>
        <w:autoSpaceDN/>
        <w:adjustRightInd/>
        <w:spacing w:line="360" w:lineRule="auto"/>
        <w:jc w:val="center"/>
        <w:textAlignment w:val="auto"/>
        <w:rPr>
          <w:rFonts w:eastAsia="宋体"/>
          <w:kern w:val="14"/>
          <w:sz w:val="18"/>
          <w:szCs w:val="22"/>
          <w:highlight w:val="yellow"/>
          <w:lang w:val="en-US" w:eastAsia="zh-CN"/>
        </w:rPr>
      </w:pPr>
      <w:r w:rsidRPr="00014755">
        <w:rPr>
          <w:i/>
          <w:caps/>
          <w:sz w:val="18"/>
          <w:lang w:eastAsia="es-ES"/>
        </w:rPr>
        <w:t xml:space="preserve">Fig. </w:t>
      </w:r>
      <w:r w:rsidR="00126261">
        <w:rPr>
          <w:i/>
          <w:caps/>
          <w:sz w:val="18"/>
          <w:lang w:eastAsia="es-ES"/>
        </w:rPr>
        <w:t>9</w:t>
      </w:r>
      <w:r w:rsidR="00126261" w:rsidRPr="00014755">
        <w:rPr>
          <w:i/>
          <w:caps/>
          <w:sz w:val="18"/>
          <w:lang w:eastAsia="es-ES"/>
        </w:rPr>
        <w:t xml:space="preserve"> </w:t>
      </w:r>
      <w:r w:rsidRPr="00014755">
        <w:rPr>
          <w:i/>
          <w:sz w:val="18"/>
          <w:lang w:eastAsia="es-ES"/>
        </w:rPr>
        <w:t>Reactivity feedback variation by DAISY</w:t>
      </w:r>
    </w:p>
    <w:p w14:paraId="5945F6D9" w14:textId="77777777" w:rsidR="00014755" w:rsidRPr="00014755" w:rsidRDefault="00014755" w:rsidP="00014755">
      <w:pPr>
        <w:suppressAutoHyphens/>
        <w:overflowPunct/>
        <w:autoSpaceDE/>
        <w:autoSpaceDN/>
        <w:adjustRightInd/>
        <w:spacing w:line="360" w:lineRule="auto"/>
        <w:jc w:val="center"/>
        <w:textAlignment w:val="auto"/>
        <w:rPr>
          <w:rFonts w:eastAsia="宋体"/>
          <w:kern w:val="14"/>
          <w:sz w:val="18"/>
          <w:szCs w:val="22"/>
          <w:highlight w:val="yellow"/>
          <w:lang w:val="en-US" w:eastAsia="zh-CN"/>
        </w:rPr>
      </w:pPr>
    </w:p>
    <w:p w14:paraId="6C1BC4B0" w14:textId="77777777" w:rsidR="00014755" w:rsidRPr="00014755" w:rsidRDefault="00014755" w:rsidP="00014755">
      <w:pPr>
        <w:suppressAutoHyphens/>
        <w:overflowPunct/>
        <w:autoSpaceDE/>
        <w:autoSpaceDN/>
        <w:adjustRightInd/>
        <w:spacing w:line="360" w:lineRule="auto"/>
        <w:jc w:val="center"/>
        <w:textAlignment w:val="auto"/>
        <w:rPr>
          <w:rFonts w:eastAsia="宋体"/>
          <w:kern w:val="14"/>
          <w:sz w:val="18"/>
          <w:szCs w:val="22"/>
          <w:highlight w:val="yellow"/>
          <w:lang w:val="en-US" w:eastAsia="zh-CN"/>
        </w:rPr>
      </w:pPr>
      <w:r w:rsidRPr="00014755">
        <w:rPr>
          <w:rFonts w:eastAsia="Times New Roman"/>
          <w:noProof/>
          <w:kern w:val="14"/>
          <w:sz w:val="20"/>
          <w:lang w:val="en-US"/>
        </w:rPr>
        <w:drawing>
          <wp:inline distT="0" distB="0" distL="0" distR="0" wp14:anchorId="702602C5" wp14:editId="7D4543BD">
            <wp:extent cx="4667535" cy="3506671"/>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84376" cy="3519323"/>
                    </a:xfrm>
                    <a:prstGeom prst="rect">
                      <a:avLst/>
                    </a:prstGeom>
                  </pic:spPr>
                </pic:pic>
              </a:graphicData>
            </a:graphic>
          </wp:inline>
        </w:drawing>
      </w:r>
    </w:p>
    <w:p w14:paraId="00557653" w14:textId="6168DAE6" w:rsidR="00014755" w:rsidRPr="00014755" w:rsidRDefault="00014755" w:rsidP="00014755">
      <w:pPr>
        <w:suppressAutoHyphens/>
        <w:overflowPunct/>
        <w:autoSpaceDE/>
        <w:autoSpaceDN/>
        <w:adjustRightInd/>
        <w:spacing w:line="360" w:lineRule="auto"/>
        <w:jc w:val="center"/>
        <w:textAlignment w:val="auto"/>
        <w:rPr>
          <w:rFonts w:eastAsia="宋体"/>
          <w:kern w:val="14"/>
          <w:sz w:val="18"/>
          <w:szCs w:val="22"/>
          <w:highlight w:val="yellow"/>
          <w:lang w:val="en-US" w:eastAsia="zh-CN"/>
        </w:rPr>
      </w:pPr>
      <w:r w:rsidRPr="00014755">
        <w:rPr>
          <w:i/>
          <w:caps/>
          <w:sz w:val="18"/>
          <w:lang w:eastAsia="es-ES"/>
        </w:rPr>
        <w:t xml:space="preserve">Fig. </w:t>
      </w:r>
      <w:r w:rsidR="00126261">
        <w:rPr>
          <w:i/>
          <w:caps/>
          <w:sz w:val="18"/>
          <w:lang w:eastAsia="es-ES"/>
        </w:rPr>
        <w:t>10</w:t>
      </w:r>
      <w:r w:rsidR="00126261" w:rsidRPr="00014755">
        <w:rPr>
          <w:i/>
          <w:caps/>
          <w:sz w:val="18"/>
          <w:lang w:eastAsia="es-ES"/>
        </w:rPr>
        <w:t xml:space="preserve"> </w:t>
      </w:r>
      <w:r w:rsidRPr="00014755">
        <w:rPr>
          <w:i/>
          <w:sz w:val="18"/>
          <w:lang w:eastAsia="es-ES"/>
        </w:rPr>
        <w:t>Net reactivity variation compared with results of other institutes</w:t>
      </w:r>
    </w:p>
    <w:p w14:paraId="3AF0FAEF" w14:textId="16DBA399" w:rsidR="003334AB" w:rsidRDefault="003334AB" w:rsidP="003334AB">
      <w:pPr>
        <w:pStyle w:val="a1"/>
      </w:pPr>
      <w:r>
        <w:t xml:space="preserve">Fig. 9 shows the variation of different reactivity feedback calculated during the transient. The radial expansion and coolant density feedback are two main aspects contributing to the negative reactivity feedback, which would cause temperature decreasing. Since EBR-II is </w:t>
      </w:r>
      <w:proofErr w:type="spellStart"/>
      <w:r>
        <w:t>fueled</w:t>
      </w:r>
      <w:proofErr w:type="spellEnd"/>
      <w:r>
        <w:t xml:space="preserve"> with metal fuel, the Doppler feedback coefficient is small and the fuel Doppler effect is negligible. The CRD expansion feedback keep small absolute values during the transient, which is not significantly </w:t>
      </w:r>
      <w:proofErr w:type="spellStart"/>
      <w:r>
        <w:t>contributive</w:t>
      </w:r>
      <w:proofErr w:type="spellEnd"/>
      <w:r>
        <w:t xml:space="preserve"> to the whole process. This is because the control rod position during the transient is at a high position, which means the bottom of the absorber is near the top of </w:t>
      </w:r>
      <w:r>
        <w:lastRenderedPageBreak/>
        <w:t xml:space="preserve">the active zone. Under this rod position, the differential worth of the control rod is small, so the reactive feedback caused by control rod insertion is relatively small. As for axial expansion, its positive value is directly related to the fuel temperature. In the axial expansion model of SARAX, free expansion is supposed. Without the mechanical coupling between fuel and cladding, the fuel axial expansion is the main source of axial expansion feedback and following the fuel temperature, it becomes positive after about 120s. The axial expansion model of SARAX needs to be improved in the future to consider the interaction between fuel and cladding. And it can be seen in the benchmark report [6] that some other institutes also give positive axial expansion feedback. </w:t>
      </w:r>
    </w:p>
    <w:p w14:paraId="69A8EE4B" w14:textId="7307AA5D" w:rsidR="00014755" w:rsidRPr="00014755" w:rsidRDefault="003334AB" w:rsidP="003334AB">
      <w:pPr>
        <w:pStyle w:val="a1"/>
      </w:pPr>
      <w:r>
        <w:t xml:space="preserve">Fig.10 shows that net reactivity results compared with reference results. Due to the drop of flowrate and the imbalance between power and flowrate at the early transient, the core temperature rises rapidly. Following the temperature, the increasing negative feedback causes a rapid drop of the core power. Then, with the gradually stable flowrate and the negative feedback, the power level of the core continues to drop, and the temperature of the core begin to decrease. The absolute value of the negative reactivity feedback becomes smaller, gradually reduces to 0. The core power level is finally stable. The minimum value of core net reactivity during the transient also agreed with the results in the report, which ranged from -0.3$ to -0.35$. With the spatial-dependent reactivity feedback model, SARAX could give close values of reactivity feedback. Combined with all the above results, it can be concluded that the spatial-dependent reactivity feedback model in SARAX is correct, and this model could help to simulate the in-core transient and give reliable results of reactivity feedback.  </w:t>
      </w:r>
    </w:p>
    <w:p w14:paraId="2062EF87" w14:textId="77777777" w:rsidR="00014755" w:rsidRDefault="00014755" w:rsidP="00014755">
      <w:pPr>
        <w:pStyle w:val="a1"/>
      </w:pPr>
    </w:p>
    <w:p w14:paraId="4DEF9914" w14:textId="31E19B65" w:rsidR="009B0B88" w:rsidRPr="00BB418D" w:rsidRDefault="009B0B88" w:rsidP="009B0B88">
      <w:pPr>
        <w:pStyle w:val="2"/>
        <w:numPr>
          <w:ilvl w:val="1"/>
          <w:numId w:val="10"/>
        </w:numPr>
      </w:pPr>
      <w:r>
        <w:t>conclusion</w:t>
      </w:r>
    </w:p>
    <w:p w14:paraId="6B679227" w14:textId="031FEE9D" w:rsidR="00014755" w:rsidRPr="009B0B88" w:rsidRDefault="00B461DF" w:rsidP="00B461DF">
      <w:pPr>
        <w:pStyle w:val="a1"/>
      </w:pPr>
      <w:r w:rsidRPr="00B461DF">
        <w:t xml:space="preserve">In conclusion, SARAX gave comparable results with the </w:t>
      </w:r>
      <w:r w:rsidR="002B29E9">
        <w:t>benchmark</w:t>
      </w:r>
      <w:r w:rsidRPr="00B461DF">
        <w:t xml:space="preserve"> and </w:t>
      </w:r>
      <w:r w:rsidR="002B29E9">
        <w:t>I</w:t>
      </w:r>
      <w:r w:rsidRPr="00B461DF">
        <w:t xml:space="preserve">NL’s </w:t>
      </w:r>
      <w:r w:rsidR="002B29E9">
        <w:t>results</w:t>
      </w:r>
      <w:r w:rsidRPr="00B461DF">
        <w:t xml:space="preserve"> for steady state calculation. As for transient analysis, compared with experimental results and other institutes’ results, SARAX presents good results. However, SARAX does not have the capability of system analysis at present, leading to the need to obtain input parameters for the transient calculation from the references, which makes SARAX not yet capable of independent design of a complete fast reactor. </w:t>
      </w:r>
      <w:r w:rsidR="00C55FA3" w:rsidRPr="00B461DF">
        <w:t>S</w:t>
      </w:r>
      <w:r w:rsidR="00C55FA3">
        <w:t>ARAX</w:t>
      </w:r>
      <w:r w:rsidR="00C55FA3" w:rsidRPr="00B461DF">
        <w:t xml:space="preserve"> </w:t>
      </w:r>
      <w:r w:rsidRPr="00B461DF">
        <w:t>needs further development and practice.</w:t>
      </w:r>
    </w:p>
    <w:p w14:paraId="23E412AD" w14:textId="77777777" w:rsidR="002C29DB" w:rsidRPr="004370D8" w:rsidRDefault="002C29DB" w:rsidP="00C23DAB">
      <w:pPr>
        <w:pStyle w:val="a1"/>
        <w:ind w:firstLine="0"/>
      </w:pPr>
    </w:p>
    <w:p w14:paraId="433FE095" w14:textId="77777777" w:rsidR="00285755" w:rsidRDefault="00285755" w:rsidP="00537496">
      <w:pPr>
        <w:pStyle w:val="Otherunnumberedheadings"/>
      </w:pPr>
      <w:r w:rsidRPr="00285755">
        <w:t>ACKNOWLEDGEMENTS</w:t>
      </w:r>
    </w:p>
    <w:p w14:paraId="433FE096" w14:textId="3AADE169" w:rsidR="00D26ADA" w:rsidRDefault="00423A8A" w:rsidP="00537496">
      <w:pPr>
        <w:pStyle w:val="a1"/>
      </w:pPr>
      <w:r w:rsidRPr="00423A8A">
        <w:t xml:space="preserve">This research was carried out under the National Key Research and Development Plan of China (project number: 2018YFB1900604), and the National Science Foundation of China (approved number: 11775170 and 11735011). </w:t>
      </w:r>
    </w:p>
    <w:p w14:paraId="433FE097" w14:textId="77777777" w:rsidR="00D26ADA" w:rsidRPr="00285755" w:rsidRDefault="00D26ADA" w:rsidP="00537496">
      <w:pPr>
        <w:pStyle w:val="Otherunnumberedheadings"/>
      </w:pPr>
      <w:r>
        <w:t>References</w:t>
      </w:r>
    </w:p>
    <w:p w14:paraId="739E10FD" w14:textId="7964CDFD" w:rsidR="00837733" w:rsidRDefault="00C33EE9" w:rsidP="00127534">
      <w:pPr>
        <w:pStyle w:val="Referencelist"/>
      </w:pPr>
      <w:proofErr w:type="spellStart"/>
      <w:r w:rsidRPr="00C33EE9">
        <w:t>Youqi</w:t>
      </w:r>
      <w:proofErr w:type="spellEnd"/>
      <w:r w:rsidRPr="00C33EE9">
        <w:t xml:space="preserve"> Zheng, Liang Qiao, </w:t>
      </w:r>
      <w:proofErr w:type="spellStart"/>
      <w:r w:rsidRPr="00C33EE9">
        <w:t>Zi'an</w:t>
      </w:r>
      <w:proofErr w:type="spellEnd"/>
      <w:r w:rsidRPr="00C33EE9">
        <w:t xml:space="preserve"> </w:t>
      </w:r>
      <w:proofErr w:type="spellStart"/>
      <w:r w:rsidRPr="00C33EE9">
        <w:t>Zhai</w:t>
      </w:r>
      <w:proofErr w:type="spellEnd"/>
      <w:r w:rsidRPr="00C33EE9">
        <w:t>, et al. 2018. SARAX: A new code for fast reactor analysis part II: Verification, validation and uncertainty quantification [J]. Nuclear Engineering and Design, 331, Pages 41-53.</w:t>
      </w:r>
    </w:p>
    <w:p w14:paraId="7FD44425" w14:textId="7B11C231" w:rsidR="007018BC" w:rsidRPr="007018BC" w:rsidRDefault="007018BC" w:rsidP="007018BC">
      <w:pPr>
        <w:pStyle w:val="Referencelist"/>
      </w:pPr>
      <w:r w:rsidRPr="007018BC">
        <w:t xml:space="preserve">Zheng </w:t>
      </w:r>
      <w:proofErr w:type="spellStart"/>
      <w:r w:rsidRPr="007018BC">
        <w:t>Youqi</w:t>
      </w:r>
      <w:proofErr w:type="spellEnd"/>
      <w:r w:rsidRPr="007018BC">
        <w:t xml:space="preserve">, Wu </w:t>
      </w:r>
      <w:proofErr w:type="spellStart"/>
      <w:r w:rsidRPr="007018BC">
        <w:t>Hongchun</w:t>
      </w:r>
      <w:proofErr w:type="spellEnd"/>
      <w:r w:rsidRPr="007018BC">
        <w:t>, et al. “Improvement and verification of the fast reactor neutronics code NECP-SARAX</w:t>
      </w:r>
      <w:proofErr w:type="gramStart"/>
      <w:r w:rsidRPr="007018BC">
        <w:t>,”[</w:t>
      </w:r>
      <w:proofErr w:type="gramEnd"/>
      <w:r w:rsidRPr="007018BC">
        <w:t>J]. High Power Laser and Particle Beams, Vol. 05. p.116-121,2017</w:t>
      </w:r>
    </w:p>
    <w:p w14:paraId="10E128BA" w14:textId="7F459B59" w:rsidR="00A417AD" w:rsidRDefault="007018BC" w:rsidP="00537496">
      <w:pPr>
        <w:pStyle w:val="Referencelist"/>
      </w:pPr>
      <w:r w:rsidRPr="007018BC">
        <w:t xml:space="preserve">Zhou </w:t>
      </w:r>
      <w:proofErr w:type="spellStart"/>
      <w:r w:rsidRPr="007018BC">
        <w:t>Shengcheng</w:t>
      </w:r>
      <w:proofErr w:type="spellEnd"/>
      <w:r w:rsidRPr="007018BC">
        <w:t xml:space="preserve">, Wu </w:t>
      </w:r>
      <w:proofErr w:type="spellStart"/>
      <w:r w:rsidRPr="007018BC">
        <w:t>Hongchun</w:t>
      </w:r>
      <w:proofErr w:type="spellEnd"/>
      <w:r w:rsidRPr="007018BC">
        <w:t xml:space="preserve">, Cao </w:t>
      </w:r>
      <w:proofErr w:type="spellStart"/>
      <w:r w:rsidRPr="007018BC">
        <w:t>Liangzhi</w:t>
      </w:r>
      <w:proofErr w:type="spellEnd"/>
      <w:r w:rsidRPr="007018BC">
        <w:t>, et al. “LAVENDER: A steady-state core analysis code for design studies of accelerator driven subcritical reactors</w:t>
      </w:r>
      <w:proofErr w:type="gramStart"/>
      <w:r w:rsidRPr="007018BC">
        <w:t>,”[</w:t>
      </w:r>
      <w:proofErr w:type="gramEnd"/>
      <w:r w:rsidRPr="007018BC">
        <w:t>J]. Nuclear Engineering &amp; Design, Vol. 278.p. 434-444.</w:t>
      </w:r>
    </w:p>
    <w:p w14:paraId="2F93F399" w14:textId="77777777" w:rsidR="00127534" w:rsidRDefault="007018BC" w:rsidP="00537496">
      <w:pPr>
        <w:pStyle w:val="Referencelist"/>
      </w:pPr>
      <w:r w:rsidRPr="007018BC">
        <w:t xml:space="preserve">X.N. Du, L.Z. Cao, Y.Q. Zheng, H.C. Wu. “Developments of the Sodium Fast Reactor Analysis code SARAX: methods and verification,”. M&amp;C 2017, </w:t>
      </w:r>
      <w:proofErr w:type="spellStart"/>
      <w:r w:rsidRPr="007018BC">
        <w:t>Jeju</w:t>
      </w:r>
      <w:proofErr w:type="spellEnd"/>
      <w:r w:rsidRPr="007018BC">
        <w:t>, Korea, April. p.16-20, (2017)</w:t>
      </w:r>
      <w:r>
        <w:t>.</w:t>
      </w:r>
      <w:r w:rsidR="00127534" w:rsidRPr="00127534">
        <w:t xml:space="preserve"> </w:t>
      </w:r>
    </w:p>
    <w:p w14:paraId="2C65A0F7" w14:textId="32A99A5F" w:rsidR="007018BC" w:rsidRDefault="00127534" w:rsidP="00537496">
      <w:pPr>
        <w:pStyle w:val="Referencelist"/>
      </w:pPr>
      <w:r w:rsidRPr="00127534">
        <w:t xml:space="preserve">JIA Xiaoqian, ZHENG </w:t>
      </w:r>
      <w:proofErr w:type="spellStart"/>
      <w:r w:rsidRPr="00127534">
        <w:t>Youqi</w:t>
      </w:r>
      <w:proofErr w:type="spellEnd"/>
      <w:r w:rsidRPr="00127534">
        <w:t xml:space="preserve">, DU </w:t>
      </w:r>
      <w:proofErr w:type="spellStart"/>
      <w:r w:rsidRPr="00127534">
        <w:t>Xianan</w:t>
      </w:r>
      <w:proofErr w:type="spellEnd"/>
      <w:r w:rsidRPr="00127534">
        <w:t xml:space="preserve"> et al. Application of SARAX Code System in Transient Analysis of Sodium-cooled Fast Reactor[J]. Atomic Energy Science and Technology, 2019, 53(7): 1195-1201.</w:t>
      </w:r>
    </w:p>
    <w:p w14:paraId="6030DD68" w14:textId="51557065" w:rsidR="007018BC" w:rsidRPr="005C04C0" w:rsidRDefault="005C04C0" w:rsidP="005C04C0">
      <w:pPr>
        <w:pStyle w:val="Referencelist"/>
        <w:rPr>
          <w:lang w:eastAsia="zh-CN"/>
        </w:rPr>
      </w:pPr>
      <w:r>
        <w:rPr>
          <w:lang w:eastAsia="zh-CN"/>
        </w:rPr>
        <w:t>Benchmark Analysis of EBR-II Shutdown Heat Removal Tests</w:t>
      </w:r>
      <w:r w:rsidR="008946E4" w:rsidRPr="008946E4">
        <w:rPr>
          <w:lang w:eastAsia="zh-CN"/>
        </w:rPr>
        <w:t xml:space="preserve">, </w:t>
      </w:r>
      <w:r>
        <w:rPr>
          <w:lang w:eastAsia="zh-CN"/>
        </w:rPr>
        <w:t>IAEA</w:t>
      </w:r>
      <w:r w:rsidR="008946E4" w:rsidRPr="008946E4">
        <w:rPr>
          <w:lang w:eastAsia="zh-CN"/>
        </w:rPr>
        <w:t xml:space="preserve">, </w:t>
      </w:r>
      <w:r>
        <w:rPr>
          <w:lang w:eastAsia="zh-CN"/>
        </w:rPr>
        <w:t>Vienna</w:t>
      </w:r>
      <w:r w:rsidR="008946E4" w:rsidRPr="008946E4">
        <w:rPr>
          <w:lang w:eastAsia="zh-CN"/>
        </w:rPr>
        <w:t xml:space="preserve">, </w:t>
      </w:r>
      <w:r>
        <w:rPr>
          <w:lang w:eastAsia="zh-CN"/>
        </w:rPr>
        <w:t>2017</w:t>
      </w:r>
      <w:r w:rsidR="008946E4" w:rsidRPr="008946E4">
        <w:rPr>
          <w:lang w:eastAsia="zh-CN"/>
        </w:rPr>
        <w:t>.</w:t>
      </w:r>
    </w:p>
    <w:p w14:paraId="7A4AB4F1" w14:textId="32C0BE8E" w:rsidR="004C5B39" w:rsidRDefault="00F462BC" w:rsidP="00537496">
      <w:pPr>
        <w:pStyle w:val="Referencelist"/>
      </w:pPr>
      <w:r w:rsidRPr="00F462BC">
        <w:t>Sumner, Tyler S, Wei, et al. Benchmark specifications and data requirements for EBR-II shutdown heat removal tests SHRT-17 and SHRT-45R. 2012.</w:t>
      </w:r>
    </w:p>
    <w:p w14:paraId="275B1345" w14:textId="22DCEEFE" w:rsidR="009C5B3B" w:rsidRDefault="009C5B3B" w:rsidP="00537496">
      <w:pPr>
        <w:pStyle w:val="Referencelist"/>
      </w:pPr>
      <w:r w:rsidRPr="009C5B3B">
        <w:t xml:space="preserve">Fei T, </w:t>
      </w:r>
      <w:proofErr w:type="spellStart"/>
      <w:r w:rsidRPr="009C5B3B">
        <w:t>Vezzoni</w:t>
      </w:r>
      <w:proofErr w:type="spellEnd"/>
      <w:r w:rsidRPr="009C5B3B">
        <w:t xml:space="preserve"> B, Marchetti M, et al. Neutronics Benchmark for EBR-II Shutdown Heat Removal Test SHRT-45R.  2016.</w:t>
      </w:r>
    </w:p>
    <w:p w14:paraId="433FE0B6" w14:textId="24D946F1" w:rsidR="00F45EEE" w:rsidRPr="008946E4" w:rsidRDefault="008946E4" w:rsidP="008946E4">
      <w:pPr>
        <w:pStyle w:val="Referencelist"/>
        <w:rPr>
          <w:lang w:eastAsia="zh-CN"/>
        </w:rPr>
      </w:pPr>
      <w:r w:rsidRPr="008946E4">
        <w:rPr>
          <w:lang w:eastAsia="zh-CN"/>
        </w:rPr>
        <w:t xml:space="preserve">Chad Pope, </w:t>
      </w:r>
      <w:r>
        <w:rPr>
          <w:lang w:eastAsia="zh-CN"/>
        </w:rPr>
        <w:t>Experimental Breeder Reactor II Benchmark Evaluation</w:t>
      </w:r>
      <w:r w:rsidRPr="008946E4">
        <w:rPr>
          <w:lang w:eastAsia="zh-CN"/>
        </w:rPr>
        <w:t xml:space="preserve">, Idaho State University, </w:t>
      </w:r>
      <w:r>
        <w:rPr>
          <w:lang w:eastAsia="zh-CN"/>
        </w:rPr>
        <w:t>the United States</w:t>
      </w:r>
      <w:r w:rsidRPr="008946E4">
        <w:rPr>
          <w:lang w:eastAsia="zh-CN"/>
        </w:rPr>
        <w:t xml:space="preserve">, </w:t>
      </w:r>
      <w:r>
        <w:rPr>
          <w:lang w:eastAsia="zh-CN"/>
        </w:rPr>
        <w:t>2017</w:t>
      </w:r>
      <w:r w:rsidRPr="008946E4">
        <w:rPr>
          <w:lang w:eastAsia="zh-CN"/>
        </w:rPr>
        <w:t>.</w:t>
      </w:r>
    </w:p>
    <w:sectPr w:rsidR="00F45EEE" w:rsidRPr="008946E4" w:rsidSect="0026525A">
      <w:headerReference w:type="even" r:id="rId21"/>
      <w:headerReference w:type="default" r:id="rId22"/>
      <w:footerReference w:type="even" r:id="rId23"/>
      <w:footerReference w:type="default" r:id="rId24"/>
      <w:headerReference w:type="first" r:id="rId25"/>
      <w:footerReference w:type="first" r:id="rId26"/>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F2600" w14:textId="77777777" w:rsidR="00C50A3D" w:rsidRDefault="00C50A3D">
      <w:r>
        <w:separator/>
      </w:r>
    </w:p>
  </w:endnote>
  <w:endnote w:type="continuationSeparator" w:id="0">
    <w:p w14:paraId="5AAE61D7" w14:textId="77777777" w:rsidR="00C50A3D" w:rsidRDefault="00C50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6" w14:textId="77777777" w:rsidR="00E20E70" w:rsidRDefault="00E20E70">
    <w:pPr>
      <w:pStyle w:val="zyxClassification1"/>
    </w:pPr>
    <w:r>
      <w:fldChar w:fldCharType="begin"/>
    </w:r>
    <w:r>
      <w:instrText xml:space="preserve"> DOCPROPERTY "IaeaClassification"  \* MERGEFORMAT </w:instrText>
    </w:r>
    <w:r>
      <w:fldChar w:fldCharType="end"/>
    </w:r>
  </w:p>
  <w:p w14:paraId="433FE0C7"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8" w14:textId="77777777" w:rsidR="00E20E70" w:rsidRDefault="00E20E70">
    <w:pPr>
      <w:pStyle w:val="zyxClassification1"/>
    </w:pPr>
    <w:r>
      <w:fldChar w:fldCharType="begin"/>
    </w:r>
    <w:r>
      <w:instrText xml:space="preserve"> DOCPROPERTY "IaeaClassification"  \* MERGEFORMAT </w:instrText>
    </w:r>
    <w:r>
      <w:fldChar w:fldCharType="end"/>
    </w:r>
  </w:p>
  <w:p w14:paraId="433FE0C9" w14:textId="1A12A3B3"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ED0A99">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7" w:name="DOC_bkmClassification2"/>
      <w:tc>
        <w:tcPr>
          <w:tcW w:w="5670" w:type="dxa"/>
          <w:tcMar>
            <w:right w:w="249" w:type="dxa"/>
          </w:tcMar>
        </w:tcPr>
        <w:p w14:paraId="433FE0D6"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7"/>
        <w:p w14:paraId="433FE0D7"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8" w:name="DOC_bkmFileName"/>
  <w:p w14:paraId="433FE0D9"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525C2" w14:textId="77777777" w:rsidR="00C50A3D" w:rsidRDefault="00C50A3D">
      <w:r>
        <w:t>___________________________________________________________________________</w:t>
      </w:r>
    </w:p>
  </w:footnote>
  <w:footnote w:type="continuationSeparator" w:id="0">
    <w:p w14:paraId="0A67DC4B" w14:textId="77777777" w:rsidR="00C50A3D" w:rsidRDefault="00C50A3D">
      <w:r>
        <w:t>___________________________________________________________________________</w:t>
      </w:r>
    </w:p>
  </w:footnote>
  <w:footnote w:type="continuationNotice" w:id="1">
    <w:p w14:paraId="7D97D532" w14:textId="77777777" w:rsidR="00C50A3D" w:rsidRDefault="00C50A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0" w14:textId="2C4C1D3D" w:rsidR="00CF7AF3" w:rsidRDefault="00CF7AF3" w:rsidP="00CF7AF3">
    <w:pPr>
      <w:pStyle w:val="Runninghead"/>
    </w:pPr>
    <w:r>
      <w:tab/>
    </w:r>
    <w:r w:rsidR="002C29DB">
      <w:t xml:space="preserve">FR21: </w:t>
    </w:r>
    <w:r>
      <w:t>IAEA-CN-</w:t>
    </w:r>
    <w:r w:rsidR="002C29DB">
      <w:t>291</w:t>
    </w:r>
    <w:r>
      <w:t>/</w:t>
    </w:r>
    <w:r w:rsidR="00AE738F" w:rsidRPr="00AE738F">
      <w:t>67</w:t>
    </w:r>
  </w:p>
  <w:p w14:paraId="433FE0C2" w14:textId="77777777"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433FE0C3"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4" w14:textId="2FD75168" w:rsidR="00E20E70" w:rsidRDefault="002E407B" w:rsidP="00B82FA5">
    <w:pPr>
      <w:pStyle w:val="Runninghead"/>
    </w:pPr>
    <w:r>
      <w:t>Jia Xiaoqian</w:t>
    </w:r>
    <w:r w:rsidR="00DB0949">
      <w:t xml:space="preserve"> and Zheng </w:t>
    </w:r>
    <w:proofErr w:type="spellStart"/>
    <w:r w:rsidR="00DB0949">
      <w:t>Youqi</w:t>
    </w:r>
    <w:proofErr w:type="spellEnd"/>
    <w:r w:rsidR="00DB0949">
      <w:t xml:space="preserve"> et al.</w:t>
    </w:r>
  </w:p>
  <w:p w14:paraId="433FE0C5" w14:textId="725AD14E" w:rsidR="00037321" w:rsidRPr="009E1558" w:rsidRDefault="00037321" w:rsidP="00037321">
    <w:pPr>
      <w:jc w:val="center"/>
      <w:rPr>
        <w:color w:val="BFBFBF" w:themeColor="background1" w:themeShade="BF"/>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6" w:name="DOC_bkmClassification1"/>
      <w:tc>
        <w:tcPr>
          <w:tcW w:w="5702" w:type="dxa"/>
          <w:vMerge w:val="restart"/>
          <w:tcMar>
            <w:right w:w="193" w:type="dxa"/>
          </w:tcMar>
        </w:tcPr>
        <w:p w14:paraId="433FE0CC"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6"/>
        <w:p w14:paraId="433FE0CD" w14:textId="77777777"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9"/>
            <w:spacing w:before="0" w:after="10"/>
          </w:pPr>
        </w:p>
      </w:tc>
      <w:tc>
        <w:tcPr>
          <w:tcW w:w="5702" w:type="dxa"/>
          <w:vMerge/>
          <w:vAlign w:val="bottom"/>
        </w:tcPr>
        <w:p w14:paraId="433FE0D1" w14:textId="77777777" w:rsidR="00E20E70" w:rsidRDefault="00E20E70">
          <w:pPr>
            <w:pStyle w:val="9"/>
            <w:spacing w:before="0" w:after="10"/>
          </w:pPr>
        </w:p>
      </w:tc>
    </w:tr>
  </w:tbl>
  <w:p w14:paraId="433FE0D3"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none"/>
        <w:lvlRestart w:val="0"/>
        <w:pStyle w:va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suff w:val="space"/>
        <w:lvlText w:val="%1%2."/>
        <w:lvlJc w:val="left"/>
        <w:pPr>
          <w:ind w:left="0" w:firstLine="0"/>
        </w:pPr>
        <w:rPr>
          <w:rFonts w:hint="default"/>
          <w:color w:val="auto"/>
        </w:rPr>
      </w:lvl>
    </w:lvlOverride>
    <w:lvlOverride w:ilvl="2">
      <w:lvl w:ilvl="2">
        <w:start w:val="1"/>
        <w:numFmt w:val="decimal"/>
        <w:lvlRestart w:val="0"/>
        <w:pStyle w:val="3"/>
        <w:suff w:val="space"/>
        <w:lvlText w:val="%1%2.%3."/>
        <w:lvlJc w:val="left"/>
        <w:pPr>
          <w:ind w:left="0" w:firstLine="0"/>
        </w:pPr>
        <w:rPr>
          <w:rFonts w:hint="default"/>
        </w:rPr>
      </w:lvl>
    </w:lvlOverride>
    <w:lvlOverride w:ilvl="3">
      <w:lvl w:ilvl="3">
        <w:start w:val="1"/>
        <w:numFmt w:val="decimal"/>
        <w:lvlRestart w:val="0"/>
        <w:pStyle w:val="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14755"/>
    <w:rsid w:val="000229AB"/>
    <w:rsid w:val="0002569A"/>
    <w:rsid w:val="00025DDA"/>
    <w:rsid w:val="00037321"/>
    <w:rsid w:val="00061CF1"/>
    <w:rsid w:val="00093A64"/>
    <w:rsid w:val="000A0299"/>
    <w:rsid w:val="000A2990"/>
    <w:rsid w:val="000B6B6D"/>
    <w:rsid w:val="000C4332"/>
    <w:rsid w:val="000F7E94"/>
    <w:rsid w:val="001119D6"/>
    <w:rsid w:val="00126261"/>
    <w:rsid w:val="00127534"/>
    <w:rsid w:val="00130000"/>
    <w:rsid w:val="001308F2"/>
    <w:rsid w:val="001313E8"/>
    <w:rsid w:val="00183BC4"/>
    <w:rsid w:val="001C58F5"/>
    <w:rsid w:val="001D5CEE"/>
    <w:rsid w:val="001D64F9"/>
    <w:rsid w:val="001E0B9E"/>
    <w:rsid w:val="002004E0"/>
    <w:rsid w:val="002071D9"/>
    <w:rsid w:val="0023450F"/>
    <w:rsid w:val="00256822"/>
    <w:rsid w:val="0026525A"/>
    <w:rsid w:val="00274790"/>
    <w:rsid w:val="00285755"/>
    <w:rsid w:val="002A1F9C"/>
    <w:rsid w:val="002B29C2"/>
    <w:rsid w:val="002B29E9"/>
    <w:rsid w:val="002C29DB"/>
    <w:rsid w:val="002C4208"/>
    <w:rsid w:val="002E407B"/>
    <w:rsid w:val="003334AB"/>
    <w:rsid w:val="00352DE1"/>
    <w:rsid w:val="003728E6"/>
    <w:rsid w:val="003B5E0E"/>
    <w:rsid w:val="003B6152"/>
    <w:rsid w:val="003C4A36"/>
    <w:rsid w:val="003D12B2"/>
    <w:rsid w:val="003D255A"/>
    <w:rsid w:val="00416949"/>
    <w:rsid w:val="00423A8A"/>
    <w:rsid w:val="004370D8"/>
    <w:rsid w:val="00452B4A"/>
    <w:rsid w:val="00456409"/>
    <w:rsid w:val="00472C43"/>
    <w:rsid w:val="004B03EF"/>
    <w:rsid w:val="004C5B39"/>
    <w:rsid w:val="004D171D"/>
    <w:rsid w:val="00524588"/>
    <w:rsid w:val="00537496"/>
    <w:rsid w:val="00544ED3"/>
    <w:rsid w:val="00552117"/>
    <w:rsid w:val="0058477B"/>
    <w:rsid w:val="0058631A"/>
    <w:rsid w:val="0058654F"/>
    <w:rsid w:val="00596ACA"/>
    <w:rsid w:val="005C04C0"/>
    <w:rsid w:val="005D5041"/>
    <w:rsid w:val="005E39BC"/>
    <w:rsid w:val="005F00A0"/>
    <w:rsid w:val="00617BF9"/>
    <w:rsid w:val="00647F33"/>
    <w:rsid w:val="00662532"/>
    <w:rsid w:val="0066317D"/>
    <w:rsid w:val="006959B6"/>
    <w:rsid w:val="0069660A"/>
    <w:rsid w:val="006B2274"/>
    <w:rsid w:val="006B33E6"/>
    <w:rsid w:val="007018BC"/>
    <w:rsid w:val="00717C6F"/>
    <w:rsid w:val="00732CF3"/>
    <w:rsid w:val="0073316F"/>
    <w:rsid w:val="007445DA"/>
    <w:rsid w:val="007565B1"/>
    <w:rsid w:val="007569BC"/>
    <w:rsid w:val="007B4FD1"/>
    <w:rsid w:val="00802381"/>
    <w:rsid w:val="0083096A"/>
    <w:rsid w:val="00837733"/>
    <w:rsid w:val="0086759F"/>
    <w:rsid w:val="00871F40"/>
    <w:rsid w:val="00876825"/>
    <w:rsid w:val="00883848"/>
    <w:rsid w:val="008946E4"/>
    <w:rsid w:val="00895F40"/>
    <w:rsid w:val="00897ED5"/>
    <w:rsid w:val="008B6BB9"/>
    <w:rsid w:val="008C17BA"/>
    <w:rsid w:val="008D0570"/>
    <w:rsid w:val="008F5D99"/>
    <w:rsid w:val="009006EF"/>
    <w:rsid w:val="00911543"/>
    <w:rsid w:val="00913EE7"/>
    <w:rsid w:val="009519C9"/>
    <w:rsid w:val="009A6FF3"/>
    <w:rsid w:val="009B0B88"/>
    <w:rsid w:val="009C5B3B"/>
    <w:rsid w:val="009D0B86"/>
    <w:rsid w:val="009E0D5B"/>
    <w:rsid w:val="009E1558"/>
    <w:rsid w:val="00A233D1"/>
    <w:rsid w:val="00A417AD"/>
    <w:rsid w:val="00A42898"/>
    <w:rsid w:val="00A57919"/>
    <w:rsid w:val="00AB6ACE"/>
    <w:rsid w:val="00AC4A0D"/>
    <w:rsid w:val="00AC5A3A"/>
    <w:rsid w:val="00AE738F"/>
    <w:rsid w:val="00B36696"/>
    <w:rsid w:val="00B461DF"/>
    <w:rsid w:val="00B52E8E"/>
    <w:rsid w:val="00B604BE"/>
    <w:rsid w:val="00B82FA5"/>
    <w:rsid w:val="00BA139F"/>
    <w:rsid w:val="00BB418D"/>
    <w:rsid w:val="00BC098F"/>
    <w:rsid w:val="00BC2113"/>
    <w:rsid w:val="00BD1400"/>
    <w:rsid w:val="00BD605C"/>
    <w:rsid w:val="00BE2A76"/>
    <w:rsid w:val="00BF1901"/>
    <w:rsid w:val="00C23DAB"/>
    <w:rsid w:val="00C33EE9"/>
    <w:rsid w:val="00C34FA4"/>
    <w:rsid w:val="00C50A3D"/>
    <w:rsid w:val="00C55FA3"/>
    <w:rsid w:val="00C65E60"/>
    <w:rsid w:val="00CA0102"/>
    <w:rsid w:val="00CE5A52"/>
    <w:rsid w:val="00CF7AF3"/>
    <w:rsid w:val="00D26ADA"/>
    <w:rsid w:val="00D35A78"/>
    <w:rsid w:val="00D555A1"/>
    <w:rsid w:val="00D57FD2"/>
    <w:rsid w:val="00D64DC2"/>
    <w:rsid w:val="00DA46CA"/>
    <w:rsid w:val="00DB0949"/>
    <w:rsid w:val="00DF21EB"/>
    <w:rsid w:val="00E20E70"/>
    <w:rsid w:val="00E25B68"/>
    <w:rsid w:val="00E66F52"/>
    <w:rsid w:val="00E84003"/>
    <w:rsid w:val="00EC10FC"/>
    <w:rsid w:val="00ED0A99"/>
    <w:rsid w:val="00EE0041"/>
    <w:rsid w:val="00EE29B9"/>
    <w:rsid w:val="00F004EE"/>
    <w:rsid w:val="00F42E23"/>
    <w:rsid w:val="00F45EEE"/>
    <w:rsid w:val="00F462BC"/>
    <w:rsid w:val="00F51E9C"/>
    <w:rsid w:val="00F523CA"/>
    <w:rsid w:val="00F73892"/>
    <w:rsid w:val="00F74A9D"/>
    <w:rsid w:val="00FA028D"/>
    <w:rsid w:val="00FA137A"/>
    <w:rsid w:val="00FF386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a">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0"/>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2">
    <w:name w:val="heading 2"/>
    <w:aliases w:val="1st level paper heading"/>
    <w:next w:val="a1"/>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3">
    <w:name w:val="heading 3"/>
    <w:aliases w:val="2nd level paper heading"/>
    <w:next w:val="a1"/>
    <w:uiPriority w:val="4"/>
    <w:qFormat/>
    <w:rsid w:val="00897ED5"/>
    <w:pPr>
      <w:widowControl w:val="0"/>
      <w:numPr>
        <w:ilvl w:val="2"/>
        <w:numId w:val="12"/>
      </w:numPr>
      <w:spacing w:before="240" w:after="240" w:line="240" w:lineRule="exact"/>
      <w:outlineLvl w:val="2"/>
    </w:pPr>
    <w:rPr>
      <w:b/>
      <w:lang w:eastAsia="en-US"/>
    </w:rPr>
  </w:style>
  <w:style w:type="paragraph" w:styleId="4">
    <w:name w:val="heading 4"/>
    <w:aliases w:val="3rd level paper heading"/>
    <w:basedOn w:val="a"/>
    <w:next w:val="a1"/>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5">
    <w:name w:val="heading 5"/>
    <w:basedOn w:val="a"/>
    <w:next w:val="a"/>
    <w:uiPriority w:val="19"/>
    <w:locked/>
    <w:pPr>
      <w:overflowPunct/>
      <w:autoSpaceDE/>
      <w:autoSpaceDN/>
      <w:adjustRightInd/>
      <w:spacing w:before="240" w:after="60"/>
      <w:textAlignment w:val="auto"/>
      <w:outlineLvl w:val="4"/>
    </w:pPr>
    <w:rPr>
      <w:b/>
      <w:bCs/>
      <w:i/>
      <w:iCs/>
      <w:sz w:val="26"/>
      <w:szCs w:val="26"/>
      <w:lang w:val="en-US"/>
    </w:rPr>
  </w:style>
  <w:style w:type="paragraph" w:styleId="6">
    <w:name w:val="heading 6"/>
    <w:basedOn w:val="a"/>
    <w:next w:val="a"/>
    <w:uiPriority w:val="19"/>
    <w:locked/>
    <w:pPr>
      <w:overflowPunct/>
      <w:autoSpaceDE/>
      <w:autoSpaceDN/>
      <w:adjustRightInd/>
      <w:spacing w:before="240" w:after="60"/>
      <w:textAlignment w:val="auto"/>
      <w:outlineLvl w:val="5"/>
    </w:pPr>
    <w:rPr>
      <w:b/>
      <w:bCs/>
      <w:szCs w:val="22"/>
      <w:lang w:val="en-US"/>
    </w:rPr>
  </w:style>
  <w:style w:type="paragraph" w:styleId="7">
    <w:name w:val="heading 7"/>
    <w:basedOn w:val="a"/>
    <w:next w:val="a"/>
    <w:uiPriority w:val="19"/>
    <w:locked/>
    <w:pPr>
      <w:overflowPunct/>
      <w:autoSpaceDE/>
      <w:autoSpaceDN/>
      <w:adjustRightInd/>
      <w:spacing w:before="240" w:after="60"/>
      <w:textAlignment w:val="auto"/>
      <w:outlineLvl w:val="6"/>
    </w:pPr>
    <w:rPr>
      <w:szCs w:val="24"/>
      <w:lang w:val="en-US"/>
    </w:rPr>
  </w:style>
  <w:style w:type="paragraph" w:styleId="8">
    <w:name w:val="heading 8"/>
    <w:basedOn w:val="a"/>
    <w:next w:val="a"/>
    <w:uiPriority w:val="19"/>
    <w:locked/>
    <w:pPr>
      <w:overflowPunct/>
      <w:autoSpaceDE/>
      <w:autoSpaceDN/>
      <w:adjustRightInd/>
      <w:spacing w:before="240" w:after="60"/>
      <w:textAlignment w:val="auto"/>
      <w:outlineLvl w:val="7"/>
    </w:pPr>
    <w:rPr>
      <w:i/>
      <w:iCs/>
      <w:szCs w:val="24"/>
      <w:lang w:val="en-US"/>
    </w:rPr>
  </w:style>
  <w:style w:type="paragraph" w:styleId="9">
    <w:name w:val="heading 9"/>
    <w:basedOn w:val="a"/>
    <w:next w:val="a"/>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a5"/>
    <w:qFormat/>
    <w:rsid w:val="00647F33"/>
    <w:pPr>
      <w:spacing w:line="260" w:lineRule="atLeast"/>
      <w:ind w:firstLine="567"/>
      <w:contextualSpacing/>
      <w:jc w:val="both"/>
    </w:pPr>
    <w:rPr>
      <w:lang w:eastAsia="en-US"/>
    </w:rPr>
  </w:style>
  <w:style w:type="paragraph" w:styleId="a6">
    <w:name w:val="Body Text Indent"/>
    <w:basedOn w:val="a1"/>
    <w:link w:val="a7"/>
    <w:locked/>
    <w:pPr>
      <w:ind w:left="1134" w:hanging="675"/>
    </w:pPr>
  </w:style>
  <w:style w:type="paragraph" w:customStyle="1" w:styleId="BodyTextMultiline">
    <w:name w:val="Body Text Multiline"/>
    <w:basedOn w:val="a1"/>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a8">
    <w:name w:val="caption"/>
    <w:next w:val="a"/>
    <w:uiPriority w:val="49"/>
    <w:pPr>
      <w:spacing w:after="85"/>
    </w:pPr>
    <w:rPr>
      <w:bCs/>
      <w:sz w:val="18"/>
      <w:lang w:val="en-US" w:eastAsia="en-US"/>
    </w:rPr>
  </w:style>
  <w:style w:type="paragraph" w:styleId="a9">
    <w:name w:val="footer"/>
    <w:basedOn w:val="a"/>
    <w:link w:val="aa"/>
    <w:uiPriority w:val="99"/>
    <w:locked/>
    <w:pPr>
      <w:overflowPunct/>
      <w:autoSpaceDE/>
      <w:autoSpaceDN/>
      <w:adjustRightInd/>
      <w:textAlignment w:val="auto"/>
    </w:pPr>
    <w:rPr>
      <w:sz w:val="2"/>
      <w:lang w:val="en-US"/>
    </w:rPr>
  </w:style>
  <w:style w:type="paragraph" w:styleId="ab">
    <w:name w:val="footnote text"/>
    <w:semiHidden/>
    <w:locked/>
    <w:pPr>
      <w:tabs>
        <w:tab w:val="left" w:pos="459"/>
      </w:tabs>
      <w:spacing w:before="142"/>
      <w:ind w:left="459"/>
      <w:jc w:val="both"/>
    </w:pPr>
    <w:rPr>
      <w:sz w:val="18"/>
      <w:lang w:eastAsia="en-US"/>
    </w:rPr>
  </w:style>
  <w:style w:type="paragraph" w:styleId="ac">
    <w:name w:val="header"/>
    <w:next w:val="a1"/>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20"/>
      </w:numPr>
      <w:ind w:left="709"/>
    </w:pPr>
  </w:style>
  <w:style w:type="paragraph" w:customStyle="1" w:styleId="ListNumbered">
    <w:name w:val="List Numbered"/>
    <w:basedOn w:val="a1"/>
    <w:uiPriority w:val="5"/>
    <w:qFormat/>
    <w:locked/>
    <w:rsid w:val="00717C6F"/>
    <w:pPr>
      <w:numPr>
        <w:numId w:val="22"/>
      </w:numPr>
    </w:pPr>
  </w:style>
  <w:style w:type="paragraph" w:styleId="ad">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a"/>
    <w:uiPriority w:val="49"/>
    <w:locked/>
    <w:pPr>
      <w:keepNext/>
      <w:spacing w:after="10"/>
    </w:pPr>
    <w:rPr>
      <w:rFonts w:ascii="Arial" w:hAnsi="Arial"/>
      <w:b/>
      <w:sz w:val="13"/>
    </w:rPr>
  </w:style>
  <w:style w:type="paragraph" w:customStyle="1" w:styleId="zyxP1Footer">
    <w:name w:val="zyxP1_Footer"/>
    <w:basedOn w:val="a"/>
    <w:uiPriority w:val="49"/>
    <w:locked/>
    <w:pPr>
      <w:widowControl w:val="0"/>
      <w:spacing w:line="160" w:lineRule="exact"/>
      <w:ind w:left="108"/>
    </w:pPr>
    <w:rPr>
      <w:sz w:val="14"/>
    </w:rPr>
  </w:style>
  <w:style w:type="paragraph" w:customStyle="1" w:styleId="zyxSensitivity">
    <w:name w:val="zyxSensitivity"/>
    <w:basedOn w:val="a"/>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pPr>
      <w:keepNext/>
      <w:spacing w:line="420" w:lineRule="exact"/>
    </w:pPr>
    <w:rPr>
      <w:rFonts w:ascii="Arial" w:hAnsi="Arial"/>
      <w:sz w:val="40"/>
    </w:rPr>
  </w:style>
  <w:style w:type="character" w:styleId="ae">
    <w:name w:val="footnote reference"/>
    <w:basedOn w:val="a2"/>
    <w:semiHidden/>
    <w:locked/>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pPr>
      <w:spacing w:line="280" w:lineRule="exact"/>
      <w:jc w:val="right"/>
    </w:pPr>
    <w:rPr>
      <w:rFonts w:ascii="Arial" w:hAnsi="Arial" w:cs="Arial"/>
      <w:b/>
      <w:bCs/>
      <w:caps/>
      <w:sz w:val="24"/>
    </w:rPr>
  </w:style>
  <w:style w:type="paragraph" w:customStyle="1" w:styleId="zyxClassification2">
    <w:name w:val="zyxClassification2"/>
    <w:basedOn w:val="a9"/>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aa">
    <w:name w:val="页脚 字符"/>
    <w:basedOn w:val="a2"/>
    <w:link w:val="a9"/>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5">
    <w:name w:val="正文文本 字符"/>
    <w:basedOn w:val="a2"/>
    <w:link w:val="a1"/>
    <w:rsid w:val="00647F33"/>
    <w:rPr>
      <w:lang w:eastAsia="en-US"/>
    </w:rPr>
  </w:style>
  <w:style w:type="character" w:customStyle="1" w:styleId="AuthornameandaffiliationChar">
    <w:name w:val="Author name and affiliation Char"/>
    <w:basedOn w:val="a5"/>
    <w:link w:val="Authornameandaffiliation"/>
    <w:uiPriority w:val="49"/>
    <w:rsid w:val="00647F33"/>
    <w:rPr>
      <w:lang w:val="en-US" w:eastAsia="en-US"/>
    </w:rPr>
  </w:style>
  <w:style w:type="table" w:styleId="af">
    <w:name w:val="Table Grid"/>
    <w:basedOn w:val="a3"/>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0">
    <w:name w:val="Balloon Text"/>
    <w:basedOn w:val="a"/>
    <w:link w:val="af1"/>
    <w:uiPriority w:val="49"/>
    <w:locked/>
    <w:rsid w:val="005F00A0"/>
    <w:rPr>
      <w:rFonts w:ascii="Tahoma" w:hAnsi="Tahoma" w:cs="Tahoma"/>
      <w:sz w:val="16"/>
      <w:szCs w:val="16"/>
    </w:rPr>
  </w:style>
  <w:style w:type="character" w:customStyle="1" w:styleId="af1">
    <w:name w:val="批注框文本 字符"/>
    <w:basedOn w:val="a2"/>
    <w:link w:val="af0"/>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5"/>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a5"/>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5"/>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a5"/>
    <w:link w:val="Tabletext"/>
    <w:uiPriority w:val="49"/>
    <w:rsid w:val="00883848"/>
    <w:rPr>
      <w:lang w:eastAsia="en-US"/>
    </w:rPr>
  </w:style>
  <w:style w:type="paragraph" w:styleId="af2">
    <w:name w:val="Normal (Web)"/>
    <w:basedOn w:val="a"/>
    <w:uiPriority w:val="49"/>
    <w:semiHidden/>
    <w:unhideWhenUsed/>
    <w:locked/>
    <w:rsid w:val="002C29DB"/>
    <w:rPr>
      <w:sz w:val="24"/>
      <w:szCs w:val="24"/>
    </w:rPr>
  </w:style>
  <w:style w:type="paragraph" w:customStyle="1" w:styleId="FIG-LONG">
    <w:name w:val="FIG-LONG"/>
    <w:basedOn w:val="a"/>
    <w:next w:val="a"/>
    <w:link w:val="FIG-LONGChar"/>
    <w:autoRedefine/>
    <w:qFormat/>
    <w:rsid w:val="002C29DB"/>
    <w:pPr>
      <w:tabs>
        <w:tab w:val="left" w:pos="709"/>
      </w:tabs>
      <w:overflowPunct/>
      <w:autoSpaceDE/>
      <w:autoSpaceDN/>
      <w:adjustRightInd/>
      <w:spacing w:after="120"/>
      <w:ind w:left="709" w:hanging="709"/>
      <w:textAlignment w:val="auto"/>
    </w:pPr>
    <w:rPr>
      <w:i/>
      <w:iCs/>
      <w:sz w:val="18"/>
      <w:szCs w:val="18"/>
    </w:rPr>
  </w:style>
  <w:style w:type="character" w:customStyle="1" w:styleId="FIG-LONGChar">
    <w:name w:val="FIG-LONG Char"/>
    <w:basedOn w:val="a2"/>
    <w:link w:val="FIG-LONG"/>
    <w:rsid w:val="002C29DB"/>
    <w:rPr>
      <w:rFonts w:eastAsiaTheme="minorEastAsia"/>
      <w:i/>
      <w:iCs/>
      <w:sz w:val="18"/>
      <w:szCs w:val="18"/>
      <w:lang w:eastAsia="en-US"/>
    </w:rPr>
  </w:style>
  <w:style w:type="table" w:customStyle="1" w:styleId="TableGrid1">
    <w:name w:val="Table Grid1"/>
    <w:basedOn w:val="a3"/>
    <w:next w:val="af"/>
    <w:uiPriority w:val="59"/>
    <w:rsid w:val="002C29DB"/>
    <w:rPr>
      <w:rFonts w:asciiTheme="minorHAnsi"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2"/>
    <w:uiPriority w:val="49"/>
    <w:semiHidden/>
    <w:unhideWhenUsed/>
    <w:locked/>
    <w:rsid w:val="00A233D1"/>
    <w:rPr>
      <w:sz w:val="16"/>
      <w:szCs w:val="16"/>
    </w:rPr>
  </w:style>
  <w:style w:type="paragraph" w:styleId="af4">
    <w:name w:val="annotation text"/>
    <w:basedOn w:val="a"/>
    <w:link w:val="af5"/>
    <w:uiPriority w:val="49"/>
    <w:semiHidden/>
    <w:unhideWhenUsed/>
    <w:locked/>
    <w:rsid w:val="00A233D1"/>
    <w:rPr>
      <w:sz w:val="20"/>
    </w:rPr>
  </w:style>
  <w:style w:type="character" w:customStyle="1" w:styleId="af5">
    <w:name w:val="批注文字 字符"/>
    <w:basedOn w:val="a2"/>
    <w:link w:val="af4"/>
    <w:uiPriority w:val="49"/>
    <w:semiHidden/>
    <w:rsid w:val="00A233D1"/>
    <w:rPr>
      <w:lang w:eastAsia="en-US"/>
    </w:rPr>
  </w:style>
  <w:style w:type="paragraph" w:styleId="af6">
    <w:name w:val="annotation subject"/>
    <w:basedOn w:val="af4"/>
    <w:next w:val="af4"/>
    <w:link w:val="af7"/>
    <w:uiPriority w:val="49"/>
    <w:semiHidden/>
    <w:unhideWhenUsed/>
    <w:locked/>
    <w:rsid w:val="00A233D1"/>
    <w:rPr>
      <w:b/>
      <w:bCs/>
    </w:rPr>
  </w:style>
  <w:style w:type="character" w:customStyle="1" w:styleId="af7">
    <w:name w:val="批注主题 字符"/>
    <w:basedOn w:val="af5"/>
    <w:link w:val="af6"/>
    <w:uiPriority w:val="49"/>
    <w:semiHidden/>
    <w:rsid w:val="00A233D1"/>
    <w:rPr>
      <w:b/>
      <w:bCs/>
      <w:lang w:eastAsia="en-US"/>
    </w:rPr>
  </w:style>
  <w:style w:type="table" w:styleId="10">
    <w:name w:val="Plain Table 1"/>
    <w:basedOn w:val="a3"/>
    <w:uiPriority w:val="41"/>
    <w:rsid w:val="00025DDA"/>
    <w:rPr>
      <w:lang w:val="en-US"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7">
    <w:name w:val="正文文本缩进 字符"/>
    <w:basedOn w:val="a2"/>
    <w:link w:val="a6"/>
    <w:rsid w:val="00025DDA"/>
    <w:rPr>
      <w:lang w:eastAsia="en-US"/>
    </w:rPr>
  </w:style>
  <w:style w:type="paragraph" w:styleId="af8">
    <w:name w:val="Revision"/>
    <w:hidden/>
    <w:uiPriority w:val="99"/>
    <w:semiHidden/>
    <w:rsid w:val="004B03EF"/>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D723C3E4-C9A3-44C5-9FAE-AA59DAAD37E3}">
  <ds:schemaRefs>
    <ds:schemaRef ds:uri="http://schemas.openxmlformats.org/officeDocument/2006/bibliography"/>
  </ds:schemaRefs>
</ds:datastoreItem>
</file>

<file path=customXml/itemProps4.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IAEA Blank (r01).dotx</Template>
  <TotalTime>2788</TotalTime>
  <Pages>9</Pages>
  <Words>3177</Words>
  <Characters>18109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jia xiaoqian</cp:lastModifiedBy>
  <cp:revision>82</cp:revision>
  <cp:lastPrinted>2015-12-01T10:27:00Z</cp:lastPrinted>
  <dcterms:created xsi:type="dcterms:W3CDTF">2020-12-14T08:57:00Z</dcterms:created>
  <dcterms:modified xsi:type="dcterms:W3CDTF">2022-03-29T10:40:00Z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