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E521" w14:textId="727B8FDC" w:rsidR="00B46293" w:rsidRDefault="00DA7DE8" w:rsidP="00057233">
      <w:pPr>
        <w:pStyle w:val="Titolo1"/>
      </w:pPr>
      <w:bookmarkStart w:id="0" w:name="_Hlk69130178"/>
      <w:r w:rsidRPr="00DA7DE8">
        <w:t>REALISATION OF AN ADJUSTED NUCLEAR DATA</w:t>
      </w:r>
    </w:p>
    <w:p w14:paraId="40C5ECC6" w14:textId="094AE6A2" w:rsidR="00B46293" w:rsidRDefault="00DA7DE8" w:rsidP="00DA7DE8">
      <w:pPr>
        <w:pStyle w:val="Titolo1"/>
      </w:pPr>
      <w:r w:rsidRPr="00DA7DE8">
        <w:t>LIBRARY BASED ON ENDF/B-VIII.0 NUCLEAR</w:t>
      </w:r>
    </w:p>
    <w:p w14:paraId="433FE03E" w14:textId="4C2EF6FC" w:rsidR="003B5E0E" w:rsidRPr="003B5E0E" w:rsidRDefault="00DA7DE8" w:rsidP="000B2710">
      <w:pPr>
        <w:pStyle w:val="Titolo1"/>
        <w:spacing w:after="100" w:afterAutospacing="1"/>
      </w:pPr>
      <w:r w:rsidRPr="00DA7DE8">
        <w:t>DATA EVALUATIONS FOR THE ALFRED CORE</w:t>
      </w:r>
    </w:p>
    <w:p w14:paraId="433FE03F" w14:textId="77777777" w:rsidR="00802381" w:rsidRDefault="00802381" w:rsidP="00537496">
      <w:pPr>
        <w:pStyle w:val="Authornameandaffiliation"/>
      </w:pPr>
    </w:p>
    <w:p w14:paraId="5A516024" w14:textId="089B9C38" w:rsidR="008546CF" w:rsidRPr="000B20DE" w:rsidRDefault="008546CF" w:rsidP="008546CF">
      <w:pPr>
        <w:pStyle w:val="Authornameandaffiliation"/>
        <w:rPr>
          <w:lang w:val="it-IT"/>
        </w:rPr>
      </w:pPr>
      <w:r w:rsidRPr="000B20DE">
        <w:rPr>
          <w:lang w:val="it-IT"/>
        </w:rPr>
        <w:t xml:space="preserve">D.M. CASTELLUCCIO, </w:t>
      </w:r>
      <w:r w:rsidR="009C09BD" w:rsidRPr="000B20DE">
        <w:rPr>
          <w:lang w:val="it-IT"/>
        </w:rPr>
        <w:t>F. LODI</w:t>
      </w:r>
      <w:r w:rsidR="009C09BD">
        <w:rPr>
          <w:lang w:val="it-IT"/>
        </w:rPr>
        <w:t>, G</w:t>
      </w:r>
      <w:r w:rsidR="00EA455B">
        <w:rPr>
          <w:lang w:val="it-IT"/>
        </w:rPr>
        <w:t>.</w:t>
      </w:r>
      <w:r w:rsidRPr="000B20DE">
        <w:rPr>
          <w:lang w:val="it-IT"/>
        </w:rPr>
        <w:t xml:space="preserve"> GRASSO, V. PELUSO, M. SAROTTO</w:t>
      </w:r>
    </w:p>
    <w:p w14:paraId="6029C60F" w14:textId="1C70B744" w:rsidR="00EA455B" w:rsidRDefault="008546CF" w:rsidP="008546CF">
      <w:pPr>
        <w:pStyle w:val="Authornameandaffiliation"/>
        <w:jc w:val="both"/>
      </w:pPr>
      <w:r w:rsidRPr="00EF0F50">
        <w:t xml:space="preserve">Italian National Agency for New Technologies, Energy and Sustainable Economic Development </w:t>
      </w:r>
      <w:r>
        <w:t>(E</w:t>
      </w:r>
      <w:r w:rsidRPr="006C6665">
        <w:t>NEA</w:t>
      </w:r>
      <w:r>
        <w:t>)</w:t>
      </w:r>
    </w:p>
    <w:p w14:paraId="42E01985" w14:textId="101A688E" w:rsidR="008546CF" w:rsidRPr="009270B1" w:rsidRDefault="008546CF" w:rsidP="008546CF">
      <w:pPr>
        <w:pStyle w:val="Authornameandaffiliation"/>
        <w:jc w:val="both"/>
        <w:rPr>
          <w:lang w:val="it-IT"/>
        </w:rPr>
      </w:pPr>
      <w:r w:rsidRPr="009270B1">
        <w:rPr>
          <w:lang w:val="it-IT"/>
        </w:rPr>
        <w:t xml:space="preserve">Bologna, </w:t>
      </w:r>
      <w:proofErr w:type="spellStart"/>
      <w:r w:rsidRPr="009270B1">
        <w:rPr>
          <w:lang w:val="it-IT"/>
        </w:rPr>
        <w:t>Italy</w:t>
      </w:r>
      <w:proofErr w:type="spellEnd"/>
    </w:p>
    <w:p w14:paraId="61A25E8E" w14:textId="2D320379" w:rsidR="008546CF" w:rsidRPr="009270B1" w:rsidRDefault="008546CF" w:rsidP="008546CF">
      <w:pPr>
        <w:pStyle w:val="Authornameandaffiliation"/>
        <w:ind w:left="0" w:firstLine="567"/>
        <w:rPr>
          <w:lang w:val="it-IT"/>
        </w:rPr>
      </w:pPr>
      <w:proofErr w:type="gramStart"/>
      <w:r w:rsidRPr="009270B1">
        <w:rPr>
          <w:lang w:val="it-IT"/>
        </w:rPr>
        <w:t>Email</w:t>
      </w:r>
      <w:proofErr w:type="gramEnd"/>
      <w:r w:rsidRPr="009270B1">
        <w:rPr>
          <w:lang w:val="it-IT"/>
        </w:rPr>
        <w:t xml:space="preserve">: </w:t>
      </w:r>
      <w:r w:rsidR="007E5BE8">
        <w:fldChar w:fldCharType="begin"/>
      </w:r>
      <w:r w:rsidR="007E5BE8" w:rsidRPr="00701918">
        <w:rPr>
          <w:lang w:val="it-IT"/>
        </w:rPr>
        <w:instrText xml:space="preserve"> HYPERLINK "mailto:giacomo.grasso@enea.it" </w:instrText>
      </w:r>
      <w:r w:rsidR="007E5BE8">
        <w:fldChar w:fldCharType="separate"/>
      </w:r>
      <w:r w:rsidRPr="009270B1">
        <w:rPr>
          <w:rStyle w:val="Collegamentoipertestuale"/>
          <w:lang w:val="it-IT"/>
        </w:rPr>
        <w:t>giacomo.grasso@enea.it</w:t>
      </w:r>
      <w:r w:rsidR="007E5BE8">
        <w:rPr>
          <w:rStyle w:val="Collegamentoipertestuale"/>
          <w:lang w:val="it-IT"/>
        </w:rPr>
        <w:fldChar w:fldCharType="end"/>
      </w:r>
    </w:p>
    <w:p w14:paraId="53C0D2B9" w14:textId="77777777" w:rsidR="008546CF" w:rsidRPr="009270B1" w:rsidRDefault="008546CF" w:rsidP="008546CF">
      <w:pPr>
        <w:pStyle w:val="Authornameandaffiliation"/>
        <w:ind w:left="0" w:firstLine="567"/>
        <w:rPr>
          <w:lang w:val="it-IT"/>
        </w:rPr>
      </w:pPr>
    </w:p>
    <w:p w14:paraId="433FE049" w14:textId="20E0C405" w:rsidR="00647F33" w:rsidRPr="00F26DC1" w:rsidRDefault="00647F33" w:rsidP="00537496">
      <w:pPr>
        <w:pStyle w:val="Authornameandaffiliation"/>
        <w:rPr>
          <w:b/>
          <w:lang w:val="it-IT"/>
        </w:rPr>
      </w:pPr>
      <w:r w:rsidRPr="00F26DC1">
        <w:rPr>
          <w:b/>
          <w:lang w:val="it-IT"/>
        </w:rPr>
        <w:t>Abstract</w:t>
      </w:r>
    </w:p>
    <w:bookmarkEnd w:id="0"/>
    <w:p w14:paraId="01680013" w14:textId="77777777" w:rsidR="00EA455B" w:rsidRPr="00F26DC1" w:rsidRDefault="00EA455B" w:rsidP="00EA455B">
      <w:pPr>
        <w:pStyle w:val="Authornameandaffiliation"/>
        <w:ind w:left="0" w:firstLine="567"/>
        <w:rPr>
          <w:lang w:val="it-IT"/>
        </w:rPr>
      </w:pPr>
    </w:p>
    <w:p w14:paraId="40FBE8E2" w14:textId="2C0B4170" w:rsidR="002536C2" w:rsidRDefault="002536C2" w:rsidP="00F46D95">
      <w:pPr>
        <w:pStyle w:val="Abstracttext"/>
        <w:jc w:val="both"/>
        <w:rPr>
          <w:lang w:val="en-GB"/>
        </w:rPr>
      </w:pPr>
      <w:r w:rsidRPr="002A6E5F">
        <w:rPr>
          <w:lang w:val="en-GB"/>
        </w:rPr>
        <w:t>During the last decades, the importance in quantifying nuclear uncertainties and the need for additional efforts to reduce them</w:t>
      </w:r>
      <w:r w:rsidR="00C4505F">
        <w:rPr>
          <w:lang w:val="en-GB"/>
        </w:rPr>
        <w:t xml:space="preserve"> was </w:t>
      </w:r>
      <w:r w:rsidR="00D0272F">
        <w:rPr>
          <w:lang w:val="en-GB"/>
        </w:rPr>
        <w:t>well established</w:t>
      </w:r>
      <w:r w:rsidRPr="002A6E5F">
        <w:rPr>
          <w:lang w:val="en-GB"/>
        </w:rPr>
        <w:t>.</w:t>
      </w:r>
      <w:r w:rsidR="00F46D95">
        <w:rPr>
          <w:lang w:val="en-GB"/>
        </w:rPr>
        <w:t xml:space="preserve"> </w:t>
      </w:r>
      <w:r w:rsidRPr="002A6E5F">
        <w:rPr>
          <w:lang w:val="en-GB"/>
        </w:rPr>
        <w:t>To accomplish this task, the heritage supplied by tens of systems which were built and operated in the past, provides a considerable database which can be leveraged to avoid performing new experiments through the nuclear data adjustment technique.</w:t>
      </w:r>
      <w:r w:rsidR="00F46D95">
        <w:rPr>
          <w:lang w:val="en-GB"/>
        </w:rPr>
        <w:t xml:space="preserve"> </w:t>
      </w:r>
      <w:r w:rsidR="0041217C" w:rsidRPr="005274E8">
        <w:rPr>
          <w:lang w:val="en-GB"/>
        </w:rPr>
        <w:t>In the European context, Italy holds a</w:t>
      </w:r>
      <w:r w:rsidR="005D35DC">
        <w:rPr>
          <w:lang w:val="en-GB"/>
        </w:rPr>
        <w:t xml:space="preserve"> key</w:t>
      </w:r>
      <w:r w:rsidR="002762BC" w:rsidRPr="005274E8">
        <w:rPr>
          <w:lang w:val="en-GB"/>
        </w:rPr>
        <w:t xml:space="preserve"> role </w:t>
      </w:r>
      <w:r w:rsidR="0041217C" w:rsidRPr="005274E8">
        <w:rPr>
          <w:lang w:val="en-GB"/>
        </w:rPr>
        <w:t>for what concerns LFR systems</w:t>
      </w:r>
      <w:proofErr w:type="gramStart"/>
      <w:r w:rsidR="00D60AA2">
        <w:rPr>
          <w:lang w:val="en-GB"/>
        </w:rPr>
        <w:t>,</w:t>
      </w:r>
      <w:r w:rsidR="002762BC" w:rsidRPr="005274E8">
        <w:rPr>
          <w:lang w:val="en-GB"/>
        </w:rPr>
        <w:t xml:space="preserve"> </w:t>
      </w:r>
      <w:r w:rsidR="00D60AA2">
        <w:rPr>
          <w:lang w:val="en-GB"/>
        </w:rPr>
        <w:t>i</w:t>
      </w:r>
      <w:r w:rsidR="002762BC" w:rsidRPr="005274E8">
        <w:rPr>
          <w:lang w:val="en-GB"/>
        </w:rPr>
        <w:t xml:space="preserve">n particular, </w:t>
      </w:r>
      <w:r w:rsidRPr="002A6E5F">
        <w:rPr>
          <w:lang w:val="en-GB"/>
        </w:rPr>
        <w:t>ENEA</w:t>
      </w:r>
      <w:proofErr w:type="gramEnd"/>
      <w:r w:rsidRPr="002A6E5F">
        <w:rPr>
          <w:lang w:val="en-GB"/>
        </w:rPr>
        <w:t>, through the participation to the FALCON Consortium, is pursuing all activities required to support the construction of ALFRED – the European demonstrator of the LFR technology – in Romania, notably to what concerns the core design</w:t>
      </w:r>
      <w:r w:rsidR="004F6A04">
        <w:rPr>
          <w:lang w:val="en-GB"/>
        </w:rPr>
        <w:t xml:space="preserve">. </w:t>
      </w:r>
      <w:r w:rsidRPr="002A6E5F">
        <w:rPr>
          <w:lang w:val="en-GB"/>
        </w:rPr>
        <w:t xml:space="preserve">In this context, </w:t>
      </w:r>
      <w:proofErr w:type="gramStart"/>
      <w:r w:rsidRPr="002A6E5F">
        <w:rPr>
          <w:lang w:val="en-GB"/>
        </w:rPr>
        <w:t>in order to</w:t>
      </w:r>
      <w:proofErr w:type="gramEnd"/>
      <w:r w:rsidRPr="002A6E5F">
        <w:rPr>
          <w:lang w:val="en-GB"/>
        </w:rPr>
        <w:t xml:space="preserve"> refine target accuracies for complying with the ambitious safety goals and/or setting new optimized safety margins for the ALFRED reactor, an extended version of the old, proprietary AMARA code, which was </w:t>
      </w:r>
      <w:r w:rsidR="009270B1">
        <w:rPr>
          <w:lang w:val="en-GB"/>
        </w:rPr>
        <w:t xml:space="preserve">devised </w:t>
      </w:r>
      <w:r w:rsidRPr="002A6E5F">
        <w:rPr>
          <w:lang w:val="en-GB"/>
        </w:rPr>
        <w:t>for adjustment purposes, has been developed.</w:t>
      </w:r>
      <w:r w:rsidR="00F46D95">
        <w:rPr>
          <w:lang w:val="en-GB"/>
        </w:rPr>
        <w:t xml:space="preserve"> </w:t>
      </w:r>
      <w:r w:rsidRPr="002A6E5F">
        <w:rPr>
          <w:lang w:val="en-GB"/>
        </w:rPr>
        <w:t xml:space="preserve">This new version, named AMARA+, uses covariances opportunely generated from the most updated nuclear data evaluations, and extends the capabilities of the old code by flexibly allowing any user-defined selection of integral experiments conducted on systems/facilities representative of the system of interest. Furthermore, a </w:t>
      </w:r>
      <w:r w:rsidR="00B250C3">
        <w:rPr>
          <w:lang w:val="en-GB"/>
        </w:rPr>
        <w:t>C</w:t>
      </w:r>
      <w:r w:rsidRPr="002A6E5F">
        <w:rPr>
          <w:lang w:val="en-GB"/>
        </w:rPr>
        <w:t>hi squared-type test has been added for better substantiating the statistical soundness of the procedure.</w:t>
      </w:r>
      <w:r w:rsidR="00F46D95">
        <w:rPr>
          <w:lang w:val="en-GB"/>
        </w:rPr>
        <w:t xml:space="preserve"> </w:t>
      </w:r>
      <w:r w:rsidRPr="002A6E5F">
        <w:rPr>
          <w:lang w:val="en-GB"/>
        </w:rPr>
        <w:t xml:space="preserve">In the present case, the reference nuclear data are taken from the ENDF/B-VIII.0 library, while </w:t>
      </w:r>
      <w:proofErr w:type="gramStart"/>
      <w:r w:rsidRPr="002A6E5F">
        <w:rPr>
          <w:lang w:val="en-GB"/>
        </w:rPr>
        <w:t>a number of</w:t>
      </w:r>
      <w:proofErr w:type="gramEnd"/>
      <w:r w:rsidRPr="002A6E5F">
        <w:rPr>
          <w:lang w:val="en-GB"/>
        </w:rPr>
        <w:t xml:space="preserve"> integral experiments, taken from the OECD/NEA’s IRPhE database, were used for performing a preliminary adjustment for the ALFRED reactor.</w:t>
      </w:r>
      <w:r w:rsidR="00F46D95">
        <w:rPr>
          <w:lang w:val="en-GB"/>
        </w:rPr>
        <w:t xml:space="preserve"> </w:t>
      </w:r>
      <w:r w:rsidRPr="002A6E5F">
        <w:rPr>
          <w:lang w:val="en-GB"/>
        </w:rPr>
        <w:t xml:space="preserve">A comprehensive description of AMARA+ is presented in this work, stressing the aspects related to the </w:t>
      </w:r>
      <w:r w:rsidR="009270B1">
        <w:rPr>
          <w:lang w:val="en-GB"/>
        </w:rPr>
        <w:t xml:space="preserve">adjustment </w:t>
      </w:r>
      <w:r w:rsidRPr="002A6E5F">
        <w:rPr>
          <w:lang w:val="en-GB"/>
        </w:rPr>
        <w:t>algorithm, together with the preliminary results obtained using the restricted set of integral experiment</w:t>
      </w:r>
      <w:r w:rsidR="009270B1">
        <w:rPr>
          <w:lang w:val="en-GB"/>
        </w:rPr>
        <w:t>s chosen</w:t>
      </w:r>
      <w:r w:rsidRPr="002A6E5F">
        <w:rPr>
          <w:lang w:val="en-GB"/>
        </w:rPr>
        <w:t>.</w:t>
      </w:r>
    </w:p>
    <w:p w14:paraId="433FE04C" w14:textId="77777777" w:rsidR="00647F33" w:rsidRDefault="00F523CA" w:rsidP="00537496">
      <w:pPr>
        <w:pStyle w:val="Titolo2"/>
        <w:numPr>
          <w:ilvl w:val="1"/>
          <w:numId w:val="10"/>
        </w:numPr>
      </w:pPr>
      <w:r>
        <w:t>INTRODUCTION</w:t>
      </w:r>
    </w:p>
    <w:p w14:paraId="794A4EDA" w14:textId="556E29C0" w:rsidR="00495FB1" w:rsidRDefault="000951CF" w:rsidP="008659DF">
      <w:pPr>
        <w:pStyle w:val="Corpotesto"/>
      </w:pPr>
      <w:r>
        <w:t xml:space="preserve">When looking </w:t>
      </w:r>
      <w:r w:rsidR="000278E8">
        <w:t>at</w:t>
      </w:r>
      <w:r>
        <w:t xml:space="preserve"> integral core parameters, resulting from neutronic calculations, thanks to the l</w:t>
      </w:r>
      <w:r w:rsidR="00D33242">
        <w:t>atest i</w:t>
      </w:r>
      <w:r w:rsidR="0019317E">
        <w:t>mprovement</w:t>
      </w:r>
      <w:r w:rsidR="00D33242">
        <w:t xml:space="preserve">s in the analytical tools, </w:t>
      </w:r>
      <w:r>
        <w:t>it appears</w:t>
      </w:r>
      <w:r w:rsidR="00D33242" w:rsidRPr="00B94D15">
        <w:t xml:space="preserve"> that nuclear data</w:t>
      </w:r>
      <w:r>
        <w:t xml:space="preserve"> are the main source of uncertainty</w:t>
      </w:r>
      <w:r w:rsidR="00D33242">
        <w:t xml:space="preserve">, </w:t>
      </w:r>
      <w:r>
        <w:t xml:space="preserve">and </w:t>
      </w:r>
      <w:r w:rsidR="007E472E">
        <w:t xml:space="preserve">their refinement </w:t>
      </w:r>
      <w:r>
        <w:t xml:space="preserve">should therefore be the </w:t>
      </w:r>
      <w:r w:rsidR="004640C7">
        <w:t>target</w:t>
      </w:r>
      <w:r>
        <w:t xml:space="preserve"> of priority action</w:t>
      </w:r>
      <w:r w:rsidR="007E472E">
        <w:t>s</w:t>
      </w:r>
      <w:r w:rsidR="00D33242">
        <w:t>.</w:t>
      </w:r>
      <w:r w:rsidR="00E0650E">
        <w:t xml:space="preserve"> </w:t>
      </w:r>
      <w:r w:rsidR="00DF2DBD">
        <w:t>The typical approach</w:t>
      </w:r>
      <w:r w:rsidR="004640C7">
        <w:t xml:space="preserve"> </w:t>
      </w:r>
      <w:r w:rsidR="003E03BD">
        <w:t>require</w:t>
      </w:r>
      <w:r w:rsidR="00FE64B8">
        <w:t>s</w:t>
      </w:r>
      <w:r w:rsidR="003E03BD">
        <w:t xml:space="preserve"> </w:t>
      </w:r>
      <w:r w:rsidR="004640C7">
        <w:t>performing new differential</w:t>
      </w:r>
      <w:r w:rsidR="004640C7" w:rsidDel="00FE64B8">
        <w:t xml:space="preserve"> </w:t>
      </w:r>
      <w:r w:rsidR="004640C7">
        <w:t xml:space="preserve">measurements that extend the database used in evaluating cross-sections individually, however, </w:t>
      </w:r>
      <w:r w:rsidR="00FE64B8">
        <w:t xml:space="preserve">a </w:t>
      </w:r>
      <w:r w:rsidR="006842D8">
        <w:t>complementary</w:t>
      </w:r>
      <w:r w:rsidR="00FE64B8">
        <w:t xml:space="preserve"> one, </w:t>
      </w:r>
      <w:r w:rsidR="000641FF">
        <w:t>for which</w:t>
      </w:r>
      <w:r w:rsidR="006842D8">
        <w:t xml:space="preserve"> </w:t>
      </w:r>
      <w:r w:rsidR="004640C7">
        <w:t>the possibility of performing an adjustment on the data library in use by leveraging</w:t>
      </w:r>
      <w:r w:rsidR="007E472E">
        <w:t xml:space="preserve"> on</w:t>
      </w:r>
      <w:r w:rsidR="004640C7">
        <w:t xml:space="preserve"> t</w:t>
      </w:r>
      <w:r w:rsidR="00B94D15" w:rsidRPr="00B94D15">
        <w:t>he</w:t>
      </w:r>
      <w:r w:rsidR="00B94D15">
        <w:t xml:space="preserve"> </w:t>
      </w:r>
      <w:r w:rsidR="00B94D15" w:rsidRPr="00B94D15">
        <w:t xml:space="preserve">heritage provided by </w:t>
      </w:r>
      <w:r w:rsidR="00E0650E" w:rsidRPr="00B94D15">
        <w:t xml:space="preserve">hundreds of systems </w:t>
      </w:r>
      <w:r w:rsidR="00E0650E">
        <w:t xml:space="preserve">which </w:t>
      </w:r>
      <w:r w:rsidR="00E0650E" w:rsidRPr="00B94D15">
        <w:t>were built and operated in the past</w:t>
      </w:r>
      <w:r w:rsidR="00995276">
        <w:t xml:space="preserve"> </w:t>
      </w:r>
      <w:r w:rsidR="00A365A0">
        <w:t xml:space="preserve">was </w:t>
      </w:r>
      <w:r w:rsidR="00661B45">
        <w:t>also considered</w:t>
      </w:r>
      <w:r w:rsidR="00A365A0">
        <w:t xml:space="preserve">. </w:t>
      </w:r>
      <w:r w:rsidR="00661B45">
        <w:t>For the latter, i</w:t>
      </w:r>
      <w:r w:rsidR="004640C7">
        <w:t xml:space="preserve">ntegral measurements </w:t>
      </w:r>
      <w:r w:rsidR="00E0650E">
        <w:t xml:space="preserve">provide </w:t>
      </w:r>
      <w:r w:rsidR="00B94D15" w:rsidRPr="00B94D15">
        <w:t>a</w:t>
      </w:r>
      <w:r w:rsidR="004640C7">
        <w:t>n invaluable</w:t>
      </w:r>
      <w:r w:rsidR="00B94D15" w:rsidRPr="00B94D15">
        <w:t xml:space="preserve"> </w:t>
      </w:r>
      <w:r w:rsidR="004640C7">
        <w:t>database</w:t>
      </w:r>
      <w:r w:rsidR="00B94D15" w:rsidRPr="00B94D15">
        <w:t xml:space="preserve"> </w:t>
      </w:r>
      <w:r w:rsidR="00E0650E">
        <w:t>for achieving th</w:t>
      </w:r>
      <w:r w:rsidR="00CE1604">
        <w:t>e uncertainties’ reduction</w:t>
      </w:r>
      <w:r w:rsidR="008C45E7">
        <w:t xml:space="preserve"> </w:t>
      </w:r>
      <w:r w:rsidR="00B94D15" w:rsidRPr="00B94D15">
        <w:t xml:space="preserve">through the </w:t>
      </w:r>
      <w:r w:rsidR="00E0650E">
        <w:t xml:space="preserve">so-called </w:t>
      </w:r>
      <w:r w:rsidR="00B94D15" w:rsidRPr="00B94D15">
        <w:t>nuclear data adjustment</w:t>
      </w:r>
      <w:r w:rsidR="00B94D15">
        <w:t xml:space="preserve"> </w:t>
      </w:r>
      <w:r w:rsidR="00E0650E">
        <w:t>methodology</w:t>
      </w:r>
      <w:r w:rsidR="00B94D15" w:rsidRPr="00B94D15">
        <w:t xml:space="preserve">, </w:t>
      </w:r>
      <w:r w:rsidR="00CE1604">
        <w:t xml:space="preserve">which was already </w:t>
      </w:r>
      <w:r w:rsidR="00B94D15" w:rsidRPr="00B94D15">
        <w:t xml:space="preserve">proposed in the past and already </w:t>
      </w:r>
      <w:r w:rsidR="00E0650E">
        <w:t xml:space="preserve">successfully </w:t>
      </w:r>
      <w:r w:rsidR="00B94D15" w:rsidRPr="00B94D15">
        <w:t>applied in fast reactor research</w:t>
      </w:r>
      <w:r w:rsidR="00135606">
        <w:t xml:space="preserve"> </w:t>
      </w:r>
      <w:r w:rsidR="00B94D15" w:rsidRPr="00B94D15">
        <w:t>[</w:t>
      </w:r>
      <w:r w:rsidR="00BC7F7B">
        <w:t>1</w:t>
      </w:r>
      <w:r w:rsidR="00B94D15" w:rsidRPr="00B94D15">
        <w:t>]</w:t>
      </w:r>
      <w:r w:rsidR="00E0650E">
        <w:t xml:space="preserve">. In this way, </w:t>
      </w:r>
      <w:r w:rsidR="00DC7B56" w:rsidRPr="00DC7B56">
        <w:t xml:space="preserve">experiments </w:t>
      </w:r>
      <w:r w:rsidR="00F96468" w:rsidRPr="00DC7B56">
        <w:t>performed on facilities</w:t>
      </w:r>
      <w:r w:rsidR="00F96468">
        <w:t xml:space="preserve"> </w:t>
      </w:r>
      <w:r w:rsidR="0018021C">
        <w:t xml:space="preserve">which can be considered as </w:t>
      </w:r>
      <w:r w:rsidR="00F96468" w:rsidRPr="00DC7B56">
        <w:t xml:space="preserve">representative of </w:t>
      </w:r>
      <w:r w:rsidR="00D90637">
        <w:t xml:space="preserve">a </w:t>
      </w:r>
      <w:r w:rsidR="004640C7">
        <w:t>target</w:t>
      </w:r>
      <w:r w:rsidR="00F96468" w:rsidRPr="00DC7B56">
        <w:t xml:space="preserve"> reactor</w:t>
      </w:r>
      <w:r w:rsidR="0018021C">
        <w:t>,</w:t>
      </w:r>
      <w:r w:rsidR="00F96468">
        <w:t xml:space="preserve"> </w:t>
      </w:r>
      <w:r w:rsidR="00D90637">
        <w:t>can be</w:t>
      </w:r>
      <w:r w:rsidR="00DC7B56" w:rsidRPr="00DC7B56">
        <w:t xml:space="preserve"> used for obtaining, starting from evaluated nuclear data</w:t>
      </w:r>
      <w:r w:rsidR="00DC7B56">
        <w:t xml:space="preserve"> </w:t>
      </w:r>
      <w:r w:rsidR="0018021C">
        <w:t>files</w:t>
      </w:r>
      <w:r w:rsidR="00DC7B56" w:rsidRPr="00DC7B56">
        <w:t>, a</w:t>
      </w:r>
      <w:r w:rsidR="00F96468">
        <w:t>n adjusted</w:t>
      </w:r>
      <w:r w:rsidR="00DC7B56" w:rsidRPr="00DC7B56">
        <w:t xml:space="preserve"> </w:t>
      </w:r>
      <w:r w:rsidR="00F96468">
        <w:t>library</w:t>
      </w:r>
      <w:r w:rsidR="00927AD0">
        <w:t>, calibrated so that</w:t>
      </w:r>
      <w:r w:rsidR="00B94D15" w:rsidRPr="00B94D15">
        <w:t xml:space="preserve"> computations (C) </w:t>
      </w:r>
      <w:r w:rsidR="00927AD0">
        <w:t>vs.</w:t>
      </w:r>
      <w:r w:rsidR="00B94D15" w:rsidRPr="00B94D15">
        <w:t xml:space="preserve"> experiments (E) discrepancies can be </w:t>
      </w:r>
      <w:r w:rsidR="00DC7B56">
        <w:t xml:space="preserve">opportunely </w:t>
      </w:r>
      <w:r w:rsidR="00B94D15" w:rsidRPr="00B94D15">
        <w:t>reduced</w:t>
      </w:r>
      <w:r w:rsidR="00CF07D4">
        <w:t>.</w:t>
      </w:r>
    </w:p>
    <w:p w14:paraId="59942D7C" w14:textId="2458DA79" w:rsidR="00EA0A39" w:rsidRDefault="00CF07D4" w:rsidP="008659DF">
      <w:pPr>
        <w:pStyle w:val="Corpotesto"/>
      </w:pPr>
      <w:r>
        <w:t>In the paper, f</w:t>
      </w:r>
      <w:r w:rsidR="00B94D15" w:rsidRPr="00B94D15">
        <w:t>or what pertains the adjustment process, the reference</w:t>
      </w:r>
      <w:r w:rsidR="00B94D15">
        <w:t xml:space="preserve"> </w:t>
      </w:r>
      <w:r w:rsidR="00B94D15" w:rsidRPr="00B94D15">
        <w:t xml:space="preserve">application gravitates around the safety-relevant neutronic parameters of the ALFRED </w:t>
      </w:r>
      <w:r w:rsidR="0031511E">
        <w:t>demonstrat</w:t>
      </w:r>
      <w:r w:rsidR="00AA4793">
        <w:t>i</w:t>
      </w:r>
      <w:r w:rsidR="0031511E">
        <w:t>o</w:t>
      </w:r>
      <w:r w:rsidR="00AA4793">
        <w:t>n</w:t>
      </w:r>
      <w:r w:rsidR="0031511E">
        <w:t xml:space="preserve"> </w:t>
      </w:r>
      <w:r w:rsidR="00B94D15" w:rsidRPr="00B94D15">
        <w:t>reactor</w:t>
      </w:r>
      <w:r w:rsidR="00560021">
        <w:t xml:space="preserve"> [</w:t>
      </w:r>
      <w:r w:rsidR="004D6CE2">
        <w:t>2</w:t>
      </w:r>
      <w:r w:rsidR="00560021">
        <w:t>]</w:t>
      </w:r>
      <w:r w:rsidR="00AA4793">
        <w:t>,</w:t>
      </w:r>
      <w:r w:rsidR="00BC28E0">
        <w:t xml:space="preserve"> </w:t>
      </w:r>
      <w:r w:rsidR="00AE5F50">
        <w:t xml:space="preserve">whose </w:t>
      </w:r>
      <w:r w:rsidR="00BC28E0">
        <w:t>project</w:t>
      </w:r>
      <w:r w:rsidR="00AE5F50">
        <w:t xml:space="preserve"> is </w:t>
      </w:r>
      <w:r w:rsidR="00BC28E0">
        <w:t>currently</w:t>
      </w:r>
      <w:r w:rsidR="00AE5F50">
        <w:t xml:space="preserve"> </w:t>
      </w:r>
      <w:r w:rsidR="00BC28E0">
        <w:t xml:space="preserve">being </w:t>
      </w:r>
      <w:r w:rsidR="00AE5F50">
        <w:t xml:space="preserve">carried on </w:t>
      </w:r>
      <w:r w:rsidR="00BC28E0">
        <w:t>by the F</w:t>
      </w:r>
      <w:r w:rsidR="00642FF1">
        <w:t xml:space="preserve">ostering </w:t>
      </w:r>
      <w:r w:rsidR="00BC28E0">
        <w:t>AL</w:t>
      </w:r>
      <w:r w:rsidR="00642FF1">
        <w:t xml:space="preserve">FRED </w:t>
      </w:r>
      <w:r w:rsidR="00BC28E0">
        <w:t>C</w:t>
      </w:r>
      <w:r w:rsidR="00FF3C6A">
        <w:t>on</w:t>
      </w:r>
      <w:r w:rsidR="00642FF1">
        <w:t xml:space="preserve">struction </w:t>
      </w:r>
      <w:r w:rsidR="00927AD0">
        <w:t xml:space="preserve">(FALCON) </w:t>
      </w:r>
      <w:r w:rsidR="00642FF1">
        <w:t>international consortium</w:t>
      </w:r>
      <w:r w:rsidR="00BC28E0">
        <w:t xml:space="preserve"> [3]</w:t>
      </w:r>
      <w:r w:rsidR="00927AD0">
        <w:t>.</w:t>
      </w:r>
      <w:r w:rsidR="00BC28E0">
        <w:t xml:space="preserve"> </w:t>
      </w:r>
      <w:r w:rsidR="00927AD0">
        <w:t>F</w:t>
      </w:r>
      <w:r w:rsidR="00251E10">
        <w:t xml:space="preserve">or </w:t>
      </w:r>
      <w:r w:rsidR="00927AD0">
        <w:t>the ALFRED core,</w:t>
      </w:r>
      <w:r w:rsidR="00251E10">
        <w:t xml:space="preserve"> analyses were carried out by </w:t>
      </w:r>
      <w:r w:rsidR="00B94D15" w:rsidRPr="00B94D15">
        <w:t xml:space="preserve">the deterministic </w:t>
      </w:r>
      <w:r w:rsidRPr="000B20DE">
        <w:t>European Reactor A</w:t>
      </w:r>
      <w:r w:rsidR="00FF3C6A">
        <w:t>n</w:t>
      </w:r>
      <w:r w:rsidRPr="000B20DE">
        <w:t xml:space="preserve">alysis </w:t>
      </w:r>
      <w:r w:rsidR="00D90637">
        <w:t>O</w:t>
      </w:r>
      <w:r w:rsidRPr="000B20DE">
        <w:t xml:space="preserve">ptimized System </w:t>
      </w:r>
      <w:r>
        <w:t xml:space="preserve">code </w:t>
      </w:r>
      <w:r w:rsidRPr="000B20DE">
        <w:t>(ERANOS)</w:t>
      </w:r>
      <w:r>
        <w:t xml:space="preserve"> [</w:t>
      </w:r>
      <w:r w:rsidR="00BC28E0">
        <w:t>4</w:t>
      </w:r>
      <w:r>
        <w:t>]</w:t>
      </w:r>
      <w:r w:rsidR="007F6A1F">
        <w:t>.</w:t>
      </w:r>
      <w:r w:rsidR="00004A07">
        <w:t xml:space="preserve"> </w:t>
      </w:r>
      <w:r w:rsidR="00D90637">
        <w:t>W</w:t>
      </w:r>
      <w:r w:rsidR="00B834FE" w:rsidRPr="00B834FE">
        <w:t>ith the aim of performing the best library adjustment for the given problem,</w:t>
      </w:r>
      <w:r w:rsidR="00B834FE">
        <w:t xml:space="preserve"> </w:t>
      </w:r>
      <w:r w:rsidR="00B834FE" w:rsidRPr="00B834FE">
        <w:t xml:space="preserve">the most recent </w:t>
      </w:r>
      <w:r w:rsidR="00297EC0">
        <w:t xml:space="preserve"> </w:t>
      </w:r>
      <w:r w:rsidR="00B834FE">
        <w:t xml:space="preserve">ENDF/B-VIII.0 </w:t>
      </w:r>
      <w:r w:rsidR="00D90637">
        <w:t xml:space="preserve">library </w:t>
      </w:r>
      <w:r w:rsidR="00B834FE">
        <w:t>w</w:t>
      </w:r>
      <w:r w:rsidR="00297EC0">
        <w:t>as</w:t>
      </w:r>
      <w:r w:rsidR="00B834FE">
        <w:t xml:space="preserve"> </w:t>
      </w:r>
      <w:r w:rsidR="0031511E">
        <w:t>selected</w:t>
      </w:r>
      <w:r w:rsidR="00B834FE">
        <w:t xml:space="preserve"> for </w:t>
      </w:r>
      <w:r w:rsidR="000B1BE6">
        <w:t>generating</w:t>
      </w:r>
      <w:r w:rsidR="0031511E">
        <w:t>,</w:t>
      </w:r>
      <w:r w:rsidR="00B834FE">
        <w:t xml:space="preserve"> by dedicated process</w:t>
      </w:r>
      <w:r w:rsidR="0031511E">
        <w:t>es,</w:t>
      </w:r>
      <w:r w:rsidR="00B834FE">
        <w:t xml:space="preserve"> both a new library in a format suitable for ERANOS </w:t>
      </w:r>
      <w:r w:rsidR="00B22165">
        <w:t>(</w:t>
      </w:r>
      <w:r w:rsidR="009D18DC">
        <w:t>the so called</w:t>
      </w:r>
      <w:r w:rsidR="00B22165">
        <w:t xml:space="preserve"> ECCOLIB) </w:t>
      </w:r>
      <w:r w:rsidR="00B834FE">
        <w:t xml:space="preserve">and its associate covariance </w:t>
      </w:r>
      <w:r w:rsidR="00FD3EC1">
        <w:t>matrix</w:t>
      </w:r>
      <w:r w:rsidR="00B834FE">
        <w:t xml:space="preserve"> which</w:t>
      </w:r>
      <w:r w:rsidR="00D90637">
        <w:t xml:space="preserve"> were </w:t>
      </w:r>
      <w:r w:rsidR="00B834FE">
        <w:t xml:space="preserve">used </w:t>
      </w:r>
      <w:r w:rsidR="00552782">
        <w:t xml:space="preserve">to feed </w:t>
      </w:r>
      <w:r w:rsidR="00B834FE">
        <w:t>the adjustment algorithm.</w:t>
      </w:r>
    </w:p>
    <w:p w14:paraId="4DA25A7E" w14:textId="18410284" w:rsidR="00066269" w:rsidRDefault="009D18DC" w:rsidP="00066269">
      <w:pPr>
        <w:pStyle w:val="Titolo2"/>
        <w:numPr>
          <w:ilvl w:val="1"/>
          <w:numId w:val="10"/>
        </w:numPr>
      </w:pPr>
      <w:r>
        <w:t>Generation processes for</w:t>
      </w:r>
      <w:r w:rsidR="00B22165">
        <w:t xml:space="preserve"> ECCOLIB LIBRARIES AND </w:t>
      </w:r>
      <w:r w:rsidR="00F941C5">
        <w:t>associated</w:t>
      </w:r>
      <w:r w:rsidR="00B22165">
        <w:t xml:space="preserve"> COVARIANCES</w:t>
      </w:r>
    </w:p>
    <w:p w14:paraId="4318E09F" w14:textId="1E95DE9B" w:rsidR="004C49CE" w:rsidRPr="00A92E91" w:rsidRDefault="00B21A19" w:rsidP="00A92E91">
      <w:pPr>
        <w:overflowPunct/>
        <w:spacing w:line="260" w:lineRule="atLeast"/>
        <w:ind w:firstLine="567"/>
        <w:jc w:val="both"/>
        <w:textAlignment w:val="auto"/>
        <w:rPr>
          <w:sz w:val="20"/>
        </w:rPr>
      </w:pPr>
      <w:r>
        <w:rPr>
          <w:sz w:val="20"/>
        </w:rPr>
        <w:lastRenderedPageBreak/>
        <w:t>T</w:t>
      </w:r>
      <w:r w:rsidRPr="00B22165">
        <w:rPr>
          <w:sz w:val="20"/>
        </w:rPr>
        <w:t>he latest</w:t>
      </w:r>
      <w:r>
        <w:rPr>
          <w:sz w:val="20"/>
        </w:rPr>
        <w:t xml:space="preserve"> </w:t>
      </w:r>
      <w:r w:rsidRPr="00B22165">
        <w:rPr>
          <w:sz w:val="20"/>
        </w:rPr>
        <w:t xml:space="preserve">release </w:t>
      </w:r>
      <w:r w:rsidR="00B224F5">
        <w:rPr>
          <w:sz w:val="20"/>
        </w:rPr>
        <w:t xml:space="preserve">of the </w:t>
      </w:r>
      <w:r w:rsidRPr="00B22165">
        <w:rPr>
          <w:sz w:val="20"/>
        </w:rPr>
        <w:t xml:space="preserve">ERANOS </w:t>
      </w:r>
      <w:r w:rsidR="00B224F5">
        <w:rPr>
          <w:sz w:val="20"/>
        </w:rPr>
        <w:t xml:space="preserve">code </w:t>
      </w:r>
      <w:r w:rsidRPr="00B22165">
        <w:rPr>
          <w:sz w:val="20"/>
        </w:rPr>
        <w:t xml:space="preserve">is still </w:t>
      </w:r>
      <w:r w:rsidR="00AA4793">
        <w:rPr>
          <w:sz w:val="20"/>
        </w:rPr>
        <w:t>provided</w:t>
      </w:r>
      <w:r w:rsidRPr="00B22165">
        <w:rPr>
          <w:sz w:val="20"/>
        </w:rPr>
        <w:t xml:space="preserve"> with neutron cross</w:t>
      </w:r>
      <w:r w:rsidR="009D18DC">
        <w:rPr>
          <w:sz w:val="20"/>
        </w:rPr>
        <w:t>-</w:t>
      </w:r>
      <w:r w:rsidRPr="00B22165">
        <w:rPr>
          <w:sz w:val="20"/>
        </w:rPr>
        <w:t>section</w:t>
      </w:r>
      <w:r>
        <w:rPr>
          <w:sz w:val="20"/>
        </w:rPr>
        <w:t xml:space="preserve"> </w:t>
      </w:r>
      <w:r w:rsidRPr="00B22165">
        <w:rPr>
          <w:sz w:val="20"/>
        </w:rPr>
        <w:t xml:space="preserve">libraries derived from the </w:t>
      </w:r>
      <w:r w:rsidR="00B224F5">
        <w:rPr>
          <w:sz w:val="20"/>
        </w:rPr>
        <w:t xml:space="preserve">old </w:t>
      </w:r>
      <w:r w:rsidRPr="00B22165">
        <w:rPr>
          <w:sz w:val="20"/>
        </w:rPr>
        <w:t>JEFF-3.1 evaluated nuclear data files,</w:t>
      </w:r>
      <w:r>
        <w:rPr>
          <w:sz w:val="20"/>
        </w:rPr>
        <w:t xml:space="preserve"> </w:t>
      </w:r>
      <w:r w:rsidRPr="00B22165">
        <w:rPr>
          <w:sz w:val="20"/>
        </w:rPr>
        <w:t>released years ago.</w:t>
      </w:r>
      <w:r w:rsidR="00B224F5">
        <w:rPr>
          <w:sz w:val="20"/>
        </w:rPr>
        <w:t xml:space="preserve"> </w:t>
      </w:r>
      <w:r w:rsidRPr="00B22165">
        <w:rPr>
          <w:sz w:val="20"/>
        </w:rPr>
        <w:t xml:space="preserve">This is in contrast with the need of </w:t>
      </w:r>
      <w:r>
        <w:rPr>
          <w:sz w:val="20"/>
        </w:rPr>
        <w:t xml:space="preserve">using </w:t>
      </w:r>
      <w:r w:rsidRPr="00B22165">
        <w:rPr>
          <w:sz w:val="20"/>
        </w:rPr>
        <w:t>state-of-the-art nuclear data</w:t>
      </w:r>
      <w:r w:rsidR="002223F1">
        <w:rPr>
          <w:sz w:val="20"/>
        </w:rPr>
        <w:t xml:space="preserve"> </w:t>
      </w:r>
      <w:r w:rsidR="008C7010">
        <w:rPr>
          <w:sz w:val="20"/>
        </w:rPr>
        <w:t xml:space="preserve">and the </w:t>
      </w:r>
      <w:r w:rsidR="004D322F">
        <w:rPr>
          <w:sz w:val="20"/>
        </w:rPr>
        <w:t>associated covariance matrix</w:t>
      </w:r>
      <w:r w:rsidRPr="00B21A19">
        <w:rPr>
          <w:sz w:val="20"/>
        </w:rPr>
        <w:t>.</w:t>
      </w:r>
      <w:r w:rsidR="00F941C5">
        <w:rPr>
          <w:sz w:val="20"/>
        </w:rPr>
        <w:t xml:space="preserve"> </w:t>
      </w:r>
      <w:r>
        <w:rPr>
          <w:sz w:val="20"/>
        </w:rPr>
        <w:t>In the paper,</w:t>
      </w:r>
      <w:r w:rsidR="0013481A">
        <w:rPr>
          <w:sz w:val="20"/>
        </w:rPr>
        <w:t xml:space="preserve"> </w:t>
      </w:r>
      <w:r w:rsidR="00B224F5">
        <w:rPr>
          <w:sz w:val="20"/>
        </w:rPr>
        <w:t xml:space="preserve">two </w:t>
      </w:r>
      <w:r w:rsidR="0013481A" w:rsidRPr="0013481A">
        <w:rPr>
          <w:sz w:val="20"/>
        </w:rPr>
        <w:t xml:space="preserve">dedicated processes able to generate </w:t>
      </w:r>
      <w:r w:rsidR="00873046">
        <w:rPr>
          <w:sz w:val="20"/>
        </w:rPr>
        <w:t xml:space="preserve">both </w:t>
      </w:r>
      <w:r w:rsidR="00C051AD">
        <w:rPr>
          <w:sz w:val="20"/>
        </w:rPr>
        <w:t xml:space="preserve">the </w:t>
      </w:r>
      <w:r w:rsidR="0013481A" w:rsidRPr="0013481A">
        <w:rPr>
          <w:sz w:val="20"/>
        </w:rPr>
        <w:t xml:space="preserve">libraries and </w:t>
      </w:r>
      <w:r w:rsidR="00873046">
        <w:rPr>
          <w:sz w:val="20"/>
        </w:rPr>
        <w:t xml:space="preserve">their </w:t>
      </w:r>
      <w:r w:rsidR="0013481A" w:rsidRPr="0013481A">
        <w:rPr>
          <w:sz w:val="20"/>
        </w:rPr>
        <w:t>covariances</w:t>
      </w:r>
      <w:r w:rsidR="0013481A">
        <w:rPr>
          <w:sz w:val="20"/>
        </w:rPr>
        <w:t xml:space="preserve"> </w:t>
      </w:r>
      <w:r w:rsidR="0013481A" w:rsidRPr="0013481A">
        <w:rPr>
          <w:sz w:val="20"/>
        </w:rPr>
        <w:t xml:space="preserve">in </w:t>
      </w:r>
      <w:r w:rsidR="00E8482C">
        <w:rPr>
          <w:sz w:val="20"/>
        </w:rPr>
        <w:t>ECCOLIB format</w:t>
      </w:r>
      <w:r w:rsidR="002223F1">
        <w:rPr>
          <w:sz w:val="20"/>
        </w:rPr>
        <w:t xml:space="preserve"> </w:t>
      </w:r>
      <w:r w:rsidR="00E8482C">
        <w:rPr>
          <w:sz w:val="20"/>
        </w:rPr>
        <w:t xml:space="preserve">were used to </w:t>
      </w:r>
      <w:r w:rsidR="0013481A" w:rsidRPr="0013481A">
        <w:rPr>
          <w:sz w:val="20"/>
        </w:rPr>
        <w:t>overcom</w:t>
      </w:r>
      <w:r w:rsidR="00E8482C">
        <w:rPr>
          <w:sz w:val="20"/>
        </w:rPr>
        <w:t>e</w:t>
      </w:r>
      <w:r w:rsidR="0013481A" w:rsidRPr="0013481A">
        <w:rPr>
          <w:sz w:val="20"/>
        </w:rPr>
        <w:t xml:space="preserve"> the limitations of the ERANOS official release</w:t>
      </w:r>
      <w:r w:rsidR="00B224F5">
        <w:rPr>
          <w:sz w:val="20"/>
        </w:rPr>
        <w:t>.</w:t>
      </w:r>
      <w:r w:rsidR="00A92E91">
        <w:rPr>
          <w:sz w:val="20"/>
        </w:rPr>
        <w:t xml:space="preserve"> </w:t>
      </w:r>
      <w:r w:rsidR="00A92E91" w:rsidRPr="003A09A3">
        <w:rPr>
          <w:sz w:val="20"/>
        </w:rPr>
        <w:t xml:space="preserve">An </w:t>
      </w:r>
      <w:r w:rsidR="00CA4A77" w:rsidRPr="003A09A3">
        <w:rPr>
          <w:sz w:val="20"/>
        </w:rPr>
        <w:t xml:space="preserve">80 groups </w:t>
      </w:r>
      <w:r w:rsidR="00A92E91" w:rsidRPr="003A09A3">
        <w:rPr>
          <w:sz w:val="20"/>
        </w:rPr>
        <w:t xml:space="preserve">energy structure was used </w:t>
      </w:r>
      <w:r w:rsidR="00CA4A77">
        <w:rPr>
          <w:sz w:val="20"/>
        </w:rPr>
        <w:t>t</w:t>
      </w:r>
      <w:r w:rsidR="00A92E91" w:rsidRPr="003A09A3">
        <w:rPr>
          <w:sz w:val="20"/>
        </w:rPr>
        <w:t>o optimiz</w:t>
      </w:r>
      <w:r w:rsidR="00CA4A77">
        <w:rPr>
          <w:sz w:val="20"/>
        </w:rPr>
        <w:t>e</w:t>
      </w:r>
      <w:r w:rsidR="00A92E91" w:rsidRPr="003A09A3">
        <w:rPr>
          <w:sz w:val="20"/>
        </w:rPr>
        <w:t xml:space="preserve"> energy discretization covering the most populated region of the ALFRED spectrum, </w:t>
      </w:r>
      <w:r w:rsidR="00260231" w:rsidRPr="003A09A3">
        <w:rPr>
          <w:sz w:val="20"/>
        </w:rPr>
        <w:t xml:space="preserve">thus </w:t>
      </w:r>
      <w:r w:rsidR="00A92E91" w:rsidRPr="003A09A3">
        <w:rPr>
          <w:sz w:val="20"/>
        </w:rPr>
        <w:t xml:space="preserve">increasing the confidence in </w:t>
      </w:r>
      <w:r w:rsidR="009D18DC" w:rsidRPr="003A09A3">
        <w:rPr>
          <w:sz w:val="20"/>
        </w:rPr>
        <w:t xml:space="preserve">the </w:t>
      </w:r>
      <w:r w:rsidR="00A92E91" w:rsidRPr="003A09A3">
        <w:rPr>
          <w:sz w:val="20"/>
        </w:rPr>
        <w:t>reliability of results</w:t>
      </w:r>
      <w:r w:rsidR="0068308A">
        <w:rPr>
          <w:sz w:val="20"/>
        </w:rPr>
        <w:t xml:space="preserve"> [5]</w:t>
      </w:r>
      <w:r w:rsidR="00A92E91" w:rsidRPr="003A09A3">
        <w:rPr>
          <w:sz w:val="20"/>
        </w:rPr>
        <w:t>.</w:t>
      </w:r>
    </w:p>
    <w:p w14:paraId="06CA9DC9" w14:textId="1470C758" w:rsidR="0020040F" w:rsidRDefault="003F6FE9" w:rsidP="0020040F">
      <w:pPr>
        <w:pStyle w:val="Titolo3"/>
      </w:pPr>
      <w:r>
        <w:t>ECCOLIB l</w:t>
      </w:r>
      <w:r w:rsidR="0020040F">
        <w:t>ibrary generation</w:t>
      </w:r>
    </w:p>
    <w:p w14:paraId="61759CAC" w14:textId="76899F05" w:rsidR="0080394C" w:rsidRDefault="00FB1D8E" w:rsidP="00495FB1">
      <w:pPr>
        <w:pStyle w:val="Corpotesto"/>
      </w:pPr>
      <w:r w:rsidRPr="003F6FE9">
        <w:t xml:space="preserve">The process </w:t>
      </w:r>
      <w:r w:rsidR="00E96EA8">
        <w:t xml:space="preserve">used </w:t>
      </w:r>
      <w:r w:rsidRPr="003F6FE9">
        <w:t>for generating</w:t>
      </w:r>
      <w:r w:rsidR="004D322F">
        <w:t xml:space="preserve"> </w:t>
      </w:r>
      <w:r w:rsidRPr="003F6FE9">
        <w:t xml:space="preserve">libraries </w:t>
      </w:r>
      <w:r w:rsidR="004D322F">
        <w:t xml:space="preserve">in ECCOLIB format </w:t>
      </w:r>
      <w:r w:rsidR="00FD3EC1">
        <w:t>(which is summarily described in [</w:t>
      </w:r>
      <w:r w:rsidR="00393E7C">
        <w:t>6</w:t>
      </w:r>
      <w:r w:rsidR="00884DBB">
        <w:t>] and</w:t>
      </w:r>
      <w:r w:rsidR="00FD3EC1">
        <w:t xml:space="preserve"> </w:t>
      </w:r>
      <w:r w:rsidR="00884DBB">
        <w:t>illustra</w:t>
      </w:r>
      <w:r w:rsidR="00FD3EC1">
        <w:t xml:space="preserve">ted in Fig.1) </w:t>
      </w:r>
      <w:r w:rsidR="009751D7">
        <w:t xml:space="preserve">starts </w:t>
      </w:r>
      <w:r w:rsidRPr="003F6FE9">
        <w:t xml:space="preserve">from </w:t>
      </w:r>
      <w:r w:rsidR="004D322F">
        <w:t xml:space="preserve">the </w:t>
      </w:r>
      <w:r w:rsidRPr="003F6FE9">
        <w:t>original libraries in</w:t>
      </w:r>
      <w:r w:rsidR="00C979D6">
        <w:t xml:space="preserve"> the</w:t>
      </w:r>
      <w:r w:rsidRPr="003F6FE9">
        <w:t xml:space="preserve"> ENDF-6 </w:t>
      </w:r>
      <w:r w:rsidR="00E96EA8">
        <w:t xml:space="preserve">format </w:t>
      </w:r>
      <w:r w:rsidR="002744C8">
        <w:t xml:space="preserve">and </w:t>
      </w:r>
      <w:r w:rsidRPr="003F6FE9">
        <w:t xml:space="preserve">invokes different codes which are used for processing data. </w:t>
      </w:r>
      <w:r w:rsidR="004F02B0">
        <w:t>O</w:t>
      </w:r>
      <w:r w:rsidRPr="003F6FE9">
        <w:t>fficial ECCOLIB libraries released with the latest ERANOS version</w:t>
      </w:r>
      <w:r w:rsidR="004D322F">
        <w:t xml:space="preserve"> (</w:t>
      </w:r>
      <w:r w:rsidRPr="003F6FE9">
        <w:t>based on</w:t>
      </w:r>
      <w:r>
        <w:t xml:space="preserve"> </w:t>
      </w:r>
      <w:r w:rsidRPr="003F6FE9">
        <w:t>JEFF-3.1 evaluations</w:t>
      </w:r>
      <w:r w:rsidR="004D322F">
        <w:t>)</w:t>
      </w:r>
      <w:r w:rsidRPr="003F6FE9">
        <w:t xml:space="preserve"> </w:t>
      </w:r>
      <w:r w:rsidR="004F02B0">
        <w:t xml:space="preserve">were </w:t>
      </w:r>
      <w:r w:rsidRPr="003F6FE9">
        <w:t>produced using the NJOY-99.90 [</w:t>
      </w:r>
      <w:r w:rsidR="00393E7C">
        <w:t>7</w:t>
      </w:r>
      <w:r w:rsidRPr="003F6FE9">
        <w:t>] and CALENDF-2005 [</w:t>
      </w:r>
      <w:r w:rsidR="00393E7C">
        <w:t>8</w:t>
      </w:r>
      <w:r w:rsidRPr="003F6FE9">
        <w:t xml:space="preserve">] </w:t>
      </w:r>
      <w:r w:rsidR="006E4E33">
        <w:t xml:space="preserve">versions of the </w:t>
      </w:r>
      <w:r w:rsidRPr="003F6FE9">
        <w:t>processing codes</w:t>
      </w:r>
      <w:r w:rsidR="007A49D8">
        <w:t>.</w:t>
      </w:r>
      <w:r w:rsidR="007A49D8" w:rsidRPr="007A49D8">
        <w:t xml:space="preserve"> </w:t>
      </w:r>
      <w:r w:rsidR="007A49D8">
        <w:t xml:space="preserve">NJOY </w:t>
      </w:r>
      <w:r w:rsidR="00E96EA8">
        <w:t xml:space="preserve">is </w:t>
      </w:r>
      <w:r w:rsidR="007A49D8">
        <w:t xml:space="preserve">used </w:t>
      </w:r>
      <w:r w:rsidR="00884DBB">
        <w:t>to</w:t>
      </w:r>
      <w:r w:rsidR="007A49D8">
        <w:t xml:space="preserve"> </w:t>
      </w:r>
      <w:r w:rsidR="007A49D8" w:rsidRPr="00934A35">
        <w:t xml:space="preserve">reconstruct cross-sections in the resonance region, </w:t>
      </w:r>
      <w:r w:rsidR="007A49D8">
        <w:t xml:space="preserve">and </w:t>
      </w:r>
      <w:r w:rsidR="007A49D8" w:rsidRPr="00934A35">
        <w:t>perform</w:t>
      </w:r>
      <w:r w:rsidR="007A49D8">
        <w:t>ing</w:t>
      </w:r>
      <w:r w:rsidR="007A49D8" w:rsidRPr="00934A35">
        <w:t xml:space="preserve"> their Doppler broadening at given temperatures</w:t>
      </w:r>
      <w:r w:rsidR="007A49D8">
        <w:t xml:space="preserve">, while CALENDF </w:t>
      </w:r>
      <w:r w:rsidR="007A49D8" w:rsidRPr="00934A35">
        <w:t>convert</w:t>
      </w:r>
      <w:r w:rsidR="004E5060">
        <w:t>s</w:t>
      </w:r>
      <w:r w:rsidR="007A49D8" w:rsidRPr="00934A35">
        <w:t xml:space="preserve"> resolved and unresolved resonance</w:t>
      </w:r>
      <w:r w:rsidR="009D18DC">
        <w:t>s</w:t>
      </w:r>
      <w:r w:rsidR="007A49D8" w:rsidRPr="00934A35">
        <w:t xml:space="preserve"> into temperature</w:t>
      </w:r>
      <w:r w:rsidR="00AA4793">
        <w:t>-</w:t>
      </w:r>
      <w:r w:rsidR="007A49D8" w:rsidRPr="00934A35">
        <w:t>dependent point-wise data and subsequently form</w:t>
      </w:r>
      <w:r w:rsidR="006E4E33">
        <w:t>s</w:t>
      </w:r>
      <w:r w:rsidR="007A49D8" w:rsidRPr="00934A35">
        <w:t xml:space="preserve"> group</w:t>
      </w:r>
      <w:r w:rsidR="009D18DC">
        <w:t>-</w:t>
      </w:r>
      <w:r w:rsidR="007A49D8" w:rsidRPr="00934A35">
        <w:t xml:space="preserve">averaged cross-sections (in alternative to NJOY), </w:t>
      </w:r>
      <w:r w:rsidR="007A49D8">
        <w:t xml:space="preserve">putting them in a </w:t>
      </w:r>
      <w:r w:rsidR="007A49D8" w:rsidRPr="00934A35">
        <w:t>probability tables representation</w:t>
      </w:r>
      <w:r w:rsidR="002744C8">
        <w:t xml:space="preserve"> [</w:t>
      </w:r>
      <w:r w:rsidR="00393E7C">
        <w:t>9</w:t>
      </w:r>
      <w:r w:rsidR="002744C8">
        <w:t>]</w:t>
      </w:r>
      <w:r w:rsidR="007A49D8">
        <w:t xml:space="preserve">. </w:t>
      </w:r>
      <w:r w:rsidR="007A49D8" w:rsidRPr="0035189B">
        <w:t xml:space="preserve">In the unresolved resonance range, </w:t>
      </w:r>
      <w:r w:rsidR="007A49D8">
        <w:t xml:space="preserve">it </w:t>
      </w:r>
      <w:r w:rsidR="007A49D8" w:rsidRPr="0035189B">
        <w:t>generates statistical ladders of resonances [</w:t>
      </w:r>
      <w:r w:rsidR="00393E7C">
        <w:t>8</w:t>
      </w:r>
      <w:r w:rsidR="007A49D8" w:rsidRPr="0035189B">
        <w:t>]</w:t>
      </w:r>
      <w:r w:rsidR="00E96EA8">
        <w:t xml:space="preserve">, </w:t>
      </w:r>
      <w:r w:rsidR="00884DBB">
        <w:t>since</w:t>
      </w:r>
      <w:r w:rsidR="00E96EA8">
        <w:t xml:space="preserve"> resonances can be statistically described when not explicitly </w:t>
      </w:r>
      <w:r w:rsidR="00FD3EC1">
        <w:t>reconstructed</w:t>
      </w:r>
      <w:r w:rsidR="007A49D8" w:rsidRPr="0035189B">
        <w:t>.</w:t>
      </w:r>
      <w:r w:rsidR="007A49D8">
        <w:t xml:space="preserve"> T</w:t>
      </w:r>
      <w:r w:rsidR="007A49D8" w:rsidRPr="003F6FE9">
        <w:t>he MERGE-3.8 [</w:t>
      </w:r>
      <w:r w:rsidR="00393E7C">
        <w:t>8</w:t>
      </w:r>
      <w:r w:rsidR="007A49D8" w:rsidRPr="003F6FE9">
        <w:t>] and GECCO [</w:t>
      </w:r>
      <w:r w:rsidR="00393E7C">
        <w:t>8</w:t>
      </w:r>
      <w:r w:rsidR="007A49D8" w:rsidRPr="003F6FE9">
        <w:t>] interface</w:t>
      </w:r>
      <w:r w:rsidR="007A49D8">
        <w:t xml:space="preserve"> </w:t>
      </w:r>
      <w:r w:rsidR="007A49D8" w:rsidRPr="003F6FE9">
        <w:t>tools combine the</w:t>
      </w:r>
      <w:r w:rsidR="004C49CE">
        <w:t xml:space="preserve"> data </w:t>
      </w:r>
      <w:r w:rsidR="00FD3EC1">
        <w:t>generated</w:t>
      </w:r>
      <w:r w:rsidR="007A49D8">
        <w:t xml:space="preserve"> by the two processing code</w:t>
      </w:r>
      <w:r w:rsidR="009D18DC">
        <w:t>s</w:t>
      </w:r>
      <w:r w:rsidR="007A49D8">
        <w:t xml:space="preserve">, </w:t>
      </w:r>
      <w:r w:rsidR="007A49D8" w:rsidRPr="003F6FE9">
        <w:t>finally produc</w:t>
      </w:r>
      <w:r w:rsidR="007A49D8">
        <w:t>ing</w:t>
      </w:r>
      <w:r w:rsidR="007A49D8" w:rsidRPr="003F6FE9">
        <w:t xml:space="preserve"> ECCO</w:t>
      </w:r>
      <w:r w:rsidR="00C051AD">
        <w:t>LIB</w:t>
      </w:r>
      <w:r w:rsidR="007A49D8" w:rsidRPr="003F6FE9">
        <w:t>-formatted files.</w:t>
      </w:r>
      <w:r w:rsidR="00495FB1">
        <w:t xml:space="preserve"> </w:t>
      </w:r>
      <w:r w:rsidR="004C49CE" w:rsidRPr="003A09A3">
        <w:t xml:space="preserve">The process just described, which retains in the final output libraries a very detailed representation of the cross-section behaviour with energy, can be used to produce libraries at 1968 energy groups for the isotopes deemed </w:t>
      </w:r>
      <w:r w:rsidR="00FD3EC1" w:rsidRPr="003A09A3">
        <w:t>fundamental</w:t>
      </w:r>
      <w:r w:rsidR="004C49CE" w:rsidRPr="003A09A3">
        <w:t xml:space="preserve"> for accurately simulating the system of interest (e.g., </w:t>
      </w:r>
      <w:r w:rsidR="004C49CE" w:rsidRPr="003A09A3">
        <w:rPr>
          <w:vertAlign w:val="superscript"/>
        </w:rPr>
        <w:t>238</w:t>
      </w:r>
      <w:r w:rsidR="004C49CE" w:rsidRPr="003A09A3">
        <w:t xml:space="preserve">U, </w:t>
      </w:r>
      <w:r w:rsidR="004C49CE" w:rsidRPr="003A09A3">
        <w:rPr>
          <w:vertAlign w:val="superscript"/>
        </w:rPr>
        <w:t>23</w:t>
      </w:r>
      <w:r w:rsidR="0080394C" w:rsidRPr="003A09A3">
        <w:rPr>
          <w:vertAlign w:val="superscript"/>
        </w:rPr>
        <w:t>9</w:t>
      </w:r>
      <w:r w:rsidR="0080394C" w:rsidRPr="003A09A3">
        <w:t>Pu</w:t>
      </w:r>
      <w:r w:rsidR="004C49CE" w:rsidRPr="003A09A3">
        <w:t xml:space="preserve">, etc.), </w:t>
      </w:r>
      <w:r w:rsidR="00AC1E44" w:rsidRPr="003A09A3">
        <w:t>and</w:t>
      </w:r>
      <w:r w:rsidR="004C49CE" w:rsidRPr="003A09A3">
        <w:t xml:space="preserve"> at 172 energy groups for the remaining</w:t>
      </w:r>
      <w:r w:rsidR="0080394C" w:rsidRPr="003A09A3">
        <w:t xml:space="preserve"> ones</w:t>
      </w:r>
      <w:r w:rsidR="004C49CE" w:rsidRPr="003A09A3">
        <w:t xml:space="preserve"> by a simplified calculation chain in which only NJOY and GECCO codes are</w:t>
      </w:r>
      <w:r w:rsidR="004C49CE" w:rsidRPr="0011697D">
        <w:t xml:space="preserve"> invoked</w:t>
      </w:r>
      <w:r w:rsidR="004C49CE">
        <w:t xml:space="preserve">. </w:t>
      </w:r>
    </w:p>
    <w:p w14:paraId="36D764D6" w14:textId="67BB4DDB" w:rsidR="00EA455B" w:rsidRDefault="00EA455B" w:rsidP="00EA455B">
      <w:pPr>
        <w:pStyle w:val="Corpotesto"/>
        <w:ind w:firstLine="0"/>
        <w:jc w:val="center"/>
      </w:pPr>
      <w:r w:rsidRPr="00AE65A6">
        <w:rPr>
          <w:noProof/>
        </w:rPr>
        <w:drawing>
          <wp:inline distT="0" distB="0" distL="0" distR="0" wp14:anchorId="4D7DE4E9" wp14:editId="1E456834">
            <wp:extent cx="3959860" cy="964565"/>
            <wp:effectExtent l="0" t="0" r="254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a:extLst>
                        <a:ext uri="{28A0092B-C50C-407E-A947-70E740481C1C}">
                          <a14:useLocalDpi xmlns:a14="http://schemas.microsoft.com/office/drawing/2010/main" val="0"/>
                        </a:ext>
                      </a:extLst>
                    </a:blip>
                    <a:stretch>
                      <a:fillRect/>
                    </a:stretch>
                  </pic:blipFill>
                  <pic:spPr>
                    <a:xfrm>
                      <a:off x="0" y="0"/>
                      <a:ext cx="3959860" cy="964565"/>
                    </a:xfrm>
                    <a:prstGeom prst="rect">
                      <a:avLst/>
                    </a:prstGeom>
                  </pic:spPr>
                </pic:pic>
              </a:graphicData>
            </a:graphic>
          </wp:inline>
        </w:drawing>
      </w:r>
    </w:p>
    <w:p w14:paraId="17A6C8E4" w14:textId="5738417F" w:rsidR="00EA455B" w:rsidRPr="00EA455B" w:rsidRDefault="00EA455B" w:rsidP="00EA455B">
      <w:pPr>
        <w:pStyle w:val="Corpotesto"/>
        <w:ind w:firstLine="0"/>
        <w:jc w:val="center"/>
        <w:rPr>
          <w:i/>
          <w:iCs/>
          <w:sz w:val="18"/>
          <w:szCs w:val="18"/>
        </w:rPr>
      </w:pPr>
      <w:r w:rsidRPr="00EA455B">
        <w:rPr>
          <w:i/>
          <w:iCs/>
          <w:sz w:val="18"/>
          <w:szCs w:val="18"/>
        </w:rPr>
        <w:t>FIG.</w:t>
      </w:r>
      <w:r>
        <w:rPr>
          <w:i/>
          <w:iCs/>
          <w:sz w:val="18"/>
          <w:szCs w:val="18"/>
        </w:rPr>
        <w:t> </w:t>
      </w:r>
      <w:r w:rsidRPr="00EA455B">
        <w:rPr>
          <w:i/>
          <w:iCs/>
          <w:sz w:val="18"/>
          <w:szCs w:val="18"/>
        </w:rPr>
        <w:fldChar w:fldCharType="begin"/>
      </w:r>
      <w:r w:rsidRPr="00EA455B">
        <w:rPr>
          <w:i/>
          <w:iCs/>
          <w:sz w:val="18"/>
          <w:szCs w:val="18"/>
        </w:rPr>
        <w:instrText xml:space="preserve"> SEQ FIG. \* ARABIC </w:instrText>
      </w:r>
      <w:r w:rsidRPr="00EA455B">
        <w:rPr>
          <w:i/>
          <w:iCs/>
          <w:sz w:val="18"/>
          <w:szCs w:val="18"/>
        </w:rPr>
        <w:fldChar w:fldCharType="separate"/>
      </w:r>
      <w:r w:rsidR="007E1A19">
        <w:rPr>
          <w:i/>
          <w:iCs/>
          <w:noProof/>
          <w:sz w:val="18"/>
          <w:szCs w:val="18"/>
        </w:rPr>
        <w:t>1</w:t>
      </w:r>
      <w:r w:rsidRPr="00EA455B">
        <w:rPr>
          <w:i/>
          <w:iCs/>
          <w:noProof/>
          <w:sz w:val="18"/>
          <w:szCs w:val="18"/>
        </w:rPr>
        <w:fldChar w:fldCharType="end"/>
      </w:r>
      <w:r w:rsidRPr="00EA455B">
        <w:rPr>
          <w:i/>
          <w:iCs/>
          <w:sz w:val="18"/>
          <w:szCs w:val="18"/>
        </w:rPr>
        <w:t>. ECCOLIB single isotope step processing scheme.</w:t>
      </w:r>
    </w:p>
    <w:p w14:paraId="6740063B" w14:textId="3C07EE7F" w:rsidR="002A7807" w:rsidRDefault="00D35335" w:rsidP="002A7807">
      <w:pPr>
        <w:pStyle w:val="Titolo4"/>
        <w:ind w:left="0"/>
      </w:pPr>
      <w:r>
        <w:t>T</w:t>
      </w:r>
      <w:r w:rsidR="002A7807">
        <w:t>reatment of errors and inconsistencies</w:t>
      </w:r>
    </w:p>
    <w:p w14:paraId="6032C802" w14:textId="18A6844C" w:rsidR="00D35335" w:rsidRPr="00D71FB5" w:rsidRDefault="007918E3" w:rsidP="004B686E">
      <w:pPr>
        <w:pStyle w:val="Corpotesto"/>
      </w:pPr>
      <w:r>
        <w:rPr>
          <w:lang w:val="en-US"/>
        </w:rPr>
        <w:t>T</w:t>
      </w:r>
      <w:r w:rsidR="00D35335" w:rsidRPr="00D35335">
        <w:t>he process for generating ECCO</w:t>
      </w:r>
      <w:r w:rsidR="00742FEE">
        <w:t>LIB</w:t>
      </w:r>
      <w:r w:rsidR="00D35335" w:rsidRPr="00D35335">
        <w:t>-formatted libraries</w:t>
      </w:r>
      <w:r w:rsidR="00D35335">
        <w:t xml:space="preserve"> </w:t>
      </w:r>
      <w:r w:rsidR="008D53EE">
        <w:t>w</w:t>
      </w:r>
      <w:r w:rsidR="00D35335" w:rsidRPr="00D35335">
        <w:t>as fully automated, but</w:t>
      </w:r>
      <w:r w:rsidR="00D44746">
        <w:t xml:space="preserve"> </w:t>
      </w:r>
      <w:r w:rsidR="00D35335" w:rsidRPr="00D35335">
        <w:t>considerations on single isotopes cannot</w:t>
      </w:r>
      <w:r w:rsidR="00D35335">
        <w:t xml:space="preserve"> </w:t>
      </w:r>
      <w:r w:rsidR="00D35335" w:rsidRPr="00D35335">
        <w:t xml:space="preserve">be completely </w:t>
      </w:r>
      <w:r>
        <w:t>avoided</w:t>
      </w:r>
      <w:r w:rsidR="00742FEE">
        <w:t xml:space="preserve">. In fact, on rare occasions, </w:t>
      </w:r>
      <w:r w:rsidR="00742FEE" w:rsidRPr="00D35335">
        <w:t>inconsistencies or non</w:t>
      </w:r>
      <w:r w:rsidR="00742FEE">
        <w:t>-</w:t>
      </w:r>
      <w:r w:rsidR="00742FEE" w:rsidRPr="00D35335">
        <w:t xml:space="preserve">physical results </w:t>
      </w:r>
      <w:r w:rsidR="00742FEE">
        <w:t xml:space="preserve">can occur, </w:t>
      </w:r>
      <w:r w:rsidR="00742FEE" w:rsidRPr="00D35335">
        <w:t>mainly due to th</w:t>
      </w:r>
      <w:r w:rsidR="00742FEE">
        <w:t xml:space="preserve">e questionable </w:t>
      </w:r>
      <w:r w:rsidR="00742FEE" w:rsidRPr="00D35335">
        <w:t xml:space="preserve">content of </w:t>
      </w:r>
      <w:r w:rsidR="00742FEE">
        <w:t xml:space="preserve">some </w:t>
      </w:r>
      <w:r w:rsidR="00742FEE" w:rsidRPr="00D35335">
        <w:t>evaluation</w:t>
      </w:r>
      <w:r w:rsidR="00742FEE">
        <w:t xml:space="preserve">s (for example </w:t>
      </w:r>
      <w:r w:rsidR="00742FEE" w:rsidRPr="00EB3609">
        <w:rPr>
          <w:vertAlign w:val="superscript"/>
        </w:rPr>
        <w:t>46</w:t>
      </w:r>
      <w:r w:rsidR="00742FEE">
        <w:t xml:space="preserve">Ti </w:t>
      </w:r>
      <w:r w:rsidR="00DB3012">
        <w:t xml:space="preserve">in </w:t>
      </w:r>
      <w:r w:rsidR="00DB3012" w:rsidRPr="00516F2A">
        <w:t xml:space="preserve">the JEFF 3.1 evaluation </w:t>
      </w:r>
      <w:r w:rsidR="00742FEE">
        <w:t>has negative elastic cross-section at high energy already in the tape)</w:t>
      </w:r>
      <w:r w:rsidR="008D53EE">
        <w:t xml:space="preserve"> or for the presence of </w:t>
      </w:r>
      <w:r w:rsidR="008D53EE" w:rsidRPr="00D35335">
        <w:t>very s</w:t>
      </w:r>
      <w:r w:rsidR="008D53EE">
        <w:t xml:space="preserve">harp </w:t>
      </w:r>
      <w:r w:rsidR="008D53EE" w:rsidRPr="00D35335">
        <w:t>resonance dips lead</w:t>
      </w:r>
      <w:r w:rsidR="00D71FB5">
        <w:t>ing</w:t>
      </w:r>
      <w:r w:rsidR="008D53EE" w:rsidRPr="00D35335">
        <w:t xml:space="preserve"> to negative cross-sections, </w:t>
      </w:r>
      <w:r w:rsidR="00D71FB5">
        <w:t xml:space="preserve">as </w:t>
      </w:r>
      <w:r w:rsidR="008D53EE" w:rsidRPr="00D35335">
        <w:t>near an abrupt change of sign in the cross-section derivative</w:t>
      </w:r>
      <w:r w:rsidR="00D71FB5">
        <w:t xml:space="preserve">. </w:t>
      </w:r>
      <w:r w:rsidR="00D35335" w:rsidRPr="00D35335">
        <w:t xml:space="preserve">In these </w:t>
      </w:r>
      <w:r w:rsidR="00373842" w:rsidRPr="00D35335">
        <w:t>cases,</w:t>
      </w:r>
      <w:r w:rsidR="00D35335" w:rsidRPr="00D35335">
        <w:t xml:space="preserve"> </w:t>
      </w:r>
      <w:r w:rsidR="00D71FB5">
        <w:t xml:space="preserve">different CALENDF </w:t>
      </w:r>
      <w:r w:rsidR="00D35335" w:rsidRPr="00D35335">
        <w:t>option</w:t>
      </w:r>
      <w:r w:rsidR="00D71FB5">
        <w:t xml:space="preserve">s can be used </w:t>
      </w:r>
      <w:r w:rsidR="00D35335" w:rsidRPr="00D35335">
        <w:t>for solving the problem</w:t>
      </w:r>
      <w:r w:rsidR="00CA4A77">
        <w:t>,</w:t>
      </w:r>
      <w:r w:rsidR="00D35335" w:rsidRPr="00D35335">
        <w:t xml:space="preserve"> or negative partial cross-sections</w:t>
      </w:r>
      <w:r w:rsidR="00D71FB5">
        <w:t xml:space="preserve"> can be forced </w:t>
      </w:r>
      <w:r w:rsidR="00D35335" w:rsidRPr="00D35335">
        <w:t>to a default (very small) positive value.</w:t>
      </w:r>
      <w:r w:rsidR="00D35335">
        <w:t xml:space="preserve"> </w:t>
      </w:r>
      <w:r w:rsidR="00D35335" w:rsidRPr="00D35335">
        <w:t>For settling and better grasping the nature of the error or inconsistency, the Java-based nuclear</w:t>
      </w:r>
      <w:r w:rsidR="00D35335">
        <w:t xml:space="preserve"> </w:t>
      </w:r>
      <w:r w:rsidR="00D35335" w:rsidRPr="00D35335">
        <w:t>information software (JANIS) [</w:t>
      </w:r>
      <w:r w:rsidR="0007083C">
        <w:t>10</w:t>
      </w:r>
      <w:r w:rsidR="00D35335" w:rsidRPr="00D35335">
        <w:t>] was extensively used for accessing the chosen nuclear</w:t>
      </w:r>
      <w:r w:rsidR="00D35335">
        <w:t xml:space="preserve"> </w:t>
      </w:r>
      <w:r w:rsidR="00D35335" w:rsidRPr="00D35335">
        <w:t>database, identifying the nuclide of interest, and displaying (graphically) its properties.</w:t>
      </w:r>
    </w:p>
    <w:p w14:paraId="3CEEC6CA" w14:textId="16901BB3" w:rsidR="000146F5" w:rsidRDefault="000146F5" w:rsidP="000146F5">
      <w:pPr>
        <w:pStyle w:val="Titolo3"/>
      </w:pPr>
      <w:r>
        <w:t>ENDF/B-VIII.0 based library generation</w:t>
      </w:r>
    </w:p>
    <w:p w14:paraId="0B4DB959" w14:textId="4A4EF569" w:rsidR="0080394C" w:rsidRDefault="00232F41" w:rsidP="00015900">
      <w:pPr>
        <w:overflowPunct/>
        <w:spacing w:line="260" w:lineRule="atLeast"/>
        <w:ind w:firstLine="567"/>
        <w:jc w:val="both"/>
        <w:textAlignment w:val="auto"/>
        <w:rPr>
          <w:sz w:val="20"/>
        </w:rPr>
      </w:pPr>
      <w:r>
        <w:rPr>
          <w:sz w:val="20"/>
        </w:rPr>
        <w:t>The correctness of t</w:t>
      </w:r>
      <w:r w:rsidR="007140C6">
        <w:rPr>
          <w:sz w:val="20"/>
        </w:rPr>
        <w:t>h</w:t>
      </w:r>
      <w:r>
        <w:rPr>
          <w:sz w:val="20"/>
        </w:rPr>
        <w:t xml:space="preserve">e described process was initially </w:t>
      </w:r>
      <w:r w:rsidR="009D18DC">
        <w:rPr>
          <w:sz w:val="20"/>
        </w:rPr>
        <w:t xml:space="preserve">tested by </w:t>
      </w:r>
      <w:r w:rsidR="00205898">
        <w:rPr>
          <w:sz w:val="20"/>
        </w:rPr>
        <w:t>appli</w:t>
      </w:r>
      <w:r w:rsidR="009D18DC">
        <w:rPr>
          <w:sz w:val="20"/>
        </w:rPr>
        <w:t>cation</w:t>
      </w:r>
      <w:r w:rsidR="00205898">
        <w:rPr>
          <w:sz w:val="20"/>
        </w:rPr>
        <w:t xml:space="preserve"> to </w:t>
      </w:r>
      <w:r w:rsidR="009D18DC">
        <w:rPr>
          <w:sz w:val="20"/>
        </w:rPr>
        <w:t xml:space="preserve">the </w:t>
      </w:r>
      <w:r>
        <w:rPr>
          <w:sz w:val="20"/>
        </w:rPr>
        <w:t>JEFF</w:t>
      </w:r>
      <w:r w:rsidR="009D18DC">
        <w:rPr>
          <w:sz w:val="20"/>
        </w:rPr>
        <w:t>-</w:t>
      </w:r>
      <w:r>
        <w:rPr>
          <w:sz w:val="20"/>
        </w:rPr>
        <w:t xml:space="preserve">3.1 </w:t>
      </w:r>
      <w:r w:rsidR="00444F8A">
        <w:rPr>
          <w:sz w:val="20"/>
        </w:rPr>
        <w:t>evaluations</w:t>
      </w:r>
      <w:r w:rsidR="009D18DC">
        <w:rPr>
          <w:sz w:val="20"/>
        </w:rPr>
        <w:t>,</w:t>
      </w:r>
      <w:r w:rsidR="00205898">
        <w:rPr>
          <w:sz w:val="20"/>
        </w:rPr>
        <w:t xml:space="preserve"> and </w:t>
      </w:r>
      <w:r w:rsidR="009D18DC">
        <w:rPr>
          <w:sz w:val="20"/>
        </w:rPr>
        <w:t xml:space="preserve">the resulting library </w:t>
      </w:r>
      <w:r w:rsidR="00205898">
        <w:rPr>
          <w:sz w:val="20"/>
        </w:rPr>
        <w:t xml:space="preserve">used for </w:t>
      </w:r>
      <w:r>
        <w:rPr>
          <w:sz w:val="20"/>
        </w:rPr>
        <w:t xml:space="preserve">performing </w:t>
      </w:r>
      <w:r w:rsidR="00205898">
        <w:rPr>
          <w:sz w:val="20"/>
        </w:rPr>
        <w:t xml:space="preserve">cell and core calculations whose results were </w:t>
      </w:r>
      <w:r>
        <w:rPr>
          <w:sz w:val="20"/>
        </w:rPr>
        <w:t>compar</w:t>
      </w:r>
      <w:r w:rsidR="00205898">
        <w:rPr>
          <w:sz w:val="20"/>
        </w:rPr>
        <w:t>ed</w:t>
      </w:r>
      <w:r>
        <w:rPr>
          <w:sz w:val="20"/>
        </w:rPr>
        <w:t xml:space="preserve"> with </w:t>
      </w:r>
      <w:r w:rsidR="00205898">
        <w:rPr>
          <w:sz w:val="20"/>
        </w:rPr>
        <w:t xml:space="preserve">those </w:t>
      </w:r>
      <w:r w:rsidR="007140C6">
        <w:rPr>
          <w:sz w:val="20"/>
        </w:rPr>
        <w:t xml:space="preserve">obtained </w:t>
      </w:r>
      <w:r w:rsidR="00205898">
        <w:rPr>
          <w:sz w:val="20"/>
        </w:rPr>
        <w:t xml:space="preserve">with </w:t>
      </w:r>
      <w:r>
        <w:rPr>
          <w:sz w:val="20"/>
        </w:rPr>
        <w:t xml:space="preserve">the </w:t>
      </w:r>
      <w:r w:rsidR="007140C6">
        <w:rPr>
          <w:sz w:val="20"/>
        </w:rPr>
        <w:t>same</w:t>
      </w:r>
      <w:r w:rsidR="00205898">
        <w:rPr>
          <w:sz w:val="20"/>
        </w:rPr>
        <w:t xml:space="preserve"> library, </w:t>
      </w:r>
      <w:r w:rsidR="00742FEE">
        <w:rPr>
          <w:sz w:val="20"/>
        </w:rPr>
        <w:t>as distribut</w:t>
      </w:r>
      <w:r>
        <w:rPr>
          <w:sz w:val="20"/>
        </w:rPr>
        <w:t xml:space="preserve">ed with the </w:t>
      </w:r>
      <w:r w:rsidR="00742FEE">
        <w:rPr>
          <w:sz w:val="20"/>
        </w:rPr>
        <w:t xml:space="preserve">official </w:t>
      </w:r>
      <w:r>
        <w:rPr>
          <w:sz w:val="20"/>
        </w:rPr>
        <w:t xml:space="preserve">ERANOS </w:t>
      </w:r>
      <w:r w:rsidR="00742FEE">
        <w:rPr>
          <w:sz w:val="20"/>
        </w:rPr>
        <w:t>release</w:t>
      </w:r>
      <w:r>
        <w:rPr>
          <w:sz w:val="20"/>
        </w:rPr>
        <w:t xml:space="preserve">. </w:t>
      </w:r>
      <w:r w:rsidR="00C05E04">
        <w:rPr>
          <w:sz w:val="20"/>
        </w:rPr>
        <w:t>The</w:t>
      </w:r>
      <w:r w:rsidR="004F59D6">
        <w:rPr>
          <w:sz w:val="20"/>
        </w:rPr>
        <w:t xml:space="preserve"> </w:t>
      </w:r>
      <w:r>
        <w:rPr>
          <w:sz w:val="20"/>
        </w:rPr>
        <w:t xml:space="preserve">optimal agreement </w:t>
      </w:r>
      <w:r w:rsidR="00C05E04">
        <w:rPr>
          <w:sz w:val="20"/>
        </w:rPr>
        <w:t xml:space="preserve">found </w:t>
      </w:r>
      <w:r>
        <w:rPr>
          <w:sz w:val="20"/>
        </w:rPr>
        <w:t>between th</w:t>
      </w:r>
      <w:r w:rsidR="00205898">
        <w:rPr>
          <w:sz w:val="20"/>
        </w:rPr>
        <w:t>em</w:t>
      </w:r>
      <w:r>
        <w:rPr>
          <w:sz w:val="20"/>
        </w:rPr>
        <w:t xml:space="preserve"> provid</w:t>
      </w:r>
      <w:r w:rsidR="00C05E04">
        <w:rPr>
          <w:sz w:val="20"/>
        </w:rPr>
        <w:t>ed</w:t>
      </w:r>
      <w:r>
        <w:rPr>
          <w:sz w:val="20"/>
        </w:rPr>
        <w:t xml:space="preserve"> the </w:t>
      </w:r>
      <w:r w:rsidR="00C05E04">
        <w:rPr>
          <w:sz w:val="20"/>
        </w:rPr>
        <w:t xml:space="preserve">aimed evidence for a </w:t>
      </w:r>
      <w:r>
        <w:rPr>
          <w:sz w:val="20"/>
        </w:rPr>
        <w:t>verification claim.</w:t>
      </w:r>
    </w:p>
    <w:p w14:paraId="37B2FD1C" w14:textId="3D9CFF73" w:rsidR="002579A7" w:rsidRPr="00516F2A" w:rsidRDefault="002579A7" w:rsidP="00015900">
      <w:pPr>
        <w:overflowPunct/>
        <w:spacing w:line="260" w:lineRule="atLeast"/>
        <w:ind w:firstLine="567"/>
        <w:jc w:val="both"/>
        <w:textAlignment w:val="auto"/>
        <w:rPr>
          <w:sz w:val="20"/>
          <w:u w:val="single"/>
        </w:rPr>
      </w:pPr>
      <w:r w:rsidRPr="002579A7">
        <w:rPr>
          <w:sz w:val="20"/>
        </w:rPr>
        <w:t xml:space="preserve">Once checked, the </w:t>
      </w:r>
      <w:r w:rsidR="00F97B7B">
        <w:rPr>
          <w:sz w:val="20"/>
        </w:rPr>
        <w:t xml:space="preserve">library </w:t>
      </w:r>
      <w:r w:rsidRPr="002579A7">
        <w:rPr>
          <w:sz w:val="20"/>
        </w:rPr>
        <w:t xml:space="preserve">generation process was </w:t>
      </w:r>
      <w:r w:rsidR="00C05E04">
        <w:rPr>
          <w:sz w:val="20"/>
        </w:rPr>
        <w:t xml:space="preserve">thus </w:t>
      </w:r>
      <w:r w:rsidRPr="002579A7">
        <w:rPr>
          <w:sz w:val="20"/>
        </w:rPr>
        <w:t xml:space="preserve">applied to the ENDF/B-VIII.0 </w:t>
      </w:r>
      <w:r w:rsidR="00F97B7B">
        <w:rPr>
          <w:sz w:val="20"/>
        </w:rPr>
        <w:t>library</w:t>
      </w:r>
      <w:r w:rsidRPr="002579A7">
        <w:rPr>
          <w:sz w:val="20"/>
        </w:rPr>
        <w:t>, so to</w:t>
      </w:r>
      <w:r>
        <w:rPr>
          <w:sz w:val="20"/>
        </w:rPr>
        <w:t xml:space="preserve"> </w:t>
      </w:r>
      <w:r w:rsidRPr="002579A7">
        <w:rPr>
          <w:sz w:val="20"/>
        </w:rPr>
        <w:t>build a new reference</w:t>
      </w:r>
      <w:r w:rsidR="004C25F2">
        <w:rPr>
          <w:sz w:val="20"/>
        </w:rPr>
        <w:t xml:space="preserve"> </w:t>
      </w:r>
      <w:r w:rsidR="00F97B7B">
        <w:rPr>
          <w:sz w:val="20"/>
        </w:rPr>
        <w:t xml:space="preserve">ECCOLIB </w:t>
      </w:r>
      <w:r w:rsidR="004C25F2">
        <w:rPr>
          <w:sz w:val="20"/>
        </w:rPr>
        <w:t>library</w:t>
      </w:r>
      <w:r w:rsidRPr="002579A7">
        <w:rPr>
          <w:sz w:val="20"/>
        </w:rPr>
        <w:t xml:space="preserve"> </w:t>
      </w:r>
      <w:r w:rsidR="004C25F2">
        <w:rPr>
          <w:sz w:val="20"/>
        </w:rPr>
        <w:t xml:space="preserve">using </w:t>
      </w:r>
      <w:r w:rsidRPr="002579A7">
        <w:rPr>
          <w:sz w:val="20"/>
        </w:rPr>
        <w:t>state-of-the-art</w:t>
      </w:r>
      <w:r w:rsidR="004C25F2">
        <w:rPr>
          <w:sz w:val="20"/>
        </w:rPr>
        <w:t xml:space="preserve"> evaluations</w:t>
      </w:r>
      <w:r w:rsidRPr="002579A7">
        <w:rPr>
          <w:sz w:val="20"/>
        </w:rPr>
        <w:t>.</w:t>
      </w:r>
      <w:r>
        <w:rPr>
          <w:sz w:val="20"/>
        </w:rPr>
        <w:t xml:space="preserve"> </w:t>
      </w:r>
      <w:r w:rsidR="003B0068">
        <w:rPr>
          <w:sz w:val="20"/>
        </w:rPr>
        <w:t>In this case</w:t>
      </w:r>
      <w:r w:rsidRPr="002579A7">
        <w:rPr>
          <w:sz w:val="20"/>
        </w:rPr>
        <w:t>, the NJOY-99.90 version used for verification purposes</w:t>
      </w:r>
      <w:r w:rsidR="00205898">
        <w:rPr>
          <w:sz w:val="20"/>
        </w:rPr>
        <w:t>,</w:t>
      </w:r>
      <w:r w:rsidRPr="002579A7">
        <w:rPr>
          <w:sz w:val="20"/>
        </w:rPr>
        <w:t xml:space="preserve"> was substituted by the</w:t>
      </w:r>
      <w:r>
        <w:rPr>
          <w:sz w:val="20"/>
        </w:rPr>
        <w:t xml:space="preserve"> </w:t>
      </w:r>
      <w:r w:rsidRPr="002579A7">
        <w:rPr>
          <w:sz w:val="20"/>
        </w:rPr>
        <w:t>latest NJOY-2016 one</w:t>
      </w:r>
      <w:r w:rsidR="00373842">
        <w:rPr>
          <w:sz w:val="20"/>
        </w:rPr>
        <w:t>,</w:t>
      </w:r>
      <w:r w:rsidRPr="002579A7">
        <w:rPr>
          <w:sz w:val="20"/>
        </w:rPr>
        <w:t xml:space="preserve"> which has also more advanced covariance treatment capabilities.</w:t>
      </w:r>
      <w:r w:rsidR="004C25F2" w:rsidRPr="004C25F2">
        <w:rPr>
          <w:sz w:val="20"/>
        </w:rPr>
        <w:t xml:space="preserve"> </w:t>
      </w:r>
      <w:r w:rsidR="00F97B7B">
        <w:rPr>
          <w:sz w:val="20"/>
        </w:rPr>
        <w:t>Initially</w:t>
      </w:r>
      <w:r w:rsidR="004C25F2">
        <w:rPr>
          <w:sz w:val="20"/>
        </w:rPr>
        <w:t xml:space="preserve">, </w:t>
      </w:r>
      <w:r w:rsidR="004C25F2" w:rsidRPr="002579A7">
        <w:rPr>
          <w:sz w:val="20"/>
        </w:rPr>
        <w:t xml:space="preserve">446 isotopes were </w:t>
      </w:r>
      <w:r w:rsidR="004C25F2">
        <w:rPr>
          <w:sz w:val="20"/>
        </w:rPr>
        <w:t xml:space="preserve">treated at </w:t>
      </w:r>
      <w:r w:rsidR="004C25F2" w:rsidRPr="002579A7">
        <w:rPr>
          <w:sz w:val="20"/>
        </w:rPr>
        <w:t xml:space="preserve">172 </w:t>
      </w:r>
      <w:r w:rsidR="004C25F2">
        <w:rPr>
          <w:sz w:val="20"/>
        </w:rPr>
        <w:t xml:space="preserve">energy </w:t>
      </w:r>
      <w:r w:rsidR="004C25F2" w:rsidRPr="002579A7">
        <w:rPr>
          <w:sz w:val="20"/>
        </w:rPr>
        <w:t>groups</w:t>
      </w:r>
      <w:r w:rsidR="004C25F2">
        <w:rPr>
          <w:sz w:val="20"/>
        </w:rPr>
        <w:t xml:space="preserve">, and processed at </w:t>
      </w:r>
      <w:r w:rsidR="004C25F2" w:rsidRPr="002579A7">
        <w:rPr>
          <w:sz w:val="20"/>
        </w:rPr>
        <w:t>three (293.6</w:t>
      </w:r>
      <w:r w:rsidR="00C05E04">
        <w:rPr>
          <w:sz w:val="20"/>
        </w:rPr>
        <w:t> </w:t>
      </w:r>
      <w:r w:rsidR="004C25F2" w:rsidRPr="002579A7">
        <w:rPr>
          <w:sz w:val="20"/>
        </w:rPr>
        <w:t>K,</w:t>
      </w:r>
      <w:r w:rsidR="004C25F2">
        <w:rPr>
          <w:sz w:val="20"/>
        </w:rPr>
        <w:t xml:space="preserve"> </w:t>
      </w:r>
      <w:r w:rsidR="004C25F2" w:rsidRPr="002579A7">
        <w:rPr>
          <w:sz w:val="20"/>
        </w:rPr>
        <w:lastRenderedPageBreak/>
        <w:t>573.6</w:t>
      </w:r>
      <w:r w:rsidR="00C05E04">
        <w:rPr>
          <w:sz w:val="20"/>
        </w:rPr>
        <w:t> </w:t>
      </w:r>
      <w:r w:rsidR="004C25F2" w:rsidRPr="002579A7">
        <w:rPr>
          <w:sz w:val="20"/>
        </w:rPr>
        <w:t>K, 973.6</w:t>
      </w:r>
      <w:r w:rsidR="00C05E04">
        <w:rPr>
          <w:sz w:val="20"/>
        </w:rPr>
        <w:t> </w:t>
      </w:r>
      <w:r w:rsidR="004C25F2" w:rsidRPr="002579A7">
        <w:rPr>
          <w:sz w:val="20"/>
        </w:rPr>
        <w:t>K)</w:t>
      </w:r>
      <w:r w:rsidR="004C25F2">
        <w:rPr>
          <w:sz w:val="20"/>
        </w:rPr>
        <w:t xml:space="preserve"> different temperatures, while other </w:t>
      </w:r>
      <w:r w:rsidR="004C25F2" w:rsidRPr="002579A7">
        <w:rPr>
          <w:sz w:val="20"/>
        </w:rPr>
        <w:t>110</w:t>
      </w:r>
      <w:r w:rsidR="00C05E04">
        <w:rPr>
          <w:sz w:val="20"/>
        </w:rPr>
        <w:t xml:space="preserve"> isotopes</w:t>
      </w:r>
      <w:r w:rsidR="004C25F2">
        <w:rPr>
          <w:sz w:val="20"/>
        </w:rPr>
        <w:t>, treated at</w:t>
      </w:r>
      <w:r w:rsidR="006A42DA">
        <w:rPr>
          <w:sz w:val="20"/>
        </w:rPr>
        <w:t xml:space="preserve"> </w:t>
      </w:r>
      <w:r w:rsidR="004C25F2" w:rsidRPr="002579A7">
        <w:rPr>
          <w:sz w:val="20"/>
        </w:rPr>
        <w:t>1968</w:t>
      </w:r>
      <w:r w:rsidR="004C25F2">
        <w:rPr>
          <w:sz w:val="20"/>
        </w:rPr>
        <w:t xml:space="preserve"> groups</w:t>
      </w:r>
      <w:r w:rsidR="00C05E04">
        <w:rPr>
          <w:sz w:val="20"/>
        </w:rPr>
        <w:t>,</w:t>
      </w:r>
      <w:r w:rsidR="004C25F2" w:rsidRPr="004C25F2">
        <w:rPr>
          <w:sz w:val="20"/>
        </w:rPr>
        <w:t xml:space="preserve"> </w:t>
      </w:r>
      <w:r w:rsidR="004C25F2" w:rsidRPr="002579A7">
        <w:rPr>
          <w:sz w:val="20"/>
        </w:rPr>
        <w:t>w</w:t>
      </w:r>
      <w:r w:rsidR="004C25F2">
        <w:rPr>
          <w:sz w:val="20"/>
        </w:rPr>
        <w:t>ere</w:t>
      </w:r>
      <w:r w:rsidR="004C25F2" w:rsidRPr="002579A7">
        <w:rPr>
          <w:sz w:val="20"/>
        </w:rPr>
        <w:t xml:space="preserve"> processed </w:t>
      </w:r>
      <w:r w:rsidR="00F97B7B">
        <w:rPr>
          <w:sz w:val="20"/>
        </w:rPr>
        <w:t xml:space="preserve">also </w:t>
      </w:r>
      <w:r w:rsidR="004C25F2" w:rsidRPr="002579A7">
        <w:rPr>
          <w:sz w:val="20"/>
        </w:rPr>
        <w:t>at 1473.6</w:t>
      </w:r>
      <w:r w:rsidR="00C05E04">
        <w:rPr>
          <w:sz w:val="20"/>
        </w:rPr>
        <w:t> </w:t>
      </w:r>
      <w:r w:rsidR="004C25F2" w:rsidRPr="002579A7">
        <w:rPr>
          <w:sz w:val="20"/>
        </w:rPr>
        <w:t xml:space="preserve">K, </w:t>
      </w:r>
      <w:r w:rsidR="00F97B7B">
        <w:rPr>
          <w:sz w:val="20"/>
        </w:rPr>
        <w:t xml:space="preserve">and </w:t>
      </w:r>
      <w:r w:rsidR="004C25F2" w:rsidRPr="002579A7">
        <w:rPr>
          <w:sz w:val="20"/>
        </w:rPr>
        <w:t>2973.6</w:t>
      </w:r>
      <w:r w:rsidR="00C05E04">
        <w:rPr>
          <w:sz w:val="20"/>
        </w:rPr>
        <w:t> </w:t>
      </w:r>
      <w:r w:rsidR="004C25F2" w:rsidRPr="002579A7">
        <w:rPr>
          <w:sz w:val="20"/>
        </w:rPr>
        <w:t>K</w:t>
      </w:r>
      <w:r w:rsidR="00F97B7B">
        <w:rPr>
          <w:sz w:val="20"/>
        </w:rPr>
        <w:t>. T</w:t>
      </w:r>
      <w:r w:rsidR="004C25F2">
        <w:rPr>
          <w:sz w:val="20"/>
        </w:rPr>
        <w:t>he</w:t>
      </w:r>
      <w:r w:rsidR="004C25F2" w:rsidRPr="002579A7">
        <w:rPr>
          <w:sz w:val="20"/>
        </w:rPr>
        <w:t xml:space="preserve"> Legendre </w:t>
      </w:r>
      <w:r w:rsidR="006A42DA">
        <w:rPr>
          <w:sz w:val="20"/>
        </w:rPr>
        <w:t xml:space="preserve">expansion </w:t>
      </w:r>
      <w:r w:rsidR="004C25F2" w:rsidRPr="002579A7">
        <w:rPr>
          <w:sz w:val="20"/>
        </w:rPr>
        <w:t xml:space="preserve">orders </w:t>
      </w:r>
      <w:r w:rsidR="006A42DA">
        <w:rPr>
          <w:sz w:val="20"/>
        </w:rPr>
        <w:t xml:space="preserve">for the scattering terms </w:t>
      </w:r>
      <w:r w:rsidR="004C25F2">
        <w:rPr>
          <w:sz w:val="20"/>
        </w:rPr>
        <w:t xml:space="preserve">were </w:t>
      </w:r>
      <w:r w:rsidR="004C25F2" w:rsidRPr="002579A7">
        <w:rPr>
          <w:sz w:val="20"/>
        </w:rPr>
        <w:t>P</w:t>
      </w:r>
      <w:r w:rsidR="004C25F2">
        <w:rPr>
          <w:sz w:val="20"/>
        </w:rPr>
        <w:t>3</w:t>
      </w:r>
      <w:r w:rsidR="004C25F2" w:rsidRPr="002579A7">
        <w:rPr>
          <w:sz w:val="20"/>
        </w:rPr>
        <w:t xml:space="preserve"> and P</w:t>
      </w:r>
      <w:r w:rsidR="004C25F2">
        <w:rPr>
          <w:sz w:val="20"/>
        </w:rPr>
        <w:t>1</w:t>
      </w:r>
      <w:r w:rsidR="004C25F2" w:rsidRPr="002579A7">
        <w:rPr>
          <w:sz w:val="20"/>
        </w:rPr>
        <w:t xml:space="preserve"> for the 1</w:t>
      </w:r>
      <w:r w:rsidR="004C25F2">
        <w:rPr>
          <w:sz w:val="20"/>
        </w:rPr>
        <w:t>72</w:t>
      </w:r>
      <w:r w:rsidR="004C25F2" w:rsidRPr="002579A7">
        <w:rPr>
          <w:sz w:val="20"/>
        </w:rPr>
        <w:t xml:space="preserve"> and 1</w:t>
      </w:r>
      <w:r w:rsidR="004C25F2">
        <w:rPr>
          <w:sz w:val="20"/>
        </w:rPr>
        <w:t xml:space="preserve">968 </w:t>
      </w:r>
      <w:r w:rsidR="004C25F2" w:rsidRPr="002579A7">
        <w:rPr>
          <w:sz w:val="20"/>
        </w:rPr>
        <w:t>groups, respectively</w:t>
      </w:r>
      <w:r w:rsidR="004C25F2" w:rsidRPr="00516F2A">
        <w:rPr>
          <w:sz w:val="20"/>
        </w:rPr>
        <w:t xml:space="preserve">. </w:t>
      </w:r>
      <w:r w:rsidR="003B0068" w:rsidRPr="00516F2A">
        <w:rPr>
          <w:sz w:val="20"/>
        </w:rPr>
        <w:t xml:space="preserve">Running the process, some isotopes, namely </w:t>
      </w:r>
      <w:r w:rsidR="003B0068" w:rsidRPr="00516F2A">
        <w:rPr>
          <w:sz w:val="20"/>
          <w:vertAlign w:val="superscript"/>
        </w:rPr>
        <w:t>40</w:t>
      </w:r>
      <w:r w:rsidR="003B0068" w:rsidRPr="00516F2A">
        <w:rPr>
          <w:sz w:val="20"/>
        </w:rPr>
        <w:t xml:space="preserve">Ca, </w:t>
      </w:r>
      <w:r w:rsidR="003B0068" w:rsidRPr="00516F2A">
        <w:rPr>
          <w:sz w:val="20"/>
          <w:vertAlign w:val="superscript"/>
        </w:rPr>
        <w:t>54</w:t>
      </w:r>
      <w:r w:rsidR="003B0068" w:rsidRPr="00516F2A">
        <w:rPr>
          <w:sz w:val="20"/>
        </w:rPr>
        <w:t xml:space="preserve">Fe, </w:t>
      </w:r>
      <w:r w:rsidR="003B0068" w:rsidRPr="00516F2A">
        <w:rPr>
          <w:sz w:val="20"/>
          <w:vertAlign w:val="superscript"/>
        </w:rPr>
        <w:t>57</w:t>
      </w:r>
      <w:r w:rsidR="003B0068" w:rsidRPr="00516F2A">
        <w:rPr>
          <w:sz w:val="20"/>
        </w:rPr>
        <w:t xml:space="preserve">Fe, </w:t>
      </w:r>
      <w:r w:rsidR="003B0068" w:rsidRPr="00516F2A">
        <w:rPr>
          <w:sz w:val="20"/>
          <w:vertAlign w:val="superscript"/>
        </w:rPr>
        <w:t>63</w:t>
      </w:r>
      <w:r w:rsidR="003B0068" w:rsidRPr="00516F2A">
        <w:rPr>
          <w:sz w:val="20"/>
        </w:rPr>
        <w:t xml:space="preserve">Cu, </w:t>
      </w:r>
      <w:r w:rsidR="003B0068" w:rsidRPr="00516F2A">
        <w:rPr>
          <w:sz w:val="20"/>
          <w:vertAlign w:val="superscript"/>
        </w:rPr>
        <w:t>65</w:t>
      </w:r>
      <w:r w:rsidR="003B0068" w:rsidRPr="00516F2A">
        <w:rPr>
          <w:sz w:val="20"/>
        </w:rPr>
        <w:t xml:space="preserve">Cu, </w:t>
      </w:r>
      <w:r w:rsidR="003B0068" w:rsidRPr="00516F2A">
        <w:rPr>
          <w:sz w:val="20"/>
          <w:vertAlign w:val="superscript"/>
        </w:rPr>
        <w:t>182</w:t>
      </w:r>
      <w:r w:rsidR="003B0068" w:rsidRPr="00516F2A">
        <w:rPr>
          <w:sz w:val="20"/>
        </w:rPr>
        <w:t xml:space="preserve">W, </w:t>
      </w:r>
      <w:r w:rsidR="003B0068" w:rsidRPr="00516F2A">
        <w:rPr>
          <w:sz w:val="20"/>
          <w:vertAlign w:val="superscript"/>
        </w:rPr>
        <w:t>183</w:t>
      </w:r>
      <w:r w:rsidR="003B0068" w:rsidRPr="00516F2A">
        <w:rPr>
          <w:sz w:val="20"/>
        </w:rPr>
        <w:t xml:space="preserve">W, </w:t>
      </w:r>
      <w:r w:rsidR="003B0068" w:rsidRPr="00516F2A">
        <w:rPr>
          <w:sz w:val="20"/>
          <w:vertAlign w:val="superscript"/>
        </w:rPr>
        <w:t>184</w:t>
      </w:r>
      <w:r w:rsidR="003B0068" w:rsidRPr="00516F2A">
        <w:rPr>
          <w:sz w:val="20"/>
        </w:rPr>
        <w:t xml:space="preserve">W and </w:t>
      </w:r>
      <w:r w:rsidR="003B0068" w:rsidRPr="00516F2A">
        <w:rPr>
          <w:sz w:val="20"/>
          <w:vertAlign w:val="superscript"/>
        </w:rPr>
        <w:t>186</w:t>
      </w:r>
      <w:r w:rsidR="003B0068" w:rsidRPr="00516F2A">
        <w:rPr>
          <w:sz w:val="20"/>
        </w:rPr>
        <w:t xml:space="preserve">W </w:t>
      </w:r>
      <w:r w:rsidR="006F7FFC" w:rsidRPr="00516F2A">
        <w:rPr>
          <w:sz w:val="20"/>
        </w:rPr>
        <w:t xml:space="preserve">appeared </w:t>
      </w:r>
      <w:r w:rsidR="00205898" w:rsidRPr="00516F2A">
        <w:rPr>
          <w:sz w:val="20"/>
        </w:rPr>
        <w:t xml:space="preserve">to be </w:t>
      </w:r>
      <w:r w:rsidR="006F7FFC" w:rsidRPr="00516F2A">
        <w:rPr>
          <w:sz w:val="20"/>
        </w:rPr>
        <w:t>not treatable</w:t>
      </w:r>
      <w:r w:rsidR="003B0068" w:rsidRPr="00516F2A">
        <w:rPr>
          <w:sz w:val="20"/>
        </w:rPr>
        <w:t xml:space="preserve"> at 1968 groups due to </w:t>
      </w:r>
      <w:r w:rsidR="00205898" w:rsidRPr="00516F2A">
        <w:rPr>
          <w:sz w:val="20"/>
        </w:rPr>
        <w:t xml:space="preserve">some </w:t>
      </w:r>
      <w:r w:rsidR="003B0068" w:rsidRPr="00516F2A">
        <w:rPr>
          <w:sz w:val="20"/>
        </w:rPr>
        <w:t>limitations</w:t>
      </w:r>
      <w:r w:rsidR="000B2710" w:rsidRPr="00516F2A">
        <w:rPr>
          <w:sz w:val="20"/>
        </w:rPr>
        <w:t xml:space="preserve"> </w:t>
      </w:r>
      <w:r w:rsidR="006F7FFC" w:rsidRPr="00516F2A">
        <w:rPr>
          <w:sz w:val="20"/>
        </w:rPr>
        <w:t>in CALENDF</w:t>
      </w:r>
      <w:r w:rsidR="00894B5C" w:rsidRPr="00516F2A">
        <w:rPr>
          <w:sz w:val="20"/>
        </w:rPr>
        <w:t xml:space="preserve"> capabilities in treating the resolved resonance region by the general R-matrix formalism</w:t>
      </w:r>
      <w:r w:rsidR="00205898" w:rsidRPr="00516F2A">
        <w:rPr>
          <w:sz w:val="20"/>
        </w:rPr>
        <w:t xml:space="preserve">, and then </w:t>
      </w:r>
      <w:r w:rsidR="00F97B7B" w:rsidRPr="00516F2A">
        <w:rPr>
          <w:sz w:val="20"/>
        </w:rPr>
        <w:t xml:space="preserve">were </w:t>
      </w:r>
      <w:r w:rsidR="003B0068" w:rsidRPr="00516F2A">
        <w:rPr>
          <w:sz w:val="20"/>
        </w:rPr>
        <w:t>treated at 172 energy groups, making the 1968 groups list reduced to 101 elements.</w:t>
      </w:r>
    </w:p>
    <w:p w14:paraId="32715CE2" w14:textId="39DC6EE4" w:rsidR="0095698C" w:rsidRPr="003B0068" w:rsidRDefault="003B0068" w:rsidP="004C7546">
      <w:pPr>
        <w:overflowPunct/>
        <w:spacing w:line="260" w:lineRule="atLeast"/>
        <w:ind w:firstLine="567"/>
        <w:jc w:val="both"/>
        <w:textAlignment w:val="auto"/>
        <w:rPr>
          <w:sz w:val="20"/>
        </w:rPr>
      </w:pPr>
      <w:r w:rsidRPr="003B0068">
        <w:rPr>
          <w:sz w:val="20"/>
        </w:rPr>
        <w:t>Other inconsistencies</w:t>
      </w:r>
      <w:r>
        <w:rPr>
          <w:sz w:val="20"/>
        </w:rPr>
        <w:t xml:space="preserve">, due to negative cross sections found in some energy groups, </w:t>
      </w:r>
      <w:r w:rsidRPr="003B0068">
        <w:rPr>
          <w:sz w:val="20"/>
        </w:rPr>
        <w:t xml:space="preserve">arose for </w:t>
      </w:r>
      <w:r w:rsidRPr="00A92E89">
        <w:rPr>
          <w:sz w:val="20"/>
          <w:vertAlign w:val="superscript"/>
        </w:rPr>
        <w:t>239</w:t>
      </w:r>
      <w:r>
        <w:rPr>
          <w:sz w:val="20"/>
        </w:rPr>
        <w:t xml:space="preserve">Np, </w:t>
      </w:r>
      <w:r w:rsidRPr="00A92E89">
        <w:rPr>
          <w:sz w:val="20"/>
          <w:vertAlign w:val="superscript"/>
        </w:rPr>
        <w:t>42</w:t>
      </w:r>
      <w:r>
        <w:rPr>
          <w:sz w:val="20"/>
        </w:rPr>
        <w:t xml:space="preserve">Ca, </w:t>
      </w:r>
      <w:r w:rsidRPr="00A92E89">
        <w:rPr>
          <w:sz w:val="20"/>
          <w:vertAlign w:val="superscript"/>
        </w:rPr>
        <w:t>56</w:t>
      </w:r>
      <w:r w:rsidR="00A92E89">
        <w:rPr>
          <w:sz w:val="20"/>
        </w:rPr>
        <w:t>Fe</w:t>
      </w:r>
      <w:r>
        <w:rPr>
          <w:sz w:val="20"/>
        </w:rPr>
        <w:t xml:space="preserve">, </w:t>
      </w:r>
      <w:r w:rsidRPr="00A92E89">
        <w:rPr>
          <w:sz w:val="20"/>
          <w:vertAlign w:val="superscript"/>
        </w:rPr>
        <w:t>58</w:t>
      </w:r>
      <w:r>
        <w:rPr>
          <w:sz w:val="20"/>
        </w:rPr>
        <w:t xml:space="preserve">Ni, </w:t>
      </w:r>
      <w:r w:rsidRPr="00A92E89">
        <w:rPr>
          <w:sz w:val="20"/>
          <w:vertAlign w:val="superscript"/>
        </w:rPr>
        <w:t>244</w:t>
      </w:r>
      <w:r>
        <w:rPr>
          <w:sz w:val="20"/>
        </w:rPr>
        <w:t xml:space="preserve">Cm, </w:t>
      </w:r>
      <w:r w:rsidRPr="00A92E89">
        <w:rPr>
          <w:sz w:val="20"/>
          <w:vertAlign w:val="superscript"/>
        </w:rPr>
        <w:t>46</w:t>
      </w:r>
      <w:r>
        <w:rPr>
          <w:sz w:val="20"/>
        </w:rPr>
        <w:t xml:space="preserve">Ca, and </w:t>
      </w:r>
      <w:r w:rsidRPr="00A92E89">
        <w:rPr>
          <w:sz w:val="20"/>
          <w:vertAlign w:val="superscript"/>
        </w:rPr>
        <w:t>232</w:t>
      </w:r>
      <w:r>
        <w:rPr>
          <w:sz w:val="20"/>
        </w:rPr>
        <w:t>U</w:t>
      </w:r>
      <w:r w:rsidR="00373842">
        <w:rPr>
          <w:sz w:val="20"/>
        </w:rPr>
        <w:t>: they were</w:t>
      </w:r>
      <w:r w:rsidR="00DA37C5">
        <w:rPr>
          <w:sz w:val="20"/>
        </w:rPr>
        <w:t xml:space="preserve"> solved </w:t>
      </w:r>
      <w:r w:rsidR="00A92E89">
        <w:rPr>
          <w:sz w:val="20"/>
        </w:rPr>
        <w:t xml:space="preserve">modifying some </w:t>
      </w:r>
      <w:r w:rsidR="00DA37C5">
        <w:rPr>
          <w:sz w:val="20"/>
        </w:rPr>
        <w:t xml:space="preserve">parameters </w:t>
      </w:r>
      <w:r w:rsidR="002864E1">
        <w:rPr>
          <w:sz w:val="20"/>
        </w:rPr>
        <w:t>of</w:t>
      </w:r>
      <w:r w:rsidR="00A92E89">
        <w:rPr>
          <w:sz w:val="20"/>
        </w:rPr>
        <w:t xml:space="preserve"> </w:t>
      </w:r>
      <w:r w:rsidR="00DA37C5">
        <w:rPr>
          <w:sz w:val="20"/>
        </w:rPr>
        <w:t>the CALENDF code</w:t>
      </w:r>
      <w:r w:rsidR="00F97B7B">
        <w:rPr>
          <w:sz w:val="20"/>
        </w:rPr>
        <w:t xml:space="preserve">, as </w:t>
      </w:r>
      <w:r w:rsidR="00A92E89">
        <w:rPr>
          <w:sz w:val="20"/>
        </w:rPr>
        <w:t>the reconstruction precision</w:t>
      </w:r>
      <w:r w:rsidR="00DA37C5">
        <w:rPr>
          <w:sz w:val="20"/>
        </w:rPr>
        <w:t xml:space="preserve">, or neglecting </w:t>
      </w:r>
      <w:r w:rsidR="00F97B7B">
        <w:rPr>
          <w:sz w:val="20"/>
        </w:rPr>
        <w:t xml:space="preserve">CALENDF </w:t>
      </w:r>
      <w:r w:rsidR="00DA37C5">
        <w:rPr>
          <w:sz w:val="20"/>
        </w:rPr>
        <w:t xml:space="preserve">evaluations from the latter, preferring </w:t>
      </w:r>
      <w:r w:rsidR="002864E1">
        <w:rPr>
          <w:sz w:val="20"/>
        </w:rPr>
        <w:t xml:space="preserve">instead </w:t>
      </w:r>
      <w:r w:rsidR="00DA37C5">
        <w:rPr>
          <w:sz w:val="20"/>
        </w:rPr>
        <w:t>the NJOY ones</w:t>
      </w:r>
      <w:r w:rsidRPr="003B0068">
        <w:rPr>
          <w:sz w:val="20"/>
        </w:rPr>
        <w:t>.</w:t>
      </w:r>
      <w:r>
        <w:rPr>
          <w:sz w:val="20"/>
        </w:rPr>
        <w:t xml:space="preserve"> </w:t>
      </w:r>
      <w:r w:rsidRPr="003B0068">
        <w:rPr>
          <w:sz w:val="20"/>
        </w:rPr>
        <w:t xml:space="preserve">After solving these </w:t>
      </w:r>
      <w:r w:rsidR="00373842" w:rsidRPr="003B0068">
        <w:rPr>
          <w:sz w:val="20"/>
        </w:rPr>
        <w:t>issues,</w:t>
      </w:r>
      <w:r w:rsidRPr="003B0068">
        <w:rPr>
          <w:sz w:val="20"/>
        </w:rPr>
        <w:t xml:space="preserve"> 33, 172 and 1968 groups libraries were successfully generated</w:t>
      </w:r>
      <w:r>
        <w:rPr>
          <w:sz w:val="20"/>
        </w:rPr>
        <w:t xml:space="preserve"> </w:t>
      </w:r>
      <w:r w:rsidRPr="003B0068">
        <w:rPr>
          <w:sz w:val="20"/>
        </w:rPr>
        <w:t>in the format suitable for ERANOS.</w:t>
      </w:r>
    </w:p>
    <w:p w14:paraId="1A040D0D" w14:textId="35531A18" w:rsidR="0020040F" w:rsidRDefault="0020040F" w:rsidP="0020040F">
      <w:pPr>
        <w:pStyle w:val="Titolo3"/>
      </w:pPr>
      <w:r>
        <w:t>Covariance matrix generation</w:t>
      </w:r>
    </w:p>
    <w:p w14:paraId="3424F5FF" w14:textId="616C9325" w:rsidR="00742E3E" w:rsidRDefault="00432333" w:rsidP="004B2126">
      <w:pPr>
        <w:pStyle w:val="Corpotesto"/>
        <w:rPr>
          <w:lang w:eastAsia="en-GB"/>
        </w:rPr>
      </w:pPr>
      <w:proofErr w:type="gramStart"/>
      <w:r w:rsidRPr="749C7769">
        <w:rPr>
          <w:lang w:eastAsia="en-GB"/>
        </w:rPr>
        <w:t>In order to</w:t>
      </w:r>
      <w:proofErr w:type="gramEnd"/>
      <w:r w:rsidRPr="749C7769">
        <w:rPr>
          <w:lang w:eastAsia="en-GB"/>
        </w:rPr>
        <w:t xml:space="preserve"> build multigroup (</w:t>
      </w:r>
      <w:r w:rsidR="00B61B02" w:rsidRPr="749C7769">
        <w:rPr>
          <w:lang w:eastAsia="en-GB"/>
        </w:rPr>
        <w:t>using the same 80 groups energy structure introduced in Section 2</w:t>
      </w:r>
      <w:r w:rsidRPr="749C7769">
        <w:rPr>
          <w:lang w:eastAsia="en-GB"/>
        </w:rPr>
        <w:t>) covariance matrices, data must be extracted from the original tapes, and then appropriately</w:t>
      </w:r>
      <w:r w:rsidR="004B2126" w:rsidRPr="749C7769">
        <w:rPr>
          <w:lang w:eastAsia="en-GB"/>
        </w:rPr>
        <w:t xml:space="preserve"> </w:t>
      </w:r>
      <w:r w:rsidRPr="749C7769">
        <w:rPr>
          <w:lang w:eastAsia="en-GB"/>
        </w:rPr>
        <w:t>converted for all the available isotopes and reactions in a format useful for ERANOS</w:t>
      </w:r>
      <w:r w:rsidR="00B104F4" w:rsidRPr="749C7769">
        <w:rPr>
          <w:lang w:eastAsia="en-GB"/>
        </w:rPr>
        <w:t xml:space="preserve">, </w:t>
      </w:r>
      <w:r w:rsidR="00C05E04" w:rsidRPr="749C7769">
        <w:rPr>
          <w:lang w:eastAsia="en-GB"/>
        </w:rPr>
        <w:t xml:space="preserve">the </w:t>
      </w:r>
      <w:r w:rsidR="00BB6E69" w:rsidRPr="749C7769">
        <w:rPr>
          <w:lang w:eastAsia="en-GB"/>
        </w:rPr>
        <w:t>so-called</w:t>
      </w:r>
      <w:r w:rsidR="00B104F4" w:rsidRPr="749C7769">
        <w:rPr>
          <w:lang w:eastAsia="en-GB"/>
        </w:rPr>
        <w:t xml:space="preserve"> AMARA</w:t>
      </w:r>
      <w:r w:rsidR="00C05E04" w:rsidRPr="749C7769">
        <w:rPr>
          <w:lang w:eastAsia="en-GB"/>
        </w:rPr>
        <w:t xml:space="preserve"> </w:t>
      </w:r>
      <w:r w:rsidR="00B104F4" w:rsidRPr="749C7769">
        <w:rPr>
          <w:lang w:eastAsia="en-GB"/>
        </w:rPr>
        <w:t>format</w:t>
      </w:r>
      <w:r w:rsidR="00C05E04" w:rsidRPr="749C7769">
        <w:rPr>
          <w:lang w:eastAsia="en-GB"/>
        </w:rPr>
        <w:t xml:space="preserve"> (from the name of the ENEA’s code for library adjustment, see Section</w:t>
      </w:r>
      <w:r w:rsidR="007F5473" w:rsidRPr="749C7769">
        <w:rPr>
          <w:lang w:eastAsia="en-GB"/>
        </w:rPr>
        <w:t xml:space="preserve"> </w:t>
      </w:r>
      <w:r w:rsidR="00C05E04" w:rsidRPr="749C7769">
        <w:rPr>
          <w:lang w:eastAsia="en-GB"/>
        </w:rPr>
        <w:t>4)</w:t>
      </w:r>
      <w:r w:rsidRPr="749C7769">
        <w:rPr>
          <w:lang w:eastAsia="en-GB"/>
        </w:rPr>
        <w:t xml:space="preserve">. The procedure used for generating such matrices is </w:t>
      </w:r>
      <w:r w:rsidR="00F97B7B" w:rsidRPr="749C7769">
        <w:rPr>
          <w:lang w:eastAsia="en-GB"/>
        </w:rPr>
        <w:t>illustrated</w:t>
      </w:r>
      <w:r w:rsidRPr="749C7769">
        <w:rPr>
          <w:lang w:eastAsia="en-GB"/>
        </w:rPr>
        <w:t xml:space="preserve"> in Fig. </w:t>
      </w:r>
      <w:r w:rsidR="002F128C" w:rsidRPr="749C7769">
        <w:rPr>
          <w:lang w:eastAsia="en-GB"/>
        </w:rPr>
        <w:t>2</w:t>
      </w:r>
      <w:r w:rsidR="006A42DA" w:rsidRPr="749C7769">
        <w:rPr>
          <w:lang w:eastAsia="en-GB"/>
        </w:rPr>
        <w:t>,</w:t>
      </w:r>
      <w:r w:rsidR="00742E3E" w:rsidRPr="749C7769">
        <w:rPr>
          <w:lang w:eastAsia="en-GB"/>
        </w:rPr>
        <w:t xml:space="preserve"> </w:t>
      </w:r>
      <w:r w:rsidRPr="749C7769">
        <w:rPr>
          <w:lang w:eastAsia="en-GB"/>
        </w:rPr>
        <w:t xml:space="preserve">from which it </w:t>
      </w:r>
      <w:r w:rsidR="00D75D4C" w:rsidRPr="749C7769">
        <w:rPr>
          <w:lang w:eastAsia="en-GB"/>
        </w:rPr>
        <w:t xml:space="preserve">clearly </w:t>
      </w:r>
      <w:r w:rsidR="00F97B7B" w:rsidRPr="749C7769">
        <w:rPr>
          <w:lang w:eastAsia="en-GB"/>
        </w:rPr>
        <w:t>appear</w:t>
      </w:r>
      <w:r w:rsidR="0080394C" w:rsidRPr="749C7769">
        <w:rPr>
          <w:lang w:eastAsia="en-GB"/>
        </w:rPr>
        <w:t>s</w:t>
      </w:r>
      <w:r w:rsidR="00F97B7B" w:rsidRPr="749C7769">
        <w:rPr>
          <w:lang w:eastAsia="en-GB"/>
        </w:rPr>
        <w:t xml:space="preserve"> </w:t>
      </w:r>
      <w:r w:rsidRPr="749C7769">
        <w:rPr>
          <w:lang w:eastAsia="en-GB"/>
        </w:rPr>
        <w:t xml:space="preserve">the </w:t>
      </w:r>
      <w:r w:rsidR="00F42ADF" w:rsidRPr="749C7769">
        <w:rPr>
          <w:lang w:eastAsia="en-GB"/>
        </w:rPr>
        <w:t>two</w:t>
      </w:r>
      <w:r w:rsidRPr="749C7769">
        <w:rPr>
          <w:lang w:eastAsia="en-GB"/>
        </w:rPr>
        <w:t xml:space="preserve">-steps nature of the process: the first </w:t>
      </w:r>
      <w:r w:rsidR="00F97B7B" w:rsidRPr="749C7769">
        <w:rPr>
          <w:lang w:eastAsia="en-GB"/>
        </w:rPr>
        <w:t>step</w:t>
      </w:r>
      <w:r w:rsidRPr="749C7769">
        <w:rPr>
          <w:lang w:eastAsia="en-GB"/>
        </w:rPr>
        <w:t xml:space="preserve"> tackling the conversion from the </w:t>
      </w:r>
      <w:r w:rsidR="006A42DA" w:rsidRPr="749C7769">
        <w:rPr>
          <w:lang w:eastAsia="en-GB"/>
        </w:rPr>
        <w:t>detailed</w:t>
      </w:r>
      <w:r w:rsidRPr="749C7769">
        <w:rPr>
          <w:lang w:eastAsia="en-GB"/>
        </w:rPr>
        <w:t xml:space="preserve"> description contained in the ENDF-6 tapes to the required group-wise one</w:t>
      </w:r>
      <w:r w:rsidR="00C933B6" w:rsidRPr="749C7769">
        <w:rPr>
          <w:lang w:eastAsia="en-GB"/>
        </w:rPr>
        <w:t xml:space="preserve"> (performed by the ERRORR and COVR modules of the NJOY code</w:t>
      </w:r>
      <w:r w:rsidR="00C933B6">
        <w:rPr>
          <w:rStyle w:val="Rimandonotaapidipagina"/>
        </w:rPr>
        <w:footnoteReference w:id="2"/>
      </w:r>
      <w:r w:rsidR="00C933B6" w:rsidRPr="749C7769">
        <w:rPr>
          <w:lang w:eastAsia="en-GB"/>
        </w:rPr>
        <w:t xml:space="preserve"> [1</w:t>
      </w:r>
      <w:r w:rsidR="0007083C">
        <w:rPr>
          <w:lang w:eastAsia="en-GB"/>
        </w:rPr>
        <w:t>1</w:t>
      </w:r>
      <w:r w:rsidR="00C933B6" w:rsidRPr="749C7769">
        <w:rPr>
          <w:lang w:eastAsia="en-GB"/>
        </w:rPr>
        <w:t>])</w:t>
      </w:r>
      <w:r w:rsidRPr="749C7769">
        <w:rPr>
          <w:lang w:eastAsia="en-GB"/>
        </w:rPr>
        <w:t xml:space="preserve">, the second </w:t>
      </w:r>
      <w:r w:rsidR="002E22DB" w:rsidRPr="749C7769">
        <w:rPr>
          <w:lang w:eastAsia="en-GB"/>
        </w:rPr>
        <w:t xml:space="preserve">one </w:t>
      </w:r>
      <w:r w:rsidR="00C933B6" w:rsidRPr="749C7769">
        <w:rPr>
          <w:lang w:eastAsia="en-GB"/>
        </w:rPr>
        <w:t xml:space="preserve">based on a dedicated Python script which </w:t>
      </w:r>
      <w:r w:rsidRPr="749C7769">
        <w:rPr>
          <w:lang w:eastAsia="en-GB"/>
        </w:rPr>
        <w:t>post-process</w:t>
      </w:r>
      <w:r w:rsidR="00C933B6" w:rsidRPr="749C7769">
        <w:rPr>
          <w:lang w:eastAsia="en-GB"/>
        </w:rPr>
        <w:t>es</w:t>
      </w:r>
      <w:r w:rsidRPr="749C7769">
        <w:rPr>
          <w:lang w:eastAsia="en-GB"/>
        </w:rPr>
        <w:t xml:space="preserve"> t</w:t>
      </w:r>
      <w:r w:rsidR="00F97B7B" w:rsidRPr="749C7769">
        <w:rPr>
          <w:lang w:eastAsia="en-GB"/>
        </w:rPr>
        <w:t xml:space="preserve">he </w:t>
      </w:r>
      <w:r w:rsidRPr="749C7769">
        <w:rPr>
          <w:lang w:eastAsia="en-GB"/>
        </w:rPr>
        <w:t>information</w:t>
      </w:r>
      <w:r w:rsidR="00F97B7B" w:rsidRPr="749C7769">
        <w:rPr>
          <w:lang w:eastAsia="en-GB"/>
        </w:rPr>
        <w:t xml:space="preserve"> on uncertainties</w:t>
      </w:r>
      <w:r w:rsidRPr="749C7769">
        <w:rPr>
          <w:lang w:eastAsia="en-GB"/>
        </w:rPr>
        <w:t xml:space="preserve"> </w:t>
      </w:r>
      <w:r w:rsidR="00C933B6">
        <w:t>reformatting them in the right ERANOS-usable format</w:t>
      </w:r>
      <w:r w:rsidRPr="749C7769">
        <w:rPr>
          <w:lang w:eastAsia="en-GB"/>
        </w:rPr>
        <w:t>.</w:t>
      </w:r>
    </w:p>
    <w:p w14:paraId="5AC7AB40" w14:textId="77777777" w:rsidR="003E3127" w:rsidRDefault="003E3127" w:rsidP="00EA455B">
      <w:pPr>
        <w:pStyle w:val="Corpotesto"/>
        <w:ind w:firstLine="0"/>
        <w:jc w:val="center"/>
      </w:pPr>
    </w:p>
    <w:p w14:paraId="34EA1F13" w14:textId="6D3664D8" w:rsidR="00EA455B" w:rsidRDefault="00EA455B" w:rsidP="00EA455B">
      <w:pPr>
        <w:pStyle w:val="Corpotesto"/>
        <w:ind w:firstLine="0"/>
        <w:jc w:val="center"/>
      </w:pPr>
      <w:r>
        <w:rPr>
          <w:noProof/>
          <w:szCs w:val="22"/>
          <w:lang w:eastAsia="en-GB"/>
        </w:rPr>
        <w:drawing>
          <wp:inline distT="0" distB="0" distL="0" distR="0" wp14:anchorId="3CDEB2F3" wp14:editId="4683DCA8">
            <wp:extent cx="4356000" cy="105120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2">
                      <a:extLst>
                        <a:ext uri="{28A0092B-C50C-407E-A947-70E740481C1C}">
                          <a14:useLocalDpi xmlns:a14="http://schemas.microsoft.com/office/drawing/2010/main" val="0"/>
                        </a:ext>
                      </a:extLst>
                    </a:blip>
                    <a:stretch>
                      <a:fillRect/>
                    </a:stretch>
                  </pic:blipFill>
                  <pic:spPr>
                    <a:xfrm>
                      <a:off x="0" y="0"/>
                      <a:ext cx="4356000" cy="1051200"/>
                    </a:xfrm>
                    <a:prstGeom prst="rect">
                      <a:avLst/>
                    </a:prstGeom>
                  </pic:spPr>
                </pic:pic>
              </a:graphicData>
            </a:graphic>
          </wp:inline>
        </w:drawing>
      </w:r>
    </w:p>
    <w:p w14:paraId="5D3AA246" w14:textId="2A5DFCD3" w:rsidR="00EA455B" w:rsidRPr="00EA455B" w:rsidRDefault="00EA455B" w:rsidP="00F64BC4">
      <w:pPr>
        <w:pStyle w:val="Corpotesto"/>
        <w:ind w:firstLine="0"/>
        <w:jc w:val="center"/>
        <w:rPr>
          <w:i/>
          <w:iCs/>
          <w:sz w:val="18"/>
          <w:szCs w:val="18"/>
        </w:rPr>
      </w:pPr>
      <w:r w:rsidRPr="00EA455B">
        <w:rPr>
          <w:i/>
          <w:iCs/>
          <w:sz w:val="18"/>
          <w:szCs w:val="18"/>
        </w:rPr>
        <w:t>FIG.</w:t>
      </w:r>
      <w:r>
        <w:rPr>
          <w:i/>
          <w:iCs/>
          <w:sz w:val="18"/>
          <w:szCs w:val="18"/>
        </w:rPr>
        <w:t> </w:t>
      </w:r>
      <w:r w:rsidRPr="00EA455B">
        <w:rPr>
          <w:i/>
          <w:iCs/>
          <w:sz w:val="18"/>
          <w:szCs w:val="18"/>
        </w:rPr>
        <w:fldChar w:fldCharType="begin"/>
      </w:r>
      <w:r w:rsidRPr="00EA455B">
        <w:rPr>
          <w:i/>
          <w:iCs/>
          <w:sz w:val="18"/>
          <w:szCs w:val="18"/>
        </w:rPr>
        <w:instrText xml:space="preserve"> SEQ FIG. \* ARABIC </w:instrText>
      </w:r>
      <w:r w:rsidRPr="00EA455B">
        <w:rPr>
          <w:i/>
          <w:iCs/>
          <w:sz w:val="18"/>
          <w:szCs w:val="18"/>
        </w:rPr>
        <w:fldChar w:fldCharType="separate"/>
      </w:r>
      <w:r w:rsidR="007E1A19">
        <w:rPr>
          <w:i/>
          <w:iCs/>
          <w:noProof/>
          <w:sz w:val="18"/>
          <w:szCs w:val="18"/>
        </w:rPr>
        <w:t>2</w:t>
      </w:r>
      <w:r w:rsidRPr="00EA455B">
        <w:rPr>
          <w:i/>
          <w:iCs/>
          <w:noProof/>
          <w:sz w:val="18"/>
          <w:szCs w:val="18"/>
        </w:rPr>
        <w:fldChar w:fldCharType="end"/>
      </w:r>
      <w:r w:rsidRPr="00EA455B">
        <w:rPr>
          <w:i/>
          <w:iCs/>
          <w:sz w:val="18"/>
          <w:szCs w:val="18"/>
        </w:rPr>
        <w:t>. Basic scheme of the process used for generating covariance matrices in AMARA format starting from nuclear data evaluations.</w:t>
      </w:r>
    </w:p>
    <w:p w14:paraId="43930CC8" w14:textId="443A82C8" w:rsidR="000146F5" w:rsidRDefault="000146F5" w:rsidP="000146F5">
      <w:pPr>
        <w:pStyle w:val="Titolo3"/>
      </w:pPr>
      <w:r>
        <w:t xml:space="preserve">ENDF/B-VIII.0 based </w:t>
      </w:r>
      <w:r w:rsidR="00A36621">
        <w:t>covariance</w:t>
      </w:r>
      <w:r>
        <w:t xml:space="preserve"> generation</w:t>
      </w:r>
    </w:p>
    <w:p w14:paraId="22D21275" w14:textId="4C75FB88" w:rsidR="004C7546" w:rsidRDefault="00A36621" w:rsidP="004C7546">
      <w:pPr>
        <w:pStyle w:val="Corpotesto"/>
      </w:pPr>
      <w:r w:rsidRPr="00A36621">
        <w:t xml:space="preserve">The process described in the previous </w:t>
      </w:r>
      <w:r w:rsidR="00CA7F06">
        <w:t>s</w:t>
      </w:r>
      <w:r w:rsidRPr="00A36621">
        <w:t>ection was applied for generating a covariance</w:t>
      </w:r>
      <w:r>
        <w:t xml:space="preserve"> </w:t>
      </w:r>
      <w:r w:rsidRPr="00A36621">
        <w:t>matrix from the ENDF/B-VIII.0 evaluation [</w:t>
      </w:r>
      <w:r w:rsidR="00EC3115">
        <w:t>1</w:t>
      </w:r>
      <w:r w:rsidR="0007083C">
        <w:t>2</w:t>
      </w:r>
      <w:r w:rsidRPr="00A36621">
        <w:t xml:space="preserve">] used </w:t>
      </w:r>
      <w:r w:rsidR="00F46D95">
        <w:t xml:space="preserve">in the paper </w:t>
      </w:r>
      <w:r w:rsidRPr="00A36621">
        <w:t>in all the uncertainty analyses</w:t>
      </w:r>
      <w:r>
        <w:t xml:space="preserve"> </w:t>
      </w:r>
      <w:r w:rsidR="00CA7F06">
        <w:t>performed for adjustment purposes</w:t>
      </w:r>
      <w:r w:rsidRPr="00A36621">
        <w:t>.</w:t>
      </w:r>
      <w:r>
        <w:t xml:space="preserve"> </w:t>
      </w:r>
      <w:r w:rsidRPr="00A36621">
        <w:t xml:space="preserve">In line with </w:t>
      </w:r>
      <w:r w:rsidR="00CB79E2">
        <w:t xml:space="preserve">the process </w:t>
      </w:r>
      <w:proofErr w:type="gramStart"/>
      <w:r w:rsidR="00422404">
        <w:t>already described</w:t>
      </w:r>
      <w:r w:rsidR="00A62053">
        <w:t>,</w:t>
      </w:r>
      <w:proofErr w:type="gramEnd"/>
      <w:r w:rsidR="00CB79E2">
        <w:t xml:space="preserve"> </w:t>
      </w:r>
      <w:r w:rsidRPr="00A36621">
        <w:t>file 31 (MF=31) and file 33 (MF=33) of the original tapes, containing</w:t>
      </w:r>
      <w:r>
        <w:t xml:space="preserve"> </w:t>
      </w:r>
      <w:r w:rsidRPr="00A36621">
        <w:t xml:space="preserve">covariances for reaction cross-sections and </w:t>
      </w:r>
      <m:oMath>
        <m:acc>
          <m:accPr>
            <m:chr m:val="̅"/>
            <m:ctrlPr>
              <w:rPr>
                <w:rFonts w:ascii="Cambria Math" w:hAnsi="Cambria Math"/>
                <w:i/>
              </w:rPr>
            </m:ctrlPr>
          </m:accPr>
          <m:e>
            <m:r>
              <w:rPr>
                <w:rFonts w:ascii="Cambria Math" w:hAnsi="Cambria Math"/>
              </w:rPr>
              <m:t>ν</m:t>
            </m:r>
          </m:e>
        </m:acc>
      </m:oMath>
      <w:r w:rsidRPr="00A36621">
        <w:t>, respectively, were processed by NJOY at a</w:t>
      </w:r>
      <w:r>
        <w:t xml:space="preserve"> </w:t>
      </w:r>
      <w:r w:rsidRPr="00A36621">
        <w:t>temperature of 293.6</w:t>
      </w:r>
      <w:r w:rsidR="00C05E04">
        <w:t> </w:t>
      </w:r>
      <w:r w:rsidRPr="00A36621">
        <w:t>K</w:t>
      </w:r>
      <w:r w:rsidR="008925A6">
        <w:t xml:space="preserve">. </w:t>
      </w:r>
      <w:r w:rsidRPr="00A36621">
        <w:t xml:space="preserve">The process was applied only to </w:t>
      </w:r>
      <w:r w:rsidR="00F46D95">
        <w:t xml:space="preserve">isotopes </w:t>
      </w:r>
      <w:r w:rsidRPr="00A36621">
        <w:t>most relevant from the neutronic point of view.</w:t>
      </w:r>
      <w:r w:rsidR="00E1407F">
        <w:t xml:space="preserve"> I</w:t>
      </w:r>
      <w:r w:rsidR="00E1407F" w:rsidRPr="00A36621">
        <w:t xml:space="preserve">n calculating covariances, some isotopes </w:t>
      </w:r>
      <w:r w:rsidR="0080394C">
        <w:t>needed a special treatment</w:t>
      </w:r>
      <w:r w:rsidR="00CB79E2">
        <w:t xml:space="preserve">: </w:t>
      </w:r>
      <w:r w:rsidR="00997DBE">
        <w:t xml:space="preserve">in particular, </w:t>
      </w:r>
      <w:r w:rsidR="0074273F">
        <w:t xml:space="preserve">the </w:t>
      </w:r>
      <w:r w:rsidR="00997DBE">
        <w:t xml:space="preserve">isotopes </w:t>
      </w:r>
      <w:r w:rsidR="00CB79E2" w:rsidRPr="00A36621">
        <w:t>not hav</w:t>
      </w:r>
      <w:r w:rsidR="0074273F">
        <w:t>ing</w:t>
      </w:r>
      <w:r w:rsidR="00CB79E2" w:rsidRPr="00A36621">
        <w:t xml:space="preserve"> covariances for reaction cross-sections</w:t>
      </w:r>
      <w:r w:rsidR="00CB79E2">
        <w:t xml:space="preserve"> (</w:t>
      </w:r>
      <w:r w:rsidR="00587054" w:rsidRPr="00A36621">
        <w:t>more than thirty</w:t>
      </w:r>
      <w:r w:rsidR="00587054">
        <w:t>,</w:t>
      </w:r>
      <w:r w:rsidR="00587054" w:rsidRPr="00A36621">
        <w:t xml:space="preserve"> </w:t>
      </w:r>
      <w:r w:rsidR="00997DBE">
        <w:t xml:space="preserve">such as </w:t>
      </w:r>
      <w:r w:rsidR="00CB79E2" w:rsidRPr="00A36621">
        <w:rPr>
          <w:vertAlign w:val="superscript"/>
        </w:rPr>
        <w:t>63</w:t>
      </w:r>
      <w:r w:rsidR="00CB79E2" w:rsidRPr="00A36621">
        <w:t xml:space="preserve">Cu, </w:t>
      </w:r>
      <w:r w:rsidR="00CB79E2" w:rsidRPr="00A36621">
        <w:rPr>
          <w:vertAlign w:val="superscript"/>
        </w:rPr>
        <w:t>64</w:t>
      </w:r>
      <w:r w:rsidR="00CB79E2" w:rsidRPr="00A36621">
        <w:t xml:space="preserve">Cu, </w:t>
      </w:r>
      <w:r w:rsidR="00CB79E2" w:rsidRPr="00A36621">
        <w:rPr>
          <w:vertAlign w:val="superscript"/>
        </w:rPr>
        <w:t>54</w:t>
      </w:r>
      <w:r w:rsidR="00CB79E2" w:rsidRPr="00A36621">
        <w:t>Cr</w:t>
      </w:r>
      <w:r w:rsidR="00CB79E2">
        <w:t>)</w:t>
      </w:r>
      <w:r w:rsidR="0080394C">
        <w:t xml:space="preserve"> were excluded</w:t>
      </w:r>
      <w:r w:rsidR="00CB79E2">
        <w:t>,</w:t>
      </w:r>
      <w:r w:rsidR="00997DBE">
        <w:t xml:space="preserve"> and those</w:t>
      </w:r>
      <w:r w:rsidR="00CB79E2" w:rsidRPr="00A36621">
        <w:t xml:space="preserve">, </w:t>
      </w:r>
      <w:r w:rsidR="00997DBE">
        <w:t>as</w:t>
      </w:r>
      <w:r w:rsidR="00CB79E2" w:rsidRPr="00A36621">
        <w:t xml:space="preserve"> </w:t>
      </w:r>
      <w:r w:rsidR="00CB79E2" w:rsidRPr="000334B1">
        <w:rPr>
          <w:vertAlign w:val="superscript"/>
        </w:rPr>
        <w:t>234</w:t>
      </w:r>
      <w:r w:rsidR="00CB79E2" w:rsidRPr="00A36621">
        <w:t xml:space="preserve">U, </w:t>
      </w:r>
      <w:r w:rsidR="00997DBE">
        <w:t xml:space="preserve">which </w:t>
      </w:r>
      <w:r w:rsidR="00CB79E2" w:rsidRPr="00A36621">
        <w:t xml:space="preserve">showed covariances only for MT=456 (prompt </w:t>
      </w:r>
      <w:r w:rsidR="0080394C">
        <w:t xml:space="preserve">fission </w:t>
      </w:r>
      <w:r w:rsidR="00CB79E2" w:rsidRPr="00A36621">
        <w:t>neutrons), but</w:t>
      </w:r>
      <w:r w:rsidR="00CB79E2">
        <w:t xml:space="preserve"> </w:t>
      </w:r>
      <w:r w:rsidR="00CB79E2" w:rsidRPr="00A36621">
        <w:t xml:space="preserve">not for MT=452 (total number of </w:t>
      </w:r>
      <w:r w:rsidR="0080394C">
        <w:t xml:space="preserve">fission </w:t>
      </w:r>
      <w:r w:rsidR="00CB79E2" w:rsidRPr="00A36621">
        <w:t>neutrons)</w:t>
      </w:r>
      <w:r w:rsidR="00997DBE">
        <w:t xml:space="preserve">, </w:t>
      </w:r>
      <w:r w:rsidR="00C05E04">
        <w:t>included by assuming</w:t>
      </w:r>
      <w:r w:rsidR="00997DBE">
        <w:t xml:space="preserve"> </w:t>
      </w:r>
      <w:r w:rsidR="00CB79E2" w:rsidRPr="00A36621">
        <w:t>prompt neutron</w:t>
      </w:r>
      <w:r w:rsidR="00CB79E2">
        <w:t xml:space="preserve"> </w:t>
      </w:r>
      <w:r w:rsidR="00CB79E2" w:rsidRPr="00A36621">
        <w:t xml:space="preserve">covariances as representative of </w:t>
      </w:r>
      <w:r w:rsidR="00C05E04">
        <w:t xml:space="preserve">the </w:t>
      </w:r>
      <w:r w:rsidR="00CB79E2" w:rsidRPr="00A36621">
        <w:t>total ones</w:t>
      </w:r>
      <w:r w:rsidR="004C7546">
        <w:t>.</w:t>
      </w:r>
    </w:p>
    <w:p w14:paraId="6D118568" w14:textId="4D5ADE25" w:rsidR="00D363E6" w:rsidRDefault="00386425" w:rsidP="003A2C45">
      <w:pPr>
        <w:pStyle w:val="Titolo2"/>
        <w:numPr>
          <w:ilvl w:val="1"/>
          <w:numId w:val="10"/>
        </w:numPr>
      </w:pPr>
      <w:r>
        <w:t>SELECTION OF ISOTOPES FOR THE ADJUSTMENT PROCESS</w:t>
      </w:r>
    </w:p>
    <w:p w14:paraId="187B92C1" w14:textId="1A07FB2F" w:rsidR="000334B1" w:rsidRDefault="00383541" w:rsidP="00015900">
      <w:pPr>
        <w:pStyle w:val="Corpotesto"/>
      </w:pPr>
      <w:r>
        <w:t xml:space="preserve">The </w:t>
      </w:r>
      <w:r w:rsidR="00534A58">
        <w:t xml:space="preserve">ENDF/B-VIII.0-based </w:t>
      </w:r>
      <w:r>
        <w:t xml:space="preserve">library and its associated covariance matrix obtained in the format useful for ERANOS by the processes described in the previous sections, were used for performing a </w:t>
      </w:r>
      <w:r w:rsidR="00D363E6" w:rsidRPr="000E1CA0">
        <w:t>complete S/U analysis of the main safety-relevant parameters of the ALFRED</w:t>
      </w:r>
      <w:r w:rsidR="00D363E6">
        <w:t xml:space="preserve"> </w:t>
      </w:r>
      <w:r w:rsidR="00D363E6" w:rsidRPr="000E1CA0">
        <w:t>reactor</w:t>
      </w:r>
      <w:r>
        <w:t>.</w:t>
      </w:r>
      <w:r w:rsidR="00B95E1C">
        <w:t xml:space="preserve"> </w:t>
      </w:r>
      <w:r w:rsidR="00B95E1C" w:rsidRPr="000E1CA0">
        <w:t xml:space="preserve">The effective multiplication factor, the coolant density </w:t>
      </w:r>
      <w:r w:rsidR="00B95E1C">
        <w:t xml:space="preserve">and </w:t>
      </w:r>
      <w:r w:rsidR="00B95E1C" w:rsidRPr="000E1CA0">
        <w:t>the fuel</w:t>
      </w:r>
      <w:r w:rsidR="00B95E1C">
        <w:t xml:space="preserve"> </w:t>
      </w:r>
      <w:r w:rsidR="00B95E1C" w:rsidRPr="000E1CA0">
        <w:t>Doppler effect</w:t>
      </w:r>
      <w:r w:rsidR="00B95E1C">
        <w:t>s</w:t>
      </w:r>
      <w:r w:rsidR="00B95E1C" w:rsidRPr="000E1CA0">
        <w:t xml:space="preserve">, the protection system worth and the effective delayed neutrons fraction were </w:t>
      </w:r>
      <w:proofErr w:type="gramStart"/>
      <w:r w:rsidR="00B95E1C" w:rsidRPr="000E1CA0">
        <w:lastRenderedPageBreak/>
        <w:t>evaluated</w:t>
      </w:r>
      <w:proofErr w:type="gramEnd"/>
      <w:r w:rsidR="00B95E1C" w:rsidRPr="000E1CA0">
        <w:t xml:space="preserve"> and the associated S/U results </w:t>
      </w:r>
      <w:r w:rsidR="00B95E1C">
        <w:t>collected [</w:t>
      </w:r>
      <w:r w:rsidR="008659DF">
        <w:t>5</w:t>
      </w:r>
      <w:r w:rsidR="00B95E1C">
        <w:t xml:space="preserve">] </w:t>
      </w:r>
      <w:r>
        <w:t>to</w:t>
      </w:r>
      <w:r w:rsidR="00B95E1C">
        <w:t xml:space="preserve"> </w:t>
      </w:r>
      <w:r w:rsidR="00B95E1C" w:rsidRPr="000E1CA0">
        <w:t>outlin</w:t>
      </w:r>
      <w:r>
        <w:t>e</w:t>
      </w:r>
      <w:r w:rsidR="00B95E1C" w:rsidRPr="000E1CA0">
        <w:t xml:space="preserve"> what are the most</w:t>
      </w:r>
      <w:r w:rsidR="00B95E1C">
        <w:t xml:space="preserve"> </w:t>
      </w:r>
      <w:r w:rsidR="00B95E1C" w:rsidRPr="000E1CA0">
        <w:t>important isotope-reaction couples</w:t>
      </w:r>
      <w:r w:rsidR="00B95E1C">
        <w:t xml:space="preserve">, </w:t>
      </w:r>
      <w:r>
        <w:t xml:space="preserve">with the aim of </w:t>
      </w:r>
      <w:r w:rsidR="00B95E1C" w:rsidRPr="00777416">
        <w:t xml:space="preserve">reducing the </w:t>
      </w:r>
      <w:r>
        <w:t>number</w:t>
      </w:r>
      <w:r w:rsidR="00B95E1C" w:rsidRPr="00777416">
        <w:t xml:space="preserve"> of </w:t>
      </w:r>
      <w:r w:rsidR="00B95E1C">
        <w:t xml:space="preserve">isotopes </w:t>
      </w:r>
      <w:r w:rsidR="00B95E1C" w:rsidRPr="00777416">
        <w:t>to handle</w:t>
      </w:r>
      <w:r w:rsidR="00A62053">
        <w:t>,</w:t>
      </w:r>
      <w:r w:rsidR="00B95E1C" w:rsidRPr="00777416">
        <w:t xml:space="preserve"> which c</w:t>
      </w:r>
      <w:r w:rsidR="00B95E1C">
        <w:t>ould</w:t>
      </w:r>
      <w:r w:rsidR="00B95E1C" w:rsidRPr="00777416">
        <w:t xml:space="preserve"> be particularly high for </w:t>
      </w:r>
      <w:r w:rsidR="00B95E1C">
        <w:t xml:space="preserve">the most recent </w:t>
      </w:r>
      <w:r w:rsidR="00B95E1C" w:rsidRPr="00777416">
        <w:t>libraries containing more than 500 isotopes</w:t>
      </w:r>
      <w:r w:rsidR="00B95E1C">
        <w:t>.</w:t>
      </w:r>
      <w:r>
        <w:t xml:space="preserve"> I</w:t>
      </w:r>
      <w:r w:rsidR="0074273F">
        <w:t>sot</w:t>
      </w:r>
      <w:r w:rsidR="00A70A34">
        <w:t>o</w:t>
      </w:r>
      <w:r w:rsidR="0074273F">
        <w:t>pe-reaction</w:t>
      </w:r>
      <w:r w:rsidR="00320E20">
        <w:t xml:space="preserve"> contribution</w:t>
      </w:r>
      <w:r>
        <w:t>s to sensitivity, as obtained by the performed S/U analysis,</w:t>
      </w:r>
      <w:r w:rsidR="00320E20">
        <w:t xml:space="preserve"> w</w:t>
      </w:r>
      <w:r w:rsidR="009C09BD">
        <w:t>ere</w:t>
      </w:r>
      <w:r w:rsidR="00320E20">
        <w:t xml:space="preserve"> sorted in descending order of magnitude, and contribution</w:t>
      </w:r>
      <w:r>
        <w:t>s</w:t>
      </w:r>
      <w:r w:rsidR="00320E20">
        <w:t xml:space="preserve"> lower than an arbitrary value of 0.01 were excluded</w:t>
      </w:r>
      <w:r w:rsidR="004E1580">
        <w:t>, while</w:t>
      </w:r>
      <w:r w:rsidR="00F53F9D">
        <w:t xml:space="preserve"> </w:t>
      </w:r>
      <w:r w:rsidR="004E1580">
        <w:t>u</w:t>
      </w:r>
      <w:r w:rsidR="00320E20">
        <w:t>ncertainty-wise</w:t>
      </w:r>
      <w:r w:rsidR="00320E20" w:rsidRPr="00320E20">
        <w:t xml:space="preserve">, only </w:t>
      </w:r>
      <w:r w:rsidR="009830A1">
        <w:t xml:space="preserve">contributions </w:t>
      </w:r>
      <w:r w:rsidR="00320E20" w:rsidRPr="00320E20">
        <w:t>higher</w:t>
      </w:r>
      <w:r w:rsidR="00320E20">
        <w:t xml:space="preserve"> </w:t>
      </w:r>
      <w:r w:rsidR="00320E20" w:rsidRPr="00320E20">
        <w:t>than 1/100 of the maximum were taken into consideration in the final list of isotopes.</w:t>
      </w:r>
      <w:r w:rsidR="00320E20">
        <w:t xml:space="preserve"> </w:t>
      </w:r>
      <w:r>
        <w:t>In addition</w:t>
      </w:r>
      <w:r w:rsidR="00EE7CAD">
        <w:t xml:space="preserve">, </w:t>
      </w:r>
      <w:r w:rsidR="00943366">
        <w:t xml:space="preserve">the isotopes deemed fundamental for </w:t>
      </w:r>
      <w:r w:rsidR="009C09BD">
        <w:t>the</w:t>
      </w:r>
      <w:r w:rsidR="00BE192D">
        <w:t xml:space="preserve"> </w:t>
      </w:r>
      <w:r w:rsidR="00943366">
        <w:t>set of experiments representative of ALFRED</w:t>
      </w:r>
      <w:r w:rsidR="009C09BD">
        <w:t xml:space="preserve"> (see below)</w:t>
      </w:r>
      <w:r w:rsidR="00DF06CF">
        <w:t xml:space="preserve"> </w:t>
      </w:r>
      <w:r w:rsidR="00943366">
        <w:t>were c</w:t>
      </w:r>
      <w:r w:rsidR="00062E9A">
        <w:t>onsidered</w:t>
      </w:r>
      <w:r w:rsidR="009C09BD">
        <w:t>;</w:t>
      </w:r>
      <w:r w:rsidR="00943366">
        <w:t xml:space="preserve"> </w:t>
      </w:r>
      <w:r w:rsidR="009C09BD">
        <w:t>the example of</w:t>
      </w:r>
      <w:r w:rsidR="00BE192D">
        <w:t xml:space="preserve"> S</w:t>
      </w:r>
      <w:r w:rsidR="00943366">
        <w:t>odium</w:t>
      </w:r>
      <w:r w:rsidR="009C09BD">
        <w:t xml:space="preserve"> is emblematic in this sense</w:t>
      </w:r>
      <w:r w:rsidR="00943366">
        <w:t>. From all the above</w:t>
      </w:r>
      <w:r w:rsidR="00320E20" w:rsidRPr="00320E20">
        <w:t>, a final list of 37 isotopes, reported in Tab</w:t>
      </w:r>
      <w:r w:rsidR="0074273F">
        <w:t>le</w:t>
      </w:r>
      <w:r w:rsidR="00320E20" w:rsidRPr="00320E20">
        <w:t xml:space="preserve"> </w:t>
      </w:r>
      <w:r w:rsidR="00F36954">
        <w:t>1</w:t>
      </w:r>
      <w:r w:rsidR="00320E20" w:rsidRPr="00320E20">
        <w:t>, was</w:t>
      </w:r>
      <w:r w:rsidR="00320E20">
        <w:t xml:space="preserve"> </w:t>
      </w:r>
      <w:r w:rsidR="00B64BBD">
        <w:t xml:space="preserve">considered </w:t>
      </w:r>
      <w:r w:rsidR="00BE192D">
        <w:t>for</w:t>
      </w:r>
      <w:r w:rsidR="00B64BBD">
        <w:t xml:space="preserve"> </w:t>
      </w:r>
      <w:r w:rsidR="00320E20" w:rsidRPr="00320E20">
        <w:t>the adjustment algorithm</w:t>
      </w:r>
      <w:r w:rsidR="00B64BBD">
        <w:t>,</w:t>
      </w:r>
      <w:r w:rsidR="00320E20" w:rsidRPr="00320E20">
        <w:t xml:space="preserve"> as explained </w:t>
      </w:r>
      <w:r w:rsidR="00320E20">
        <w:t>hereafter</w:t>
      </w:r>
      <w:r w:rsidR="00320E20" w:rsidRPr="00320E20">
        <w:t>.</w:t>
      </w:r>
    </w:p>
    <w:p w14:paraId="6D8CF066" w14:textId="52EF7C8E" w:rsidR="00EB3400" w:rsidRDefault="00EB3400" w:rsidP="00320E20">
      <w:pPr>
        <w:pStyle w:val="Corpotesto"/>
      </w:pPr>
    </w:p>
    <w:p w14:paraId="53C1D767" w14:textId="41834ADE" w:rsidR="00320E20" w:rsidRDefault="00320E20" w:rsidP="00320E20">
      <w:pPr>
        <w:pStyle w:val="Corpotesto"/>
        <w:ind w:firstLine="0"/>
      </w:pPr>
      <w:r>
        <w:t xml:space="preserve">TABLE </w:t>
      </w:r>
      <w:r w:rsidR="00F36954">
        <w:t>1</w:t>
      </w:r>
      <w:r>
        <w:t>.</w:t>
      </w:r>
      <w:r>
        <w:tab/>
        <w:t xml:space="preserve">ISOTOPES </w:t>
      </w:r>
      <w:r w:rsidR="00DB72B4">
        <w:t>SELECTED FOR LIBRARY ADJUSTMENT</w:t>
      </w:r>
    </w:p>
    <w:p w14:paraId="4E716648" w14:textId="77777777" w:rsidR="00320E20" w:rsidRDefault="00320E20" w:rsidP="00320E20">
      <w:pPr>
        <w:pStyle w:val="Corpotesto"/>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902"/>
        <w:gridCol w:w="902"/>
        <w:gridCol w:w="901"/>
        <w:gridCol w:w="902"/>
        <w:gridCol w:w="902"/>
        <w:gridCol w:w="901"/>
        <w:gridCol w:w="902"/>
        <w:gridCol w:w="902"/>
        <w:gridCol w:w="902"/>
      </w:tblGrid>
      <w:tr w:rsidR="00320E20" w14:paraId="774D6A74" w14:textId="77777777" w:rsidTr="00534A58">
        <w:trPr>
          <w:jc w:val="center"/>
        </w:trPr>
        <w:tc>
          <w:tcPr>
            <w:tcW w:w="901" w:type="dxa"/>
            <w:tcBorders>
              <w:top w:val="single" w:sz="4" w:space="0" w:color="auto"/>
            </w:tcBorders>
            <w:vAlign w:val="center"/>
          </w:tcPr>
          <w:p w14:paraId="6F6DA627" w14:textId="1C3E7940" w:rsidR="00320E20" w:rsidRDefault="00320E20" w:rsidP="00534A58">
            <w:pPr>
              <w:pStyle w:val="Corpotesto"/>
              <w:ind w:firstLine="0"/>
              <w:jc w:val="center"/>
            </w:pPr>
            <w:r w:rsidRPr="00DB72B4">
              <w:rPr>
                <w:vertAlign w:val="superscript"/>
              </w:rPr>
              <w:t>10</w:t>
            </w:r>
            <w:r>
              <w:t>B</w:t>
            </w:r>
          </w:p>
        </w:tc>
        <w:tc>
          <w:tcPr>
            <w:tcW w:w="902" w:type="dxa"/>
            <w:tcBorders>
              <w:top w:val="single" w:sz="4" w:space="0" w:color="auto"/>
            </w:tcBorders>
            <w:vAlign w:val="center"/>
          </w:tcPr>
          <w:p w14:paraId="5C8C29BE" w14:textId="23E59B06" w:rsidR="00320E20" w:rsidRDefault="00320E20" w:rsidP="00534A58">
            <w:pPr>
              <w:pStyle w:val="Corpotesto"/>
              <w:ind w:firstLine="0"/>
              <w:jc w:val="center"/>
            </w:pPr>
            <w:r w:rsidRPr="00DB72B4">
              <w:rPr>
                <w:vertAlign w:val="superscript"/>
              </w:rPr>
              <w:t>11</w:t>
            </w:r>
            <w:r>
              <w:t>B</w:t>
            </w:r>
          </w:p>
        </w:tc>
        <w:tc>
          <w:tcPr>
            <w:tcW w:w="902" w:type="dxa"/>
            <w:tcBorders>
              <w:top w:val="single" w:sz="4" w:space="0" w:color="auto"/>
            </w:tcBorders>
            <w:vAlign w:val="center"/>
          </w:tcPr>
          <w:p w14:paraId="082A365E" w14:textId="7B1B4B35" w:rsidR="00320E20" w:rsidRDefault="00320E20" w:rsidP="00534A58">
            <w:pPr>
              <w:pStyle w:val="Corpotesto"/>
              <w:ind w:firstLine="0"/>
              <w:jc w:val="center"/>
            </w:pPr>
            <w:r w:rsidRPr="00DB72B4">
              <w:rPr>
                <w:vertAlign w:val="superscript"/>
              </w:rPr>
              <w:t>12</w:t>
            </w:r>
            <w:r>
              <w:t>C</w:t>
            </w:r>
          </w:p>
        </w:tc>
        <w:tc>
          <w:tcPr>
            <w:tcW w:w="901" w:type="dxa"/>
            <w:tcBorders>
              <w:top w:val="single" w:sz="4" w:space="0" w:color="auto"/>
            </w:tcBorders>
            <w:vAlign w:val="center"/>
          </w:tcPr>
          <w:p w14:paraId="56746D8B" w14:textId="33DA60A9" w:rsidR="00320E20" w:rsidRDefault="00320E20" w:rsidP="00534A58">
            <w:pPr>
              <w:pStyle w:val="Corpotesto"/>
              <w:ind w:firstLine="0"/>
              <w:jc w:val="center"/>
            </w:pPr>
            <w:r w:rsidRPr="00DB72B4">
              <w:rPr>
                <w:vertAlign w:val="superscript"/>
              </w:rPr>
              <w:t>16</w:t>
            </w:r>
            <w:r>
              <w:t>O</w:t>
            </w:r>
          </w:p>
        </w:tc>
        <w:tc>
          <w:tcPr>
            <w:tcW w:w="902" w:type="dxa"/>
            <w:tcBorders>
              <w:top w:val="single" w:sz="4" w:space="0" w:color="auto"/>
            </w:tcBorders>
            <w:vAlign w:val="center"/>
          </w:tcPr>
          <w:p w14:paraId="4B9B4C94" w14:textId="4599EAB6" w:rsidR="00320E20" w:rsidRDefault="00320E20" w:rsidP="00534A58">
            <w:pPr>
              <w:pStyle w:val="Corpotesto"/>
              <w:ind w:firstLine="0"/>
              <w:jc w:val="center"/>
            </w:pPr>
            <w:r w:rsidRPr="00DB72B4">
              <w:rPr>
                <w:vertAlign w:val="superscript"/>
              </w:rPr>
              <w:t>23</w:t>
            </w:r>
            <w:r>
              <w:t>Na</w:t>
            </w:r>
          </w:p>
        </w:tc>
        <w:tc>
          <w:tcPr>
            <w:tcW w:w="902" w:type="dxa"/>
            <w:tcBorders>
              <w:top w:val="single" w:sz="4" w:space="0" w:color="auto"/>
            </w:tcBorders>
            <w:vAlign w:val="center"/>
          </w:tcPr>
          <w:p w14:paraId="1FD5B6DD" w14:textId="020D44FE" w:rsidR="00320E20" w:rsidRDefault="00320E20" w:rsidP="00534A58">
            <w:pPr>
              <w:pStyle w:val="Corpotesto"/>
              <w:ind w:firstLine="0"/>
              <w:jc w:val="center"/>
            </w:pPr>
            <w:r w:rsidRPr="00DB72B4">
              <w:rPr>
                <w:vertAlign w:val="superscript"/>
              </w:rPr>
              <w:t>27</w:t>
            </w:r>
            <w:r>
              <w:t>Al</w:t>
            </w:r>
          </w:p>
        </w:tc>
        <w:tc>
          <w:tcPr>
            <w:tcW w:w="901" w:type="dxa"/>
            <w:tcBorders>
              <w:top w:val="single" w:sz="4" w:space="0" w:color="auto"/>
            </w:tcBorders>
            <w:vAlign w:val="center"/>
          </w:tcPr>
          <w:p w14:paraId="64D501BE" w14:textId="125CFCEB" w:rsidR="00320E20" w:rsidRDefault="00320E20" w:rsidP="00534A58">
            <w:pPr>
              <w:pStyle w:val="Corpotesto"/>
              <w:ind w:firstLine="0"/>
              <w:jc w:val="center"/>
            </w:pPr>
            <w:r w:rsidRPr="00DB72B4">
              <w:rPr>
                <w:vertAlign w:val="superscript"/>
              </w:rPr>
              <w:t>28</w:t>
            </w:r>
            <w:r>
              <w:t>Si</w:t>
            </w:r>
          </w:p>
        </w:tc>
        <w:tc>
          <w:tcPr>
            <w:tcW w:w="902" w:type="dxa"/>
            <w:tcBorders>
              <w:top w:val="single" w:sz="4" w:space="0" w:color="auto"/>
            </w:tcBorders>
            <w:vAlign w:val="center"/>
          </w:tcPr>
          <w:p w14:paraId="5AB0BE79" w14:textId="5F35A470" w:rsidR="00320E20" w:rsidRDefault="00320E20" w:rsidP="00534A58">
            <w:pPr>
              <w:pStyle w:val="Corpotesto"/>
              <w:ind w:firstLine="0"/>
              <w:jc w:val="center"/>
            </w:pPr>
            <w:r w:rsidRPr="00AA77A2">
              <w:rPr>
                <w:vertAlign w:val="superscript"/>
              </w:rPr>
              <w:t>50</w:t>
            </w:r>
            <w:r>
              <w:t>Cr</w:t>
            </w:r>
          </w:p>
        </w:tc>
        <w:tc>
          <w:tcPr>
            <w:tcW w:w="902" w:type="dxa"/>
            <w:tcBorders>
              <w:top w:val="single" w:sz="4" w:space="0" w:color="auto"/>
            </w:tcBorders>
            <w:vAlign w:val="center"/>
          </w:tcPr>
          <w:p w14:paraId="498809BD" w14:textId="455A86AC" w:rsidR="00320E20" w:rsidRDefault="00320E20" w:rsidP="00534A58">
            <w:pPr>
              <w:pStyle w:val="Corpotesto"/>
              <w:ind w:firstLine="0"/>
              <w:jc w:val="center"/>
            </w:pPr>
            <w:r w:rsidRPr="00AA77A2">
              <w:rPr>
                <w:vertAlign w:val="superscript"/>
              </w:rPr>
              <w:t>52</w:t>
            </w:r>
            <w:r>
              <w:t>Cr</w:t>
            </w:r>
          </w:p>
        </w:tc>
        <w:tc>
          <w:tcPr>
            <w:tcW w:w="902" w:type="dxa"/>
            <w:tcBorders>
              <w:top w:val="single" w:sz="4" w:space="0" w:color="auto"/>
            </w:tcBorders>
            <w:vAlign w:val="center"/>
          </w:tcPr>
          <w:p w14:paraId="02EA7314" w14:textId="054F66FF" w:rsidR="00320E20" w:rsidRDefault="00320E20" w:rsidP="00534A58">
            <w:pPr>
              <w:pStyle w:val="Corpotesto"/>
              <w:ind w:firstLine="0"/>
              <w:jc w:val="center"/>
            </w:pPr>
            <w:r w:rsidRPr="00AA77A2">
              <w:rPr>
                <w:vertAlign w:val="superscript"/>
              </w:rPr>
              <w:t>53</w:t>
            </w:r>
            <w:r>
              <w:t>Cr</w:t>
            </w:r>
          </w:p>
        </w:tc>
      </w:tr>
      <w:tr w:rsidR="00320E20" w14:paraId="04DC043A" w14:textId="77777777" w:rsidTr="00534A58">
        <w:trPr>
          <w:jc w:val="center"/>
        </w:trPr>
        <w:tc>
          <w:tcPr>
            <w:tcW w:w="901" w:type="dxa"/>
            <w:vAlign w:val="center"/>
          </w:tcPr>
          <w:p w14:paraId="6FF9DA14" w14:textId="44438917" w:rsidR="00320E20" w:rsidRDefault="00320E20" w:rsidP="00534A58">
            <w:pPr>
              <w:pStyle w:val="Corpotesto"/>
              <w:ind w:firstLine="0"/>
              <w:jc w:val="center"/>
            </w:pPr>
            <w:r w:rsidRPr="00E03E70">
              <w:rPr>
                <w:vertAlign w:val="superscript"/>
              </w:rPr>
              <w:t>55</w:t>
            </w:r>
            <w:r>
              <w:t>Mn</w:t>
            </w:r>
          </w:p>
        </w:tc>
        <w:tc>
          <w:tcPr>
            <w:tcW w:w="902" w:type="dxa"/>
            <w:vAlign w:val="center"/>
          </w:tcPr>
          <w:p w14:paraId="5F301E6F" w14:textId="10467EF6" w:rsidR="00320E20" w:rsidRDefault="00320E20" w:rsidP="00534A58">
            <w:pPr>
              <w:pStyle w:val="Corpotesto"/>
              <w:ind w:firstLine="0"/>
              <w:jc w:val="center"/>
            </w:pPr>
            <w:r w:rsidRPr="00E03E70">
              <w:rPr>
                <w:vertAlign w:val="superscript"/>
              </w:rPr>
              <w:t>56</w:t>
            </w:r>
            <w:r>
              <w:t>Fe</w:t>
            </w:r>
          </w:p>
        </w:tc>
        <w:tc>
          <w:tcPr>
            <w:tcW w:w="902" w:type="dxa"/>
            <w:vAlign w:val="center"/>
          </w:tcPr>
          <w:p w14:paraId="540C7B30" w14:textId="0607D54E" w:rsidR="00320E20" w:rsidRDefault="00320E20" w:rsidP="00534A58">
            <w:pPr>
              <w:pStyle w:val="Corpotesto"/>
              <w:ind w:firstLine="0"/>
              <w:jc w:val="center"/>
            </w:pPr>
            <w:r w:rsidRPr="00E03E70">
              <w:rPr>
                <w:vertAlign w:val="superscript"/>
              </w:rPr>
              <w:t>58</w:t>
            </w:r>
            <w:r>
              <w:t>Ni</w:t>
            </w:r>
          </w:p>
        </w:tc>
        <w:tc>
          <w:tcPr>
            <w:tcW w:w="901" w:type="dxa"/>
            <w:vAlign w:val="center"/>
          </w:tcPr>
          <w:p w14:paraId="7DDECBBB" w14:textId="7225DFDD" w:rsidR="00320E20" w:rsidRDefault="00320E20" w:rsidP="00534A58">
            <w:pPr>
              <w:pStyle w:val="Corpotesto"/>
              <w:ind w:firstLine="0"/>
              <w:jc w:val="center"/>
            </w:pPr>
            <w:r w:rsidRPr="00E03E70">
              <w:rPr>
                <w:vertAlign w:val="superscript"/>
              </w:rPr>
              <w:t>60</w:t>
            </w:r>
            <w:r>
              <w:t>Ni</w:t>
            </w:r>
          </w:p>
        </w:tc>
        <w:tc>
          <w:tcPr>
            <w:tcW w:w="902" w:type="dxa"/>
            <w:vAlign w:val="center"/>
          </w:tcPr>
          <w:p w14:paraId="673AC954" w14:textId="1F022D99" w:rsidR="00320E20" w:rsidRDefault="00320E20" w:rsidP="00534A58">
            <w:pPr>
              <w:pStyle w:val="Corpotesto"/>
              <w:ind w:firstLine="0"/>
              <w:jc w:val="center"/>
            </w:pPr>
            <w:r w:rsidRPr="00AA77A2">
              <w:rPr>
                <w:vertAlign w:val="superscript"/>
              </w:rPr>
              <w:t>90</w:t>
            </w:r>
            <w:r>
              <w:t>Zr</w:t>
            </w:r>
          </w:p>
        </w:tc>
        <w:tc>
          <w:tcPr>
            <w:tcW w:w="902" w:type="dxa"/>
            <w:vAlign w:val="center"/>
          </w:tcPr>
          <w:p w14:paraId="554A9A38" w14:textId="751A84EF" w:rsidR="00320E20" w:rsidRDefault="00320E20" w:rsidP="00534A58">
            <w:pPr>
              <w:pStyle w:val="Corpotesto"/>
              <w:ind w:firstLine="0"/>
              <w:jc w:val="center"/>
            </w:pPr>
            <w:r w:rsidRPr="00AA77A2">
              <w:rPr>
                <w:vertAlign w:val="superscript"/>
              </w:rPr>
              <w:t>91</w:t>
            </w:r>
            <w:r>
              <w:t>Zr</w:t>
            </w:r>
          </w:p>
        </w:tc>
        <w:tc>
          <w:tcPr>
            <w:tcW w:w="901" w:type="dxa"/>
            <w:vAlign w:val="center"/>
          </w:tcPr>
          <w:p w14:paraId="2A0B361B" w14:textId="2A777BAA" w:rsidR="00320E20" w:rsidRDefault="00320E20" w:rsidP="00534A58">
            <w:pPr>
              <w:pStyle w:val="Corpotesto"/>
              <w:ind w:firstLine="0"/>
              <w:jc w:val="center"/>
            </w:pPr>
            <w:r w:rsidRPr="00AA77A2">
              <w:rPr>
                <w:vertAlign w:val="superscript"/>
              </w:rPr>
              <w:t>92</w:t>
            </w:r>
            <w:r>
              <w:t>Zr</w:t>
            </w:r>
          </w:p>
        </w:tc>
        <w:tc>
          <w:tcPr>
            <w:tcW w:w="902" w:type="dxa"/>
            <w:vAlign w:val="center"/>
          </w:tcPr>
          <w:p w14:paraId="0B276288" w14:textId="4C3B0540" w:rsidR="00320E20" w:rsidRDefault="00320E20" w:rsidP="00534A58">
            <w:pPr>
              <w:pStyle w:val="Corpotesto"/>
              <w:ind w:firstLine="0"/>
              <w:jc w:val="center"/>
            </w:pPr>
            <w:r w:rsidRPr="00AA77A2">
              <w:rPr>
                <w:vertAlign w:val="superscript"/>
              </w:rPr>
              <w:t>92</w:t>
            </w:r>
            <w:r>
              <w:t>Mo</w:t>
            </w:r>
          </w:p>
        </w:tc>
        <w:tc>
          <w:tcPr>
            <w:tcW w:w="902" w:type="dxa"/>
            <w:vAlign w:val="center"/>
          </w:tcPr>
          <w:p w14:paraId="00FBC225" w14:textId="3BB62430" w:rsidR="00320E20" w:rsidRDefault="00320E20" w:rsidP="00534A58">
            <w:pPr>
              <w:pStyle w:val="Corpotesto"/>
              <w:ind w:firstLine="0"/>
              <w:jc w:val="center"/>
            </w:pPr>
            <w:r w:rsidRPr="00AA77A2">
              <w:rPr>
                <w:vertAlign w:val="superscript"/>
              </w:rPr>
              <w:t>94</w:t>
            </w:r>
            <w:r>
              <w:t>Zr</w:t>
            </w:r>
          </w:p>
        </w:tc>
        <w:tc>
          <w:tcPr>
            <w:tcW w:w="902" w:type="dxa"/>
            <w:vAlign w:val="center"/>
          </w:tcPr>
          <w:p w14:paraId="5553A489" w14:textId="7DDD0CC2" w:rsidR="00320E20" w:rsidRDefault="00320E20" w:rsidP="00534A58">
            <w:pPr>
              <w:pStyle w:val="Corpotesto"/>
              <w:ind w:firstLine="0"/>
              <w:jc w:val="center"/>
            </w:pPr>
            <w:r w:rsidRPr="00AA77A2">
              <w:rPr>
                <w:vertAlign w:val="superscript"/>
              </w:rPr>
              <w:t>94</w:t>
            </w:r>
            <w:r>
              <w:t>Mo</w:t>
            </w:r>
          </w:p>
        </w:tc>
      </w:tr>
      <w:tr w:rsidR="00320E20" w14:paraId="5B28C9DC" w14:textId="77777777" w:rsidTr="00534A58">
        <w:trPr>
          <w:jc w:val="center"/>
        </w:trPr>
        <w:tc>
          <w:tcPr>
            <w:tcW w:w="901" w:type="dxa"/>
            <w:vAlign w:val="center"/>
          </w:tcPr>
          <w:p w14:paraId="079AC598" w14:textId="6EEAEF7A" w:rsidR="00320E20" w:rsidRDefault="00320E20" w:rsidP="00534A58">
            <w:pPr>
              <w:pStyle w:val="Corpotesto"/>
              <w:ind w:firstLine="0"/>
              <w:jc w:val="center"/>
            </w:pPr>
            <w:r w:rsidRPr="00E03E70">
              <w:rPr>
                <w:vertAlign w:val="superscript"/>
              </w:rPr>
              <w:t>95</w:t>
            </w:r>
            <w:r>
              <w:t>Mo</w:t>
            </w:r>
          </w:p>
        </w:tc>
        <w:tc>
          <w:tcPr>
            <w:tcW w:w="902" w:type="dxa"/>
            <w:vAlign w:val="center"/>
          </w:tcPr>
          <w:p w14:paraId="579B0540" w14:textId="4DB95DD4" w:rsidR="00320E20" w:rsidRDefault="00320E20" w:rsidP="00534A58">
            <w:pPr>
              <w:pStyle w:val="Corpotesto"/>
              <w:ind w:firstLine="0"/>
              <w:jc w:val="center"/>
            </w:pPr>
            <w:r w:rsidRPr="00E03E70">
              <w:rPr>
                <w:vertAlign w:val="superscript"/>
              </w:rPr>
              <w:t>96</w:t>
            </w:r>
            <w:r>
              <w:t>Mo</w:t>
            </w:r>
          </w:p>
        </w:tc>
        <w:tc>
          <w:tcPr>
            <w:tcW w:w="902" w:type="dxa"/>
            <w:vAlign w:val="center"/>
          </w:tcPr>
          <w:p w14:paraId="71254875" w14:textId="669BC021" w:rsidR="00320E20" w:rsidRDefault="00320E20" w:rsidP="00534A58">
            <w:pPr>
              <w:pStyle w:val="Corpotesto"/>
              <w:ind w:firstLine="0"/>
              <w:jc w:val="center"/>
            </w:pPr>
            <w:r w:rsidRPr="00E03E70">
              <w:rPr>
                <w:vertAlign w:val="superscript"/>
              </w:rPr>
              <w:t>97</w:t>
            </w:r>
            <w:r>
              <w:t>Mo</w:t>
            </w:r>
          </w:p>
        </w:tc>
        <w:tc>
          <w:tcPr>
            <w:tcW w:w="901" w:type="dxa"/>
            <w:vAlign w:val="center"/>
          </w:tcPr>
          <w:p w14:paraId="3E599309" w14:textId="6CEB88D4" w:rsidR="00320E20" w:rsidRDefault="00320E20" w:rsidP="00534A58">
            <w:pPr>
              <w:pStyle w:val="Corpotesto"/>
              <w:ind w:firstLine="0"/>
              <w:jc w:val="center"/>
            </w:pPr>
            <w:r w:rsidRPr="00E03E70">
              <w:rPr>
                <w:vertAlign w:val="superscript"/>
              </w:rPr>
              <w:t>98</w:t>
            </w:r>
            <w:r>
              <w:t>Mo</w:t>
            </w:r>
          </w:p>
        </w:tc>
        <w:tc>
          <w:tcPr>
            <w:tcW w:w="902" w:type="dxa"/>
            <w:vAlign w:val="center"/>
          </w:tcPr>
          <w:p w14:paraId="0D6A94B8" w14:textId="6CCB5524" w:rsidR="00320E20" w:rsidRDefault="00320E20" w:rsidP="00534A58">
            <w:pPr>
              <w:pStyle w:val="Corpotesto"/>
              <w:ind w:firstLine="0"/>
              <w:jc w:val="center"/>
            </w:pPr>
            <w:r w:rsidRPr="00AA77A2">
              <w:rPr>
                <w:vertAlign w:val="superscript"/>
              </w:rPr>
              <w:t>100</w:t>
            </w:r>
            <w:r>
              <w:t>Mo</w:t>
            </w:r>
          </w:p>
        </w:tc>
        <w:tc>
          <w:tcPr>
            <w:tcW w:w="902" w:type="dxa"/>
            <w:vAlign w:val="center"/>
          </w:tcPr>
          <w:p w14:paraId="4CD7FF28" w14:textId="244B83B9" w:rsidR="00320E20" w:rsidRDefault="00320E20" w:rsidP="00534A58">
            <w:pPr>
              <w:pStyle w:val="Corpotesto"/>
              <w:ind w:firstLine="0"/>
              <w:jc w:val="center"/>
            </w:pPr>
            <w:r w:rsidRPr="00AA77A2">
              <w:rPr>
                <w:vertAlign w:val="superscript"/>
              </w:rPr>
              <w:t>204</w:t>
            </w:r>
            <w:r>
              <w:t>Pb</w:t>
            </w:r>
          </w:p>
        </w:tc>
        <w:tc>
          <w:tcPr>
            <w:tcW w:w="901" w:type="dxa"/>
            <w:vAlign w:val="center"/>
          </w:tcPr>
          <w:p w14:paraId="156470BC" w14:textId="0A7E9646" w:rsidR="00320E20" w:rsidRDefault="00320E20" w:rsidP="00534A58">
            <w:pPr>
              <w:pStyle w:val="Corpotesto"/>
              <w:ind w:firstLine="0"/>
              <w:jc w:val="center"/>
            </w:pPr>
            <w:r w:rsidRPr="00AA77A2">
              <w:rPr>
                <w:vertAlign w:val="superscript"/>
              </w:rPr>
              <w:t>206</w:t>
            </w:r>
            <w:r>
              <w:t>Pb</w:t>
            </w:r>
          </w:p>
        </w:tc>
        <w:tc>
          <w:tcPr>
            <w:tcW w:w="902" w:type="dxa"/>
            <w:vAlign w:val="center"/>
          </w:tcPr>
          <w:p w14:paraId="49458F8C" w14:textId="6CE6CE09" w:rsidR="00320E20" w:rsidRDefault="00320E20" w:rsidP="00534A58">
            <w:pPr>
              <w:pStyle w:val="Corpotesto"/>
              <w:ind w:firstLine="0"/>
              <w:jc w:val="center"/>
            </w:pPr>
            <w:r w:rsidRPr="00AA77A2">
              <w:rPr>
                <w:vertAlign w:val="superscript"/>
              </w:rPr>
              <w:t>207</w:t>
            </w:r>
            <w:r>
              <w:t>Pb</w:t>
            </w:r>
          </w:p>
        </w:tc>
        <w:tc>
          <w:tcPr>
            <w:tcW w:w="902" w:type="dxa"/>
            <w:vAlign w:val="center"/>
          </w:tcPr>
          <w:p w14:paraId="0CA0D0FE" w14:textId="1AF10AAB" w:rsidR="00320E20" w:rsidRDefault="00320E20" w:rsidP="00534A58">
            <w:pPr>
              <w:pStyle w:val="Corpotesto"/>
              <w:ind w:firstLine="0"/>
              <w:jc w:val="center"/>
            </w:pPr>
            <w:r w:rsidRPr="00AA77A2">
              <w:rPr>
                <w:vertAlign w:val="superscript"/>
              </w:rPr>
              <w:t>208</w:t>
            </w:r>
            <w:r>
              <w:t>Pb</w:t>
            </w:r>
          </w:p>
        </w:tc>
        <w:tc>
          <w:tcPr>
            <w:tcW w:w="902" w:type="dxa"/>
            <w:vAlign w:val="center"/>
          </w:tcPr>
          <w:p w14:paraId="107E5FAA" w14:textId="48070A5E" w:rsidR="00320E20" w:rsidRDefault="00DB72B4" w:rsidP="00534A58">
            <w:pPr>
              <w:pStyle w:val="Corpotesto"/>
              <w:ind w:firstLine="0"/>
              <w:jc w:val="center"/>
            </w:pPr>
            <w:r w:rsidRPr="00AA77A2">
              <w:rPr>
                <w:vertAlign w:val="superscript"/>
              </w:rPr>
              <w:t>235</w:t>
            </w:r>
            <w:r>
              <w:t>U</w:t>
            </w:r>
          </w:p>
        </w:tc>
      </w:tr>
      <w:tr w:rsidR="00320E20" w14:paraId="3E447C73" w14:textId="77777777" w:rsidTr="00534A58">
        <w:trPr>
          <w:jc w:val="center"/>
        </w:trPr>
        <w:tc>
          <w:tcPr>
            <w:tcW w:w="901" w:type="dxa"/>
            <w:tcBorders>
              <w:bottom w:val="single" w:sz="4" w:space="0" w:color="auto"/>
            </w:tcBorders>
            <w:vAlign w:val="center"/>
          </w:tcPr>
          <w:p w14:paraId="46D4D33D" w14:textId="5A178D8E" w:rsidR="00320E20" w:rsidRDefault="00DB72B4" w:rsidP="00534A58">
            <w:pPr>
              <w:pStyle w:val="Corpotesto"/>
              <w:ind w:firstLine="0"/>
              <w:jc w:val="center"/>
            </w:pPr>
            <w:r w:rsidRPr="00E03E70">
              <w:rPr>
                <w:vertAlign w:val="superscript"/>
              </w:rPr>
              <w:t>238</w:t>
            </w:r>
            <w:r>
              <w:t>Pu</w:t>
            </w:r>
          </w:p>
        </w:tc>
        <w:tc>
          <w:tcPr>
            <w:tcW w:w="902" w:type="dxa"/>
            <w:tcBorders>
              <w:bottom w:val="single" w:sz="4" w:space="0" w:color="auto"/>
            </w:tcBorders>
            <w:vAlign w:val="center"/>
          </w:tcPr>
          <w:p w14:paraId="6DB8AE96" w14:textId="54E9D6C5" w:rsidR="00320E20" w:rsidRDefault="00DB72B4" w:rsidP="00534A58">
            <w:pPr>
              <w:pStyle w:val="Corpotesto"/>
              <w:ind w:firstLine="0"/>
              <w:jc w:val="center"/>
            </w:pPr>
            <w:r w:rsidRPr="00E03E70">
              <w:rPr>
                <w:vertAlign w:val="superscript"/>
              </w:rPr>
              <w:t>238</w:t>
            </w:r>
            <w:r>
              <w:t>U</w:t>
            </w:r>
          </w:p>
        </w:tc>
        <w:tc>
          <w:tcPr>
            <w:tcW w:w="902" w:type="dxa"/>
            <w:tcBorders>
              <w:bottom w:val="single" w:sz="4" w:space="0" w:color="auto"/>
            </w:tcBorders>
            <w:vAlign w:val="center"/>
          </w:tcPr>
          <w:p w14:paraId="610EB21E" w14:textId="7902DC11" w:rsidR="00320E20" w:rsidRDefault="00DB72B4" w:rsidP="00534A58">
            <w:pPr>
              <w:pStyle w:val="Corpotesto"/>
              <w:ind w:firstLine="0"/>
              <w:jc w:val="center"/>
            </w:pPr>
            <w:r w:rsidRPr="00E03E70">
              <w:rPr>
                <w:vertAlign w:val="superscript"/>
              </w:rPr>
              <w:t>239</w:t>
            </w:r>
            <w:r>
              <w:t>Pu</w:t>
            </w:r>
          </w:p>
        </w:tc>
        <w:tc>
          <w:tcPr>
            <w:tcW w:w="901" w:type="dxa"/>
            <w:tcBorders>
              <w:bottom w:val="single" w:sz="4" w:space="0" w:color="auto"/>
            </w:tcBorders>
            <w:vAlign w:val="center"/>
          </w:tcPr>
          <w:p w14:paraId="0BD40C08" w14:textId="5083DC86" w:rsidR="00320E20" w:rsidRDefault="00DB72B4" w:rsidP="00534A58">
            <w:pPr>
              <w:pStyle w:val="Corpotesto"/>
              <w:ind w:firstLine="0"/>
              <w:jc w:val="center"/>
            </w:pPr>
            <w:r w:rsidRPr="00E03E70">
              <w:rPr>
                <w:vertAlign w:val="superscript"/>
              </w:rPr>
              <w:t>240</w:t>
            </w:r>
            <w:r>
              <w:t>Pu</w:t>
            </w:r>
          </w:p>
        </w:tc>
        <w:tc>
          <w:tcPr>
            <w:tcW w:w="902" w:type="dxa"/>
            <w:tcBorders>
              <w:bottom w:val="single" w:sz="4" w:space="0" w:color="auto"/>
            </w:tcBorders>
            <w:vAlign w:val="center"/>
          </w:tcPr>
          <w:p w14:paraId="60DE4E4B" w14:textId="468438BA" w:rsidR="00320E20" w:rsidRDefault="00DB72B4" w:rsidP="00534A58">
            <w:pPr>
              <w:pStyle w:val="Corpotesto"/>
              <w:ind w:firstLine="0"/>
              <w:jc w:val="center"/>
            </w:pPr>
            <w:r w:rsidRPr="00AA77A2">
              <w:rPr>
                <w:vertAlign w:val="superscript"/>
              </w:rPr>
              <w:t>241</w:t>
            </w:r>
            <w:r>
              <w:t>Pu</w:t>
            </w:r>
          </w:p>
        </w:tc>
        <w:tc>
          <w:tcPr>
            <w:tcW w:w="902" w:type="dxa"/>
            <w:tcBorders>
              <w:bottom w:val="single" w:sz="4" w:space="0" w:color="auto"/>
            </w:tcBorders>
            <w:vAlign w:val="center"/>
          </w:tcPr>
          <w:p w14:paraId="4B6E86B6" w14:textId="42C301D0" w:rsidR="00320E20" w:rsidRDefault="00DB72B4" w:rsidP="00534A58">
            <w:pPr>
              <w:pStyle w:val="Corpotesto"/>
              <w:ind w:firstLine="0"/>
              <w:jc w:val="center"/>
            </w:pPr>
            <w:r w:rsidRPr="00AA77A2">
              <w:rPr>
                <w:vertAlign w:val="superscript"/>
              </w:rPr>
              <w:t>241</w:t>
            </w:r>
            <w:r>
              <w:t>Am</w:t>
            </w:r>
          </w:p>
        </w:tc>
        <w:tc>
          <w:tcPr>
            <w:tcW w:w="901" w:type="dxa"/>
            <w:tcBorders>
              <w:bottom w:val="single" w:sz="4" w:space="0" w:color="auto"/>
            </w:tcBorders>
            <w:vAlign w:val="center"/>
          </w:tcPr>
          <w:p w14:paraId="6A32CA6F" w14:textId="02FCB812" w:rsidR="00320E20" w:rsidRDefault="00DB72B4" w:rsidP="00534A58">
            <w:pPr>
              <w:pStyle w:val="Corpotesto"/>
              <w:ind w:firstLine="0"/>
              <w:jc w:val="center"/>
            </w:pPr>
            <w:r w:rsidRPr="00AA77A2">
              <w:rPr>
                <w:vertAlign w:val="superscript"/>
              </w:rPr>
              <w:t>242</w:t>
            </w:r>
            <w:r>
              <w:t>Pu</w:t>
            </w:r>
          </w:p>
        </w:tc>
        <w:tc>
          <w:tcPr>
            <w:tcW w:w="902" w:type="dxa"/>
            <w:tcBorders>
              <w:bottom w:val="single" w:sz="4" w:space="0" w:color="auto"/>
            </w:tcBorders>
            <w:vAlign w:val="center"/>
          </w:tcPr>
          <w:p w14:paraId="398CE7C1" w14:textId="342E2FA1" w:rsidR="00320E20" w:rsidRDefault="00DB72B4" w:rsidP="00534A58">
            <w:pPr>
              <w:pStyle w:val="Corpotesto"/>
              <w:ind w:firstLine="0"/>
              <w:jc w:val="center"/>
            </w:pPr>
            <w:r>
              <w:t>-</w:t>
            </w:r>
          </w:p>
        </w:tc>
        <w:tc>
          <w:tcPr>
            <w:tcW w:w="902" w:type="dxa"/>
            <w:tcBorders>
              <w:bottom w:val="single" w:sz="4" w:space="0" w:color="auto"/>
            </w:tcBorders>
            <w:vAlign w:val="center"/>
          </w:tcPr>
          <w:p w14:paraId="6DA3B260" w14:textId="6AE609F5" w:rsidR="00320E20" w:rsidRDefault="00DB72B4" w:rsidP="00534A58">
            <w:pPr>
              <w:pStyle w:val="Corpotesto"/>
              <w:ind w:firstLine="0"/>
              <w:jc w:val="center"/>
            </w:pPr>
            <w:r>
              <w:t>-</w:t>
            </w:r>
          </w:p>
        </w:tc>
        <w:tc>
          <w:tcPr>
            <w:tcW w:w="902" w:type="dxa"/>
            <w:tcBorders>
              <w:bottom w:val="single" w:sz="4" w:space="0" w:color="auto"/>
            </w:tcBorders>
            <w:vAlign w:val="center"/>
          </w:tcPr>
          <w:p w14:paraId="3BFEEFDB" w14:textId="1618DE03" w:rsidR="00320E20" w:rsidRDefault="00DB72B4" w:rsidP="00534A58">
            <w:pPr>
              <w:pStyle w:val="Corpotesto"/>
              <w:ind w:firstLine="0"/>
              <w:jc w:val="center"/>
            </w:pPr>
            <w:r>
              <w:t>-</w:t>
            </w:r>
          </w:p>
        </w:tc>
      </w:tr>
    </w:tbl>
    <w:p w14:paraId="4D00FC50" w14:textId="77777777" w:rsidR="00062E9A" w:rsidRDefault="00062E9A" w:rsidP="00D523E0">
      <w:pPr>
        <w:pStyle w:val="Corpotesto"/>
        <w:ind w:firstLine="0"/>
      </w:pPr>
    </w:p>
    <w:p w14:paraId="23FDD170" w14:textId="498A7F77" w:rsidR="00386425" w:rsidRDefault="00386425" w:rsidP="00386425">
      <w:pPr>
        <w:pStyle w:val="Titolo2"/>
        <w:numPr>
          <w:ilvl w:val="1"/>
          <w:numId w:val="10"/>
        </w:numPr>
      </w:pPr>
      <w:r>
        <w:t>SELECTION OF THE DATABASE OF FACILITIES</w:t>
      </w:r>
    </w:p>
    <w:p w14:paraId="6FAEE583" w14:textId="212A3754" w:rsidR="0092789D" w:rsidRDefault="00DF06CF" w:rsidP="00D46040">
      <w:pPr>
        <w:pStyle w:val="Corpotesto"/>
      </w:pPr>
      <w:r>
        <w:t>E</w:t>
      </w:r>
      <w:r w:rsidR="00947DC8" w:rsidRPr="00947DC8">
        <w:t xml:space="preserve">xperiments </w:t>
      </w:r>
      <w:r>
        <w:t xml:space="preserve">representative of the ALFRED </w:t>
      </w:r>
      <w:r w:rsidR="00534A58">
        <w:t>core</w:t>
      </w:r>
      <w:r>
        <w:t xml:space="preserve">, </w:t>
      </w:r>
      <w:r w:rsidRPr="00D718CA">
        <w:t>in terms of spectrum and core c</w:t>
      </w:r>
      <w:r>
        <w:t>haracteristics, are</w:t>
      </w:r>
      <w:r w:rsidR="00B64BBD">
        <w:t xml:space="preserve"> </w:t>
      </w:r>
      <w:r w:rsidR="00504872">
        <w:t>required</w:t>
      </w:r>
      <w:r w:rsidR="00947DC8">
        <w:t xml:space="preserve"> </w:t>
      </w:r>
      <w:r>
        <w:t>by the adjustment algorithm</w:t>
      </w:r>
      <w:r w:rsidRPr="00947DC8">
        <w:t xml:space="preserve"> </w:t>
      </w:r>
      <w:r w:rsidR="00947DC8" w:rsidRPr="00947DC8">
        <w:t>to improve calculation accuracy.</w:t>
      </w:r>
      <w:r w:rsidR="00B64BBD">
        <w:t xml:space="preserve"> </w:t>
      </w:r>
      <w:r w:rsidR="00CB6E4C">
        <w:t>The</w:t>
      </w:r>
      <w:r w:rsidR="002F6023">
        <w:t>ir</w:t>
      </w:r>
      <w:r w:rsidR="00CB6E4C">
        <w:t xml:space="preserve"> selection start</w:t>
      </w:r>
      <w:r w:rsidR="00534A58">
        <w:t>ed</w:t>
      </w:r>
      <w:r w:rsidR="00CB6E4C">
        <w:t xml:space="preserve"> considering </w:t>
      </w:r>
      <w:r w:rsidR="00D718CA" w:rsidRPr="00D718CA">
        <w:t>existing real case experiments from critical</w:t>
      </w:r>
      <w:r w:rsidR="00B64BBD">
        <w:t xml:space="preserve"> facilities</w:t>
      </w:r>
      <w:r w:rsidR="00D718CA" w:rsidRPr="00D718CA">
        <w:t xml:space="preserve"> operated</w:t>
      </w:r>
      <w:r w:rsidR="00D718CA">
        <w:t xml:space="preserve"> </w:t>
      </w:r>
      <w:r w:rsidR="00D718CA" w:rsidRPr="00D718CA">
        <w:t>in the past</w:t>
      </w:r>
      <w:r>
        <w:t>,</w:t>
      </w:r>
      <w:r w:rsidR="00D718CA" w:rsidRPr="00D718CA">
        <w:t xml:space="preserve"> </w:t>
      </w:r>
      <w:r>
        <w:t xml:space="preserve">which are </w:t>
      </w:r>
      <w:r w:rsidR="00D718CA" w:rsidRPr="00D718CA">
        <w:t>included in the IRPhE database</w:t>
      </w:r>
      <w:r w:rsidR="00D718CA">
        <w:t xml:space="preserve"> [</w:t>
      </w:r>
      <w:r w:rsidR="00E42C23">
        <w:t>1</w:t>
      </w:r>
      <w:r w:rsidR="00F55543">
        <w:t>3</w:t>
      </w:r>
      <w:r w:rsidR="00D718CA">
        <w:t>]</w:t>
      </w:r>
      <w:r w:rsidR="00D718CA" w:rsidRPr="00D718CA">
        <w:t>.</w:t>
      </w:r>
      <w:r>
        <w:t xml:space="preserve"> </w:t>
      </w:r>
      <w:r w:rsidR="0005124D" w:rsidRPr="00351320">
        <w:t>In</w:t>
      </w:r>
      <w:r w:rsidR="0005124D">
        <w:t xml:space="preserve">itially, to </w:t>
      </w:r>
      <w:r w:rsidR="0005124D" w:rsidRPr="00351320">
        <w:t>avoid the huge modelling effort required</w:t>
      </w:r>
      <w:r>
        <w:t xml:space="preserve"> for </w:t>
      </w:r>
      <w:r w:rsidR="0005124D" w:rsidRPr="00351320">
        <w:t>evaluat</w:t>
      </w:r>
      <w:r w:rsidR="0005124D">
        <w:t>ing</w:t>
      </w:r>
      <w:r w:rsidR="0005124D" w:rsidRPr="00351320">
        <w:t xml:space="preserve"> the representativeness of each</w:t>
      </w:r>
      <w:r w:rsidR="0005124D">
        <w:t xml:space="preserve"> </w:t>
      </w:r>
      <w:r w:rsidR="0005124D" w:rsidRPr="00351320">
        <w:t>configuration, a preliminary selection among them was performed</w:t>
      </w:r>
      <w:r w:rsidR="0005124D">
        <w:t xml:space="preserve"> </w:t>
      </w:r>
      <w:r w:rsidR="0005124D" w:rsidRPr="00351320">
        <w:t>by means of a sort of</w:t>
      </w:r>
      <w:r w:rsidR="0005124D">
        <w:t xml:space="preserve"> </w:t>
      </w:r>
      <w:r w:rsidR="0005124D" w:rsidRPr="00351320">
        <w:t>heuristic (qualitative), but physically driven, approach</w:t>
      </w:r>
      <w:r w:rsidR="0005124D">
        <w:t xml:space="preserve"> comparing the characteristic</w:t>
      </w:r>
      <w:r>
        <w:t>s</w:t>
      </w:r>
      <w:r w:rsidR="0005124D">
        <w:t xml:space="preserve"> (e.g., the presence of symmetries, or moderating or fertile materials, the spectrum profile, etc.) of the facilities and using them as guiding criteria for the screening. </w:t>
      </w:r>
      <w:r w:rsidR="009C09BD">
        <w:t xml:space="preserve">The need to spread out measurements so to avoid as much as possible correlation between experiments (not currently handled by the adjustment algorithm) was another criterion of the </w:t>
      </w:r>
      <w:r w:rsidR="008F5804">
        <w:t>selection process.</w:t>
      </w:r>
    </w:p>
    <w:p w14:paraId="0194B2D0" w14:textId="7766A4E8" w:rsidR="00B95E1C" w:rsidRDefault="00A07D6F" w:rsidP="00F53F9D">
      <w:pPr>
        <w:pStyle w:val="Corpotesto"/>
      </w:pPr>
      <w:r w:rsidRPr="00A07D6F">
        <w:t>Tab</w:t>
      </w:r>
      <w:r>
        <w:t xml:space="preserve">le </w:t>
      </w:r>
      <w:r w:rsidR="00F64BC4">
        <w:t>2</w:t>
      </w:r>
      <w:r w:rsidRPr="00A07D6F">
        <w:t xml:space="preserve"> summarizes the selected database of</w:t>
      </w:r>
      <w:r>
        <w:t xml:space="preserve"> </w:t>
      </w:r>
      <w:r w:rsidRPr="00A07D6F">
        <w:t xml:space="preserve">facilities specifying, for each of them, what are the integral observables </w:t>
      </w:r>
      <w:r w:rsidR="00DF06CF">
        <w:t xml:space="preserve">considered </w:t>
      </w:r>
      <w:r w:rsidRPr="00A07D6F">
        <w:t>in</w:t>
      </w:r>
      <w:r>
        <w:t xml:space="preserve"> </w:t>
      </w:r>
      <w:r w:rsidRPr="00A07D6F">
        <w:t>the adjustment process</w:t>
      </w:r>
      <w:r>
        <w:t>.</w:t>
      </w:r>
      <w:r w:rsidR="00300464">
        <w:t xml:space="preserve"> After the completion of the heuristic screening, 20 facilities were selected and, for each of them, </w:t>
      </w:r>
      <w:r w:rsidR="00300464" w:rsidRPr="00BD3617">
        <w:t>a detailed ERANOS model was therefore set up in the 2D cylindrical approximation and a</w:t>
      </w:r>
      <w:r w:rsidR="00300464">
        <w:t xml:space="preserve"> further </w:t>
      </w:r>
      <w:r w:rsidR="00300464" w:rsidRPr="00B44DE9">
        <w:t>sensitivity and uncertainty analysis carried out.</w:t>
      </w:r>
      <w:r w:rsidR="00300464">
        <w:t xml:space="preserve"> For the selected </w:t>
      </w:r>
      <w:r w:rsidR="00DF06CF">
        <w:t>facilities,</w:t>
      </w:r>
      <w:r w:rsidR="00300464">
        <w:t xml:space="preserve"> the so-called representativeness coefficient was used to quantify the content of shared information with the reference reactor.</w:t>
      </w:r>
      <w:r w:rsidR="00D363E6">
        <w:t xml:space="preserve"> </w:t>
      </w:r>
      <w:r w:rsidR="00D363E6" w:rsidRPr="00B44DE9">
        <w:t xml:space="preserve">In practice, </w:t>
      </w:r>
      <w:r w:rsidR="00D363E6">
        <w:t xml:space="preserve">the coefficient takes values ranging from zero (no correlation) </w:t>
      </w:r>
      <w:r w:rsidR="00534A58">
        <w:t>to</w:t>
      </w:r>
      <w:r w:rsidR="00D363E6">
        <w:t xml:space="preserve"> one (maximum correlation)</w:t>
      </w:r>
      <w:r w:rsidR="00D363E6" w:rsidDel="00C64452">
        <w:t>: so</w:t>
      </w:r>
      <w:r w:rsidR="00782B3C" w:rsidDel="00C64452">
        <w:t>,</w:t>
      </w:r>
      <w:r w:rsidR="00D363E6" w:rsidDel="00C64452">
        <w:t xml:space="preserve"> </w:t>
      </w:r>
      <w:r w:rsidR="00D363E6" w:rsidRPr="00B44DE9" w:rsidDel="00C64452">
        <w:t xml:space="preserve">a </w:t>
      </w:r>
      <w:r w:rsidR="00D363E6" w:rsidRPr="00B44DE9">
        <w:t>minimum value of around 0.5 is typically deemed necessary</w:t>
      </w:r>
      <w:r w:rsidR="00D363E6">
        <w:t xml:space="preserve"> </w:t>
      </w:r>
      <w:r w:rsidR="00D363E6" w:rsidRPr="00B44DE9">
        <w:t>for claiming representativeness</w:t>
      </w:r>
      <w:r w:rsidR="00115ED4">
        <w:t xml:space="preserve"> [</w:t>
      </w:r>
      <w:r w:rsidR="002E7707">
        <w:t>1</w:t>
      </w:r>
      <w:r w:rsidR="0086234D">
        <w:t>4</w:t>
      </w:r>
      <w:r w:rsidR="00115ED4">
        <w:t>]</w:t>
      </w:r>
      <w:r w:rsidR="00D363E6">
        <w:t xml:space="preserve">. </w:t>
      </w:r>
      <w:r w:rsidR="00D363E6" w:rsidRPr="00D718CA">
        <w:t>In theory, representativeness analysis should be performed for every integral parameter</w:t>
      </w:r>
      <w:r w:rsidR="00D363E6">
        <w:t xml:space="preserve"> for each facility</w:t>
      </w:r>
      <w:r w:rsidR="00D363E6" w:rsidRPr="00D718CA">
        <w:t>,</w:t>
      </w:r>
      <w:r w:rsidR="00D363E6">
        <w:t xml:space="preserve"> </w:t>
      </w:r>
      <w:r w:rsidR="00D363E6" w:rsidRPr="00D718CA">
        <w:t>to have a representative</w:t>
      </w:r>
      <w:r w:rsidR="00A62053">
        <w:t>ness</w:t>
      </w:r>
      <w:r w:rsidR="00D363E6" w:rsidRPr="00D718CA">
        <w:t xml:space="preserve"> coefficient matching e</w:t>
      </w:r>
      <w:r w:rsidR="00D363E6">
        <w:t xml:space="preserve">very </w:t>
      </w:r>
      <w:r w:rsidR="00D363E6" w:rsidRPr="00D718CA">
        <w:t>observable.</w:t>
      </w:r>
      <w:r w:rsidR="00D363E6">
        <w:t xml:space="preserve"> H</w:t>
      </w:r>
      <w:r w:rsidR="00D363E6" w:rsidRPr="00D718CA">
        <w:t xml:space="preserve">owever, </w:t>
      </w:r>
      <w:r w:rsidR="00D363E6">
        <w:t>in the paper</w:t>
      </w:r>
      <w:r w:rsidR="00D363E6" w:rsidRPr="00D718CA">
        <w:t xml:space="preserve">, </w:t>
      </w:r>
      <w:r w:rsidR="00D363E6">
        <w:t xml:space="preserve">the representativeness coefficient </w:t>
      </w:r>
      <w:r w:rsidR="00D363E6" w:rsidRPr="00D718CA">
        <w:t>was evaluated only in</w:t>
      </w:r>
      <w:r w:rsidR="00D363E6">
        <w:t xml:space="preserve"> </w:t>
      </w:r>
      <w:r w:rsidR="00D363E6" w:rsidRPr="00D718CA">
        <w:t xml:space="preserve">relation to </w:t>
      </w:r>
      <w:r w:rsidR="00A81602">
        <w:t>the effective multiplication factor (</w:t>
      </w:r>
      <w:proofErr w:type="spellStart"/>
      <w:r w:rsidR="00A81602">
        <w:t>k</w:t>
      </w:r>
      <w:r w:rsidR="00A81602">
        <w:rPr>
          <w:vertAlign w:val="subscript"/>
        </w:rPr>
        <w:t>eff</w:t>
      </w:r>
      <w:proofErr w:type="spellEnd"/>
      <w:r w:rsidR="00A81602">
        <w:t>)</w:t>
      </w:r>
      <w:r w:rsidR="00D363E6" w:rsidRPr="00D718CA">
        <w:t>.</w:t>
      </w:r>
      <w:r w:rsidR="00D363E6">
        <w:t xml:space="preserve"> A</w:t>
      </w:r>
      <w:r w:rsidR="00D363E6" w:rsidRPr="00D523E0">
        <w:t>lmost all the facilities</w:t>
      </w:r>
      <w:r w:rsidR="00D363E6">
        <w:t xml:space="preserve"> </w:t>
      </w:r>
      <w:r w:rsidR="00D363E6" w:rsidRPr="00D523E0">
        <w:t xml:space="preserve">have high values of the representativeness coefficient, </w:t>
      </w:r>
      <w:r w:rsidR="00782B3C">
        <w:t>as high as</w:t>
      </w:r>
      <w:r w:rsidR="00D363E6" w:rsidRPr="00D523E0">
        <w:t xml:space="preserve"> 9.45</w:t>
      </w:r>
      <w:r w:rsidR="00D363E6" w:rsidRPr="000B20DE">
        <w:rPr>
          <w:color w:val="000000" w:themeColor="text1"/>
        </w:rPr>
        <w:t>∙10</w:t>
      </w:r>
      <w:r w:rsidR="00D363E6" w:rsidRPr="000B20DE">
        <w:rPr>
          <w:color w:val="000000" w:themeColor="text1"/>
          <w:vertAlign w:val="superscript"/>
        </w:rPr>
        <w:t>-</w:t>
      </w:r>
      <w:r w:rsidR="00D363E6">
        <w:rPr>
          <w:color w:val="000000" w:themeColor="text1"/>
          <w:vertAlign w:val="superscript"/>
        </w:rPr>
        <w:t>1</w:t>
      </w:r>
      <w:r w:rsidR="00D363E6" w:rsidRPr="00D523E0">
        <w:t xml:space="preserve"> o</w:t>
      </w:r>
      <w:r w:rsidR="00782B3C">
        <w:t>r</w:t>
      </w:r>
      <w:r w:rsidR="00D363E6">
        <w:t xml:space="preserve"> </w:t>
      </w:r>
      <w:r w:rsidR="00D363E6" w:rsidRPr="00D523E0">
        <w:t>8.89∙10</w:t>
      </w:r>
      <w:r w:rsidR="00D363E6" w:rsidRPr="00D523E0">
        <w:rPr>
          <w:vertAlign w:val="superscript"/>
        </w:rPr>
        <w:t>-</w:t>
      </w:r>
      <w:r w:rsidR="00D363E6">
        <w:rPr>
          <w:vertAlign w:val="superscript"/>
        </w:rPr>
        <w:t>1</w:t>
      </w:r>
      <w:r w:rsidR="00D363E6" w:rsidRPr="00D523E0">
        <w:t xml:space="preserve"> for </w:t>
      </w:r>
      <w:r w:rsidR="00782B3C">
        <w:t xml:space="preserve">the </w:t>
      </w:r>
      <w:r w:rsidR="00D363E6" w:rsidRPr="00D523E0">
        <w:t>ZPPR-005(10B) and ZPPR-010(12) facilities, respectively.</w:t>
      </w:r>
      <w:r w:rsidR="00B95E1C">
        <w:t xml:space="preserve"> T</w:t>
      </w:r>
      <w:r w:rsidR="00B95E1C" w:rsidRPr="00D523E0">
        <w:t>he worst value of the</w:t>
      </w:r>
      <w:r w:rsidR="00B95E1C">
        <w:t xml:space="preserve"> </w:t>
      </w:r>
      <w:r w:rsidR="00B95E1C" w:rsidRPr="00D523E0">
        <w:t>representativeness coefficient (1.27</w:t>
      </w:r>
      <w:r w:rsidR="00B95E1C" w:rsidRPr="000B20DE">
        <w:rPr>
          <w:color w:val="000000" w:themeColor="text1"/>
        </w:rPr>
        <w:t>∙10</w:t>
      </w:r>
      <w:r w:rsidR="00B95E1C" w:rsidRPr="000B20DE">
        <w:rPr>
          <w:color w:val="000000" w:themeColor="text1"/>
          <w:vertAlign w:val="superscript"/>
        </w:rPr>
        <w:t>-</w:t>
      </w:r>
      <w:r w:rsidR="00B95E1C">
        <w:rPr>
          <w:color w:val="000000" w:themeColor="text1"/>
          <w:vertAlign w:val="superscript"/>
        </w:rPr>
        <w:t>1</w:t>
      </w:r>
      <w:r w:rsidR="00B95E1C" w:rsidRPr="00D523E0">
        <w:t>)</w:t>
      </w:r>
      <w:r w:rsidR="00B95E1C">
        <w:t xml:space="preserve"> was found for the </w:t>
      </w:r>
      <w:r w:rsidR="00B95E1C" w:rsidRPr="00D523E0">
        <w:t>BFS-73-1</w:t>
      </w:r>
      <w:r w:rsidR="00B95E1C">
        <w:t xml:space="preserve"> reactor</w:t>
      </w:r>
      <w:r w:rsidR="00F24BE1">
        <w:t xml:space="preserve"> configuration;</w:t>
      </w:r>
      <w:r w:rsidR="00B95E1C">
        <w:t xml:space="preserve"> nevertheless, </w:t>
      </w:r>
      <w:r w:rsidR="00F24BE1">
        <w:t xml:space="preserve">it </w:t>
      </w:r>
      <w:r w:rsidR="00B95E1C" w:rsidRPr="00D523E0">
        <w:t>is still included in the selected database</w:t>
      </w:r>
      <w:r w:rsidR="00B95E1C">
        <w:t xml:space="preserve"> </w:t>
      </w:r>
      <w:r w:rsidR="00B95E1C" w:rsidRPr="00D523E0">
        <w:t xml:space="preserve">since it </w:t>
      </w:r>
      <w:r w:rsidR="00E967B1">
        <w:t xml:space="preserve">acts to </w:t>
      </w:r>
      <w:r w:rsidR="00B95E1C" w:rsidRPr="00D523E0">
        <w:t>strengthen the adjustment</w:t>
      </w:r>
      <w:r w:rsidR="00B95E1C">
        <w:t xml:space="preserve"> </w:t>
      </w:r>
      <w:r w:rsidR="00B95E1C" w:rsidRPr="00D523E0">
        <w:t xml:space="preserve">by </w:t>
      </w:r>
      <w:r w:rsidR="00E967B1">
        <w:t>performing</w:t>
      </w:r>
      <w:r w:rsidR="00B95E1C" w:rsidRPr="00D523E0">
        <w:t xml:space="preserve"> a sort of further internal consistency check, when the adjustment algorithm is</w:t>
      </w:r>
      <w:r w:rsidR="00B95E1C">
        <w:t xml:space="preserve"> </w:t>
      </w:r>
      <w:r w:rsidR="00B95E1C" w:rsidRPr="00D523E0">
        <w:t>recursively applied</w:t>
      </w:r>
      <w:r w:rsidR="00B95E1C">
        <w:t>.</w:t>
      </w:r>
    </w:p>
    <w:p w14:paraId="4160A681" w14:textId="77777777" w:rsidR="00E967B1" w:rsidRDefault="00E967B1" w:rsidP="00D523E0">
      <w:pPr>
        <w:pStyle w:val="Corpotesto"/>
        <w:ind w:firstLine="0"/>
      </w:pPr>
    </w:p>
    <w:p w14:paraId="4BD7F6E3" w14:textId="6FFA5481" w:rsidR="00D523E0" w:rsidRDefault="00D523E0" w:rsidP="00D523E0">
      <w:pPr>
        <w:pStyle w:val="Corpotesto"/>
        <w:ind w:firstLine="0"/>
      </w:pPr>
      <w:r>
        <w:t xml:space="preserve">TABLE </w:t>
      </w:r>
      <w:r w:rsidR="00F64BC4">
        <w:t>2</w:t>
      </w:r>
      <w:r>
        <w:t>.</w:t>
      </w:r>
      <w:r>
        <w:tab/>
        <w:t>RESULTS OF THE PRELIMINARY DATABASE SELECTION</w:t>
      </w:r>
    </w:p>
    <w:p w14:paraId="56E6F108" w14:textId="77777777" w:rsidR="00EA455B" w:rsidRDefault="00EA455B" w:rsidP="00D523E0">
      <w:pPr>
        <w:pStyle w:val="Corpotesto"/>
        <w:ind w:firstLine="0"/>
      </w:pPr>
    </w:p>
    <w:tbl>
      <w:tblPr>
        <w:tblStyle w:val="Grigliatabel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7"/>
        <w:gridCol w:w="841"/>
        <w:gridCol w:w="842"/>
        <w:gridCol w:w="842"/>
        <w:gridCol w:w="842"/>
        <w:gridCol w:w="842"/>
        <w:gridCol w:w="842"/>
        <w:gridCol w:w="842"/>
        <w:gridCol w:w="842"/>
        <w:gridCol w:w="842"/>
      </w:tblGrid>
      <w:tr w:rsidR="00D523E0" w:rsidRPr="00AE0637" w14:paraId="3B7A5706" w14:textId="77777777" w:rsidTr="00F24BE1">
        <w:trPr>
          <w:jc w:val="center"/>
        </w:trPr>
        <w:tc>
          <w:tcPr>
            <w:tcW w:w="1637" w:type="dxa"/>
            <w:tcBorders>
              <w:top w:val="single" w:sz="4" w:space="0" w:color="auto"/>
              <w:bottom w:val="single" w:sz="4" w:space="0" w:color="auto"/>
              <w:right w:val="single" w:sz="4" w:space="0" w:color="auto"/>
            </w:tcBorders>
          </w:tcPr>
          <w:p w14:paraId="79609590" w14:textId="77777777" w:rsidR="00D523E0" w:rsidRDefault="00D523E0" w:rsidP="000529FA">
            <w:pPr>
              <w:pStyle w:val="Corpotesto"/>
              <w:ind w:firstLine="0"/>
            </w:pPr>
            <w:r>
              <w:t>Facilities</w:t>
            </w:r>
          </w:p>
        </w:tc>
        <w:tc>
          <w:tcPr>
            <w:tcW w:w="841" w:type="dxa"/>
            <w:tcBorders>
              <w:top w:val="single" w:sz="4" w:space="0" w:color="auto"/>
              <w:left w:val="single" w:sz="4" w:space="0" w:color="auto"/>
              <w:bottom w:val="single" w:sz="4" w:space="0" w:color="auto"/>
            </w:tcBorders>
          </w:tcPr>
          <w:p w14:paraId="0956A974" w14:textId="40039B9F" w:rsidR="00D523E0" w:rsidRPr="00AE0637" w:rsidRDefault="007E5BE8" w:rsidP="00F24BE1">
            <w:pPr>
              <w:pStyle w:val="Corpotesto"/>
              <w:ind w:firstLine="0"/>
              <w:jc w:val="center"/>
            </w:pPr>
            <m:oMathPara>
              <m:oMath>
                <m:sSub>
                  <m:sSubPr>
                    <m:ctrlPr>
                      <w:rPr>
                        <w:rFonts w:ascii="Cambria Math" w:hAnsi="Cambria Math"/>
                        <w:i/>
                      </w:rPr>
                    </m:ctrlPr>
                  </m:sSubPr>
                  <m:e>
                    <m:r>
                      <w:rPr>
                        <w:rFonts w:ascii="Cambria Math" w:hAnsi="Cambria Math"/>
                      </w:rPr>
                      <m:t>k</m:t>
                    </m:r>
                  </m:e>
                  <m:sub>
                    <m:r>
                      <m:rPr>
                        <m:sty m:val="p"/>
                      </m:rPr>
                      <w:rPr>
                        <w:rFonts w:ascii="Cambria Math" w:hAnsi="Cambria Math"/>
                      </w:rPr>
                      <m:t>eff</m:t>
                    </m:r>
                  </m:sub>
                </m:sSub>
              </m:oMath>
            </m:oMathPara>
          </w:p>
        </w:tc>
        <w:tc>
          <w:tcPr>
            <w:tcW w:w="842" w:type="dxa"/>
            <w:tcBorders>
              <w:top w:val="single" w:sz="4" w:space="0" w:color="auto"/>
              <w:bottom w:val="single" w:sz="4" w:space="0" w:color="auto"/>
            </w:tcBorders>
          </w:tcPr>
          <w:p w14:paraId="5624ACDC" w14:textId="197F5E25" w:rsidR="00D523E0" w:rsidRPr="00AE0637" w:rsidRDefault="00D523E0" w:rsidP="00F24BE1">
            <w:pPr>
              <w:pStyle w:val="Corpotesto"/>
              <w:ind w:firstLine="0"/>
              <w:jc w:val="center"/>
            </w:pPr>
            <w:r>
              <w:t>spectral</w:t>
            </w:r>
            <w:r w:rsidR="00F24BE1">
              <w:t xml:space="preserve"> </w:t>
            </w:r>
            <w:r>
              <w:t>index</w:t>
            </w:r>
          </w:p>
        </w:tc>
        <w:tc>
          <w:tcPr>
            <w:tcW w:w="842" w:type="dxa"/>
            <w:tcBorders>
              <w:top w:val="single" w:sz="4" w:space="0" w:color="auto"/>
              <w:bottom w:val="single" w:sz="4" w:space="0" w:color="auto"/>
            </w:tcBorders>
          </w:tcPr>
          <w:p w14:paraId="5117C976" w14:textId="672BCA07" w:rsidR="00D523E0" w:rsidRPr="00AE0637" w:rsidRDefault="00D523E0" w:rsidP="00F24BE1">
            <w:pPr>
              <w:pStyle w:val="Corpotesto"/>
              <w:ind w:right="-59" w:firstLine="0"/>
              <w:jc w:val="center"/>
            </w:pPr>
            <w:r>
              <w:t>reaction</w:t>
            </w:r>
            <w:r w:rsidR="00F24BE1">
              <w:t xml:space="preserve"> </w:t>
            </w:r>
            <w:r>
              <w:t>rate</w:t>
            </w:r>
          </w:p>
        </w:tc>
        <w:tc>
          <w:tcPr>
            <w:tcW w:w="842" w:type="dxa"/>
            <w:tcBorders>
              <w:top w:val="single" w:sz="4" w:space="0" w:color="auto"/>
              <w:bottom w:val="single" w:sz="4" w:space="0" w:color="auto"/>
            </w:tcBorders>
          </w:tcPr>
          <w:p w14:paraId="2F19AF15" w14:textId="20647595" w:rsidR="00D523E0" w:rsidRPr="00AE0637" w:rsidRDefault="00D523E0" w:rsidP="00F24BE1">
            <w:pPr>
              <w:pStyle w:val="Corpotesto"/>
              <w:ind w:right="-70" w:firstLine="0"/>
              <w:jc w:val="center"/>
            </w:pPr>
            <w:r>
              <w:t>isotopic</w:t>
            </w:r>
            <w:r w:rsidR="00F24BE1">
              <w:t xml:space="preserve"> </w:t>
            </w:r>
            <w:r>
              <w:t>worth</w:t>
            </w:r>
          </w:p>
        </w:tc>
        <w:tc>
          <w:tcPr>
            <w:tcW w:w="842" w:type="dxa"/>
            <w:tcBorders>
              <w:top w:val="single" w:sz="4" w:space="0" w:color="auto"/>
              <w:bottom w:val="single" w:sz="4" w:space="0" w:color="auto"/>
            </w:tcBorders>
          </w:tcPr>
          <w:p w14:paraId="075E8CED" w14:textId="4BC43C09" w:rsidR="00D523E0" w:rsidRPr="00AE0637" w:rsidRDefault="007E5BE8" w:rsidP="00F24BE1">
            <w:pPr>
              <w:pStyle w:val="Corpotesto"/>
              <w:ind w:firstLine="0"/>
              <w:jc w:val="center"/>
            </w:pPr>
            <m:oMathPara>
              <m:oMath>
                <m:sSub>
                  <m:sSubPr>
                    <m:ctrlPr>
                      <w:rPr>
                        <w:rFonts w:ascii="Cambria Math" w:hAnsi="Cambria Math"/>
                        <w:i/>
                      </w:rPr>
                    </m:ctrlPr>
                  </m:sSubPr>
                  <m:e>
                    <m:r>
                      <w:rPr>
                        <w:rFonts w:ascii="Cambria Math" w:hAnsi="Cambria Math"/>
                      </w:rPr>
                      <m:t>β</m:t>
                    </m:r>
                  </m:e>
                  <m:sub>
                    <m:r>
                      <m:rPr>
                        <m:sty m:val="p"/>
                      </m:rPr>
                      <w:rPr>
                        <w:rFonts w:ascii="Cambria Math" w:hAnsi="Cambria Math"/>
                      </w:rPr>
                      <m:t>eff</m:t>
                    </m:r>
                  </m:sub>
                </m:sSub>
              </m:oMath>
            </m:oMathPara>
          </w:p>
        </w:tc>
        <w:tc>
          <w:tcPr>
            <w:tcW w:w="842" w:type="dxa"/>
            <w:tcBorders>
              <w:top w:val="single" w:sz="4" w:space="0" w:color="auto"/>
              <w:bottom w:val="single" w:sz="4" w:space="0" w:color="auto"/>
            </w:tcBorders>
          </w:tcPr>
          <w:p w14:paraId="515120D6" w14:textId="77777777" w:rsidR="00D523E0" w:rsidRPr="00AE0637" w:rsidRDefault="00D523E0" w:rsidP="00F24BE1">
            <w:pPr>
              <w:pStyle w:val="Corpotesto"/>
              <w:ind w:firstLine="0"/>
              <w:jc w:val="center"/>
            </w:pPr>
            <w:r>
              <w:t>FA worth</w:t>
            </w:r>
          </w:p>
        </w:tc>
        <w:tc>
          <w:tcPr>
            <w:tcW w:w="842" w:type="dxa"/>
            <w:tcBorders>
              <w:top w:val="single" w:sz="4" w:space="0" w:color="auto"/>
              <w:bottom w:val="single" w:sz="4" w:space="0" w:color="auto"/>
            </w:tcBorders>
          </w:tcPr>
          <w:p w14:paraId="3065892F" w14:textId="77777777" w:rsidR="00D523E0" w:rsidRPr="00AE0637" w:rsidRDefault="00D523E0" w:rsidP="00F24BE1">
            <w:pPr>
              <w:pStyle w:val="Corpotesto"/>
              <w:ind w:firstLine="0"/>
              <w:jc w:val="center"/>
            </w:pPr>
            <w:r>
              <w:t>CR worth</w:t>
            </w:r>
          </w:p>
        </w:tc>
        <w:tc>
          <w:tcPr>
            <w:tcW w:w="842" w:type="dxa"/>
            <w:tcBorders>
              <w:top w:val="single" w:sz="4" w:space="0" w:color="auto"/>
              <w:bottom w:val="single" w:sz="4" w:space="0" w:color="auto"/>
            </w:tcBorders>
          </w:tcPr>
          <w:p w14:paraId="424CA8F0" w14:textId="2D29199F" w:rsidR="00D523E0" w:rsidRPr="00AE0637" w:rsidRDefault="00F24BE1" w:rsidP="00F24BE1">
            <w:pPr>
              <w:pStyle w:val="Corpotesto"/>
              <w:ind w:firstLine="0"/>
              <w:jc w:val="center"/>
            </w:pPr>
            <w:r>
              <w:t>t</w:t>
            </w:r>
            <w:r w:rsidR="00D523E0">
              <w:t xml:space="preserve">emp. </w:t>
            </w:r>
            <w:proofErr w:type="spellStart"/>
            <w:r w:rsidR="00D523E0">
              <w:t>coeff</w:t>
            </w:r>
            <w:proofErr w:type="spellEnd"/>
            <w:r w:rsidR="00D523E0">
              <w:t>.</w:t>
            </w:r>
          </w:p>
        </w:tc>
        <w:tc>
          <w:tcPr>
            <w:tcW w:w="842" w:type="dxa"/>
            <w:tcBorders>
              <w:top w:val="single" w:sz="4" w:space="0" w:color="auto"/>
              <w:bottom w:val="single" w:sz="4" w:space="0" w:color="auto"/>
            </w:tcBorders>
          </w:tcPr>
          <w:p w14:paraId="11F9E95D" w14:textId="58C80EB1" w:rsidR="00D523E0" w:rsidRPr="00AE0637" w:rsidRDefault="00F24BE1" w:rsidP="00F24BE1">
            <w:pPr>
              <w:pStyle w:val="Corpotesto"/>
              <w:ind w:firstLine="0"/>
              <w:jc w:val="center"/>
            </w:pPr>
            <w:r>
              <w:t>v</w:t>
            </w:r>
            <w:r w:rsidR="00D523E0">
              <w:t xml:space="preserve">oid </w:t>
            </w:r>
            <w:proofErr w:type="spellStart"/>
            <w:r w:rsidR="00D523E0">
              <w:t>coeff</w:t>
            </w:r>
            <w:proofErr w:type="spellEnd"/>
            <w:r w:rsidR="00D523E0">
              <w:t>.</w:t>
            </w:r>
          </w:p>
        </w:tc>
      </w:tr>
      <w:tr w:rsidR="00D523E0" w:rsidRPr="00AE0637" w14:paraId="3D1B8497" w14:textId="77777777" w:rsidTr="00F24BE1">
        <w:trPr>
          <w:jc w:val="center"/>
        </w:trPr>
        <w:tc>
          <w:tcPr>
            <w:tcW w:w="1637" w:type="dxa"/>
            <w:tcBorders>
              <w:top w:val="single" w:sz="4" w:space="0" w:color="auto"/>
              <w:right w:val="single" w:sz="4" w:space="0" w:color="auto"/>
            </w:tcBorders>
          </w:tcPr>
          <w:p w14:paraId="5F694A88" w14:textId="77777777" w:rsidR="00D523E0" w:rsidRPr="00AE0637" w:rsidRDefault="00D523E0" w:rsidP="000529FA">
            <w:pPr>
              <w:pStyle w:val="Corpotesto"/>
              <w:ind w:firstLine="0"/>
            </w:pPr>
            <w:r>
              <w:t>BFS-73-1</w:t>
            </w:r>
          </w:p>
        </w:tc>
        <w:tc>
          <w:tcPr>
            <w:tcW w:w="841" w:type="dxa"/>
            <w:tcBorders>
              <w:top w:val="single" w:sz="4" w:space="0" w:color="auto"/>
              <w:left w:val="single" w:sz="4" w:space="0" w:color="auto"/>
            </w:tcBorders>
            <w:vAlign w:val="center"/>
          </w:tcPr>
          <w:p w14:paraId="655D3CF0" w14:textId="77777777" w:rsidR="00D523E0" w:rsidRPr="00AE0637" w:rsidRDefault="00D523E0" w:rsidP="00F24BE1">
            <w:pPr>
              <w:pStyle w:val="Corpotesto"/>
              <w:ind w:firstLine="0"/>
              <w:jc w:val="center"/>
            </w:pPr>
          </w:p>
        </w:tc>
        <w:tc>
          <w:tcPr>
            <w:tcW w:w="842" w:type="dxa"/>
            <w:tcBorders>
              <w:top w:val="single" w:sz="4" w:space="0" w:color="auto"/>
            </w:tcBorders>
            <w:vAlign w:val="center"/>
          </w:tcPr>
          <w:p w14:paraId="44F7B4DB" w14:textId="77777777" w:rsidR="00D523E0" w:rsidRPr="00AE0637" w:rsidRDefault="00D523E0" w:rsidP="00F24BE1">
            <w:pPr>
              <w:pStyle w:val="Corpotesto"/>
              <w:ind w:firstLine="0"/>
              <w:jc w:val="center"/>
            </w:pPr>
            <w:r>
              <w:rPr>
                <w:rFonts w:ascii="Wingdings" w:eastAsia="Wingdings" w:hAnsi="Wingdings" w:cs="Wingdings"/>
              </w:rPr>
              <w:t>ü</w:t>
            </w:r>
          </w:p>
        </w:tc>
        <w:tc>
          <w:tcPr>
            <w:tcW w:w="842" w:type="dxa"/>
            <w:tcBorders>
              <w:top w:val="single" w:sz="4" w:space="0" w:color="auto"/>
            </w:tcBorders>
            <w:vAlign w:val="center"/>
          </w:tcPr>
          <w:p w14:paraId="6DE1FE16" w14:textId="77777777" w:rsidR="00D523E0" w:rsidRPr="00AE0637" w:rsidRDefault="00D523E0" w:rsidP="00F24BE1">
            <w:pPr>
              <w:pStyle w:val="Corpotesto"/>
              <w:ind w:firstLine="0"/>
              <w:jc w:val="center"/>
            </w:pPr>
          </w:p>
        </w:tc>
        <w:tc>
          <w:tcPr>
            <w:tcW w:w="842" w:type="dxa"/>
            <w:tcBorders>
              <w:top w:val="single" w:sz="4" w:space="0" w:color="auto"/>
            </w:tcBorders>
            <w:vAlign w:val="center"/>
          </w:tcPr>
          <w:p w14:paraId="11DD8B9B" w14:textId="77777777" w:rsidR="00D523E0" w:rsidRPr="00AE0637" w:rsidRDefault="00D523E0" w:rsidP="00F24BE1">
            <w:pPr>
              <w:pStyle w:val="Corpotesto"/>
              <w:ind w:firstLine="0"/>
              <w:jc w:val="center"/>
            </w:pPr>
            <w:r>
              <w:rPr>
                <w:rFonts w:ascii="Wingdings" w:eastAsia="Wingdings" w:hAnsi="Wingdings" w:cs="Wingdings"/>
              </w:rPr>
              <w:t>ü</w:t>
            </w:r>
          </w:p>
        </w:tc>
        <w:tc>
          <w:tcPr>
            <w:tcW w:w="842" w:type="dxa"/>
            <w:tcBorders>
              <w:top w:val="single" w:sz="4" w:space="0" w:color="auto"/>
            </w:tcBorders>
            <w:vAlign w:val="center"/>
          </w:tcPr>
          <w:p w14:paraId="7B41654A" w14:textId="77777777" w:rsidR="00D523E0" w:rsidRPr="00AE0637" w:rsidRDefault="00D523E0" w:rsidP="00F24BE1">
            <w:pPr>
              <w:pStyle w:val="Corpotesto"/>
              <w:ind w:firstLine="0"/>
              <w:jc w:val="center"/>
            </w:pPr>
            <w:r>
              <w:rPr>
                <w:rFonts w:ascii="Wingdings" w:eastAsia="Wingdings" w:hAnsi="Wingdings" w:cs="Wingdings"/>
              </w:rPr>
              <w:t>ü</w:t>
            </w:r>
          </w:p>
        </w:tc>
        <w:tc>
          <w:tcPr>
            <w:tcW w:w="842" w:type="dxa"/>
            <w:tcBorders>
              <w:top w:val="single" w:sz="4" w:space="0" w:color="auto"/>
            </w:tcBorders>
            <w:vAlign w:val="center"/>
          </w:tcPr>
          <w:p w14:paraId="16D7B9A0" w14:textId="77777777" w:rsidR="00D523E0" w:rsidRPr="00AE0637" w:rsidRDefault="00D523E0" w:rsidP="00F24BE1">
            <w:pPr>
              <w:pStyle w:val="Corpotesto"/>
              <w:ind w:firstLine="0"/>
              <w:jc w:val="center"/>
            </w:pPr>
          </w:p>
        </w:tc>
        <w:tc>
          <w:tcPr>
            <w:tcW w:w="842" w:type="dxa"/>
            <w:tcBorders>
              <w:top w:val="single" w:sz="4" w:space="0" w:color="auto"/>
            </w:tcBorders>
            <w:vAlign w:val="center"/>
          </w:tcPr>
          <w:p w14:paraId="6CF8FEC5" w14:textId="77777777" w:rsidR="00D523E0" w:rsidRPr="00AE0637" w:rsidRDefault="00D523E0" w:rsidP="00F24BE1">
            <w:pPr>
              <w:pStyle w:val="Corpotesto"/>
              <w:ind w:firstLine="0"/>
              <w:jc w:val="center"/>
            </w:pPr>
          </w:p>
        </w:tc>
        <w:tc>
          <w:tcPr>
            <w:tcW w:w="842" w:type="dxa"/>
            <w:tcBorders>
              <w:top w:val="single" w:sz="4" w:space="0" w:color="auto"/>
            </w:tcBorders>
            <w:vAlign w:val="center"/>
          </w:tcPr>
          <w:p w14:paraId="2752CEFE" w14:textId="77777777" w:rsidR="00D523E0" w:rsidRPr="00AE0637" w:rsidRDefault="00D523E0" w:rsidP="00F24BE1">
            <w:pPr>
              <w:pStyle w:val="Corpotesto"/>
              <w:ind w:firstLine="0"/>
              <w:jc w:val="center"/>
            </w:pPr>
          </w:p>
        </w:tc>
        <w:tc>
          <w:tcPr>
            <w:tcW w:w="842" w:type="dxa"/>
            <w:tcBorders>
              <w:top w:val="single" w:sz="4" w:space="0" w:color="auto"/>
            </w:tcBorders>
            <w:vAlign w:val="center"/>
          </w:tcPr>
          <w:p w14:paraId="2EDBB0D4" w14:textId="77777777" w:rsidR="00D523E0" w:rsidRPr="00AE0637" w:rsidRDefault="00D523E0" w:rsidP="00F24BE1">
            <w:pPr>
              <w:pStyle w:val="Corpotesto"/>
              <w:ind w:firstLine="0"/>
              <w:jc w:val="center"/>
            </w:pPr>
          </w:p>
        </w:tc>
      </w:tr>
      <w:tr w:rsidR="00D523E0" w:rsidRPr="00AE0637" w14:paraId="1A3D1D2C" w14:textId="77777777" w:rsidTr="00F24BE1">
        <w:trPr>
          <w:jc w:val="center"/>
        </w:trPr>
        <w:tc>
          <w:tcPr>
            <w:tcW w:w="1637" w:type="dxa"/>
            <w:tcBorders>
              <w:right w:val="single" w:sz="4" w:space="0" w:color="auto"/>
            </w:tcBorders>
          </w:tcPr>
          <w:p w14:paraId="63BA6AF2" w14:textId="77777777" w:rsidR="00D523E0" w:rsidRDefault="00D523E0" w:rsidP="000529FA">
            <w:pPr>
              <w:pStyle w:val="Corpotesto"/>
              <w:ind w:firstLine="0"/>
            </w:pPr>
            <w:r>
              <w:t>BFS-61-0</w:t>
            </w:r>
          </w:p>
        </w:tc>
        <w:tc>
          <w:tcPr>
            <w:tcW w:w="841" w:type="dxa"/>
            <w:tcBorders>
              <w:left w:val="single" w:sz="4" w:space="0" w:color="auto"/>
            </w:tcBorders>
            <w:vAlign w:val="center"/>
          </w:tcPr>
          <w:p w14:paraId="01A5BACE"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4DFC3219"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F1ACAF0"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21E84709" w14:textId="77777777" w:rsidR="00D523E0" w:rsidRDefault="00D523E0" w:rsidP="00F24BE1">
            <w:pPr>
              <w:pStyle w:val="Corpotesto"/>
              <w:ind w:firstLine="0"/>
              <w:jc w:val="center"/>
            </w:pPr>
          </w:p>
        </w:tc>
        <w:tc>
          <w:tcPr>
            <w:tcW w:w="842" w:type="dxa"/>
            <w:vAlign w:val="center"/>
          </w:tcPr>
          <w:p w14:paraId="66F9E2AF" w14:textId="77777777" w:rsidR="00D523E0" w:rsidRDefault="00D523E0" w:rsidP="00F24BE1">
            <w:pPr>
              <w:pStyle w:val="Corpotesto"/>
              <w:ind w:firstLine="0"/>
              <w:jc w:val="center"/>
            </w:pPr>
          </w:p>
        </w:tc>
        <w:tc>
          <w:tcPr>
            <w:tcW w:w="842" w:type="dxa"/>
            <w:vAlign w:val="center"/>
          </w:tcPr>
          <w:p w14:paraId="1B7A392E" w14:textId="77777777" w:rsidR="00D523E0" w:rsidRDefault="00D523E0" w:rsidP="00F24BE1">
            <w:pPr>
              <w:pStyle w:val="Corpotesto"/>
              <w:ind w:firstLine="0"/>
              <w:jc w:val="center"/>
            </w:pPr>
          </w:p>
        </w:tc>
        <w:tc>
          <w:tcPr>
            <w:tcW w:w="842" w:type="dxa"/>
            <w:vAlign w:val="center"/>
          </w:tcPr>
          <w:p w14:paraId="3AF058E0" w14:textId="77777777" w:rsidR="00D523E0" w:rsidRDefault="00D523E0" w:rsidP="00F24BE1">
            <w:pPr>
              <w:pStyle w:val="Corpotesto"/>
              <w:ind w:firstLine="0"/>
              <w:jc w:val="center"/>
            </w:pPr>
          </w:p>
        </w:tc>
        <w:tc>
          <w:tcPr>
            <w:tcW w:w="842" w:type="dxa"/>
            <w:vAlign w:val="center"/>
          </w:tcPr>
          <w:p w14:paraId="318E67F0" w14:textId="77777777" w:rsidR="00D523E0" w:rsidRDefault="00D523E0" w:rsidP="00F24BE1">
            <w:pPr>
              <w:pStyle w:val="Corpotesto"/>
              <w:ind w:firstLine="0"/>
              <w:jc w:val="center"/>
            </w:pPr>
          </w:p>
        </w:tc>
        <w:tc>
          <w:tcPr>
            <w:tcW w:w="842" w:type="dxa"/>
            <w:vAlign w:val="center"/>
          </w:tcPr>
          <w:p w14:paraId="3F361E81" w14:textId="77777777" w:rsidR="00D523E0" w:rsidRDefault="00D523E0" w:rsidP="00F24BE1">
            <w:pPr>
              <w:pStyle w:val="Corpotesto"/>
              <w:ind w:firstLine="0"/>
              <w:jc w:val="center"/>
            </w:pPr>
          </w:p>
        </w:tc>
      </w:tr>
      <w:tr w:rsidR="00D523E0" w:rsidRPr="00AE0637" w14:paraId="1C821238" w14:textId="77777777" w:rsidTr="00F24BE1">
        <w:trPr>
          <w:jc w:val="center"/>
        </w:trPr>
        <w:tc>
          <w:tcPr>
            <w:tcW w:w="1637" w:type="dxa"/>
            <w:tcBorders>
              <w:right w:val="single" w:sz="4" w:space="0" w:color="auto"/>
            </w:tcBorders>
          </w:tcPr>
          <w:p w14:paraId="3594E073" w14:textId="77777777" w:rsidR="00D523E0" w:rsidRDefault="00D523E0" w:rsidP="000529FA">
            <w:pPr>
              <w:pStyle w:val="Corpotesto"/>
              <w:ind w:firstLine="0"/>
            </w:pPr>
            <w:r>
              <w:t>BFS-61-1</w:t>
            </w:r>
          </w:p>
        </w:tc>
        <w:tc>
          <w:tcPr>
            <w:tcW w:w="841" w:type="dxa"/>
            <w:tcBorders>
              <w:left w:val="single" w:sz="4" w:space="0" w:color="auto"/>
            </w:tcBorders>
            <w:vAlign w:val="center"/>
          </w:tcPr>
          <w:p w14:paraId="2B736FD9" w14:textId="77777777" w:rsidR="00D523E0" w:rsidRDefault="00D523E0" w:rsidP="00F24BE1">
            <w:pPr>
              <w:pStyle w:val="Corpotesto"/>
              <w:ind w:firstLine="0"/>
              <w:jc w:val="center"/>
            </w:pPr>
          </w:p>
        </w:tc>
        <w:tc>
          <w:tcPr>
            <w:tcW w:w="842" w:type="dxa"/>
            <w:vAlign w:val="center"/>
          </w:tcPr>
          <w:p w14:paraId="0696AA08"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D05B259" w14:textId="77777777" w:rsidR="00D523E0" w:rsidRDefault="00D523E0" w:rsidP="00F24BE1">
            <w:pPr>
              <w:pStyle w:val="Corpotesto"/>
              <w:ind w:firstLine="0"/>
              <w:jc w:val="center"/>
            </w:pPr>
          </w:p>
        </w:tc>
        <w:tc>
          <w:tcPr>
            <w:tcW w:w="842" w:type="dxa"/>
            <w:vAlign w:val="center"/>
          </w:tcPr>
          <w:p w14:paraId="3E97D813" w14:textId="77777777" w:rsidR="00D523E0" w:rsidRDefault="00D523E0" w:rsidP="00F24BE1">
            <w:pPr>
              <w:pStyle w:val="Corpotesto"/>
              <w:ind w:firstLine="0"/>
              <w:jc w:val="center"/>
            </w:pPr>
          </w:p>
        </w:tc>
        <w:tc>
          <w:tcPr>
            <w:tcW w:w="842" w:type="dxa"/>
            <w:vAlign w:val="center"/>
          </w:tcPr>
          <w:p w14:paraId="62491F47" w14:textId="77777777" w:rsidR="00D523E0" w:rsidRDefault="00D523E0" w:rsidP="00F24BE1">
            <w:pPr>
              <w:pStyle w:val="Corpotesto"/>
              <w:ind w:firstLine="0"/>
              <w:jc w:val="center"/>
            </w:pPr>
          </w:p>
        </w:tc>
        <w:tc>
          <w:tcPr>
            <w:tcW w:w="842" w:type="dxa"/>
            <w:vAlign w:val="center"/>
          </w:tcPr>
          <w:p w14:paraId="2A41C07C" w14:textId="77777777" w:rsidR="00D523E0" w:rsidRDefault="00D523E0" w:rsidP="00F24BE1">
            <w:pPr>
              <w:pStyle w:val="Corpotesto"/>
              <w:ind w:firstLine="0"/>
              <w:jc w:val="center"/>
            </w:pPr>
          </w:p>
        </w:tc>
        <w:tc>
          <w:tcPr>
            <w:tcW w:w="842" w:type="dxa"/>
            <w:vAlign w:val="center"/>
          </w:tcPr>
          <w:p w14:paraId="378218C8" w14:textId="77777777" w:rsidR="00D523E0" w:rsidRDefault="00D523E0" w:rsidP="00F24BE1">
            <w:pPr>
              <w:pStyle w:val="Corpotesto"/>
              <w:ind w:firstLine="0"/>
              <w:jc w:val="center"/>
            </w:pPr>
          </w:p>
        </w:tc>
        <w:tc>
          <w:tcPr>
            <w:tcW w:w="842" w:type="dxa"/>
            <w:vAlign w:val="center"/>
          </w:tcPr>
          <w:p w14:paraId="14FD924A" w14:textId="77777777" w:rsidR="00D523E0" w:rsidRDefault="00D523E0" w:rsidP="00F24BE1">
            <w:pPr>
              <w:pStyle w:val="Corpotesto"/>
              <w:ind w:firstLine="0"/>
              <w:jc w:val="center"/>
            </w:pPr>
          </w:p>
        </w:tc>
        <w:tc>
          <w:tcPr>
            <w:tcW w:w="842" w:type="dxa"/>
            <w:vAlign w:val="center"/>
          </w:tcPr>
          <w:p w14:paraId="5EE1EE5B" w14:textId="77777777" w:rsidR="00D523E0" w:rsidRDefault="00D523E0" w:rsidP="00F24BE1">
            <w:pPr>
              <w:pStyle w:val="Corpotesto"/>
              <w:ind w:firstLine="0"/>
              <w:jc w:val="center"/>
            </w:pPr>
          </w:p>
        </w:tc>
      </w:tr>
      <w:tr w:rsidR="00D523E0" w:rsidRPr="00AE0637" w14:paraId="63EE410E" w14:textId="77777777" w:rsidTr="00F24BE1">
        <w:trPr>
          <w:jc w:val="center"/>
        </w:trPr>
        <w:tc>
          <w:tcPr>
            <w:tcW w:w="1637" w:type="dxa"/>
            <w:tcBorders>
              <w:right w:val="single" w:sz="4" w:space="0" w:color="auto"/>
            </w:tcBorders>
          </w:tcPr>
          <w:p w14:paraId="4501BD2B" w14:textId="77777777" w:rsidR="00D523E0" w:rsidRDefault="00D523E0" w:rsidP="000529FA">
            <w:pPr>
              <w:pStyle w:val="Corpotesto"/>
              <w:ind w:firstLine="0"/>
            </w:pPr>
            <w:r>
              <w:t>BFS-61-2</w:t>
            </w:r>
          </w:p>
        </w:tc>
        <w:tc>
          <w:tcPr>
            <w:tcW w:w="841" w:type="dxa"/>
            <w:tcBorders>
              <w:left w:val="single" w:sz="4" w:space="0" w:color="auto"/>
            </w:tcBorders>
            <w:vAlign w:val="center"/>
          </w:tcPr>
          <w:p w14:paraId="6EC2F7C1" w14:textId="77777777" w:rsidR="00D523E0" w:rsidRDefault="00D523E0" w:rsidP="00F24BE1">
            <w:pPr>
              <w:pStyle w:val="Corpotesto"/>
              <w:ind w:firstLine="0"/>
              <w:jc w:val="center"/>
            </w:pPr>
          </w:p>
        </w:tc>
        <w:tc>
          <w:tcPr>
            <w:tcW w:w="842" w:type="dxa"/>
            <w:vAlign w:val="center"/>
          </w:tcPr>
          <w:p w14:paraId="48A79ED9" w14:textId="77777777" w:rsidR="00D523E0" w:rsidRDefault="00D523E0" w:rsidP="00F24BE1">
            <w:pPr>
              <w:pStyle w:val="Corpotesto"/>
              <w:ind w:firstLine="0"/>
              <w:jc w:val="center"/>
            </w:pPr>
          </w:p>
        </w:tc>
        <w:tc>
          <w:tcPr>
            <w:tcW w:w="842" w:type="dxa"/>
            <w:vAlign w:val="center"/>
          </w:tcPr>
          <w:p w14:paraId="6185CEDC"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655DBA91" w14:textId="77777777" w:rsidR="00D523E0" w:rsidRDefault="00D523E0" w:rsidP="00F24BE1">
            <w:pPr>
              <w:pStyle w:val="Corpotesto"/>
              <w:ind w:firstLine="0"/>
              <w:jc w:val="center"/>
            </w:pPr>
          </w:p>
        </w:tc>
        <w:tc>
          <w:tcPr>
            <w:tcW w:w="842" w:type="dxa"/>
            <w:vAlign w:val="center"/>
          </w:tcPr>
          <w:p w14:paraId="57CB350D" w14:textId="77777777" w:rsidR="00D523E0" w:rsidRDefault="00D523E0" w:rsidP="00F24BE1">
            <w:pPr>
              <w:pStyle w:val="Corpotesto"/>
              <w:ind w:firstLine="0"/>
              <w:jc w:val="center"/>
            </w:pPr>
          </w:p>
        </w:tc>
        <w:tc>
          <w:tcPr>
            <w:tcW w:w="842" w:type="dxa"/>
            <w:vAlign w:val="center"/>
          </w:tcPr>
          <w:p w14:paraId="29BF0E8A" w14:textId="77777777" w:rsidR="00D523E0" w:rsidRDefault="00D523E0" w:rsidP="00F24BE1">
            <w:pPr>
              <w:pStyle w:val="Corpotesto"/>
              <w:ind w:firstLine="0"/>
              <w:jc w:val="center"/>
            </w:pPr>
          </w:p>
        </w:tc>
        <w:tc>
          <w:tcPr>
            <w:tcW w:w="842" w:type="dxa"/>
            <w:vAlign w:val="center"/>
          </w:tcPr>
          <w:p w14:paraId="219D7D4E" w14:textId="77777777" w:rsidR="00D523E0" w:rsidRDefault="00D523E0" w:rsidP="00F24BE1">
            <w:pPr>
              <w:pStyle w:val="Corpotesto"/>
              <w:ind w:firstLine="0"/>
              <w:jc w:val="center"/>
            </w:pPr>
          </w:p>
        </w:tc>
        <w:tc>
          <w:tcPr>
            <w:tcW w:w="842" w:type="dxa"/>
            <w:vAlign w:val="center"/>
          </w:tcPr>
          <w:p w14:paraId="31DCE384" w14:textId="77777777" w:rsidR="00D523E0" w:rsidRDefault="00D523E0" w:rsidP="00F24BE1">
            <w:pPr>
              <w:pStyle w:val="Corpotesto"/>
              <w:ind w:firstLine="0"/>
              <w:jc w:val="center"/>
            </w:pPr>
          </w:p>
        </w:tc>
        <w:tc>
          <w:tcPr>
            <w:tcW w:w="842" w:type="dxa"/>
            <w:vAlign w:val="center"/>
          </w:tcPr>
          <w:p w14:paraId="0211120D" w14:textId="77777777" w:rsidR="00D523E0" w:rsidRDefault="00D523E0" w:rsidP="00F24BE1">
            <w:pPr>
              <w:pStyle w:val="Corpotesto"/>
              <w:ind w:firstLine="0"/>
              <w:jc w:val="center"/>
            </w:pPr>
          </w:p>
        </w:tc>
      </w:tr>
      <w:tr w:rsidR="00D523E0" w:rsidRPr="00AE0637" w14:paraId="30415210" w14:textId="77777777" w:rsidTr="00F24BE1">
        <w:trPr>
          <w:jc w:val="center"/>
        </w:trPr>
        <w:tc>
          <w:tcPr>
            <w:tcW w:w="1637" w:type="dxa"/>
            <w:tcBorders>
              <w:right w:val="single" w:sz="4" w:space="0" w:color="auto"/>
            </w:tcBorders>
          </w:tcPr>
          <w:p w14:paraId="4642A91A" w14:textId="77777777" w:rsidR="00D523E0" w:rsidRDefault="00D523E0" w:rsidP="000529FA">
            <w:pPr>
              <w:pStyle w:val="Corpotesto"/>
              <w:ind w:firstLine="0"/>
            </w:pPr>
            <w:r>
              <w:lastRenderedPageBreak/>
              <w:t>BFS-62-3A</w:t>
            </w:r>
          </w:p>
        </w:tc>
        <w:tc>
          <w:tcPr>
            <w:tcW w:w="841" w:type="dxa"/>
            <w:tcBorders>
              <w:left w:val="single" w:sz="4" w:space="0" w:color="auto"/>
            </w:tcBorders>
            <w:vAlign w:val="center"/>
          </w:tcPr>
          <w:p w14:paraId="065E3453" w14:textId="77777777" w:rsidR="00D523E0" w:rsidRDefault="00D523E0" w:rsidP="00F24BE1">
            <w:pPr>
              <w:pStyle w:val="Corpotesto"/>
              <w:ind w:firstLine="0"/>
              <w:jc w:val="center"/>
            </w:pPr>
          </w:p>
        </w:tc>
        <w:tc>
          <w:tcPr>
            <w:tcW w:w="842" w:type="dxa"/>
            <w:vAlign w:val="center"/>
          </w:tcPr>
          <w:p w14:paraId="6709FA83"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04DC73CC" w14:textId="77777777" w:rsidR="00D523E0" w:rsidRDefault="00D523E0" w:rsidP="00F24BE1">
            <w:pPr>
              <w:pStyle w:val="Corpotesto"/>
              <w:ind w:firstLine="0"/>
              <w:jc w:val="center"/>
            </w:pPr>
          </w:p>
        </w:tc>
        <w:tc>
          <w:tcPr>
            <w:tcW w:w="842" w:type="dxa"/>
            <w:vAlign w:val="center"/>
          </w:tcPr>
          <w:p w14:paraId="1853046C" w14:textId="77777777" w:rsidR="00D523E0" w:rsidRDefault="00D523E0" w:rsidP="00F24BE1">
            <w:pPr>
              <w:pStyle w:val="Corpotesto"/>
              <w:ind w:firstLine="0"/>
              <w:jc w:val="center"/>
            </w:pPr>
          </w:p>
        </w:tc>
        <w:tc>
          <w:tcPr>
            <w:tcW w:w="842" w:type="dxa"/>
            <w:vAlign w:val="center"/>
          </w:tcPr>
          <w:p w14:paraId="43DD5643" w14:textId="77777777" w:rsidR="00D523E0" w:rsidRDefault="00D523E0" w:rsidP="00F24BE1">
            <w:pPr>
              <w:pStyle w:val="Corpotesto"/>
              <w:ind w:firstLine="0"/>
              <w:jc w:val="center"/>
            </w:pPr>
          </w:p>
        </w:tc>
        <w:tc>
          <w:tcPr>
            <w:tcW w:w="842" w:type="dxa"/>
            <w:vAlign w:val="center"/>
          </w:tcPr>
          <w:p w14:paraId="1D431691" w14:textId="77777777" w:rsidR="00D523E0" w:rsidRDefault="00D523E0" w:rsidP="00F24BE1">
            <w:pPr>
              <w:pStyle w:val="Corpotesto"/>
              <w:ind w:firstLine="0"/>
              <w:jc w:val="center"/>
            </w:pPr>
          </w:p>
        </w:tc>
        <w:tc>
          <w:tcPr>
            <w:tcW w:w="842" w:type="dxa"/>
            <w:vAlign w:val="center"/>
          </w:tcPr>
          <w:p w14:paraId="31C5846E"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01763BF1" w14:textId="77777777" w:rsidR="00D523E0" w:rsidRDefault="00D523E0" w:rsidP="00F24BE1">
            <w:pPr>
              <w:pStyle w:val="Corpotesto"/>
              <w:ind w:firstLine="0"/>
              <w:jc w:val="center"/>
            </w:pPr>
          </w:p>
        </w:tc>
        <w:tc>
          <w:tcPr>
            <w:tcW w:w="842" w:type="dxa"/>
            <w:vAlign w:val="center"/>
          </w:tcPr>
          <w:p w14:paraId="2FE64712" w14:textId="77777777" w:rsidR="00D523E0" w:rsidRDefault="00D523E0" w:rsidP="00F24BE1">
            <w:pPr>
              <w:pStyle w:val="Corpotesto"/>
              <w:ind w:firstLine="0"/>
              <w:jc w:val="center"/>
            </w:pPr>
          </w:p>
        </w:tc>
      </w:tr>
      <w:tr w:rsidR="00D523E0" w:rsidRPr="00AE0637" w14:paraId="6E31CEF9" w14:textId="77777777" w:rsidTr="00F24BE1">
        <w:trPr>
          <w:jc w:val="center"/>
        </w:trPr>
        <w:tc>
          <w:tcPr>
            <w:tcW w:w="1637" w:type="dxa"/>
            <w:tcBorders>
              <w:right w:val="single" w:sz="4" w:space="0" w:color="auto"/>
            </w:tcBorders>
          </w:tcPr>
          <w:p w14:paraId="54F5EA98" w14:textId="77777777" w:rsidR="00D523E0" w:rsidRDefault="00D523E0" w:rsidP="000529FA">
            <w:pPr>
              <w:pStyle w:val="Corpotesto"/>
              <w:ind w:firstLine="0"/>
            </w:pPr>
            <w:r>
              <w:t>FFTF</w:t>
            </w:r>
          </w:p>
        </w:tc>
        <w:tc>
          <w:tcPr>
            <w:tcW w:w="841" w:type="dxa"/>
            <w:tcBorders>
              <w:left w:val="single" w:sz="4" w:space="0" w:color="auto"/>
            </w:tcBorders>
            <w:vAlign w:val="center"/>
          </w:tcPr>
          <w:p w14:paraId="7935A2F1"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9B8F848" w14:textId="77777777" w:rsidR="00D523E0" w:rsidRDefault="00D523E0" w:rsidP="00F24BE1">
            <w:pPr>
              <w:pStyle w:val="Corpotesto"/>
              <w:ind w:firstLine="0"/>
              <w:jc w:val="center"/>
            </w:pPr>
          </w:p>
        </w:tc>
        <w:tc>
          <w:tcPr>
            <w:tcW w:w="842" w:type="dxa"/>
            <w:vAlign w:val="center"/>
          </w:tcPr>
          <w:p w14:paraId="68199807" w14:textId="77777777" w:rsidR="00D523E0" w:rsidRDefault="00D523E0" w:rsidP="00F24BE1">
            <w:pPr>
              <w:pStyle w:val="Corpotesto"/>
              <w:ind w:firstLine="0"/>
              <w:jc w:val="center"/>
            </w:pPr>
          </w:p>
        </w:tc>
        <w:tc>
          <w:tcPr>
            <w:tcW w:w="842" w:type="dxa"/>
            <w:vAlign w:val="center"/>
          </w:tcPr>
          <w:p w14:paraId="38EA3563" w14:textId="77777777" w:rsidR="00D523E0" w:rsidRDefault="00D523E0" w:rsidP="00F24BE1">
            <w:pPr>
              <w:pStyle w:val="Corpotesto"/>
              <w:ind w:firstLine="0"/>
              <w:jc w:val="center"/>
            </w:pPr>
          </w:p>
        </w:tc>
        <w:tc>
          <w:tcPr>
            <w:tcW w:w="842" w:type="dxa"/>
            <w:vAlign w:val="center"/>
          </w:tcPr>
          <w:p w14:paraId="0C0EDF93" w14:textId="77777777" w:rsidR="00D523E0" w:rsidRDefault="00D523E0" w:rsidP="00F24BE1">
            <w:pPr>
              <w:pStyle w:val="Corpotesto"/>
              <w:ind w:firstLine="0"/>
              <w:jc w:val="center"/>
            </w:pPr>
          </w:p>
        </w:tc>
        <w:tc>
          <w:tcPr>
            <w:tcW w:w="842" w:type="dxa"/>
            <w:vAlign w:val="center"/>
          </w:tcPr>
          <w:p w14:paraId="31A3BE41" w14:textId="77777777" w:rsidR="00D523E0" w:rsidRDefault="00D523E0" w:rsidP="00F24BE1">
            <w:pPr>
              <w:pStyle w:val="Corpotesto"/>
              <w:ind w:firstLine="0"/>
              <w:jc w:val="center"/>
            </w:pPr>
          </w:p>
        </w:tc>
        <w:tc>
          <w:tcPr>
            <w:tcW w:w="842" w:type="dxa"/>
            <w:vAlign w:val="center"/>
          </w:tcPr>
          <w:p w14:paraId="71C691C3"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69D2D0FC"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7A84A28" w14:textId="77777777" w:rsidR="00D523E0" w:rsidRDefault="00D523E0" w:rsidP="00F24BE1">
            <w:pPr>
              <w:pStyle w:val="Corpotesto"/>
              <w:ind w:firstLine="0"/>
              <w:jc w:val="center"/>
            </w:pPr>
          </w:p>
        </w:tc>
      </w:tr>
      <w:tr w:rsidR="00D523E0" w:rsidRPr="00AE0637" w14:paraId="3CAA097B" w14:textId="77777777" w:rsidTr="00F24BE1">
        <w:trPr>
          <w:jc w:val="center"/>
        </w:trPr>
        <w:tc>
          <w:tcPr>
            <w:tcW w:w="1637" w:type="dxa"/>
            <w:tcBorders>
              <w:right w:val="single" w:sz="4" w:space="0" w:color="auto"/>
            </w:tcBorders>
          </w:tcPr>
          <w:p w14:paraId="07DE1C9F" w14:textId="77777777" w:rsidR="00D523E0" w:rsidRDefault="00D523E0" w:rsidP="000529FA">
            <w:pPr>
              <w:pStyle w:val="Corpotesto"/>
              <w:ind w:firstLine="0"/>
            </w:pPr>
            <w:r>
              <w:t>JOYO-64-FA</w:t>
            </w:r>
          </w:p>
        </w:tc>
        <w:tc>
          <w:tcPr>
            <w:tcW w:w="841" w:type="dxa"/>
            <w:tcBorders>
              <w:left w:val="single" w:sz="4" w:space="0" w:color="auto"/>
            </w:tcBorders>
            <w:vAlign w:val="center"/>
          </w:tcPr>
          <w:p w14:paraId="6EFCC478"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720A1F16" w14:textId="77777777" w:rsidR="00D523E0" w:rsidRDefault="00D523E0" w:rsidP="00F24BE1">
            <w:pPr>
              <w:pStyle w:val="Corpotesto"/>
              <w:ind w:firstLine="0"/>
              <w:jc w:val="center"/>
            </w:pPr>
          </w:p>
        </w:tc>
        <w:tc>
          <w:tcPr>
            <w:tcW w:w="842" w:type="dxa"/>
            <w:vAlign w:val="center"/>
          </w:tcPr>
          <w:p w14:paraId="095773A0" w14:textId="77777777" w:rsidR="00D523E0" w:rsidRDefault="00D523E0" w:rsidP="00F24BE1">
            <w:pPr>
              <w:pStyle w:val="Corpotesto"/>
              <w:ind w:firstLine="0"/>
              <w:jc w:val="center"/>
            </w:pPr>
          </w:p>
        </w:tc>
        <w:tc>
          <w:tcPr>
            <w:tcW w:w="842" w:type="dxa"/>
            <w:vAlign w:val="center"/>
          </w:tcPr>
          <w:p w14:paraId="7AFB7280" w14:textId="77777777" w:rsidR="00D523E0" w:rsidRDefault="00D523E0" w:rsidP="00F24BE1">
            <w:pPr>
              <w:pStyle w:val="Corpotesto"/>
              <w:ind w:firstLine="0"/>
              <w:jc w:val="center"/>
            </w:pPr>
          </w:p>
        </w:tc>
        <w:tc>
          <w:tcPr>
            <w:tcW w:w="842" w:type="dxa"/>
            <w:vAlign w:val="center"/>
          </w:tcPr>
          <w:p w14:paraId="1B648D3E" w14:textId="77777777" w:rsidR="00D523E0" w:rsidRDefault="00D523E0" w:rsidP="00F24BE1">
            <w:pPr>
              <w:pStyle w:val="Corpotesto"/>
              <w:ind w:firstLine="0"/>
              <w:jc w:val="center"/>
            </w:pPr>
          </w:p>
        </w:tc>
        <w:tc>
          <w:tcPr>
            <w:tcW w:w="842" w:type="dxa"/>
            <w:vAlign w:val="center"/>
          </w:tcPr>
          <w:p w14:paraId="7B8B36FF"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26C9CCAC" w14:textId="77777777" w:rsidR="00D523E0" w:rsidRDefault="00D523E0" w:rsidP="00F24BE1">
            <w:pPr>
              <w:pStyle w:val="Corpotesto"/>
              <w:ind w:firstLine="0"/>
              <w:jc w:val="center"/>
            </w:pPr>
          </w:p>
        </w:tc>
        <w:tc>
          <w:tcPr>
            <w:tcW w:w="842" w:type="dxa"/>
            <w:vAlign w:val="center"/>
          </w:tcPr>
          <w:p w14:paraId="26BDBC07"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7E30E57" w14:textId="77777777" w:rsidR="00D523E0" w:rsidRDefault="00D523E0" w:rsidP="00F24BE1">
            <w:pPr>
              <w:pStyle w:val="Corpotesto"/>
              <w:ind w:firstLine="0"/>
              <w:jc w:val="center"/>
            </w:pPr>
          </w:p>
        </w:tc>
      </w:tr>
      <w:tr w:rsidR="00D523E0" w:rsidRPr="00AE0637" w14:paraId="293546D9" w14:textId="77777777" w:rsidTr="00F24BE1">
        <w:trPr>
          <w:jc w:val="center"/>
        </w:trPr>
        <w:tc>
          <w:tcPr>
            <w:tcW w:w="1637" w:type="dxa"/>
            <w:tcBorders>
              <w:right w:val="single" w:sz="4" w:space="0" w:color="auto"/>
            </w:tcBorders>
          </w:tcPr>
          <w:p w14:paraId="623A8069" w14:textId="77777777" w:rsidR="00D523E0" w:rsidRDefault="00D523E0" w:rsidP="000529FA">
            <w:pPr>
              <w:pStyle w:val="Corpotesto"/>
              <w:ind w:firstLine="0"/>
            </w:pPr>
            <w:r>
              <w:t>JOYO-70-FA</w:t>
            </w:r>
          </w:p>
        </w:tc>
        <w:tc>
          <w:tcPr>
            <w:tcW w:w="841" w:type="dxa"/>
            <w:tcBorders>
              <w:left w:val="single" w:sz="4" w:space="0" w:color="auto"/>
            </w:tcBorders>
            <w:vAlign w:val="center"/>
          </w:tcPr>
          <w:p w14:paraId="795D15FB"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03213639" w14:textId="77777777" w:rsidR="00D523E0" w:rsidRDefault="00D523E0" w:rsidP="00F24BE1">
            <w:pPr>
              <w:pStyle w:val="Corpotesto"/>
              <w:ind w:firstLine="0"/>
              <w:jc w:val="center"/>
            </w:pPr>
          </w:p>
        </w:tc>
        <w:tc>
          <w:tcPr>
            <w:tcW w:w="842" w:type="dxa"/>
            <w:vAlign w:val="center"/>
          </w:tcPr>
          <w:p w14:paraId="2C29DBE2" w14:textId="77777777" w:rsidR="00D523E0" w:rsidRDefault="00D523E0" w:rsidP="00F24BE1">
            <w:pPr>
              <w:pStyle w:val="Corpotesto"/>
              <w:ind w:firstLine="0"/>
              <w:jc w:val="center"/>
            </w:pPr>
          </w:p>
        </w:tc>
        <w:tc>
          <w:tcPr>
            <w:tcW w:w="842" w:type="dxa"/>
            <w:vAlign w:val="center"/>
          </w:tcPr>
          <w:p w14:paraId="5CE54944" w14:textId="77777777" w:rsidR="00D523E0" w:rsidRDefault="00D523E0" w:rsidP="00F24BE1">
            <w:pPr>
              <w:pStyle w:val="Corpotesto"/>
              <w:ind w:firstLine="0"/>
              <w:jc w:val="center"/>
            </w:pPr>
          </w:p>
        </w:tc>
        <w:tc>
          <w:tcPr>
            <w:tcW w:w="842" w:type="dxa"/>
            <w:vAlign w:val="center"/>
          </w:tcPr>
          <w:p w14:paraId="63389037" w14:textId="77777777" w:rsidR="00D523E0" w:rsidRDefault="00D523E0" w:rsidP="00F24BE1">
            <w:pPr>
              <w:pStyle w:val="Corpotesto"/>
              <w:ind w:firstLine="0"/>
              <w:jc w:val="center"/>
            </w:pPr>
          </w:p>
        </w:tc>
        <w:tc>
          <w:tcPr>
            <w:tcW w:w="842" w:type="dxa"/>
            <w:vAlign w:val="center"/>
          </w:tcPr>
          <w:p w14:paraId="0C017802"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2F659907" w14:textId="77777777" w:rsidR="00D523E0" w:rsidRDefault="00D523E0" w:rsidP="00F24BE1">
            <w:pPr>
              <w:pStyle w:val="Corpotesto"/>
              <w:ind w:firstLine="0"/>
              <w:jc w:val="center"/>
            </w:pPr>
          </w:p>
        </w:tc>
        <w:tc>
          <w:tcPr>
            <w:tcW w:w="842" w:type="dxa"/>
            <w:vAlign w:val="center"/>
          </w:tcPr>
          <w:p w14:paraId="67AC7323"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DC9FE7F" w14:textId="77777777" w:rsidR="00D523E0" w:rsidRDefault="00D523E0" w:rsidP="00F24BE1">
            <w:pPr>
              <w:pStyle w:val="Corpotesto"/>
              <w:ind w:firstLine="0"/>
              <w:jc w:val="center"/>
            </w:pPr>
          </w:p>
        </w:tc>
      </w:tr>
      <w:tr w:rsidR="00D523E0" w:rsidRPr="00AE0637" w14:paraId="79FB0716" w14:textId="77777777" w:rsidTr="00F24BE1">
        <w:trPr>
          <w:jc w:val="center"/>
        </w:trPr>
        <w:tc>
          <w:tcPr>
            <w:tcW w:w="1637" w:type="dxa"/>
            <w:tcBorders>
              <w:right w:val="single" w:sz="4" w:space="0" w:color="auto"/>
            </w:tcBorders>
          </w:tcPr>
          <w:p w14:paraId="7BEBBE35" w14:textId="77777777" w:rsidR="00D523E0" w:rsidRDefault="00D523E0" w:rsidP="000529FA">
            <w:pPr>
              <w:pStyle w:val="Corpotesto"/>
              <w:ind w:firstLine="0"/>
            </w:pPr>
            <w:r>
              <w:t>SNEAK(7B)</w:t>
            </w:r>
          </w:p>
        </w:tc>
        <w:tc>
          <w:tcPr>
            <w:tcW w:w="841" w:type="dxa"/>
            <w:tcBorders>
              <w:left w:val="single" w:sz="4" w:space="0" w:color="auto"/>
            </w:tcBorders>
            <w:vAlign w:val="center"/>
          </w:tcPr>
          <w:p w14:paraId="1DECED1E"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25516719"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3EED03B2"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25B3A6CC"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78129F7F"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7D7DBE99" w14:textId="77777777" w:rsidR="00D523E0" w:rsidRDefault="00D523E0" w:rsidP="00F24BE1">
            <w:pPr>
              <w:pStyle w:val="Corpotesto"/>
              <w:ind w:firstLine="0"/>
              <w:jc w:val="center"/>
            </w:pPr>
          </w:p>
        </w:tc>
        <w:tc>
          <w:tcPr>
            <w:tcW w:w="842" w:type="dxa"/>
            <w:vAlign w:val="center"/>
          </w:tcPr>
          <w:p w14:paraId="5C05F056" w14:textId="77777777" w:rsidR="00D523E0" w:rsidRDefault="00D523E0" w:rsidP="00F24BE1">
            <w:pPr>
              <w:pStyle w:val="Corpotesto"/>
              <w:ind w:firstLine="0"/>
              <w:jc w:val="center"/>
            </w:pPr>
          </w:p>
        </w:tc>
        <w:tc>
          <w:tcPr>
            <w:tcW w:w="842" w:type="dxa"/>
            <w:vAlign w:val="center"/>
          </w:tcPr>
          <w:p w14:paraId="6AE1FDB7" w14:textId="77777777" w:rsidR="00D523E0" w:rsidRDefault="00D523E0" w:rsidP="00F24BE1">
            <w:pPr>
              <w:pStyle w:val="Corpotesto"/>
              <w:ind w:firstLine="0"/>
              <w:jc w:val="center"/>
            </w:pPr>
          </w:p>
        </w:tc>
        <w:tc>
          <w:tcPr>
            <w:tcW w:w="842" w:type="dxa"/>
            <w:vAlign w:val="center"/>
          </w:tcPr>
          <w:p w14:paraId="7ACF3396" w14:textId="77777777" w:rsidR="00D523E0" w:rsidRDefault="00D523E0" w:rsidP="00F24BE1">
            <w:pPr>
              <w:pStyle w:val="Corpotesto"/>
              <w:ind w:firstLine="0"/>
              <w:jc w:val="center"/>
            </w:pPr>
          </w:p>
        </w:tc>
      </w:tr>
      <w:tr w:rsidR="00D523E0" w:rsidRPr="00AE0637" w14:paraId="6C8CC056" w14:textId="77777777" w:rsidTr="00F24BE1">
        <w:trPr>
          <w:jc w:val="center"/>
        </w:trPr>
        <w:tc>
          <w:tcPr>
            <w:tcW w:w="1637" w:type="dxa"/>
            <w:tcBorders>
              <w:right w:val="single" w:sz="4" w:space="0" w:color="auto"/>
            </w:tcBorders>
          </w:tcPr>
          <w:p w14:paraId="2E4BD21A" w14:textId="77777777" w:rsidR="00D523E0" w:rsidRDefault="00D523E0" w:rsidP="000529FA">
            <w:pPr>
              <w:pStyle w:val="Corpotesto"/>
              <w:ind w:firstLine="0"/>
            </w:pPr>
            <w:r>
              <w:t>ZEBRA-001(25)</w:t>
            </w:r>
          </w:p>
        </w:tc>
        <w:tc>
          <w:tcPr>
            <w:tcW w:w="841" w:type="dxa"/>
            <w:tcBorders>
              <w:left w:val="single" w:sz="4" w:space="0" w:color="auto"/>
            </w:tcBorders>
            <w:vAlign w:val="center"/>
          </w:tcPr>
          <w:p w14:paraId="2DC7F3B5"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6ADD2C6F" w14:textId="77777777" w:rsidR="00D523E0" w:rsidRDefault="00D523E0" w:rsidP="00F24BE1">
            <w:pPr>
              <w:pStyle w:val="Corpotesto"/>
              <w:ind w:firstLine="0"/>
              <w:jc w:val="center"/>
            </w:pPr>
          </w:p>
        </w:tc>
        <w:tc>
          <w:tcPr>
            <w:tcW w:w="842" w:type="dxa"/>
            <w:vAlign w:val="center"/>
          </w:tcPr>
          <w:p w14:paraId="41FE9BAE" w14:textId="77777777" w:rsidR="00D523E0" w:rsidRDefault="00D523E0" w:rsidP="00F24BE1">
            <w:pPr>
              <w:pStyle w:val="Corpotesto"/>
              <w:ind w:firstLine="0"/>
              <w:jc w:val="center"/>
            </w:pPr>
          </w:p>
        </w:tc>
        <w:tc>
          <w:tcPr>
            <w:tcW w:w="842" w:type="dxa"/>
            <w:vAlign w:val="center"/>
          </w:tcPr>
          <w:p w14:paraId="5FA737B4" w14:textId="77777777" w:rsidR="00D523E0" w:rsidRDefault="00D523E0" w:rsidP="00F24BE1">
            <w:pPr>
              <w:pStyle w:val="Corpotesto"/>
              <w:ind w:firstLine="0"/>
              <w:jc w:val="center"/>
            </w:pPr>
          </w:p>
        </w:tc>
        <w:tc>
          <w:tcPr>
            <w:tcW w:w="842" w:type="dxa"/>
            <w:vAlign w:val="center"/>
          </w:tcPr>
          <w:p w14:paraId="2D10D7E6" w14:textId="77777777" w:rsidR="00D523E0" w:rsidRDefault="00D523E0" w:rsidP="00F24BE1">
            <w:pPr>
              <w:pStyle w:val="Corpotesto"/>
              <w:ind w:firstLine="0"/>
              <w:jc w:val="center"/>
            </w:pPr>
          </w:p>
        </w:tc>
        <w:tc>
          <w:tcPr>
            <w:tcW w:w="842" w:type="dxa"/>
            <w:vAlign w:val="center"/>
          </w:tcPr>
          <w:p w14:paraId="7A374E6B" w14:textId="77777777" w:rsidR="00D523E0" w:rsidRDefault="00D523E0" w:rsidP="00F24BE1">
            <w:pPr>
              <w:pStyle w:val="Corpotesto"/>
              <w:ind w:firstLine="0"/>
              <w:jc w:val="center"/>
            </w:pPr>
          </w:p>
        </w:tc>
        <w:tc>
          <w:tcPr>
            <w:tcW w:w="842" w:type="dxa"/>
            <w:vAlign w:val="center"/>
          </w:tcPr>
          <w:p w14:paraId="36C86418" w14:textId="77777777" w:rsidR="00D523E0" w:rsidRDefault="00D523E0" w:rsidP="00F24BE1">
            <w:pPr>
              <w:pStyle w:val="Corpotesto"/>
              <w:ind w:firstLine="0"/>
              <w:jc w:val="center"/>
            </w:pPr>
          </w:p>
        </w:tc>
        <w:tc>
          <w:tcPr>
            <w:tcW w:w="842" w:type="dxa"/>
            <w:vAlign w:val="center"/>
          </w:tcPr>
          <w:p w14:paraId="40B4C50F" w14:textId="77777777" w:rsidR="00D523E0" w:rsidRDefault="00D523E0" w:rsidP="00F24BE1">
            <w:pPr>
              <w:pStyle w:val="Corpotesto"/>
              <w:ind w:firstLine="0"/>
              <w:jc w:val="center"/>
            </w:pPr>
          </w:p>
        </w:tc>
        <w:tc>
          <w:tcPr>
            <w:tcW w:w="842" w:type="dxa"/>
            <w:vAlign w:val="center"/>
          </w:tcPr>
          <w:p w14:paraId="71F8B034"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48013D83" w14:textId="77777777" w:rsidTr="00F24BE1">
        <w:trPr>
          <w:jc w:val="center"/>
        </w:trPr>
        <w:tc>
          <w:tcPr>
            <w:tcW w:w="1637" w:type="dxa"/>
            <w:tcBorders>
              <w:right w:val="single" w:sz="4" w:space="0" w:color="auto"/>
            </w:tcBorders>
          </w:tcPr>
          <w:p w14:paraId="6EBB9069" w14:textId="77777777" w:rsidR="00D523E0" w:rsidRDefault="00D523E0" w:rsidP="000529FA">
            <w:pPr>
              <w:pStyle w:val="Corpotesto"/>
              <w:ind w:firstLine="0"/>
            </w:pPr>
            <w:r>
              <w:t>ZPPR-001(10A)</w:t>
            </w:r>
          </w:p>
        </w:tc>
        <w:tc>
          <w:tcPr>
            <w:tcW w:w="841" w:type="dxa"/>
            <w:tcBorders>
              <w:left w:val="single" w:sz="4" w:space="0" w:color="auto"/>
            </w:tcBorders>
            <w:vAlign w:val="center"/>
          </w:tcPr>
          <w:p w14:paraId="2C9FFF03"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106DB1A" w14:textId="77777777" w:rsidR="00D523E0" w:rsidRDefault="00D523E0" w:rsidP="00F24BE1">
            <w:pPr>
              <w:pStyle w:val="Corpotesto"/>
              <w:ind w:firstLine="0"/>
              <w:jc w:val="center"/>
            </w:pPr>
          </w:p>
        </w:tc>
        <w:tc>
          <w:tcPr>
            <w:tcW w:w="842" w:type="dxa"/>
            <w:vAlign w:val="center"/>
          </w:tcPr>
          <w:p w14:paraId="4F103316"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3B84A723" w14:textId="77777777" w:rsidR="00D523E0" w:rsidRDefault="00D523E0" w:rsidP="00F24BE1">
            <w:pPr>
              <w:pStyle w:val="Corpotesto"/>
              <w:ind w:firstLine="0"/>
              <w:jc w:val="center"/>
            </w:pPr>
          </w:p>
        </w:tc>
        <w:tc>
          <w:tcPr>
            <w:tcW w:w="842" w:type="dxa"/>
            <w:vAlign w:val="center"/>
          </w:tcPr>
          <w:p w14:paraId="6B0CC2E1" w14:textId="77777777" w:rsidR="00D523E0" w:rsidRDefault="00D523E0" w:rsidP="00F24BE1">
            <w:pPr>
              <w:pStyle w:val="Corpotesto"/>
              <w:ind w:firstLine="0"/>
              <w:jc w:val="center"/>
            </w:pPr>
          </w:p>
        </w:tc>
        <w:tc>
          <w:tcPr>
            <w:tcW w:w="842" w:type="dxa"/>
            <w:vAlign w:val="center"/>
          </w:tcPr>
          <w:p w14:paraId="639D116B" w14:textId="77777777" w:rsidR="00D523E0" w:rsidRDefault="00D523E0" w:rsidP="00F24BE1">
            <w:pPr>
              <w:pStyle w:val="Corpotesto"/>
              <w:ind w:firstLine="0"/>
              <w:jc w:val="center"/>
            </w:pPr>
          </w:p>
        </w:tc>
        <w:tc>
          <w:tcPr>
            <w:tcW w:w="842" w:type="dxa"/>
            <w:vAlign w:val="center"/>
          </w:tcPr>
          <w:p w14:paraId="1BB2346D"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E920B6C" w14:textId="77777777" w:rsidR="00D523E0" w:rsidRDefault="00D523E0" w:rsidP="00F24BE1">
            <w:pPr>
              <w:pStyle w:val="Corpotesto"/>
              <w:ind w:firstLine="0"/>
              <w:jc w:val="center"/>
            </w:pPr>
          </w:p>
        </w:tc>
        <w:tc>
          <w:tcPr>
            <w:tcW w:w="842" w:type="dxa"/>
            <w:vAlign w:val="center"/>
          </w:tcPr>
          <w:p w14:paraId="63CCEF32"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51A042DC" w14:textId="77777777" w:rsidTr="00F24BE1">
        <w:trPr>
          <w:jc w:val="center"/>
        </w:trPr>
        <w:tc>
          <w:tcPr>
            <w:tcW w:w="1637" w:type="dxa"/>
            <w:tcBorders>
              <w:right w:val="single" w:sz="4" w:space="0" w:color="auto"/>
            </w:tcBorders>
          </w:tcPr>
          <w:p w14:paraId="72A19717" w14:textId="77777777" w:rsidR="00D523E0" w:rsidRDefault="00D523E0" w:rsidP="000529FA">
            <w:pPr>
              <w:pStyle w:val="Corpotesto"/>
              <w:ind w:firstLine="0"/>
            </w:pPr>
            <w:r>
              <w:t>ZPPR002(9)</w:t>
            </w:r>
          </w:p>
        </w:tc>
        <w:tc>
          <w:tcPr>
            <w:tcW w:w="841" w:type="dxa"/>
            <w:tcBorders>
              <w:left w:val="single" w:sz="4" w:space="0" w:color="auto"/>
            </w:tcBorders>
            <w:vAlign w:val="center"/>
          </w:tcPr>
          <w:p w14:paraId="3C2E38A7" w14:textId="77777777" w:rsidR="00D523E0" w:rsidRDefault="00D523E0" w:rsidP="00F24BE1">
            <w:pPr>
              <w:pStyle w:val="Corpotesto"/>
              <w:ind w:firstLine="0"/>
              <w:jc w:val="center"/>
            </w:pPr>
          </w:p>
        </w:tc>
        <w:tc>
          <w:tcPr>
            <w:tcW w:w="842" w:type="dxa"/>
            <w:vAlign w:val="center"/>
          </w:tcPr>
          <w:p w14:paraId="54403CB4" w14:textId="77777777" w:rsidR="00D523E0" w:rsidRDefault="00D523E0" w:rsidP="00F24BE1">
            <w:pPr>
              <w:pStyle w:val="Corpotesto"/>
              <w:ind w:firstLine="0"/>
              <w:jc w:val="center"/>
            </w:pPr>
          </w:p>
        </w:tc>
        <w:tc>
          <w:tcPr>
            <w:tcW w:w="842" w:type="dxa"/>
            <w:vAlign w:val="center"/>
          </w:tcPr>
          <w:p w14:paraId="3F659DA8" w14:textId="77777777" w:rsidR="00D523E0" w:rsidRDefault="00D523E0" w:rsidP="00F24BE1">
            <w:pPr>
              <w:pStyle w:val="Corpotesto"/>
              <w:ind w:firstLine="0"/>
              <w:jc w:val="center"/>
            </w:pPr>
          </w:p>
        </w:tc>
        <w:tc>
          <w:tcPr>
            <w:tcW w:w="842" w:type="dxa"/>
            <w:vAlign w:val="center"/>
          </w:tcPr>
          <w:p w14:paraId="385E0ED2" w14:textId="77777777" w:rsidR="00D523E0" w:rsidRDefault="00D523E0" w:rsidP="00F24BE1">
            <w:pPr>
              <w:pStyle w:val="Corpotesto"/>
              <w:ind w:firstLine="0"/>
              <w:jc w:val="center"/>
            </w:pPr>
          </w:p>
        </w:tc>
        <w:tc>
          <w:tcPr>
            <w:tcW w:w="842" w:type="dxa"/>
            <w:vAlign w:val="center"/>
          </w:tcPr>
          <w:p w14:paraId="0B6B717F" w14:textId="77777777" w:rsidR="00D523E0" w:rsidRDefault="00D523E0" w:rsidP="00F24BE1">
            <w:pPr>
              <w:pStyle w:val="Corpotesto"/>
              <w:ind w:firstLine="0"/>
              <w:jc w:val="center"/>
            </w:pPr>
          </w:p>
        </w:tc>
        <w:tc>
          <w:tcPr>
            <w:tcW w:w="842" w:type="dxa"/>
            <w:vAlign w:val="center"/>
          </w:tcPr>
          <w:p w14:paraId="33EDDB7F" w14:textId="77777777" w:rsidR="00D523E0" w:rsidRDefault="00D523E0" w:rsidP="00F24BE1">
            <w:pPr>
              <w:pStyle w:val="Corpotesto"/>
              <w:ind w:firstLine="0"/>
              <w:jc w:val="center"/>
            </w:pPr>
          </w:p>
        </w:tc>
        <w:tc>
          <w:tcPr>
            <w:tcW w:w="842" w:type="dxa"/>
            <w:vAlign w:val="center"/>
          </w:tcPr>
          <w:p w14:paraId="470A601E" w14:textId="77777777" w:rsidR="00D523E0" w:rsidRDefault="00D523E0" w:rsidP="00F24BE1">
            <w:pPr>
              <w:pStyle w:val="Corpotesto"/>
              <w:ind w:firstLine="0"/>
              <w:jc w:val="center"/>
            </w:pPr>
          </w:p>
        </w:tc>
        <w:tc>
          <w:tcPr>
            <w:tcW w:w="842" w:type="dxa"/>
            <w:vAlign w:val="center"/>
          </w:tcPr>
          <w:p w14:paraId="74163596"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312C1C4" w14:textId="77777777" w:rsidR="00D523E0" w:rsidRDefault="00D523E0" w:rsidP="00F24BE1">
            <w:pPr>
              <w:pStyle w:val="Corpotesto"/>
              <w:ind w:firstLine="0"/>
              <w:jc w:val="center"/>
            </w:pPr>
          </w:p>
        </w:tc>
      </w:tr>
      <w:tr w:rsidR="00D523E0" w:rsidRPr="00AE0637" w14:paraId="158A9889" w14:textId="77777777" w:rsidTr="00F24BE1">
        <w:trPr>
          <w:jc w:val="center"/>
        </w:trPr>
        <w:tc>
          <w:tcPr>
            <w:tcW w:w="1637" w:type="dxa"/>
            <w:tcBorders>
              <w:right w:val="single" w:sz="4" w:space="0" w:color="auto"/>
            </w:tcBorders>
          </w:tcPr>
          <w:p w14:paraId="0C31D6C7" w14:textId="77777777" w:rsidR="00D523E0" w:rsidRDefault="00D523E0" w:rsidP="000529FA">
            <w:pPr>
              <w:pStyle w:val="Corpotesto"/>
              <w:ind w:firstLine="0"/>
            </w:pPr>
            <w:r>
              <w:t>ZPPR-005(10B)</w:t>
            </w:r>
          </w:p>
        </w:tc>
        <w:tc>
          <w:tcPr>
            <w:tcW w:w="841" w:type="dxa"/>
            <w:tcBorders>
              <w:left w:val="single" w:sz="4" w:space="0" w:color="auto"/>
            </w:tcBorders>
            <w:vAlign w:val="center"/>
          </w:tcPr>
          <w:p w14:paraId="6F095680"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54484DE8"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74E19C36" w14:textId="77777777" w:rsidR="00D523E0" w:rsidRDefault="00D523E0" w:rsidP="00F24BE1">
            <w:pPr>
              <w:pStyle w:val="Corpotesto"/>
              <w:ind w:firstLine="0"/>
              <w:jc w:val="center"/>
            </w:pPr>
          </w:p>
        </w:tc>
        <w:tc>
          <w:tcPr>
            <w:tcW w:w="842" w:type="dxa"/>
            <w:vAlign w:val="center"/>
          </w:tcPr>
          <w:p w14:paraId="0E32C925" w14:textId="77777777" w:rsidR="00D523E0" w:rsidRDefault="00D523E0" w:rsidP="00F24BE1">
            <w:pPr>
              <w:pStyle w:val="Corpotesto"/>
              <w:ind w:firstLine="0"/>
              <w:jc w:val="center"/>
            </w:pPr>
          </w:p>
        </w:tc>
        <w:tc>
          <w:tcPr>
            <w:tcW w:w="842" w:type="dxa"/>
            <w:vAlign w:val="center"/>
          </w:tcPr>
          <w:p w14:paraId="4D5B37EE" w14:textId="77777777" w:rsidR="00D523E0" w:rsidRDefault="00D523E0" w:rsidP="00F24BE1">
            <w:pPr>
              <w:pStyle w:val="Corpotesto"/>
              <w:ind w:firstLine="0"/>
              <w:jc w:val="center"/>
            </w:pPr>
          </w:p>
        </w:tc>
        <w:tc>
          <w:tcPr>
            <w:tcW w:w="842" w:type="dxa"/>
            <w:vAlign w:val="center"/>
          </w:tcPr>
          <w:p w14:paraId="3F7D74BC" w14:textId="77777777" w:rsidR="00D523E0" w:rsidRDefault="00D523E0" w:rsidP="00F24BE1">
            <w:pPr>
              <w:pStyle w:val="Corpotesto"/>
              <w:ind w:firstLine="0"/>
              <w:jc w:val="center"/>
            </w:pPr>
          </w:p>
        </w:tc>
        <w:tc>
          <w:tcPr>
            <w:tcW w:w="842" w:type="dxa"/>
            <w:vAlign w:val="center"/>
          </w:tcPr>
          <w:p w14:paraId="4AF430E1"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50406C0" w14:textId="77777777" w:rsidR="00D523E0" w:rsidRDefault="00D523E0" w:rsidP="00F24BE1">
            <w:pPr>
              <w:pStyle w:val="Corpotesto"/>
              <w:ind w:firstLine="0"/>
              <w:jc w:val="center"/>
            </w:pPr>
          </w:p>
        </w:tc>
        <w:tc>
          <w:tcPr>
            <w:tcW w:w="842" w:type="dxa"/>
            <w:vAlign w:val="center"/>
          </w:tcPr>
          <w:p w14:paraId="5683B383"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4345FB9E" w14:textId="77777777" w:rsidTr="00F24BE1">
        <w:trPr>
          <w:jc w:val="center"/>
        </w:trPr>
        <w:tc>
          <w:tcPr>
            <w:tcW w:w="1637" w:type="dxa"/>
            <w:tcBorders>
              <w:right w:val="single" w:sz="4" w:space="0" w:color="auto"/>
            </w:tcBorders>
          </w:tcPr>
          <w:p w14:paraId="010A817C" w14:textId="77777777" w:rsidR="00D523E0" w:rsidRDefault="00D523E0" w:rsidP="000529FA">
            <w:pPr>
              <w:pStyle w:val="Corpotesto"/>
              <w:ind w:firstLine="0"/>
            </w:pPr>
            <w:r>
              <w:t>ZPPR-006(10C)</w:t>
            </w:r>
          </w:p>
        </w:tc>
        <w:tc>
          <w:tcPr>
            <w:tcW w:w="841" w:type="dxa"/>
            <w:tcBorders>
              <w:left w:val="single" w:sz="4" w:space="0" w:color="auto"/>
            </w:tcBorders>
            <w:vAlign w:val="center"/>
          </w:tcPr>
          <w:p w14:paraId="0B1630FD" w14:textId="77777777" w:rsidR="00D523E0" w:rsidRDefault="00D523E0" w:rsidP="00F24BE1">
            <w:pPr>
              <w:pStyle w:val="Corpotesto"/>
              <w:ind w:firstLine="0"/>
              <w:jc w:val="center"/>
            </w:pPr>
          </w:p>
        </w:tc>
        <w:tc>
          <w:tcPr>
            <w:tcW w:w="842" w:type="dxa"/>
            <w:vAlign w:val="center"/>
          </w:tcPr>
          <w:p w14:paraId="6D622390" w14:textId="77777777" w:rsidR="00D523E0" w:rsidRDefault="00D523E0" w:rsidP="00F24BE1">
            <w:pPr>
              <w:pStyle w:val="Corpotesto"/>
              <w:ind w:firstLine="0"/>
              <w:jc w:val="center"/>
            </w:pPr>
          </w:p>
        </w:tc>
        <w:tc>
          <w:tcPr>
            <w:tcW w:w="842" w:type="dxa"/>
            <w:vAlign w:val="center"/>
          </w:tcPr>
          <w:p w14:paraId="68FB45DB" w14:textId="77777777" w:rsidR="00D523E0" w:rsidRDefault="00D523E0" w:rsidP="00F24BE1">
            <w:pPr>
              <w:pStyle w:val="Corpotesto"/>
              <w:ind w:firstLine="0"/>
              <w:jc w:val="center"/>
            </w:pPr>
          </w:p>
        </w:tc>
        <w:tc>
          <w:tcPr>
            <w:tcW w:w="842" w:type="dxa"/>
            <w:vAlign w:val="center"/>
          </w:tcPr>
          <w:p w14:paraId="0AB3D26E" w14:textId="77777777" w:rsidR="00D523E0" w:rsidRDefault="00D523E0" w:rsidP="00F24BE1">
            <w:pPr>
              <w:pStyle w:val="Corpotesto"/>
              <w:ind w:firstLine="0"/>
              <w:jc w:val="center"/>
            </w:pPr>
          </w:p>
        </w:tc>
        <w:tc>
          <w:tcPr>
            <w:tcW w:w="842" w:type="dxa"/>
            <w:vAlign w:val="center"/>
          </w:tcPr>
          <w:p w14:paraId="2F9C80B5" w14:textId="77777777" w:rsidR="00D523E0" w:rsidRDefault="00D523E0" w:rsidP="00F24BE1">
            <w:pPr>
              <w:pStyle w:val="Corpotesto"/>
              <w:ind w:firstLine="0"/>
              <w:jc w:val="center"/>
            </w:pPr>
          </w:p>
        </w:tc>
        <w:tc>
          <w:tcPr>
            <w:tcW w:w="842" w:type="dxa"/>
            <w:vAlign w:val="center"/>
          </w:tcPr>
          <w:p w14:paraId="220262D1" w14:textId="77777777" w:rsidR="00D523E0" w:rsidRDefault="00D523E0" w:rsidP="00F24BE1">
            <w:pPr>
              <w:pStyle w:val="Corpotesto"/>
              <w:ind w:firstLine="0"/>
              <w:jc w:val="center"/>
            </w:pPr>
          </w:p>
        </w:tc>
        <w:tc>
          <w:tcPr>
            <w:tcW w:w="842" w:type="dxa"/>
            <w:vAlign w:val="center"/>
          </w:tcPr>
          <w:p w14:paraId="5095B534"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A557E75" w14:textId="77777777" w:rsidR="00D523E0" w:rsidRDefault="00D523E0" w:rsidP="00F24BE1">
            <w:pPr>
              <w:pStyle w:val="Corpotesto"/>
              <w:ind w:firstLine="0"/>
              <w:jc w:val="center"/>
            </w:pPr>
          </w:p>
        </w:tc>
        <w:tc>
          <w:tcPr>
            <w:tcW w:w="842" w:type="dxa"/>
            <w:vAlign w:val="center"/>
          </w:tcPr>
          <w:p w14:paraId="5CE11DED" w14:textId="77777777" w:rsidR="00D523E0" w:rsidRDefault="00D523E0" w:rsidP="00F24BE1">
            <w:pPr>
              <w:pStyle w:val="Corpotesto"/>
              <w:ind w:firstLine="0"/>
              <w:jc w:val="center"/>
            </w:pPr>
          </w:p>
        </w:tc>
      </w:tr>
      <w:tr w:rsidR="00D523E0" w:rsidRPr="00AE0637" w14:paraId="77B3E59A" w14:textId="77777777" w:rsidTr="00F24BE1">
        <w:trPr>
          <w:jc w:val="center"/>
        </w:trPr>
        <w:tc>
          <w:tcPr>
            <w:tcW w:w="1637" w:type="dxa"/>
            <w:tcBorders>
              <w:right w:val="single" w:sz="4" w:space="0" w:color="auto"/>
            </w:tcBorders>
          </w:tcPr>
          <w:p w14:paraId="6ED2B32A" w14:textId="77777777" w:rsidR="00D523E0" w:rsidRDefault="00D523E0" w:rsidP="000529FA">
            <w:pPr>
              <w:pStyle w:val="Corpotesto"/>
              <w:ind w:firstLine="0"/>
            </w:pPr>
            <w:r>
              <w:t>ZPPR-010(12)</w:t>
            </w:r>
          </w:p>
        </w:tc>
        <w:tc>
          <w:tcPr>
            <w:tcW w:w="841" w:type="dxa"/>
            <w:tcBorders>
              <w:left w:val="single" w:sz="4" w:space="0" w:color="auto"/>
            </w:tcBorders>
            <w:vAlign w:val="center"/>
          </w:tcPr>
          <w:p w14:paraId="24303923"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690CB653" w14:textId="77777777" w:rsidR="00D523E0" w:rsidRDefault="00D523E0" w:rsidP="00F24BE1">
            <w:pPr>
              <w:pStyle w:val="Corpotesto"/>
              <w:ind w:firstLine="0"/>
              <w:jc w:val="center"/>
            </w:pPr>
          </w:p>
        </w:tc>
        <w:tc>
          <w:tcPr>
            <w:tcW w:w="842" w:type="dxa"/>
            <w:vAlign w:val="center"/>
          </w:tcPr>
          <w:p w14:paraId="27BB7A5A" w14:textId="77777777" w:rsidR="00D523E0" w:rsidRDefault="00D523E0" w:rsidP="00F24BE1">
            <w:pPr>
              <w:pStyle w:val="Corpotesto"/>
              <w:ind w:firstLine="0"/>
              <w:jc w:val="center"/>
            </w:pPr>
          </w:p>
        </w:tc>
        <w:tc>
          <w:tcPr>
            <w:tcW w:w="842" w:type="dxa"/>
            <w:vAlign w:val="center"/>
          </w:tcPr>
          <w:p w14:paraId="5E518D42" w14:textId="77777777" w:rsidR="00D523E0" w:rsidRDefault="00D523E0" w:rsidP="00F24BE1">
            <w:pPr>
              <w:pStyle w:val="Corpotesto"/>
              <w:ind w:firstLine="0"/>
              <w:jc w:val="center"/>
            </w:pPr>
          </w:p>
        </w:tc>
        <w:tc>
          <w:tcPr>
            <w:tcW w:w="842" w:type="dxa"/>
            <w:vAlign w:val="center"/>
          </w:tcPr>
          <w:p w14:paraId="79A51083" w14:textId="77777777" w:rsidR="00D523E0" w:rsidRDefault="00D523E0" w:rsidP="00F24BE1">
            <w:pPr>
              <w:pStyle w:val="Corpotesto"/>
              <w:ind w:firstLine="0"/>
              <w:jc w:val="center"/>
            </w:pPr>
          </w:p>
        </w:tc>
        <w:tc>
          <w:tcPr>
            <w:tcW w:w="842" w:type="dxa"/>
            <w:vAlign w:val="center"/>
          </w:tcPr>
          <w:p w14:paraId="4C77753D" w14:textId="77777777" w:rsidR="00D523E0" w:rsidRDefault="00D523E0" w:rsidP="00F24BE1">
            <w:pPr>
              <w:pStyle w:val="Corpotesto"/>
              <w:ind w:firstLine="0"/>
              <w:jc w:val="center"/>
            </w:pPr>
          </w:p>
        </w:tc>
        <w:tc>
          <w:tcPr>
            <w:tcW w:w="842" w:type="dxa"/>
            <w:vAlign w:val="center"/>
          </w:tcPr>
          <w:p w14:paraId="1DD9848C" w14:textId="77777777" w:rsidR="00D523E0" w:rsidRDefault="00D523E0" w:rsidP="00F24BE1">
            <w:pPr>
              <w:pStyle w:val="Corpotesto"/>
              <w:ind w:firstLine="0"/>
              <w:jc w:val="center"/>
            </w:pPr>
          </w:p>
        </w:tc>
        <w:tc>
          <w:tcPr>
            <w:tcW w:w="842" w:type="dxa"/>
            <w:vAlign w:val="center"/>
          </w:tcPr>
          <w:p w14:paraId="3CBEAB1A" w14:textId="77777777" w:rsidR="00D523E0" w:rsidRDefault="00D523E0" w:rsidP="00F24BE1">
            <w:pPr>
              <w:pStyle w:val="Corpotesto"/>
              <w:ind w:firstLine="0"/>
              <w:jc w:val="center"/>
            </w:pPr>
          </w:p>
        </w:tc>
        <w:tc>
          <w:tcPr>
            <w:tcW w:w="842" w:type="dxa"/>
            <w:vAlign w:val="center"/>
          </w:tcPr>
          <w:p w14:paraId="79B6DFC8"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04AB36D4" w14:textId="77777777" w:rsidTr="00F24BE1">
        <w:trPr>
          <w:jc w:val="center"/>
        </w:trPr>
        <w:tc>
          <w:tcPr>
            <w:tcW w:w="1637" w:type="dxa"/>
            <w:tcBorders>
              <w:right w:val="single" w:sz="4" w:space="0" w:color="auto"/>
            </w:tcBorders>
          </w:tcPr>
          <w:p w14:paraId="4B7C3F27" w14:textId="77777777" w:rsidR="00D523E0" w:rsidRDefault="00D523E0" w:rsidP="000529FA">
            <w:pPr>
              <w:pStyle w:val="Corpotesto"/>
              <w:ind w:firstLine="0"/>
            </w:pPr>
            <w:r>
              <w:t>ZPPR-011(2)</w:t>
            </w:r>
          </w:p>
        </w:tc>
        <w:tc>
          <w:tcPr>
            <w:tcW w:w="841" w:type="dxa"/>
            <w:tcBorders>
              <w:left w:val="single" w:sz="4" w:space="0" w:color="auto"/>
            </w:tcBorders>
            <w:vAlign w:val="center"/>
          </w:tcPr>
          <w:p w14:paraId="788F9EE5"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38CFAE54" w14:textId="77777777" w:rsidR="00D523E0" w:rsidRDefault="00D523E0" w:rsidP="00F24BE1">
            <w:pPr>
              <w:pStyle w:val="Corpotesto"/>
              <w:ind w:firstLine="0"/>
              <w:jc w:val="center"/>
            </w:pPr>
          </w:p>
        </w:tc>
        <w:tc>
          <w:tcPr>
            <w:tcW w:w="842" w:type="dxa"/>
            <w:vAlign w:val="center"/>
          </w:tcPr>
          <w:p w14:paraId="125F9F2A" w14:textId="77777777" w:rsidR="00D523E0" w:rsidRDefault="00D523E0" w:rsidP="00F24BE1">
            <w:pPr>
              <w:pStyle w:val="Corpotesto"/>
              <w:ind w:firstLine="0"/>
              <w:jc w:val="center"/>
            </w:pPr>
          </w:p>
        </w:tc>
        <w:tc>
          <w:tcPr>
            <w:tcW w:w="842" w:type="dxa"/>
            <w:vAlign w:val="center"/>
          </w:tcPr>
          <w:p w14:paraId="7969CF24" w14:textId="77777777" w:rsidR="00D523E0" w:rsidRDefault="00D523E0" w:rsidP="00F24BE1">
            <w:pPr>
              <w:pStyle w:val="Corpotesto"/>
              <w:ind w:firstLine="0"/>
              <w:jc w:val="center"/>
            </w:pPr>
          </w:p>
        </w:tc>
        <w:tc>
          <w:tcPr>
            <w:tcW w:w="842" w:type="dxa"/>
            <w:vAlign w:val="center"/>
          </w:tcPr>
          <w:p w14:paraId="6B3CA3D1" w14:textId="77777777" w:rsidR="00D523E0" w:rsidRDefault="00D523E0" w:rsidP="00F24BE1">
            <w:pPr>
              <w:pStyle w:val="Corpotesto"/>
              <w:ind w:firstLine="0"/>
              <w:jc w:val="center"/>
            </w:pPr>
          </w:p>
        </w:tc>
        <w:tc>
          <w:tcPr>
            <w:tcW w:w="842" w:type="dxa"/>
            <w:vAlign w:val="center"/>
          </w:tcPr>
          <w:p w14:paraId="10657FFD" w14:textId="77777777" w:rsidR="00D523E0" w:rsidRDefault="00D523E0" w:rsidP="00F24BE1">
            <w:pPr>
              <w:pStyle w:val="Corpotesto"/>
              <w:ind w:firstLine="0"/>
              <w:jc w:val="center"/>
            </w:pPr>
          </w:p>
        </w:tc>
        <w:tc>
          <w:tcPr>
            <w:tcW w:w="842" w:type="dxa"/>
            <w:vAlign w:val="center"/>
          </w:tcPr>
          <w:p w14:paraId="20EBD884" w14:textId="77777777" w:rsidR="00D523E0" w:rsidRDefault="00D523E0" w:rsidP="00F24BE1">
            <w:pPr>
              <w:pStyle w:val="Corpotesto"/>
              <w:ind w:firstLine="0"/>
              <w:jc w:val="center"/>
            </w:pPr>
          </w:p>
        </w:tc>
        <w:tc>
          <w:tcPr>
            <w:tcW w:w="842" w:type="dxa"/>
            <w:vAlign w:val="center"/>
          </w:tcPr>
          <w:p w14:paraId="12DDFDFF" w14:textId="77777777" w:rsidR="00D523E0" w:rsidRDefault="00D523E0" w:rsidP="00F24BE1">
            <w:pPr>
              <w:pStyle w:val="Corpotesto"/>
              <w:ind w:firstLine="0"/>
              <w:jc w:val="center"/>
            </w:pPr>
          </w:p>
        </w:tc>
        <w:tc>
          <w:tcPr>
            <w:tcW w:w="842" w:type="dxa"/>
            <w:vAlign w:val="center"/>
          </w:tcPr>
          <w:p w14:paraId="6965E265"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1A666B91" w14:textId="77777777" w:rsidTr="00F24BE1">
        <w:trPr>
          <w:jc w:val="center"/>
        </w:trPr>
        <w:tc>
          <w:tcPr>
            <w:tcW w:w="1637" w:type="dxa"/>
            <w:tcBorders>
              <w:right w:val="single" w:sz="4" w:space="0" w:color="auto"/>
            </w:tcBorders>
          </w:tcPr>
          <w:p w14:paraId="37631957" w14:textId="77777777" w:rsidR="00D523E0" w:rsidRDefault="00D523E0" w:rsidP="000529FA">
            <w:pPr>
              <w:pStyle w:val="Corpotesto"/>
              <w:ind w:firstLine="0"/>
            </w:pPr>
            <w:r>
              <w:t>ZPR-001(6a7_1)</w:t>
            </w:r>
          </w:p>
        </w:tc>
        <w:tc>
          <w:tcPr>
            <w:tcW w:w="841" w:type="dxa"/>
            <w:tcBorders>
              <w:left w:val="single" w:sz="4" w:space="0" w:color="auto"/>
            </w:tcBorders>
            <w:vAlign w:val="center"/>
          </w:tcPr>
          <w:p w14:paraId="6FCFEC87" w14:textId="77777777" w:rsidR="00D523E0" w:rsidRDefault="00D523E0" w:rsidP="00F24BE1">
            <w:pPr>
              <w:pStyle w:val="Corpotesto"/>
              <w:ind w:firstLine="0"/>
              <w:jc w:val="center"/>
            </w:pPr>
          </w:p>
        </w:tc>
        <w:tc>
          <w:tcPr>
            <w:tcW w:w="842" w:type="dxa"/>
            <w:vAlign w:val="center"/>
          </w:tcPr>
          <w:p w14:paraId="16B1F3A7"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43DD03D7"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0E93576" w14:textId="77777777" w:rsidR="00D523E0" w:rsidRDefault="00D523E0" w:rsidP="00F24BE1">
            <w:pPr>
              <w:pStyle w:val="Corpotesto"/>
              <w:ind w:firstLine="0"/>
              <w:jc w:val="center"/>
            </w:pPr>
          </w:p>
        </w:tc>
        <w:tc>
          <w:tcPr>
            <w:tcW w:w="842" w:type="dxa"/>
            <w:vAlign w:val="center"/>
          </w:tcPr>
          <w:p w14:paraId="5DB4A7FD" w14:textId="77777777" w:rsidR="00D523E0" w:rsidRDefault="00D523E0" w:rsidP="00F24BE1">
            <w:pPr>
              <w:pStyle w:val="Corpotesto"/>
              <w:ind w:firstLine="0"/>
              <w:jc w:val="center"/>
            </w:pPr>
          </w:p>
        </w:tc>
        <w:tc>
          <w:tcPr>
            <w:tcW w:w="842" w:type="dxa"/>
            <w:vAlign w:val="center"/>
          </w:tcPr>
          <w:p w14:paraId="769D709F" w14:textId="77777777" w:rsidR="00D523E0" w:rsidRDefault="00D523E0" w:rsidP="00F24BE1">
            <w:pPr>
              <w:pStyle w:val="Corpotesto"/>
              <w:ind w:firstLine="0"/>
              <w:jc w:val="center"/>
            </w:pPr>
          </w:p>
        </w:tc>
        <w:tc>
          <w:tcPr>
            <w:tcW w:w="842" w:type="dxa"/>
            <w:vAlign w:val="center"/>
          </w:tcPr>
          <w:p w14:paraId="10F66A31" w14:textId="77777777" w:rsidR="00D523E0" w:rsidRDefault="00D523E0" w:rsidP="00F24BE1">
            <w:pPr>
              <w:pStyle w:val="Corpotesto"/>
              <w:ind w:firstLine="0"/>
              <w:jc w:val="center"/>
            </w:pPr>
          </w:p>
        </w:tc>
        <w:tc>
          <w:tcPr>
            <w:tcW w:w="842" w:type="dxa"/>
            <w:vAlign w:val="center"/>
          </w:tcPr>
          <w:p w14:paraId="585498F7" w14:textId="77777777" w:rsidR="00D523E0" w:rsidRDefault="00D523E0" w:rsidP="00F24BE1">
            <w:pPr>
              <w:pStyle w:val="Corpotesto"/>
              <w:ind w:firstLine="0"/>
              <w:jc w:val="center"/>
            </w:pPr>
          </w:p>
        </w:tc>
        <w:tc>
          <w:tcPr>
            <w:tcW w:w="842" w:type="dxa"/>
            <w:vAlign w:val="center"/>
          </w:tcPr>
          <w:p w14:paraId="407D1A4A"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32D315E6" w14:textId="77777777" w:rsidTr="00F24BE1">
        <w:trPr>
          <w:jc w:val="center"/>
        </w:trPr>
        <w:tc>
          <w:tcPr>
            <w:tcW w:w="1637" w:type="dxa"/>
            <w:tcBorders>
              <w:right w:val="single" w:sz="4" w:space="0" w:color="auto"/>
            </w:tcBorders>
          </w:tcPr>
          <w:p w14:paraId="6639559E" w14:textId="77777777" w:rsidR="00D523E0" w:rsidRDefault="00D523E0" w:rsidP="000529FA">
            <w:pPr>
              <w:pStyle w:val="Corpotesto"/>
              <w:ind w:firstLine="0"/>
            </w:pPr>
            <w:r>
              <w:t>ZPR-002(6a7_2)</w:t>
            </w:r>
          </w:p>
        </w:tc>
        <w:tc>
          <w:tcPr>
            <w:tcW w:w="841" w:type="dxa"/>
            <w:tcBorders>
              <w:left w:val="single" w:sz="4" w:space="0" w:color="auto"/>
            </w:tcBorders>
            <w:vAlign w:val="center"/>
          </w:tcPr>
          <w:p w14:paraId="4096743A"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66F5A923" w14:textId="77777777" w:rsidR="00D523E0" w:rsidRDefault="00D523E0" w:rsidP="00F24BE1">
            <w:pPr>
              <w:pStyle w:val="Corpotesto"/>
              <w:ind w:firstLine="0"/>
              <w:jc w:val="center"/>
            </w:pPr>
          </w:p>
        </w:tc>
        <w:tc>
          <w:tcPr>
            <w:tcW w:w="842" w:type="dxa"/>
            <w:vAlign w:val="center"/>
          </w:tcPr>
          <w:p w14:paraId="79669C45"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70860D3B" w14:textId="77777777" w:rsidR="00D523E0" w:rsidRDefault="00D523E0" w:rsidP="00F24BE1">
            <w:pPr>
              <w:pStyle w:val="Corpotesto"/>
              <w:ind w:firstLine="0"/>
              <w:jc w:val="center"/>
            </w:pPr>
          </w:p>
        </w:tc>
        <w:tc>
          <w:tcPr>
            <w:tcW w:w="842" w:type="dxa"/>
            <w:vAlign w:val="center"/>
          </w:tcPr>
          <w:p w14:paraId="61B68E89" w14:textId="77777777" w:rsidR="00D523E0" w:rsidRDefault="00D523E0" w:rsidP="00F24BE1">
            <w:pPr>
              <w:pStyle w:val="Corpotesto"/>
              <w:ind w:firstLine="0"/>
              <w:jc w:val="center"/>
            </w:pPr>
          </w:p>
        </w:tc>
        <w:tc>
          <w:tcPr>
            <w:tcW w:w="842" w:type="dxa"/>
            <w:vAlign w:val="center"/>
          </w:tcPr>
          <w:p w14:paraId="33871295" w14:textId="77777777" w:rsidR="00D523E0" w:rsidRDefault="00D523E0" w:rsidP="00F24BE1">
            <w:pPr>
              <w:pStyle w:val="Corpotesto"/>
              <w:ind w:firstLine="0"/>
              <w:jc w:val="center"/>
            </w:pPr>
          </w:p>
        </w:tc>
        <w:tc>
          <w:tcPr>
            <w:tcW w:w="842" w:type="dxa"/>
            <w:vAlign w:val="center"/>
          </w:tcPr>
          <w:p w14:paraId="5FE0BEC9"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4C040AFF" w14:textId="77777777" w:rsidR="00D523E0" w:rsidRDefault="00D523E0" w:rsidP="00F24BE1">
            <w:pPr>
              <w:pStyle w:val="Corpotesto"/>
              <w:ind w:firstLine="0"/>
              <w:jc w:val="center"/>
            </w:pPr>
          </w:p>
        </w:tc>
        <w:tc>
          <w:tcPr>
            <w:tcW w:w="842" w:type="dxa"/>
            <w:vAlign w:val="center"/>
          </w:tcPr>
          <w:p w14:paraId="5226BAA4" w14:textId="77777777" w:rsidR="00D523E0" w:rsidRDefault="00D523E0" w:rsidP="00F24BE1">
            <w:pPr>
              <w:pStyle w:val="Corpotesto"/>
              <w:ind w:firstLine="0"/>
              <w:jc w:val="center"/>
            </w:pPr>
            <w:r>
              <w:rPr>
                <w:rFonts w:ascii="Wingdings" w:eastAsia="Wingdings" w:hAnsi="Wingdings" w:cs="Wingdings"/>
              </w:rPr>
              <w:t>ü</w:t>
            </w:r>
          </w:p>
        </w:tc>
      </w:tr>
      <w:tr w:rsidR="00D523E0" w:rsidRPr="00AE0637" w14:paraId="52FE7AF5" w14:textId="77777777" w:rsidTr="00F24BE1">
        <w:trPr>
          <w:jc w:val="center"/>
        </w:trPr>
        <w:tc>
          <w:tcPr>
            <w:tcW w:w="1637" w:type="dxa"/>
            <w:tcBorders>
              <w:right w:val="single" w:sz="4" w:space="0" w:color="auto"/>
            </w:tcBorders>
          </w:tcPr>
          <w:p w14:paraId="66FBD6BE" w14:textId="77777777" w:rsidR="00D523E0" w:rsidRDefault="00D523E0" w:rsidP="000529FA">
            <w:pPr>
              <w:pStyle w:val="Corpotesto"/>
              <w:ind w:firstLine="0"/>
            </w:pPr>
            <w:r>
              <w:t>ZPR-003(3a48B)</w:t>
            </w:r>
          </w:p>
        </w:tc>
        <w:tc>
          <w:tcPr>
            <w:tcW w:w="841" w:type="dxa"/>
            <w:tcBorders>
              <w:left w:val="single" w:sz="4" w:space="0" w:color="auto"/>
            </w:tcBorders>
            <w:vAlign w:val="center"/>
          </w:tcPr>
          <w:p w14:paraId="666A2E15" w14:textId="77777777" w:rsidR="00D523E0" w:rsidRDefault="00D523E0" w:rsidP="00F24BE1">
            <w:pPr>
              <w:pStyle w:val="Corpotesto"/>
              <w:ind w:firstLine="0"/>
              <w:jc w:val="center"/>
            </w:pPr>
            <w:r>
              <w:rPr>
                <w:rFonts w:ascii="Wingdings" w:eastAsia="Wingdings" w:hAnsi="Wingdings" w:cs="Wingdings"/>
              </w:rPr>
              <w:t>ü</w:t>
            </w:r>
          </w:p>
        </w:tc>
        <w:tc>
          <w:tcPr>
            <w:tcW w:w="842" w:type="dxa"/>
            <w:vAlign w:val="center"/>
          </w:tcPr>
          <w:p w14:paraId="1276CD86" w14:textId="77777777" w:rsidR="00D523E0" w:rsidRDefault="00D523E0" w:rsidP="00F24BE1">
            <w:pPr>
              <w:pStyle w:val="Corpotesto"/>
              <w:ind w:firstLine="0"/>
              <w:jc w:val="center"/>
            </w:pPr>
          </w:p>
        </w:tc>
        <w:tc>
          <w:tcPr>
            <w:tcW w:w="842" w:type="dxa"/>
            <w:vAlign w:val="center"/>
          </w:tcPr>
          <w:p w14:paraId="72B744C0" w14:textId="77777777" w:rsidR="00D523E0" w:rsidRDefault="00D523E0" w:rsidP="00F24BE1">
            <w:pPr>
              <w:pStyle w:val="Corpotesto"/>
              <w:ind w:firstLine="0"/>
              <w:jc w:val="center"/>
            </w:pPr>
          </w:p>
        </w:tc>
        <w:tc>
          <w:tcPr>
            <w:tcW w:w="842" w:type="dxa"/>
            <w:vAlign w:val="center"/>
          </w:tcPr>
          <w:p w14:paraId="7BD566FE" w14:textId="77777777" w:rsidR="00D523E0" w:rsidRDefault="00D523E0" w:rsidP="00F24BE1">
            <w:pPr>
              <w:pStyle w:val="Corpotesto"/>
              <w:ind w:firstLine="0"/>
              <w:jc w:val="center"/>
            </w:pPr>
          </w:p>
        </w:tc>
        <w:tc>
          <w:tcPr>
            <w:tcW w:w="842" w:type="dxa"/>
            <w:vAlign w:val="center"/>
          </w:tcPr>
          <w:p w14:paraId="44DD182F" w14:textId="77777777" w:rsidR="00D523E0" w:rsidRDefault="00D523E0" w:rsidP="00F24BE1">
            <w:pPr>
              <w:pStyle w:val="Corpotesto"/>
              <w:ind w:firstLine="0"/>
              <w:jc w:val="center"/>
            </w:pPr>
          </w:p>
        </w:tc>
        <w:tc>
          <w:tcPr>
            <w:tcW w:w="842" w:type="dxa"/>
            <w:vAlign w:val="center"/>
          </w:tcPr>
          <w:p w14:paraId="70F58AEE" w14:textId="77777777" w:rsidR="00D523E0" w:rsidRDefault="00D523E0" w:rsidP="00F24BE1">
            <w:pPr>
              <w:pStyle w:val="Corpotesto"/>
              <w:ind w:firstLine="0"/>
              <w:jc w:val="center"/>
            </w:pPr>
          </w:p>
        </w:tc>
        <w:tc>
          <w:tcPr>
            <w:tcW w:w="842" w:type="dxa"/>
            <w:vAlign w:val="center"/>
          </w:tcPr>
          <w:p w14:paraId="16DFADB9" w14:textId="77777777" w:rsidR="00D523E0" w:rsidRDefault="00D523E0" w:rsidP="00F24BE1">
            <w:pPr>
              <w:pStyle w:val="Corpotesto"/>
              <w:ind w:firstLine="0"/>
              <w:jc w:val="center"/>
            </w:pPr>
          </w:p>
        </w:tc>
        <w:tc>
          <w:tcPr>
            <w:tcW w:w="842" w:type="dxa"/>
            <w:vAlign w:val="center"/>
          </w:tcPr>
          <w:p w14:paraId="1E183CFE" w14:textId="77777777" w:rsidR="00D523E0" w:rsidRDefault="00D523E0" w:rsidP="00F24BE1">
            <w:pPr>
              <w:pStyle w:val="Corpotesto"/>
              <w:ind w:firstLine="0"/>
              <w:jc w:val="center"/>
            </w:pPr>
          </w:p>
        </w:tc>
        <w:tc>
          <w:tcPr>
            <w:tcW w:w="842" w:type="dxa"/>
            <w:vAlign w:val="center"/>
          </w:tcPr>
          <w:p w14:paraId="22E8AB40" w14:textId="77777777" w:rsidR="00D523E0" w:rsidRDefault="00D523E0" w:rsidP="00F24BE1">
            <w:pPr>
              <w:pStyle w:val="Corpotesto"/>
              <w:ind w:firstLine="0"/>
              <w:jc w:val="center"/>
            </w:pPr>
          </w:p>
        </w:tc>
      </w:tr>
      <w:tr w:rsidR="00D523E0" w:rsidRPr="00AE0637" w14:paraId="07E1D835" w14:textId="77777777" w:rsidTr="00F24BE1">
        <w:trPr>
          <w:jc w:val="center"/>
        </w:trPr>
        <w:tc>
          <w:tcPr>
            <w:tcW w:w="1637" w:type="dxa"/>
            <w:tcBorders>
              <w:bottom w:val="single" w:sz="4" w:space="0" w:color="auto"/>
              <w:right w:val="single" w:sz="4" w:space="0" w:color="auto"/>
            </w:tcBorders>
          </w:tcPr>
          <w:p w14:paraId="07BFF880" w14:textId="77777777" w:rsidR="00D523E0" w:rsidRDefault="00D523E0" w:rsidP="000529FA">
            <w:pPr>
              <w:pStyle w:val="Corpotesto"/>
              <w:ind w:firstLine="0"/>
            </w:pPr>
            <w:r>
              <w:t>ZPR-004(3a56B)</w:t>
            </w:r>
          </w:p>
        </w:tc>
        <w:tc>
          <w:tcPr>
            <w:tcW w:w="841" w:type="dxa"/>
            <w:tcBorders>
              <w:left w:val="single" w:sz="4" w:space="0" w:color="auto"/>
              <w:bottom w:val="single" w:sz="4" w:space="0" w:color="auto"/>
            </w:tcBorders>
            <w:vAlign w:val="center"/>
          </w:tcPr>
          <w:p w14:paraId="6AAD04C3" w14:textId="77777777" w:rsidR="00D523E0" w:rsidRDefault="00D523E0" w:rsidP="00F24BE1">
            <w:pPr>
              <w:pStyle w:val="Corpotesto"/>
              <w:ind w:firstLine="0"/>
              <w:jc w:val="center"/>
            </w:pPr>
            <w:r>
              <w:rPr>
                <w:rFonts w:ascii="Wingdings" w:eastAsia="Wingdings" w:hAnsi="Wingdings" w:cs="Wingdings"/>
              </w:rPr>
              <w:t>ü</w:t>
            </w:r>
          </w:p>
        </w:tc>
        <w:tc>
          <w:tcPr>
            <w:tcW w:w="842" w:type="dxa"/>
            <w:tcBorders>
              <w:bottom w:val="single" w:sz="4" w:space="0" w:color="auto"/>
            </w:tcBorders>
            <w:vAlign w:val="center"/>
          </w:tcPr>
          <w:p w14:paraId="0A9CAADF" w14:textId="77777777" w:rsidR="00D523E0" w:rsidRDefault="00D523E0" w:rsidP="00F24BE1">
            <w:pPr>
              <w:pStyle w:val="Corpotesto"/>
              <w:ind w:firstLine="0"/>
              <w:jc w:val="center"/>
            </w:pPr>
          </w:p>
        </w:tc>
        <w:tc>
          <w:tcPr>
            <w:tcW w:w="842" w:type="dxa"/>
            <w:tcBorders>
              <w:bottom w:val="single" w:sz="4" w:space="0" w:color="auto"/>
            </w:tcBorders>
            <w:vAlign w:val="center"/>
          </w:tcPr>
          <w:p w14:paraId="3753F46B" w14:textId="77777777" w:rsidR="00D523E0" w:rsidRDefault="00D523E0" w:rsidP="00F24BE1">
            <w:pPr>
              <w:pStyle w:val="Corpotesto"/>
              <w:ind w:firstLine="0"/>
              <w:jc w:val="center"/>
            </w:pPr>
          </w:p>
        </w:tc>
        <w:tc>
          <w:tcPr>
            <w:tcW w:w="842" w:type="dxa"/>
            <w:tcBorders>
              <w:bottom w:val="single" w:sz="4" w:space="0" w:color="auto"/>
            </w:tcBorders>
            <w:vAlign w:val="center"/>
          </w:tcPr>
          <w:p w14:paraId="2AD48AAF" w14:textId="77777777" w:rsidR="00D523E0" w:rsidRDefault="00D523E0" w:rsidP="00F24BE1">
            <w:pPr>
              <w:pStyle w:val="Corpotesto"/>
              <w:ind w:firstLine="0"/>
              <w:jc w:val="center"/>
            </w:pPr>
          </w:p>
        </w:tc>
        <w:tc>
          <w:tcPr>
            <w:tcW w:w="842" w:type="dxa"/>
            <w:tcBorders>
              <w:bottom w:val="single" w:sz="4" w:space="0" w:color="auto"/>
            </w:tcBorders>
            <w:vAlign w:val="center"/>
          </w:tcPr>
          <w:p w14:paraId="36D91EF0" w14:textId="77777777" w:rsidR="00D523E0" w:rsidRDefault="00D523E0" w:rsidP="00F24BE1">
            <w:pPr>
              <w:pStyle w:val="Corpotesto"/>
              <w:ind w:firstLine="0"/>
              <w:jc w:val="center"/>
            </w:pPr>
          </w:p>
        </w:tc>
        <w:tc>
          <w:tcPr>
            <w:tcW w:w="842" w:type="dxa"/>
            <w:tcBorders>
              <w:bottom w:val="single" w:sz="4" w:space="0" w:color="auto"/>
            </w:tcBorders>
            <w:vAlign w:val="center"/>
          </w:tcPr>
          <w:p w14:paraId="42849BFA" w14:textId="77777777" w:rsidR="00D523E0" w:rsidRDefault="00D523E0" w:rsidP="00F24BE1">
            <w:pPr>
              <w:pStyle w:val="Corpotesto"/>
              <w:ind w:firstLine="0"/>
              <w:jc w:val="center"/>
            </w:pPr>
          </w:p>
        </w:tc>
        <w:tc>
          <w:tcPr>
            <w:tcW w:w="842" w:type="dxa"/>
            <w:tcBorders>
              <w:bottom w:val="single" w:sz="4" w:space="0" w:color="auto"/>
            </w:tcBorders>
            <w:vAlign w:val="center"/>
          </w:tcPr>
          <w:p w14:paraId="7460A7E6" w14:textId="77777777" w:rsidR="00D523E0" w:rsidRDefault="00D523E0" w:rsidP="00F24BE1">
            <w:pPr>
              <w:pStyle w:val="Corpotesto"/>
              <w:ind w:firstLine="0"/>
              <w:jc w:val="center"/>
            </w:pPr>
          </w:p>
        </w:tc>
        <w:tc>
          <w:tcPr>
            <w:tcW w:w="842" w:type="dxa"/>
            <w:tcBorders>
              <w:bottom w:val="single" w:sz="4" w:space="0" w:color="auto"/>
            </w:tcBorders>
            <w:vAlign w:val="center"/>
          </w:tcPr>
          <w:p w14:paraId="3B1619D7" w14:textId="77777777" w:rsidR="00D523E0" w:rsidRDefault="00D523E0" w:rsidP="00F24BE1">
            <w:pPr>
              <w:pStyle w:val="Corpotesto"/>
              <w:ind w:firstLine="0"/>
              <w:jc w:val="center"/>
            </w:pPr>
          </w:p>
        </w:tc>
        <w:tc>
          <w:tcPr>
            <w:tcW w:w="842" w:type="dxa"/>
            <w:tcBorders>
              <w:bottom w:val="single" w:sz="4" w:space="0" w:color="auto"/>
            </w:tcBorders>
            <w:vAlign w:val="center"/>
          </w:tcPr>
          <w:p w14:paraId="59EA2D89" w14:textId="77777777" w:rsidR="00D523E0" w:rsidRDefault="00D523E0" w:rsidP="00F24BE1">
            <w:pPr>
              <w:pStyle w:val="Corpotesto"/>
              <w:ind w:firstLine="0"/>
              <w:jc w:val="center"/>
            </w:pPr>
          </w:p>
        </w:tc>
      </w:tr>
    </w:tbl>
    <w:p w14:paraId="3C880827" w14:textId="27CC0E2E" w:rsidR="00C50E43" w:rsidRDefault="00C50E43" w:rsidP="00C50E43">
      <w:pPr>
        <w:pStyle w:val="Titolo2"/>
        <w:numPr>
          <w:ilvl w:val="1"/>
          <w:numId w:val="10"/>
        </w:numPr>
      </w:pPr>
      <w:r>
        <w:t>the AMARA+ CODE</w:t>
      </w:r>
    </w:p>
    <w:p w14:paraId="6CAA3F2A" w14:textId="1992090F" w:rsidR="000E3065" w:rsidRDefault="00782B3C" w:rsidP="00C65548">
      <w:pPr>
        <w:pStyle w:val="Corpotesto"/>
      </w:pPr>
      <w:r>
        <w:t>The r</w:t>
      </w:r>
      <w:r w:rsidR="00C65548">
        <w:t xml:space="preserve">esults obtained performing the S/U analysis on the selected database of facilities were used for ENDF/B-VIII.0 library </w:t>
      </w:r>
      <w:r w:rsidR="00C65548" w:rsidRPr="008E0C92">
        <w:t xml:space="preserve">adjustment. </w:t>
      </w:r>
      <w:r w:rsidR="00C65548" w:rsidRPr="00642B96">
        <w:t>The so-called analytical approach</w:t>
      </w:r>
      <w:r w:rsidR="00C65548">
        <w:t xml:space="preserve"> was followed,</w:t>
      </w:r>
      <w:r w:rsidR="00C65548" w:rsidRPr="00DF5A16">
        <w:t xml:space="preserve"> tailoring the cross-sections set via Bayesian</w:t>
      </w:r>
      <w:r w:rsidR="00C65548">
        <w:t xml:space="preserve"> </w:t>
      </w:r>
      <w:r w:rsidR="00C65548" w:rsidRPr="00DF5A16">
        <w:t>methods</w:t>
      </w:r>
      <w:r w:rsidR="00C65548">
        <w:t xml:space="preserve"> </w:t>
      </w:r>
      <w:r w:rsidR="00C65548" w:rsidRPr="00DF5A16">
        <w:t xml:space="preserve">and the generalized least square technique which </w:t>
      </w:r>
      <w:r w:rsidR="00C65548">
        <w:t xml:space="preserve">must </w:t>
      </w:r>
      <w:r w:rsidR="00C65548" w:rsidRPr="00DF5A16">
        <w:t xml:space="preserve">be applied to a Gaussian distributed likelihood function targeted for the combined set of </w:t>
      </w:r>
      <w:r w:rsidR="00C65548" w:rsidRPr="008E0C92">
        <w:t xml:space="preserve">differential and </w:t>
      </w:r>
      <w:r w:rsidR="00C65548" w:rsidRPr="00642B96">
        <w:t>integral data</w:t>
      </w:r>
      <w:r w:rsidR="00C65548" w:rsidRPr="008E0C92">
        <w:t xml:space="preserve"> [1</w:t>
      </w:r>
      <w:r w:rsidR="00F53F9D">
        <w:t>5</w:t>
      </w:r>
      <w:r w:rsidR="00C65548" w:rsidRPr="008E0C92">
        <w:t>]</w:t>
      </w:r>
      <w:r w:rsidR="00E13021" w:rsidRPr="008E0C92">
        <w:t>.</w:t>
      </w:r>
      <w:r w:rsidR="00C65548" w:rsidRPr="008E0C92">
        <w:t xml:space="preserve"> </w:t>
      </w:r>
      <w:r w:rsidR="00E13021" w:rsidRPr="008E0C92">
        <w:t xml:space="preserve">The </w:t>
      </w:r>
      <w:r w:rsidR="00F53F9D" w:rsidRPr="008E0C92">
        <w:t>latter</w:t>
      </w:r>
      <w:r w:rsidR="00F53F9D">
        <w:t xml:space="preserve"> assumes</w:t>
      </w:r>
      <w:r w:rsidR="00C65548">
        <w:t xml:space="preserve"> the following form: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0E3065" w:rsidRPr="00871F40" w14:paraId="6F2C5B84" w14:textId="77777777" w:rsidTr="00E965C1">
        <w:tc>
          <w:tcPr>
            <w:tcW w:w="4633" w:type="pct"/>
            <w:vAlign w:val="center"/>
          </w:tcPr>
          <w:p w14:paraId="14349FD4" w14:textId="2083ACBA" w:rsidR="000E3065" w:rsidRPr="00A14297" w:rsidRDefault="007E5BE8" w:rsidP="00E965C1">
            <w:pPr>
              <w:overflowPunct/>
              <w:autoSpaceDE/>
              <w:autoSpaceDN/>
              <w:adjustRightInd/>
              <w:spacing w:before="120" w:after="120"/>
              <w:jc w:val="center"/>
              <w:textAlignment w:val="auto"/>
              <w:rPr>
                <w:rFonts w:ascii="Cambria Math" w:hAnsi="Cambria Math"/>
                <w:sz w:val="24"/>
                <w:szCs w:val="22"/>
                <w:lang w:val="en-GB"/>
              </w:rPr>
            </w:pPr>
            <m:oMath>
              <m:sSup>
                <m:sSupPr>
                  <m:ctrlPr>
                    <w:rPr>
                      <w:rFonts w:ascii="Cambria Math" w:hAnsi="Cambria Math"/>
                      <w:i/>
                    </w:rPr>
                  </m:ctrlPr>
                </m:sSupPr>
                <m:e>
                  <m:r>
                    <w:rPr>
                      <w:rFonts w:ascii="Cambria Math" w:hAnsi="Cambria Math"/>
                    </w:rPr>
                    <m:t>χ</m:t>
                  </m:r>
                </m:e>
                <m:sup>
                  <m:r>
                    <w:rPr>
                      <w:rFonts w:ascii="Cambria Math" w:hAnsi="Cambria Math"/>
                      <w:lang w:val="en-GB"/>
                    </w:rPr>
                    <m:t>2</m:t>
                  </m:r>
                </m:sup>
              </m:sSup>
              <m:r>
                <w:rPr>
                  <w:rFonts w:ascii="Cambria Math" w:hAnsi="Cambria Math"/>
                  <w:lang w:val="en-GB"/>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T</m:t>
                      </m:r>
                      <m:r>
                        <m:rPr>
                          <m:sty m:val="bi"/>
                        </m:rPr>
                        <w:rPr>
                          <w:rFonts w:ascii="Cambria Math" w:hAnsi="Cambria Math"/>
                          <w:lang w:val="en-GB"/>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0</m:t>
                          </m:r>
                        </m:sub>
                      </m:sSub>
                    </m:e>
                  </m:d>
                </m:e>
                <m:sup>
                  <m:r>
                    <m:rPr>
                      <m:sty m:val="p"/>
                    </m:rPr>
                    <w:rPr>
                      <w:rFonts w:ascii="Cambria Math" w:hAnsi="Cambria Math"/>
                      <w:lang w:val="en-GB"/>
                    </w:rPr>
                    <m:t>T</m:t>
                  </m:r>
                </m:sup>
              </m:sSup>
              <m:sSubSup>
                <m:sSubSupPr>
                  <m:ctrlPr>
                    <w:rPr>
                      <w:rFonts w:ascii="Cambria Math" w:hAnsi="Cambria Math"/>
                      <w:i/>
                    </w:rPr>
                  </m:ctrlPr>
                </m:sSubSupPr>
                <m:e>
                  <m:r>
                    <m:rPr>
                      <m:sty m:val="bi"/>
                    </m:rPr>
                    <w:rPr>
                      <w:rFonts w:ascii="Cambria Math" w:hAnsi="Cambria Math"/>
                    </w:rPr>
                    <m:t>C</m:t>
                  </m:r>
                </m:e>
                <m:sub>
                  <m:r>
                    <m:rPr>
                      <m:sty m:val="bi"/>
                    </m:rPr>
                    <w:rPr>
                      <w:rFonts w:ascii="Cambria Math" w:hAnsi="Cambria Math"/>
                    </w:rPr>
                    <m:t>T</m:t>
                  </m:r>
                </m:sub>
                <m:sup>
                  <m:r>
                    <w:rPr>
                      <w:rFonts w:ascii="Cambria Math" w:hAnsi="Cambria Math"/>
                      <w:lang w:val="en-GB"/>
                    </w:rPr>
                    <m:t>-1</m:t>
                  </m:r>
                </m:sup>
              </m:sSubSup>
              <m:d>
                <m:dPr>
                  <m:ctrlPr>
                    <w:rPr>
                      <w:rFonts w:ascii="Cambria Math" w:hAnsi="Cambria Math"/>
                      <w:i/>
                    </w:rPr>
                  </m:ctrlPr>
                </m:dPr>
                <m:e>
                  <m:r>
                    <m:rPr>
                      <m:sty m:val="bi"/>
                    </m:rPr>
                    <w:rPr>
                      <w:rFonts w:ascii="Cambria Math" w:hAnsi="Cambria Math"/>
                    </w:rPr>
                    <m:t>T</m:t>
                  </m:r>
                  <m:r>
                    <m:rPr>
                      <m:sty m:val="bi"/>
                    </m:rPr>
                    <w:rPr>
                      <w:rFonts w:ascii="Cambria Math" w:hAnsi="Cambria Math"/>
                      <w:lang w:val="en-GB"/>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0</m:t>
                      </m:r>
                    </m:sub>
                  </m:sSub>
                </m:e>
              </m:d>
              <m:r>
                <w:rPr>
                  <w:rFonts w:ascii="Cambria Math" w:hAnsi="Cambria Math"/>
                  <w:lang w:val="en-GB"/>
                </w:rPr>
                <m:t>+</m:t>
              </m:r>
              <m:sSup>
                <m:sSupPr>
                  <m:ctrlPr>
                    <w:rPr>
                      <w:rFonts w:ascii="Cambria Math" w:hAnsi="Cambria Math"/>
                      <w:i/>
                    </w:rPr>
                  </m:ctrlPr>
                </m:sSupPr>
                <m:e>
                  <m:d>
                    <m:dPr>
                      <m:ctrlPr>
                        <w:rPr>
                          <w:rFonts w:ascii="Cambria Math" w:hAnsi="Cambria Math"/>
                          <w:i/>
                        </w:rPr>
                      </m:ctrlPr>
                    </m:dPr>
                    <m:e>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E</m:t>
                          </m:r>
                        </m:sub>
                      </m:sSub>
                      <m:r>
                        <m:rPr>
                          <m:sty m:val="bi"/>
                        </m:rPr>
                        <w:rPr>
                          <w:rFonts w:ascii="Cambria Math" w:hAnsi="Cambria Math"/>
                          <w:lang w:val="en-GB"/>
                        </w:rPr>
                        <m:t>-</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C</m:t>
                          </m:r>
                        </m:sub>
                      </m:sSub>
                    </m:e>
                  </m:d>
                </m:e>
                <m:sup>
                  <m:r>
                    <m:rPr>
                      <m:sty m:val="p"/>
                    </m:rPr>
                    <w:rPr>
                      <w:rFonts w:ascii="Cambria Math" w:hAnsi="Cambria Math"/>
                      <w:lang w:val="en-GB"/>
                    </w:rPr>
                    <m:t>T</m:t>
                  </m:r>
                </m:sup>
              </m:sSup>
              <m:sSubSup>
                <m:sSubSupPr>
                  <m:ctrlPr>
                    <w:rPr>
                      <w:rFonts w:ascii="Cambria Math" w:hAnsi="Cambria Math"/>
                      <w:i/>
                    </w:rPr>
                  </m:ctrlPr>
                </m:sSubSupPr>
                <m:e>
                  <m:r>
                    <m:rPr>
                      <m:sty m:val="bi"/>
                    </m:rPr>
                    <w:rPr>
                      <w:rFonts w:ascii="Cambria Math" w:hAnsi="Cambria Math"/>
                    </w:rPr>
                    <m:t>V</m:t>
                  </m:r>
                </m:e>
                <m:sub>
                  <m:r>
                    <m:rPr>
                      <m:sty m:val="bi"/>
                    </m:rPr>
                    <w:rPr>
                      <w:rFonts w:ascii="Cambria Math" w:hAnsi="Cambria Math"/>
                    </w:rPr>
                    <m:t>R</m:t>
                  </m:r>
                </m:sub>
                <m:sup>
                  <m:r>
                    <w:rPr>
                      <w:rFonts w:ascii="Cambria Math" w:hAnsi="Cambria Math"/>
                      <w:lang w:val="en-GB"/>
                    </w:rPr>
                    <m:t>-1</m:t>
                  </m:r>
                </m:sup>
              </m:sSubSup>
              <m:d>
                <m:dPr>
                  <m:ctrlPr>
                    <w:rPr>
                      <w:rFonts w:ascii="Cambria Math" w:hAnsi="Cambria Math"/>
                      <w:i/>
                    </w:rPr>
                  </m:ctrlPr>
                </m:dPr>
                <m:e>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E</m:t>
                      </m:r>
                    </m:sub>
                  </m:sSub>
                  <m:r>
                    <m:rPr>
                      <m:sty m:val="bi"/>
                    </m:rPr>
                    <w:rPr>
                      <w:rFonts w:ascii="Cambria Math" w:hAnsi="Cambria Math"/>
                      <w:lang w:val="en-GB"/>
                    </w:rPr>
                    <m:t>-</m:t>
                  </m:r>
                  <m:sSub>
                    <m:sSubPr>
                      <m:ctrlPr>
                        <w:rPr>
                          <w:rFonts w:ascii="Cambria Math" w:hAnsi="Cambria Math"/>
                          <w:b/>
                          <w:bCs/>
                          <w:i/>
                        </w:rPr>
                      </m:ctrlPr>
                    </m:sSubPr>
                    <m:e>
                      <m:r>
                        <m:rPr>
                          <m:sty m:val="bi"/>
                        </m:rPr>
                        <w:rPr>
                          <w:rFonts w:ascii="Cambria Math" w:hAnsi="Cambria Math"/>
                        </w:rPr>
                        <m:t>R</m:t>
                      </m:r>
                    </m:e>
                    <m:sub>
                      <m:r>
                        <m:rPr>
                          <m:sty m:val="bi"/>
                        </m:rPr>
                        <w:rPr>
                          <w:rFonts w:ascii="Cambria Math" w:hAnsi="Cambria Math"/>
                        </w:rPr>
                        <m:t>C</m:t>
                      </m:r>
                    </m:sub>
                  </m:sSub>
                </m:e>
              </m:d>
            </m:oMath>
            <w:r w:rsidR="000E3065" w:rsidRPr="00D46040">
              <w:rPr>
                <w:rFonts w:ascii="Cambria Math" w:hAnsi="Cambria Math"/>
                <w:lang w:val="en-GB"/>
              </w:rPr>
              <w:t xml:space="preserve"> ,</w:t>
            </w:r>
          </w:p>
        </w:tc>
        <w:tc>
          <w:tcPr>
            <w:tcW w:w="367" w:type="pct"/>
            <w:vAlign w:val="center"/>
            <w:hideMark/>
          </w:tcPr>
          <w:p w14:paraId="41E4520C" w14:textId="37EC484A" w:rsidR="000E3065" w:rsidRPr="00D46040" w:rsidRDefault="000E3065" w:rsidP="00E965C1">
            <w:pPr>
              <w:overflowPunct/>
              <w:autoSpaceDE/>
              <w:autoSpaceDN/>
              <w:adjustRightInd/>
              <w:spacing w:before="120" w:after="120"/>
              <w:jc w:val="right"/>
              <w:textAlignment w:val="auto"/>
              <w:rPr>
                <w:rFonts w:ascii="Cambria Math" w:hAnsi="Cambria Math"/>
                <w:sz w:val="24"/>
                <w:szCs w:val="22"/>
                <w:lang w:val="en-GB"/>
              </w:rPr>
            </w:pPr>
          </w:p>
        </w:tc>
      </w:tr>
    </w:tbl>
    <w:p w14:paraId="41F1A343" w14:textId="4547EE98" w:rsidR="00D25012" w:rsidRPr="00516F2A" w:rsidRDefault="00D1018E" w:rsidP="00D25012">
      <w:pPr>
        <w:pStyle w:val="Corpotesto"/>
        <w:ind w:firstLine="0"/>
      </w:pPr>
      <w:r>
        <w:t>where</w:t>
      </w:r>
      <w:r w:rsidR="003664D5">
        <w:t xml:space="preserve"> </w:t>
      </w:r>
      <m:oMath>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0</m:t>
            </m:r>
          </m:sub>
        </m:sSub>
      </m:oMath>
      <w:r w:rsidR="00085807" w:rsidRPr="003664D5">
        <w:rPr>
          <w:bCs/>
        </w:rPr>
        <w:t xml:space="preserve"> </w:t>
      </w:r>
      <w:r w:rsidR="00085807" w:rsidRPr="00BA34DB">
        <w:t>and</w:t>
      </w:r>
      <w:r>
        <w:t xml:space="preserve"> </w:t>
      </w:r>
      <m:oMath>
        <m:r>
          <m:rPr>
            <m:sty m:val="bi"/>
          </m:rPr>
          <w:rPr>
            <w:rFonts w:ascii="Cambria Math" w:hAnsi="Cambria Math"/>
          </w:rPr>
          <m:t>T</m:t>
        </m:r>
      </m:oMath>
      <w:r w:rsidR="00DB3340" w:rsidRPr="003664D5">
        <w:rPr>
          <w:bCs/>
        </w:rPr>
        <w:t xml:space="preserve"> </w:t>
      </w:r>
      <w:r w:rsidR="00230399" w:rsidRPr="00230399">
        <w:t xml:space="preserve">are the </w:t>
      </w:r>
      <w:r w:rsidR="00085807">
        <w:t xml:space="preserve">original </w:t>
      </w:r>
      <w:r w:rsidR="00085807" w:rsidRPr="00516F2A">
        <w:t xml:space="preserve">and </w:t>
      </w:r>
      <w:r w:rsidR="00ED0D45" w:rsidRPr="00516F2A">
        <w:t xml:space="preserve">to be optimized </w:t>
      </w:r>
      <w:r w:rsidR="00230399" w:rsidRPr="00516F2A">
        <w:t xml:space="preserve">multi-group </w:t>
      </w:r>
      <w:r w:rsidR="00085807" w:rsidRPr="00516F2A">
        <w:t>cross-sections</w:t>
      </w:r>
      <w:r w:rsidR="00230399" w:rsidRPr="00516F2A">
        <w:t xml:space="preserve"> </w:t>
      </w:r>
      <w:r w:rsidR="00085807" w:rsidRPr="00516F2A">
        <w:t>sets,</w:t>
      </w:r>
      <w:r w:rsidR="00230399" w:rsidRPr="00516F2A">
        <w:rPr>
          <w:bCs/>
        </w:rPr>
        <w:t xml:space="preserve"> </w:t>
      </w:r>
      <m:oMath>
        <m:sSub>
          <m:sSubPr>
            <m:ctrlPr>
              <w:rPr>
                <w:rFonts w:ascii="Cambria Math" w:hAnsi="Cambria Math"/>
                <w:i/>
              </w:rPr>
            </m:ctrlPr>
          </m:sSubPr>
          <m:e>
            <m:r>
              <m:rPr>
                <m:sty m:val="bi"/>
              </m:rPr>
              <w:rPr>
                <w:rFonts w:ascii="Cambria Math" w:hAnsi="Cambria Math"/>
              </w:rPr>
              <m:t>R</m:t>
            </m:r>
          </m:e>
          <m:sub>
            <m:r>
              <w:rPr>
                <w:rFonts w:ascii="Cambria Math" w:hAnsi="Cambria Math"/>
              </w:rPr>
              <m:t>E</m:t>
            </m:r>
          </m:sub>
        </m:sSub>
      </m:oMath>
      <w:r w:rsidR="00085807" w:rsidRPr="00516F2A">
        <w:t xml:space="preserve"> and</w:t>
      </w:r>
      <w:r w:rsidR="00230399" w:rsidRPr="00516F2A">
        <w:t xml:space="preserve"> </w:t>
      </w:r>
      <m:oMath>
        <m:sSub>
          <m:sSubPr>
            <m:ctrlPr>
              <w:rPr>
                <w:rFonts w:ascii="Cambria Math" w:hAnsi="Cambria Math"/>
                <w:i/>
              </w:rPr>
            </m:ctrlPr>
          </m:sSubPr>
          <m:e>
            <m:r>
              <m:rPr>
                <m:sty m:val="bi"/>
              </m:rPr>
              <w:rPr>
                <w:rFonts w:ascii="Cambria Math" w:hAnsi="Cambria Math"/>
              </w:rPr>
              <m:t>R</m:t>
            </m:r>
          </m:e>
          <m:sub>
            <m:r>
              <w:rPr>
                <w:rFonts w:ascii="Cambria Math" w:hAnsi="Cambria Math"/>
              </w:rPr>
              <m:t>C</m:t>
            </m:r>
          </m:sub>
        </m:sSub>
      </m:oMath>
      <w:r w:rsidR="00230399" w:rsidRPr="00516F2A">
        <w:t xml:space="preserve"> the</w:t>
      </w:r>
      <w:r w:rsidR="00085807" w:rsidRPr="00516F2A">
        <w:t xml:space="preserve"> measured and calculated values of the considered integral experiments</w:t>
      </w:r>
      <w:r w:rsidR="007A4C23" w:rsidRPr="00516F2A">
        <w:rPr>
          <w:b/>
          <w:bCs/>
        </w:rPr>
        <w:t xml:space="preserve"> </w:t>
      </w:r>
      <w:r w:rsidR="00230399" w:rsidRPr="00516F2A">
        <w:t>and</w:t>
      </w:r>
      <w:r w:rsidR="00230399" w:rsidRPr="00516F2A">
        <w:rPr>
          <w:bCs/>
        </w:rPr>
        <w:t xml:space="preserve"> </w:t>
      </w: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T</m:t>
            </m:r>
          </m:sub>
        </m:sSub>
      </m:oMath>
      <w:r w:rsidR="003664D5" w:rsidRPr="00516F2A">
        <w:rPr>
          <w:bCs/>
        </w:rPr>
        <w:t xml:space="preserve"> </w:t>
      </w:r>
      <w:r w:rsidR="00090E43" w:rsidRPr="00516F2A">
        <w:t>and</w:t>
      </w:r>
      <w:r w:rsidR="003664D5" w:rsidRPr="00516F2A">
        <w:t xml:space="preserve"> </w:t>
      </w: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R</m:t>
            </m:r>
          </m:sub>
        </m:sSub>
      </m:oMath>
      <w:r w:rsidR="00230399" w:rsidRPr="00516F2A">
        <w:rPr>
          <w:bCs/>
        </w:rPr>
        <w:t xml:space="preserve"> </w:t>
      </w:r>
      <w:r w:rsidR="007A4C23" w:rsidRPr="00516F2A">
        <w:t>the covariance matri</w:t>
      </w:r>
      <w:r w:rsidR="00090E43" w:rsidRPr="00516F2A">
        <w:t>ces of</w:t>
      </w:r>
      <w:r w:rsidR="007A4C23" w:rsidRPr="00516F2A">
        <w:t xml:space="preserve"> </w:t>
      </w:r>
      <m:oMath>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0</m:t>
            </m:r>
          </m:sub>
        </m:sSub>
      </m:oMath>
      <w:r w:rsidR="00090E43" w:rsidRPr="00516F2A">
        <w:t xml:space="preserve"> and </w:t>
      </w:r>
      <w:r w:rsidR="00BF4C90" w:rsidRPr="00516F2A">
        <w:t xml:space="preserve">of </w:t>
      </w:r>
      <w:r w:rsidR="00085807" w:rsidRPr="00516F2A">
        <w:t>the (E-C) discrepancy</w:t>
      </w:r>
      <w:r w:rsidR="00BF4C90" w:rsidRPr="00516F2A">
        <w:t>,</w:t>
      </w:r>
      <w:r w:rsidR="00090E43" w:rsidRPr="00516F2A">
        <w:t xml:space="preserve"> respectively, the latter </w:t>
      </w:r>
      <w:r w:rsidR="00085807" w:rsidRPr="00516F2A">
        <w:t xml:space="preserve">thus </w:t>
      </w:r>
      <w:r w:rsidR="00090E43" w:rsidRPr="00516F2A">
        <w:t>including modelling covariance information when appropriate.</w:t>
      </w:r>
      <w:r w:rsidR="008E58B8" w:rsidRPr="00516F2A">
        <w:t xml:space="preserve"> In this work, this contribution </w:t>
      </w:r>
      <w:r w:rsidR="00D2054C">
        <w:t>due to</w:t>
      </w:r>
      <w:r w:rsidR="008E58B8" w:rsidRPr="00516F2A">
        <w:t xml:space="preserve"> correlations among experiments which are scarcely found in the experiments </w:t>
      </w:r>
      <w:r w:rsidR="00876F93" w:rsidRPr="00516F2A">
        <w:t xml:space="preserve">reports and </w:t>
      </w:r>
      <w:r w:rsidR="003E1A49" w:rsidRPr="00516F2A">
        <w:t xml:space="preserve">must </w:t>
      </w:r>
      <w:r w:rsidR="00876F93" w:rsidRPr="00516F2A">
        <w:t>be eventually estimated from the experimental information available, w</w:t>
      </w:r>
      <w:r w:rsidR="00E90B54" w:rsidRPr="00516F2A">
        <w:t>ere</w:t>
      </w:r>
      <w:r w:rsidR="008E58B8" w:rsidRPr="00516F2A">
        <w:t xml:space="preserve"> supposed to be null.</w:t>
      </w:r>
      <w:r w:rsidR="00D25012" w:rsidRPr="00516F2A">
        <w:t xml:space="preserve"> Furthermore, the minimization problem is constrained by the requirement of small variations of </w:t>
      </w:r>
      <m:oMath>
        <m:r>
          <m:rPr>
            <m:sty m:val="bi"/>
          </m:rPr>
          <w:rPr>
            <w:rFonts w:ascii="Cambria Math" w:hAnsi="Cambria Math"/>
          </w:rPr>
          <m:t>T</m:t>
        </m:r>
      </m:oMath>
      <w:r w:rsidR="00D25012" w:rsidRPr="00516F2A">
        <w:t xml:space="preserve"> from the initial cross-sections set (</w:t>
      </w:r>
      <m:oMath>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0</m:t>
            </m:r>
          </m:sub>
        </m:sSub>
      </m:oMath>
      <w:r w:rsidR="00D25012" w:rsidRPr="00516F2A">
        <w:t>) so to enforce physical and statistical soundness on the solution.</w:t>
      </w:r>
    </w:p>
    <w:p w14:paraId="489BC9E1" w14:textId="1151E6C7" w:rsidR="00D30635" w:rsidRDefault="00DF5A16" w:rsidP="00585E46">
      <w:pPr>
        <w:pStyle w:val="Corpotesto"/>
      </w:pPr>
      <w:r>
        <w:t>Th</w:t>
      </w:r>
      <w:r w:rsidR="00C50E43">
        <w:t>e analytical</w:t>
      </w:r>
      <w:r>
        <w:t xml:space="preserve"> approach </w:t>
      </w:r>
      <w:r w:rsidR="00D62555">
        <w:t xml:space="preserve">just described </w:t>
      </w:r>
      <w:r>
        <w:t xml:space="preserve">is implemented in the algorithm </w:t>
      </w:r>
      <w:r w:rsidR="00D31649" w:rsidRPr="00D31649">
        <w:t xml:space="preserve">of the </w:t>
      </w:r>
      <w:r w:rsidR="00A31D4C">
        <w:t xml:space="preserve">adjustment code named </w:t>
      </w:r>
      <w:r w:rsidR="00D31649" w:rsidRPr="00D31649">
        <w:t>AMARA</w:t>
      </w:r>
      <w:r w:rsidR="00A31D4C">
        <w:t xml:space="preserve"> </w:t>
      </w:r>
      <w:r w:rsidR="00D31649" w:rsidRPr="00D31649">
        <w:t>[</w:t>
      </w:r>
      <w:r w:rsidR="005B6931">
        <w:t>1</w:t>
      </w:r>
      <w:r w:rsidR="00F53F9D">
        <w:t>6</w:t>
      </w:r>
      <w:r w:rsidR="00D31649" w:rsidRPr="00D31649">
        <w:t>]</w:t>
      </w:r>
      <w:r>
        <w:t>. Based on this,</w:t>
      </w:r>
      <w:r w:rsidR="00D31649" w:rsidRPr="00D31649">
        <w:t xml:space="preserve"> an updated and extended version of the code, named</w:t>
      </w:r>
      <w:r w:rsidR="00D31649">
        <w:t xml:space="preserve"> </w:t>
      </w:r>
      <w:r w:rsidR="00D31649" w:rsidRPr="00D31649">
        <w:t>AMARA+, came to light.</w:t>
      </w:r>
      <w:r>
        <w:t xml:space="preserve"> </w:t>
      </w:r>
      <w:r w:rsidRPr="00DF5A16">
        <w:t>AMARA+</w:t>
      </w:r>
      <w:r w:rsidR="004F59D6">
        <w:t xml:space="preserve"> </w:t>
      </w:r>
      <w:r w:rsidRPr="00DF5A16">
        <w:t>introduces some innovations with respect to the old code</w:t>
      </w:r>
      <w:r w:rsidR="000529FA">
        <w:t xml:space="preserve"> since </w:t>
      </w:r>
      <w:r w:rsidRPr="00DF5A16">
        <w:t>it can use</w:t>
      </w:r>
      <w:r>
        <w:t xml:space="preserve"> </w:t>
      </w:r>
      <w:r w:rsidRPr="00DF5A16">
        <w:t>libraries and covariances generated from any nuclear data evaluation</w:t>
      </w:r>
      <w:r w:rsidR="00A445FE">
        <w:t xml:space="preserve"> </w:t>
      </w:r>
      <w:r w:rsidR="008369F4">
        <w:t xml:space="preserve">and </w:t>
      </w:r>
      <w:r w:rsidR="0015630E" w:rsidRPr="0015630E">
        <w:t xml:space="preserve">implements a </w:t>
      </w:r>
      <w:r w:rsidR="0015630E">
        <w:t xml:space="preserve">statistical </w:t>
      </w:r>
      <w:r w:rsidR="0015630E" w:rsidRPr="0015630E">
        <w:t xml:space="preserve">test for checking the </w:t>
      </w:r>
      <w:r w:rsidR="0015630E">
        <w:t>v</w:t>
      </w:r>
      <w:r w:rsidR="0015630E" w:rsidRPr="0015630E">
        <w:t xml:space="preserve">alidity and consistency </w:t>
      </w:r>
      <w:r w:rsidR="0015630E">
        <w:t>of the performed adjustment</w:t>
      </w:r>
      <w:r w:rsidR="000302A4">
        <w:t>.</w:t>
      </w:r>
      <w:r w:rsidR="0015630E">
        <w:t xml:space="preserve"> </w:t>
      </w:r>
      <w:r w:rsidR="000302A4">
        <w:t>T</w:t>
      </w:r>
      <w:r w:rsidR="008D5A18" w:rsidRPr="008D5A18">
        <w:t>he statistical</w:t>
      </w:r>
      <w:r w:rsidR="008D5A18">
        <w:t xml:space="preserve"> </w:t>
      </w:r>
      <w:r w:rsidR="008D5A18" w:rsidRPr="008D5A18">
        <w:t xml:space="preserve">coherence of the set </w:t>
      </w:r>
      <w:r w:rsidR="0015630E">
        <w:t xml:space="preserve">of data </w:t>
      </w:r>
      <w:r w:rsidR="003D4FEB">
        <w:t xml:space="preserve">used </w:t>
      </w:r>
      <w:r w:rsidR="000302A4">
        <w:t xml:space="preserve">was </w:t>
      </w:r>
      <w:proofErr w:type="gramStart"/>
      <w:r w:rsidR="000302A4">
        <w:t>improved</w:t>
      </w:r>
      <w:r w:rsidR="003D4FEB">
        <w:t xml:space="preserve"> </w:t>
      </w:r>
      <w:r w:rsidR="008D5A18" w:rsidRPr="008D5A18">
        <w:t xml:space="preserve"> disregarding</w:t>
      </w:r>
      <w:proofErr w:type="gramEnd"/>
      <w:r w:rsidR="008D5A18" w:rsidRPr="008D5A18">
        <w:t xml:space="preserve"> any element of the original set which would scatter, </w:t>
      </w:r>
      <w:r w:rsidR="00D30635">
        <w:t xml:space="preserve">and not focus, </w:t>
      </w:r>
      <w:r w:rsidR="008D5A18" w:rsidRPr="008D5A18">
        <w:t>the</w:t>
      </w:r>
      <w:r w:rsidR="008D5A18" w:rsidRPr="00A212F5">
        <w:t xml:space="preserve"> </w:t>
      </w:r>
      <w:r w:rsidR="008D5A18" w:rsidRPr="008D5A18">
        <w:t>physical information required for an optimized adjustment.</w:t>
      </w:r>
      <w:r w:rsidR="0015630E">
        <w:t xml:space="preserve"> </w:t>
      </w:r>
      <w:r w:rsidR="004E5C6A" w:rsidRPr="004E5C6A">
        <w:t>The objective function to minimize</w:t>
      </w:r>
      <w:r w:rsidR="00CA0B2C">
        <w:t xml:space="preserve">, </w:t>
      </w:r>
      <w:r w:rsidR="004E5C6A" w:rsidRPr="004E5C6A">
        <w:t xml:space="preserve">is </w:t>
      </w:r>
      <w:r w:rsidR="009E3538" w:rsidRPr="004E5C6A">
        <w:t>no</w:t>
      </w:r>
      <w:r w:rsidR="004E5C6A" w:rsidRPr="004E5C6A">
        <w:t xml:space="preserve"> other than the classical</w:t>
      </w:r>
      <w:r w:rsidR="004E5C6A">
        <w:t xml:space="preserve"> </w:t>
      </w:r>
      <m:oMath>
        <m:sSup>
          <m:sSupPr>
            <m:ctrlPr>
              <w:rPr>
                <w:rFonts w:ascii="Cambria Math" w:hAnsi="Cambria Math"/>
              </w:rPr>
            </m:ctrlPr>
          </m:sSupPr>
          <m:e>
            <m:r>
              <w:rPr>
                <w:rFonts w:ascii="Cambria Math" w:hAnsi="Cambria Math"/>
              </w:rPr>
              <m:t>χ</m:t>
            </m:r>
          </m:e>
          <m:sup>
            <m:r>
              <w:rPr>
                <w:rFonts w:ascii="Cambria Math" w:hAnsi="Cambria Math"/>
              </w:rPr>
              <m:t>2</m:t>
            </m:r>
          </m:sup>
        </m:sSup>
      </m:oMath>
      <w:r w:rsidR="004E5C6A" w:rsidRPr="004E5C6A">
        <w:t xml:space="preserve"> variable, which obeys the</w:t>
      </w:r>
      <w:r w:rsidR="004E5C6A">
        <w:t xml:space="preserve"> </w:t>
      </w:r>
      <w:r w:rsidR="004E5C6A" w:rsidRPr="004E5C6A">
        <w:t>so-called Chi-squared distribution</w:t>
      </w:r>
      <w:r w:rsidR="000C28A8">
        <w:t xml:space="preserve"> </w:t>
      </w:r>
      <w:r w:rsidR="004E5C6A" w:rsidRPr="004E5C6A">
        <w:t>Under the null hypothesis of consistency (i.e., all posterior C/E equalling</w:t>
      </w:r>
      <w:r w:rsidR="004E5C6A">
        <w:t xml:space="preserve"> </w:t>
      </w:r>
      <w:r w:rsidR="004E5C6A" w:rsidRPr="004E5C6A">
        <w:t xml:space="preserve">unity), a sound adjustment should target, </w:t>
      </w:r>
      <w:r w:rsidR="008D4344">
        <w:t xml:space="preserve">with a </w:t>
      </w:r>
      <m:oMath>
        <m:r>
          <w:rPr>
            <w:rFonts w:ascii="Cambria Math" w:hAnsi="Cambria Math"/>
          </w:rPr>
          <m:t>3σ</m:t>
        </m:r>
      </m:oMath>
      <w:r w:rsidR="008D4344">
        <w:t xml:space="preserve"> confidence interval</w:t>
      </w:r>
      <w:r w:rsidR="009E3538">
        <w:t xml:space="preserve">, </w:t>
      </w:r>
      <w:r w:rsidR="009E3538" w:rsidRPr="00320A08">
        <w:t xml:space="preserve">a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009E3538" w:rsidRPr="00320A08">
        <w:t xml:space="preserve"> around t</w:t>
      </w:r>
      <w:r w:rsidR="00F55138">
        <w:t>he</w:t>
      </w:r>
      <w:r w:rsidR="009E3538" w:rsidRPr="00320A08">
        <w:t xml:space="preserve"> </w:t>
      </w:r>
      <w:r w:rsidR="00F55138">
        <w:t xml:space="preserve">M </w:t>
      </w:r>
      <w:r w:rsidR="0005476E">
        <w:t>(i.e., the number of degrees of freedom in the adjustment)</w:t>
      </w:r>
      <w:r w:rsidR="00F55138" w:rsidRPr="0005476E">
        <w:t xml:space="preserve"> </w:t>
      </w:r>
      <w:proofErr w:type="spellStart"/>
      <w:r w:rsidR="009E3538" w:rsidRPr="0005476E">
        <w:t>mean</w:t>
      </w:r>
      <w:r w:rsidR="00971C11">
        <w:t>If</w:t>
      </w:r>
      <w:proofErr w:type="spellEnd"/>
      <w:r w:rsidR="00971C11">
        <w:t xml:space="preserve"> </w:t>
      </w:r>
      <w:r w:rsidR="00A66981">
        <w:t xml:space="preserve">this condition </w:t>
      </w:r>
      <w:r w:rsidR="00DF4189">
        <w:t xml:space="preserve"> </w:t>
      </w:r>
      <w:r w:rsidR="009E3538" w:rsidRPr="00320A08">
        <w:t>is not respected,</w:t>
      </w:r>
      <w:r w:rsidR="00CC2633" w:rsidRPr="00320A08">
        <w:t xml:space="preserve"> </w:t>
      </w:r>
      <w:r w:rsidR="004F53CC">
        <w:t>an in-depth analysis is opportune to identify</w:t>
      </w:r>
      <w:r w:rsidR="00971C11">
        <w:t xml:space="preserve"> </w:t>
      </w:r>
      <w:r w:rsidR="009E3538" w:rsidRPr="009E3538">
        <w:t>the (major) contributors</w:t>
      </w:r>
      <w:r w:rsidR="009E3538">
        <w:t xml:space="preserve"> </w:t>
      </w:r>
      <w:r w:rsidR="009E3538" w:rsidRPr="009E3538">
        <w:t>to possible deviations from unity of</w:t>
      </w:r>
      <w:r w:rsidR="001A5F67">
        <w:t xml:space="preserve"> </w:t>
      </w:r>
      <m:oMath>
        <m:f>
          <m:fPr>
            <m:type m:val="lin"/>
            <m:ctrlPr>
              <w:rPr>
                <w:rFonts w:ascii="Cambria Math" w:hAnsi="Cambria Math"/>
              </w:rPr>
            </m:ctrlPr>
          </m:fPr>
          <m:num>
            <m:sSup>
              <m:sSupPr>
                <m:ctrlPr>
                  <w:rPr>
                    <w:rFonts w:ascii="Cambria Math" w:hAnsi="Cambria Math"/>
                  </w:rPr>
                </m:ctrlPr>
              </m:sSupPr>
              <m:e>
                <m:r>
                  <w:rPr>
                    <w:rFonts w:ascii="Cambria Math" w:hAnsi="Cambria Math"/>
                  </w:rPr>
                  <m:t>χ</m:t>
                </m:r>
              </m:e>
              <m:sup>
                <m:r>
                  <m:rPr>
                    <m:sty m:val="p"/>
                  </m:rPr>
                  <w:rPr>
                    <w:rFonts w:ascii="Cambria Math" w:hAnsi="Cambria Math"/>
                  </w:rPr>
                  <m:t>2</m:t>
                </m:r>
              </m:sup>
            </m:sSup>
          </m:num>
          <m:den>
            <m:r>
              <w:rPr>
                <w:rFonts w:ascii="Cambria Math" w:hAnsi="Cambria Math"/>
              </w:rPr>
              <m:t>M</m:t>
            </m:r>
          </m:den>
        </m:f>
      </m:oMath>
      <w:r w:rsidR="00CA0B2C">
        <w:t>.</w:t>
      </w:r>
      <w:r w:rsidR="009E3538" w:rsidRPr="009E3538">
        <w:t xml:space="preserve"> </w:t>
      </w:r>
      <w:r w:rsidR="00CA0B2C">
        <w:t>When this is the case</w:t>
      </w:r>
      <w:r w:rsidR="00DC1404">
        <w:t xml:space="preserve">, </w:t>
      </w:r>
      <w:r w:rsidR="00DC1404" w:rsidRPr="009E3538">
        <w:t>for obtaining</w:t>
      </w:r>
      <w:r w:rsidR="00DC1404">
        <w:t xml:space="preserve"> </w:t>
      </w:r>
      <w:r w:rsidR="00DC1404" w:rsidRPr="009E3538">
        <w:t>a more effective adjustment</w:t>
      </w:r>
      <w:r w:rsidR="00DC1404">
        <w:t xml:space="preserve">, it should be </w:t>
      </w:r>
      <w:r w:rsidR="009E3538" w:rsidRPr="009E3538">
        <w:t>noted</w:t>
      </w:r>
      <w:r w:rsidR="001A5F67">
        <w:t xml:space="preserve"> that</w:t>
      </w:r>
      <w:r w:rsidR="00DC1404">
        <w:t xml:space="preserve"> </w:t>
      </w:r>
      <w:r w:rsidR="009E3538" w:rsidRPr="009E3538">
        <w:t>the objective</w:t>
      </w:r>
      <w:r w:rsidR="009E3538">
        <w:t xml:space="preserve"> </w:t>
      </w:r>
      <w:r w:rsidR="009E3538" w:rsidRPr="009E3538">
        <w:t>function</w:t>
      </w:r>
      <w:r w:rsidR="00320A08">
        <w:t xml:space="preserve"> </w:t>
      </w:r>
      <w:r w:rsidR="00825DBB">
        <w:t xml:space="preserve">can be thought as the </w:t>
      </w:r>
      <w:r w:rsidR="009E3538" w:rsidRPr="009E3538">
        <w:t>sum of</w:t>
      </w:r>
      <w:r w:rsidR="001A5F67">
        <w:t xml:space="preserve"> t</w:t>
      </w:r>
      <w:r w:rsidR="00D30635">
        <w:t xml:space="preserve">hree different </w:t>
      </w:r>
      <w:r w:rsidR="001A5F67">
        <w:t>contributions</w:t>
      </w:r>
      <w:r w:rsidR="00D30635">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85E46" w:rsidRPr="00871F40" w14:paraId="3C4794A4" w14:textId="77777777" w:rsidTr="00B250C3">
        <w:tc>
          <w:tcPr>
            <w:tcW w:w="4633" w:type="pct"/>
            <w:vAlign w:val="center"/>
          </w:tcPr>
          <w:p w14:paraId="168C1975" w14:textId="1EECB728" w:rsidR="00585E46" w:rsidRPr="00585E46" w:rsidRDefault="007E5BE8" w:rsidP="00B250C3">
            <w:pPr>
              <w:overflowPunct/>
              <w:autoSpaceDE/>
              <w:autoSpaceDN/>
              <w:adjustRightInd/>
              <w:spacing w:before="120" w:after="120"/>
              <w:jc w:val="center"/>
              <w:textAlignment w:val="auto"/>
              <w:rPr>
                <w:rFonts w:ascii="Cambria Math" w:hAnsi="Cambria Math"/>
                <w:sz w:val="24"/>
                <w:szCs w:val="22"/>
                <w:lang w:val="en-GB"/>
              </w:rPr>
            </w:pPr>
            <m:oMath>
              <m:sSup>
                <m:sSupPr>
                  <m:ctrlPr>
                    <w:rPr>
                      <w:rFonts w:ascii="Cambria Math" w:hAnsi="Cambria Math"/>
                      <w:i/>
                    </w:rPr>
                  </m:ctrlPr>
                </m:sSupPr>
                <m:e>
                  <m:r>
                    <w:rPr>
                      <w:rFonts w:ascii="Cambria Math" w:hAnsi="Cambria Math"/>
                    </w:rPr>
                    <m:t>χ</m:t>
                  </m:r>
                </m:e>
                <m:sup>
                  <m:r>
                    <w:rPr>
                      <w:rFonts w:ascii="Cambria Math" w:hAnsi="Cambria Math"/>
                      <w:lang w:val="en-GB"/>
                    </w:rPr>
                    <m:t>2</m:t>
                  </m:r>
                </m:sup>
              </m:sSup>
              <m:r>
                <w:rPr>
                  <w:rFonts w:ascii="Cambria Math" w:hAnsi="Cambria Math"/>
                  <w:lang w:val="en-GB"/>
                </w:rPr>
                <m:t>=</m:t>
              </m:r>
              <m:sSubSup>
                <m:sSubSupPr>
                  <m:ctrlPr>
                    <w:rPr>
                      <w:rFonts w:ascii="Cambria Math" w:hAnsi="Cambria Math"/>
                      <w:i/>
                    </w:rPr>
                  </m:ctrlPr>
                </m:sSubSupPr>
                <m:e>
                  <m:r>
                    <w:rPr>
                      <w:rFonts w:ascii="Cambria Math" w:hAnsi="Cambria Math"/>
                    </w:rPr>
                    <m:t>χ</m:t>
                  </m:r>
                </m:e>
                <m:sub>
                  <m:r>
                    <w:rPr>
                      <w:rFonts w:ascii="Cambria Math" w:hAnsi="Cambria Math"/>
                    </w:rPr>
                    <m:t>mac</m:t>
                  </m:r>
                </m:sub>
                <m:sup>
                  <m:r>
                    <w:rPr>
                      <w:rFonts w:ascii="Cambria Math" w:hAnsi="Cambria Math"/>
                      <w:lang w:val="en-GB"/>
                    </w:rPr>
                    <m:t>2</m:t>
                  </m:r>
                </m:sup>
              </m:sSubSup>
              <m:r>
                <w:rPr>
                  <w:rFonts w:ascii="Cambria Math" w:hAnsi="Cambria Math"/>
                  <w:lang w:val="en-GB"/>
                </w:rPr>
                <m:t>+</m:t>
              </m:r>
              <m:sSubSup>
                <m:sSubSupPr>
                  <m:ctrlPr>
                    <w:rPr>
                      <w:rFonts w:ascii="Cambria Math" w:hAnsi="Cambria Math"/>
                      <w:i/>
                    </w:rPr>
                  </m:ctrlPr>
                </m:sSubSupPr>
                <m:e>
                  <m:r>
                    <w:rPr>
                      <w:rFonts w:ascii="Cambria Math" w:hAnsi="Cambria Math"/>
                    </w:rPr>
                    <m:t>χ</m:t>
                  </m:r>
                </m:e>
                <m:sub>
                  <m:r>
                    <w:rPr>
                      <w:rFonts w:ascii="Cambria Math" w:hAnsi="Cambria Math"/>
                    </w:rPr>
                    <m:t>mic</m:t>
                  </m:r>
                </m:sub>
                <m:sup>
                  <m:r>
                    <w:rPr>
                      <w:rFonts w:ascii="Cambria Math" w:hAnsi="Cambria Math"/>
                      <w:lang w:val="en-GB"/>
                    </w:rPr>
                    <m:t>2</m:t>
                  </m:r>
                </m:sup>
              </m:sSubSup>
              <m:r>
                <w:rPr>
                  <w:rFonts w:ascii="Cambria Math" w:hAnsi="Cambria Math"/>
                  <w:lang w:val="en-GB"/>
                </w:rPr>
                <m:t>+</m:t>
              </m:r>
              <m:r>
                <w:rPr>
                  <w:rFonts w:ascii="Cambria Math" w:hAnsi="Cambria Math"/>
                </w:rPr>
                <m:t>E</m:t>
              </m:r>
            </m:oMath>
            <w:r w:rsidR="00585E46" w:rsidRPr="00585E46">
              <w:rPr>
                <w:rFonts w:ascii="Cambria Math" w:hAnsi="Cambria Math"/>
                <w:sz w:val="24"/>
                <w:szCs w:val="22"/>
                <w:lang w:val="en-GB"/>
              </w:rPr>
              <w:t>,</w:t>
            </w:r>
          </w:p>
        </w:tc>
        <w:tc>
          <w:tcPr>
            <w:tcW w:w="367" w:type="pct"/>
            <w:vAlign w:val="center"/>
            <w:hideMark/>
          </w:tcPr>
          <w:p w14:paraId="17B956E7" w14:textId="0A28690C" w:rsidR="00585E46" w:rsidRPr="00871F40" w:rsidRDefault="00585E46" w:rsidP="00B250C3">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00DC2E04">
              <w:rPr>
                <w:rFonts w:ascii="Cambria Math" w:hAnsi="Cambria Math"/>
                <w:sz w:val="24"/>
                <w:szCs w:val="22"/>
              </w:rPr>
              <w:t>1</w:t>
            </w:r>
            <w:r w:rsidRPr="00871F40">
              <w:rPr>
                <w:rFonts w:ascii="Cambria Math" w:hAnsi="Cambria Math"/>
                <w:sz w:val="24"/>
                <w:szCs w:val="22"/>
              </w:rPr>
              <w:t>)</w:t>
            </w:r>
          </w:p>
        </w:tc>
      </w:tr>
    </w:tbl>
    <w:p w14:paraId="2913E296" w14:textId="4B5299D2" w:rsidR="004F53CC" w:rsidRDefault="00D30635" w:rsidP="00BA32BB">
      <w:pPr>
        <w:pStyle w:val="Corpotesto"/>
        <w:ind w:firstLine="0"/>
      </w:pPr>
      <w:r>
        <w:t>where</w:t>
      </w:r>
      <w:r w:rsidR="00E1201D">
        <w:t xml:space="preserve"> </w:t>
      </w:r>
      <m:oMath>
        <m:sSubSup>
          <m:sSubSupPr>
            <m:ctrlPr>
              <w:rPr>
                <w:rFonts w:ascii="Cambria Math" w:hAnsi="Cambria Math"/>
                <w:i/>
              </w:rPr>
            </m:ctrlPr>
          </m:sSubSupPr>
          <m:e>
            <m:r>
              <w:rPr>
                <w:rFonts w:ascii="Cambria Math" w:hAnsi="Cambria Math"/>
              </w:rPr>
              <m:t>χ</m:t>
            </m:r>
          </m:e>
          <m:sub>
            <m:r>
              <w:rPr>
                <w:rFonts w:ascii="Cambria Math" w:hAnsi="Cambria Math"/>
              </w:rPr>
              <m:t>mac</m:t>
            </m:r>
          </m:sub>
          <m:sup>
            <m:r>
              <w:rPr>
                <w:rFonts w:ascii="Cambria Math" w:hAnsi="Cambria Math"/>
              </w:rPr>
              <m:t>2</m:t>
            </m:r>
          </m:sup>
        </m:sSubSup>
      </m:oMath>
      <w:r w:rsidR="003664D5">
        <w:t xml:space="preserve"> </w:t>
      </w:r>
      <w:r w:rsidR="00E1201D">
        <w:t xml:space="preserve">and </w:t>
      </w:r>
      <m:oMath>
        <m:sSubSup>
          <m:sSubSupPr>
            <m:ctrlPr>
              <w:rPr>
                <w:rFonts w:ascii="Cambria Math" w:hAnsi="Cambria Math"/>
                <w:i/>
              </w:rPr>
            </m:ctrlPr>
          </m:sSubSupPr>
          <m:e>
            <m:r>
              <w:rPr>
                <w:rFonts w:ascii="Cambria Math" w:hAnsi="Cambria Math"/>
              </w:rPr>
              <m:t>χ</m:t>
            </m:r>
          </m:e>
          <m:sub>
            <m:r>
              <w:rPr>
                <w:rFonts w:ascii="Cambria Math" w:hAnsi="Cambria Math"/>
              </w:rPr>
              <m:t>mic</m:t>
            </m:r>
          </m:sub>
          <m:sup>
            <m:r>
              <w:rPr>
                <w:rFonts w:ascii="Cambria Math" w:hAnsi="Cambria Math"/>
              </w:rPr>
              <m:t>2</m:t>
            </m:r>
          </m:sup>
        </m:sSubSup>
      </m:oMath>
      <w:r w:rsidR="003664D5">
        <w:t xml:space="preserve"> </w:t>
      </w:r>
      <w:r w:rsidR="00E1201D">
        <w:t>are</w:t>
      </w:r>
      <w:r>
        <w:t xml:space="preserve"> the contribution</w:t>
      </w:r>
      <w:r w:rsidR="00E1201D">
        <w:t>s</w:t>
      </w:r>
      <w:r>
        <w:t xml:space="preserve"> </w:t>
      </w:r>
      <w:r w:rsidR="00E1201D">
        <w:t xml:space="preserve">from the integral </w:t>
      </w:r>
      <w:r w:rsidR="00D106EC">
        <w:t>parameter’s</w:t>
      </w:r>
      <w:r w:rsidR="00E1201D">
        <w:t xml:space="preserve"> predictions, and </w:t>
      </w:r>
      <w:r>
        <w:t>microscopic cross-sections adjustment</w:t>
      </w:r>
      <w:r w:rsidR="00E1201D">
        <w:t xml:space="preserve">, respectively, while </w:t>
      </w:r>
      <m:oMath>
        <m:r>
          <w:rPr>
            <w:rFonts w:ascii="Cambria Math" w:hAnsi="Cambria Math"/>
          </w:rPr>
          <m:t>E</m:t>
        </m:r>
      </m:oMath>
      <w:r w:rsidR="003664D5">
        <w:t xml:space="preserve"> </w:t>
      </w:r>
      <w:r>
        <w:t>is the complementary part of the first two terms</w:t>
      </w:r>
      <w:r w:rsidR="00971C11">
        <w:t>, regarding all contributions due to correlation</w:t>
      </w:r>
      <w:r w:rsidR="004F53CC">
        <w:t>s</w:t>
      </w:r>
      <w:r w:rsidR="00971C11">
        <w:t xml:space="preserve"> among experiments.</w:t>
      </w:r>
      <w:r w:rsidR="00E1201D">
        <w:t xml:space="preserve"> </w:t>
      </w:r>
      <w:r w:rsidR="00B251CC">
        <w:t xml:space="preserve">The </w:t>
      </w:r>
      <m:oMath>
        <m:sSup>
          <m:sSupPr>
            <m:ctrlPr>
              <w:rPr>
                <w:rFonts w:ascii="Cambria Math" w:hAnsi="Cambria Math"/>
              </w:rPr>
            </m:ctrlPr>
          </m:sSupPr>
          <m:e>
            <m:r>
              <w:rPr>
                <w:rFonts w:ascii="Cambria Math" w:hAnsi="Cambria Math"/>
              </w:rPr>
              <m:t>χ</m:t>
            </m:r>
          </m:e>
          <m:sup>
            <m:r>
              <m:rPr>
                <m:sty m:val="p"/>
              </m:rPr>
              <w:rPr>
                <w:rFonts w:ascii="Cambria Math" w:hAnsi="Cambria Math"/>
              </w:rPr>
              <m:t>2</m:t>
            </m:r>
          </m:sup>
        </m:sSup>
      </m:oMath>
      <w:r w:rsidR="003664D5">
        <w:t xml:space="preserve"> </w:t>
      </w:r>
      <w:r w:rsidR="002F5212">
        <w:t xml:space="preserve">can </w:t>
      </w:r>
      <w:r w:rsidR="00CA0B2C">
        <w:t xml:space="preserve">then </w:t>
      </w:r>
      <w:r w:rsidR="002F5212">
        <w:t xml:space="preserve">be re-evaluated, eliminating the integral experiment </w:t>
      </w:r>
      <w:r w:rsidR="00825DBB">
        <w:t xml:space="preserve">which determines </w:t>
      </w:r>
      <w:r w:rsidR="002F5212">
        <w:t>the greatest value</w:t>
      </w:r>
      <w:r w:rsidR="00825DBB">
        <w:t>,</w:t>
      </w:r>
      <w:r w:rsidR="002F5212">
        <w:t xml:space="preserve"> </w:t>
      </w:r>
      <w:r w:rsidR="00825DBB">
        <w:t xml:space="preserve">aiming at </w:t>
      </w:r>
      <w:r w:rsidR="002F5212">
        <w:t>optimiz</w:t>
      </w:r>
      <w:r w:rsidR="00825DBB">
        <w:t>ing</w:t>
      </w:r>
      <w:r w:rsidR="002F5212">
        <w:t xml:space="preserve"> the Chi-square</w:t>
      </w:r>
      <w:r w:rsidR="004F53CC">
        <w:t>d</w:t>
      </w:r>
      <w:r w:rsidR="002F5212">
        <w:t xml:space="preserve"> response. The elimination process can therefore be recursively applied </w:t>
      </w:r>
      <w:r w:rsidR="00CF4E20">
        <w:t>to</w:t>
      </w:r>
      <w:r w:rsidR="002F5212">
        <w:t xml:space="preserve"> determine th</w:t>
      </w:r>
      <w:r w:rsidR="008B6113">
        <w:t>e</w:t>
      </w:r>
      <w:r w:rsidR="002F5212">
        <w:t xml:space="preserve"> </w:t>
      </w:r>
      <w:r w:rsidR="00825DBB">
        <w:t xml:space="preserve">best </w:t>
      </w:r>
      <w:r w:rsidR="002F5212">
        <w:t xml:space="preserve">set of data </w:t>
      </w:r>
      <w:r w:rsidR="00825DBB">
        <w:t xml:space="preserve">for </w:t>
      </w:r>
      <w:r w:rsidR="002F5212">
        <w:t xml:space="preserve">Chi-squared </w:t>
      </w:r>
      <w:r w:rsidR="00825DBB">
        <w:t>optimization</w:t>
      </w:r>
      <w:r w:rsidR="002F5212">
        <w:t>.</w:t>
      </w:r>
      <w:r w:rsidR="004F5E6D">
        <w:t xml:space="preserve"> </w:t>
      </w:r>
      <w:r w:rsidR="002F5212" w:rsidRPr="002F5212">
        <w:lastRenderedPageBreak/>
        <w:t xml:space="preserve">However, to further ensure adjustment consistency, satisfying </w:t>
      </w:r>
      <w:r w:rsidR="008B6113">
        <w:t xml:space="preserve">the distribution </w:t>
      </w:r>
      <w:r w:rsidR="002F5212" w:rsidRPr="002F5212">
        <w:t>condition alone</w:t>
      </w:r>
      <w:r w:rsidR="00320A08">
        <w:t xml:space="preserve"> </w:t>
      </w:r>
      <w:r w:rsidR="002F5212" w:rsidRPr="002F5212">
        <w:t>is not sufficient for claiming statistical soundness,</w:t>
      </w:r>
      <w:r w:rsidR="002F5212">
        <w:t xml:space="preserve"> </w:t>
      </w:r>
      <w:r w:rsidR="002F5212" w:rsidRPr="002F5212">
        <w:t xml:space="preserve">so that a check on the effect of the process on the </w:t>
      </w:r>
      <w:proofErr w:type="gramStart"/>
      <w:r w:rsidR="002F5212" w:rsidRPr="002F5212">
        <w:t>cross-sections</w:t>
      </w:r>
      <w:proofErr w:type="gramEnd"/>
      <w:r w:rsidR="002F5212" w:rsidRPr="002F5212">
        <w:t xml:space="preserve"> </w:t>
      </w:r>
      <w:r w:rsidR="00320A08">
        <w:t xml:space="preserve">contribution </w:t>
      </w:r>
      <w:r w:rsidR="008B6113">
        <w:t>must</w:t>
      </w:r>
      <w:r w:rsidR="002F5212" w:rsidRPr="002F5212">
        <w:t xml:space="preserve"> also be added.</w:t>
      </w:r>
      <w:r w:rsidR="00300464">
        <w:t xml:space="preserve"> </w:t>
      </w:r>
      <w:r w:rsidR="002F5212" w:rsidRPr="002F5212">
        <w:t xml:space="preserve">This </w:t>
      </w:r>
      <w:r w:rsidR="00B251CC">
        <w:t xml:space="preserve">further </w:t>
      </w:r>
      <w:r w:rsidR="00CF4E20">
        <w:t xml:space="preserve">check </w:t>
      </w:r>
      <w:r w:rsidR="002F5212" w:rsidRPr="002F5212">
        <w:t>aim</w:t>
      </w:r>
      <w:r w:rsidR="00F04044">
        <w:t>s</w:t>
      </w:r>
      <w:r w:rsidR="002F5212">
        <w:t xml:space="preserve"> </w:t>
      </w:r>
      <w:r w:rsidR="002F5212" w:rsidRPr="002F5212">
        <w:t xml:space="preserve">at ensuring </w:t>
      </w:r>
      <w:r w:rsidR="000834D2">
        <w:t xml:space="preserve">that </w:t>
      </w:r>
      <w:r w:rsidR="002F5212" w:rsidRPr="002F5212">
        <w:t>a stable set of adjusted cross-sections</w:t>
      </w:r>
      <w:r w:rsidR="000834D2">
        <w:t xml:space="preserve"> is identified</w:t>
      </w:r>
      <w:r w:rsidR="002F5212" w:rsidRPr="002F5212">
        <w:t xml:space="preserve">, meaning that </w:t>
      </w:r>
      <w:r w:rsidR="000834D2">
        <w:t xml:space="preserve">when </w:t>
      </w:r>
      <w:r w:rsidR="000834D2" w:rsidRPr="00516F2A">
        <w:t xml:space="preserve">adding </w:t>
      </w:r>
      <w:r w:rsidR="00DB3012" w:rsidRPr="00516F2A">
        <w:t xml:space="preserve">(or removing) </w:t>
      </w:r>
      <w:r w:rsidR="000834D2">
        <w:t xml:space="preserve">a </w:t>
      </w:r>
      <w:r w:rsidR="002F5212" w:rsidRPr="002F5212">
        <w:t xml:space="preserve">particular experiment </w:t>
      </w:r>
      <w:r w:rsidR="000834D2">
        <w:t xml:space="preserve">to it, </w:t>
      </w:r>
      <w:r w:rsidR="002F5212" w:rsidRPr="002F5212">
        <w:t xml:space="preserve">the predicted corrections </w:t>
      </w:r>
      <w:r w:rsidR="000834D2">
        <w:t xml:space="preserve">show </w:t>
      </w:r>
      <w:r w:rsidR="004F53CC">
        <w:t>minimal</w:t>
      </w:r>
      <w:r w:rsidR="000834D2">
        <w:t xml:space="preserve"> changes, further </w:t>
      </w:r>
      <w:r w:rsidR="002F5212" w:rsidRPr="002F5212">
        <w:t>increas</w:t>
      </w:r>
      <w:r w:rsidR="000834D2">
        <w:t>ing</w:t>
      </w:r>
      <w:r w:rsidR="002F5212" w:rsidRPr="002F5212">
        <w:t xml:space="preserve"> </w:t>
      </w:r>
      <w:r w:rsidR="000834D2">
        <w:t xml:space="preserve">the </w:t>
      </w:r>
      <w:r w:rsidR="002F5212" w:rsidRPr="002F5212">
        <w:t>confidence in the consistency among experiments.</w:t>
      </w:r>
      <w:r w:rsidR="00B251CC">
        <w:t xml:space="preserve"> In this case, an iteration accuracy must be given; </w:t>
      </w:r>
      <w:r w:rsidR="000834D2">
        <w:t xml:space="preserve">and </w:t>
      </w:r>
      <w:r w:rsidR="00B251CC">
        <w:t>in th</w:t>
      </w:r>
      <w:r w:rsidR="0060106B">
        <w:t>is</w:t>
      </w:r>
      <w:r w:rsidR="00B251CC">
        <w:t xml:space="preserve"> </w:t>
      </w:r>
      <w:r w:rsidR="0060106B">
        <w:t>work</w:t>
      </w:r>
      <w:r w:rsidR="00B251CC">
        <w:t xml:space="preserve"> it was taken as 5%.</w:t>
      </w:r>
    </w:p>
    <w:p w14:paraId="4A45863B" w14:textId="7E3C8F28" w:rsidR="00A20CFB" w:rsidRDefault="008D5A18" w:rsidP="004F53CC">
      <w:pPr>
        <w:pStyle w:val="Corpotesto"/>
        <w:rPr>
          <w:color w:val="000000" w:themeColor="text1"/>
        </w:rPr>
      </w:pPr>
      <w:r w:rsidRPr="008D5A18">
        <w:t>AMARA+ a</w:t>
      </w:r>
      <w:r w:rsidR="00D934C7">
        <w:t xml:space="preserve">lso </w:t>
      </w:r>
      <w:r w:rsidRPr="008D5A18">
        <w:t>implement</w:t>
      </w:r>
      <w:r w:rsidR="00D934C7">
        <w:t>s</w:t>
      </w:r>
      <w:r w:rsidRPr="008D5A18">
        <w:t xml:space="preserve"> enhanced input capabilities to manage</w:t>
      </w:r>
      <w:r>
        <w:t xml:space="preserve"> </w:t>
      </w:r>
      <w:r w:rsidRPr="008D5A18">
        <w:t>all quantities requested for any generic problem (e.g., sensitivities and uncertainties), flexibly</w:t>
      </w:r>
      <w:r>
        <w:t xml:space="preserve"> </w:t>
      </w:r>
      <w:r w:rsidRPr="008D5A18">
        <w:t xml:space="preserve">allowing any user-defined selection of integral experiments </w:t>
      </w:r>
      <w:r w:rsidR="00D54113">
        <w:t xml:space="preserve">to </w:t>
      </w:r>
      <w:r w:rsidRPr="008D5A18">
        <w:t>include in the representative</w:t>
      </w:r>
      <w:r>
        <w:t xml:space="preserve"> </w:t>
      </w:r>
      <w:r w:rsidRPr="008D5A18">
        <w:t>database</w:t>
      </w:r>
      <w:r w:rsidR="00D934C7" w:rsidRPr="00D934C7">
        <w:rPr>
          <w:color w:val="000000" w:themeColor="text1"/>
        </w:rPr>
        <w:t>.</w:t>
      </w:r>
    </w:p>
    <w:p w14:paraId="3FB25464" w14:textId="697FC3ED" w:rsidR="006B0E4C" w:rsidRDefault="006B0E4C" w:rsidP="006B0E4C">
      <w:pPr>
        <w:pStyle w:val="Titolo2"/>
        <w:numPr>
          <w:ilvl w:val="1"/>
          <w:numId w:val="10"/>
        </w:numPr>
      </w:pPr>
      <w:r>
        <w:t xml:space="preserve">ANALYSIS OF THE </w:t>
      </w:r>
      <w:r w:rsidR="0060106B">
        <w:t>ENDF/B-VIII.0 ADJUSTMENT</w:t>
      </w:r>
    </w:p>
    <w:p w14:paraId="73267F17" w14:textId="7A8D9AF3" w:rsidR="00C43ADA" w:rsidRDefault="003D758D" w:rsidP="00A333C1">
      <w:pPr>
        <w:pStyle w:val="Corpotesto"/>
      </w:pPr>
      <w:r>
        <w:t xml:space="preserve">All the data used as input by the AMARA+ code initially included 20 facilities and 73 different experiments for different integral quantities </w:t>
      </w:r>
      <w:r w:rsidR="00097231">
        <w:t>such as the effective multiplication factor,</w:t>
      </w:r>
      <w:r>
        <w:t xml:space="preserve"> </w:t>
      </w:r>
      <w:proofErr w:type="gramStart"/>
      <w:r>
        <w:t>a number of</w:t>
      </w:r>
      <w:proofErr w:type="gramEnd"/>
      <w:r>
        <w:t xml:space="preserve"> spectral indices as f28/f25, f49/f25, etc.</w:t>
      </w:r>
      <w:r w:rsidR="00097231">
        <w:t>,</w:t>
      </w:r>
      <w:r>
        <w:t xml:space="preserve"> taken from the IRPhE database, with the aim of calculating relative corrections for the initial nuclear data evaluations having the ALFRED core as reference.</w:t>
      </w:r>
      <w:r w:rsidR="00097231">
        <w:t xml:space="preserve"> </w:t>
      </w:r>
      <w:r w:rsidRPr="00CC0AEA">
        <w:t>The code was iteratively launched until the stability condition of the Chi-squared test was</w:t>
      </w:r>
      <w:r>
        <w:t xml:space="preserve"> </w:t>
      </w:r>
      <w:r w:rsidRPr="00CC0AEA">
        <w:t>satisfied, finally obtaining an optimized and coherent set of integral parameters</w:t>
      </w:r>
      <w:r>
        <w:t xml:space="preserve"> </w:t>
      </w:r>
      <w:r w:rsidRPr="00CC0AEA">
        <w:t xml:space="preserve">and adjusted cross-sections for the selected 37 isotopes </w:t>
      </w:r>
      <w:r>
        <w:t>after 16 iterations.</w:t>
      </w:r>
      <w:r w:rsidR="00B651FB">
        <w:t xml:space="preserve"> </w:t>
      </w:r>
      <w:r w:rsidR="00784747">
        <w:t xml:space="preserve"> sho</w:t>
      </w:r>
      <w:r w:rsidR="00BB6D70">
        <w:t>w</w:t>
      </w:r>
      <w:r w:rsidR="00B23D50">
        <w:t>s</w:t>
      </w:r>
      <w:r w:rsidR="00BB6D70">
        <w:t xml:space="preserve"> the Chi-squared evolution as a function of the number of </w:t>
      </w:r>
      <w:r w:rsidR="00277646">
        <w:t>experiments (</w:t>
      </w:r>
      <w:r w:rsidR="00277646" w:rsidRPr="00642B96">
        <w:rPr>
          <w:i/>
        </w:rPr>
        <w:t>M</w:t>
      </w:r>
      <w:r w:rsidR="00277646">
        <w:t xml:space="preserve">), </w:t>
      </w:r>
      <w:r w:rsidR="0034502B">
        <w:t xml:space="preserve">along with </w:t>
      </w:r>
      <w:r w:rsidR="00AB3B83">
        <w:t xml:space="preserve">the </w:t>
      </w:r>
      <w:r w:rsidR="00A83BC9">
        <w:t xml:space="preserve">evolution of the </w:t>
      </w:r>
      <w:r w:rsidR="00B23D50">
        <w:t>contribution of nuclear data (</w:t>
      </w:r>
      <m:oMath>
        <m:sSubSup>
          <m:sSubSupPr>
            <m:ctrlPr>
              <w:rPr>
                <w:rFonts w:ascii="Cambria Math" w:hAnsi="Cambria Math"/>
                <w:i/>
              </w:rPr>
            </m:ctrlPr>
          </m:sSubSupPr>
          <m:e>
            <m:r>
              <w:rPr>
                <w:rFonts w:ascii="Cambria Math" w:hAnsi="Cambria Math"/>
              </w:rPr>
              <m:t>χ</m:t>
            </m:r>
          </m:e>
          <m:sub>
            <m:r>
              <w:rPr>
                <w:rFonts w:ascii="Cambria Math" w:hAnsi="Cambria Math"/>
              </w:rPr>
              <m:t>r, mic</m:t>
            </m:r>
          </m:sub>
          <m:sup>
            <m:r>
              <w:rPr>
                <w:rFonts w:ascii="Cambria Math" w:hAnsi="Cambria Math"/>
              </w:rPr>
              <m:t>2</m:t>
            </m:r>
          </m:sup>
        </m:sSubSup>
      </m:oMath>
      <w:r w:rsidR="00B23D50">
        <w:t>)</w:t>
      </w:r>
      <w:r w:rsidR="00C95BA4">
        <w:t xml:space="preserve">. All the quantities are normalized to </w:t>
      </w:r>
      <w:r w:rsidR="00B855B6" w:rsidRPr="00642B96">
        <w:rPr>
          <w:i/>
        </w:rPr>
        <w:t>M</w:t>
      </w:r>
      <w:r w:rsidR="00C95BA4">
        <w:t>.</w:t>
      </w:r>
    </w:p>
    <w:p w14:paraId="7FF3AB1B" w14:textId="77777777" w:rsidR="00EA3520" w:rsidRDefault="00EA3520" w:rsidP="00A333C1">
      <w:pPr>
        <w:pStyle w:val="Corpotesto"/>
      </w:pPr>
    </w:p>
    <w:p w14:paraId="65065157" w14:textId="2BBD71E9" w:rsidR="00C01AA3" w:rsidRDefault="00EA3520" w:rsidP="00642B96">
      <w:pPr>
        <w:pStyle w:val="Corpotesto"/>
        <w:jc w:val="center"/>
      </w:pPr>
      <w:r>
        <w:rPr>
          <w:noProof/>
        </w:rPr>
        <w:drawing>
          <wp:inline distT="0" distB="0" distL="0" distR="0" wp14:anchorId="19B42540" wp14:editId="288E6843">
            <wp:extent cx="2483738" cy="221805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3104" cy="2235349"/>
                    </a:xfrm>
                    <a:prstGeom prst="rect">
                      <a:avLst/>
                    </a:prstGeom>
                  </pic:spPr>
                </pic:pic>
              </a:graphicData>
            </a:graphic>
          </wp:inline>
        </w:drawing>
      </w:r>
    </w:p>
    <w:p w14:paraId="211DE2C8" w14:textId="4A4CE4B5" w:rsidR="003823D3" w:rsidRDefault="003823D3" w:rsidP="003823D3">
      <w:pPr>
        <w:pStyle w:val="FIG-LONG"/>
      </w:pPr>
      <w:r>
        <w:t>FIG. </w:t>
      </w:r>
      <w:r>
        <w:fldChar w:fldCharType="begin"/>
      </w:r>
      <w:r>
        <w:instrText xml:space="preserve"> SEQ FIG. \* ARABIC </w:instrText>
      </w:r>
      <w:r>
        <w:fldChar w:fldCharType="separate"/>
      </w:r>
      <w:r>
        <w:rPr>
          <w:noProof/>
        </w:rPr>
        <w:t>3</w:t>
      </w:r>
      <w:r>
        <w:rPr>
          <w:noProof/>
        </w:rPr>
        <w:fldChar w:fldCharType="end"/>
      </w:r>
      <w:r>
        <w:t>. Evolution of the Chi-squares as a function of the number of retained experiments.</w:t>
      </w:r>
    </w:p>
    <w:p w14:paraId="545A06A6" w14:textId="77777777" w:rsidR="00DD7866" w:rsidRDefault="00DD7866" w:rsidP="00EA3520">
      <w:pPr>
        <w:pStyle w:val="Corpotesto"/>
      </w:pPr>
    </w:p>
    <w:p w14:paraId="34FCC6E8" w14:textId="3632C270" w:rsidR="0095243A" w:rsidRDefault="003D758D" w:rsidP="00EA3520">
      <w:pPr>
        <w:pStyle w:val="Corpotesto"/>
      </w:pPr>
      <w:r>
        <w:t xml:space="preserve">Among the </w:t>
      </w:r>
      <w:r w:rsidRPr="00CC0AEA">
        <w:t xml:space="preserve">rejected </w:t>
      </w:r>
      <w:r>
        <w:t>experiments</w:t>
      </w:r>
      <w:r w:rsidRPr="00CC0AEA">
        <w:t>, f40/f49, f48/f49,</w:t>
      </w:r>
      <w:r>
        <w:t xml:space="preserve"> </w:t>
      </w:r>
      <w:r w:rsidRPr="00CC0AEA">
        <w:t>and c28/f25 spectral indices for BFS-61-1, which ha</w:t>
      </w:r>
      <w:r w:rsidR="00543507">
        <w:t>d</w:t>
      </w:r>
      <w:r w:rsidRPr="00CC0AEA">
        <w:t xml:space="preserve"> one</w:t>
      </w:r>
      <w:r>
        <w:t xml:space="preserve"> </w:t>
      </w:r>
      <w:r w:rsidRPr="00CC0AEA">
        <w:t xml:space="preserve">of the highest values of the representativeness coefficient, were </w:t>
      </w:r>
      <w:r>
        <w:t>found</w:t>
      </w:r>
      <w:r w:rsidRPr="00CC0AEA">
        <w:t xml:space="preserve">. This </w:t>
      </w:r>
      <w:r>
        <w:t xml:space="preserve">probably </w:t>
      </w:r>
      <w:r w:rsidRPr="00CC0AEA">
        <w:t xml:space="preserve">stems from the too </w:t>
      </w:r>
      <w:r w:rsidR="00D54113">
        <w:t>large</w:t>
      </w:r>
      <w:r w:rsidRPr="00CC0AEA">
        <w:t xml:space="preserve"> adjustments </w:t>
      </w:r>
      <w:r>
        <w:t xml:space="preserve">which </w:t>
      </w:r>
      <w:r w:rsidRPr="00CC0AEA">
        <w:t xml:space="preserve">would </w:t>
      </w:r>
      <w:r w:rsidR="00543507">
        <w:t xml:space="preserve">have been </w:t>
      </w:r>
      <w:r w:rsidRPr="00CC0AEA">
        <w:t xml:space="preserve">necessary to reduce the C/E </w:t>
      </w:r>
      <w:r w:rsidR="00D54113">
        <w:t>within</w:t>
      </w:r>
      <w:r>
        <w:t xml:space="preserve"> </w:t>
      </w:r>
      <w:r w:rsidRPr="00CC0AEA">
        <w:t xml:space="preserve">the </w:t>
      </w:r>
      <w:r w:rsidR="00D54113">
        <w:t xml:space="preserve">small </w:t>
      </w:r>
      <w:r w:rsidRPr="00CC0AEA">
        <w:t>experimental uncertainty</w:t>
      </w:r>
      <w:r>
        <w:t>.</w:t>
      </w:r>
      <w:r w:rsidRPr="00CC0AEA">
        <w:t xml:space="preserve"> </w:t>
      </w:r>
      <w:r w:rsidR="00097231">
        <w:t>Concerning</w:t>
      </w:r>
      <w:r w:rsidRPr="00CC0AEA">
        <w:t xml:space="preserve"> the c28/f25 index,</w:t>
      </w:r>
      <w:r>
        <w:t xml:space="preserve"> </w:t>
      </w:r>
      <w:r w:rsidRPr="00CC0AEA">
        <w:t xml:space="preserve">incoherence with information coming from other experiments </w:t>
      </w:r>
      <w:r w:rsidR="00543507">
        <w:t>was</w:t>
      </w:r>
      <w:r w:rsidRPr="00CC0AEA">
        <w:t xml:space="preserve"> supposed to be the principal</w:t>
      </w:r>
      <w:r>
        <w:t xml:space="preserve"> </w:t>
      </w:r>
      <w:r w:rsidRPr="00CC0AEA">
        <w:t xml:space="preserve">cause of the rejection. Information </w:t>
      </w:r>
      <w:r>
        <w:t>about</w:t>
      </w:r>
      <w:r w:rsidRPr="00CC0AEA">
        <w:t xml:space="preserve"> the denominators however </w:t>
      </w:r>
      <w:r w:rsidR="00097231">
        <w:t xml:space="preserve">were </w:t>
      </w:r>
      <w:r w:rsidRPr="00CC0AEA">
        <w:t>not</w:t>
      </w:r>
      <w:r>
        <w:t xml:space="preserve"> </w:t>
      </w:r>
      <w:r w:rsidRPr="00CC0AEA">
        <w:t xml:space="preserve">completely </w:t>
      </w:r>
      <w:proofErr w:type="gramStart"/>
      <w:r w:rsidRPr="00CC0AEA">
        <w:t xml:space="preserve">lost, </w:t>
      </w:r>
      <w:r w:rsidR="00097231">
        <w:t>since</w:t>
      </w:r>
      <w:proofErr w:type="gramEnd"/>
      <w:r w:rsidR="00097231">
        <w:t xml:space="preserve"> they could be retrieved anyway </w:t>
      </w:r>
      <w:r>
        <w:t xml:space="preserve">from other </w:t>
      </w:r>
      <w:r w:rsidR="00097231">
        <w:t xml:space="preserve">different </w:t>
      </w:r>
      <w:r>
        <w:t>experiments</w:t>
      </w:r>
      <w:r w:rsidR="00543507">
        <w:t>. As an</w:t>
      </w:r>
      <w:r w:rsidR="0095243A">
        <w:t>other</w:t>
      </w:r>
      <w:r w:rsidR="00543507">
        <w:t xml:space="preserve"> example, t</w:t>
      </w:r>
      <w:r w:rsidRPr="00CC0AEA">
        <w:t xml:space="preserve">he rejected experiments at the BFS-73-1 facility </w:t>
      </w:r>
      <w:r w:rsidR="00543507">
        <w:t xml:space="preserve">can be </w:t>
      </w:r>
      <w:r w:rsidRPr="00CC0AEA">
        <w:t>measured also in other facilities (e.g.,</w:t>
      </w:r>
      <w:r>
        <w:t xml:space="preserve"> </w:t>
      </w:r>
      <w:r w:rsidRPr="00CC0AEA">
        <w:t>SNEAK7B, BFS-62-3A and ZPPR-005(10B)), so their reject</w:t>
      </w:r>
      <w:r w:rsidR="00C069BB">
        <w:t>ion</w:t>
      </w:r>
      <w:r w:rsidRPr="00CC0AEA">
        <w:t xml:space="preserve"> has a minor impact on the</w:t>
      </w:r>
      <w:r>
        <w:t xml:space="preserve"> </w:t>
      </w:r>
      <w:r w:rsidRPr="00CC0AEA">
        <w:t>adjustment strength.</w:t>
      </w:r>
      <w:r w:rsidR="00543507">
        <w:t xml:space="preserve"> On the contrary, when some experiments (as for f48/f49 of BFS-61-1) ha</w:t>
      </w:r>
      <w:r w:rsidR="00EB2DD6">
        <w:t>ve</w:t>
      </w:r>
      <w:r w:rsidR="00543507">
        <w:t xml:space="preserve"> been measured only in a certain facility, an impact on the adjustment must be expected since the </w:t>
      </w:r>
      <w:r w:rsidR="00C069BB">
        <w:t xml:space="preserve">information coming from those </w:t>
      </w:r>
      <w:r w:rsidR="00543507">
        <w:t xml:space="preserve">experiments cannot be </w:t>
      </w:r>
      <w:r w:rsidR="00C069BB">
        <w:t>included</w:t>
      </w:r>
      <w:r w:rsidR="00543507">
        <w:t xml:space="preserve"> in a different way.</w:t>
      </w:r>
    </w:p>
    <w:p w14:paraId="57458F08" w14:textId="4184B9EC" w:rsidR="0095243A" w:rsidRDefault="003D758D" w:rsidP="00850A45">
      <w:pPr>
        <w:pStyle w:val="Corpotesto"/>
      </w:pPr>
      <w:r w:rsidRPr="00CC0AEA">
        <w:t>Measurem</w:t>
      </w:r>
      <w:r>
        <w:t xml:space="preserve">ents of </w:t>
      </w:r>
      <w:r w:rsidRPr="00CC0AEA">
        <w:t xml:space="preserve">the </w:t>
      </w:r>
      <w:r w:rsidR="00C069BB">
        <w:t>S</w:t>
      </w:r>
      <w:r>
        <w:t xml:space="preserve">odium </w:t>
      </w:r>
      <w:r w:rsidRPr="00CC0AEA">
        <w:t>void worth</w:t>
      </w:r>
      <w:r>
        <w:t xml:space="preserve"> </w:t>
      </w:r>
      <w:r w:rsidRPr="00CC0AEA">
        <w:t>were also rejected for ZPPR-010(12), ZPPR-011(2) and ZPR-001(6a-7_2), so reducing the adjustment contribution due to</w:t>
      </w:r>
      <w:r>
        <w:t xml:space="preserve"> </w:t>
      </w:r>
      <w:r w:rsidRPr="00CC0AEA">
        <w:t xml:space="preserve">this type of measurement. </w:t>
      </w:r>
      <w:r w:rsidR="00F04969">
        <w:t>However, t</w:t>
      </w:r>
      <w:r w:rsidRPr="00CC0AEA">
        <w:t>he</w:t>
      </w:r>
      <w:r w:rsidR="00F04969">
        <w:t>ir</w:t>
      </w:r>
      <w:r w:rsidRPr="00CC0AEA">
        <w:t xml:space="preserve"> impact i</w:t>
      </w:r>
      <w:r w:rsidR="00F04969">
        <w:t>s</w:t>
      </w:r>
      <w:r w:rsidRPr="00CC0AEA">
        <w:t xml:space="preserve"> marginal given the several other </w:t>
      </w:r>
      <m:oMath>
        <m:r>
          <m:rPr>
            <m:sty m:val="p"/>
          </m:rPr>
          <w:rPr>
            <w:rFonts w:ascii="Cambria Math" w:hAnsi="Cambria Math"/>
          </w:rPr>
          <m:t>Δ</m:t>
        </m:r>
        <m:r>
          <w:rPr>
            <w:rFonts w:ascii="Cambria Math" w:hAnsi="Cambria Math"/>
          </w:rPr>
          <m:t>ρ</m:t>
        </m:r>
        <m:d>
          <m:dPr>
            <m:ctrlPr>
              <w:rPr>
                <w:rFonts w:ascii="Cambria Math" w:hAnsi="Cambria Math"/>
                <w:i/>
              </w:rPr>
            </m:ctrlPr>
          </m:dPr>
          <m:e>
            <m:r>
              <m:rPr>
                <m:sty m:val="p"/>
              </m:rPr>
              <w:rPr>
                <w:rFonts w:ascii="Cambria Math" w:hAnsi="Cambria Math"/>
              </w:rPr>
              <m:t>Na</m:t>
            </m:r>
          </m:e>
        </m:d>
      </m:oMath>
      <w:r w:rsidR="00543507">
        <w:t xml:space="preserve"> </w:t>
      </w:r>
      <w:r w:rsidRPr="00CC0AEA">
        <w:t xml:space="preserve">measurements still present in the </w:t>
      </w:r>
      <w:r w:rsidR="00F04969" w:rsidRPr="00CC0AEA">
        <w:t>database</w:t>
      </w:r>
      <w:r>
        <w:t>.</w:t>
      </w:r>
      <w:r w:rsidRPr="00CC0AEA">
        <w:t xml:space="preserve"> </w:t>
      </w:r>
      <w:r w:rsidR="00F04969">
        <w:t>I</w:t>
      </w:r>
      <w:r w:rsidRPr="00CC0AEA">
        <w:t xml:space="preserve">t is </w:t>
      </w:r>
      <w:r w:rsidR="00F04969">
        <w:t xml:space="preserve">also </w:t>
      </w:r>
      <w:r w:rsidRPr="00CC0AEA">
        <w:t>worth noticing that</w:t>
      </w:r>
      <w:r w:rsidR="00F04969">
        <w:t>,</w:t>
      </w:r>
      <w:r w:rsidRPr="00CC0AEA">
        <w:t xml:space="preserve"> </w:t>
      </w:r>
      <w:r w:rsidR="00F04969">
        <w:t xml:space="preserve">for </w:t>
      </w:r>
      <w:r w:rsidRPr="00CC0AEA">
        <w:t>both the configurations (64FA, and 70FA) of the</w:t>
      </w:r>
      <w:r>
        <w:t xml:space="preserve"> </w:t>
      </w:r>
      <w:r w:rsidRPr="00CC0AEA">
        <w:t xml:space="preserve">JOYO </w:t>
      </w:r>
      <w:r w:rsidR="00F04969">
        <w:t>facility (</w:t>
      </w:r>
      <w:r w:rsidRPr="00CC0AEA">
        <w:t xml:space="preserve">which is one of the few power reactors </w:t>
      </w:r>
      <w:r w:rsidR="00F04969">
        <w:t xml:space="preserve">present </w:t>
      </w:r>
      <w:r w:rsidRPr="00CC0AEA">
        <w:t>in the database</w:t>
      </w:r>
      <w:r w:rsidR="00F04969">
        <w:t>)</w:t>
      </w:r>
      <w:r w:rsidRPr="00CC0AEA">
        <w:t xml:space="preserve">, </w:t>
      </w:r>
      <m:oMath>
        <m:sSub>
          <m:sSubPr>
            <m:ctrlPr>
              <w:rPr>
                <w:rFonts w:ascii="Cambria Math" w:hAnsi="Cambria Math"/>
                <w:i/>
              </w:rPr>
            </m:ctrlPr>
          </m:sSubPr>
          <m:e>
            <m:r>
              <w:rPr>
                <w:rFonts w:ascii="Cambria Math" w:hAnsi="Cambria Math"/>
              </w:rPr>
              <m:t>k</m:t>
            </m:r>
          </m:e>
          <m:sub>
            <m:r>
              <m:rPr>
                <m:sty m:val="p"/>
              </m:rPr>
              <w:rPr>
                <w:rFonts w:ascii="Cambria Math" w:hAnsi="Cambria Math"/>
              </w:rPr>
              <m:t>eff</m:t>
            </m:r>
          </m:sub>
        </m:sSub>
      </m:oMath>
      <w:r w:rsidR="00F04969">
        <w:t xml:space="preserve"> values </w:t>
      </w:r>
      <w:r w:rsidRPr="00CC0AEA">
        <w:t>w</w:t>
      </w:r>
      <w:r w:rsidR="00F04969">
        <w:t>ere</w:t>
      </w:r>
      <w:r w:rsidRPr="00CC0AEA">
        <w:t xml:space="preserve"> </w:t>
      </w:r>
      <w:r w:rsidR="00F04969">
        <w:t xml:space="preserve">also </w:t>
      </w:r>
      <w:r w:rsidRPr="00CC0AEA">
        <w:t>rejected by</w:t>
      </w:r>
      <w:r>
        <w:t xml:space="preserve"> </w:t>
      </w:r>
      <w:r w:rsidRPr="00CC0AEA">
        <w:t>the adjustment algorithm.</w:t>
      </w:r>
      <w:r>
        <w:t xml:space="preserve"> </w:t>
      </w:r>
      <w:r w:rsidRPr="00CC0AEA">
        <w:t>The motivation is again believed to be linked to the high initial</w:t>
      </w:r>
      <w:r>
        <w:t xml:space="preserve"> </w:t>
      </w:r>
      <w:r w:rsidRPr="00CC0AEA">
        <w:t>discrepancy (greater than 1.350</w:t>
      </w:r>
      <w:r w:rsidRPr="000B20DE">
        <w:rPr>
          <w:color w:val="000000" w:themeColor="text1"/>
        </w:rPr>
        <w:t>∙10</w:t>
      </w:r>
      <w:r w:rsidRPr="000B20DE">
        <w:rPr>
          <w:color w:val="000000" w:themeColor="text1"/>
          <w:vertAlign w:val="superscript"/>
        </w:rPr>
        <w:t>-</w:t>
      </w:r>
      <w:r>
        <w:rPr>
          <w:color w:val="000000" w:themeColor="text1"/>
          <w:vertAlign w:val="superscript"/>
        </w:rPr>
        <w:t>2</w:t>
      </w:r>
      <w:r w:rsidRPr="00CC0AEA">
        <w:t xml:space="preserve">) in relation to AMARA+ possibilities of </w:t>
      </w:r>
      <w:r w:rsidRPr="00CC0AEA">
        <w:lastRenderedPageBreak/>
        <w:t>adjustment</w:t>
      </w:r>
      <w:r>
        <w:t xml:space="preserve"> </w:t>
      </w:r>
      <w:r w:rsidRPr="00CC0AEA">
        <w:t xml:space="preserve">(a nuclear data-related uncertainty of </w:t>
      </w:r>
      <w:r>
        <w:t xml:space="preserve">about </w:t>
      </w:r>
      <w:r w:rsidRPr="00CC0AEA">
        <w:t>6.80</w:t>
      </w:r>
      <w:r w:rsidRPr="000B20DE">
        <w:rPr>
          <w:color w:val="000000" w:themeColor="text1"/>
        </w:rPr>
        <w:t>∙10</w:t>
      </w:r>
      <w:r w:rsidRPr="000B20DE">
        <w:rPr>
          <w:color w:val="000000" w:themeColor="text1"/>
          <w:vertAlign w:val="superscript"/>
        </w:rPr>
        <w:t>-3</w:t>
      </w:r>
      <w:r w:rsidRPr="00CC0AEA">
        <w:t>) and to some degree of incoherence o</w:t>
      </w:r>
      <w:r>
        <w:t xml:space="preserve">f </w:t>
      </w:r>
      <w:r w:rsidRPr="00CC0AEA">
        <w:t>information.</w:t>
      </w:r>
    </w:p>
    <w:p w14:paraId="33466E68" w14:textId="58BCAD41" w:rsidR="00D54113" w:rsidRDefault="00D54113" w:rsidP="005108EE">
      <w:pPr>
        <w:pStyle w:val="Corpotesto"/>
      </w:pPr>
      <w:r w:rsidRPr="00CC0AEA">
        <w:t xml:space="preserve">The final set of retained facilities reduced </w:t>
      </w:r>
      <m:oMath>
        <m:f>
          <m:fPr>
            <m:type m:val="lin"/>
            <m:ctrlPr>
              <w:rPr>
                <w:rFonts w:ascii="Cambria Math" w:hAnsi="Cambria Math"/>
              </w:rPr>
            </m:ctrlPr>
          </m:fPr>
          <m:num>
            <m:sSup>
              <m:sSupPr>
                <m:ctrlPr>
                  <w:rPr>
                    <w:rFonts w:ascii="Cambria Math" w:hAnsi="Cambria Math"/>
                  </w:rPr>
                </m:ctrlPr>
              </m:sSupPr>
              <m:e>
                <m:r>
                  <w:rPr>
                    <w:rFonts w:ascii="Cambria Math" w:hAnsi="Cambria Math"/>
                  </w:rPr>
                  <m:t>χ</m:t>
                </m:r>
              </m:e>
              <m:sup>
                <m:r>
                  <m:rPr>
                    <m:sty m:val="p"/>
                  </m:rPr>
                  <w:rPr>
                    <w:rFonts w:ascii="Cambria Math" w:hAnsi="Cambria Math"/>
                  </w:rPr>
                  <m:t>2</m:t>
                </m:r>
              </m:sup>
            </m:sSup>
          </m:num>
          <m:den>
            <m:r>
              <w:rPr>
                <w:rFonts w:ascii="Cambria Math" w:hAnsi="Cambria Math"/>
              </w:rPr>
              <m:t>M</m:t>
            </m:r>
          </m:den>
        </m:f>
      </m:oMath>
      <w:r>
        <w:t xml:space="preserve"> </w:t>
      </w:r>
      <w:r w:rsidRPr="00CC0AEA">
        <w:t>from its prior (to the adjustment process) value</w:t>
      </w:r>
      <w:r>
        <w:t xml:space="preserve"> </w:t>
      </w:r>
      <w:r w:rsidRPr="00CC0AEA">
        <w:t>of 2.93</w:t>
      </w:r>
      <w:r w:rsidRPr="000B20DE">
        <w:rPr>
          <w:color w:val="000000" w:themeColor="text1"/>
        </w:rPr>
        <w:t>∙10</w:t>
      </w:r>
      <w:r>
        <w:rPr>
          <w:color w:val="000000" w:themeColor="text1"/>
          <w:vertAlign w:val="superscript"/>
        </w:rPr>
        <w:t xml:space="preserve">1 </w:t>
      </w:r>
      <w:r w:rsidRPr="00CC0AEA">
        <w:t>to 1.51</w:t>
      </w:r>
      <w:r w:rsidRPr="000B20DE">
        <w:rPr>
          <w:color w:val="000000" w:themeColor="text1"/>
        </w:rPr>
        <w:t>∙10</w:t>
      </w:r>
      <w:r>
        <w:rPr>
          <w:color w:val="000000" w:themeColor="text1"/>
          <w:vertAlign w:val="superscript"/>
        </w:rPr>
        <w:t>0</w:t>
      </w:r>
      <w:r w:rsidRPr="00CC0AEA">
        <w:t>, clearly showing the significant improvement in the predictive</w:t>
      </w:r>
      <w:r>
        <w:t xml:space="preserve"> </w:t>
      </w:r>
      <w:r w:rsidRPr="00CC0AEA">
        <w:t>capabilities of the cross-sections set brought about by the adjustment process in tandem with</w:t>
      </w:r>
      <w:r>
        <w:t xml:space="preserve"> </w:t>
      </w:r>
      <w:r w:rsidRPr="00CC0AEA">
        <w:t>the Chi-squared test.</w:t>
      </w:r>
      <w:r>
        <w:t xml:space="preserve"> </w:t>
      </w:r>
      <w:r w:rsidRPr="00CC2633">
        <w:t xml:space="preserve">Comparing the C/E values for each integral parameter before (prior) and after (posterior) adjustment, </w:t>
      </w:r>
      <w:r w:rsidR="000E3065">
        <w:t>it</w:t>
      </w:r>
      <w:r w:rsidRPr="00CC2633">
        <w:t xml:space="preserve"> is satisfactor</w:t>
      </w:r>
      <w:r w:rsidR="000E3065">
        <w:t>il</w:t>
      </w:r>
      <w:r w:rsidRPr="00CC2633">
        <w:t>y</w:t>
      </w:r>
      <w:r w:rsidR="000E3065">
        <w:t xml:space="preserve"> seen that,</w:t>
      </w:r>
      <w:r w:rsidRPr="00CC2633">
        <w:t xml:space="preserve"> after adjustment, C/E values stay close to unity within</w:t>
      </w:r>
      <w:r>
        <w:t xml:space="preserve"> </w:t>
      </w:r>
      <w:r w:rsidRPr="00CC2633">
        <w:t>two standard deviations of the experimental uncertaint</w:t>
      </w:r>
      <w:r w:rsidR="003823D3">
        <w:t>y</w:t>
      </w:r>
      <w:r w:rsidRPr="00CC2633">
        <w:t>, as</w:t>
      </w:r>
      <w:r>
        <w:t xml:space="preserve"> show</w:t>
      </w:r>
      <w:r w:rsidR="003823D3">
        <w:t>n</w:t>
      </w:r>
      <w:r>
        <w:t xml:space="preserve"> in Fig.</w:t>
      </w:r>
      <w:r w:rsidR="00953826">
        <w:t> </w:t>
      </w:r>
      <w:r w:rsidR="00AE2711">
        <w:t>4</w:t>
      </w:r>
      <w:r w:rsidRPr="00CC2633">
        <w:t>.</w:t>
      </w:r>
    </w:p>
    <w:p w14:paraId="50D4616A" w14:textId="77777777" w:rsidR="003823D3" w:rsidRDefault="003823D3" w:rsidP="005108EE">
      <w:pPr>
        <w:pStyle w:val="Corpotesto"/>
      </w:pPr>
    </w:p>
    <w:p w14:paraId="529322D3" w14:textId="249EEDF3" w:rsidR="00EA455B" w:rsidRDefault="00EA56BF" w:rsidP="00A35F4F">
      <w:pPr>
        <w:pStyle w:val="Corpotesto"/>
        <w:ind w:firstLine="0"/>
      </w:pPr>
      <w:r>
        <w:rPr>
          <w:noProof/>
        </w:rPr>
        <w:drawing>
          <wp:inline distT="0" distB="0" distL="0" distR="0" wp14:anchorId="001B44C5" wp14:editId="53D8E26F">
            <wp:extent cx="5732145" cy="2303145"/>
            <wp:effectExtent l="0" t="0" r="1905"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4">
                      <a:extLst>
                        <a:ext uri="{28A0092B-C50C-407E-A947-70E740481C1C}">
                          <a14:useLocalDpi xmlns:a14="http://schemas.microsoft.com/office/drawing/2010/main" val="0"/>
                        </a:ext>
                      </a:extLst>
                    </a:blip>
                    <a:stretch>
                      <a:fillRect/>
                    </a:stretch>
                  </pic:blipFill>
                  <pic:spPr>
                    <a:xfrm>
                      <a:off x="0" y="0"/>
                      <a:ext cx="5732145" cy="2303145"/>
                    </a:xfrm>
                    <a:prstGeom prst="rect">
                      <a:avLst/>
                    </a:prstGeom>
                  </pic:spPr>
                </pic:pic>
              </a:graphicData>
            </a:graphic>
          </wp:inline>
        </w:drawing>
      </w:r>
    </w:p>
    <w:p w14:paraId="1DD0E809" w14:textId="5C0950BA" w:rsidR="00EA455B" w:rsidRDefault="00EA455B" w:rsidP="003823D3">
      <w:pPr>
        <w:pStyle w:val="FIG-LONG"/>
      </w:pPr>
      <w:r>
        <w:t>FIG. </w:t>
      </w:r>
      <w:r w:rsidR="005E3E1C">
        <w:fldChar w:fldCharType="begin"/>
      </w:r>
      <w:r w:rsidR="005E3E1C">
        <w:instrText xml:space="preserve"> SEQ FIG. \* ARABIC </w:instrText>
      </w:r>
      <w:r w:rsidR="005E3E1C">
        <w:fldChar w:fldCharType="separate"/>
      </w:r>
      <w:r w:rsidR="003823D3">
        <w:rPr>
          <w:noProof/>
        </w:rPr>
        <w:t>4</w:t>
      </w:r>
      <w:r w:rsidR="005E3E1C">
        <w:rPr>
          <w:noProof/>
        </w:rPr>
        <w:fldChar w:fldCharType="end"/>
      </w:r>
      <w:r>
        <w:t xml:space="preserve">. </w:t>
      </w:r>
      <w:r w:rsidRPr="00B53C65">
        <w:t>Prior and posterior C/E values</w:t>
      </w:r>
      <w:r>
        <w:t>.</w:t>
      </w:r>
    </w:p>
    <w:p w14:paraId="5DA7A0C7" w14:textId="1631D735" w:rsidR="0078688B" w:rsidRDefault="00D106EC" w:rsidP="005108EE">
      <w:pPr>
        <w:pStyle w:val="Titolo3"/>
        <w:numPr>
          <w:ilvl w:val="1"/>
          <w:numId w:val="51"/>
        </w:numPr>
        <w:ind w:left="567" w:hanging="567"/>
      </w:pPr>
      <w:r>
        <w:t>G</w:t>
      </w:r>
      <w:r w:rsidR="0078688B">
        <w:t>lobal consideration</w:t>
      </w:r>
      <w:r w:rsidR="0027762B">
        <w:t>s</w:t>
      </w:r>
    </w:p>
    <w:p w14:paraId="70F44709" w14:textId="287D194D" w:rsidR="0078688B" w:rsidRDefault="0078688B" w:rsidP="00641A6E">
      <w:pPr>
        <w:pStyle w:val="Corpotesto"/>
      </w:pPr>
      <w:r>
        <w:t xml:space="preserve">AMARA+ </w:t>
      </w:r>
      <w:r w:rsidR="00533C39">
        <w:t xml:space="preserve">uses the selected database of facilities to </w:t>
      </w:r>
      <w:r>
        <w:t>predict corrections which need to be applied to the original library for obtaining the corresp</w:t>
      </w:r>
      <w:r w:rsidR="00020A4C">
        <w:t xml:space="preserve">onding adjusted one. </w:t>
      </w:r>
      <w:r w:rsidR="00EA30CE">
        <w:t>A</w:t>
      </w:r>
      <w:r w:rsidR="00047AC0">
        <w:t xml:space="preserve"> first </w:t>
      </w:r>
      <w:r w:rsidR="00020A4C">
        <w:t>verif</w:t>
      </w:r>
      <w:r w:rsidR="00047AC0">
        <w:t>ication of</w:t>
      </w:r>
      <w:r w:rsidR="00020A4C">
        <w:t xml:space="preserve"> the </w:t>
      </w:r>
      <w:r w:rsidR="003F1045">
        <w:t>adequateness</w:t>
      </w:r>
      <w:r w:rsidR="00020A4C">
        <w:t xml:space="preserve"> of </w:t>
      </w:r>
      <w:r w:rsidR="00047AC0">
        <w:t>the</w:t>
      </w:r>
      <w:r w:rsidR="00533C39">
        <w:t xml:space="preserve"> </w:t>
      </w:r>
      <w:r w:rsidR="00020A4C">
        <w:t>corrections</w:t>
      </w:r>
      <w:r w:rsidR="00F12677">
        <w:t xml:space="preserve"> </w:t>
      </w:r>
      <w:r w:rsidR="008D5ABE">
        <w:t>was performed</w:t>
      </w:r>
      <w:r w:rsidR="00F12677">
        <w:t>,</w:t>
      </w:r>
      <w:r w:rsidR="008D5ABE">
        <w:t xml:space="preserve"> </w:t>
      </w:r>
      <w:r w:rsidR="00F12677">
        <w:t>confirming</w:t>
      </w:r>
      <w:r w:rsidR="008D5ABE">
        <w:t xml:space="preserve"> that </w:t>
      </w:r>
      <w:proofErr w:type="gramStart"/>
      <w:r w:rsidR="00C069BB">
        <w:t>the majority of</w:t>
      </w:r>
      <w:proofErr w:type="gramEnd"/>
      <w:r w:rsidR="00C069BB">
        <w:t xml:space="preserve"> isotopes have corrections below 1</w:t>
      </w:r>
      <m:oMath>
        <m:r>
          <w:rPr>
            <w:rFonts w:ascii="Cambria Math" w:hAnsi="Cambria Math" w:cs="Arial"/>
          </w:rPr>
          <m:t>σ</m:t>
        </m:r>
      </m:oMath>
      <w:r w:rsidR="007B3F5E">
        <w:t>,</w:t>
      </w:r>
      <w:r w:rsidR="00C069BB">
        <w:t xml:space="preserve"> </w:t>
      </w:r>
      <w:r w:rsidR="001F0050">
        <w:t xml:space="preserve">and </w:t>
      </w:r>
      <w:r w:rsidR="00C069BB">
        <w:t>significant</w:t>
      </w:r>
      <w:r w:rsidR="000A061A">
        <w:t xml:space="preserve"> corrections </w:t>
      </w:r>
      <w:r w:rsidR="00C069BB">
        <w:t>(</w:t>
      </w:r>
      <w:r w:rsidR="00B20039">
        <w:t xml:space="preserve">within </w:t>
      </w:r>
      <w:r w:rsidR="000A061A">
        <w:t>two standard deviations</w:t>
      </w:r>
      <w:r w:rsidR="00C069BB">
        <w:t>)</w:t>
      </w:r>
      <w:r w:rsidR="000A061A">
        <w:t xml:space="preserve"> are obtained </w:t>
      </w:r>
      <w:r w:rsidR="001F0050">
        <w:t xml:space="preserve">only </w:t>
      </w:r>
      <w:r w:rsidR="000A061A">
        <w:t xml:space="preserve">for the capture and elastic reactions of </w:t>
      </w:r>
      <w:r w:rsidR="000A061A" w:rsidRPr="0027762B">
        <w:rPr>
          <w:vertAlign w:val="superscript"/>
        </w:rPr>
        <w:t>238</w:t>
      </w:r>
      <w:r w:rsidR="000A061A">
        <w:t>U (</w:t>
      </w:r>
      <w:r w:rsidR="00B20039">
        <w:t xml:space="preserve">in the energy range </w:t>
      </w:r>
      <w:r w:rsidR="000A061A">
        <w:t>50-500 keV). Lower magnitude (1.5</w:t>
      </w:r>
      <m:oMath>
        <m:r>
          <w:rPr>
            <w:rFonts w:ascii="Cambria Math" w:hAnsi="Cambria Math" w:cs="Arial"/>
          </w:rPr>
          <m:t>σ</m:t>
        </m:r>
      </m:oMath>
      <w:r w:rsidR="000A061A">
        <w:t>)</w:t>
      </w:r>
      <w:r w:rsidR="00984A65">
        <w:t xml:space="preserve"> corrections are found </w:t>
      </w:r>
      <w:r w:rsidR="00984A65" w:rsidRPr="00642B96">
        <w:t>for elastic, capture</w:t>
      </w:r>
      <w:r w:rsidR="0006603B" w:rsidRPr="00642B96">
        <w:t xml:space="preserve"> cross sections </w:t>
      </w:r>
      <w:r w:rsidR="00984A65" w:rsidRPr="00642B96">
        <w:t>and</w:t>
      </w:r>
      <w:r w:rsidR="00984A65">
        <w:t xml:space="preserve"> </w:t>
      </w:r>
      <m:oMath>
        <m:r>
          <w:rPr>
            <w:rFonts w:ascii="Cambria Math" w:hAnsi="Cambria Math"/>
          </w:rPr>
          <m:t>ν</m:t>
        </m:r>
      </m:oMath>
      <w:r w:rsidR="00625F7F">
        <w:t xml:space="preserve"> </w:t>
      </w:r>
      <w:r w:rsidR="00984A65">
        <w:t xml:space="preserve">of </w:t>
      </w:r>
      <w:r w:rsidR="00984A65" w:rsidRPr="00984A65">
        <w:rPr>
          <w:vertAlign w:val="superscript"/>
        </w:rPr>
        <w:t>240</w:t>
      </w:r>
      <w:r w:rsidR="00984A65">
        <w:t xml:space="preserve">Pu. Minor corrections </w:t>
      </w:r>
      <w:r w:rsidR="00C069BB">
        <w:t xml:space="preserve">also </w:t>
      </w:r>
      <w:r w:rsidR="00984A65">
        <w:t xml:space="preserve">occur for other </w:t>
      </w:r>
      <w:r w:rsidR="0027762B">
        <w:t>isotopes and</w:t>
      </w:r>
      <w:r w:rsidR="00984A65">
        <w:t xml:space="preserve"> are found to be in the range 1.1-1.2</w:t>
      </w:r>
      <m:oMath>
        <m:r>
          <w:rPr>
            <w:rFonts w:ascii="Cambria Math" w:hAnsi="Cambria Math" w:cs="Arial"/>
          </w:rPr>
          <m:t>σ</m:t>
        </m:r>
      </m:oMath>
      <w:r w:rsidR="00984A65">
        <w:t xml:space="preserve"> for the fission and inelastic reactions of </w:t>
      </w:r>
      <w:r w:rsidR="00984A65" w:rsidRPr="00984A65">
        <w:rPr>
          <w:vertAlign w:val="superscript"/>
        </w:rPr>
        <w:t>238</w:t>
      </w:r>
      <w:r w:rsidR="00984A65">
        <w:t xml:space="preserve">U, and the inelastic reactions of </w:t>
      </w:r>
      <w:r w:rsidR="00984A65" w:rsidRPr="00984A65">
        <w:rPr>
          <w:vertAlign w:val="superscript"/>
        </w:rPr>
        <w:t>56</w:t>
      </w:r>
      <w:r w:rsidR="00984A65">
        <w:t>Fe.</w:t>
      </w:r>
    </w:p>
    <w:p w14:paraId="49BED309" w14:textId="0E0F2741" w:rsidR="007E5CF3" w:rsidRPr="00BA203D" w:rsidRDefault="007E5CF3" w:rsidP="00641A6E">
      <w:pPr>
        <w:pStyle w:val="Corpotesto"/>
      </w:pPr>
      <w:r w:rsidRPr="00BA203D">
        <w:t>The</w:t>
      </w:r>
      <w:r w:rsidR="00AD4057" w:rsidRPr="00BA203D">
        <w:t xml:space="preserve"> </w:t>
      </w:r>
      <w:r w:rsidRPr="00BA203D">
        <w:t xml:space="preserve">results were compared, wherever possible, with </w:t>
      </w:r>
      <w:r w:rsidR="00AD4057" w:rsidRPr="00BA203D">
        <w:t xml:space="preserve">some </w:t>
      </w:r>
      <w:r w:rsidR="00DB3012" w:rsidRPr="00BA203D">
        <w:t xml:space="preserve">recent </w:t>
      </w:r>
      <w:r w:rsidRPr="00BA203D">
        <w:t xml:space="preserve">experimental determinations performed at the CERN </w:t>
      </w:r>
      <w:proofErr w:type="spellStart"/>
      <w:r w:rsidRPr="00BA203D">
        <w:t>n_TOF</w:t>
      </w:r>
      <w:proofErr w:type="spellEnd"/>
      <w:r w:rsidRPr="00BA203D">
        <w:t xml:space="preserve"> facility [</w:t>
      </w:r>
      <w:r w:rsidR="003807B0" w:rsidRPr="00BA203D">
        <w:t>1</w:t>
      </w:r>
      <w:r w:rsidR="00F53F9D">
        <w:t>7</w:t>
      </w:r>
      <w:r w:rsidRPr="00BA203D">
        <w:t xml:space="preserve">]. </w:t>
      </w:r>
      <w:proofErr w:type="gramStart"/>
      <w:r w:rsidRPr="00BA203D">
        <w:t>In particular</w:t>
      </w:r>
      <w:r w:rsidR="00AD4057" w:rsidRPr="00BA203D">
        <w:t>,</w:t>
      </w:r>
      <w:r w:rsidRPr="00BA203D">
        <w:t xml:space="preserve"> </w:t>
      </w:r>
      <w:r w:rsidR="00AD4057" w:rsidRPr="00BA203D">
        <w:t>data</w:t>
      </w:r>
      <w:proofErr w:type="gramEnd"/>
      <w:r w:rsidR="00AD4057" w:rsidRPr="00BA203D">
        <w:t xml:space="preserve"> </w:t>
      </w:r>
      <w:r w:rsidRPr="00BA203D">
        <w:t xml:space="preserve">for capture reaction of </w:t>
      </w:r>
      <w:r w:rsidRPr="00BA203D">
        <w:rPr>
          <w:vertAlign w:val="superscript"/>
        </w:rPr>
        <w:t>242</w:t>
      </w:r>
      <w:r w:rsidRPr="00BA203D">
        <w:t xml:space="preserve">Pu and </w:t>
      </w:r>
      <w:r w:rsidR="00AD4057" w:rsidRPr="00BA203D">
        <w:t xml:space="preserve">fission of </w:t>
      </w:r>
      <w:r w:rsidR="00AD4057" w:rsidRPr="00BA203D">
        <w:rPr>
          <w:vertAlign w:val="superscript"/>
        </w:rPr>
        <w:t>235</w:t>
      </w:r>
      <w:r w:rsidR="00AD4057" w:rsidRPr="00BA203D">
        <w:t>U were used to provide an additional support to the adjustment hints obtained in the work.</w:t>
      </w:r>
    </w:p>
    <w:p w14:paraId="287781FD" w14:textId="3EF98CC3" w:rsidR="0078688B" w:rsidRDefault="0027762B" w:rsidP="00EE53B8">
      <w:pPr>
        <w:pStyle w:val="Titolo3"/>
        <w:numPr>
          <w:ilvl w:val="1"/>
          <w:numId w:val="51"/>
        </w:numPr>
        <w:ind w:left="567" w:hanging="567"/>
      </w:pPr>
      <w:r>
        <w:t>Single isotopes considerations</w:t>
      </w:r>
    </w:p>
    <w:p w14:paraId="30D0EC48" w14:textId="2C20A5E6" w:rsidR="0041185E" w:rsidRDefault="00641A6E" w:rsidP="00015900">
      <w:pPr>
        <w:pStyle w:val="Corpotesto"/>
      </w:pPr>
      <w:r>
        <w:t>AMARA+</w:t>
      </w:r>
      <w:r w:rsidR="00320809">
        <w:t xml:space="preserve"> </w:t>
      </w:r>
      <w:r w:rsidR="006301B9" w:rsidRPr="0072703E">
        <w:t xml:space="preserve">allowed to point out </w:t>
      </w:r>
      <w:r w:rsidR="00B038C1">
        <w:t xml:space="preserve">all </w:t>
      </w:r>
      <w:r w:rsidR="006301B9" w:rsidRPr="0072703E">
        <w:t>th</w:t>
      </w:r>
      <w:r w:rsidR="00915F10">
        <w:t xml:space="preserve">e </w:t>
      </w:r>
      <w:r w:rsidR="003E2AC9" w:rsidRPr="0072703E">
        <w:t>isotope</w:t>
      </w:r>
      <w:r w:rsidR="00625F7F">
        <w:t>-</w:t>
      </w:r>
      <w:r w:rsidR="006301B9" w:rsidRPr="0072703E">
        <w:t>reaction</w:t>
      </w:r>
      <w:r w:rsidR="00915F10">
        <w:t xml:space="preserve"> </w:t>
      </w:r>
      <w:r w:rsidR="00237621">
        <w:t xml:space="preserve">couples </w:t>
      </w:r>
      <w:r w:rsidR="00915F10">
        <w:t xml:space="preserve">and the </w:t>
      </w:r>
      <w:r w:rsidR="006301B9" w:rsidRPr="0072703E">
        <w:t>energy intervals for which major corrections are needed to minimize</w:t>
      </w:r>
      <w:r w:rsidR="006301B9">
        <w:t xml:space="preserve"> </w:t>
      </w:r>
      <w:r w:rsidR="006301B9" w:rsidRPr="0072703E">
        <w:t>discrepancies on the C/E values.</w:t>
      </w:r>
      <w:r w:rsidR="00320809">
        <w:t xml:space="preserve"> </w:t>
      </w:r>
      <w:r w:rsidR="00237621">
        <w:t>It is worth mentioning that, in the ensuing sections,</w:t>
      </w:r>
      <w:r w:rsidR="003C2C6B">
        <w:t xml:space="preserve"> </w:t>
      </w:r>
      <w:proofErr w:type="gramStart"/>
      <w:r w:rsidR="003C2C6B">
        <w:t>a brief summary</w:t>
      </w:r>
      <w:proofErr w:type="gramEnd"/>
      <w:r w:rsidR="003C2C6B">
        <w:t xml:space="preserve"> of the results for the most relevant isotopes for ALFRED is presented.</w:t>
      </w:r>
    </w:p>
    <w:p w14:paraId="71C59BDA" w14:textId="72FBC705" w:rsidR="0041185E" w:rsidRDefault="0041185E" w:rsidP="00EE53B8">
      <w:pPr>
        <w:pStyle w:val="Titolo4"/>
        <w:numPr>
          <w:ilvl w:val="2"/>
          <w:numId w:val="52"/>
        </w:numPr>
        <w:ind w:left="567" w:hanging="567"/>
      </w:pPr>
      <w:r>
        <w:t>Uranium isotopes</w:t>
      </w:r>
    </w:p>
    <w:p w14:paraId="0443A86B" w14:textId="6C6ADEC3" w:rsidR="00C90CFB" w:rsidRDefault="006301B9" w:rsidP="00D106EC">
      <w:pPr>
        <w:pStyle w:val="Corpotesto"/>
      </w:pPr>
      <w:r w:rsidRPr="0072703E">
        <w:t xml:space="preserve">Among the most remarkable results, </w:t>
      </w:r>
      <w:r>
        <w:t>as show</w:t>
      </w:r>
      <w:r w:rsidR="003823D3">
        <w:t>n</w:t>
      </w:r>
      <w:r>
        <w:t xml:space="preserve"> in Fig.</w:t>
      </w:r>
      <w:r w:rsidR="00953826">
        <w:t> </w:t>
      </w:r>
      <w:r w:rsidR="00EB5458">
        <w:t>5</w:t>
      </w:r>
      <w:r>
        <w:t xml:space="preserve">, </w:t>
      </w:r>
      <w:r w:rsidRPr="0072703E">
        <w:t xml:space="preserve">the </w:t>
      </w:r>
      <w:r w:rsidR="003F1045">
        <w:t xml:space="preserve">relative </w:t>
      </w:r>
      <w:r w:rsidRPr="0072703E">
        <w:t xml:space="preserve">correction </w:t>
      </w:r>
      <w:r>
        <w:t>for</w:t>
      </w:r>
      <w:r w:rsidR="00E73ABD">
        <w:t xml:space="preserve"> </w:t>
      </w:r>
      <w:r w:rsidRPr="00EB073A">
        <w:rPr>
          <w:vertAlign w:val="superscript"/>
        </w:rPr>
        <w:t>238</w:t>
      </w:r>
      <w:r w:rsidRPr="0072703E">
        <w:t>U fission gravitate</w:t>
      </w:r>
      <w:r w:rsidR="00F04044">
        <w:t>s</w:t>
      </w:r>
      <w:r w:rsidRPr="0072703E">
        <w:t xml:space="preserve"> around</w:t>
      </w:r>
      <w:r>
        <w:t xml:space="preserve"> -</w:t>
      </w:r>
      <w:r w:rsidRPr="0072703E">
        <w:t>1.5</w:t>
      </w:r>
      <w:r w:rsidRPr="000B20DE">
        <w:rPr>
          <w:color w:val="000000" w:themeColor="text1"/>
        </w:rPr>
        <w:t>∙</w:t>
      </w:r>
      <w:r w:rsidRPr="0072703E">
        <w:t>10</w:t>
      </w:r>
      <w:r w:rsidRPr="0072703E">
        <w:rPr>
          <w:vertAlign w:val="superscript"/>
        </w:rPr>
        <w:t>-2</w:t>
      </w:r>
      <w:r w:rsidRPr="0072703E">
        <w:t xml:space="preserve"> in the</w:t>
      </w:r>
      <w:r w:rsidR="002A7807">
        <w:t xml:space="preserve"> </w:t>
      </w:r>
      <w:r w:rsidRPr="0072703E">
        <w:t xml:space="preserve">energy range </w:t>
      </w:r>
      <w:r w:rsidR="00C90CFB">
        <w:t>above the threshold</w:t>
      </w:r>
      <w:r w:rsidR="00D91AC1">
        <w:t xml:space="preserve"> (</w:t>
      </w:r>
      <w:r w:rsidR="001A6478">
        <w:t>i.e</w:t>
      </w:r>
      <w:r w:rsidR="00D402AA">
        <w:t>.</w:t>
      </w:r>
      <w:r w:rsidR="001A6478">
        <w:t xml:space="preserve">, around </w:t>
      </w:r>
      <w:r w:rsidR="00D402AA">
        <w:t>1</w:t>
      </w:r>
      <w:r w:rsidR="001A6478">
        <w:t xml:space="preserve"> MeV</w:t>
      </w:r>
      <w:r w:rsidR="00D91AC1">
        <w:t>)</w:t>
      </w:r>
      <w:r>
        <w:t>.</w:t>
      </w:r>
      <w:r w:rsidR="004103E9">
        <w:t xml:space="preserve"> </w:t>
      </w:r>
      <w:r w:rsidRPr="0072703E">
        <w:t>Regarding capture for the same isotope, the relativ</w:t>
      </w:r>
      <w:r w:rsidR="00AE65A6">
        <w:t>e</w:t>
      </w:r>
      <w:r w:rsidR="00675BD0">
        <w:t xml:space="preserve"> </w:t>
      </w:r>
      <w:r w:rsidRPr="0072703E">
        <w:t>corrections are significant,</w:t>
      </w:r>
      <w:r>
        <w:t xml:space="preserve"> </w:t>
      </w:r>
      <w:r w:rsidRPr="0072703E">
        <w:t xml:space="preserve">especially in the above-resonance region, suggesting that </w:t>
      </w:r>
      <w:r w:rsidRPr="0072703E">
        <w:rPr>
          <w:vertAlign w:val="superscript"/>
        </w:rPr>
        <w:t>238</w:t>
      </w:r>
      <w:r w:rsidRPr="0072703E">
        <w:t>U capture needs further</w:t>
      </w:r>
      <w:r w:rsidR="00D363E6">
        <w:t xml:space="preserve"> </w:t>
      </w:r>
      <w:r w:rsidR="00D363E6" w:rsidRPr="0072703E">
        <w:t>evaluations.</w:t>
      </w:r>
      <w:r w:rsidR="0041185E">
        <w:t xml:space="preserve"> </w:t>
      </w:r>
      <w:r w:rsidR="0041185E" w:rsidRPr="0041185E">
        <w:t xml:space="preserve">In </w:t>
      </w:r>
      <w:r w:rsidR="0041185E">
        <w:t>the case of the average secondary fission neutrons corrections are extremely small, suggesting that n</w:t>
      </w:r>
      <w:r w:rsidR="0041185E" w:rsidRPr="0041185E">
        <w:t>o significant deviations are therefore predicted for this parameter</w:t>
      </w:r>
      <w:r w:rsidR="00D106EC">
        <w:t>.</w:t>
      </w:r>
    </w:p>
    <w:p w14:paraId="71B87C54" w14:textId="77777777" w:rsidR="00EA455B" w:rsidRDefault="00EA455B" w:rsidP="00D106EC">
      <w:pPr>
        <w:pStyle w:val="Corpotesto"/>
      </w:pPr>
    </w:p>
    <w:p w14:paraId="290A8FD2" w14:textId="7EFC16DE" w:rsidR="00EA455B" w:rsidRDefault="00EA455B" w:rsidP="00EA455B">
      <w:pPr>
        <w:pStyle w:val="Corpotesto"/>
        <w:ind w:firstLine="0"/>
        <w:jc w:val="center"/>
      </w:pPr>
      <w:r>
        <w:rPr>
          <w:noProof/>
        </w:rPr>
        <w:lastRenderedPageBreak/>
        <w:drawing>
          <wp:inline distT="0" distB="0" distL="0" distR="0" wp14:anchorId="71F0D863" wp14:editId="37A3E263">
            <wp:extent cx="5568844" cy="2601595"/>
            <wp:effectExtent l="0" t="0" r="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5">
                      <a:extLst>
                        <a:ext uri="{28A0092B-C50C-407E-A947-70E740481C1C}">
                          <a14:useLocalDpi xmlns:a14="http://schemas.microsoft.com/office/drawing/2010/main" val="0"/>
                        </a:ext>
                      </a:extLst>
                    </a:blip>
                    <a:stretch>
                      <a:fillRect/>
                    </a:stretch>
                  </pic:blipFill>
                  <pic:spPr>
                    <a:xfrm>
                      <a:off x="0" y="0"/>
                      <a:ext cx="5568844" cy="2601595"/>
                    </a:xfrm>
                    <a:prstGeom prst="rect">
                      <a:avLst/>
                    </a:prstGeom>
                  </pic:spPr>
                </pic:pic>
              </a:graphicData>
            </a:graphic>
          </wp:inline>
        </w:drawing>
      </w:r>
    </w:p>
    <w:p w14:paraId="28062E52" w14:textId="243B97B8" w:rsidR="00EA455B" w:rsidRPr="00EA455B" w:rsidRDefault="00EA455B" w:rsidP="00EA455B">
      <w:pPr>
        <w:pStyle w:val="Corpotesto"/>
        <w:ind w:firstLine="0"/>
        <w:jc w:val="center"/>
        <w:rPr>
          <w:i/>
          <w:iCs/>
          <w:sz w:val="18"/>
          <w:szCs w:val="18"/>
        </w:rPr>
      </w:pPr>
      <w:r w:rsidRPr="00EA455B">
        <w:rPr>
          <w:i/>
          <w:iCs/>
          <w:sz w:val="18"/>
          <w:szCs w:val="18"/>
        </w:rPr>
        <w:t xml:space="preserve">FIG. </w:t>
      </w:r>
      <w:r w:rsidR="00E0255F">
        <w:rPr>
          <w:i/>
          <w:iCs/>
          <w:sz w:val="18"/>
          <w:szCs w:val="18"/>
        </w:rPr>
        <w:t>5</w:t>
      </w:r>
      <w:r w:rsidRPr="00EA455B">
        <w:rPr>
          <w:i/>
          <w:iCs/>
          <w:sz w:val="18"/>
          <w:szCs w:val="18"/>
        </w:rPr>
        <w:t xml:space="preserve">. Relative corrections predicted for </w:t>
      </w:r>
      <w:r w:rsidRPr="00EA455B">
        <w:rPr>
          <w:i/>
          <w:iCs/>
          <w:sz w:val="18"/>
          <w:szCs w:val="18"/>
          <w:vertAlign w:val="superscript"/>
        </w:rPr>
        <w:t>238</w:t>
      </w:r>
      <w:r w:rsidRPr="00EA455B">
        <w:rPr>
          <w:i/>
          <w:iCs/>
          <w:sz w:val="18"/>
          <w:szCs w:val="18"/>
        </w:rPr>
        <w:t>U.</w:t>
      </w:r>
    </w:p>
    <w:p w14:paraId="7995B98D" w14:textId="77777777" w:rsidR="00EA455B" w:rsidRDefault="00EA455B" w:rsidP="00D106EC">
      <w:pPr>
        <w:pStyle w:val="Corpotesto"/>
      </w:pPr>
    </w:p>
    <w:p w14:paraId="4EE91195" w14:textId="7B205C4F" w:rsidR="00E03745" w:rsidRPr="00CD1000" w:rsidRDefault="00C90CFB" w:rsidP="00E03745">
      <w:pPr>
        <w:pStyle w:val="Corpotesto"/>
      </w:pPr>
      <w:r>
        <w:t xml:space="preserve">For </w:t>
      </w:r>
      <w:r w:rsidRPr="0041185E">
        <w:rPr>
          <w:vertAlign w:val="superscript"/>
        </w:rPr>
        <w:t>235</w:t>
      </w:r>
      <w:r>
        <w:t>U instead</w:t>
      </w:r>
      <w:r w:rsidR="00EB5458">
        <w:t xml:space="preserve"> (see Fig.</w:t>
      </w:r>
      <w:r w:rsidR="00953826">
        <w:t> </w:t>
      </w:r>
      <w:r w:rsidR="0049706B">
        <w:t>6</w:t>
      </w:r>
      <w:r w:rsidR="00EB5458">
        <w:t>)</w:t>
      </w:r>
      <w:r>
        <w:t xml:space="preserve">, </w:t>
      </w:r>
      <w:r w:rsidR="003F1045">
        <w:t xml:space="preserve">the relative correction to the </w:t>
      </w:r>
      <w:r>
        <w:t>f</w:t>
      </w:r>
      <w:r w:rsidR="0041185E">
        <w:t xml:space="preserve">ission </w:t>
      </w:r>
      <w:r w:rsidR="003F1045">
        <w:t>cross-section</w:t>
      </w:r>
      <w:r w:rsidR="0041185E" w:rsidRPr="0041185E">
        <w:t xml:space="preserve"> </w:t>
      </w:r>
      <w:r w:rsidR="0041185E">
        <w:t xml:space="preserve">shows a </w:t>
      </w:r>
      <w:r w:rsidR="0041185E" w:rsidRPr="0041185E">
        <w:t>plateau where values are quite</w:t>
      </w:r>
      <w:r w:rsidR="0041185E">
        <w:t xml:space="preserve"> </w:t>
      </w:r>
      <w:r w:rsidR="0041185E" w:rsidRPr="0041185E">
        <w:t>constant</w:t>
      </w:r>
      <w:r w:rsidR="003823D3">
        <w:t>,</w:t>
      </w:r>
      <w:r w:rsidR="0041185E" w:rsidRPr="0041185E">
        <w:t xml:space="preserve"> </w:t>
      </w:r>
      <w:r w:rsidR="0041185E">
        <w:t xml:space="preserve">which </w:t>
      </w:r>
      <w:r w:rsidR="0041185E" w:rsidRPr="0041185E">
        <w:t>is followed, just at the beginning of the unresolved resonance region, by a drop</w:t>
      </w:r>
      <w:r w:rsidR="0041185E">
        <w:t xml:space="preserve"> </w:t>
      </w:r>
      <w:r w:rsidR="0041185E" w:rsidRPr="0041185E">
        <w:t>towards negative values</w:t>
      </w:r>
      <w:r w:rsidR="003F1045">
        <w:t>,</w:t>
      </w:r>
      <w:r w:rsidR="0041185E" w:rsidRPr="0041185E">
        <w:t xml:space="preserve"> between 1</w:t>
      </w:r>
      <w:r w:rsidR="00953826">
        <w:t> </w:t>
      </w:r>
      <w:r w:rsidR="0041185E" w:rsidRPr="0041185E">
        <w:t>keV and about 20</w:t>
      </w:r>
      <w:r w:rsidR="00953826">
        <w:t> </w:t>
      </w:r>
      <w:r w:rsidR="0041185E" w:rsidRPr="0041185E">
        <w:t xml:space="preserve">keV, to then show a sudden increase up to </w:t>
      </w:r>
      <w:r w:rsidR="0041185E">
        <w:t xml:space="preserve">about </w:t>
      </w:r>
      <w:r w:rsidR="0041185E" w:rsidRPr="0041185E">
        <w:t>1.3</w:t>
      </w:r>
      <w:r w:rsidR="0041185E" w:rsidRPr="000B20DE">
        <w:rPr>
          <w:color w:val="000000" w:themeColor="text1"/>
        </w:rPr>
        <w:t>∙10</w:t>
      </w:r>
      <w:r w:rsidR="0041185E" w:rsidRPr="000B20DE">
        <w:rPr>
          <w:color w:val="000000" w:themeColor="text1"/>
          <w:vertAlign w:val="superscript"/>
        </w:rPr>
        <w:t>-</w:t>
      </w:r>
      <w:r w:rsidR="0041185E">
        <w:rPr>
          <w:color w:val="000000" w:themeColor="text1"/>
          <w:vertAlign w:val="superscript"/>
        </w:rPr>
        <w:t>2</w:t>
      </w:r>
      <w:r w:rsidR="0041185E" w:rsidRPr="0041185E">
        <w:t xml:space="preserve">. The correction is positive over the full energy </w:t>
      </w:r>
      <w:r w:rsidR="003823D3">
        <w:t>r</w:t>
      </w:r>
      <w:r w:rsidR="0041185E" w:rsidRPr="0041185E">
        <w:t>a</w:t>
      </w:r>
      <w:r w:rsidR="003823D3">
        <w:t>ng</w:t>
      </w:r>
      <w:r w:rsidR="0041185E" w:rsidRPr="0041185E">
        <w:t>e,</w:t>
      </w:r>
      <w:r w:rsidR="0041185E">
        <w:t xml:space="preserve"> </w:t>
      </w:r>
      <w:r w:rsidR="0041185E" w:rsidRPr="0041185E">
        <w:t xml:space="preserve">suggesting that the reference nuclear data are </w:t>
      </w:r>
      <w:r w:rsidR="0041185E" w:rsidRPr="00CD1000">
        <w:t>underestimated.</w:t>
      </w:r>
      <w:r w:rsidR="00E03745" w:rsidRPr="00CD1000">
        <w:t xml:space="preserve"> In this case AMARA+ predictions are quite in agreement with the </w:t>
      </w:r>
      <w:proofErr w:type="spellStart"/>
      <w:r w:rsidR="00E03745" w:rsidRPr="00CD1000">
        <w:t>n_TOF</w:t>
      </w:r>
      <w:proofErr w:type="spellEnd"/>
      <w:r w:rsidR="00E03745" w:rsidRPr="00CD1000">
        <w:t xml:space="preserve"> findings, even if further investigations will be anyway needed to strengthen the adjustment grounds relative to the state-of-art differential measurements.</w:t>
      </w:r>
    </w:p>
    <w:p w14:paraId="0986F552" w14:textId="5DDA4431" w:rsidR="0041185E" w:rsidRDefault="00330DD6" w:rsidP="003812D1">
      <w:pPr>
        <w:pStyle w:val="Corpotesto"/>
      </w:pPr>
      <w:r>
        <w:t>R</w:t>
      </w:r>
      <w:r w:rsidR="0041185E">
        <w:t>egarding capture, t</w:t>
      </w:r>
      <w:r w:rsidR="0041185E" w:rsidRPr="0041185E">
        <w:t xml:space="preserve">he </w:t>
      </w:r>
      <w:r w:rsidR="008735CF">
        <w:t xml:space="preserve">relative correction </w:t>
      </w:r>
      <w:r w:rsidR="0041185E" w:rsidRPr="0041185E">
        <w:t>values are very close to zero up to 2</w:t>
      </w:r>
      <w:r w:rsidR="00953826">
        <w:t> </w:t>
      </w:r>
      <w:r w:rsidR="0041185E" w:rsidRPr="0041185E">
        <w:t>keV; then, at the beginning of the</w:t>
      </w:r>
      <w:r w:rsidR="0041185E">
        <w:t xml:space="preserve"> </w:t>
      </w:r>
      <w:r w:rsidR="0041185E" w:rsidRPr="0041185E">
        <w:t xml:space="preserve">unresolved resonance region, they become negative. </w:t>
      </w:r>
      <w:r w:rsidR="004E6A9D" w:rsidRPr="004E6A9D">
        <w:t xml:space="preserve">The correction </w:t>
      </w:r>
      <w:r w:rsidR="004E6A9D">
        <w:t>for</w:t>
      </w:r>
      <w:r w:rsidR="008735CF">
        <w:t xml:space="preserve"> </w:t>
      </w:r>
      <m:oMath>
        <m:r>
          <w:rPr>
            <w:rFonts w:ascii="Cambria Math" w:hAnsi="Cambria Math"/>
          </w:rPr>
          <m:t>ν</m:t>
        </m:r>
      </m:oMath>
      <w:r w:rsidR="004E6A9D">
        <w:t xml:space="preserve"> </w:t>
      </w:r>
      <w:r w:rsidR="004E6A9D" w:rsidRPr="004E6A9D">
        <w:t xml:space="preserve">is positive over the full energy range, suggesting that </w:t>
      </w:r>
      <w:r w:rsidR="004E6A9D">
        <w:t>t</w:t>
      </w:r>
      <w:r w:rsidR="008735CF">
        <w:t>he original evaluation</w:t>
      </w:r>
      <w:r w:rsidR="004E6A9D" w:rsidRPr="004E6A9D">
        <w:t xml:space="preserve"> is </w:t>
      </w:r>
      <w:r w:rsidR="008735CF">
        <w:t>systematically</w:t>
      </w:r>
      <w:r w:rsidR="004E6A9D">
        <w:t xml:space="preserve"> </w:t>
      </w:r>
      <w:r w:rsidR="004E6A9D" w:rsidRPr="004E6A9D">
        <w:t xml:space="preserve">underestimated, </w:t>
      </w:r>
      <w:r w:rsidR="008735CF">
        <w:t>and with</w:t>
      </w:r>
      <w:r w:rsidR="004E6A9D" w:rsidRPr="004E6A9D">
        <w:t xml:space="preserve"> major values found to be </w:t>
      </w:r>
      <w:r w:rsidR="004E6A9D">
        <w:t>1.5</w:t>
      </w:r>
      <w:r w:rsidR="004E6A9D" w:rsidRPr="000B20DE">
        <w:rPr>
          <w:color w:val="000000" w:themeColor="text1"/>
        </w:rPr>
        <w:t>∙10</w:t>
      </w:r>
      <w:r w:rsidR="004E6A9D" w:rsidRPr="000B20DE">
        <w:rPr>
          <w:color w:val="000000" w:themeColor="text1"/>
          <w:vertAlign w:val="superscript"/>
        </w:rPr>
        <w:t>-</w:t>
      </w:r>
      <w:r w:rsidR="004E6A9D">
        <w:rPr>
          <w:color w:val="000000" w:themeColor="text1"/>
          <w:vertAlign w:val="superscript"/>
        </w:rPr>
        <w:t>1</w:t>
      </w:r>
      <w:r w:rsidR="004E6A9D" w:rsidRPr="00330DD6">
        <w:rPr>
          <w:color w:val="000000" w:themeColor="text1"/>
        </w:rPr>
        <w:t xml:space="preserve"> </w:t>
      </w:r>
      <w:r w:rsidR="004E6A9D" w:rsidRPr="004E6A9D">
        <w:t>in the region between 1</w:t>
      </w:r>
      <w:r w:rsidR="00953826">
        <w:t> </w:t>
      </w:r>
      <w:r w:rsidR="004E6A9D" w:rsidRPr="004E6A9D">
        <w:t>keV and</w:t>
      </w:r>
      <w:r w:rsidR="004E6A9D">
        <w:t xml:space="preserve"> </w:t>
      </w:r>
      <w:r w:rsidR="004E6A9D" w:rsidRPr="004E6A9D">
        <w:t>10</w:t>
      </w:r>
      <w:r w:rsidR="00953826">
        <w:t> </w:t>
      </w:r>
      <w:r w:rsidR="004E6A9D" w:rsidRPr="004E6A9D">
        <w:t>keV</w:t>
      </w:r>
      <w:r w:rsidR="00E03745">
        <w:t>.</w:t>
      </w:r>
    </w:p>
    <w:p w14:paraId="69FD1F67" w14:textId="14B5CB44" w:rsidR="000E3121" w:rsidRDefault="000E3121" w:rsidP="00953826">
      <w:pPr>
        <w:pStyle w:val="Corpotesto"/>
        <w:ind w:firstLine="0"/>
        <w:jc w:val="center"/>
      </w:pPr>
      <w:r>
        <w:rPr>
          <w:noProof/>
        </w:rPr>
        <w:drawing>
          <wp:inline distT="0" distB="0" distL="0" distR="0" wp14:anchorId="1D43B83C" wp14:editId="41ADF2C0">
            <wp:extent cx="5292090" cy="2538287"/>
            <wp:effectExtent l="0" t="0" r="381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rotWithShape="1">
                    <a:blip r:embed="rId16" cstate="print">
                      <a:extLst>
                        <a:ext uri="{28A0092B-C50C-407E-A947-70E740481C1C}">
                          <a14:useLocalDpi xmlns:a14="http://schemas.microsoft.com/office/drawing/2010/main" val="0"/>
                        </a:ext>
                      </a:extLst>
                    </a:blip>
                    <a:srcRect b="10575"/>
                    <a:stretch/>
                  </pic:blipFill>
                  <pic:spPr bwMode="auto">
                    <a:xfrm>
                      <a:off x="0" y="0"/>
                      <a:ext cx="5295820" cy="2540076"/>
                    </a:xfrm>
                    <a:prstGeom prst="rect">
                      <a:avLst/>
                    </a:prstGeom>
                    <a:ln>
                      <a:noFill/>
                    </a:ln>
                    <a:extLst>
                      <a:ext uri="{53640926-AAD7-44D8-BBD7-CCE9431645EC}">
                        <a14:shadowObscured xmlns:a14="http://schemas.microsoft.com/office/drawing/2010/main"/>
                      </a:ext>
                    </a:extLst>
                  </pic:spPr>
                </pic:pic>
              </a:graphicData>
            </a:graphic>
          </wp:inline>
        </w:drawing>
      </w:r>
    </w:p>
    <w:p w14:paraId="0437931B" w14:textId="7FB7C2FE" w:rsidR="00E0255F" w:rsidRPr="00EA455B" w:rsidRDefault="00E0255F" w:rsidP="00E0255F">
      <w:pPr>
        <w:pStyle w:val="Corpotesto"/>
        <w:ind w:firstLine="0"/>
        <w:jc w:val="center"/>
        <w:rPr>
          <w:i/>
          <w:iCs/>
          <w:sz w:val="18"/>
          <w:szCs w:val="18"/>
        </w:rPr>
      </w:pPr>
      <w:r w:rsidRPr="00EA455B">
        <w:rPr>
          <w:i/>
          <w:iCs/>
          <w:sz w:val="18"/>
          <w:szCs w:val="18"/>
        </w:rPr>
        <w:t xml:space="preserve">FIG. </w:t>
      </w:r>
      <w:r w:rsidR="008A459C">
        <w:rPr>
          <w:i/>
          <w:iCs/>
          <w:sz w:val="18"/>
          <w:szCs w:val="18"/>
        </w:rPr>
        <w:t>6</w:t>
      </w:r>
      <w:r w:rsidRPr="00EA455B">
        <w:rPr>
          <w:i/>
          <w:iCs/>
          <w:sz w:val="18"/>
          <w:szCs w:val="18"/>
        </w:rPr>
        <w:t xml:space="preserve">. Relative corrections predicted for </w:t>
      </w:r>
      <w:r w:rsidRPr="00EA455B">
        <w:rPr>
          <w:i/>
          <w:iCs/>
          <w:sz w:val="18"/>
          <w:szCs w:val="18"/>
          <w:vertAlign w:val="superscript"/>
        </w:rPr>
        <w:t>23</w:t>
      </w:r>
      <w:r>
        <w:rPr>
          <w:i/>
          <w:iCs/>
          <w:sz w:val="18"/>
          <w:szCs w:val="18"/>
          <w:vertAlign w:val="superscript"/>
        </w:rPr>
        <w:t>5</w:t>
      </w:r>
      <w:r w:rsidRPr="00EA455B">
        <w:rPr>
          <w:i/>
          <w:iCs/>
          <w:sz w:val="18"/>
          <w:szCs w:val="18"/>
        </w:rPr>
        <w:t>U.</w:t>
      </w:r>
    </w:p>
    <w:p w14:paraId="56B2A9EF" w14:textId="7C582E44" w:rsidR="009B5926" w:rsidRDefault="009B5926" w:rsidP="00EE53B8">
      <w:pPr>
        <w:pStyle w:val="Titolo4"/>
        <w:numPr>
          <w:ilvl w:val="2"/>
          <w:numId w:val="52"/>
        </w:numPr>
        <w:ind w:left="567" w:hanging="567"/>
      </w:pPr>
      <w:r>
        <w:t>Plutonium isotopes</w:t>
      </w:r>
    </w:p>
    <w:p w14:paraId="61C32E5C" w14:textId="55416B2F" w:rsidR="00862AF8" w:rsidRDefault="003823D3" w:rsidP="009E735C">
      <w:pPr>
        <w:pStyle w:val="Corpotesto"/>
      </w:pPr>
      <w:r>
        <w:rPr>
          <w:lang w:val="en-US"/>
        </w:rPr>
        <w:t xml:space="preserve">Corrections </w:t>
      </w:r>
      <w:r w:rsidR="009B5926">
        <w:t xml:space="preserve">for </w:t>
      </w:r>
      <w:r w:rsidR="009B5926" w:rsidRPr="009B5926">
        <w:rPr>
          <w:vertAlign w:val="superscript"/>
        </w:rPr>
        <w:t>238</w:t>
      </w:r>
      <w:r w:rsidR="009B5926">
        <w:t xml:space="preserve">Pu are </w:t>
      </w:r>
      <w:r w:rsidR="009B5926" w:rsidRPr="009B5926">
        <w:t>always positive over the full energy range</w:t>
      </w:r>
      <w:r w:rsidR="00E540A4" w:rsidRPr="00E540A4">
        <w:t xml:space="preserve"> </w:t>
      </w:r>
      <w:r w:rsidR="00E540A4">
        <w:t>and extremely small</w:t>
      </w:r>
      <w:r w:rsidR="009B5926" w:rsidRPr="009B5926">
        <w:t>, the</w:t>
      </w:r>
      <w:r w:rsidR="009B5926">
        <w:t xml:space="preserve"> </w:t>
      </w:r>
      <w:r w:rsidR="009B5926" w:rsidRPr="009B5926">
        <w:t>highest value occurring around 1</w:t>
      </w:r>
      <w:r w:rsidR="00330DD6">
        <w:t> </w:t>
      </w:r>
      <w:r w:rsidR="009B5926" w:rsidRPr="009B5926">
        <w:t>MeV</w:t>
      </w:r>
      <w:r w:rsidR="009B5926">
        <w:t xml:space="preserve"> </w:t>
      </w:r>
      <w:r w:rsidR="009B5926" w:rsidRPr="009B5926">
        <w:t>as expected</w:t>
      </w:r>
      <w:r w:rsidR="00E540A4">
        <w:t>,</w:t>
      </w:r>
      <w:r w:rsidR="009B5926">
        <w:t xml:space="preserve"> </w:t>
      </w:r>
      <w:r w:rsidR="009B5926" w:rsidRPr="009B5926">
        <w:t>given the considerations relative to the exclusion, via the Chi-squared test, of</w:t>
      </w:r>
      <w:r w:rsidR="009B5926">
        <w:t xml:space="preserve"> </w:t>
      </w:r>
      <w:r w:rsidR="009B5926" w:rsidRPr="009B5926">
        <w:t>the f48/f49 spectral index</w:t>
      </w:r>
      <w:r w:rsidR="00E540A4">
        <w:t xml:space="preserve">. Regarding </w:t>
      </w:r>
      <w:r w:rsidR="009B5926" w:rsidRPr="009B5926">
        <w:t>capture</w:t>
      </w:r>
      <w:r w:rsidR="00E540A4">
        <w:t xml:space="preserve">, the </w:t>
      </w:r>
      <w:r w:rsidR="008735CF">
        <w:t xml:space="preserve">correction </w:t>
      </w:r>
      <w:r w:rsidR="009B5926" w:rsidRPr="009B5926">
        <w:t>profile sinks towards negative values, with a minimum positioned around 3-6</w:t>
      </w:r>
      <w:r w:rsidR="00330DD6">
        <w:t> </w:t>
      </w:r>
      <w:r w:rsidR="009B5926" w:rsidRPr="009B5926">
        <w:t>MeV.</w:t>
      </w:r>
      <w:r w:rsidR="009B5926">
        <w:t xml:space="preserve"> </w:t>
      </w:r>
      <w:r w:rsidR="00E540A4">
        <w:t xml:space="preserve">Moreover, </w:t>
      </w:r>
      <m:oMath>
        <m:r>
          <w:rPr>
            <w:rFonts w:ascii="Cambria Math" w:hAnsi="Cambria Math"/>
          </w:rPr>
          <m:t>ν</m:t>
        </m:r>
      </m:oMath>
      <w:r w:rsidR="009B5926">
        <w:t xml:space="preserve"> </w:t>
      </w:r>
      <w:r w:rsidR="008735CF">
        <w:t>correction</w:t>
      </w:r>
      <w:r w:rsidR="009B5926">
        <w:t xml:space="preserve">s </w:t>
      </w:r>
      <w:r w:rsidR="00E540A4">
        <w:t>are</w:t>
      </w:r>
      <w:r w:rsidR="009B5926">
        <w:t xml:space="preserve"> </w:t>
      </w:r>
      <w:r w:rsidR="009B5926" w:rsidRPr="009B5926">
        <w:t>predicted to be always positive, albeit extremely small, with a maximum placed, similarly</w:t>
      </w:r>
      <w:r w:rsidR="009B5926">
        <w:t xml:space="preserve"> </w:t>
      </w:r>
      <w:r w:rsidR="009B5926" w:rsidRPr="009B5926">
        <w:t>to the capture cross-section</w:t>
      </w:r>
      <w:r w:rsidR="00E540A4">
        <w:t>s</w:t>
      </w:r>
      <w:r w:rsidR="009B5926" w:rsidRPr="009B5926">
        <w:t>, around 3-6</w:t>
      </w:r>
      <w:r w:rsidR="00330DD6">
        <w:t> </w:t>
      </w:r>
      <w:r w:rsidR="009B5926" w:rsidRPr="009B5926">
        <w:t>MeV.</w:t>
      </w:r>
    </w:p>
    <w:p w14:paraId="08AF9A78" w14:textId="14A6AB10" w:rsidR="009E735C" w:rsidRDefault="00D363E6" w:rsidP="009E735C">
      <w:pPr>
        <w:pStyle w:val="Corpotesto"/>
      </w:pPr>
      <w:r w:rsidRPr="0072703E">
        <w:rPr>
          <w:vertAlign w:val="superscript"/>
        </w:rPr>
        <w:lastRenderedPageBreak/>
        <w:t>239</w:t>
      </w:r>
      <w:r w:rsidRPr="0072703E">
        <w:t>Pu</w:t>
      </w:r>
      <w:r w:rsidR="00E209AF">
        <w:t xml:space="preserve"> fission</w:t>
      </w:r>
      <w:r w:rsidR="009E735C">
        <w:t xml:space="preserve"> </w:t>
      </w:r>
      <w:r w:rsidR="00F77E34">
        <w:t>(see Fig.</w:t>
      </w:r>
      <w:r w:rsidR="00953826">
        <w:t> </w:t>
      </w:r>
      <w:r w:rsidR="00F77E34">
        <w:t xml:space="preserve">7) </w:t>
      </w:r>
      <w:r w:rsidR="009E735C">
        <w:t xml:space="preserve">shows </w:t>
      </w:r>
      <w:r w:rsidRPr="0072703E">
        <w:t>relative corrections ranging</w:t>
      </w:r>
      <w:r>
        <w:t xml:space="preserve"> </w:t>
      </w:r>
      <w:r w:rsidRPr="0072703E">
        <w:t xml:space="preserve">from values close to zero up to </w:t>
      </w:r>
      <w:r w:rsidR="00330DD6">
        <w:t>~</w:t>
      </w:r>
      <w:r>
        <w:t>-</w:t>
      </w:r>
      <w:r w:rsidRPr="0072703E">
        <w:t>5</w:t>
      </w:r>
      <w:r w:rsidRPr="000B20DE">
        <w:rPr>
          <w:color w:val="000000" w:themeColor="text1"/>
        </w:rPr>
        <w:t>∙</w:t>
      </w:r>
      <w:r w:rsidRPr="0072703E">
        <w:t>10</w:t>
      </w:r>
      <w:r w:rsidRPr="0072703E">
        <w:rPr>
          <w:vertAlign w:val="superscript"/>
        </w:rPr>
        <w:t>-3</w:t>
      </w:r>
      <w:r w:rsidR="009E735C">
        <w:rPr>
          <w:vertAlign w:val="superscript"/>
        </w:rPr>
        <w:t xml:space="preserve"> </w:t>
      </w:r>
      <w:r w:rsidRPr="0072703E">
        <w:t>from thermal energies up to about 1</w:t>
      </w:r>
      <w:r w:rsidR="00582F56">
        <w:t xml:space="preserve"> </w:t>
      </w:r>
      <w:r w:rsidRPr="0072703E">
        <w:t>keV while,</w:t>
      </w:r>
      <w:r>
        <w:t xml:space="preserve"> </w:t>
      </w:r>
      <w:r w:rsidRPr="0072703E">
        <w:t>just after the resolved resonance region, a change in sign occurs and the relative corrections</w:t>
      </w:r>
      <w:r>
        <w:t xml:space="preserve"> </w:t>
      </w:r>
      <w:r w:rsidRPr="0072703E">
        <w:t xml:space="preserve">become positive, </w:t>
      </w:r>
      <w:r w:rsidR="00E540A4" w:rsidRPr="0072703E">
        <w:t>rising</w:t>
      </w:r>
      <w:r w:rsidRPr="0072703E">
        <w:t xml:space="preserve"> to about </w:t>
      </w:r>
      <w:r w:rsidR="00330DD6">
        <w:t>~</w:t>
      </w:r>
      <w:r w:rsidRPr="0072703E">
        <w:t>5</w:t>
      </w:r>
      <w:r w:rsidRPr="000B20DE">
        <w:rPr>
          <w:color w:val="000000" w:themeColor="text1"/>
        </w:rPr>
        <w:t>∙</w:t>
      </w:r>
      <w:r w:rsidRPr="0072703E">
        <w:t>10</w:t>
      </w:r>
      <w:r w:rsidRPr="0072703E">
        <w:rPr>
          <w:vertAlign w:val="superscript"/>
        </w:rPr>
        <w:t>-3</w:t>
      </w:r>
      <w:r w:rsidRPr="0072703E">
        <w:t>.</w:t>
      </w:r>
      <w:r>
        <w:t xml:space="preserve"> </w:t>
      </w:r>
      <w:r w:rsidRPr="0072703E">
        <w:t>Significant positive (about 10%) corrections</w:t>
      </w:r>
      <w:r>
        <w:t xml:space="preserve"> </w:t>
      </w:r>
      <w:r w:rsidRPr="0072703E">
        <w:t xml:space="preserve">occur for the capture reaction of </w:t>
      </w:r>
      <w:r w:rsidRPr="0072703E">
        <w:rPr>
          <w:vertAlign w:val="superscript"/>
        </w:rPr>
        <w:t>239</w:t>
      </w:r>
      <w:r w:rsidRPr="0072703E">
        <w:t>Pu, mainly in the energy window between 5 and 10</w:t>
      </w:r>
      <w:r w:rsidR="00330DD6">
        <w:t> </w:t>
      </w:r>
      <w:r w:rsidRPr="0072703E">
        <w:t>keV.</w:t>
      </w:r>
      <w:r w:rsidR="00E209AF">
        <w:t xml:space="preserve"> In this case, </w:t>
      </w:r>
      <m:oMath>
        <m:r>
          <w:rPr>
            <w:rFonts w:ascii="Cambria Math" w:hAnsi="Cambria Math"/>
          </w:rPr>
          <m:t>ν</m:t>
        </m:r>
      </m:oMath>
      <w:r w:rsidR="00E209AF">
        <w:t xml:space="preserve"> </w:t>
      </w:r>
      <w:r w:rsidR="008735CF">
        <w:t>correction</w:t>
      </w:r>
      <w:r w:rsidR="00E209AF">
        <w:t xml:space="preserve">s are slightly positive again over the full energy range, suggesting that </w:t>
      </w:r>
      <m:oMath>
        <m:r>
          <w:rPr>
            <w:rFonts w:ascii="Cambria Math" w:hAnsi="Cambria Math"/>
          </w:rPr>
          <m:t>ν</m:t>
        </m:r>
      </m:oMath>
      <w:r w:rsidR="00E209AF">
        <w:t xml:space="preserve"> is always underestimated in the original nuclear data evaluation.</w:t>
      </w:r>
    </w:p>
    <w:p w14:paraId="29032E9C" w14:textId="0C6E743D" w:rsidR="00984A4F" w:rsidRDefault="00984A4F" w:rsidP="00642B96">
      <w:pPr>
        <w:pStyle w:val="Corpotesto"/>
        <w:ind w:firstLine="0"/>
        <w:jc w:val="center"/>
      </w:pPr>
      <w:r>
        <w:rPr>
          <w:noProof/>
        </w:rPr>
        <w:drawing>
          <wp:inline distT="0" distB="0" distL="0" distR="0" wp14:anchorId="3F3F6E84" wp14:editId="7F7FA114">
            <wp:extent cx="5424874" cy="2419350"/>
            <wp:effectExtent l="0" t="0" r="444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17">
                      <a:extLst>
                        <a:ext uri="{28A0092B-C50C-407E-A947-70E740481C1C}">
                          <a14:useLocalDpi xmlns:a14="http://schemas.microsoft.com/office/drawing/2010/main" val="0"/>
                        </a:ext>
                      </a:extLst>
                    </a:blip>
                    <a:srcRect b="12192"/>
                    <a:stretch/>
                  </pic:blipFill>
                  <pic:spPr bwMode="auto">
                    <a:xfrm>
                      <a:off x="0" y="0"/>
                      <a:ext cx="5424874" cy="2419350"/>
                    </a:xfrm>
                    <a:prstGeom prst="rect">
                      <a:avLst/>
                    </a:prstGeom>
                    <a:ln>
                      <a:noFill/>
                    </a:ln>
                    <a:extLst>
                      <a:ext uri="{53640926-AAD7-44D8-BBD7-CCE9431645EC}">
                        <a14:shadowObscured xmlns:a14="http://schemas.microsoft.com/office/drawing/2010/main"/>
                      </a:ext>
                    </a:extLst>
                  </pic:spPr>
                </pic:pic>
              </a:graphicData>
            </a:graphic>
          </wp:inline>
        </w:drawing>
      </w:r>
    </w:p>
    <w:p w14:paraId="3678EFF1" w14:textId="193058BB" w:rsidR="00E0255F" w:rsidRPr="00EA455B" w:rsidRDefault="00E0255F" w:rsidP="00E0255F">
      <w:pPr>
        <w:pStyle w:val="Corpotesto"/>
        <w:ind w:firstLine="0"/>
        <w:jc w:val="center"/>
        <w:rPr>
          <w:i/>
          <w:iCs/>
          <w:sz w:val="18"/>
          <w:szCs w:val="18"/>
        </w:rPr>
      </w:pPr>
      <w:r w:rsidRPr="00EA455B">
        <w:rPr>
          <w:i/>
          <w:iCs/>
          <w:sz w:val="18"/>
          <w:szCs w:val="18"/>
        </w:rPr>
        <w:t xml:space="preserve">FIG. </w:t>
      </w:r>
      <w:r w:rsidR="008A459C">
        <w:rPr>
          <w:i/>
          <w:iCs/>
          <w:sz w:val="18"/>
          <w:szCs w:val="18"/>
        </w:rPr>
        <w:t>7</w:t>
      </w:r>
      <w:r w:rsidRPr="00EA455B">
        <w:rPr>
          <w:i/>
          <w:iCs/>
          <w:sz w:val="18"/>
          <w:szCs w:val="18"/>
        </w:rPr>
        <w:t xml:space="preserve">. Relative corrections predicted for </w:t>
      </w:r>
      <w:r w:rsidRPr="00EA455B">
        <w:rPr>
          <w:i/>
          <w:iCs/>
          <w:sz w:val="18"/>
          <w:szCs w:val="18"/>
          <w:vertAlign w:val="superscript"/>
        </w:rPr>
        <w:t>23</w:t>
      </w:r>
      <w:r>
        <w:rPr>
          <w:i/>
          <w:iCs/>
          <w:sz w:val="18"/>
          <w:szCs w:val="18"/>
          <w:vertAlign w:val="superscript"/>
        </w:rPr>
        <w:t>9</w:t>
      </w:r>
      <w:r>
        <w:rPr>
          <w:i/>
          <w:iCs/>
          <w:sz w:val="18"/>
          <w:szCs w:val="18"/>
        </w:rPr>
        <w:t>Pu</w:t>
      </w:r>
      <w:r w:rsidRPr="00EA455B">
        <w:rPr>
          <w:i/>
          <w:iCs/>
          <w:sz w:val="18"/>
          <w:szCs w:val="18"/>
        </w:rPr>
        <w:t>.</w:t>
      </w:r>
    </w:p>
    <w:p w14:paraId="0FC992D1" w14:textId="3897ADC0" w:rsidR="009E735C" w:rsidRDefault="009E735C" w:rsidP="00EE53B8">
      <w:pPr>
        <w:pStyle w:val="Titolo4"/>
        <w:numPr>
          <w:ilvl w:val="2"/>
          <w:numId w:val="52"/>
        </w:numPr>
        <w:ind w:left="567" w:hanging="567"/>
      </w:pPr>
      <w:r>
        <w:t>Lead isotopes</w:t>
      </w:r>
    </w:p>
    <w:p w14:paraId="08F4FFE7" w14:textId="5F7C0056" w:rsidR="00984A4F" w:rsidRDefault="00E209AF">
      <w:pPr>
        <w:pStyle w:val="Corpotesto"/>
      </w:pPr>
      <w:r>
        <w:t>L</w:t>
      </w:r>
      <w:r w:rsidR="00D363E6" w:rsidRPr="0072703E">
        <w:t xml:space="preserve">ead isotopes show very similar profiles in their relative corrections </w:t>
      </w:r>
      <w:r w:rsidR="009E735C">
        <w:t xml:space="preserve">both </w:t>
      </w:r>
      <w:r w:rsidR="00D363E6" w:rsidRPr="0072703E">
        <w:t>for the elastic</w:t>
      </w:r>
      <w:r w:rsidR="00D363E6">
        <w:t xml:space="preserve"> </w:t>
      </w:r>
      <w:r w:rsidR="00D363E6" w:rsidRPr="0072703E">
        <w:t>and inelastic reactions</w:t>
      </w:r>
      <w:r w:rsidR="000040F7">
        <w:t xml:space="preserve"> (see Fig.</w:t>
      </w:r>
      <w:r w:rsidR="00953826">
        <w:t> </w:t>
      </w:r>
      <w:r w:rsidR="006C76CE">
        <w:t>8</w:t>
      </w:r>
      <w:r w:rsidR="000040F7">
        <w:t>)</w:t>
      </w:r>
      <w:r>
        <w:t>.</w:t>
      </w:r>
      <w:r w:rsidR="00D363E6" w:rsidRPr="0072703E">
        <w:t xml:space="preserve"> In the first case, the relative corrections profile is close to zero in</w:t>
      </w:r>
      <w:r w:rsidR="00D363E6">
        <w:t xml:space="preserve"> </w:t>
      </w:r>
      <w:r w:rsidR="00D363E6" w:rsidRPr="0072703E">
        <w:t xml:space="preserve">the lower part of the energy range while, </w:t>
      </w:r>
      <w:r w:rsidR="009E735C">
        <w:t xml:space="preserve">at higher </w:t>
      </w:r>
      <w:r w:rsidR="00D363E6" w:rsidRPr="0072703E">
        <w:t>energy, it sinks attaining not negligible negative values (</w:t>
      </w:r>
      <w:r w:rsidR="00D363E6" w:rsidRPr="00642B96">
        <w:t>~</w:t>
      </w:r>
      <w:r w:rsidR="0002219B" w:rsidRPr="00642B96">
        <w:t xml:space="preserve"> </w:t>
      </w:r>
      <w:r w:rsidR="00D363E6" w:rsidRPr="0072703E">
        <w:t>3-</w:t>
      </w:r>
      <w:r w:rsidR="0002219B">
        <w:t xml:space="preserve"> 4</w:t>
      </w:r>
      <w:r w:rsidR="00E1201D" w:rsidRPr="0072703E">
        <w:t>%).</w:t>
      </w:r>
      <w:r w:rsidR="00E1201D">
        <w:t xml:space="preserve"> </w:t>
      </w:r>
      <w:r w:rsidR="00862AF8">
        <w:t>F</w:t>
      </w:r>
      <w:r w:rsidR="00E1201D" w:rsidRPr="0072703E">
        <w:t>or</w:t>
      </w:r>
      <w:r w:rsidR="00E1201D">
        <w:t xml:space="preserve"> </w:t>
      </w:r>
      <w:r w:rsidR="00E1201D" w:rsidRPr="0072703E">
        <w:t xml:space="preserve">inelastic reactions, </w:t>
      </w:r>
      <w:r w:rsidR="008735CF">
        <w:t xml:space="preserve">the </w:t>
      </w:r>
      <w:r w:rsidR="00862AF8">
        <w:t>predicted corrections</w:t>
      </w:r>
      <w:r w:rsidR="00E1201D" w:rsidRPr="0072703E">
        <w:t xml:space="preserve"> are always positive, suggesting a systematic underestimation in the ENDF/B-VIII.0,</w:t>
      </w:r>
      <w:r w:rsidR="00E1201D">
        <w:t xml:space="preserve"> </w:t>
      </w:r>
      <w:r w:rsidR="00E1201D" w:rsidRPr="0072703E">
        <w:t>and of the order of few percent, in the upper part of the energy range</w:t>
      </w:r>
      <w:r w:rsidR="00E1201D">
        <w:t>.</w:t>
      </w:r>
    </w:p>
    <w:p w14:paraId="3325C7DF" w14:textId="77777777" w:rsidR="00953826" w:rsidRPr="00984A4F" w:rsidRDefault="00953826">
      <w:pPr>
        <w:pStyle w:val="Corpotesto"/>
      </w:pPr>
    </w:p>
    <w:p w14:paraId="276FCC7E" w14:textId="5ED893DE" w:rsidR="00F865F6" w:rsidRDefault="00984A4F" w:rsidP="00953826">
      <w:pPr>
        <w:pStyle w:val="Corpotesto"/>
        <w:ind w:firstLine="0"/>
        <w:jc w:val="center"/>
      </w:pPr>
      <w:r>
        <w:rPr>
          <w:noProof/>
        </w:rPr>
        <w:drawing>
          <wp:inline distT="0" distB="0" distL="0" distR="0" wp14:anchorId="2796C579" wp14:editId="5E227DBC">
            <wp:extent cx="2466580" cy="2238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rotWithShape="1">
                    <a:blip r:embed="rId18">
                      <a:extLst>
                        <a:ext uri="{28A0092B-C50C-407E-A947-70E740481C1C}">
                          <a14:useLocalDpi xmlns:a14="http://schemas.microsoft.com/office/drawing/2010/main" val="0"/>
                        </a:ext>
                      </a:extLst>
                    </a:blip>
                    <a:srcRect b="8299"/>
                    <a:stretch/>
                  </pic:blipFill>
                  <pic:spPr bwMode="auto">
                    <a:xfrm>
                      <a:off x="0" y="0"/>
                      <a:ext cx="2466580" cy="2238375"/>
                    </a:xfrm>
                    <a:prstGeom prst="rect">
                      <a:avLst/>
                    </a:prstGeom>
                    <a:ln>
                      <a:noFill/>
                    </a:ln>
                    <a:extLst>
                      <a:ext uri="{53640926-AAD7-44D8-BBD7-CCE9431645EC}">
                        <a14:shadowObscured xmlns:a14="http://schemas.microsoft.com/office/drawing/2010/main"/>
                      </a:ext>
                    </a:extLst>
                  </pic:spPr>
                </pic:pic>
              </a:graphicData>
            </a:graphic>
          </wp:inline>
        </w:drawing>
      </w:r>
    </w:p>
    <w:p w14:paraId="21EAA060" w14:textId="269D4D20" w:rsidR="00E0255F" w:rsidRPr="00EA455B" w:rsidRDefault="00E0255F" w:rsidP="00E0255F">
      <w:pPr>
        <w:pStyle w:val="Corpotesto"/>
        <w:ind w:firstLine="0"/>
        <w:jc w:val="center"/>
        <w:rPr>
          <w:i/>
          <w:iCs/>
          <w:sz w:val="18"/>
          <w:szCs w:val="18"/>
        </w:rPr>
      </w:pPr>
      <w:r w:rsidRPr="00EA455B">
        <w:rPr>
          <w:i/>
          <w:iCs/>
          <w:sz w:val="18"/>
          <w:szCs w:val="18"/>
        </w:rPr>
        <w:t xml:space="preserve">FIG. </w:t>
      </w:r>
      <w:r w:rsidR="008A459C">
        <w:rPr>
          <w:i/>
          <w:iCs/>
          <w:sz w:val="18"/>
          <w:szCs w:val="18"/>
        </w:rPr>
        <w:t>8</w:t>
      </w:r>
      <w:r w:rsidRPr="00EA455B">
        <w:rPr>
          <w:i/>
          <w:iCs/>
          <w:sz w:val="18"/>
          <w:szCs w:val="18"/>
        </w:rPr>
        <w:t xml:space="preserve">. Relative corrections predicted for </w:t>
      </w:r>
      <w:r w:rsidRPr="00EA455B">
        <w:rPr>
          <w:i/>
          <w:iCs/>
          <w:sz w:val="18"/>
          <w:szCs w:val="18"/>
          <w:vertAlign w:val="superscript"/>
        </w:rPr>
        <w:t>2</w:t>
      </w:r>
      <w:r>
        <w:rPr>
          <w:i/>
          <w:iCs/>
          <w:sz w:val="18"/>
          <w:szCs w:val="18"/>
          <w:vertAlign w:val="superscript"/>
        </w:rPr>
        <w:t>07</w:t>
      </w:r>
      <w:r>
        <w:rPr>
          <w:i/>
          <w:iCs/>
          <w:sz w:val="18"/>
          <w:szCs w:val="18"/>
        </w:rPr>
        <w:t>Pb</w:t>
      </w:r>
      <w:r w:rsidRPr="00EA455B">
        <w:rPr>
          <w:i/>
          <w:iCs/>
          <w:sz w:val="18"/>
          <w:szCs w:val="18"/>
        </w:rPr>
        <w:t>.</w:t>
      </w:r>
    </w:p>
    <w:p w14:paraId="564B54A6" w14:textId="5C2A359E" w:rsidR="00E0255F" w:rsidRDefault="00E0255F" w:rsidP="00642B96">
      <w:pPr>
        <w:pStyle w:val="Corpotesto"/>
        <w:jc w:val="center"/>
      </w:pPr>
    </w:p>
    <w:p w14:paraId="59DD4CC4" w14:textId="70A82871" w:rsidR="003E2AC9" w:rsidRDefault="003E2AC9" w:rsidP="003E2AC9">
      <w:pPr>
        <w:pStyle w:val="Titolo2"/>
        <w:numPr>
          <w:ilvl w:val="1"/>
          <w:numId w:val="10"/>
        </w:numPr>
      </w:pPr>
      <w:r>
        <w:t>CONCLUSION</w:t>
      </w:r>
      <w:r w:rsidR="00965A44">
        <w:t>s</w:t>
      </w:r>
    </w:p>
    <w:p w14:paraId="565D7313" w14:textId="23822A7A" w:rsidR="0014594B" w:rsidRPr="0014594B" w:rsidRDefault="00FC5DB0" w:rsidP="005F5680">
      <w:pPr>
        <w:pStyle w:val="Corpotesto"/>
      </w:pPr>
      <w:r>
        <w:t xml:space="preserve">All </w:t>
      </w:r>
      <w:r w:rsidR="00957631">
        <w:t>t</w:t>
      </w:r>
      <w:r w:rsidR="00982DA0">
        <w:t xml:space="preserve">he </w:t>
      </w:r>
      <w:r w:rsidR="00C46FD4" w:rsidRPr="00C46FD4">
        <w:t>validation</w:t>
      </w:r>
      <w:r w:rsidR="00982DA0">
        <w:t xml:space="preserve"> </w:t>
      </w:r>
      <w:r w:rsidR="00C46FD4" w:rsidRPr="00C46FD4">
        <w:t>activities</w:t>
      </w:r>
      <w:r w:rsidR="00957631">
        <w:t>,</w:t>
      </w:r>
      <w:r w:rsidR="00C46FD4" w:rsidRPr="00C46FD4">
        <w:t xml:space="preserve"> inherently performed throughout the adjustment process, </w:t>
      </w:r>
      <w:r w:rsidR="00982DA0">
        <w:t xml:space="preserve">can be used to retrieve </w:t>
      </w:r>
      <w:r w:rsidR="00C46FD4" w:rsidRPr="00C46FD4">
        <w:t>relevant information</w:t>
      </w:r>
      <w:r w:rsidR="00982DA0">
        <w:t xml:space="preserve"> </w:t>
      </w:r>
      <w:r w:rsidR="00C46FD4" w:rsidRPr="00C46FD4">
        <w:t xml:space="preserve">for the certification of the uncertainties affecting </w:t>
      </w:r>
      <w:r w:rsidR="00982DA0">
        <w:t xml:space="preserve">every </w:t>
      </w:r>
      <w:r w:rsidR="00C46FD4" w:rsidRPr="00C46FD4">
        <w:t xml:space="preserve">calculated </w:t>
      </w:r>
      <w:r w:rsidR="00957631">
        <w:t xml:space="preserve">integral </w:t>
      </w:r>
      <w:r w:rsidR="00957631" w:rsidRPr="00C46FD4">
        <w:t>parameter</w:t>
      </w:r>
      <w:r>
        <w:t xml:space="preserve"> of the ALFRED core</w:t>
      </w:r>
      <w:r w:rsidR="00982DA0">
        <w:t xml:space="preserve">, </w:t>
      </w:r>
      <w:r w:rsidR="00957631">
        <w:t xml:space="preserve">so strengthening </w:t>
      </w:r>
      <w:r w:rsidR="00C46FD4" w:rsidRPr="00C46FD4">
        <w:t xml:space="preserve">the confidence in their estimates when verifying </w:t>
      </w:r>
      <w:r w:rsidR="00957631">
        <w:t xml:space="preserve">the </w:t>
      </w:r>
      <w:r w:rsidR="00C46FD4" w:rsidRPr="00C46FD4">
        <w:t xml:space="preserve">compliance with </w:t>
      </w:r>
      <w:r w:rsidR="00957631">
        <w:t xml:space="preserve">the </w:t>
      </w:r>
      <w:r w:rsidR="00C46FD4" w:rsidRPr="00C46FD4">
        <w:t>requirements</w:t>
      </w:r>
      <w:r w:rsidR="00982DA0">
        <w:t xml:space="preserve"> imposed by the safety authority</w:t>
      </w:r>
      <w:r w:rsidR="00957631">
        <w:t>.</w:t>
      </w:r>
      <w:r w:rsidR="00982DA0">
        <w:t xml:space="preserve"> </w:t>
      </w:r>
      <w:r w:rsidR="00957631">
        <w:t xml:space="preserve">Moreover, </w:t>
      </w:r>
      <w:r w:rsidR="00CA73BD">
        <w:t xml:space="preserve">these </w:t>
      </w:r>
      <w:r w:rsidR="00957631">
        <w:t xml:space="preserve">results are also essential </w:t>
      </w:r>
      <w:r w:rsidR="0014594B" w:rsidRPr="0014594B">
        <w:t xml:space="preserve">for leading the evaluation </w:t>
      </w:r>
      <w:r w:rsidR="0014594B" w:rsidRPr="0014594B">
        <w:lastRenderedPageBreak/>
        <w:t xml:space="preserve">experts in updating the High Priority </w:t>
      </w:r>
      <w:r w:rsidR="001F4406">
        <w:t xml:space="preserve">Request </w:t>
      </w:r>
      <w:r w:rsidR="0014594B" w:rsidRPr="0014594B">
        <w:t>List (HP</w:t>
      </w:r>
      <w:r w:rsidR="001F4406">
        <w:t>R</w:t>
      </w:r>
      <w:r w:rsidR="0014594B" w:rsidRPr="0014594B">
        <w:t>L</w:t>
      </w:r>
      <w:r w:rsidR="00D41277">
        <w:t>)</w:t>
      </w:r>
      <w:r w:rsidR="0014594B" w:rsidRPr="0014594B">
        <w:t xml:space="preserve"> </w:t>
      </w:r>
      <w:r w:rsidR="00CA73BD">
        <w:t>of isotopes</w:t>
      </w:r>
      <w:r w:rsidR="0014594B" w:rsidRPr="0014594B">
        <w:t xml:space="preserve"> to draw the most appropriate strategy for planning new </w:t>
      </w:r>
      <w:r w:rsidR="00D41277">
        <w:t xml:space="preserve">differential </w:t>
      </w:r>
      <w:r w:rsidR="0014594B" w:rsidRPr="0014594B">
        <w:t xml:space="preserve">measurements, nuclear model </w:t>
      </w:r>
      <w:r w:rsidR="00D41277">
        <w:t>refinement</w:t>
      </w:r>
      <w:r w:rsidR="009751D7">
        <w:t>s</w:t>
      </w:r>
      <w:r w:rsidR="0014594B" w:rsidRPr="0014594B">
        <w:t xml:space="preserve"> and data</w:t>
      </w:r>
      <w:r w:rsidR="0014594B">
        <w:t xml:space="preserve"> </w:t>
      </w:r>
      <w:r w:rsidR="0014594B" w:rsidRPr="0014594B">
        <w:t>evaluation programs</w:t>
      </w:r>
      <w:r w:rsidR="00CA73BD">
        <w:t xml:space="preserve">, </w:t>
      </w:r>
      <w:r w:rsidR="00CA73BD" w:rsidRPr="00542D6D">
        <w:t>ensuring the best possible accuracy, according to a policy more focused on safety and sustainability</w:t>
      </w:r>
      <w:r w:rsidR="00957631">
        <w:t xml:space="preserve">. </w:t>
      </w:r>
      <w:r w:rsidR="0046327B" w:rsidRPr="0014594B">
        <w:t>This is also one of the main tasks of the Sub-group 46 of the OECD’s</w:t>
      </w:r>
      <w:r w:rsidR="0046327B">
        <w:t xml:space="preserve"> </w:t>
      </w:r>
      <w:r w:rsidR="0046327B" w:rsidRPr="0014594B">
        <w:t>Nuclear Energy Agency</w:t>
      </w:r>
      <w:r w:rsidR="0046327B">
        <w:t xml:space="preserve"> [</w:t>
      </w:r>
      <w:r w:rsidR="00F53F9D">
        <w:t>18</w:t>
      </w:r>
      <w:r w:rsidR="0046327B">
        <w:t>]</w:t>
      </w:r>
      <w:r w:rsidR="0046327B" w:rsidRPr="0014594B">
        <w:t>, within whose scope part of this work directly falls.</w:t>
      </w:r>
      <w:r w:rsidR="005F5680">
        <w:t xml:space="preserve"> </w:t>
      </w:r>
      <w:r w:rsidR="008E4784">
        <w:t>A further improvement of the AMARA+ code is underway, to allo</w:t>
      </w:r>
      <w:r w:rsidR="00D3371A">
        <w:t>w a more refined adjustment that will be subsequently extensively tested for its validation by application to additional integral experiments not used in the adjustment. At the conclusion, it will be possible to obtain a</w:t>
      </w:r>
      <w:r w:rsidR="00957631">
        <w:t xml:space="preserve"> nuclear data library </w:t>
      </w:r>
      <w:r w:rsidR="00452045" w:rsidRPr="00542D6D">
        <w:t xml:space="preserve">by </w:t>
      </w:r>
      <w:r w:rsidR="00542D6D" w:rsidRPr="00542D6D">
        <w:t xml:space="preserve">using </w:t>
      </w:r>
      <w:r w:rsidR="00452045" w:rsidRPr="00542D6D">
        <w:t>a deconvolution algorithm spread</w:t>
      </w:r>
      <w:r w:rsidR="00CA73BD">
        <w:t>ing</w:t>
      </w:r>
      <w:r w:rsidR="00452045" w:rsidRPr="00542D6D">
        <w:t xml:space="preserve"> the relative corrections over the 1968 groups grid requested by ERANOS</w:t>
      </w:r>
      <w:r w:rsidR="00D3371A">
        <w:t>, for practical use for the ALFRED reactor</w:t>
      </w:r>
      <w:r w:rsidR="00452045" w:rsidRPr="00542D6D">
        <w:t>.</w:t>
      </w:r>
    </w:p>
    <w:p w14:paraId="433FE097" w14:textId="71EB9207" w:rsidR="00D26ADA" w:rsidRPr="00285755" w:rsidRDefault="00D26ADA" w:rsidP="00537496">
      <w:pPr>
        <w:pStyle w:val="Otherunnumberedheadings"/>
      </w:pPr>
      <w:r>
        <w:t>References</w:t>
      </w:r>
    </w:p>
    <w:p w14:paraId="48AF6EF5" w14:textId="2029567B" w:rsidR="00F647BD" w:rsidRPr="004D6CE2" w:rsidRDefault="00BC7F7B" w:rsidP="00BC7F7B">
      <w:pPr>
        <w:pStyle w:val="Referencelist"/>
      </w:pPr>
      <w:r w:rsidRPr="00BC7F7B">
        <w:rPr>
          <w:szCs w:val="22"/>
          <w:lang w:eastAsia="en-GB"/>
        </w:rPr>
        <w:t>PALMIOTTI</w:t>
      </w:r>
      <w:r w:rsidR="00232FCE">
        <w:rPr>
          <w:szCs w:val="22"/>
          <w:lang w:eastAsia="en-GB"/>
        </w:rPr>
        <w:t>,</w:t>
      </w:r>
      <w:r w:rsidRPr="00BC7F7B">
        <w:rPr>
          <w:szCs w:val="22"/>
          <w:lang w:eastAsia="en-GB"/>
        </w:rPr>
        <w:t xml:space="preserve"> G., SALVATORES</w:t>
      </w:r>
      <w:r w:rsidR="00232FCE">
        <w:rPr>
          <w:szCs w:val="22"/>
          <w:lang w:eastAsia="en-GB"/>
        </w:rPr>
        <w:t>,</w:t>
      </w:r>
      <w:r w:rsidRPr="00BC7F7B">
        <w:rPr>
          <w:szCs w:val="22"/>
          <w:lang w:eastAsia="en-GB"/>
        </w:rPr>
        <w:t xml:space="preserve"> M.</w:t>
      </w:r>
      <w:r w:rsidR="00232FCE">
        <w:rPr>
          <w:szCs w:val="22"/>
          <w:lang w:eastAsia="en-GB"/>
        </w:rPr>
        <w:t>,</w:t>
      </w:r>
      <w:r w:rsidRPr="00BC7F7B">
        <w:rPr>
          <w:szCs w:val="22"/>
          <w:lang w:eastAsia="en-GB"/>
        </w:rPr>
        <w:t xml:space="preserve"> </w:t>
      </w:r>
      <w:r w:rsidR="00F647BD" w:rsidRPr="00BC7F7B">
        <w:rPr>
          <w:szCs w:val="22"/>
          <w:lang w:eastAsia="en-GB"/>
        </w:rPr>
        <w:t>The role of experiments and of sensitivity analysis in simulation validation strategies with emphasis on reactor physics</w:t>
      </w:r>
      <w:r w:rsidR="00232FCE">
        <w:rPr>
          <w:szCs w:val="22"/>
          <w:lang w:eastAsia="en-GB"/>
        </w:rPr>
        <w:t>,</w:t>
      </w:r>
      <w:r w:rsidR="00F647BD" w:rsidRPr="00BC7F7B">
        <w:rPr>
          <w:szCs w:val="22"/>
          <w:lang w:eastAsia="en-GB"/>
        </w:rPr>
        <w:t xml:space="preserve"> Ann</w:t>
      </w:r>
      <w:r w:rsidR="00232FCE">
        <w:rPr>
          <w:szCs w:val="22"/>
          <w:lang w:eastAsia="en-GB"/>
        </w:rPr>
        <w:t>.</w:t>
      </w:r>
      <w:r w:rsidR="00F647BD" w:rsidRPr="00BC7F7B">
        <w:rPr>
          <w:szCs w:val="22"/>
          <w:lang w:eastAsia="en-GB"/>
        </w:rPr>
        <w:t xml:space="preserve"> </w:t>
      </w:r>
      <w:proofErr w:type="spellStart"/>
      <w:r w:rsidR="00F647BD" w:rsidRPr="00BC7F7B">
        <w:rPr>
          <w:szCs w:val="22"/>
          <w:lang w:eastAsia="en-GB"/>
        </w:rPr>
        <w:t>Nucl</w:t>
      </w:r>
      <w:proofErr w:type="spellEnd"/>
      <w:r w:rsidR="00232FCE">
        <w:rPr>
          <w:szCs w:val="22"/>
          <w:lang w:eastAsia="en-GB"/>
        </w:rPr>
        <w:t>.</w:t>
      </w:r>
      <w:r w:rsidRPr="00BC7F7B">
        <w:t xml:space="preserve"> </w:t>
      </w:r>
      <w:r w:rsidR="00F647BD" w:rsidRPr="00BC7F7B">
        <w:rPr>
          <w:szCs w:val="22"/>
          <w:lang w:eastAsia="en-GB"/>
        </w:rPr>
        <w:t xml:space="preserve">Energy </w:t>
      </w:r>
      <w:r w:rsidR="00F647BD" w:rsidRPr="000B2710">
        <w:rPr>
          <w:b/>
          <w:szCs w:val="22"/>
          <w:lang w:eastAsia="en-GB"/>
        </w:rPr>
        <w:t>52</w:t>
      </w:r>
      <w:r w:rsidR="00F647BD" w:rsidRPr="00BC7F7B">
        <w:rPr>
          <w:szCs w:val="22"/>
          <w:lang w:eastAsia="en-GB"/>
        </w:rPr>
        <w:t xml:space="preserve"> (2013) 10–21.</w:t>
      </w:r>
    </w:p>
    <w:p w14:paraId="0A2CC604" w14:textId="29904817" w:rsidR="004D6CE2" w:rsidRDefault="004D6CE2" w:rsidP="004D6CE2">
      <w:pPr>
        <w:pStyle w:val="Referencelist"/>
      </w:pPr>
      <w:bookmarkStart w:id="1" w:name="_Ref69723246"/>
      <w:r w:rsidRPr="000B20DE">
        <w:t>GRASSO</w:t>
      </w:r>
      <w:r w:rsidR="00FF3C6A">
        <w:t>,</w:t>
      </w:r>
      <w:r w:rsidRPr="000B20DE">
        <w:t xml:space="preserve"> G.</w:t>
      </w:r>
      <w:r w:rsidR="00232FCE">
        <w:t xml:space="preserve"> et al</w:t>
      </w:r>
      <w:r w:rsidRPr="000B20DE">
        <w:t>.,</w:t>
      </w:r>
      <w:r w:rsidRPr="000B20DE">
        <w:rPr>
          <w:szCs w:val="22"/>
          <w:lang w:eastAsia="en-GB"/>
        </w:rPr>
        <w:t xml:space="preserve"> “An improved design for the ALFRED core”, </w:t>
      </w:r>
      <w:r w:rsidR="00FF3C6A">
        <w:rPr>
          <w:szCs w:val="22"/>
          <w:lang w:eastAsia="en-GB"/>
        </w:rPr>
        <w:t xml:space="preserve">International </w:t>
      </w:r>
      <w:r w:rsidR="00FF3C6A" w:rsidRPr="000B20DE">
        <w:rPr>
          <w:szCs w:val="22"/>
          <w:lang w:eastAsia="en-GB"/>
        </w:rPr>
        <w:t xml:space="preserve">Congress </w:t>
      </w:r>
      <w:r w:rsidR="00FF3C6A">
        <w:rPr>
          <w:szCs w:val="22"/>
          <w:lang w:eastAsia="en-GB"/>
        </w:rPr>
        <w:t>o</w:t>
      </w:r>
      <w:r w:rsidR="00FF3C6A" w:rsidRPr="000B20DE">
        <w:t xml:space="preserve">n Advances </w:t>
      </w:r>
      <w:r w:rsidR="00FF3C6A">
        <w:t>i</w:t>
      </w:r>
      <w:r w:rsidR="00FF3C6A" w:rsidRPr="000B20DE">
        <w:t>n Nuclear Power Plants</w:t>
      </w:r>
      <w:r w:rsidRPr="000B20DE">
        <w:t xml:space="preserve"> ICAPP 2019</w:t>
      </w:r>
      <w:r w:rsidRPr="000B20DE">
        <w:rPr>
          <w:lang w:eastAsia="en-GB"/>
        </w:rPr>
        <w:t xml:space="preserve"> (</w:t>
      </w:r>
      <w:r w:rsidRPr="000B20DE">
        <w:rPr>
          <w:szCs w:val="22"/>
          <w:lang w:eastAsia="en-GB"/>
        </w:rPr>
        <w:t>Proc. Int. Conf.</w:t>
      </w:r>
      <w:r w:rsidRPr="000B20DE">
        <w:rPr>
          <w:lang w:eastAsia="en-GB"/>
        </w:rPr>
        <w:t xml:space="preserve">, </w:t>
      </w:r>
      <w:r w:rsidR="00FF3C6A" w:rsidRPr="000B20DE">
        <w:rPr>
          <w:lang w:eastAsia="en-GB"/>
        </w:rPr>
        <w:t xml:space="preserve">Juan-les-pins, </w:t>
      </w:r>
      <w:r w:rsidRPr="000B20DE">
        <w:rPr>
          <w:lang w:eastAsia="en-GB"/>
        </w:rPr>
        <w:t>2019</w:t>
      </w:r>
      <w:proofErr w:type="gramStart"/>
      <w:r w:rsidRPr="000B20DE">
        <w:rPr>
          <w:lang w:eastAsia="en-GB"/>
        </w:rPr>
        <w:t>) .</w:t>
      </w:r>
      <w:bookmarkEnd w:id="1"/>
      <w:proofErr w:type="gramEnd"/>
    </w:p>
    <w:p w14:paraId="6FFF58EB" w14:textId="5F133BB0" w:rsidR="00BC28E0" w:rsidRDefault="00BC28E0" w:rsidP="004D6CE2">
      <w:pPr>
        <w:pStyle w:val="Referencelist"/>
      </w:pPr>
      <w:r>
        <w:t>FALCON,</w:t>
      </w:r>
    </w:p>
    <w:p w14:paraId="21EB10F9" w14:textId="6239C1C7" w:rsidR="00BC28E0" w:rsidRPr="00CF07D4" w:rsidRDefault="007E5BE8" w:rsidP="00BC28E0">
      <w:pPr>
        <w:pStyle w:val="Referencelist"/>
        <w:numPr>
          <w:ilvl w:val="0"/>
          <w:numId w:val="0"/>
        </w:numPr>
        <w:ind w:left="720"/>
      </w:pPr>
      <w:hyperlink r:id="rId19" w:history="1">
        <w:r w:rsidR="00BC28E0" w:rsidRPr="00C82BED">
          <w:rPr>
            <w:rStyle w:val="Collegamentoipertestuale"/>
          </w:rPr>
          <w:t>http://www.alfred-reactor.eu/index.php/falcon-2/</w:t>
        </w:r>
      </w:hyperlink>
      <w:r w:rsidR="00BC28E0">
        <w:t xml:space="preserve"> </w:t>
      </w:r>
    </w:p>
    <w:p w14:paraId="016D0FF8" w14:textId="32C90B80" w:rsidR="00CF07D4" w:rsidRDefault="00CF07D4" w:rsidP="00BC7F7B">
      <w:pPr>
        <w:pStyle w:val="Referencelist"/>
      </w:pPr>
      <w:r w:rsidRPr="000B20DE">
        <w:t>RIMPAULT</w:t>
      </w:r>
      <w:r w:rsidR="00FF3C6A">
        <w:t>,</w:t>
      </w:r>
      <w:r w:rsidRPr="000B20DE">
        <w:t xml:space="preserve"> G.</w:t>
      </w:r>
      <w:r w:rsidR="00232FCE">
        <w:t xml:space="preserve"> et al</w:t>
      </w:r>
      <w:r w:rsidRPr="000B20DE">
        <w:t xml:space="preserve">., </w:t>
      </w:r>
      <w:r w:rsidR="00232FCE">
        <w:t>“</w:t>
      </w:r>
      <w:r w:rsidRPr="000B20DE">
        <w:t>The ERANOS code and data system for fast reactor neutronics analyses</w:t>
      </w:r>
      <w:r w:rsidR="00232FCE">
        <w:t>”</w:t>
      </w:r>
      <w:r w:rsidRPr="000B20DE">
        <w:t xml:space="preserve">, International Conference on the New Frontiers of Nuclear Technology: Reactor Physics, Safety and High-Performance Computing PHYSOR 2002 </w:t>
      </w:r>
      <w:r w:rsidR="00FF3C6A">
        <w:t xml:space="preserve">(Proc. Int. Conf., </w:t>
      </w:r>
      <w:r w:rsidRPr="000B20DE">
        <w:t>Seoul, 2002</w:t>
      </w:r>
      <w:r w:rsidR="00FF3C6A">
        <w:t>)</w:t>
      </w:r>
      <w:r w:rsidR="00B21A19">
        <w:t>.</w:t>
      </w:r>
    </w:p>
    <w:p w14:paraId="72BE54E1" w14:textId="1F16F64C" w:rsidR="0068308A" w:rsidRDefault="0068308A" w:rsidP="00BC7F7B">
      <w:pPr>
        <w:pStyle w:val="Referencelist"/>
      </w:pPr>
      <w:r w:rsidRPr="009F46F0">
        <w:t>CASTELLUCCIO</w:t>
      </w:r>
      <w:r>
        <w:t>,</w:t>
      </w:r>
      <w:r w:rsidRPr="009F46F0">
        <w:t xml:space="preserve"> D.M.</w:t>
      </w:r>
      <w:r>
        <w:t xml:space="preserve"> et al.</w:t>
      </w:r>
      <w:r w:rsidRPr="009F46F0">
        <w:t xml:space="preserve">, </w:t>
      </w:r>
      <w:r>
        <w:t>“ENDF/B-VIII.0 nuclear data sensitivity and uncertainty analysis (S/U) of key safety-relevant reactivity coefficients for the ALFRED core”,</w:t>
      </w:r>
      <w:r>
        <w:rPr>
          <w:lang w:val="en-US"/>
        </w:rPr>
        <w:t xml:space="preserve"> INTERNATIONAL CONFERENCE ON FAST REACTORS AND RELATED FUEL CYCLES: SUSTAINABLE CLEAN ENERGY FOR THE FUTURE FR22 (Proc. Int. Conf., Beijing, 2022), IAEA, Vienna (2022), Poster CN291-421.</w:t>
      </w:r>
    </w:p>
    <w:p w14:paraId="65E73D83" w14:textId="535D33A4" w:rsidR="00FD3EC1" w:rsidRPr="009B11F5" w:rsidRDefault="00FD3EC1" w:rsidP="00FD3EC1">
      <w:pPr>
        <w:pStyle w:val="Referencelist"/>
        <w:rPr>
          <w:lang w:val="fr-FR" w:eastAsia="en-GB"/>
        </w:rPr>
      </w:pPr>
      <w:r w:rsidRPr="009B11F5">
        <w:rPr>
          <w:szCs w:val="22"/>
          <w:lang w:val="fr-FR" w:eastAsia="en-GB"/>
        </w:rPr>
        <w:t>SUBLET</w:t>
      </w:r>
      <w:r w:rsidR="00FF3C6A" w:rsidRPr="009B11F5">
        <w:rPr>
          <w:szCs w:val="22"/>
          <w:lang w:val="fr-FR" w:eastAsia="en-GB"/>
        </w:rPr>
        <w:t>,</w:t>
      </w:r>
      <w:r w:rsidRPr="009B11F5">
        <w:rPr>
          <w:szCs w:val="22"/>
          <w:lang w:val="fr-FR" w:eastAsia="en-GB"/>
        </w:rPr>
        <w:t xml:space="preserve"> J.C. </w:t>
      </w:r>
      <w:r w:rsidR="00FF3C6A" w:rsidRPr="009B11F5">
        <w:rPr>
          <w:szCs w:val="22"/>
          <w:lang w:val="fr-FR" w:eastAsia="en-GB"/>
        </w:rPr>
        <w:t>et al</w:t>
      </w:r>
      <w:r w:rsidRPr="009B11F5">
        <w:rPr>
          <w:szCs w:val="22"/>
          <w:lang w:val="fr-FR" w:eastAsia="en-GB"/>
        </w:rPr>
        <w:t xml:space="preserve">., </w:t>
      </w:r>
      <w:r w:rsidRPr="009B11F5">
        <w:rPr>
          <w:lang w:val="fr-FR" w:eastAsia="en-GB"/>
        </w:rPr>
        <w:t>ECCOLIB-JEFF3.1 LIBRARIES. Rapport, CEA, Paris, 2006.</w:t>
      </w:r>
    </w:p>
    <w:p w14:paraId="4A80AE1A" w14:textId="361F6639" w:rsidR="00135606" w:rsidRDefault="00135606" w:rsidP="00135606">
      <w:pPr>
        <w:pStyle w:val="Referencelist"/>
        <w:rPr>
          <w:lang w:eastAsia="en-GB"/>
        </w:rPr>
      </w:pPr>
      <w:r w:rsidRPr="00135606">
        <w:rPr>
          <w:lang w:eastAsia="en-GB"/>
        </w:rPr>
        <w:t>MACFARLANE</w:t>
      </w:r>
      <w:r w:rsidR="00FF3C6A">
        <w:rPr>
          <w:lang w:eastAsia="en-GB"/>
        </w:rPr>
        <w:t>,</w:t>
      </w:r>
      <w:r>
        <w:rPr>
          <w:lang w:eastAsia="en-GB"/>
        </w:rPr>
        <w:t xml:space="preserve"> R.E.</w:t>
      </w:r>
      <w:r w:rsidR="00FF3C6A">
        <w:rPr>
          <w:lang w:eastAsia="en-GB"/>
        </w:rPr>
        <w:t>,</w:t>
      </w:r>
      <w:r w:rsidRPr="00135606">
        <w:rPr>
          <w:lang w:eastAsia="en-GB"/>
        </w:rPr>
        <w:t xml:space="preserve"> BOICOURT</w:t>
      </w:r>
      <w:r w:rsidR="00FF3C6A">
        <w:rPr>
          <w:lang w:eastAsia="en-GB"/>
        </w:rPr>
        <w:t>,</w:t>
      </w:r>
      <w:r>
        <w:rPr>
          <w:lang w:eastAsia="en-GB"/>
        </w:rPr>
        <w:t xml:space="preserve"> R.M.</w:t>
      </w:r>
      <w:r w:rsidRPr="00135606">
        <w:rPr>
          <w:lang w:eastAsia="en-GB"/>
        </w:rPr>
        <w:t xml:space="preserve">, NJOY: </w:t>
      </w:r>
      <w:r w:rsidR="00FF3C6A" w:rsidRPr="00135606">
        <w:rPr>
          <w:lang w:eastAsia="en-GB"/>
        </w:rPr>
        <w:t>a neutron and photon processing system</w:t>
      </w:r>
      <w:r w:rsidR="00FF3C6A">
        <w:rPr>
          <w:lang w:eastAsia="en-GB"/>
        </w:rPr>
        <w:t>,</w:t>
      </w:r>
      <w:r>
        <w:rPr>
          <w:lang w:eastAsia="en-GB"/>
        </w:rPr>
        <w:t xml:space="preserve"> </w:t>
      </w:r>
      <w:r w:rsidRPr="00135606">
        <w:rPr>
          <w:lang w:eastAsia="en-GB"/>
        </w:rPr>
        <w:t xml:space="preserve">Trans. Am. </w:t>
      </w:r>
      <w:proofErr w:type="spellStart"/>
      <w:r w:rsidRPr="00135606">
        <w:rPr>
          <w:lang w:eastAsia="en-GB"/>
        </w:rPr>
        <w:t>Nucl</w:t>
      </w:r>
      <w:proofErr w:type="spellEnd"/>
      <w:r w:rsidRPr="00135606">
        <w:rPr>
          <w:lang w:eastAsia="en-GB"/>
        </w:rPr>
        <w:t>. Soc. 22, 720 (1975).</w:t>
      </w:r>
    </w:p>
    <w:p w14:paraId="3DB8F32F" w14:textId="6DA16030" w:rsidR="004D6CE2" w:rsidRDefault="004D6CE2" w:rsidP="004D6CE2">
      <w:pPr>
        <w:pStyle w:val="Referencelist"/>
        <w:rPr>
          <w:lang w:eastAsia="en-GB"/>
        </w:rPr>
      </w:pPr>
      <w:r w:rsidRPr="00135606">
        <w:rPr>
          <w:szCs w:val="22"/>
          <w:lang w:eastAsia="en-GB"/>
        </w:rPr>
        <w:t>SUBLET</w:t>
      </w:r>
      <w:r w:rsidR="00232FCE">
        <w:rPr>
          <w:szCs w:val="22"/>
          <w:lang w:eastAsia="en-GB"/>
        </w:rPr>
        <w:t>,</w:t>
      </w:r>
      <w:r w:rsidRPr="00135606">
        <w:rPr>
          <w:szCs w:val="22"/>
          <w:lang w:eastAsia="en-GB"/>
        </w:rPr>
        <w:t xml:space="preserve"> J.C. </w:t>
      </w:r>
      <w:r w:rsidR="00232FCE" w:rsidRPr="00135606">
        <w:rPr>
          <w:szCs w:val="22"/>
          <w:lang w:eastAsia="en-GB"/>
        </w:rPr>
        <w:t>et al</w:t>
      </w:r>
      <w:r w:rsidRPr="00135606">
        <w:rPr>
          <w:szCs w:val="22"/>
          <w:lang w:eastAsia="en-GB"/>
        </w:rPr>
        <w:t xml:space="preserve">., CALENDF-2010: </w:t>
      </w:r>
      <w:r w:rsidR="00232FCE" w:rsidRPr="00135606">
        <w:rPr>
          <w:szCs w:val="22"/>
          <w:lang w:eastAsia="en-GB"/>
        </w:rPr>
        <w:t>User Manual</w:t>
      </w:r>
      <w:r w:rsidRPr="00135606">
        <w:rPr>
          <w:szCs w:val="22"/>
          <w:lang w:eastAsia="en-GB"/>
        </w:rPr>
        <w:t>,</w:t>
      </w:r>
      <w:r>
        <w:rPr>
          <w:szCs w:val="22"/>
          <w:lang w:eastAsia="en-GB"/>
        </w:rPr>
        <w:t xml:space="preserve"> </w:t>
      </w:r>
      <w:r w:rsidR="00232FCE">
        <w:rPr>
          <w:szCs w:val="22"/>
          <w:lang w:eastAsia="en-GB"/>
        </w:rPr>
        <w:t>internal re</w:t>
      </w:r>
      <w:r w:rsidRPr="00135606">
        <w:rPr>
          <w:szCs w:val="22"/>
          <w:lang w:eastAsia="en-GB"/>
        </w:rPr>
        <w:t>port</w:t>
      </w:r>
      <w:r>
        <w:rPr>
          <w:szCs w:val="22"/>
          <w:lang w:eastAsia="en-GB"/>
        </w:rPr>
        <w:t>, CEA, Paris,</w:t>
      </w:r>
      <w:r w:rsidRPr="00135606">
        <w:rPr>
          <w:szCs w:val="22"/>
          <w:lang w:eastAsia="en-GB"/>
        </w:rPr>
        <w:t xml:space="preserve"> 2011.</w:t>
      </w:r>
    </w:p>
    <w:p w14:paraId="1B297173" w14:textId="26B768DF" w:rsidR="004D6CE2" w:rsidRPr="00135606" w:rsidRDefault="004D6CE2" w:rsidP="004D6CE2">
      <w:pPr>
        <w:pStyle w:val="Referencelist"/>
        <w:rPr>
          <w:lang w:eastAsia="en-GB"/>
        </w:rPr>
      </w:pPr>
      <w:r>
        <w:rPr>
          <w:lang w:eastAsia="en-GB"/>
        </w:rPr>
        <w:t xml:space="preserve">LEVITT L.B., </w:t>
      </w:r>
      <w:r w:rsidRPr="00952ADB">
        <w:rPr>
          <w:lang w:eastAsia="en-GB"/>
        </w:rPr>
        <w:t>THE PROBABILITY TABLE METHOD FOR TREATING UNRESOLVED NEUTRON RESONANCES IN MONTE CARLO CALCULATIONS</w:t>
      </w:r>
      <w:r>
        <w:rPr>
          <w:lang w:eastAsia="en-GB"/>
        </w:rPr>
        <w:t>, Technical Report, Nuclear Science and Engineering, Vol. 49, Issue 4, (1972).</w:t>
      </w:r>
    </w:p>
    <w:p w14:paraId="43A8FC18" w14:textId="6411737B" w:rsidR="00300338" w:rsidRDefault="006E0352" w:rsidP="00300338">
      <w:pPr>
        <w:pStyle w:val="Referencelist"/>
        <w:rPr>
          <w:lang w:eastAsia="en-GB"/>
        </w:rPr>
      </w:pPr>
      <w:r w:rsidRPr="00300338">
        <w:rPr>
          <w:lang w:eastAsia="en-GB"/>
        </w:rPr>
        <w:t>SOPPERA</w:t>
      </w:r>
      <w:r>
        <w:rPr>
          <w:lang w:eastAsia="en-GB"/>
        </w:rPr>
        <w:t xml:space="preserve"> N.</w:t>
      </w:r>
      <w:r w:rsidRPr="00300338">
        <w:rPr>
          <w:lang w:eastAsia="en-GB"/>
        </w:rPr>
        <w:t>, BOSSANT</w:t>
      </w:r>
      <w:r>
        <w:rPr>
          <w:lang w:eastAsia="en-GB"/>
        </w:rPr>
        <w:t xml:space="preserve"> M.</w:t>
      </w:r>
      <w:r w:rsidRPr="00300338">
        <w:rPr>
          <w:lang w:eastAsia="en-GB"/>
        </w:rPr>
        <w:t>, DUPONT</w:t>
      </w:r>
      <w:r>
        <w:rPr>
          <w:lang w:eastAsia="en-GB"/>
        </w:rPr>
        <w:t xml:space="preserve"> E.</w:t>
      </w:r>
      <w:r w:rsidRPr="00300338">
        <w:rPr>
          <w:lang w:eastAsia="en-GB"/>
        </w:rPr>
        <w:t xml:space="preserve">, </w:t>
      </w:r>
      <w:r w:rsidR="00300338" w:rsidRPr="00300338">
        <w:rPr>
          <w:lang w:eastAsia="en-GB"/>
        </w:rPr>
        <w:t>JANIS 4: An Improved Version of the NEA Java</w:t>
      </w:r>
      <w:r w:rsidR="00300338">
        <w:rPr>
          <w:lang w:eastAsia="en-GB"/>
        </w:rPr>
        <w:t>-</w:t>
      </w:r>
      <w:r w:rsidR="00300338" w:rsidRPr="00300338">
        <w:rPr>
          <w:lang w:eastAsia="en-GB"/>
        </w:rPr>
        <w:t>based</w:t>
      </w:r>
      <w:r w:rsidR="00300338">
        <w:rPr>
          <w:lang w:eastAsia="en-GB"/>
        </w:rPr>
        <w:t xml:space="preserve"> </w:t>
      </w:r>
      <w:r w:rsidR="00300338" w:rsidRPr="00300338">
        <w:rPr>
          <w:lang w:eastAsia="en-GB"/>
        </w:rPr>
        <w:t xml:space="preserve">Nuclear Data Information System, </w:t>
      </w:r>
      <w:proofErr w:type="spellStart"/>
      <w:r w:rsidR="00FF3C6A" w:rsidRPr="00300338">
        <w:rPr>
          <w:lang w:eastAsia="en-GB"/>
        </w:rPr>
        <w:t>Nucl</w:t>
      </w:r>
      <w:proofErr w:type="spellEnd"/>
      <w:r w:rsidR="00FF3C6A">
        <w:rPr>
          <w:lang w:eastAsia="en-GB"/>
        </w:rPr>
        <w:t>.</w:t>
      </w:r>
      <w:r w:rsidR="00FF3C6A" w:rsidRPr="00300338">
        <w:rPr>
          <w:lang w:eastAsia="en-GB"/>
        </w:rPr>
        <w:t xml:space="preserve"> Data Sheets</w:t>
      </w:r>
      <w:r w:rsidR="00300338" w:rsidRPr="00300338">
        <w:rPr>
          <w:lang w:eastAsia="en-GB"/>
        </w:rPr>
        <w:t xml:space="preserve"> </w:t>
      </w:r>
      <w:r w:rsidR="00300338" w:rsidRPr="000B2710">
        <w:rPr>
          <w:b/>
          <w:lang w:eastAsia="en-GB"/>
        </w:rPr>
        <w:t>120</w:t>
      </w:r>
      <w:r w:rsidR="00300338" w:rsidRPr="00300338">
        <w:rPr>
          <w:lang w:eastAsia="en-GB"/>
        </w:rPr>
        <w:t xml:space="preserve"> </w:t>
      </w:r>
      <w:r w:rsidR="00F05DFB">
        <w:rPr>
          <w:lang w:eastAsia="en-GB"/>
        </w:rPr>
        <w:t>(</w:t>
      </w:r>
      <w:r w:rsidR="00300338" w:rsidRPr="00300338">
        <w:rPr>
          <w:lang w:eastAsia="en-GB"/>
        </w:rPr>
        <w:t>2014</w:t>
      </w:r>
      <w:r w:rsidR="00F05DFB">
        <w:rPr>
          <w:lang w:eastAsia="en-GB"/>
        </w:rPr>
        <w:t>)</w:t>
      </w:r>
      <w:r w:rsidR="00300338">
        <w:rPr>
          <w:lang w:eastAsia="en-GB"/>
        </w:rPr>
        <w:t xml:space="preserve"> </w:t>
      </w:r>
      <w:r w:rsidR="00300338" w:rsidRPr="00300338">
        <w:rPr>
          <w:lang w:eastAsia="en-GB"/>
        </w:rPr>
        <w:t>294</w:t>
      </w:r>
      <w:r w:rsidR="00FF3C6A">
        <w:t>–</w:t>
      </w:r>
      <w:r w:rsidR="00300338" w:rsidRPr="00300338">
        <w:rPr>
          <w:lang w:eastAsia="en-GB"/>
        </w:rPr>
        <w:t>296.</w:t>
      </w:r>
    </w:p>
    <w:p w14:paraId="685D715A" w14:textId="77777777" w:rsidR="00F05DFB" w:rsidRDefault="00F05DFB" w:rsidP="00F05DFB">
      <w:pPr>
        <w:pStyle w:val="Referencelist"/>
        <w:rPr>
          <w:lang w:eastAsia="en-GB"/>
        </w:rPr>
      </w:pPr>
      <w:r>
        <w:rPr>
          <w:lang w:eastAsia="en-GB"/>
        </w:rPr>
        <w:t>OSTI.GOV-</w:t>
      </w:r>
      <w:r w:rsidRPr="00F05DFB">
        <w:rPr>
          <w:lang w:eastAsia="en-GB"/>
        </w:rPr>
        <w:t>THE NJOY NUCLEAR DATA PROCESSING SYSTEM, VERSION 2016</w:t>
      </w:r>
      <w:r>
        <w:rPr>
          <w:lang w:eastAsia="en-GB"/>
        </w:rPr>
        <w:t>,</w:t>
      </w:r>
    </w:p>
    <w:p w14:paraId="414603BC" w14:textId="2A6371A5" w:rsidR="00300338" w:rsidRPr="00135606" w:rsidRDefault="007E5BE8" w:rsidP="00EC3115">
      <w:pPr>
        <w:pStyle w:val="Referencelist"/>
        <w:numPr>
          <w:ilvl w:val="0"/>
          <w:numId w:val="0"/>
        </w:numPr>
        <w:ind w:left="720"/>
        <w:rPr>
          <w:lang w:eastAsia="en-GB"/>
        </w:rPr>
      </w:pPr>
      <w:hyperlink r:id="rId20" w:history="1">
        <w:r w:rsidR="00FA3811" w:rsidRPr="00631F08">
          <w:rPr>
            <w:rStyle w:val="Collegamentoipertestuale"/>
            <w:lang w:eastAsia="en-GB"/>
          </w:rPr>
          <w:t>https://www.osti.gov/biblio/1338791</w:t>
        </w:r>
      </w:hyperlink>
      <w:r w:rsidR="00F05DFB">
        <w:rPr>
          <w:lang w:eastAsia="en-GB"/>
        </w:rPr>
        <w:t xml:space="preserve"> </w:t>
      </w:r>
    </w:p>
    <w:p w14:paraId="5A4AC5AE" w14:textId="1FE4F25B" w:rsidR="00EC3115" w:rsidRDefault="00EC3115" w:rsidP="00EC3115">
      <w:pPr>
        <w:pStyle w:val="Referencelist"/>
      </w:pPr>
      <w:bookmarkStart w:id="2" w:name="_Ref57975920"/>
      <w:r w:rsidRPr="00EC3115">
        <w:rPr>
          <w:lang w:eastAsia="en-GB"/>
        </w:rPr>
        <w:t>ENDF/B-VIII.0 EVALUATED NUCLEAR DATA LIBRARY</w:t>
      </w:r>
    </w:p>
    <w:p w14:paraId="2CF14B90" w14:textId="4FE475AB" w:rsidR="00940CB1" w:rsidRDefault="007E5BE8" w:rsidP="00940CB1">
      <w:pPr>
        <w:pStyle w:val="Referencelist"/>
        <w:numPr>
          <w:ilvl w:val="0"/>
          <w:numId w:val="0"/>
        </w:numPr>
        <w:ind w:left="720"/>
        <w:rPr>
          <w:lang w:eastAsia="en-GB"/>
        </w:rPr>
      </w:pPr>
      <w:hyperlink r:id="rId21" w:history="1">
        <w:r w:rsidR="00EC3115" w:rsidRPr="00924238">
          <w:rPr>
            <w:rStyle w:val="Collegamentoipertestuale"/>
            <w:lang w:eastAsia="en-GB"/>
          </w:rPr>
          <w:t>https://www.nndc.bnl.gov/endf/b8.0/</w:t>
        </w:r>
      </w:hyperlink>
      <w:r w:rsidR="00EC3115">
        <w:rPr>
          <w:lang w:eastAsia="en-GB"/>
        </w:rPr>
        <w:t xml:space="preserve"> </w:t>
      </w:r>
    </w:p>
    <w:p w14:paraId="17AF1E3B" w14:textId="31E0D0CF" w:rsidR="00E42C23" w:rsidRDefault="00E42C23" w:rsidP="00E42C23">
      <w:pPr>
        <w:pStyle w:val="Referencelist"/>
      </w:pPr>
      <w:bookmarkStart w:id="3" w:name="_Ref57974386"/>
      <w:bookmarkEnd w:id="2"/>
      <w:r>
        <w:t xml:space="preserve">OECD/NEA, </w:t>
      </w:r>
      <w:r w:rsidRPr="00E42C23">
        <w:t>INTERNATIONAL REACTOR PHYSICS EXPERIMENTS DATABASE PROJECT (IRPHE), International Handbook of Evaluated Reactor Physics Benchmark Experiments, (2004).</w:t>
      </w:r>
      <w:bookmarkEnd w:id="3"/>
    </w:p>
    <w:p w14:paraId="006387C2" w14:textId="15C69E6B" w:rsidR="00D0725F" w:rsidRPr="00F53F9D" w:rsidRDefault="00BD3E26" w:rsidP="00E42C23">
      <w:pPr>
        <w:pStyle w:val="Referencelist"/>
        <w:rPr>
          <w:szCs w:val="22"/>
          <w:lang w:eastAsia="en-GB"/>
        </w:rPr>
      </w:pPr>
      <w:r w:rsidRPr="00BD3E26">
        <w:t>B. RATNER.</w:t>
      </w:r>
      <w:r w:rsidRPr="0080264F">
        <w:rPr>
          <w:szCs w:val="22"/>
          <w:lang w:eastAsia="en-GB"/>
        </w:rPr>
        <w:t xml:space="preserve"> </w:t>
      </w:r>
      <w:r w:rsidR="0061535E" w:rsidRPr="00F53F9D">
        <w:rPr>
          <w:szCs w:val="22"/>
          <w:lang w:eastAsia="en-GB"/>
        </w:rPr>
        <w:t>The correlation coefficient: Its values range between +1/−1, or do they?</w:t>
      </w:r>
      <w:r w:rsidR="00F53F9D" w:rsidRPr="00F53F9D">
        <w:rPr>
          <w:szCs w:val="22"/>
          <w:lang w:eastAsia="en-GB"/>
        </w:rPr>
        <w:t xml:space="preserve"> J.</w:t>
      </w:r>
      <w:r w:rsidR="00F53F9D">
        <w:rPr>
          <w:szCs w:val="22"/>
          <w:lang w:eastAsia="en-GB"/>
        </w:rPr>
        <w:t xml:space="preserve"> </w:t>
      </w:r>
      <w:r w:rsidR="00F53F9D" w:rsidRPr="00F53F9D">
        <w:rPr>
          <w:szCs w:val="22"/>
          <w:lang w:eastAsia="en-GB"/>
        </w:rPr>
        <w:t>target. meas. anal. mark.</w:t>
      </w:r>
      <w:r w:rsidRPr="00F53F9D">
        <w:rPr>
          <w:szCs w:val="22"/>
          <w:lang w:eastAsia="en-GB"/>
        </w:rPr>
        <w:t xml:space="preserve"> 17,</w:t>
      </w:r>
      <w:r w:rsidR="0080264F">
        <w:rPr>
          <w:szCs w:val="22"/>
          <w:lang w:eastAsia="en-GB"/>
        </w:rPr>
        <w:t xml:space="preserve"> </w:t>
      </w:r>
      <w:r w:rsidRPr="00F53F9D">
        <w:rPr>
          <w:szCs w:val="22"/>
          <w:lang w:eastAsia="en-GB"/>
        </w:rPr>
        <w:t>pages139</w:t>
      </w:r>
      <w:r w:rsidR="0080264F">
        <w:rPr>
          <w:szCs w:val="22"/>
          <w:lang w:eastAsia="en-GB"/>
        </w:rPr>
        <w:t>-</w:t>
      </w:r>
      <w:r w:rsidRPr="00F53F9D">
        <w:rPr>
          <w:szCs w:val="22"/>
          <w:lang w:eastAsia="en-GB"/>
        </w:rPr>
        <w:t>142 (2009)</w:t>
      </w:r>
      <w:r w:rsidR="0080264F">
        <w:rPr>
          <w:szCs w:val="22"/>
          <w:lang w:eastAsia="en-GB"/>
        </w:rPr>
        <w:t>.</w:t>
      </w:r>
    </w:p>
    <w:p w14:paraId="0824EFB5" w14:textId="77777777" w:rsidR="005B6931" w:rsidRPr="005B6931" w:rsidRDefault="00E42C23" w:rsidP="005B6931">
      <w:pPr>
        <w:pStyle w:val="Referencelist"/>
      </w:pPr>
      <w:r w:rsidRPr="00E42C23">
        <w:rPr>
          <w:szCs w:val="22"/>
          <w:lang w:eastAsia="en-GB"/>
        </w:rPr>
        <w:t>OECD/NEA, Methods and Issues for the Combined Use of Integral Experiments and Covariance</w:t>
      </w:r>
      <w:r w:rsidRPr="00E42C23">
        <w:t xml:space="preserve"> </w:t>
      </w:r>
      <w:r w:rsidRPr="00E42C23">
        <w:rPr>
          <w:szCs w:val="22"/>
          <w:lang w:eastAsia="en-GB"/>
        </w:rPr>
        <w:t>Data. OECD NEA/WPEC-33 report</w:t>
      </w:r>
      <w:r>
        <w:rPr>
          <w:szCs w:val="22"/>
          <w:lang w:eastAsia="en-GB"/>
        </w:rPr>
        <w:t xml:space="preserve">, Paris, </w:t>
      </w:r>
      <w:r w:rsidRPr="00E42C23">
        <w:rPr>
          <w:szCs w:val="22"/>
          <w:lang w:val="it-IT" w:eastAsia="en-GB"/>
        </w:rPr>
        <w:t>(2013).</w:t>
      </w:r>
    </w:p>
    <w:p w14:paraId="1D8F79D1" w14:textId="62E759C4" w:rsidR="006A056D" w:rsidRPr="006A056D" w:rsidRDefault="005B6931" w:rsidP="006A056D">
      <w:pPr>
        <w:pStyle w:val="Referencelist"/>
      </w:pPr>
      <w:r w:rsidRPr="00D90E97">
        <w:t>GANDINI A., PETILLI M. AMARA</w:t>
      </w:r>
      <w:r w:rsidRPr="005B6931">
        <w:rPr>
          <w:szCs w:val="22"/>
          <w:lang w:eastAsia="en-GB"/>
        </w:rPr>
        <w:t>: A CODE USING THE LAGRANGE MULTIPLIERS METHODS OF</w:t>
      </w:r>
      <w:r w:rsidRPr="005B6931">
        <w:t xml:space="preserve"> </w:t>
      </w:r>
      <w:r w:rsidRPr="005B6931">
        <w:rPr>
          <w:szCs w:val="22"/>
          <w:lang w:eastAsia="en-GB"/>
        </w:rPr>
        <w:t>NUCLEAR DATA ADJUSTMENT</w:t>
      </w:r>
      <w:r>
        <w:rPr>
          <w:szCs w:val="22"/>
          <w:lang w:eastAsia="en-GB"/>
        </w:rPr>
        <w:t xml:space="preserve">, </w:t>
      </w:r>
      <w:proofErr w:type="spellStart"/>
      <w:r>
        <w:rPr>
          <w:szCs w:val="22"/>
          <w:lang w:eastAsia="en-GB"/>
        </w:rPr>
        <w:t>Rapporto</w:t>
      </w:r>
      <w:proofErr w:type="spellEnd"/>
      <w:r>
        <w:rPr>
          <w:szCs w:val="22"/>
          <w:lang w:eastAsia="en-GB"/>
        </w:rPr>
        <w:t xml:space="preserve"> </w:t>
      </w:r>
      <w:proofErr w:type="spellStart"/>
      <w:r>
        <w:rPr>
          <w:szCs w:val="22"/>
          <w:lang w:eastAsia="en-GB"/>
        </w:rPr>
        <w:t>Tecnico</w:t>
      </w:r>
      <w:proofErr w:type="spellEnd"/>
      <w:r>
        <w:rPr>
          <w:szCs w:val="22"/>
          <w:lang w:eastAsia="en-GB"/>
        </w:rPr>
        <w:t xml:space="preserve">, </w:t>
      </w:r>
      <w:r w:rsidRPr="005B6931">
        <w:rPr>
          <w:szCs w:val="22"/>
          <w:lang w:eastAsia="en-GB"/>
        </w:rPr>
        <w:t>RT/</w:t>
      </w:r>
      <w:r w:rsidR="0003478B" w:rsidRPr="005B6931">
        <w:rPr>
          <w:szCs w:val="22"/>
          <w:lang w:eastAsia="en-GB"/>
        </w:rPr>
        <w:t>FI (</w:t>
      </w:r>
      <w:r w:rsidRPr="005B6931">
        <w:rPr>
          <w:szCs w:val="22"/>
          <w:lang w:eastAsia="en-GB"/>
        </w:rPr>
        <w:t xml:space="preserve">73)39, CNEN, </w:t>
      </w:r>
      <w:r>
        <w:rPr>
          <w:szCs w:val="22"/>
          <w:lang w:eastAsia="en-GB"/>
        </w:rPr>
        <w:t xml:space="preserve">Rome, </w:t>
      </w:r>
      <w:r w:rsidRPr="005B6931">
        <w:rPr>
          <w:szCs w:val="22"/>
          <w:lang w:eastAsia="en-GB"/>
        </w:rPr>
        <w:t>1973.</w:t>
      </w:r>
    </w:p>
    <w:p w14:paraId="392E55C5" w14:textId="73933168" w:rsidR="006A056D" w:rsidRPr="006A056D" w:rsidRDefault="006A056D" w:rsidP="005B6931">
      <w:pPr>
        <w:pStyle w:val="Referencelist"/>
        <w:rPr>
          <w:szCs w:val="22"/>
          <w:lang w:eastAsia="en-GB"/>
        </w:rPr>
      </w:pPr>
      <w:r>
        <w:rPr>
          <w:rFonts w:ascii="TeXGyreTermesX-Regular" w:hAnsi="TeXGyreTermesX-Regular" w:cs="TeXGyreTermesX-Regular"/>
          <w:szCs w:val="22"/>
          <w:lang w:eastAsia="en-GB"/>
        </w:rPr>
        <w:t>N_TOF</w:t>
      </w:r>
      <w:r w:rsidRPr="006A056D">
        <w:rPr>
          <w:szCs w:val="22"/>
          <w:lang w:eastAsia="en-GB"/>
        </w:rPr>
        <w:t xml:space="preserve">, </w:t>
      </w:r>
      <w:proofErr w:type="gramStart"/>
      <w:r w:rsidRPr="006A056D">
        <w:rPr>
          <w:szCs w:val="22"/>
          <w:lang w:eastAsia="en-GB"/>
        </w:rPr>
        <w:t>The</w:t>
      </w:r>
      <w:proofErr w:type="gramEnd"/>
      <w:r w:rsidRPr="006A056D">
        <w:rPr>
          <w:szCs w:val="22"/>
          <w:lang w:eastAsia="en-GB"/>
        </w:rPr>
        <w:t xml:space="preserve"> neutron time-of-flight facility (</w:t>
      </w:r>
      <w:proofErr w:type="spellStart"/>
      <w:r w:rsidRPr="006A056D">
        <w:rPr>
          <w:szCs w:val="22"/>
          <w:lang w:eastAsia="en-GB"/>
        </w:rPr>
        <w:t>n_TOF</w:t>
      </w:r>
      <w:proofErr w:type="spellEnd"/>
      <w:r w:rsidRPr="006A056D">
        <w:rPr>
          <w:szCs w:val="22"/>
          <w:lang w:eastAsia="en-GB"/>
        </w:rPr>
        <w:t xml:space="preserve">) studies neutron-nucleus interactions for neutron energies ranging from a few </w:t>
      </w:r>
      <w:proofErr w:type="spellStart"/>
      <w:r w:rsidRPr="006A056D">
        <w:rPr>
          <w:szCs w:val="22"/>
          <w:lang w:eastAsia="en-GB"/>
        </w:rPr>
        <w:t>meV</w:t>
      </w:r>
      <w:proofErr w:type="spellEnd"/>
      <w:r w:rsidRPr="006A056D">
        <w:rPr>
          <w:szCs w:val="22"/>
          <w:lang w:eastAsia="en-GB"/>
        </w:rPr>
        <w:t xml:space="preserve"> to several GeV,</w:t>
      </w:r>
    </w:p>
    <w:p w14:paraId="3A487CEC" w14:textId="28B8AE30" w:rsidR="006A056D" w:rsidRPr="006A056D" w:rsidRDefault="007E5BE8" w:rsidP="006A056D">
      <w:pPr>
        <w:pStyle w:val="Referencelist"/>
        <w:numPr>
          <w:ilvl w:val="0"/>
          <w:numId w:val="0"/>
        </w:numPr>
        <w:ind w:left="720"/>
        <w:rPr>
          <w:rStyle w:val="Collegamentoipertestuale"/>
        </w:rPr>
      </w:pPr>
      <w:hyperlink r:id="rId22" w:history="1">
        <w:r w:rsidR="006A056D" w:rsidRPr="006A056D">
          <w:rPr>
            <w:rStyle w:val="Collegamentoipertestuale"/>
          </w:rPr>
          <w:t>https://home.cern/science/experiments/ntof</w:t>
        </w:r>
      </w:hyperlink>
      <w:r w:rsidR="006A056D">
        <w:rPr>
          <w:rStyle w:val="Collegamentoipertestuale"/>
        </w:rPr>
        <w:t xml:space="preserve"> .</w:t>
      </w:r>
    </w:p>
    <w:p w14:paraId="500BB864" w14:textId="18145ECD" w:rsidR="009751D7" w:rsidRDefault="009751D7" w:rsidP="009751D7">
      <w:pPr>
        <w:pStyle w:val="Referencelist"/>
      </w:pPr>
      <w:r w:rsidRPr="009751D7">
        <w:t>EFFICIENT AND EFFECTIVE USE OF INTEGRAL EXPERIMENTS FOR NUCLEAR DATA VALIDATION</w:t>
      </w:r>
      <w:r>
        <w:t xml:space="preserve"> WPEC SUBGROUP 46 (SG46),</w:t>
      </w:r>
    </w:p>
    <w:p w14:paraId="66F0F9E3" w14:textId="15E84C08" w:rsidR="00062E9A" w:rsidRDefault="007E5BE8" w:rsidP="00062E9A">
      <w:pPr>
        <w:pStyle w:val="Referencelist"/>
        <w:numPr>
          <w:ilvl w:val="0"/>
          <w:numId w:val="0"/>
        </w:numPr>
        <w:ind w:left="720"/>
      </w:pPr>
      <w:hyperlink r:id="rId23" w:history="1">
        <w:r w:rsidR="009751D7" w:rsidRPr="00924238">
          <w:rPr>
            <w:rStyle w:val="Collegamentoipertestuale"/>
          </w:rPr>
          <w:t>https://www.oecd-nea.org/download/wpec/sg46/</w:t>
        </w:r>
      </w:hyperlink>
    </w:p>
    <w:sectPr w:rsidR="00062E9A" w:rsidSect="0026525A">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35EF" w14:textId="77777777" w:rsidR="007E5BE8" w:rsidRDefault="007E5BE8">
      <w:r>
        <w:separator/>
      </w:r>
    </w:p>
  </w:endnote>
  <w:endnote w:type="continuationSeparator" w:id="0">
    <w:p w14:paraId="08F1C029" w14:textId="77777777" w:rsidR="007E5BE8" w:rsidRDefault="007E5BE8">
      <w:r>
        <w:continuationSeparator/>
      </w:r>
    </w:p>
  </w:endnote>
  <w:endnote w:type="continuationNotice" w:id="1">
    <w:p w14:paraId="7DC703DA" w14:textId="77777777" w:rsidR="007E5BE8" w:rsidRDefault="007E5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eXGyreTermesX-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323E2F9A" w:rsidR="00BA34DB" w:rsidRDefault="00BA34DB">
    <w:pPr>
      <w:pStyle w:val="zyxClassification1"/>
    </w:pPr>
    <w:r>
      <w:fldChar w:fldCharType="begin"/>
    </w:r>
    <w:r>
      <w:instrText xml:space="preserve"> DOCPROPERTY "IaeaClassification"  \* MERGEFORMAT </w:instrText>
    </w:r>
    <w:r>
      <w:fldChar w:fldCharType="end"/>
    </w:r>
  </w:p>
  <w:p w14:paraId="433FE0C7" w14:textId="36D268E0" w:rsidR="00BA34DB" w:rsidRDefault="00BA34DB">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593FB19B" w:rsidR="00BA34DB" w:rsidRDefault="00BA34DB">
    <w:pPr>
      <w:pStyle w:val="zyxClassification1"/>
    </w:pPr>
    <w:r>
      <w:fldChar w:fldCharType="begin"/>
    </w:r>
    <w:r>
      <w:instrText xml:space="preserve"> DOCPROPERTY "IaeaClassification"  \* MERGEFORMAT </w:instrText>
    </w:r>
    <w:r>
      <w:fldChar w:fldCharType="end"/>
    </w:r>
  </w:p>
  <w:p w14:paraId="433FE0C9" w14:textId="7E6C6B94" w:rsidR="00BA34DB" w:rsidRPr="00037321" w:rsidRDefault="00BA34DB">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A34DB" w14:paraId="433FE0D8" w14:textId="77777777">
      <w:trPr>
        <w:cantSplit/>
      </w:trPr>
      <w:tc>
        <w:tcPr>
          <w:tcW w:w="4644" w:type="dxa"/>
        </w:tcPr>
        <w:p w14:paraId="433FE0D4" w14:textId="18FBC143" w:rsidR="00BA34DB" w:rsidRDefault="00BA34DB">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4D8A4B40" w:rsidR="00BA34DB" w:rsidRDefault="00BA34DB">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3935D9E7" w:rsidR="00BA34DB" w:rsidRDefault="00BA34D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2BEE3E0D" w:rsidR="00BA34DB" w:rsidRDefault="00BA34DB">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256C4EC5" w:rsidR="00BA34DB" w:rsidRDefault="00BA34DB">
    <w:r>
      <w:rPr>
        <w:sz w:val="16"/>
      </w:rPr>
      <w:fldChar w:fldCharType="begin"/>
    </w:r>
    <w:r>
      <w:rPr>
        <w:sz w:val="16"/>
      </w:rPr>
      <w:instrText xml:space="preserve"> FILENAME \* MERGEFORMAT </w:instrText>
    </w:r>
    <w:r>
      <w:rPr>
        <w:sz w:val="16"/>
      </w:rPr>
      <w:fldChar w:fldCharType="separate"/>
    </w:r>
    <w:r w:rsidR="007E1A19">
      <w:rPr>
        <w:noProof/>
        <w:sz w:val="16"/>
      </w:rPr>
      <w:t>CN291-422.docx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525C" w14:textId="77777777" w:rsidR="007E5BE8" w:rsidRDefault="007E5BE8">
      <w:r>
        <w:t>___________________________________________________________________________</w:t>
      </w:r>
    </w:p>
  </w:footnote>
  <w:footnote w:type="continuationSeparator" w:id="0">
    <w:p w14:paraId="54575905" w14:textId="77777777" w:rsidR="007E5BE8" w:rsidRDefault="007E5BE8">
      <w:r>
        <w:t>___________________________________________________________________________</w:t>
      </w:r>
    </w:p>
  </w:footnote>
  <w:footnote w:type="continuationNotice" w:id="1">
    <w:p w14:paraId="11EAFFA0" w14:textId="77777777" w:rsidR="007E5BE8" w:rsidRDefault="007E5BE8"/>
  </w:footnote>
  <w:footnote w:id="2">
    <w:p w14:paraId="4BCB6E9D" w14:textId="77777777" w:rsidR="00BA34DB" w:rsidRDefault="00BA34DB" w:rsidP="00C933B6">
      <w:pPr>
        <w:pStyle w:val="Testonotaapidipagina"/>
      </w:pPr>
      <w:r>
        <w:rPr>
          <w:rStyle w:val="Rimandonotaapidipagina"/>
        </w:rPr>
        <w:footnoteRef/>
      </w:r>
      <w:r>
        <w:t xml:space="preserve"> </w:t>
      </w:r>
      <w:r w:rsidRPr="0044102A">
        <w:t>For completeness, other modules like RECONR and BROADR have been used, but since their presence</w:t>
      </w:r>
      <w:r>
        <w:t xml:space="preserve"> </w:t>
      </w:r>
      <w:r w:rsidRPr="0044102A">
        <w:t>and purpose is common to almost any standard utilization of NJOY, their detailed description is omitted in this</w:t>
      </w:r>
      <w:r>
        <w:t xml:space="preserve"> </w:t>
      </w:r>
      <w:r w:rsidRPr="0044102A">
        <w:t>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1" w14:textId="2256368F" w:rsidR="00BA34DB" w:rsidRPr="002F128C" w:rsidRDefault="00BA34DB" w:rsidP="002F128C">
    <w:pPr>
      <w:pStyle w:val="Runninghead"/>
    </w:pPr>
    <w:r>
      <w:tab/>
      <w:t>FR21: IAEA-CN-291/422</w:t>
    </w:r>
  </w:p>
  <w:p w14:paraId="433FE0C2" w14:textId="7B772EF6" w:rsidR="00BA34DB" w:rsidRDefault="00BA34DB"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2063B323" w:rsidR="00BA34DB" w:rsidRDefault="00BA34DB">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7167" w14:textId="735CD550" w:rsidR="00BA34DB" w:rsidRPr="00DA7DE8" w:rsidRDefault="00BA34DB" w:rsidP="00DA7DE8">
    <w:pPr>
      <w:pStyle w:val="Runninghead"/>
      <w:rPr>
        <w:lang w:val="it-IT"/>
      </w:rPr>
    </w:pPr>
    <w:r w:rsidRPr="00DA7DE8">
      <w:rPr>
        <w:lang w:val="it-IT"/>
      </w:rPr>
      <w:t>CASTELLUCCIO et al</w:t>
    </w:r>
    <w:r>
      <w:rPr>
        <w:lang w:val="it-IT"/>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A34DB" w14:paraId="433FE0CE" w14:textId="77777777">
      <w:trPr>
        <w:cantSplit/>
        <w:trHeight w:val="716"/>
      </w:trPr>
      <w:tc>
        <w:tcPr>
          <w:tcW w:w="979" w:type="dxa"/>
          <w:vMerge w:val="restart"/>
        </w:tcPr>
        <w:p w14:paraId="433FE0CA" w14:textId="77777777" w:rsidR="00BA34DB" w:rsidRDefault="00BA34DB">
          <w:pPr>
            <w:spacing w:before="180"/>
            <w:ind w:left="17"/>
          </w:pPr>
        </w:p>
      </w:tc>
      <w:tc>
        <w:tcPr>
          <w:tcW w:w="3638" w:type="dxa"/>
          <w:vAlign w:val="bottom"/>
        </w:tcPr>
        <w:p w14:paraId="433FE0CB" w14:textId="77777777" w:rsidR="00BA34DB" w:rsidRDefault="00BA34DB">
          <w:pPr>
            <w:spacing w:after="20"/>
          </w:pPr>
        </w:p>
      </w:tc>
      <w:bookmarkStart w:id="4" w:name="DOC_bkmClassification1"/>
      <w:tc>
        <w:tcPr>
          <w:tcW w:w="5702" w:type="dxa"/>
          <w:vMerge w:val="restart"/>
          <w:tcMar>
            <w:right w:w="193" w:type="dxa"/>
          </w:tcMar>
        </w:tcPr>
        <w:p w14:paraId="433FE0CC" w14:textId="5316D438" w:rsidR="00BA34DB" w:rsidRDefault="00BA34DB">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19DD0746" w:rsidR="00BA34DB" w:rsidRDefault="00BA34DB">
          <w:pPr>
            <w:pStyle w:val="zyxConfid2Red"/>
          </w:pPr>
          <w:r>
            <w:fldChar w:fldCharType="begin"/>
          </w:r>
          <w:r>
            <w:instrText>DOCPROPERTY "IaeaClassification2"  \* MERGEFORMAT</w:instrText>
          </w:r>
          <w:r>
            <w:fldChar w:fldCharType="end"/>
          </w:r>
        </w:p>
      </w:tc>
    </w:tr>
    <w:tr w:rsidR="00BA34DB" w14:paraId="433FE0D2" w14:textId="77777777">
      <w:trPr>
        <w:cantSplit/>
        <w:trHeight w:val="167"/>
      </w:trPr>
      <w:tc>
        <w:tcPr>
          <w:tcW w:w="979" w:type="dxa"/>
          <w:vMerge/>
        </w:tcPr>
        <w:p w14:paraId="433FE0CF" w14:textId="77777777" w:rsidR="00BA34DB" w:rsidRDefault="00BA34DB">
          <w:pPr>
            <w:spacing w:before="57"/>
          </w:pPr>
        </w:p>
      </w:tc>
      <w:tc>
        <w:tcPr>
          <w:tcW w:w="3638" w:type="dxa"/>
          <w:vAlign w:val="bottom"/>
        </w:tcPr>
        <w:p w14:paraId="433FE0D0" w14:textId="77777777" w:rsidR="00BA34DB" w:rsidRDefault="00BA34DB">
          <w:pPr>
            <w:pStyle w:val="Titolo9"/>
            <w:spacing w:before="0" w:after="10"/>
          </w:pPr>
        </w:p>
      </w:tc>
      <w:tc>
        <w:tcPr>
          <w:tcW w:w="5702" w:type="dxa"/>
          <w:vMerge/>
          <w:vAlign w:val="bottom"/>
        </w:tcPr>
        <w:p w14:paraId="433FE0D1" w14:textId="77777777" w:rsidR="00BA34DB" w:rsidRDefault="00BA34DB">
          <w:pPr>
            <w:pStyle w:val="Titolo9"/>
            <w:spacing w:before="0" w:after="10"/>
          </w:pPr>
        </w:p>
      </w:tc>
    </w:tr>
  </w:tbl>
  <w:p w14:paraId="433FE0D3" w14:textId="77777777" w:rsidR="00BA34DB" w:rsidRDefault="00BA34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894"/>
    <w:multiLevelType w:val="hybridMultilevel"/>
    <w:tmpl w:val="89FE5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0C9290A"/>
    <w:multiLevelType w:val="hybridMultilevel"/>
    <w:tmpl w:val="1A00CA7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111926FE"/>
    <w:multiLevelType w:val="multilevel"/>
    <w:tmpl w:val="4FB65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E7A09"/>
    <w:multiLevelType w:val="hybridMultilevel"/>
    <w:tmpl w:val="F9105B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D18048A"/>
    <w:multiLevelType w:val="hybridMultilevel"/>
    <w:tmpl w:val="48E87BDE"/>
    <w:name w:val="HeadingTemplate222"/>
    <w:lvl w:ilvl="0" w:tplc="44CC9AB2">
      <w:start w:val="1"/>
      <w:numFmt w:val="decimal"/>
      <w:pStyle w:val="Referencelist"/>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E1CAD"/>
    <w:multiLevelType w:val="multilevel"/>
    <w:tmpl w:val="9AE83F84"/>
    <w:lvl w:ilvl="0">
      <w:start w:val="5"/>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B64AEB"/>
    <w:multiLevelType w:val="hybridMultilevel"/>
    <w:tmpl w:val="9F807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1F1159"/>
    <w:multiLevelType w:val="hybridMultilevel"/>
    <w:tmpl w:val="EEA60078"/>
    <w:lvl w:ilvl="0" w:tplc="B336BC00">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1B66E8C"/>
    <w:multiLevelType w:val="hybridMultilevel"/>
    <w:tmpl w:val="98464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F10771"/>
    <w:multiLevelType w:val="hybridMultilevel"/>
    <w:tmpl w:val="4DFAEBB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68F42CF9"/>
    <w:multiLevelType w:val="hybridMultilevel"/>
    <w:tmpl w:val="9D58BA8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3C75874"/>
    <w:multiLevelType w:val="hybridMultilevel"/>
    <w:tmpl w:val="807457C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E654C57"/>
    <w:multiLevelType w:val="hybridMultilevel"/>
    <w:tmpl w:val="E1A052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20"/>
  </w:num>
  <w:num w:numId="4">
    <w:abstractNumId w:val="20"/>
  </w:num>
  <w:num w:numId="5">
    <w:abstractNumId w:val="20"/>
  </w:num>
  <w:num w:numId="6">
    <w:abstractNumId w:val="9"/>
  </w:num>
  <w:num w:numId="7">
    <w:abstractNumId w:val="16"/>
  </w:num>
  <w:num w:numId="8">
    <w:abstractNumId w:val="22"/>
  </w:num>
  <w:num w:numId="9">
    <w:abstractNumId w:val="2"/>
  </w:num>
  <w:num w:numId="10">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20"/>
  </w:num>
  <w:num w:numId="12">
    <w:abstractNumId w:val="20"/>
  </w:num>
  <w:num w:numId="13">
    <w:abstractNumId w:val="20"/>
  </w:num>
  <w:num w:numId="14">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20"/>
  </w:num>
  <w:num w:numId="16">
    <w:abstractNumId w:val="20"/>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20"/>
  </w:num>
  <w:num w:numId="22">
    <w:abstractNumId w:val="6"/>
  </w:num>
  <w:num w:numId="23">
    <w:abstractNumId w:val="1"/>
  </w:num>
  <w:num w:numId="24">
    <w:abstractNumId w:val="19"/>
  </w:num>
  <w:num w:numId="25">
    <w:abstractNumId w:val="20"/>
  </w:num>
  <w:num w:numId="26">
    <w:abstractNumId w:val="20"/>
  </w:num>
  <w:num w:numId="27">
    <w:abstractNumId w:val="20"/>
  </w:num>
  <w:num w:numId="28">
    <w:abstractNumId w:val="20"/>
  </w:num>
  <w:num w:numId="29">
    <w:abstractNumId w:val="20"/>
  </w:num>
  <w:num w:numId="30">
    <w:abstractNumId w:val="10"/>
  </w:num>
  <w:num w:numId="31">
    <w:abstractNumId w:val="10"/>
  </w:num>
  <w:num w:numId="32">
    <w:abstractNumId w:val="20"/>
  </w:num>
  <w:num w:numId="33">
    <w:abstractNumId w:val="10"/>
    <w:lvlOverride w:ilvl="0">
      <w:startOverride w:val="1"/>
    </w:lvlOverride>
  </w:num>
  <w:num w:numId="34">
    <w:abstractNumId w:val="21"/>
  </w:num>
  <w:num w:numId="35">
    <w:abstractNumId w:val="17"/>
  </w:num>
  <w:num w:numId="36">
    <w:abstractNumId w:val="15"/>
  </w:num>
  <w:num w:numId="37">
    <w:abstractNumId w:val="18"/>
  </w:num>
  <w:num w:numId="38">
    <w:abstractNumId w:val="10"/>
    <w:lvlOverride w:ilvl="0">
      <w:startOverride w:val="1"/>
    </w:lvlOverride>
  </w:num>
  <w:num w:numId="39">
    <w:abstractNumId w:val="10"/>
  </w:num>
  <w:num w:numId="40">
    <w:abstractNumId w:val="10"/>
    <w:lvlOverride w:ilvl="0">
      <w:startOverride w:val="1"/>
    </w:lvlOverride>
  </w:num>
  <w:num w:numId="41">
    <w:abstractNumId w:val="23"/>
  </w:num>
  <w:num w:numId="42">
    <w:abstractNumId w:val="3"/>
  </w:num>
  <w:num w:numId="43">
    <w:abstractNumId w:val="10"/>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0"/>
  </w:num>
  <w:num w:numId="49">
    <w:abstractNumId w:val="13"/>
  </w:num>
  <w:num w:numId="50">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51">
    <w:abstractNumId w:val="4"/>
  </w:num>
  <w:num w:numId="52">
    <w:abstractNumId w:val="11"/>
  </w:num>
  <w:num w:numId="53">
    <w:abstractNumId w:val="20"/>
  </w:num>
  <w:num w:numId="54">
    <w:abstractNumId w:val="20"/>
  </w:num>
  <w:num w:numId="55">
    <w:abstractNumId w:val="20"/>
  </w:num>
  <w:num w:numId="56">
    <w:abstractNumId w:val="10"/>
  </w:num>
  <w:num w:numId="57">
    <w:abstractNumId w:val="12"/>
  </w:num>
  <w:num w:numId="58">
    <w:abstractNumId w:val="8"/>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1E6B"/>
    <w:rsid w:val="00003206"/>
    <w:rsid w:val="000040F7"/>
    <w:rsid w:val="00004A07"/>
    <w:rsid w:val="000123D4"/>
    <w:rsid w:val="000134A3"/>
    <w:rsid w:val="000146F5"/>
    <w:rsid w:val="00015900"/>
    <w:rsid w:val="00020A4C"/>
    <w:rsid w:val="0002219B"/>
    <w:rsid w:val="000229AB"/>
    <w:rsid w:val="00024DB3"/>
    <w:rsid w:val="00025448"/>
    <w:rsid w:val="0002569A"/>
    <w:rsid w:val="000278E8"/>
    <w:rsid w:val="000302A4"/>
    <w:rsid w:val="000334B1"/>
    <w:rsid w:val="0003478B"/>
    <w:rsid w:val="00037142"/>
    <w:rsid w:val="00037321"/>
    <w:rsid w:val="000422B4"/>
    <w:rsid w:val="00043479"/>
    <w:rsid w:val="00047AC0"/>
    <w:rsid w:val="0005124D"/>
    <w:rsid w:val="000529FA"/>
    <w:rsid w:val="0005476E"/>
    <w:rsid w:val="00057233"/>
    <w:rsid w:val="000600B8"/>
    <w:rsid w:val="00062E9A"/>
    <w:rsid w:val="000641FF"/>
    <w:rsid w:val="00064F31"/>
    <w:rsid w:val="0006603B"/>
    <w:rsid w:val="00066269"/>
    <w:rsid w:val="0007083C"/>
    <w:rsid w:val="000834D2"/>
    <w:rsid w:val="0008451F"/>
    <w:rsid w:val="00085807"/>
    <w:rsid w:val="00087F76"/>
    <w:rsid w:val="00090E43"/>
    <w:rsid w:val="0009275C"/>
    <w:rsid w:val="00093A64"/>
    <w:rsid w:val="000951CF"/>
    <w:rsid w:val="00097231"/>
    <w:rsid w:val="000A0299"/>
    <w:rsid w:val="000A061A"/>
    <w:rsid w:val="000A2990"/>
    <w:rsid w:val="000B1BE6"/>
    <w:rsid w:val="000B2710"/>
    <w:rsid w:val="000B3453"/>
    <w:rsid w:val="000B5C44"/>
    <w:rsid w:val="000C1CB1"/>
    <w:rsid w:val="000C28A8"/>
    <w:rsid w:val="000C4332"/>
    <w:rsid w:val="000E1CA0"/>
    <w:rsid w:val="000E3065"/>
    <w:rsid w:val="000E3121"/>
    <w:rsid w:val="000F1114"/>
    <w:rsid w:val="000F204F"/>
    <w:rsid w:val="000F2D6E"/>
    <w:rsid w:val="000F7E94"/>
    <w:rsid w:val="0010132C"/>
    <w:rsid w:val="00101334"/>
    <w:rsid w:val="001119D6"/>
    <w:rsid w:val="00115ED4"/>
    <w:rsid w:val="0011697D"/>
    <w:rsid w:val="00122A4A"/>
    <w:rsid w:val="001306D5"/>
    <w:rsid w:val="001308F2"/>
    <w:rsid w:val="001313E8"/>
    <w:rsid w:val="00132614"/>
    <w:rsid w:val="00133E12"/>
    <w:rsid w:val="0013481A"/>
    <w:rsid w:val="00135606"/>
    <w:rsid w:val="00140436"/>
    <w:rsid w:val="00140DB1"/>
    <w:rsid w:val="0014594B"/>
    <w:rsid w:val="00154E43"/>
    <w:rsid w:val="00154EE8"/>
    <w:rsid w:val="0015630E"/>
    <w:rsid w:val="00161F58"/>
    <w:rsid w:val="001628F0"/>
    <w:rsid w:val="00163A69"/>
    <w:rsid w:val="00166D79"/>
    <w:rsid w:val="00167ABE"/>
    <w:rsid w:val="0018021C"/>
    <w:rsid w:val="00183BC4"/>
    <w:rsid w:val="0019317E"/>
    <w:rsid w:val="00195F12"/>
    <w:rsid w:val="00197DC2"/>
    <w:rsid w:val="001A5F67"/>
    <w:rsid w:val="001A6478"/>
    <w:rsid w:val="001B053D"/>
    <w:rsid w:val="001B1A63"/>
    <w:rsid w:val="001C58F5"/>
    <w:rsid w:val="001C7B27"/>
    <w:rsid w:val="001D5CEE"/>
    <w:rsid w:val="001E6CE1"/>
    <w:rsid w:val="001F0050"/>
    <w:rsid w:val="001F4406"/>
    <w:rsid w:val="001F485F"/>
    <w:rsid w:val="0020040F"/>
    <w:rsid w:val="00200C78"/>
    <w:rsid w:val="00205898"/>
    <w:rsid w:val="002071D9"/>
    <w:rsid w:val="002106B3"/>
    <w:rsid w:val="002223F1"/>
    <w:rsid w:val="00230399"/>
    <w:rsid w:val="00232D06"/>
    <w:rsid w:val="00232F41"/>
    <w:rsid w:val="00232FCE"/>
    <w:rsid w:val="0023450F"/>
    <w:rsid w:val="00237621"/>
    <w:rsid w:val="0024399E"/>
    <w:rsid w:val="00247B14"/>
    <w:rsid w:val="00251E10"/>
    <w:rsid w:val="002536C2"/>
    <w:rsid w:val="00256822"/>
    <w:rsid w:val="002579A7"/>
    <w:rsid w:val="00260231"/>
    <w:rsid w:val="002638DB"/>
    <w:rsid w:val="00264257"/>
    <w:rsid w:val="0026525A"/>
    <w:rsid w:val="0026745D"/>
    <w:rsid w:val="002744C8"/>
    <w:rsid w:val="00274790"/>
    <w:rsid w:val="00276040"/>
    <w:rsid w:val="002762BC"/>
    <w:rsid w:val="0027762B"/>
    <w:rsid w:val="00277646"/>
    <w:rsid w:val="00285755"/>
    <w:rsid w:val="002864E1"/>
    <w:rsid w:val="00297EC0"/>
    <w:rsid w:val="002A00F4"/>
    <w:rsid w:val="002A1F9C"/>
    <w:rsid w:val="002A5389"/>
    <w:rsid w:val="002A7807"/>
    <w:rsid w:val="002B24E5"/>
    <w:rsid w:val="002B29C2"/>
    <w:rsid w:val="002B478F"/>
    <w:rsid w:val="002B4A3C"/>
    <w:rsid w:val="002C29DB"/>
    <w:rsid w:val="002C4208"/>
    <w:rsid w:val="002D01FD"/>
    <w:rsid w:val="002E22DB"/>
    <w:rsid w:val="002E7707"/>
    <w:rsid w:val="002F128C"/>
    <w:rsid w:val="002F5212"/>
    <w:rsid w:val="002F6023"/>
    <w:rsid w:val="00300338"/>
    <w:rsid w:val="00300464"/>
    <w:rsid w:val="00300BDB"/>
    <w:rsid w:val="00310281"/>
    <w:rsid w:val="00310803"/>
    <w:rsid w:val="0031511E"/>
    <w:rsid w:val="003205D5"/>
    <w:rsid w:val="00320809"/>
    <w:rsid w:val="00320A08"/>
    <w:rsid w:val="00320E20"/>
    <w:rsid w:val="003303EA"/>
    <w:rsid w:val="00330DD6"/>
    <w:rsid w:val="00333E37"/>
    <w:rsid w:val="00336F30"/>
    <w:rsid w:val="0034502B"/>
    <w:rsid w:val="00346341"/>
    <w:rsid w:val="00351320"/>
    <w:rsid w:val="0035176B"/>
    <w:rsid w:val="0035189B"/>
    <w:rsid w:val="00352DE1"/>
    <w:rsid w:val="003664D5"/>
    <w:rsid w:val="003702CD"/>
    <w:rsid w:val="003728E6"/>
    <w:rsid w:val="00373842"/>
    <w:rsid w:val="00377536"/>
    <w:rsid w:val="003807B0"/>
    <w:rsid w:val="003812D1"/>
    <w:rsid w:val="003823D3"/>
    <w:rsid w:val="00382862"/>
    <w:rsid w:val="00383541"/>
    <w:rsid w:val="00386425"/>
    <w:rsid w:val="0038701A"/>
    <w:rsid w:val="0039210A"/>
    <w:rsid w:val="00393E7C"/>
    <w:rsid w:val="0039764E"/>
    <w:rsid w:val="003A09A3"/>
    <w:rsid w:val="003A1AD3"/>
    <w:rsid w:val="003A2C45"/>
    <w:rsid w:val="003B0068"/>
    <w:rsid w:val="003B5E0E"/>
    <w:rsid w:val="003C1BAE"/>
    <w:rsid w:val="003C1D04"/>
    <w:rsid w:val="003C28B2"/>
    <w:rsid w:val="003C2C6B"/>
    <w:rsid w:val="003D255A"/>
    <w:rsid w:val="003D2807"/>
    <w:rsid w:val="003D4FEB"/>
    <w:rsid w:val="003D758D"/>
    <w:rsid w:val="003E03BD"/>
    <w:rsid w:val="003E1A49"/>
    <w:rsid w:val="003E2AC9"/>
    <w:rsid w:val="003E3127"/>
    <w:rsid w:val="003E7FBD"/>
    <w:rsid w:val="003F03A8"/>
    <w:rsid w:val="003F1045"/>
    <w:rsid w:val="003F480C"/>
    <w:rsid w:val="003F64B1"/>
    <w:rsid w:val="003F6FE9"/>
    <w:rsid w:val="004024C7"/>
    <w:rsid w:val="00404779"/>
    <w:rsid w:val="004103E9"/>
    <w:rsid w:val="0041185E"/>
    <w:rsid w:val="00411E29"/>
    <w:rsid w:val="0041217C"/>
    <w:rsid w:val="00416949"/>
    <w:rsid w:val="00416DEF"/>
    <w:rsid w:val="00421895"/>
    <w:rsid w:val="00422404"/>
    <w:rsid w:val="00430AEA"/>
    <w:rsid w:val="00432333"/>
    <w:rsid w:val="004370D8"/>
    <w:rsid w:val="00437628"/>
    <w:rsid w:val="00437883"/>
    <w:rsid w:val="00440FCC"/>
    <w:rsid w:val="0044102A"/>
    <w:rsid w:val="00442BB7"/>
    <w:rsid w:val="00444F8A"/>
    <w:rsid w:val="00445069"/>
    <w:rsid w:val="00452045"/>
    <w:rsid w:val="0046327B"/>
    <w:rsid w:val="004640C7"/>
    <w:rsid w:val="00472C43"/>
    <w:rsid w:val="00473C79"/>
    <w:rsid w:val="004864EA"/>
    <w:rsid w:val="00492AC8"/>
    <w:rsid w:val="004947C2"/>
    <w:rsid w:val="00495FB1"/>
    <w:rsid w:val="0049706B"/>
    <w:rsid w:val="00497B6F"/>
    <w:rsid w:val="004B2126"/>
    <w:rsid w:val="004B25DE"/>
    <w:rsid w:val="004B686E"/>
    <w:rsid w:val="004C25F2"/>
    <w:rsid w:val="004C49CE"/>
    <w:rsid w:val="004C7546"/>
    <w:rsid w:val="004D322F"/>
    <w:rsid w:val="004D6CE2"/>
    <w:rsid w:val="004D7534"/>
    <w:rsid w:val="004E0137"/>
    <w:rsid w:val="004E1580"/>
    <w:rsid w:val="004E34CC"/>
    <w:rsid w:val="004E466C"/>
    <w:rsid w:val="004E5060"/>
    <w:rsid w:val="004E5C6A"/>
    <w:rsid w:val="004E6A9D"/>
    <w:rsid w:val="004E73A3"/>
    <w:rsid w:val="004F02B0"/>
    <w:rsid w:val="004F15C3"/>
    <w:rsid w:val="004F5169"/>
    <w:rsid w:val="004F53CC"/>
    <w:rsid w:val="004F59D6"/>
    <w:rsid w:val="004F5E6D"/>
    <w:rsid w:val="004F6A04"/>
    <w:rsid w:val="005041C9"/>
    <w:rsid w:val="00504872"/>
    <w:rsid w:val="005108EE"/>
    <w:rsid w:val="0051228C"/>
    <w:rsid w:val="00516F2A"/>
    <w:rsid w:val="00517C57"/>
    <w:rsid w:val="00521F1E"/>
    <w:rsid w:val="005274E8"/>
    <w:rsid w:val="00533C39"/>
    <w:rsid w:val="00534A58"/>
    <w:rsid w:val="00537496"/>
    <w:rsid w:val="00541B51"/>
    <w:rsid w:val="00542D6D"/>
    <w:rsid w:val="00543507"/>
    <w:rsid w:val="00544ED3"/>
    <w:rsid w:val="00547DFE"/>
    <w:rsid w:val="00552782"/>
    <w:rsid w:val="00560021"/>
    <w:rsid w:val="00563B92"/>
    <w:rsid w:val="00577E5D"/>
    <w:rsid w:val="005805FE"/>
    <w:rsid w:val="00582F56"/>
    <w:rsid w:val="0058405B"/>
    <w:rsid w:val="0058477B"/>
    <w:rsid w:val="00585E46"/>
    <w:rsid w:val="005863F4"/>
    <w:rsid w:val="0058654F"/>
    <w:rsid w:val="00587054"/>
    <w:rsid w:val="00591F1F"/>
    <w:rsid w:val="00592A32"/>
    <w:rsid w:val="00596ACA"/>
    <w:rsid w:val="005A4B01"/>
    <w:rsid w:val="005A6D89"/>
    <w:rsid w:val="005B0DF1"/>
    <w:rsid w:val="005B6931"/>
    <w:rsid w:val="005D35DC"/>
    <w:rsid w:val="005E39BC"/>
    <w:rsid w:val="005E3E1C"/>
    <w:rsid w:val="005E45CD"/>
    <w:rsid w:val="005F00A0"/>
    <w:rsid w:val="005F306F"/>
    <w:rsid w:val="005F5680"/>
    <w:rsid w:val="0060106B"/>
    <w:rsid w:val="006020FF"/>
    <w:rsid w:val="0061535E"/>
    <w:rsid w:val="0062102C"/>
    <w:rsid w:val="00621FBB"/>
    <w:rsid w:val="00625F7F"/>
    <w:rsid w:val="006301B9"/>
    <w:rsid w:val="00636AA7"/>
    <w:rsid w:val="00641A6E"/>
    <w:rsid w:val="00642B96"/>
    <w:rsid w:val="00642FF1"/>
    <w:rsid w:val="006456BC"/>
    <w:rsid w:val="00647F33"/>
    <w:rsid w:val="00657D4E"/>
    <w:rsid w:val="00661B45"/>
    <w:rsid w:val="00662532"/>
    <w:rsid w:val="00662FC6"/>
    <w:rsid w:val="006671F4"/>
    <w:rsid w:val="0067260F"/>
    <w:rsid w:val="00673563"/>
    <w:rsid w:val="00674C8D"/>
    <w:rsid w:val="00675BD0"/>
    <w:rsid w:val="00677512"/>
    <w:rsid w:val="00677FE4"/>
    <w:rsid w:val="006820F2"/>
    <w:rsid w:val="0068308A"/>
    <w:rsid w:val="006842D8"/>
    <w:rsid w:val="006A056D"/>
    <w:rsid w:val="006A42DA"/>
    <w:rsid w:val="006B0E4C"/>
    <w:rsid w:val="006B2274"/>
    <w:rsid w:val="006B248E"/>
    <w:rsid w:val="006B2A38"/>
    <w:rsid w:val="006C2CB0"/>
    <w:rsid w:val="006C3FB5"/>
    <w:rsid w:val="006C61BB"/>
    <w:rsid w:val="006C70CD"/>
    <w:rsid w:val="006C76CE"/>
    <w:rsid w:val="006E0352"/>
    <w:rsid w:val="006E1877"/>
    <w:rsid w:val="006E4161"/>
    <w:rsid w:val="006E4E33"/>
    <w:rsid w:val="006F5D2F"/>
    <w:rsid w:val="006F7FFC"/>
    <w:rsid w:val="00701918"/>
    <w:rsid w:val="007140C6"/>
    <w:rsid w:val="0071758E"/>
    <w:rsid w:val="00717C6F"/>
    <w:rsid w:val="00725269"/>
    <w:rsid w:val="0072703E"/>
    <w:rsid w:val="00734F3B"/>
    <w:rsid w:val="0074031B"/>
    <w:rsid w:val="0074273F"/>
    <w:rsid w:val="00742E3E"/>
    <w:rsid w:val="00742FEE"/>
    <w:rsid w:val="007445DA"/>
    <w:rsid w:val="0074711D"/>
    <w:rsid w:val="00752F98"/>
    <w:rsid w:val="00755991"/>
    <w:rsid w:val="007577BA"/>
    <w:rsid w:val="007672D3"/>
    <w:rsid w:val="00777416"/>
    <w:rsid w:val="00782B3C"/>
    <w:rsid w:val="00784747"/>
    <w:rsid w:val="0078688B"/>
    <w:rsid w:val="007918E3"/>
    <w:rsid w:val="00795BFA"/>
    <w:rsid w:val="007A43F6"/>
    <w:rsid w:val="007A49D8"/>
    <w:rsid w:val="007A4C23"/>
    <w:rsid w:val="007A5850"/>
    <w:rsid w:val="007A60E3"/>
    <w:rsid w:val="007B21E1"/>
    <w:rsid w:val="007B3F5E"/>
    <w:rsid w:val="007B4FD1"/>
    <w:rsid w:val="007B6ADB"/>
    <w:rsid w:val="007D5F49"/>
    <w:rsid w:val="007E1A19"/>
    <w:rsid w:val="007E472E"/>
    <w:rsid w:val="007E5BE8"/>
    <w:rsid w:val="007E5CF3"/>
    <w:rsid w:val="007F48AC"/>
    <w:rsid w:val="007F4BAA"/>
    <w:rsid w:val="007F5473"/>
    <w:rsid w:val="007F6A1F"/>
    <w:rsid w:val="00802381"/>
    <w:rsid w:val="0080264F"/>
    <w:rsid w:val="0080394C"/>
    <w:rsid w:val="00804A61"/>
    <w:rsid w:val="00807FC8"/>
    <w:rsid w:val="008202ED"/>
    <w:rsid w:val="008233B5"/>
    <w:rsid w:val="00825DBB"/>
    <w:rsid w:val="0083096A"/>
    <w:rsid w:val="008369F4"/>
    <w:rsid w:val="00837030"/>
    <w:rsid w:val="00842D3C"/>
    <w:rsid w:val="00843E20"/>
    <w:rsid w:val="008447E3"/>
    <w:rsid w:val="00846CD7"/>
    <w:rsid w:val="00850A45"/>
    <w:rsid w:val="00852B5B"/>
    <w:rsid w:val="00853C58"/>
    <w:rsid w:val="008546CF"/>
    <w:rsid w:val="0086234D"/>
    <w:rsid w:val="00862AF8"/>
    <w:rsid w:val="008659DF"/>
    <w:rsid w:val="00866435"/>
    <w:rsid w:val="0086759F"/>
    <w:rsid w:val="008701DD"/>
    <w:rsid w:val="00871F40"/>
    <w:rsid w:val="00873046"/>
    <w:rsid w:val="008735CF"/>
    <w:rsid w:val="00876F70"/>
    <w:rsid w:val="00876F93"/>
    <w:rsid w:val="00883848"/>
    <w:rsid w:val="00884DBB"/>
    <w:rsid w:val="008925A6"/>
    <w:rsid w:val="00894354"/>
    <w:rsid w:val="00894B5C"/>
    <w:rsid w:val="00895761"/>
    <w:rsid w:val="00897ED5"/>
    <w:rsid w:val="008A459C"/>
    <w:rsid w:val="008A5007"/>
    <w:rsid w:val="008A5D61"/>
    <w:rsid w:val="008A63E0"/>
    <w:rsid w:val="008B0D32"/>
    <w:rsid w:val="008B3958"/>
    <w:rsid w:val="008B3CBA"/>
    <w:rsid w:val="008B6113"/>
    <w:rsid w:val="008B6BB9"/>
    <w:rsid w:val="008C2399"/>
    <w:rsid w:val="008C45E7"/>
    <w:rsid w:val="008C7010"/>
    <w:rsid w:val="008D316C"/>
    <w:rsid w:val="008D34C2"/>
    <w:rsid w:val="008D4344"/>
    <w:rsid w:val="008D53EE"/>
    <w:rsid w:val="008D5A18"/>
    <w:rsid w:val="008D5ABE"/>
    <w:rsid w:val="008D6D00"/>
    <w:rsid w:val="008E0C92"/>
    <w:rsid w:val="008E2CDB"/>
    <w:rsid w:val="008E4784"/>
    <w:rsid w:val="008E58B8"/>
    <w:rsid w:val="008E6077"/>
    <w:rsid w:val="008E75F5"/>
    <w:rsid w:val="008F5804"/>
    <w:rsid w:val="00911543"/>
    <w:rsid w:val="00915F10"/>
    <w:rsid w:val="009202E5"/>
    <w:rsid w:val="009270B1"/>
    <w:rsid w:val="0092789D"/>
    <w:rsid w:val="00927AD0"/>
    <w:rsid w:val="00934A35"/>
    <w:rsid w:val="00940CB1"/>
    <w:rsid w:val="00942509"/>
    <w:rsid w:val="00943366"/>
    <w:rsid w:val="00947DC8"/>
    <w:rsid w:val="00950425"/>
    <w:rsid w:val="00950A5F"/>
    <w:rsid w:val="009519C9"/>
    <w:rsid w:val="0095243A"/>
    <w:rsid w:val="0095295A"/>
    <w:rsid w:val="00952ADB"/>
    <w:rsid w:val="00953826"/>
    <w:rsid w:val="00955BFA"/>
    <w:rsid w:val="0095698C"/>
    <w:rsid w:val="00957631"/>
    <w:rsid w:val="009614EF"/>
    <w:rsid w:val="009653DC"/>
    <w:rsid w:val="00965A44"/>
    <w:rsid w:val="00966A0E"/>
    <w:rsid w:val="0096749B"/>
    <w:rsid w:val="00967728"/>
    <w:rsid w:val="00971C11"/>
    <w:rsid w:val="00972654"/>
    <w:rsid w:val="009751D7"/>
    <w:rsid w:val="0098299D"/>
    <w:rsid w:val="00982DA0"/>
    <w:rsid w:val="009830A1"/>
    <w:rsid w:val="00984A4F"/>
    <w:rsid w:val="00984A65"/>
    <w:rsid w:val="00995276"/>
    <w:rsid w:val="00997DBE"/>
    <w:rsid w:val="009A05AA"/>
    <w:rsid w:val="009A1B96"/>
    <w:rsid w:val="009A45FE"/>
    <w:rsid w:val="009B11F5"/>
    <w:rsid w:val="009B1497"/>
    <w:rsid w:val="009B2CF3"/>
    <w:rsid w:val="009B4ECC"/>
    <w:rsid w:val="009B5926"/>
    <w:rsid w:val="009C09BD"/>
    <w:rsid w:val="009C6B83"/>
    <w:rsid w:val="009D0A4F"/>
    <w:rsid w:val="009D0B86"/>
    <w:rsid w:val="009D17BC"/>
    <w:rsid w:val="009D18DC"/>
    <w:rsid w:val="009D1A41"/>
    <w:rsid w:val="009E0D5B"/>
    <w:rsid w:val="009E1558"/>
    <w:rsid w:val="009E3538"/>
    <w:rsid w:val="009E4A29"/>
    <w:rsid w:val="009E619F"/>
    <w:rsid w:val="009E735C"/>
    <w:rsid w:val="009F4460"/>
    <w:rsid w:val="00A00914"/>
    <w:rsid w:val="00A0613C"/>
    <w:rsid w:val="00A07D6F"/>
    <w:rsid w:val="00A13195"/>
    <w:rsid w:val="00A14297"/>
    <w:rsid w:val="00A20CFB"/>
    <w:rsid w:val="00A212F5"/>
    <w:rsid w:val="00A233D1"/>
    <w:rsid w:val="00A239D6"/>
    <w:rsid w:val="00A24A17"/>
    <w:rsid w:val="00A3046D"/>
    <w:rsid w:val="00A313FD"/>
    <w:rsid w:val="00A31D4C"/>
    <w:rsid w:val="00A333C1"/>
    <w:rsid w:val="00A35F4F"/>
    <w:rsid w:val="00A36495"/>
    <w:rsid w:val="00A365A0"/>
    <w:rsid w:val="00A36621"/>
    <w:rsid w:val="00A37A92"/>
    <w:rsid w:val="00A42898"/>
    <w:rsid w:val="00A445FE"/>
    <w:rsid w:val="00A45A73"/>
    <w:rsid w:val="00A57919"/>
    <w:rsid w:val="00A61923"/>
    <w:rsid w:val="00A62053"/>
    <w:rsid w:val="00A6524F"/>
    <w:rsid w:val="00A66981"/>
    <w:rsid w:val="00A70621"/>
    <w:rsid w:val="00A70A34"/>
    <w:rsid w:val="00A71A49"/>
    <w:rsid w:val="00A7410E"/>
    <w:rsid w:val="00A74119"/>
    <w:rsid w:val="00A75DFC"/>
    <w:rsid w:val="00A81602"/>
    <w:rsid w:val="00A83BC9"/>
    <w:rsid w:val="00A92B03"/>
    <w:rsid w:val="00A92E89"/>
    <w:rsid w:val="00A92E91"/>
    <w:rsid w:val="00A94722"/>
    <w:rsid w:val="00AA0054"/>
    <w:rsid w:val="00AA4793"/>
    <w:rsid w:val="00AA4ED4"/>
    <w:rsid w:val="00AA77A2"/>
    <w:rsid w:val="00AB3B83"/>
    <w:rsid w:val="00AB5080"/>
    <w:rsid w:val="00AB6ACE"/>
    <w:rsid w:val="00AC1E44"/>
    <w:rsid w:val="00AC5A3A"/>
    <w:rsid w:val="00AD18CE"/>
    <w:rsid w:val="00AD4057"/>
    <w:rsid w:val="00AD5512"/>
    <w:rsid w:val="00AD6EBC"/>
    <w:rsid w:val="00AE0637"/>
    <w:rsid w:val="00AE2711"/>
    <w:rsid w:val="00AE3183"/>
    <w:rsid w:val="00AE5F50"/>
    <w:rsid w:val="00AE65A6"/>
    <w:rsid w:val="00AF1047"/>
    <w:rsid w:val="00B03383"/>
    <w:rsid w:val="00B038C1"/>
    <w:rsid w:val="00B104F4"/>
    <w:rsid w:val="00B20039"/>
    <w:rsid w:val="00B20B8B"/>
    <w:rsid w:val="00B21A19"/>
    <w:rsid w:val="00B22165"/>
    <w:rsid w:val="00B224F5"/>
    <w:rsid w:val="00B23D50"/>
    <w:rsid w:val="00B250C3"/>
    <w:rsid w:val="00B251CC"/>
    <w:rsid w:val="00B32DA9"/>
    <w:rsid w:val="00B35550"/>
    <w:rsid w:val="00B35C60"/>
    <w:rsid w:val="00B44DE9"/>
    <w:rsid w:val="00B46293"/>
    <w:rsid w:val="00B55960"/>
    <w:rsid w:val="00B604BE"/>
    <w:rsid w:val="00B61B02"/>
    <w:rsid w:val="00B64BBD"/>
    <w:rsid w:val="00B651FB"/>
    <w:rsid w:val="00B73BE3"/>
    <w:rsid w:val="00B82057"/>
    <w:rsid w:val="00B82FA5"/>
    <w:rsid w:val="00B834FE"/>
    <w:rsid w:val="00B855B6"/>
    <w:rsid w:val="00B9075B"/>
    <w:rsid w:val="00B94C10"/>
    <w:rsid w:val="00B94D15"/>
    <w:rsid w:val="00B95CB8"/>
    <w:rsid w:val="00B95E1C"/>
    <w:rsid w:val="00B96AB1"/>
    <w:rsid w:val="00B96B9B"/>
    <w:rsid w:val="00BA203D"/>
    <w:rsid w:val="00BA32BB"/>
    <w:rsid w:val="00BA34DB"/>
    <w:rsid w:val="00BB6D70"/>
    <w:rsid w:val="00BB6E69"/>
    <w:rsid w:val="00BC28E0"/>
    <w:rsid w:val="00BC7F7B"/>
    <w:rsid w:val="00BD1400"/>
    <w:rsid w:val="00BD3617"/>
    <w:rsid w:val="00BD3E26"/>
    <w:rsid w:val="00BD605C"/>
    <w:rsid w:val="00BE192D"/>
    <w:rsid w:val="00BE25A9"/>
    <w:rsid w:val="00BE2A76"/>
    <w:rsid w:val="00BE571A"/>
    <w:rsid w:val="00BF1901"/>
    <w:rsid w:val="00BF2D8C"/>
    <w:rsid w:val="00BF4C90"/>
    <w:rsid w:val="00C01AA3"/>
    <w:rsid w:val="00C01D5A"/>
    <w:rsid w:val="00C051AD"/>
    <w:rsid w:val="00C05E04"/>
    <w:rsid w:val="00C069BB"/>
    <w:rsid w:val="00C1540E"/>
    <w:rsid w:val="00C25189"/>
    <w:rsid w:val="00C4293E"/>
    <w:rsid w:val="00C43ADA"/>
    <w:rsid w:val="00C4505F"/>
    <w:rsid w:val="00C45A81"/>
    <w:rsid w:val="00C466D9"/>
    <w:rsid w:val="00C46797"/>
    <w:rsid w:val="00C46FD4"/>
    <w:rsid w:val="00C50E43"/>
    <w:rsid w:val="00C5324B"/>
    <w:rsid w:val="00C64452"/>
    <w:rsid w:val="00C65548"/>
    <w:rsid w:val="00C65E60"/>
    <w:rsid w:val="00C73469"/>
    <w:rsid w:val="00C74DD0"/>
    <w:rsid w:val="00C80A1B"/>
    <w:rsid w:val="00C80B85"/>
    <w:rsid w:val="00C90CFB"/>
    <w:rsid w:val="00C91374"/>
    <w:rsid w:val="00C933B6"/>
    <w:rsid w:val="00C95BA4"/>
    <w:rsid w:val="00C979D6"/>
    <w:rsid w:val="00CA0102"/>
    <w:rsid w:val="00CA059E"/>
    <w:rsid w:val="00CA0B2C"/>
    <w:rsid w:val="00CA2A48"/>
    <w:rsid w:val="00CA4A77"/>
    <w:rsid w:val="00CA73BD"/>
    <w:rsid w:val="00CA7621"/>
    <w:rsid w:val="00CA7F06"/>
    <w:rsid w:val="00CB6E4C"/>
    <w:rsid w:val="00CB79E2"/>
    <w:rsid w:val="00CC0AEA"/>
    <w:rsid w:val="00CC2633"/>
    <w:rsid w:val="00CC66EB"/>
    <w:rsid w:val="00CD1000"/>
    <w:rsid w:val="00CE1604"/>
    <w:rsid w:val="00CE5A52"/>
    <w:rsid w:val="00CF07D4"/>
    <w:rsid w:val="00CF37DA"/>
    <w:rsid w:val="00CF4E20"/>
    <w:rsid w:val="00CF7AF3"/>
    <w:rsid w:val="00D0272F"/>
    <w:rsid w:val="00D048A0"/>
    <w:rsid w:val="00D0725F"/>
    <w:rsid w:val="00D1018E"/>
    <w:rsid w:val="00D106EC"/>
    <w:rsid w:val="00D2054C"/>
    <w:rsid w:val="00D2137A"/>
    <w:rsid w:val="00D25012"/>
    <w:rsid w:val="00D26ADA"/>
    <w:rsid w:val="00D30635"/>
    <w:rsid w:val="00D31649"/>
    <w:rsid w:val="00D33242"/>
    <w:rsid w:val="00D3371A"/>
    <w:rsid w:val="00D349C2"/>
    <w:rsid w:val="00D35335"/>
    <w:rsid w:val="00D35A78"/>
    <w:rsid w:val="00D363E6"/>
    <w:rsid w:val="00D402AA"/>
    <w:rsid w:val="00D40A73"/>
    <w:rsid w:val="00D41277"/>
    <w:rsid w:val="00D44746"/>
    <w:rsid w:val="00D46040"/>
    <w:rsid w:val="00D523E0"/>
    <w:rsid w:val="00D54113"/>
    <w:rsid w:val="00D550B1"/>
    <w:rsid w:val="00D555A1"/>
    <w:rsid w:val="00D56618"/>
    <w:rsid w:val="00D5677F"/>
    <w:rsid w:val="00D60AA2"/>
    <w:rsid w:val="00D62555"/>
    <w:rsid w:val="00D64DC2"/>
    <w:rsid w:val="00D67DA0"/>
    <w:rsid w:val="00D718CA"/>
    <w:rsid w:val="00D71FB5"/>
    <w:rsid w:val="00D75D4C"/>
    <w:rsid w:val="00D766C0"/>
    <w:rsid w:val="00D77480"/>
    <w:rsid w:val="00D90637"/>
    <w:rsid w:val="00D90E97"/>
    <w:rsid w:val="00D91AC1"/>
    <w:rsid w:val="00D934C7"/>
    <w:rsid w:val="00D9498E"/>
    <w:rsid w:val="00DA0D14"/>
    <w:rsid w:val="00DA37C5"/>
    <w:rsid w:val="00DA46CA"/>
    <w:rsid w:val="00DA6BD4"/>
    <w:rsid w:val="00DA7DE8"/>
    <w:rsid w:val="00DB0DB3"/>
    <w:rsid w:val="00DB3012"/>
    <w:rsid w:val="00DB3340"/>
    <w:rsid w:val="00DB72B4"/>
    <w:rsid w:val="00DC11F7"/>
    <w:rsid w:val="00DC1404"/>
    <w:rsid w:val="00DC181F"/>
    <w:rsid w:val="00DC2E04"/>
    <w:rsid w:val="00DC7B56"/>
    <w:rsid w:val="00DD7866"/>
    <w:rsid w:val="00DE00DF"/>
    <w:rsid w:val="00DF06CF"/>
    <w:rsid w:val="00DF1A22"/>
    <w:rsid w:val="00DF21EB"/>
    <w:rsid w:val="00DF2DBD"/>
    <w:rsid w:val="00DF4189"/>
    <w:rsid w:val="00DF5A16"/>
    <w:rsid w:val="00DF5B1F"/>
    <w:rsid w:val="00E0255F"/>
    <w:rsid w:val="00E03745"/>
    <w:rsid w:val="00E03E70"/>
    <w:rsid w:val="00E06113"/>
    <w:rsid w:val="00E0650E"/>
    <w:rsid w:val="00E06669"/>
    <w:rsid w:val="00E1201D"/>
    <w:rsid w:val="00E13021"/>
    <w:rsid w:val="00E1407F"/>
    <w:rsid w:val="00E209AF"/>
    <w:rsid w:val="00E20E70"/>
    <w:rsid w:val="00E25B68"/>
    <w:rsid w:val="00E31584"/>
    <w:rsid w:val="00E37463"/>
    <w:rsid w:val="00E42C23"/>
    <w:rsid w:val="00E540A4"/>
    <w:rsid w:val="00E56680"/>
    <w:rsid w:val="00E63256"/>
    <w:rsid w:val="00E73ABD"/>
    <w:rsid w:val="00E773A8"/>
    <w:rsid w:val="00E84003"/>
    <w:rsid w:val="00E8482C"/>
    <w:rsid w:val="00E86697"/>
    <w:rsid w:val="00E873BF"/>
    <w:rsid w:val="00E90B54"/>
    <w:rsid w:val="00E9388A"/>
    <w:rsid w:val="00E93A45"/>
    <w:rsid w:val="00E967B1"/>
    <w:rsid w:val="00E96EA8"/>
    <w:rsid w:val="00EA0A39"/>
    <w:rsid w:val="00EA30CE"/>
    <w:rsid w:val="00EA3520"/>
    <w:rsid w:val="00EA4259"/>
    <w:rsid w:val="00EA455B"/>
    <w:rsid w:val="00EA56BF"/>
    <w:rsid w:val="00EB073A"/>
    <w:rsid w:val="00EB2DD6"/>
    <w:rsid w:val="00EB3400"/>
    <w:rsid w:val="00EB3609"/>
    <w:rsid w:val="00EB5458"/>
    <w:rsid w:val="00EC10FC"/>
    <w:rsid w:val="00EC1E5F"/>
    <w:rsid w:val="00EC3115"/>
    <w:rsid w:val="00EC5D4F"/>
    <w:rsid w:val="00EC71D7"/>
    <w:rsid w:val="00ED0A99"/>
    <w:rsid w:val="00ED0D45"/>
    <w:rsid w:val="00ED5EDE"/>
    <w:rsid w:val="00ED6D3E"/>
    <w:rsid w:val="00ED7A94"/>
    <w:rsid w:val="00EE0041"/>
    <w:rsid w:val="00EE29B9"/>
    <w:rsid w:val="00EE5398"/>
    <w:rsid w:val="00EE53B8"/>
    <w:rsid w:val="00EE7CAD"/>
    <w:rsid w:val="00EF4554"/>
    <w:rsid w:val="00EF6CF4"/>
    <w:rsid w:val="00F004EE"/>
    <w:rsid w:val="00F04044"/>
    <w:rsid w:val="00F04969"/>
    <w:rsid w:val="00F05DFB"/>
    <w:rsid w:val="00F12677"/>
    <w:rsid w:val="00F13C3D"/>
    <w:rsid w:val="00F14743"/>
    <w:rsid w:val="00F20455"/>
    <w:rsid w:val="00F2109F"/>
    <w:rsid w:val="00F23CD9"/>
    <w:rsid w:val="00F24BE1"/>
    <w:rsid w:val="00F25B74"/>
    <w:rsid w:val="00F25E44"/>
    <w:rsid w:val="00F25FD2"/>
    <w:rsid w:val="00F26DC1"/>
    <w:rsid w:val="00F27C71"/>
    <w:rsid w:val="00F36954"/>
    <w:rsid w:val="00F40177"/>
    <w:rsid w:val="00F419B5"/>
    <w:rsid w:val="00F42ADF"/>
    <w:rsid w:val="00F42E23"/>
    <w:rsid w:val="00F4577A"/>
    <w:rsid w:val="00F45EEE"/>
    <w:rsid w:val="00F46D95"/>
    <w:rsid w:val="00F51E9C"/>
    <w:rsid w:val="00F523CA"/>
    <w:rsid w:val="00F53F9D"/>
    <w:rsid w:val="00F55138"/>
    <w:rsid w:val="00F55543"/>
    <w:rsid w:val="00F6391A"/>
    <w:rsid w:val="00F647BD"/>
    <w:rsid w:val="00F64BC4"/>
    <w:rsid w:val="00F72C3D"/>
    <w:rsid w:val="00F73892"/>
    <w:rsid w:val="00F74A9D"/>
    <w:rsid w:val="00F75650"/>
    <w:rsid w:val="00F77E34"/>
    <w:rsid w:val="00F8163B"/>
    <w:rsid w:val="00F81906"/>
    <w:rsid w:val="00F84F79"/>
    <w:rsid w:val="00F865F6"/>
    <w:rsid w:val="00F86B0E"/>
    <w:rsid w:val="00F941C5"/>
    <w:rsid w:val="00F942DF"/>
    <w:rsid w:val="00F96468"/>
    <w:rsid w:val="00F97B7B"/>
    <w:rsid w:val="00FA3811"/>
    <w:rsid w:val="00FB0150"/>
    <w:rsid w:val="00FB0515"/>
    <w:rsid w:val="00FB1D8E"/>
    <w:rsid w:val="00FB1ED0"/>
    <w:rsid w:val="00FB1EFC"/>
    <w:rsid w:val="00FC34D2"/>
    <w:rsid w:val="00FC5DB0"/>
    <w:rsid w:val="00FD3EC1"/>
    <w:rsid w:val="00FE41D7"/>
    <w:rsid w:val="00FE5490"/>
    <w:rsid w:val="00FE64B8"/>
    <w:rsid w:val="00FF0C12"/>
    <w:rsid w:val="00FF386F"/>
    <w:rsid w:val="00FF3C6A"/>
    <w:rsid w:val="173F5CC6"/>
    <w:rsid w:val="3C3B35D1"/>
    <w:rsid w:val="4AD2CDB1"/>
    <w:rsid w:val="749C7769"/>
    <w:rsid w:val="7AD9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3823D3"/>
    <w:pPr>
      <w:tabs>
        <w:tab w:val="left" w:pos="709"/>
      </w:tabs>
      <w:overflowPunct/>
      <w:autoSpaceDE/>
      <w:autoSpaceDN/>
      <w:adjustRightInd/>
      <w:spacing w:line="260" w:lineRule="atLeast"/>
      <w:jc w:val="center"/>
      <w:textAlignment w:val="auto"/>
    </w:pPr>
    <w:rPr>
      <w:rFonts w:eastAsiaTheme="minorEastAsia"/>
      <w:i/>
      <w:iCs/>
      <w:sz w:val="18"/>
      <w:szCs w:val="18"/>
    </w:rPr>
  </w:style>
  <w:style w:type="character" w:customStyle="1" w:styleId="FIG-LONGChar">
    <w:name w:val="FIG-LONG Char"/>
    <w:basedOn w:val="Carpredefinitoparagrafo"/>
    <w:link w:val="FIG-LONG"/>
    <w:rsid w:val="003823D3"/>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styleId="Collegamentoipertestuale">
    <w:name w:val="Hyperlink"/>
    <w:basedOn w:val="Carpredefinitoparagrafo"/>
    <w:uiPriority w:val="49"/>
    <w:unhideWhenUsed/>
    <w:locked/>
    <w:rsid w:val="00B21A19"/>
    <w:rPr>
      <w:color w:val="0000FF" w:themeColor="hyperlink"/>
      <w:u w:val="single"/>
    </w:rPr>
  </w:style>
  <w:style w:type="paragraph" w:styleId="Paragrafoelenco">
    <w:name w:val="List Paragraph"/>
    <w:basedOn w:val="Normale"/>
    <w:uiPriority w:val="49"/>
    <w:locked/>
    <w:rsid w:val="00934A35"/>
    <w:pPr>
      <w:ind w:left="720"/>
      <w:contextualSpacing/>
    </w:pPr>
  </w:style>
  <w:style w:type="character" w:styleId="Testosegnaposto">
    <w:name w:val="Placeholder Text"/>
    <w:basedOn w:val="Carpredefinitoparagrafo"/>
    <w:uiPriority w:val="99"/>
    <w:semiHidden/>
    <w:locked/>
    <w:rsid w:val="004E5C6A"/>
    <w:rPr>
      <w:color w:val="808080"/>
    </w:rPr>
  </w:style>
  <w:style w:type="character" w:styleId="Menzionenonrisolta">
    <w:name w:val="Unresolved Mention"/>
    <w:basedOn w:val="Carpredefinitoparagrafo"/>
    <w:uiPriority w:val="99"/>
    <w:semiHidden/>
    <w:unhideWhenUsed/>
    <w:rsid w:val="00300338"/>
    <w:rPr>
      <w:color w:val="605E5C"/>
      <w:shd w:val="clear" w:color="auto" w:fill="E1DFDD"/>
    </w:rPr>
  </w:style>
  <w:style w:type="paragraph" w:styleId="Revisione">
    <w:name w:val="Revision"/>
    <w:hidden/>
    <w:uiPriority w:val="99"/>
    <w:semiHidden/>
    <w:rsid w:val="00591F1F"/>
    <w:rPr>
      <w:sz w:val="22"/>
      <w:lang w:eastAsia="en-US"/>
    </w:rPr>
  </w:style>
  <w:style w:type="character" w:customStyle="1" w:styleId="u-visually-hidden">
    <w:name w:val="u-visually-hidden"/>
    <w:basedOn w:val="Carpredefinitoparagrafo"/>
    <w:rsid w:val="00BD3E26"/>
  </w:style>
  <w:style w:type="character" w:styleId="Enfasicorsivo">
    <w:name w:val="Emphasis"/>
    <w:basedOn w:val="Carpredefinitoparagrafo"/>
    <w:uiPriority w:val="20"/>
    <w:qFormat/>
    <w:locked/>
    <w:rsid w:val="00F53F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5212">
      <w:bodyDiv w:val="1"/>
      <w:marLeft w:val="0"/>
      <w:marRight w:val="0"/>
      <w:marTop w:val="0"/>
      <w:marBottom w:val="0"/>
      <w:divBdr>
        <w:top w:val="none" w:sz="0" w:space="0" w:color="auto"/>
        <w:left w:val="none" w:sz="0" w:space="0" w:color="auto"/>
        <w:bottom w:val="none" w:sz="0" w:space="0" w:color="auto"/>
        <w:right w:val="none" w:sz="0" w:space="0" w:color="auto"/>
      </w:divBdr>
    </w:div>
    <w:div w:id="440029259">
      <w:bodyDiv w:val="1"/>
      <w:marLeft w:val="0"/>
      <w:marRight w:val="0"/>
      <w:marTop w:val="0"/>
      <w:marBottom w:val="0"/>
      <w:divBdr>
        <w:top w:val="none" w:sz="0" w:space="0" w:color="auto"/>
        <w:left w:val="none" w:sz="0" w:space="0" w:color="auto"/>
        <w:bottom w:val="none" w:sz="0" w:space="0" w:color="auto"/>
        <w:right w:val="none" w:sz="0" w:space="0" w:color="auto"/>
      </w:divBdr>
    </w:div>
    <w:div w:id="526912415">
      <w:bodyDiv w:val="1"/>
      <w:marLeft w:val="0"/>
      <w:marRight w:val="0"/>
      <w:marTop w:val="0"/>
      <w:marBottom w:val="0"/>
      <w:divBdr>
        <w:top w:val="none" w:sz="0" w:space="0" w:color="auto"/>
        <w:left w:val="none" w:sz="0" w:space="0" w:color="auto"/>
        <w:bottom w:val="none" w:sz="0" w:space="0" w:color="auto"/>
        <w:right w:val="none" w:sz="0" w:space="0" w:color="auto"/>
      </w:divBdr>
    </w:div>
    <w:div w:id="600572279">
      <w:bodyDiv w:val="1"/>
      <w:marLeft w:val="0"/>
      <w:marRight w:val="0"/>
      <w:marTop w:val="0"/>
      <w:marBottom w:val="0"/>
      <w:divBdr>
        <w:top w:val="none" w:sz="0" w:space="0" w:color="auto"/>
        <w:left w:val="none" w:sz="0" w:space="0" w:color="auto"/>
        <w:bottom w:val="none" w:sz="0" w:space="0" w:color="auto"/>
        <w:right w:val="none" w:sz="0" w:space="0" w:color="auto"/>
      </w:divBdr>
    </w:div>
    <w:div w:id="1030182007">
      <w:bodyDiv w:val="1"/>
      <w:marLeft w:val="0"/>
      <w:marRight w:val="0"/>
      <w:marTop w:val="0"/>
      <w:marBottom w:val="0"/>
      <w:divBdr>
        <w:top w:val="none" w:sz="0" w:space="0" w:color="auto"/>
        <w:left w:val="none" w:sz="0" w:space="0" w:color="auto"/>
        <w:bottom w:val="none" w:sz="0" w:space="0" w:color="auto"/>
        <w:right w:val="none" w:sz="0" w:space="0" w:color="auto"/>
      </w:divBdr>
    </w:div>
    <w:div w:id="1246495311">
      <w:bodyDiv w:val="1"/>
      <w:marLeft w:val="0"/>
      <w:marRight w:val="0"/>
      <w:marTop w:val="0"/>
      <w:marBottom w:val="0"/>
      <w:divBdr>
        <w:top w:val="none" w:sz="0" w:space="0" w:color="auto"/>
        <w:left w:val="none" w:sz="0" w:space="0" w:color="auto"/>
        <w:bottom w:val="none" w:sz="0" w:space="0" w:color="auto"/>
        <w:right w:val="none" w:sz="0" w:space="0" w:color="auto"/>
      </w:divBdr>
    </w:div>
    <w:div w:id="1346058427">
      <w:bodyDiv w:val="1"/>
      <w:marLeft w:val="0"/>
      <w:marRight w:val="0"/>
      <w:marTop w:val="0"/>
      <w:marBottom w:val="0"/>
      <w:divBdr>
        <w:top w:val="none" w:sz="0" w:space="0" w:color="auto"/>
        <w:left w:val="none" w:sz="0" w:space="0" w:color="auto"/>
        <w:bottom w:val="none" w:sz="0" w:space="0" w:color="auto"/>
        <w:right w:val="none" w:sz="0" w:space="0" w:color="auto"/>
      </w:divBdr>
    </w:div>
    <w:div w:id="1365668724">
      <w:bodyDiv w:val="1"/>
      <w:marLeft w:val="0"/>
      <w:marRight w:val="0"/>
      <w:marTop w:val="0"/>
      <w:marBottom w:val="0"/>
      <w:divBdr>
        <w:top w:val="none" w:sz="0" w:space="0" w:color="auto"/>
        <w:left w:val="none" w:sz="0" w:space="0" w:color="auto"/>
        <w:bottom w:val="none" w:sz="0" w:space="0" w:color="auto"/>
        <w:right w:val="none" w:sz="0" w:space="0" w:color="auto"/>
      </w:divBdr>
    </w:div>
    <w:div w:id="1383940563">
      <w:bodyDiv w:val="1"/>
      <w:marLeft w:val="0"/>
      <w:marRight w:val="0"/>
      <w:marTop w:val="0"/>
      <w:marBottom w:val="0"/>
      <w:divBdr>
        <w:top w:val="none" w:sz="0" w:space="0" w:color="auto"/>
        <w:left w:val="none" w:sz="0" w:space="0" w:color="auto"/>
        <w:bottom w:val="none" w:sz="0" w:space="0" w:color="auto"/>
        <w:right w:val="none" w:sz="0" w:space="0" w:color="auto"/>
      </w:divBdr>
    </w:div>
    <w:div w:id="1548176199">
      <w:bodyDiv w:val="1"/>
      <w:marLeft w:val="0"/>
      <w:marRight w:val="0"/>
      <w:marTop w:val="0"/>
      <w:marBottom w:val="0"/>
      <w:divBdr>
        <w:top w:val="none" w:sz="0" w:space="0" w:color="auto"/>
        <w:left w:val="none" w:sz="0" w:space="0" w:color="auto"/>
        <w:bottom w:val="none" w:sz="0" w:space="0" w:color="auto"/>
        <w:right w:val="none" w:sz="0" w:space="0" w:color="auto"/>
      </w:divBdr>
    </w:div>
    <w:div w:id="1604845689">
      <w:bodyDiv w:val="1"/>
      <w:marLeft w:val="0"/>
      <w:marRight w:val="0"/>
      <w:marTop w:val="0"/>
      <w:marBottom w:val="0"/>
      <w:divBdr>
        <w:top w:val="none" w:sz="0" w:space="0" w:color="auto"/>
        <w:left w:val="none" w:sz="0" w:space="0" w:color="auto"/>
        <w:bottom w:val="none" w:sz="0" w:space="0" w:color="auto"/>
        <w:right w:val="none" w:sz="0" w:space="0" w:color="auto"/>
      </w:divBdr>
    </w:div>
    <w:div w:id="1616055166">
      <w:bodyDiv w:val="1"/>
      <w:marLeft w:val="0"/>
      <w:marRight w:val="0"/>
      <w:marTop w:val="0"/>
      <w:marBottom w:val="0"/>
      <w:divBdr>
        <w:top w:val="none" w:sz="0" w:space="0" w:color="auto"/>
        <w:left w:val="none" w:sz="0" w:space="0" w:color="auto"/>
        <w:bottom w:val="none" w:sz="0" w:space="0" w:color="auto"/>
        <w:right w:val="none" w:sz="0" w:space="0" w:color="auto"/>
      </w:divBdr>
    </w:div>
    <w:div w:id="1915554221">
      <w:bodyDiv w:val="1"/>
      <w:marLeft w:val="0"/>
      <w:marRight w:val="0"/>
      <w:marTop w:val="0"/>
      <w:marBottom w:val="0"/>
      <w:divBdr>
        <w:top w:val="none" w:sz="0" w:space="0" w:color="auto"/>
        <w:left w:val="none" w:sz="0" w:space="0" w:color="auto"/>
        <w:bottom w:val="none" w:sz="0" w:space="0" w:color="auto"/>
        <w:right w:val="none" w:sz="0" w:space="0" w:color="auto"/>
      </w:divBdr>
    </w:div>
    <w:div w:id="20160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ndc.bnl.gov/endf/b8.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sti.gov/biblio/133879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oecd-nea.org/download/wpec/sg46/"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lfred-reactor.eu/index.php/falcon-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home.cern/science/experiments/ntof"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6F7E8-C907-45D6-87FB-5C439F81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10</Pages>
  <Words>5050</Words>
  <Characters>28788</Characters>
  <Application>Microsoft Office Word</Application>
  <DocSecurity>0</DocSecurity>
  <Lines>239</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Donato Maurizio Castelluccio</cp:lastModifiedBy>
  <cp:revision>3</cp:revision>
  <cp:lastPrinted>2022-03-17T14:12:00Z</cp:lastPrinted>
  <dcterms:created xsi:type="dcterms:W3CDTF">2022-03-30T16:06:00Z</dcterms:created>
  <dcterms:modified xsi:type="dcterms:W3CDTF">2022-03-30T17:14:00Z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