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8431C" w14:textId="77777777" w:rsidR="008103E3" w:rsidRPr="00B336E0" w:rsidRDefault="008103E3" w:rsidP="008103E3">
      <w:pPr>
        <w:pStyle w:val="Heading1"/>
      </w:pPr>
      <w:r w:rsidRPr="00B336E0">
        <w:t xml:space="preserve">CFD Simulations on a hexagonal 61-pin </w:t>
      </w:r>
    </w:p>
    <w:p w14:paraId="696D6219" w14:textId="77777777" w:rsidR="008103E3" w:rsidRPr="00B336E0" w:rsidRDefault="008103E3" w:rsidP="008103E3">
      <w:pPr>
        <w:pStyle w:val="Heading1"/>
      </w:pPr>
      <w:r w:rsidRPr="00B336E0">
        <w:t xml:space="preserve">wire-wrapped fuel bundle with </w:t>
      </w:r>
    </w:p>
    <w:p w14:paraId="0E7628BA" w14:textId="673709EA" w:rsidR="008103E3" w:rsidRPr="00B336E0" w:rsidRDefault="008103E3" w:rsidP="008103E3">
      <w:pPr>
        <w:pStyle w:val="Heading1"/>
      </w:pPr>
      <w:r w:rsidRPr="00B336E0">
        <w:t>STAR</w:t>
      </w:r>
      <w:r w:rsidR="00EF0812">
        <w:t>-</w:t>
      </w:r>
      <w:r w:rsidRPr="00B336E0">
        <w:t xml:space="preserve">CCM+ and comparison with </w:t>
      </w:r>
    </w:p>
    <w:p w14:paraId="433FE039" w14:textId="24593C97" w:rsidR="008103E3" w:rsidRPr="00B336E0" w:rsidRDefault="008103E3" w:rsidP="008103E3">
      <w:pPr>
        <w:pStyle w:val="Heading1"/>
      </w:pPr>
      <w:r w:rsidRPr="00B336E0">
        <w:t>experimental data</w:t>
      </w:r>
    </w:p>
    <w:p w14:paraId="433FE03F" w14:textId="77777777" w:rsidR="00802381" w:rsidRPr="00B336E0" w:rsidRDefault="00802381" w:rsidP="008103E3">
      <w:pPr>
        <w:pStyle w:val="Authornameandaffiliation"/>
        <w:ind w:left="0"/>
      </w:pPr>
    </w:p>
    <w:p w14:paraId="433FE040" w14:textId="2D341656" w:rsidR="003B5E0E" w:rsidRPr="00B336E0" w:rsidRDefault="008103E3" w:rsidP="00537496">
      <w:pPr>
        <w:pStyle w:val="Authornameandaffiliation"/>
      </w:pPr>
      <w:r w:rsidRPr="00B336E0">
        <w:t>OCTAVIO BOVATI</w:t>
      </w:r>
    </w:p>
    <w:p w14:paraId="433FE041" w14:textId="4B0F7335" w:rsidR="00FF386F" w:rsidRPr="00B336E0" w:rsidRDefault="008103E3" w:rsidP="00537496">
      <w:pPr>
        <w:pStyle w:val="Authornameandaffiliation"/>
      </w:pPr>
      <w:r w:rsidRPr="00B336E0">
        <w:t>Thermal Hydraulics Research Lab, Texas A&amp;M University</w:t>
      </w:r>
    </w:p>
    <w:p w14:paraId="433FE042" w14:textId="79AB3F9D" w:rsidR="00FF386F" w:rsidRPr="00B336E0" w:rsidRDefault="008103E3" w:rsidP="00537496">
      <w:pPr>
        <w:pStyle w:val="Authornameandaffiliation"/>
      </w:pPr>
      <w:r w:rsidRPr="00B336E0">
        <w:t>College Station, Texas, United States of America</w:t>
      </w:r>
    </w:p>
    <w:p w14:paraId="433FE043" w14:textId="5E3ABE96" w:rsidR="00FF386F" w:rsidRPr="00B336E0" w:rsidRDefault="00FF386F" w:rsidP="00537496">
      <w:pPr>
        <w:pStyle w:val="Authornameandaffiliation"/>
      </w:pPr>
      <w:r w:rsidRPr="00B336E0">
        <w:t xml:space="preserve">Email: </w:t>
      </w:r>
      <w:r w:rsidR="008103E3" w:rsidRPr="00B336E0">
        <w:t>octavio.bovati</w:t>
      </w:r>
      <w:r w:rsidRPr="00B336E0">
        <w:t>@</w:t>
      </w:r>
      <w:r w:rsidR="008103E3" w:rsidRPr="00B336E0">
        <w:t>tamu.edu</w:t>
      </w:r>
    </w:p>
    <w:p w14:paraId="433FE044" w14:textId="61B13690" w:rsidR="00FF386F" w:rsidRDefault="00FF386F" w:rsidP="00537496">
      <w:pPr>
        <w:pStyle w:val="Authornameandaffiliation"/>
      </w:pPr>
    </w:p>
    <w:p w14:paraId="66872207" w14:textId="614C4D75" w:rsidR="002D03C7" w:rsidRDefault="002D03C7" w:rsidP="00537496">
      <w:pPr>
        <w:pStyle w:val="Authornameandaffiliation"/>
      </w:pPr>
      <w:r>
        <w:t>MUSTAFA ALPER YILDIZ</w:t>
      </w:r>
    </w:p>
    <w:p w14:paraId="2D91B399" w14:textId="77777777" w:rsidR="002D03C7" w:rsidRDefault="002D03C7" w:rsidP="002D03C7">
      <w:pPr>
        <w:pStyle w:val="Authornameandaffiliation"/>
      </w:pPr>
      <w:r>
        <w:t>Thermal Hydraulics Research Lab, Texas A&amp;M University</w:t>
      </w:r>
    </w:p>
    <w:p w14:paraId="47447DA9" w14:textId="49A3B2D9" w:rsidR="002D03C7" w:rsidRDefault="002D03C7" w:rsidP="002D03C7">
      <w:pPr>
        <w:pStyle w:val="Authornameandaffiliation"/>
      </w:pPr>
      <w:r>
        <w:t>College Station, Texas, United States of America</w:t>
      </w:r>
    </w:p>
    <w:p w14:paraId="263FAA92" w14:textId="77777777" w:rsidR="002D03C7" w:rsidRPr="00B336E0" w:rsidRDefault="002D03C7" w:rsidP="00537496">
      <w:pPr>
        <w:pStyle w:val="Authornameandaffiliation"/>
      </w:pPr>
    </w:p>
    <w:p w14:paraId="433FE045" w14:textId="6B4A7F60" w:rsidR="00FF386F" w:rsidRPr="00B336E0" w:rsidRDefault="00BE4E8E" w:rsidP="00537496">
      <w:pPr>
        <w:pStyle w:val="Authornameandaffiliation"/>
      </w:pPr>
      <w:r w:rsidRPr="00B336E0">
        <w:t>YASSIN HASSAN</w:t>
      </w:r>
    </w:p>
    <w:p w14:paraId="1C48B342" w14:textId="77777777" w:rsidR="00BE4E8E" w:rsidRPr="00B336E0" w:rsidRDefault="00BE4E8E" w:rsidP="00BE4E8E">
      <w:pPr>
        <w:pStyle w:val="Authornameandaffiliation"/>
      </w:pPr>
      <w:r w:rsidRPr="00B336E0">
        <w:t>Thermal Hydraulics Research Lab, Texas A&amp;M University</w:t>
      </w:r>
    </w:p>
    <w:p w14:paraId="433FE047" w14:textId="2C11A9EB" w:rsidR="00FF386F" w:rsidRPr="00B336E0" w:rsidRDefault="00BE4E8E" w:rsidP="00BE4E8E">
      <w:pPr>
        <w:pStyle w:val="Authornameandaffiliation"/>
      </w:pPr>
      <w:r w:rsidRPr="00B336E0">
        <w:t>College Station, Texas, United States of America</w:t>
      </w:r>
    </w:p>
    <w:p w14:paraId="433FE048" w14:textId="1458A5AB" w:rsidR="00FF386F" w:rsidRPr="00B336E0" w:rsidRDefault="00FF386F" w:rsidP="00537496">
      <w:pPr>
        <w:pStyle w:val="Authornameandaffiliation"/>
      </w:pPr>
    </w:p>
    <w:p w14:paraId="2EB2946B" w14:textId="1CDDFADB" w:rsidR="00BE4E8E" w:rsidRPr="00B336E0" w:rsidRDefault="00BE4E8E" w:rsidP="00BE4E8E">
      <w:pPr>
        <w:pStyle w:val="Authornameandaffiliation"/>
      </w:pPr>
      <w:r w:rsidRPr="00B336E0">
        <w:t>RODOLFO VAGHETTO</w:t>
      </w:r>
    </w:p>
    <w:p w14:paraId="5646E339" w14:textId="77777777" w:rsidR="00BE4E8E" w:rsidRPr="00B336E0" w:rsidRDefault="00BE4E8E" w:rsidP="00BE4E8E">
      <w:pPr>
        <w:pStyle w:val="Authornameandaffiliation"/>
      </w:pPr>
      <w:r w:rsidRPr="00B336E0">
        <w:t>Thermal Hydraulics Research Lab, Texas A&amp;M University</w:t>
      </w:r>
    </w:p>
    <w:p w14:paraId="27D843ED" w14:textId="10180EDC" w:rsidR="00BE4E8E" w:rsidRPr="00B336E0" w:rsidRDefault="00BE4E8E" w:rsidP="00BE4E8E">
      <w:pPr>
        <w:pStyle w:val="Authornameandaffiliation"/>
      </w:pPr>
      <w:r w:rsidRPr="00B336E0">
        <w:t>College Station, Texas, United States of America</w:t>
      </w:r>
    </w:p>
    <w:p w14:paraId="05FED316" w14:textId="77777777" w:rsidR="00BE4E8E" w:rsidRPr="00B336E0" w:rsidRDefault="00BE4E8E" w:rsidP="00BE4E8E">
      <w:pPr>
        <w:pStyle w:val="Authornameandaffiliation"/>
      </w:pPr>
    </w:p>
    <w:p w14:paraId="433FE049" w14:textId="77777777" w:rsidR="00647F33" w:rsidRPr="00B336E0" w:rsidRDefault="00647F33" w:rsidP="00537496">
      <w:pPr>
        <w:pStyle w:val="Authornameandaffiliation"/>
        <w:rPr>
          <w:b/>
        </w:rPr>
      </w:pPr>
      <w:r w:rsidRPr="00B336E0">
        <w:rPr>
          <w:b/>
        </w:rPr>
        <w:t>Abstract</w:t>
      </w:r>
    </w:p>
    <w:p w14:paraId="433FE04A" w14:textId="76BFF072" w:rsidR="00647F33" w:rsidRPr="00B336E0" w:rsidRDefault="00647F33" w:rsidP="00537496">
      <w:pPr>
        <w:pStyle w:val="Authornameandaffiliation"/>
      </w:pPr>
    </w:p>
    <w:p w14:paraId="433FE04B" w14:textId="7FAA35C5" w:rsidR="00647F33" w:rsidRPr="00B336E0" w:rsidRDefault="00BE4E8E" w:rsidP="00192B81">
      <w:pPr>
        <w:pStyle w:val="Abstracttext"/>
      </w:pPr>
      <w:r w:rsidRPr="00192B81">
        <w:t xml:space="preserve">One of the fuel assembly designs considered for the sodium-cooled fast reactor utilizes wires helically wrapped around each fuel rod as spacers. The wire keeps the fuel pins separated, enhancing the turbulent mixing and the heat transfer, but also affecting the pressure drop. A wire-wrapped fuel assembly replica with 61-pins has been in operation at the Thermal-Hydraulic Research Laboratory of Texas A&amp;M University, and </w:t>
      </w:r>
      <w:r w:rsidR="006E6930" w:rsidRPr="00192B81">
        <w:t xml:space="preserve">has </w:t>
      </w:r>
      <w:r w:rsidRPr="00192B81">
        <w:t xml:space="preserve">produced high-fidelity experimental measurements </w:t>
      </w:r>
      <w:r w:rsidR="00192B81" w:rsidRPr="00192B81">
        <w:t xml:space="preserve">of </w:t>
      </w:r>
      <w:r w:rsidRPr="00192B81">
        <w:t xml:space="preserve">axial </w:t>
      </w:r>
      <w:r w:rsidR="00192B81" w:rsidRPr="00192B81">
        <w:t xml:space="preserve">and transverse </w:t>
      </w:r>
      <w:r w:rsidRPr="00192B81">
        <w:t xml:space="preserve">pressure drop </w:t>
      </w:r>
      <w:r w:rsidR="006E6930" w:rsidRPr="00192B81">
        <w:t xml:space="preserve">at </w:t>
      </w:r>
      <w:r w:rsidR="00192B81" w:rsidRPr="00192B81">
        <w:t>different flow</w:t>
      </w:r>
      <w:r w:rsidR="006E6930" w:rsidRPr="00192B81">
        <w:t xml:space="preserve"> regimes</w:t>
      </w:r>
      <w:r w:rsidRPr="00192B81">
        <w:t xml:space="preserve">. The purpose of the present paper is to optimize computational fluid dynamics and compare the code predictions of pressure drops with the experimental data and available correlations. The friction factor is of paramount importance in determining reactor features </w:t>
      </w:r>
      <w:r w:rsidR="00192B81" w:rsidRPr="00192B81">
        <w:t>such as</w:t>
      </w:r>
      <w:r w:rsidRPr="00192B81">
        <w:t xml:space="preserve"> pump specification and safety limits. The</w:t>
      </w:r>
      <w:r w:rsidR="00192B81" w:rsidRPr="00192B81">
        <w:t xml:space="preserve"> Reynolds-Averaged Navier-Stokes (RANS) equations with the </w:t>
      </w:r>
      <m:oMath>
        <m:r>
          <w:rPr>
            <w:rFonts w:ascii="Cambria Math" w:hAnsi="Cambria Math"/>
          </w:rPr>
          <m:t>k-ω</m:t>
        </m:r>
      </m:oMath>
      <w:r w:rsidR="00192B81" w:rsidRPr="00192B81">
        <w:t xml:space="preserve"> SST model were solved using the </w:t>
      </w:r>
      <w:r w:rsidRPr="00192B81">
        <w:t>commercial software STAR</w:t>
      </w:r>
      <w:r w:rsidR="00EF0812">
        <w:t>-</w:t>
      </w:r>
      <w:r w:rsidRPr="00192B81">
        <w:t>CCM+</w:t>
      </w:r>
      <w:r w:rsidR="00192B81" w:rsidRPr="00192B81">
        <w:t xml:space="preserve">. Overall, the simulations were capable of reproducing the experimental and the correlation results within their uncertainty interval. This indicates that the SST model can be used to accurately predict the flow characteristics on wire-wrapped fuel bundles. The pressure distribution on the bundle cross-section </w:t>
      </w:r>
      <w:r w:rsidR="00C053C1">
        <w:t>was</w:t>
      </w:r>
      <w:r w:rsidR="00192B81" w:rsidRPr="00192B81">
        <w:t xml:space="preserve"> also analyzed, indicating the presence of cross flow produced by the wire shaped. </w:t>
      </w:r>
      <w:r w:rsidR="00647F33" w:rsidRPr="00B336E0">
        <w:t xml:space="preserve"> </w:t>
      </w:r>
    </w:p>
    <w:p w14:paraId="433FE04C" w14:textId="77777777" w:rsidR="00647F33" w:rsidRPr="00B336E0" w:rsidRDefault="00F523CA" w:rsidP="00537496">
      <w:pPr>
        <w:pStyle w:val="Heading2"/>
        <w:numPr>
          <w:ilvl w:val="1"/>
          <w:numId w:val="10"/>
        </w:numPr>
        <w:rPr>
          <w:lang w:val="en-US"/>
        </w:rPr>
      </w:pPr>
      <w:r w:rsidRPr="00B336E0">
        <w:rPr>
          <w:lang w:val="en-US"/>
        </w:rPr>
        <w:t>INTRODUCTION</w:t>
      </w:r>
    </w:p>
    <w:p w14:paraId="0442F31B" w14:textId="38CE4278" w:rsidR="003819C5" w:rsidRPr="00B336E0" w:rsidRDefault="003819C5" w:rsidP="003819C5">
      <w:pPr>
        <w:pStyle w:val="BodyText"/>
        <w:rPr>
          <w:lang w:val="en-US"/>
        </w:rPr>
      </w:pPr>
      <w:r w:rsidRPr="00B336E0">
        <w:rPr>
          <w:lang w:val="en-US"/>
        </w:rPr>
        <w:t xml:space="preserve">The </w:t>
      </w:r>
      <w:r w:rsidR="00475C82" w:rsidRPr="00B336E0">
        <w:rPr>
          <w:lang w:val="en-US"/>
        </w:rPr>
        <w:t>nuclear facility that motivates the paper</w:t>
      </w:r>
      <w:r w:rsidRPr="00B336E0">
        <w:rPr>
          <w:lang w:val="en-US"/>
        </w:rPr>
        <w:t xml:space="preserve"> is the wire-wrapped fuel bundle, commonly found in generation-IV sodium-cooled fast reactors. A typical bundle </w:t>
      </w:r>
      <w:r w:rsidR="00475C82" w:rsidRPr="00B336E0">
        <w:rPr>
          <w:lang w:val="en-US"/>
        </w:rPr>
        <w:t>contains</w:t>
      </w:r>
      <w:r w:rsidRPr="00B336E0">
        <w:rPr>
          <w:lang w:val="en-US"/>
        </w:rPr>
        <w:t xml:space="preserve"> fuel </w:t>
      </w:r>
      <w:r w:rsidR="00475C82" w:rsidRPr="00B336E0">
        <w:rPr>
          <w:lang w:val="en-US"/>
        </w:rPr>
        <w:t>rods</w:t>
      </w:r>
      <w:r w:rsidRPr="00B336E0">
        <w:rPr>
          <w:lang w:val="en-US"/>
        </w:rPr>
        <w:t xml:space="preserve"> </w:t>
      </w:r>
      <w:r w:rsidR="00192B81" w:rsidRPr="00B336E0">
        <w:rPr>
          <w:lang w:val="en-US"/>
        </w:rPr>
        <w:t>organized</w:t>
      </w:r>
      <w:r w:rsidRPr="00B336E0">
        <w:rPr>
          <w:lang w:val="en-US"/>
        </w:rPr>
        <w:t xml:space="preserve"> in a triangular lattice, </w:t>
      </w:r>
      <w:r w:rsidR="00475C82" w:rsidRPr="00B336E0">
        <w:rPr>
          <w:lang w:val="en-US"/>
        </w:rPr>
        <w:t>enclosed</w:t>
      </w:r>
      <w:r w:rsidRPr="00B336E0">
        <w:rPr>
          <w:lang w:val="en-US"/>
        </w:rPr>
        <w:t xml:space="preserve"> by a hexagonal </w:t>
      </w:r>
      <w:r w:rsidR="00475C82" w:rsidRPr="00B336E0">
        <w:rPr>
          <w:lang w:val="en-US"/>
        </w:rPr>
        <w:t>tube</w:t>
      </w:r>
      <w:r w:rsidRPr="00B336E0">
        <w:rPr>
          <w:lang w:val="en-US"/>
        </w:rPr>
        <w:t xml:space="preserve">. For the spacers, some designs use a wire wrapped around </w:t>
      </w:r>
      <w:r w:rsidR="00581CE8" w:rsidRPr="00B336E0">
        <w:rPr>
          <w:lang w:val="en-US"/>
        </w:rPr>
        <w:t>the</w:t>
      </w:r>
      <w:r w:rsidRPr="00B336E0">
        <w:rPr>
          <w:lang w:val="en-US"/>
        </w:rPr>
        <w:t xml:space="preserve"> fuel </w:t>
      </w:r>
      <w:r w:rsidR="00475C82" w:rsidRPr="00B336E0">
        <w:rPr>
          <w:lang w:val="en-US"/>
        </w:rPr>
        <w:t>rod</w:t>
      </w:r>
      <w:r w:rsidR="00581CE8" w:rsidRPr="00B336E0">
        <w:rPr>
          <w:lang w:val="en-US"/>
        </w:rPr>
        <w:t>s</w:t>
      </w:r>
      <w:r w:rsidRPr="00B336E0">
        <w:rPr>
          <w:lang w:val="en-US"/>
        </w:rPr>
        <w:t xml:space="preserve"> to </w:t>
      </w:r>
      <w:r w:rsidR="00475C82" w:rsidRPr="00B336E0">
        <w:rPr>
          <w:lang w:val="en-US"/>
        </w:rPr>
        <w:t>keep</w:t>
      </w:r>
      <w:r w:rsidRPr="00B336E0">
        <w:rPr>
          <w:lang w:val="en-US"/>
        </w:rPr>
        <w:t xml:space="preserve"> a </w:t>
      </w:r>
      <w:r w:rsidR="00475C82" w:rsidRPr="00B336E0">
        <w:rPr>
          <w:lang w:val="en-US"/>
        </w:rPr>
        <w:t>suitable</w:t>
      </w:r>
      <w:r w:rsidRPr="00B336E0">
        <w:rPr>
          <w:lang w:val="en-US"/>
        </w:rPr>
        <w:t xml:space="preserve"> distance between them. These wires increase heat transfer </w:t>
      </w:r>
      <w:r w:rsidR="000546CF" w:rsidRPr="00B336E0">
        <w:rPr>
          <w:lang w:val="en-US"/>
        </w:rPr>
        <w:t xml:space="preserve">due to an increase in </w:t>
      </w:r>
      <w:r w:rsidRPr="00B336E0">
        <w:rPr>
          <w:lang w:val="en-US"/>
        </w:rPr>
        <w:t xml:space="preserve">turbulent mixing, but they also increase the pressure drop. Increasing interest in new-generation nuclear reactors and the challenging geometrical </w:t>
      </w:r>
      <w:r w:rsidR="00475C82" w:rsidRPr="00B336E0">
        <w:rPr>
          <w:lang w:val="en-US"/>
        </w:rPr>
        <w:t>characteristics</w:t>
      </w:r>
      <w:r w:rsidRPr="00B336E0">
        <w:rPr>
          <w:lang w:val="en-US"/>
        </w:rPr>
        <w:t xml:space="preserve"> of the wire-wrapped fuel assembly have </w:t>
      </w:r>
      <w:r w:rsidR="00475C82" w:rsidRPr="00B336E0">
        <w:rPr>
          <w:lang w:val="en-US"/>
        </w:rPr>
        <w:t>inspired</w:t>
      </w:r>
      <w:r w:rsidRPr="00B336E0">
        <w:rPr>
          <w:lang w:val="en-US"/>
        </w:rPr>
        <w:t xml:space="preserve"> research in the study of their thermal-hydraulics, focusing on experimental measurements and subsequent empirical correlations, such the one of Chen and </w:t>
      </w:r>
      <w:proofErr w:type="spellStart"/>
      <w:r w:rsidRPr="00B336E0">
        <w:rPr>
          <w:lang w:val="en-US"/>
        </w:rPr>
        <w:t>Todreas</w:t>
      </w:r>
      <w:proofErr w:type="spellEnd"/>
      <w:r w:rsidR="00FD676C" w:rsidRPr="00B336E0">
        <w:rPr>
          <w:lang w:val="en-US"/>
        </w:rPr>
        <w:t xml:space="preserve"> </w:t>
      </w:r>
      <w:r w:rsidR="00FD676C" w:rsidRPr="00B336E0">
        <w:rPr>
          <w:lang w:val="en-US"/>
        </w:rPr>
        <w:fldChar w:fldCharType="begin"/>
      </w:r>
      <w:r w:rsidR="00FD676C" w:rsidRPr="00B336E0">
        <w:rPr>
          <w:lang w:val="en-US"/>
        </w:rPr>
        <w:instrText xml:space="preserve"> REF _Ref67226598 \r \h </w:instrText>
      </w:r>
      <w:r w:rsidR="00FD676C" w:rsidRPr="00B336E0">
        <w:rPr>
          <w:lang w:val="en-US"/>
        </w:rPr>
      </w:r>
      <w:r w:rsidR="00FD676C" w:rsidRPr="00B336E0">
        <w:rPr>
          <w:lang w:val="en-US"/>
        </w:rPr>
        <w:fldChar w:fldCharType="separate"/>
      </w:r>
      <w:r w:rsidR="00A72A78">
        <w:rPr>
          <w:lang w:val="en-US"/>
        </w:rPr>
        <w:t>[1]</w:t>
      </w:r>
      <w:r w:rsidR="00FD676C" w:rsidRPr="00B336E0">
        <w:rPr>
          <w:lang w:val="en-US"/>
        </w:rPr>
        <w:fldChar w:fldCharType="end"/>
      </w:r>
      <w:r w:rsidR="00475C82" w:rsidRPr="00B336E0">
        <w:rPr>
          <w:lang w:val="en-US"/>
        </w:rPr>
        <w:t xml:space="preserve">, recently updated in 2018 </w:t>
      </w:r>
      <w:r w:rsidR="00FD676C" w:rsidRPr="00B336E0">
        <w:rPr>
          <w:lang w:val="en-US"/>
        </w:rPr>
        <w:fldChar w:fldCharType="begin"/>
      </w:r>
      <w:r w:rsidR="00FD676C" w:rsidRPr="00B336E0">
        <w:rPr>
          <w:lang w:val="en-US"/>
        </w:rPr>
        <w:instrText xml:space="preserve"> REF _Ref67226611 \r \h </w:instrText>
      </w:r>
      <w:r w:rsidR="00FD676C" w:rsidRPr="00B336E0">
        <w:rPr>
          <w:lang w:val="en-US"/>
        </w:rPr>
      </w:r>
      <w:r w:rsidR="00FD676C" w:rsidRPr="00B336E0">
        <w:rPr>
          <w:lang w:val="en-US"/>
        </w:rPr>
        <w:fldChar w:fldCharType="separate"/>
      </w:r>
      <w:r w:rsidR="00A72A78">
        <w:rPr>
          <w:lang w:val="en-US"/>
        </w:rPr>
        <w:t>[2]</w:t>
      </w:r>
      <w:r w:rsidR="00FD676C" w:rsidRPr="00B336E0">
        <w:rPr>
          <w:lang w:val="en-US"/>
        </w:rPr>
        <w:fldChar w:fldCharType="end"/>
      </w:r>
      <w:r w:rsidRPr="00B336E0">
        <w:rPr>
          <w:lang w:val="en-US"/>
        </w:rPr>
        <w:t xml:space="preserve">. In addition, experimental measurements of axial and transverse pressure drop were performed by </w:t>
      </w:r>
      <w:proofErr w:type="spellStart"/>
      <w:r w:rsidRPr="00B336E0">
        <w:rPr>
          <w:lang w:val="en-US"/>
        </w:rPr>
        <w:t>Dajun</w:t>
      </w:r>
      <w:proofErr w:type="spellEnd"/>
      <w:r w:rsidRPr="00B336E0">
        <w:rPr>
          <w:lang w:val="en-US"/>
        </w:rPr>
        <w:t xml:space="preserve"> Fan</w:t>
      </w:r>
      <w:r w:rsidR="00FD676C" w:rsidRPr="00B336E0">
        <w:rPr>
          <w:lang w:val="en-US"/>
        </w:rPr>
        <w:t xml:space="preserve"> et al.</w:t>
      </w:r>
      <w:r w:rsidRPr="00B336E0">
        <w:rPr>
          <w:lang w:val="en-US"/>
        </w:rPr>
        <w:t xml:space="preserve"> </w:t>
      </w:r>
      <w:r w:rsidR="00FD676C" w:rsidRPr="00B336E0">
        <w:rPr>
          <w:lang w:val="en-US"/>
        </w:rPr>
        <w:fldChar w:fldCharType="begin"/>
      </w:r>
      <w:r w:rsidR="00FD676C" w:rsidRPr="00B336E0">
        <w:rPr>
          <w:lang w:val="en-US"/>
        </w:rPr>
        <w:instrText xml:space="preserve"> REF _Ref67226621 \r \h </w:instrText>
      </w:r>
      <w:r w:rsidR="00FD676C" w:rsidRPr="00B336E0">
        <w:rPr>
          <w:lang w:val="en-US"/>
        </w:rPr>
      </w:r>
      <w:r w:rsidR="00FD676C" w:rsidRPr="00B336E0">
        <w:rPr>
          <w:lang w:val="en-US"/>
        </w:rPr>
        <w:fldChar w:fldCharType="separate"/>
      </w:r>
      <w:r w:rsidR="00A72A78">
        <w:rPr>
          <w:lang w:val="en-US"/>
        </w:rPr>
        <w:t>[3]</w:t>
      </w:r>
      <w:r w:rsidR="00FD676C" w:rsidRPr="00B336E0">
        <w:rPr>
          <w:lang w:val="en-US"/>
        </w:rPr>
        <w:fldChar w:fldCharType="end"/>
      </w:r>
      <w:r w:rsidRPr="00B336E0">
        <w:rPr>
          <w:lang w:val="en-US"/>
        </w:rPr>
        <w:t>, Vaghetto</w:t>
      </w:r>
      <w:r w:rsidR="00FD676C" w:rsidRPr="00B336E0">
        <w:rPr>
          <w:lang w:val="en-US"/>
        </w:rPr>
        <w:t xml:space="preserve"> et al.</w:t>
      </w:r>
      <w:r w:rsidRPr="00B336E0">
        <w:rPr>
          <w:lang w:val="en-US"/>
        </w:rPr>
        <w:t xml:space="preserve"> </w:t>
      </w:r>
      <w:r w:rsidR="00FD676C" w:rsidRPr="00B336E0">
        <w:rPr>
          <w:lang w:val="en-US"/>
        </w:rPr>
        <w:fldChar w:fldCharType="begin"/>
      </w:r>
      <w:r w:rsidR="00FD676C" w:rsidRPr="00B336E0">
        <w:rPr>
          <w:lang w:val="en-US"/>
        </w:rPr>
        <w:instrText xml:space="preserve"> REF _Ref67226641 \r \h </w:instrText>
      </w:r>
      <w:r w:rsidR="00FD676C" w:rsidRPr="00B336E0">
        <w:rPr>
          <w:lang w:val="en-US"/>
        </w:rPr>
      </w:r>
      <w:r w:rsidR="00FD676C" w:rsidRPr="00B336E0">
        <w:rPr>
          <w:lang w:val="en-US"/>
        </w:rPr>
        <w:fldChar w:fldCharType="separate"/>
      </w:r>
      <w:r w:rsidR="00A72A78">
        <w:rPr>
          <w:lang w:val="en-US"/>
        </w:rPr>
        <w:t>[4]</w:t>
      </w:r>
      <w:r w:rsidR="00FD676C" w:rsidRPr="00B336E0">
        <w:rPr>
          <w:lang w:val="en-US"/>
        </w:rPr>
        <w:fldChar w:fldCharType="end"/>
      </w:r>
      <w:r w:rsidRPr="00B336E0">
        <w:rPr>
          <w:lang w:val="en-US"/>
        </w:rPr>
        <w:t>, and Chills</w:t>
      </w:r>
      <w:r w:rsidR="00FD676C" w:rsidRPr="00B336E0">
        <w:rPr>
          <w:lang w:val="en-US"/>
        </w:rPr>
        <w:t xml:space="preserve"> et al. </w:t>
      </w:r>
      <w:r w:rsidR="00FD676C" w:rsidRPr="00B336E0">
        <w:rPr>
          <w:lang w:val="en-US"/>
        </w:rPr>
        <w:fldChar w:fldCharType="begin"/>
      </w:r>
      <w:r w:rsidR="00FD676C" w:rsidRPr="00B336E0">
        <w:rPr>
          <w:lang w:val="en-US"/>
        </w:rPr>
        <w:instrText xml:space="preserve"> REF _Ref67226658 \r \h </w:instrText>
      </w:r>
      <w:r w:rsidR="00FD676C" w:rsidRPr="00B336E0">
        <w:rPr>
          <w:lang w:val="en-US"/>
        </w:rPr>
      </w:r>
      <w:r w:rsidR="00FD676C" w:rsidRPr="00B336E0">
        <w:rPr>
          <w:lang w:val="en-US"/>
        </w:rPr>
        <w:fldChar w:fldCharType="separate"/>
      </w:r>
      <w:r w:rsidR="00A72A78">
        <w:rPr>
          <w:lang w:val="en-US"/>
        </w:rPr>
        <w:t>[5]</w:t>
      </w:r>
      <w:r w:rsidR="00FD676C" w:rsidRPr="00B336E0">
        <w:rPr>
          <w:lang w:val="en-US"/>
        </w:rPr>
        <w:fldChar w:fldCharType="end"/>
      </w:r>
      <w:r w:rsidRPr="00B336E0">
        <w:rPr>
          <w:lang w:val="en-US"/>
        </w:rPr>
        <w:t xml:space="preserve">. Due to experimental </w:t>
      </w:r>
      <w:r w:rsidR="00475C82" w:rsidRPr="00B336E0">
        <w:rPr>
          <w:lang w:val="en-US"/>
        </w:rPr>
        <w:t>restrictions</w:t>
      </w:r>
      <w:r w:rsidRPr="00B336E0">
        <w:rPr>
          <w:lang w:val="en-US"/>
        </w:rPr>
        <w:t xml:space="preserve"> and the cost of </w:t>
      </w:r>
      <w:r w:rsidR="00475C82" w:rsidRPr="00B336E0">
        <w:rPr>
          <w:lang w:val="en-US"/>
        </w:rPr>
        <w:t>generating</w:t>
      </w:r>
      <w:r w:rsidRPr="00B336E0">
        <w:rPr>
          <w:lang w:val="en-US"/>
        </w:rPr>
        <w:t xml:space="preserve"> </w:t>
      </w:r>
      <w:r w:rsidR="00475C82" w:rsidRPr="00B336E0">
        <w:rPr>
          <w:lang w:val="en-US"/>
        </w:rPr>
        <w:t>further</w:t>
      </w:r>
      <w:r w:rsidRPr="00B336E0">
        <w:rPr>
          <w:lang w:val="en-US"/>
        </w:rPr>
        <w:t xml:space="preserve"> detailed pressure data inside the wire-wrapped fuel </w:t>
      </w:r>
      <w:r w:rsidR="00475C82" w:rsidRPr="00B336E0">
        <w:rPr>
          <w:lang w:val="en-US"/>
        </w:rPr>
        <w:t>assembly</w:t>
      </w:r>
      <w:r w:rsidRPr="00B336E0">
        <w:rPr>
          <w:lang w:val="en-US"/>
        </w:rPr>
        <w:t xml:space="preserve">, computational fluid dynamics (CFD) </w:t>
      </w:r>
      <w:r w:rsidR="00475C82" w:rsidRPr="00B336E0">
        <w:rPr>
          <w:lang w:val="en-US"/>
        </w:rPr>
        <w:t>techniques</w:t>
      </w:r>
      <w:r w:rsidRPr="00B336E0">
        <w:rPr>
          <w:lang w:val="en-US"/>
        </w:rPr>
        <w:t xml:space="preserve"> have become more popular as computing capabilities have </w:t>
      </w:r>
      <w:r w:rsidR="00475C82" w:rsidRPr="00B336E0">
        <w:rPr>
          <w:lang w:val="en-US"/>
        </w:rPr>
        <w:t>improved</w:t>
      </w:r>
      <w:r w:rsidRPr="00B336E0">
        <w:rPr>
          <w:lang w:val="en-US"/>
        </w:rPr>
        <w:t xml:space="preserve"> </w:t>
      </w:r>
      <w:r w:rsidR="00475C82" w:rsidRPr="00B336E0">
        <w:rPr>
          <w:lang w:val="en-US"/>
        </w:rPr>
        <w:t>in the recent time</w:t>
      </w:r>
      <w:r w:rsidRPr="00B336E0">
        <w:rPr>
          <w:lang w:val="en-US"/>
        </w:rPr>
        <w:t>.</w:t>
      </w:r>
    </w:p>
    <w:p w14:paraId="0B8A8E0E" w14:textId="19BF86AB" w:rsidR="00475C82" w:rsidRPr="00B336E0" w:rsidRDefault="003819C5" w:rsidP="00475C82">
      <w:pPr>
        <w:pStyle w:val="BodyText"/>
        <w:rPr>
          <w:lang w:val="en-US"/>
        </w:rPr>
      </w:pPr>
      <w:r w:rsidRPr="00B336E0">
        <w:rPr>
          <w:lang w:val="en-US"/>
        </w:rPr>
        <w:t xml:space="preserve">Among the </w:t>
      </w:r>
      <w:r w:rsidR="00475C82" w:rsidRPr="00B336E0">
        <w:rPr>
          <w:lang w:val="en-US"/>
        </w:rPr>
        <w:t>existing</w:t>
      </w:r>
      <w:r w:rsidRPr="00B336E0">
        <w:rPr>
          <w:lang w:val="en-US"/>
        </w:rPr>
        <w:t xml:space="preserve"> computational methods, Reynolds-Averaged Navier-Stokes</w:t>
      </w:r>
      <w:r w:rsidR="00475C82" w:rsidRPr="00B336E0">
        <w:rPr>
          <w:lang w:val="en-US"/>
        </w:rPr>
        <w:t xml:space="preserve"> (RANS)</w:t>
      </w:r>
      <w:r w:rsidRPr="00B336E0">
        <w:rPr>
          <w:lang w:val="en-US"/>
        </w:rPr>
        <w:t xml:space="preserve"> equations </w:t>
      </w:r>
      <w:r w:rsidR="00475C82" w:rsidRPr="00B336E0">
        <w:rPr>
          <w:lang w:val="en-US"/>
        </w:rPr>
        <w:t xml:space="preserve">is a convenient tool for the simulation of turbulent flows at a relatively low computational cost. A number of researchers have performed RANS simulations for different wire-wrapped bundles. Zhao et al. </w:t>
      </w:r>
      <w:r w:rsidR="00FD676C" w:rsidRPr="00B336E0">
        <w:rPr>
          <w:lang w:val="en-US"/>
        </w:rPr>
        <w:fldChar w:fldCharType="begin"/>
      </w:r>
      <w:r w:rsidR="00FD676C" w:rsidRPr="00B336E0">
        <w:rPr>
          <w:lang w:val="en-US"/>
        </w:rPr>
        <w:instrText xml:space="preserve"> REF _Ref67226680 \r \h </w:instrText>
      </w:r>
      <w:r w:rsidR="00FD676C" w:rsidRPr="00B336E0">
        <w:rPr>
          <w:lang w:val="en-US"/>
        </w:rPr>
      </w:r>
      <w:r w:rsidR="00FD676C" w:rsidRPr="00B336E0">
        <w:rPr>
          <w:lang w:val="en-US"/>
        </w:rPr>
        <w:fldChar w:fldCharType="separate"/>
      </w:r>
      <w:r w:rsidR="00A72A78">
        <w:rPr>
          <w:lang w:val="en-US"/>
        </w:rPr>
        <w:t>[6]</w:t>
      </w:r>
      <w:r w:rsidR="00FD676C" w:rsidRPr="00B336E0">
        <w:rPr>
          <w:lang w:val="en-US"/>
        </w:rPr>
        <w:fldChar w:fldCharType="end"/>
      </w:r>
      <w:r w:rsidR="00475C82" w:rsidRPr="00B336E0">
        <w:rPr>
          <w:lang w:val="en-US"/>
        </w:rPr>
        <w:t xml:space="preserve"> used the open-source code OpenFOAM to simulate a 7-pin geometry with</w:t>
      </w:r>
      <w:r w:rsidR="000546CF" w:rsidRPr="00B336E0">
        <w:rPr>
          <w:lang w:val="en-US"/>
        </w:rPr>
        <w:t xml:space="preserve"> the</w:t>
      </w:r>
      <w:r w:rsidR="00475C82" w:rsidRPr="00B336E0">
        <w:rPr>
          <w:lang w:val="en-US"/>
        </w:rPr>
        <w:t xml:space="preserve"> </w:t>
      </w:r>
      <m:oMath>
        <m:r>
          <w:rPr>
            <w:rFonts w:ascii="Cambria Math" w:hAnsi="Cambria Math"/>
            <w:lang w:val="en-US"/>
          </w:rPr>
          <m:t>k-ω</m:t>
        </m:r>
      </m:oMath>
      <w:r w:rsidR="00475C82" w:rsidRPr="00B336E0">
        <w:rPr>
          <w:lang w:val="en-US"/>
        </w:rPr>
        <w:t xml:space="preserve"> SST model for different Reynolds numbers, rod pitch, rod diameter and helix pitch. Yoon and </w:t>
      </w:r>
      <w:proofErr w:type="spellStart"/>
      <w:r w:rsidR="00475C82" w:rsidRPr="00B336E0">
        <w:rPr>
          <w:lang w:val="en-US"/>
        </w:rPr>
        <w:t>Heidet</w:t>
      </w:r>
      <w:proofErr w:type="spellEnd"/>
      <w:r w:rsidR="00475C82" w:rsidRPr="00B336E0">
        <w:rPr>
          <w:lang w:val="en-US"/>
        </w:rPr>
        <w:t xml:space="preserve"> </w:t>
      </w:r>
      <w:r w:rsidR="00FD676C" w:rsidRPr="00B336E0">
        <w:rPr>
          <w:lang w:val="en-US"/>
        </w:rPr>
        <w:fldChar w:fldCharType="begin"/>
      </w:r>
      <w:r w:rsidR="00FD676C" w:rsidRPr="00B336E0">
        <w:rPr>
          <w:lang w:val="en-US"/>
        </w:rPr>
        <w:instrText xml:space="preserve"> REF _Ref67226701 \r \h </w:instrText>
      </w:r>
      <w:r w:rsidR="00FD676C" w:rsidRPr="00B336E0">
        <w:rPr>
          <w:lang w:val="en-US"/>
        </w:rPr>
      </w:r>
      <w:r w:rsidR="00FD676C" w:rsidRPr="00B336E0">
        <w:rPr>
          <w:lang w:val="en-US"/>
        </w:rPr>
        <w:fldChar w:fldCharType="separate"/>
      </w:r>
      <w:r w:rsidR="00A72A78">
        <w:rPr>
          <w:lang w:val="en-US"/>
        </w:rPr>
        <w:t>[7]</w:t>
      </w:r>
      <w:r w:rsidR="00FD676C" w:rsidRPr="00B336E0">
        <w:rPr>
          <w:lang w:val="en-US"/>
        </w:rPr>
        <w:fldChar w:fldCharType="end"/>
      </w:r>
      <w:r w:rsidR="00475C82" w:rsidRPr="00B336E0">
        <w:rPr>
          <w:lang w:val="en-US"/>
        </w:rPr>
        <w:t xml:space="preserve"> used STAR</w:t>
      </w:r>
      <w:r w:rsidR="000546CF" w:rsidRPr="00B336E0">
        <w:rPr>
          <w:lang w:val="en-US"/>
        </w:rPr>
        <w:t>-</w:t>
      </w:r>
      <w:r w:rsidR="00475C82" w:rsidRPr="00B336E0">
        <w:rPr>
          <w:lang w:val="en-US"/>
        </w:rPr>
        <w:t xml:space="preserve">CCM+ with the </w:t>
      </w:r>
      <m:oMath>
        <m:r>
          <w:rPr>
            <w:rFonts w:ascii="Cambria Math" w:hAnsi="Cambria Math"/>
            <w:lang w:val="en-US"/>
          </w:rPr>
          <m:t>k-ω</m:t>
        </m:r>
      </m:oMath>
      <w:r w:rsidR="00475C82" w:rsidRPr="00B336E0">
        <w:rPr>
          <w:lang w:val="en-US"/>
        </w:rPr>
        <w:t xml:space="preserve"> SST model and </w:t>
      </w:r>
      <w:r w:rsidR="00475C82" w:rsidRPr="00B336E0">
        <w:rPr>
          <w:lang w:val="en-US"/>
        </w:rPr>
        <w:lastRenderedPageBreak/>
        <w:t xml:space="preserve">the Spalding wall function to evaluate the accuracy of empirical correlations for friction factors </w:t>
      </w:r>
      <w:r w:rsidR="000546CF" w:rsidRPr="00B336E0">
        <w:rPr>
          <w:lang w:val="en-US"/>
        </w:rPr>
        <w:t>in</w:t>
      </w:r>
      <w:r w:rsidR="00475C82" w:rsidRPr="00B336E0">
        <w:rPr>
          <w:lang w:val="en-US"/>
        </w:rPr>
        <w:t xml:space="preserve"> a 217-pin bundle. </w:t>
      </w:r>
      <w:r w:rsidR="00E309BE" w:rsidRPr="00B336E0">
        <w:rPr>
          <w:lang w:val="en-US"/>
        </w:rPr>
        <w:t xml:space="preserve">Brockmeyer et al. </w:t>
      </w:r>
      <w:r w:rsidR="00FD676C" w:rsidRPr="00B336E0">
        <w:rPr>
          <w:lang w:val="en-US"/>
        </w:rPr>
        <w:fldChar w:fldCharType="begin"/>
      </w:r>
      <w:r w:rsidR="00FD676C" w:rsidRPr="00B336E0">
        <w:rPr>
          <w:lang w:val="en-US"/>
        </w:rPr>
        <w:instrText xml:space="preserve"> REF _Ref67226771 \r \h </w:instrText>
      </w:r>
      <w:r w:rsidR="00FD676C" w:rsidRPr="00B336E0">
        <w:rPr>
          <w:lang w:val="en-US"/>
        </w:rPr>
      </w:r>
      <w:r w:rsidR="00FD676C" w:rsidRPr="00B336E0">
        <w:rPr>
          <w:lang w:val="en-US"/>
        </w:rPr>
        <w:fldChar w:fldCharType="separate"/>
      </w:r>
      <w:r w:rsidR="00A72A78">
        <w:rPr>
          <w:lang w:val="en-US"/>
        </w:rPr>
        <w:t>[8]</w:t>
      </w:r>
      <w:r w:rsidR="00FD676C" w:rsidRPr="00B336E0">
        <w:rPr>
          <w:lang w:val="en-US"/>
        </w:rPr>
        <w:fldChar w:fldCharType="end"/>
      </w:r>
      <w:r w:rsidR="00E309BE" w:rsidRPr="00B336E0">
        <w:rPr>
          <w:lang w:val="en-US"/>
        </w:rPr>
        <w:t xml:space="preserve"> used RANS </w:t>
      </w:r>
      <m:oMath>
        <m:r>
          <w:rPr>
            <w:rFonts w:ascii="Cambria Math" w:hAnsi="Cambria Math"/>
            <w:lang w:val="en-US"/>
          </w:rPr>
          <m:t>k-ϵ</m:t>
        </m:r>
      </m:oMath>
      <w:r w:rsidR="00E309BE" w:rsidRPr="00B336E0">
        <w:rPr>
          <w:lang w:val="en-US"/>
        </w:rPr>
        <w:t xml:space="preserve"> with elliptic blending and </w:t>
      </w:r>
      <m:oMath>
        <m:r>
          <w:rPr>
            <w:rFonts w:ascii="Cambria Math" w:hAnsi="Cambria Math"/>
            <w:lang w:val="en-US"/>
          </w:rPr>
          <m:t>k-ω</m:t>
        </m:r>
      </m:oMath>
      <w:r w:rsidR="00E309BE" w:rsidRPr="00B336E0">
        <w:rPr>
          <w:lang w:val="en-US"/>
        </w:rPr>
        <w:t xml:space="preserve"> SST to compare with LES calculations to determine the minimum representative size that captures the physics of a commercial wire-wrapped bundle, finding</w:t>
      </w:r>
      <w:r w:rsidR="000546CF" w:rsidRPr="00B336E0">
        <w:rPr>
          <w:lang w:val="en-US"/>
        </w:rPr>
        <w:t xml:space="preserve"> </w:t>
      </w:r>
      <w:r w:rsidR="00E309BE" w:rsidRPr="00B336E0">
        <w:rPr>
          <w:lang w:val="en-US"/>
        </w:rPr>
        <w:t>the 61-pin assembly to be the one that be</w:t>
      </w:r>
      <w:r w:rsidR="00E31985">
        <w:rPr>
          <w:lang w:val="en-US"/>
        </w:rPr>
        <w:t>s</w:t>
      </w:r>
      <w:r w:rsidR="00E309BE" w:rsidRPr="00B336E0">
        <w:rPr>
          <w:lang w:val="en-US"/>
        </w:rPr>
        <w:t xml:space="preserve">t represented the physics of larger bundles. </w:t>
      </w:r>
      <w:r w:rsidR="00475C82" w:rsidRPr="00B336E0">
        <w:rPr>
          <w:lang w:val="en-US"/>
        </w:rPr>
        <w:t>Pointer</w:t>
      </w:r>
      <w:r w:rsidR="000546CF" w:rsidRPr="00B336E0">
        <w:rPr>
          <w:lang w:val="en-US"/>
        </w:rPr>
        <w:t xml:space="preserve"> et al. </w:t>
      </w:r>
      <w:r w:rsidR="000546CF" w:rsidRPr="00B336E0">
        <w:rPr>
          <w:lang w:val="en-US"/>
        </w:rPr>
        <w:fldChar w:fldCharType="begin"/>
      </w:r>
      <w:r w:rsidR="000546CF" w:rsidRPr="00B336E0">
        <w:rPr>
          <w:lang w:val="en-US"/>
        </w:rPr>
        <w:instrText xml:space="preserve"> REF _Ref67301476 \r \h </w:instrText>
      </w:r>
      <w:r w:rsidR="00AD5631" w:rsidRPr="00B336E0">
        <w:rPr>
          <w:lang w:val="en-US"/>
        </w:rPr>
        <w:instrText xml:space="preserve"> \* MERGEFORMAT </w:instrText>
      </w:r>
      <w:r w:rsidR="000546CF" w:rsidRPr="00B336E0">
        <w:rPr>
          <w:lang w:val="en-US"/>
        </w:rPr>
      </w:r>
      <w:r w:rsidR="000546CF" w:rsidRPr="00B336E0">
        <w:rPr>
          <w:lang w:val="en-US"/>
        </w:rPr>
        <w:fldChar w:fldCharType="separate"/>
      </w:r>
      <w:r w:rsidR="00A72A78">
        <w:rPr>
          <w:lang w:val="en-US"/>
        </w:rPr>
        <w:t>[9]</w:t>
      </w:r>
      <w:r w:rsidR="000546CF" w:rsidRPr="00B336E0">
        <w:rPr>
          <w:lang w:val="en-US"/>
        </w:rPr>
        <w:fldChar w:fldCharType="end"/>
      </w:r>
      <w:r w:rsidR="000546CF" w:rsidRPr="00B336E0">
        <w:rPr>
          <w:lang w:val="en-US"/>
        </w:rPr>
        <w:t xml:space="preserve"> simulated a 217-pin wire-wrapped assembly using RANS, investigating the advantages of using polyhedral-based meshing over trimmed cell meshing. </w:t>
      </w:r>
      <w:r w:rsidR="00475C82" w:rsidRPr="00B336E0">
        <w:rPr>
          <w:lang w:val="en-US"/>
        </w:rPr>
        <w:t xml:space="preserve">Ahmad </w:t>
      </w:r>
      <w:r w:rsidR="000546CF" w:rsidRPr="00B336E0">
        <w:rPr>
          <w:lang w:val="en-US"/>
        </w:rPr>
        <w:t xml:space="preserve">et al. </w:t>
      </w:r>
      <w:r w:rsidR="000546CF" w:rsidRPr="00B336E0">
        <w:rPr>
          <w:lang w:val="en-US"/>
        </w:rPr>
        <w:fldChar w:fldCharType="begin"/>
      </w:r>
      <w:r w:rsidR="000546CF" w:rsidRPr="00B336E0">
        <w:rPr>
          <w:lang w:val="en-US"/>
        </w:rPr>
        <w:instrText xml:space="preserve"> REF _Ref67301789 \r \h </w:instrText>
      </w:r>
      <w:r w:rsidR="00AD5631" w:rsidRPr="00B336E0">
        <w:rPr>
          <w:lang w:val="en-US"/>
        </w:rPr>
        <w:instrText xml:space="preserve"> \* MERGEFORMAT </w:instrText>
      </w:r>
      <w:r w:rsidR="000546CF" w:rsidRPr="00B336E0">
        <w:rPr>
          <w:lang w:val="en-US"/>
        </w:rPr>
      </w:r>
      <w:r w:rsidR="000546CF" w:rsidRPr="00B336E0">
        <w:rPr>
          <w:lang w:val="en-US"/>
        </w:rPr>
        <w:fldChar w:fldCharType="separate"/>
      </w:r>
      <w:r w:rsidR="00A72A78">
        <w:rPr>
          <w:lang w:val="en-US"/>
        </w:rPr>
        <w:t>[10]</w:t>
      </w:r>
      <w:r w:rsidR="000546CF" w:rsidRPr="00B336E0">
        <w:rPr>
          <w:lang w:val="en-US"/>
        </w:rPr>
        <w:fldChar w:fldCharType="end"/>
      </w:r>
      <w:r w:rsidR="00AD5631" w:rsidRPr="00B336E0">
        <w:rPr>
          <w:lang w:val="en-US"/>
        </w:rPr>
        <w:t xml:space="preserve"> simulated a 37-pin bundle with the shear stress transport RANS model using the code CFX to characterize the velocity distributing on the bundle cross-section and the vorticity. </w:t>
      </w:r>
      <w:proofErr w:type="spellStart"/>
      <w:r w:rsidR="00475C82" w:rsidRPr="00B336E0">
        <w:rPr>
          <w:lang w:val="en-US"/>
        </w:rPr>
        <w:t>Gajapathy</w:t>
      </w:r>
      <w:proofErr w:type="spellEnd"/>
      <w:r w:rsidR="00475C82" w:rsidRPr="00B336E0">
        <w:rPr>
          <w:lang w:val="en-US"/>
        </w:rPr>
        <w:t xml:space="preserve"> </w:t>
      </w:r>
      <w:r w:rsidR="00AD5631" w:rsidRPr="00B336E0">
        <w:rPr>
          <w:lang w:val="en-US"/>
        </w:rPr>
        <w:t xml:space="preserve">et al. </w:t>
      </w:r>
      <w:r w:rsidR="00FD676C" w:rsidRPr="00B336E0">
        <w:rPr>
          <w:lang w:val="en-US"/>
        </w:rPr>
        <w:fldChar w:fldCharType="begin"/>
      </w:r>
      <w:r w:rsidR="00FD676C" w:rsidRPr="00B336E0">
        <w:rPr>
          <w:lang w:val="en-US"/>
        </w:rPr>
        <w:instrText xml:space="preserve"> REF _Ref67226795 \r \h </w:instrText>
      </w:r>
      <w:r w:rsidR="00AD5631" w:rsidRPr="00B336E0">
        <w:rPr>
          <w:lang w:val="en-US"/>
        </w:rPr>
        <w:instrText xml:space="preserve"> \* MERGEFORMAT </w:instrText>
      </w:r>
      <w:r w:rsidR="00FD676C" w:rsidRPr="00B336E0">
        <w:rPr>
          <w:lang w:val="en-US"/>
        </w:rPr>
      </w:r>
      <w:r w:rsidR="00FD676C" w:rsidRPr="00B336E0">
        <w:rPr>
          <w:lang w:val="en-US"/>
        </w:rPr>
        <w:fldChar w:fldCharType="separate"/>
      </w:r>
      <w:r w:rsidR="00A72A78">
        <w:rPr>
          <w:lang w:val="en-US"/>
        </w:rPr>
        <w:t>[11]</w:t>
      </w:r>
      <w:r w:rsidR="00FD676C" w:rsidRPr="00B336E0">
        <w:rPr>
          <w:lang w:val="en-US"/>
        </w:rPr>
        <w:fldChar w:fldCharType="end"/>
      </w:r>
      <w:r w:rsidR="00475C82" w:rsidRPr="00B336E0">
        <w:rPr>
          <w:lang w:val="en-US"/>
        </w:rPr>
        <w:t xml:space="preserve"> </w:t>
      </w:r>
      <w:r w:rsidR="00AD5631" w:rsidRPr="00B336E0">
        <w:rPr>
          <w:lang w:val="en-US"/>
        </w:rPr>
        <w:t xml:space="preserve">used </w:t>
      </w:r>
      <w:proofErr w:type="spellStart"/>
      <w:r w:rsidR="00AD5631" w:rsidRPr="00B336E0">
        <w:rPr>
          <w:lang w:val="en-US"/>
        </w:rPr>
        <w:t>the</w:t>
      </w:r>
      <w:proofErr w:type="spellEnd"/>
      <w:r w:rsidR="00AD5631" w:rsidRPr="00B336E0">
        <w:rPr>
          <w:lang w:val="en-US"/>
        </w:rPr>
        <w:t xml:space="preserve"> </w:t>
      </w:r>
      <m:oMath>
        <m:r>
          <w:rPr>
            <w:rFonts w:ascii="Cambria Math" w:hAnsi="Cambria Math"/>
            <w:lang w:val="en-US"/>
          </w:rPr>
          <m:t>k-ϵ</m:t>
        </m:r>
      </m:oMath>
      <w:r w:rsidR="00AD5631" w:rsidRPr="00B336E0">
        <w:rPr>
          <w:lang w:val="en-US"/>
        </w:rPr>
        <w:t xml:space="preserve"> model to simulate a 7-pin assembly to assess the effect of transverse flow in promoting flow and temperature uniformity</w:t>
      </w:r>
      <w:r w:rsidR="00475C82" w:rsidRPr="00B336E0">
        <w:rPr>
          <w:lang w:val="en-US"/>
        </w:rPr>
        <w:t>. A recent validation study of RANS models for th</w:t>
      </w:r>
      <w:r w:rsidR="00E31985">
        <w:rPr>
          <w:lang w:val="en-US"/>
        </w:rPr>
        <w:t>is</w:t>
      </w:r>
      <w:r w:rsidR="00475C82" w:rsidRPr="00B336E0">
        <w:rPr>
          <w:lang w:val="en-US"/>
        </w:rPr>
        <w:t xml:space="preserve"> kind of fuel assemblies was performed by </w:t>
      </w:r>
      <w:proofErr w:type="spellStart"/>
      <w:r w:rsidR="00475C82" w:rsidRPr="00B336E0">
        <w:rPr>
          <w:lang w:val="en-US"/>
        </w:rPr>
        <w:t>Bieder</w:t>
      </w:r>
      <w:proofErr w:type="spellEnd"/>
      <w:r w:rsidR="00475C82" w:rsidRPr="00B336E0">
        <w:rPr>
          <w:lang w:val="en-US"/>
        </w:rPr>
        <w:t xml:space="preserve"> et al. </w:t>
      </w:r>
      <w:r w:rsidR="00FD676C" w:rsidRPr="00B336E0">
        <w:rPr>
          <w:lang w:val="en-US"/>
        </w:rPr>
        <w:fldChar w:fldCharType="begin"/>
      </w:r>
      <w:r w:rsidR="00FD676C" w:rsidRPr="00B336E0">
        <w:rPr>
          <w:lang w:val="en-US"/>
        </w:rPr>
        <w:instrText xml:space="preserve"> REF _Ref67226803 \r \h </w:instrText>
      </w:r>
      <w:r w:rsidR="00AD5631" w:rsidRPr="00B336E0">
        <w:rPr>
          <w:lang w:val="en-US"/>
        </w:rPr>
        <w:instrText xml:space="preserve"> \* MERGEFORMAT </w:instrText>
      </w:r>
      <w:r w:rsidR="00FD676C" w:rsidRPr="00B336E0">
        <w:rPr>
          <w:lang w:val="en-US"/>
        </w:rPr>
      </w:r>
      <w:r w:rsidR="00FD676C" w:rsidRPr="00B336E0">
        <w:rPr>
          <w:lang w:val="en-US"/>
        </w:rPr>
        <w:fldChar w:fldCharType="separate"/>
      </w:r>
      <w:r w:rsidR="00A72A78">
        <w:rPr>
          <w:lang w:val="en-US"/>
        </w:rPr>
        <w:t>[12]</w:t>
      </w:r>
      <w:r w:rsidR="00FD676C" w:rsidRPr="00B336E0">
        <w:rPr>
          <w:lang w:val="en-US"/>
        </w:rPr>
        <w:fldChar w:fldCharType="end"/>
      </w:r>
      <w:r w:rsidR="00475C82" w:rsidRPr="00B336E0">
        <w:rPr>
          <w:lang w:val="en-US"/>
        </w:rPr>
        <w:t xml:space="preserve"> using wall functions. Another RANS validation study for different number of pins was done by </w:t>
      </w:r>
      <w:proofErr w:type="spellStart"/>
      <w:r w:rsidR="00475C82" w:rsidRPr="00B336E0">
        <w:rPr>
          <w:lang w:val="en-US"/>
        </w:rPr>
        <w:t>Dovizio</w:t>
      </w:r>
      <w:proofErr w:type="spellEnd"/>
      <w:r w:rsidR="00475C82" w:rsidRPr="00B336E0">
        <w:rPr>
          <w:lang w:val="en-US"/>
        </w:rPr>
        <w:t xml:space="preserve"> et al. </w:t>
      </w:r>
      <w:r w:rsidR="00FD676C" w:rsidRPr="00B336E0">
        <w:rPr>
          <w:lang w:val="en-US"/>
        </w:rPr>
        <w:fldChar w:fldCharType="begin"/>
      </w:r>
      <w:r w:rsidR="00FD676C" w:rsidRPr="00B336E0">
        <w:rPr>
          <w:lang w:val="en-US"/>
        </w:rPr>
        <w:instrText xml:space="preserve"> REF _Ref67226810 \r \h </w:instrText>
      </w:r>
      <w:r w:rsidR="00AD5631" w:rsidRPr="00B336E0">
        <w:rPr>
          <w:lang w:val="en-US"/>
        </w:rPr>
        <w:instrText xml:space="preserve"> \* MERGEFORMAT </w:instrText>
      </w:r>
      <w:r w:rsidR="00FD676C" w:rsidRPr="00B336E0">
        <w:rPr>
          <w:lang w:val="en-US"/>
        </w:rPr>
      </w:r>
      <w:r w:rsidR="00FD676C" w:rsidRPr="00B336E0">
        <w:rPr>
          <w:lang w:val="en-US"/>
        </w:rPr>
        <w:fldChar w:fldCharType="separate"/>
      </w:r>
      <w:r w:rsidR="00A72A78">
        <w:rPr>
          <w:lang w:val="en-US"/>
        </w:rPr>
        <w:t>[13]</w:t>
      </w:r>
      <w:r w:rsidR="00FD676C" w:rsidRPr="00B336E0">
        <w:rPr>
          <w:lang w:val="en-US"/>
        </w:rPr>
        <w:fldChar w:fldCharType="end"/>
      </w:r>
      <w:r w:rsidR="00475C82" w:rsidRPr="00B336E0">
        <w:rPr>
          <w:lang w:val="en-US"/>
        </w:rPr>
        <w:t xml:space="preserve">. </w:t>
      </w:r>
    </w:p>
    <w:p w14:paraId="4FE5579E" w14:textId="06A6A5CB" w:rsidR="003819C5" w:rsidRPr="00B336E0" w:rsidRDefault="00475C82" w:rsidP="00475C82">
      <w:pPr>
        <w:pStyle w:val="BodyText"/>
        <w:rPr>
          <w:lang w:val="en-US"/>
        </w:rPr>
      </w:pPr>
      <w:r w:rsidRPr="00B336E0">
        <w:rPr>
          <w:lang w:val="en-US"/>
        </w:rPr>
        <w:t xml:space="preserve">The purpose of the paper is to </w:t>
      </w:r>
      <w:r w:rsidR="00E31985" w:rsidRPr="00B336E0">
        <w:rPr>
          <w:lang w:val="en-US"/>
        </w:rPr>
        <w:t>analyze</w:t>
      </w:r>
      <w:r w:rsidRPr="00B336E0">
        <w:rPr>
          <w:lang w:val="en-US"/>
        </w:rPr>
        <w:t xml:space="preserve"> the capability and accuracy of </w:t>
      </w:r>
      <w:r w:rsidR="00AD5631" w:rsidRPr="00B336E0">
        <w:rPr>
          <w:lang w:val="en-US"/>
        </w:rPr>
        <w:t xml:space="preserve">the </w:t>
      </w:r>
      <w:r w:rsidRPr="00B336E0">
        <w:rPr>
          <w:lang w:val="en-US"/>
        </w:rPr>
        <w:t>RANS</w:t>
      </w:r>
      <w:r w:rsidR="00AD5631" w:rsidRPr="00B336E0">
        <w:rPr>
          <w:lang w:val="en-US"/>
        </w:rPr>
        <w:t xml:space="preserve"> </w:t>
      </w:r>
      <m:oMath>
        <m:r>
          <w:rPr>
            <w:rFonts w:ascii="Cambria Math" w:hAnsi="Cambria Math"/>
            <w:lang w:val="en-US"/>
          </w:rPr>
          <m:t>k-ω</m:t>
        </m:r>
      </m:oMath>
      <w:r w:rsidR="00AD5631" w:rsidRPr="00B336E0">
        <w:rPr>
          <w:lang w:val="en-US"/>
        </w:rPr>
        <w:t xml:space="preserve"> SST</w:t>
      </w:r>
      <w:r w:rsidRPr="00B336E0">
        <w:rPr>
          <w:lang w:val="en-US"/>
        </w:rPr>
        <w:t xml:space="preserve"> turbulence model to predict the fluid-flow characteristics </w:t>
      </w:r>
      <w:r w:rsidR="00C053C1">
        <w:rPr>
          <w:lang w:val="en-US"/>
        </w:rPr>
        <w:t>of</w:t>
      </w:r>
      <w:r w:rsidRPr="00B336E0">
        <w:rPr>
          <w:lang w:val="en-US"/>
        </w:rPr>
        <w:t xml:space="preserve"> a </w:t>
      </w:r>
      <w:r w:rsidR="00AD5631" w:rsidRPr="00B336E0">
        <w:rPr>
          <w:lang w:val="en-US"/>
        </w:rPr>
        <w:t xml:space="preserve">61-pin </w:t>
      </w:r>
      <w:r w:rsidRPr="00B336E0">
        <w:rPr>
          <w:lang w:val="en-US"/>
        </w:rPr>
        <w:t xml:space="preserve">wire-wrapped fuel assembly. This was accomplished by comparing the RANS </w:t>
      </w:r>
      <w:r w:rsidR="00C23E3C" w:rsidRPr="00B336E0">
        <w:rPr>
          <w:lang w:val="en-US"/>
        </w:rPr>
        <w:t>predictions</w:t>
      </w:r>
      <w:r w:rsidRPr="00B336E0">
        <w:rPr>
          <w:lang w:val="en-US"/>
        </w:rPr>
        <w:t xml:space="preserve"> with </w:t>
      </w:r>
      <w:r w:rsidR="00C23E3C" w:rsidRPr="00B336E0">
        <w:rPr>
          <w:lang w:val="en-US"/>
        </w:rPr>
        <w:t xml:space="preserve">the </w:t>
      </w:r>
      <w:r w:rsidRPr="00B336E0">
        <w:rPr>
          <w:lang w:val="en-US"/>
        </w:rPr>
        <w:t>experimental data of axial and transverse pressure drop</w:t>
      </w:r>
      <w:r w:rsidR="00C23E3C" w:rsidRPr="00B336E0">
        <w:rPr>
          <w:lang w:val="en-US"/>
        </w:rPr>
        <w:t xml:space="preserve"> provided by the Thermal-hydraulics Research Laboratory of Texas A&amp;M University</w:t>
      </w:r>
      <w:r w:rsidRPr="00B336E0">
        <w:rPr>
          <w:lang w:val="en-US"/>
        </w:rPr>
        <w:t>, and predictions of an existing friction factor correlation.</w:t>
      </w:r>
    </w:p>
    <w:p w14:paraId="433FE04F" w14:textId="174F3536" w:rsidR="00E25B68" w:rsidRPr="00B336E0" w:rsidRDefault="0095573A" w:rsidP="0026525A">
      <w:pPr>
        <w:pStyle w:val="Heading2"/>
        <w:numPr>
          <w:ilvl w:val="1"/>
          <w:numId w:val="10"/>
        </w:numPr>
        <w:rPr>
          <w:lang w:val="en-US"/>
        </w:rPr>
      </w:pPr>
      <w:r w:rsidRPr="00B336E0">
        <w:rPr>
          <w:lang w:val="en-US"/>
        </w:rPr>
        <w:t>experimental facility</w:t>
      </w:r>
    </w:p>
    <w:p w14:paraId="4A5BE17B" w14:textId="7DD8B4C0" w:rsidR="00C53032" w:rsidRDefault="00DA7E39" w:rsidP="00A30C4E">
      <w:pPr>
        <w:pStyle w:val="BodyText"/>
        <w:rPr>
          <w:lang w:val="en-US"/>
        </w:rPr>
      </w:pPr>
      <w:r w:rsidRPr="00B336E0">
        <w:rPr>
          <w:lang w:val="en-US"/>
        </w:rPr>
        <w:t xml:space="preserve">The CFD </w:t>
      </w:r>
      <w:r w:rsidR="00AD5631" w:rsidRPr="00B336E0">
        <w:rPr>
          <w:lang w:val="en-US"/>
        </w:rPr>
        <w:t>calculations</w:t>
      </w:r>
      <w:r w:rsidRPr="00B336E0">
        <w:rPr>
          <w:lang w:val="en-US"/>
        </w:rPr>
        <w:t xml:space="preserve"> presented in th</w:t>
      </w:r>
      <w:r w:rsidR="00AD5631" w:rsidRPr="00B336E0">
        <w:rPr>
          <w:lang w:val="en-US"/>
        </w:rPr>
        <w:t>e paper</w:t>
      </w:r>
      <w:r w:rsidRPr="00B336E0">
        <w:rPr>
          <w:lang w:val="en-US"/>
        </w:rPr>
        <w:t xml:space="preserve"> are based on </w:t>
      </w:r>
      <w:r w:rsidR="00AD5631" w:rsidRPr="00B336E0">
        <w:rPr>
          <w:lang w:val="en-US"/>
        </w:rPr>
        <w:t>empirical measurements</w:t>
      </w:r>
      <w:r w:rsidRPr="00B336E0">
        <w:rPr>
          <w:lang w:val="en-US"/>
        </w:rPr>
        <w:t xml:space="preserve"> conducted on the 61-pin wire-wrapped test bundle at</w:t>
      </w:r>
      <w:r w:rsidR="00AD5631" w:rsidRPr="00B336E0">
        <w:rPr>
          <w:lang w:val="en-US"/>
        </w:rPr>
        <w:t xml:space="preserve"> the Thermal-Hydraulic Research </w:t>
      </w:r>
      <w:r w:rsidR="00C053C1" w:rsidRPr="00B336E0">
        <w:rPr>
          <w:lang w:val="en-US"/>
        </w:rPr>
        <w:t>La</w:t>
      </w:r>
      <w:r w:rsidR="00C053C1">
        <w:rPr>
          <w:lang w:val="en-US"/>
        </w:rPr>
        <w:t>boratory</w:t>
      </w:r>
      <w:r w:rsidR="00AD5631" w:rsidRPr="00B336E0">
        <w:rPr>
          <w:lang w:val="en-US"/>
        </w:rPr>
        <w:t xml:space="preserve"> of</w:t>
      </w:r>
      <w:r w:rsidRPr="00B336E0">
        <w:rPr>
          <w:lang w:val="en-US"/>
        </w:rPr>
        <w:t xml:space="preserve"> Texas A&amp;M University </w:t>
      </w:r>
      <w:r w:rsidR="00FD676C" w:rsidRPr="00B336E0">
        <w:rPr>
          <w:lang w:val="en-US"/>
        </w:rPr>
        <w:fldChar w:fldCharType="begin"/>
      </w:r>
      <w:r w:rsidR="00FD676C" w:rsidRPr="00B336E0">
        <w:rPr>
          <w:lang w:val="en-US"/>
        </w:rPr>
        <w:instrText xml:space="preserve"> REF _Ref67226818 \r \h </w:instrText>
      </w:r>
      <w:r w:rsidR="00FD676C" w:rsidRPr="00B336E0">
        <w:rPr>
          <w:lang w:val="en-US"/>
        </w:rPr>
      </w:r>
      <w:r w:rsidR="00FD676C" w:rsidRPr="00B336E0">
        <w:rPr>
          <w:lang w:val="en-US"/>
        </w:rPr>
        <w:fldChar w:fldCharType="separate"/>
      </w:r>
      <w:r w:rsidR="00A72A78">
        <w:rPr>
          <w:lang w:val="en-US"/>
        </w:rPr>
        <w:t>[14]</w:t>
      </w:r>
      <w:r w:rsidR="00FD676C" w:rsidRPr="00B336E0">
        <w:rPr>
          <w:lang w:val="en-US"/>
        </w:rPr>
        <w:fldChar w:fldCharType="end"/>
      </w:r>
      <w:r w:rsidRPr="00B336E0">
        <w:rPr>
          <w:lang w:val="en-US"/>
        </w:rPr>
        <w:t xml:space="preserve">. The </w:t>
      </w:r>
      <w:r w:rsidR="00AD5631" w:rsidRPr="00B336E0">
        <w:rPr>
          <w:lang w:val="en-US"/>
        </w:rPr>
        <w:t xml:space="preserve">experimental facility </w:t>
      </w:r>
      <w:r w:rsidRPr="00B336E0">
        <w:rPr>
          <w:lang w:val="en-US"/>
        </w:rPr>
        <w:t>is a</w:t>
      </w:r>
      <w:r w:rsidR="00AD5631" w:rsidRPr="00B336E0">
        <w:rPr>
          <w:lang w:val="en-US"/>
        </w:rPr>
        <w:t xml:space="preserve"> scaled</w:t>
      </w:r>
      <w:r w:rsidRPr="00B336E0">
        <w:rPr>
          <w:lang w:val="en-US"/>
        </w:rPr>
        <w:t xml:space="preserve"> </w:t>
      </w:r>
      <w:r w:rsidR="00AD5631" w:rsidRPr="00B336E0">
        <w:rPr>
          <w:lang w:val="en-US"/>
        </w:rPr>
        <w:t>model</w:t>
      </w:r>
      <w:r w:rsidRPr="00B336E0">
        <w:rPr>
          <w:lang w:val="en-US"/>
        </w:rPr>
        <w:t xml:space="preserve"> of a typical </w:t>
      </w:r>
      <w:r w:rsidR="00AD5631" w:rsidRPr="00B336E0">
        <w:rPr>
          <w:lang w:val="en-US"/>
        </w:rPr>
        <w:t>sodium-</w:t>
      </w:r>
      <w:r w:rsidRPr="00B336E0">
        <w:rPr>
          <w:lang w:val="en-US"/>
        </w:rPr>
        <w:t>fast reactor assembly, characterized by a</w:t>
      </w:r>
      <w:r w:rsidR="00AD5631" w:rsidRPr="00B336E0">
        <w:rPr>
          <w:lang w:val="en-US"/>
        </w:rPr>
        <w:t xml:space="preserve"> triangular arrangement</w:t>
      </w:r>
      <w:r w:rsidRPr="00B336E0">
        <w:rPr>
          <w:lang w:val="en-US"/>
        </w:rPr>
        <w:t xml:space="preserve"> of wire-wrapped rods enclosed in a hexagonal </w:t>
      </w:r>
      <w:r w:rsidR="00AD5631" w:rsidRPr="00B336E0">
        <w:rPr>
          <w:lang w:val="en-US"/>
        </w:rPr>
        <w:t>channel</w:t>
      </w:r>
      <w:r w:rsidRPr="00B336E0">
        <w:rPr>
          <w:lang w:val="en-US"/>
        </w:rPr>
        <w:t xml:space="preserve">, as shown in </w:t>
      </w:r>
      <w:r w:rsidR="00921F9F" w:rsidRPr="00B336E0">
        <w:rPr>
          <w:lang w:val="en-US"/>
        </w:rPr>
        <w:fldChar w:fldCharType="begin"/>
      </w:r>
      <w:r w:rsidR="00921F9F" w:rsidRPr="00B336E0">
        <w:rPr>
          <w:lang w:val="en-US"/>
        </w:rPr>
        <w:instrText xml:space="preserve"> REF _Ref67144843 \h </w:instrText>
      </w:r>
      <w:r w:rsidR="00921F9F" w:rsidRPr="00B336E0">
        <w:rPr>
          <w:lang w:val="en-US"/>
        </w:rPr>
      </w:r>
      <w:r w:rsidR="00921F9F" w:rsidRPr="00B336E0">
        <w:rPr>
          <w:lang w:val="en-US"/>
        </w:rPr>
        <w:fldChar w:fldCharType="separate"/>
      </w:r>
      <w:r w:rsidR="00A72A78" w:rsidRPr="00B336E0">
        <w:rPr>
          <w:lang w:val="en-US"/>
        </w:rPr>
        <w:t xml:space="preserve">FIG </w:t>
      </w:r>
      <w:r w:rsidR="00A72A78">
        <w:rPr>
          <w:noProof/>
          <w:lang w:val="en-US"/>
        </w:rPr>
        <w:t>1</w:t>
      </w:r>
      <w:r w:rsidR="00921F9F" w:rsidRPr="00B336E0">
        <w:rPr>
          <w:lang w:val="en-US"/>
        </w:rPr>
        <w:fldChar w:fldCharType="end"/>
      </w:r>
      <w:r w:rsidR="00C53032" w:rsidRPr="00B336E0">
        <w:rPr>
          <w:lang w:val="en-US"/>
        </w:rPr>
        <w:t>. Faces of the duct are named with letters A to F. Pressure transducers were placed at the center of faces A, F, E and D and for the axial locations denoted as PT5, PT6 and PT7. The axial pressure drop was measured between PT5 and PT7, because the</w:t>
      </w:r>
      <w:r w:rsidR="00C053C1">
        <w:rPr>
          <w:lang w:val="en-US"/>
        </w:rPr>
        <w:t>y</w:t>
      </w:r>
      <w:r w:rsidR="00C53032" w:rsidRPr="00B336E0">
        <w:rPr>
          <w:lang w:val="en-US"/>
        </w:rPr>
        <w:t xml:space="preserve"> were separated by a distance equal to 1 helix pitch.</w:t>
      </w:r>
      <w:r w:rsidR="00A37DCA">
        <w:rPr>
          <w:lang w:val="en-US"/>
        </w:rPr>
        <w:t xml:space="preserve"> The wire position repeats itself after one helical pitch. </w:t>
      </w:r>
      <w:r w:rsidR="00C53032" w:rsidRPr="00B336E0">
        <w:rPr>
          <w:lang w:val="en-US"/>
        </w:rPr>
        <w:t>The transverse pressure drop distribution was obtained by combining the pressure signals at faces A, F, E and D for the axial positions corresponding to PT5 and PT6. The values of the</w:t>
      </w:r>
      <w:r w:rsidR="00F533EE" w:rsidRPr="00B336E0">
        <w:rPr>
          <w:lang w:val="en-US"/>
        </w:rPr>
        <w:t xml:space="preserve"> dimensions of the</w:t>
      </w:r>
      <w:r w:rsidR="00C53032" w:rsidRPr="00B336E0">
        <w:rPr>
          <w:lang w:val="en-US"/>
        </w:rPr>
        <w:t xml:space="preserve"> geometrical parameters are listed on </w:t>
      </w:r>
      <w:r w:rsidR="00C53032" w:rsidRPr="00B336E0">
        <w:rPr>
          <w:lang w:val="en-US"/>
        </w:rPr>
        <w:fldChar w:fldCharType="begin"/>
      </w:r>
      <w:r w:rsidR="00C53032" w:rsidRPr="00B336E0">
        <w:rPr>
          <w:lang w:val="en-US"/>
        </w:rPr>
        <w:instrText xml:space="preserve"> REF _Ref67304862 \h </w:instrText>
      </w:r>
      <w:r w:rsidR="00C53032" w:rsidRPr="00B336E0">
        <w:rPr>
          <w:lang w:val="en-US"/>
        </w:rPr>
      </w:r>
      <w:r w:rsidR="00C53032" w:rsidRPr="00B336E0">
        <w:rPr>
          <w:lang w:val="en-US"/>
        </w:rPr>
        <w:fldChar w:fldCharType="separate"/>
      </w:r>
      <w:r w:rsidR="00A72A78" w:rsidRPr="00B336E0">
        <w:rPr>
          <w:lang w:val="en-US"/>
        </w:rPr>
        <w:t xml:space="preserve">TABLE </w:t>
      </w:r>
      <w:r w:rsidR="00A72A78">
        <w:rPr>
          <w:noProof/>
          <w:lang w:val="en-US"/>
        </w:rPr>
        <w:t>I</w:t>
      </w:r>
      <w:r w:rsidR="00C53032" w:rsidRPr="00B336E0">
        <w:rPr>
          <w:lang w:val="en-US"/>
        </w:rPr>
        <w:fldChar w:fldCharType="end"/>
      </w:r>
      <w:r w:rsidR="00C53032" w:rsidRPr="00B336E0">
        <w:rPr>
          <w:lang w:val="en-US"/>
        </w:rPr>
        <w:t>.</w:t>
      </w:r>
      <w:r w:rsidR="00C053C1">
        <w:rPr>
          <w:lang w:val="en-US"/>
        </w:rPr>
        <w:t xml:space="preserve"> The test section was located at the fully developed region.</w:t>
      </w:r>
    </w:p>
    <w:p w14:paraId="7978135A" w14:textId="09027ECC" w:rsidR="00A916C4" w:rsidRDefault="00A916C4" w:rsidP="00A916C4">
      <w:pPr>
        <w:pStyle w:val="BodyText"/>
        <w:ind w:firstLine="0"/>
        <w:rPr>
          <w:lang w:val="en-US"/>
        </w:rPr>
      </w:pPr>
    </w:p>
    <w:p w14:paraId="3FC70870" w14:textId="77777777" w:rsidR="00A916C4" w:rsidRDefault="00A916C4" w:rsidP="00A916C4">
      <w:pPr>
        <w:pStyle w:val="BodyText"/>
        <w:ind w:firstLine="0"/>
        <w:rPr>
          <w:lang w:val="en-US"/>
        </w:rPr>
      </w:pPr>
    </w:p>
    <w:p w14:paraId="70301D81" w14:textId="7A6664DC" w:rsidR="00ED080F" w:rsidRPr="00B336E0" w:rsidRDefault="00A916C4" w:rsidP="00A916C4">
      <w:pPr>
        <w:pStyle w:val="BodyText"/>
        <w:ind w:firstLine="0"/>
        <w:rPr>
          <w:lang w:val="en-US"/>
        </w:rPr>
      </w:pPr>
      <w:r>
        <w:rPr>
          <w:noProof/>
        </w:rPr>
        <w:drawing>
          <wp:inline distT="0" distB="0" distL="0" distR="0" wp14:anchorId="317C9E21" wp14:editId="39C44C10">
            <wp:extent cx="3630952" cy="32004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19" t="860" r="7933" b="4365"/>
                    <a:stretch/>
                  </pic:blipFill>
                  <pic:spPr bwMode="auto">
                    <a:xfrm>
                      <a:off x="0" y="0"/>
                      <a:ext cx="3630952" cy="3200400"/>
                    </a:xfrm>
                    <a:prstGeom prst="rect">
                      <a:avLst/>
                    </a:prstGeom>
                    <a:ln>
                      <a:noFill/>
                    </a:ln>
                    <a:extLst>
                      <a:ext uri="{53640926-AAD7-44D8-BBD7-CCE9431645EC}">
                        <a14:shadowObscured xmlns:a14="http://schemas.microsoft.com/office/drawing/2010/main"/>
                      </a:ext>
                    </a:extLst>
                  </pic:spPr>
                </pic:pic>
              </a:graphicData>
            </a:graphic>
          </wp:inline>
        </w:drawing>
      </w:r>
      <w:r w:rsidR="00C53032" w:rsidRPr="00B336E0">
        <w:rPr>
          <w:noProof/>
          <w:lang w:val="en-US"/>
        </w:rPr>
        <w:drawing>
          <wp:inline distT="0" distB="0" distL="0" distR="0" wp14:anchorId="28D60D41" wp14:editId="37904594">
            <wp:extent cx="2074574" cy="3291840"/>
            <wp:effectExtent l="0" t="0" r="190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033"/>
                    <a:stretch/>
                  </pic:blipFill>
                  <pic:spPr bwMode="auto">
                    <a:xfrm>
                      <a:off x="0" y="0"/>
                      <a:ext cx="2074574" cy="3291840"/>
                    </a:xfrm>
                    <a:prstGeom prst="rect">
                      <a:avLst/>
                    </a:prstGeom>
                    <a:ln>
                      <a:noFill/>
                    </a:ln>
                    <a:extLst>
                      <a:ext uri="{53640926-AAD7-44D8-BBD7-CCE9431645EC}">
                        <a14:shadowObscured xmlns:a14="http://schemas.microsoft.com/office/drawing/2010/main"/>
                      </a:ext>
                    </a:extLst>
                  </pic:spPr>
                </pic:pic>
              </a:graphicData>
            </a:graphic>
          </wp:inline>
        </w:drawing>
      </w:r>
    </w:p>
    <w:p w14:paraId="6598586F" w14:textId="3D76F69B" w:rsidR="00192B81" w:rsidRDefault="00ED080F" w:rsidP="00192B81">
      <w:pPr>
        <w:pStyle w:val="Figurecaption"/>
        <w:rPr>
          <w:lang w:val="en-US"/>
        </w:rPr>
      </w:pPr>
      <w:bookmarkStart w:id="0" w:name="_Ref67144843"/>
      <w:r w:rsidRPr="00B336E0">
        <w:rPr>
          <w:lang w:val="en-US"/>
        </w:rPr>
        <w:t xml:space="preserve">FIG </w:t>
      </w:r>
      <w:r w:rsidRPr="00B336E0">
        <w:rPr>
          <w:lang w:val="en-US"/>
        </w:rPr>
        <w:fldChar w:fldCharType="begin"/>
      </w:r>
      <w:r w:rsidRPr="00B336E0">
        <w:rPr>
          <w:lang w:val="en-US"/>
        </w:rPr>
        <w:instrText xml:space="preserve"> SEQ Figure \* ARABIC </w:instrText>
      </w:r>
      <w:r w:rsidRPr="00B336E0">
        <w:rPr>
          <w:lang w:val="en-US"/>
        </w:rPr>
        <w:fldChar w:fldCharType="separate"/>
      </w:r>
      <w:r w:rsidR="00A72A78">
        <w:rPr>
          <w:noProof/>
          <w:lang w:val="en-US"/>
        </w:rPr>
        <w:t>1</w:t>
      </w:r>
      <w:r w:rsidRPr="00B336E0">
        <w:rPr>
          <w:lang w:val="en-US"/>
        </w:rPr>
        <w:fldChar w:fldCharType="end"/>
      </w:r>
      <w:bookmarkEnd w:id="0"/>
      <w:r w:rsidRPr="00B336E0">
        <w:rPr>
          <w:lang w:val="en-US"/>
        </w:rPr>
        <w:t>.</w:t>
      </w:r>
      <w:r w:rsidR="00C53032" w:rsidRPr="00B336E0">
        <w:rPr>
          <w:lang w:val="en-US"/>
        </w:rPr>
        <w:tab/>
        <w:t>61-rod hexagonal fuel bundle cross-section (</w:t>
      </w:r>
      <w:r w:rsidR="0023113E" w:rsidRPr="00B336E0">
        <w:rPr>
          <w:lang w:val="en-US"/>
        </w:rPr>
        <w:t>left</w:t>
      </w:r>
      <w:r w:rsidR="00C53032" w:rsidRPr="00B336E0">
        <w:rPr>
          <w:lang w:val="en-US"/>
        </w:rPr>
        <w:t>) and axial position of pressure transducers (</w:t>
      </w:r>
      <w:r w:rsidR="0023113E" w:rsidRPr="00B336E0">
        <w:rPr>
          <w:lang w:val="en-US"/>
        </w:rPr>
        <w:t>right</w:t>
      </w:r>
      <w:r w:rsidR="00C53032" w:rsidRPr="00B336E0">
        <w:rPr>
          <w:lang w:val="en-US"/>
        </w:rPr>
        <w:t>)</w:t>
      </w:r>
      <w:bookmarkStart w:id="1" w:name="_Ref67228942"/>
    </w:p>
    <w:p w14:paraId="6F0F5836" w14:textId="7DE9E50C" w:rsidR="004B00F0" w:rsidRPr="00192B81" w:rsidRDefault="00192B81" w:rsidP="00192B81">
      <w:pPr>
        <w:overflowPunct/>
        <w:autoSpaceDE/>
        <w:autoSpaceDN/>
        <w:adjustRightInd/>
        <w:textAlignment w:val="auto"/>
        <w:rPr>
          <w:i/>
          <w:sz w:val="18"/>
          <w:lang w:val="en-US"/>
        </w:rPr>
      </w:pPr>
      <w:r>
        <w:rPr>
          <w:lang w:val="en-US"/>
        </w:rPr>
        <w:br w:type="page"/>
      </w:r>
    </w:p>
    <w:p w14:paraId="54CEE322" w14:textId="7926C588" w:rsidR="009E6914" w:rsidRPr="00B336E0" w:rsidRDefault="009E6914" w:rsidP="009E6914">
      <w:pPr>
        <w:pStyle w:val="BodyText"/>
        <w:ind w:firstLine="0"/>
        <w:rPr>
          <w:lang w:val="en-US"/>
        </w:rPr>
      </w:pPr>
      <w:bookmarkStart w:id="2" w:name="_Ref67304862"/>
      <w:r w:rsidRPr="00B336E0">
        <w:rPr>
          <w:lang w:val="en-US"/>
        </w:rPr>
        <w:lastRenderedPageBreak/>
        <w:t xml:space="preserve">TABLE </w:t>
      </w:r>
      <w:r w:rsidR="001F5CB0">
        <w:rPr>
          <w:lang w:val="en-US"/>
        </w:rPr>
        <w:fldChar w:fldCharType="begin"/>
      </w:r>
      <w:r w:rsidR="001F5CB0">
        <w:rPr>
          <w:lang w:val="en-US"/>
        </w:rPr>
        <w:instrText xml:space="preserve"> SEQ TABLE \* ROMAN </w:instrText>
      </w:r>
      <w:r w:rsidR="001F5CB0">
        <w:rPr>
          <w:lang w:val="en-US"/>
        </w:rPr>
        <w:fldChar w:fldCharType="separate"/>
      </w:r>
      <w:r w:rsidR="00A72A78">
        <w:rPr>
          <w:noProof/>
          <w:lang w:val="en-US"/>
        </w:rPr>
        <w:t>I</w:t>
      </w:r>
      <w:r w:rsidR="001F5CB0">
        <w:rPr>
          <w:lang w:val="en-US"/>
        </w:rPr>
        <w:fldChar w:fldCharType="end"/>
      </w:r>
      <w:bookmarkEnd w:id="1"/>
      <w:bookmarkEnd w:id="2"/>
      <w:r w:rsidRPr="00B336E0">
        <w:rPr>
          <w:lang w:val="en-US"/>
        </w:rPr>
        <w:t>. GEOMETRY DIMENSIONS</w:t>
      </w:r>
    </w:p>
    <w:p w14:paraId="357D77C4" w14:textId="77777777" w:rsidR="009E6914" w:rsidRPr="00B336E0" w:rsidRDefault="009E6914" w:rsidP="009E6914">
      <w:pPr>
        <w:pStyle w:val="BodyText"/>
        <w:ind w:firstLine="0"/>
        <w:rPr>
          <w:lang w:val="en-US"/>
        </w:rPr>
      </w:pPr>
    </w:p>
    <w:tbl>
      <w:tblPr>
        <w:tblStyle w:val="TableGrid"/>
        <w:tblW w:w="0" w:type="auto"/>
        <w:jc w:val="center"/>
        <w:tblLook w:val="04A0" w:firstRow="1" w:lastRow="0" w:firstColumn="1" w:lastColumn="0" w:noHBand="0" w:noVBand="1"/>
      </w:tblPr>
      <w:tblGrid>
        <w:gridCol w:w="3228"/>
        <w:gridCol w:w="1362"/>
        <w:gridCol w:w="1890"/>
      </w:tblGrid>
      <w:tr w:rsidR="005D2947" w:rsidRPr="00B336E0" w14:paraId="06FA36FD" w14:textId="77777777" w:rsidTr="00D3236D">
        <w:trPr>
          <w:jc w:val="center"/>
        </w:trPr>
        <w:tc>
          <w:tcPr>
            <w:tcW w:w="3228" w:type="dxa"/>
            <w:tcBorders>
              <w:left w:val="nil"/>
              <w:bottom w:val="single" w:sz="4" w:space="0" w:color="auto"/>
              <w:right w:val="nil"/>
            </w:tcBorders>
            <w:vAlign w:val="center"/>
          </w:tcPr>
          <w:p w14:paraId="00E826FB" w14:textId="77777777" w:rsidR="005D2947" w:rsidRPr="00B336E0" w:rsidRDefault="005D2947" w:rsidP="009E6914">
            <w:pPr>
              <w:spacing w:line="276" w:lineRule="auto"/>
              <w:rPr>
                <w:sz w:val="20"/>
                <w:lang w:val="en-US"/>
              </w:rPr>
            </w:pPr>
            <w:r w:rsidRPr="00B336E0">
              <w:rPr>
                <w:sz w:val="20"/>
                <w:lang w:val="en-US"/>
              </w:rPr>
              <w:t>Variable</w:t>
            </w:r>
          </w:p>
        </w:tc>
        <w:tc>
          <w:tcPr>
            <w:tcW w:w="1362" w:type="dxa"/>
            <w:tcBorders>
              <w:left w:val="nil"/>
              <w:bottom w:val="single" w:sz="4" w:space="0" w:color="auto"/>
              <w:right w:val="nil"/>
            </w:tcBorders>
            <w:vAlign w:val="center"/>
          </w:tcPr>
          <w:p w14:paraId="652C263A" w14:textId="77777777" w:rsidR="005D2947" w:rsidRPr="00B336E0" w:rsidRDefault="005D2947" w:rsidP="005D2947">
            <w:pPr>
              <w:spacing w:line="276" w:lineRule="auto"/>
              <w:jc w:val="center"/>
              <w:rPr>
                <w:sz w:val="20"/>
                <w:lang w:val="en-US"/>
              </w:rPr>
            </w:pPr>
            <w:r w:rsidRPr="00B336E0">
              <w:rPr>
                <w:sz w:val="20"/>
                <w:lang w:val="en-US"/>
              </w:rPr>
              <w:t>Symbol</w:t>
            </w:r>
          </w:p>
        </w:tc>
        <w:tc>
          <w:tcPr>
            <w:tcW w:w="1890" w:type="dxa"/>
            <w:tcBorders>
              <w:left w:val="nil"/>
              <w:bottom w:val="single" w:sz="4" w:space="0" w:color="auto"/>
              <w:right w:val="nil"/>
            </w:tcBorders>
            <w:vAlign w:val="center"/>
          </w:tcPr>
          <w:p w14:paraId="69C35E01" w14:textId="77777777" w:rsidR="005D2947" w:rsidRPr="00B336E0" w:rsidRDefault="005D2947" w:rsidP="005D2947">
            <w:pPr>
              <w:spacing w:line="276" w:lineRule="auto"/>
              <w:jc w:val="center"/>
              <w:rPr>
                <w:sz w:val="20"/>
                <w:lang w:val="en-US"/>
              </w:rPr>
            </w:pPr>
            <w:r w:rsidRPr="00B336E0">
              <w:rPr>
                <w:sz w:val="20"/>
                <w:lang w:val="en-US"/>
              </w:rPr>
              <w:t>Value</w:t>
            </w:r>
          </w:p>
        </w:tc>
      </w:tr>
      <w:tr w:rsidR="005D2947" w:rsidRPr="00B336E0" w14:paraId="0528DDD0" w14:textId="77777777" w:rsidTr="00D3236D">
        <w:trPr>
          <w:jc w:val="center"/>
        </w:trPr>
        <w:tc>
          <w:tcPr>
            <w:tcW w:w="3228" w:type="dxa"/>
            <w:tcBorders>
              <w:top w:val="single" w:sz="4" w:space="0" w:color="auto"/>
              <w:left w:val="nil"/>
              <w:right w:val="nil"/>
            </w:tcBorders>
            <w:vAlign w:val="center"/>
          </w:tcPr>
          <w:p w14:paraId="481C4D98" w14:textId="77777777" w:rsidR="005D2947" w:rsidRPr="00B336E0" w:rsidRDefault="005D2947" w:rsidP="009E6914">
            <w:pPr>
              <w:spacing w:line="276" w:lineRule="auto"/>
              <w:rPr>
                <w:sz w:val="20"/>
                <w:lang w:val="en-US"/>
              </w:rPr>
            </w:pPr>
            <w:r w:rsidRPr="00B336E0">
              <w:rPr>
                <w:sz w:val="20"/>
                <w:lang w:val="en-US"/>
              </w:rPr>
              <w:t>Flat to flat distance [mm]</w:t>
            </w:r>
          </w:p>
        </w:tc>
        <w:tc>
          <w:tcPr>
            <w:tcW w:w="1362" w:type="dxa"/>
            <w:tcBorders>
              <w:top w:val="single" w:sz="4" w:space="0" w:color="auto"/>
              <w:left w:val="nil"/>
              <w:right w:val="nil"/>
            </w:tcBorders>
            <w:vAlign w:val="center"/>
          </w:tcPr>
          <w:p w14:paraId="00D99737" w14:textId="77777777" w:rsidR="005D2947" w:rsidRPr="00B336E0" w:rsidRDefault="005D2947" w:rsidP="005D2947">
            <w:pPr>
              <w:spacing w:line="276" w:lineRule="auto"/>
              <w:jc w:val="center"/>
              <w:rPr>
                <w:rFonts w:ascii="Cambria Math" w:hAnsi="Cambria Math"/>
                <w:sz w:val="20"/>
                <w:lang w:val="en-US"/>
              </w:rPr>
            </w:pPr>
            <m:oMathPara>
              <m:oMath>
                <m:r>
                  <w:rPr>
                    <w:rFonts w:ascii="Cambria Math" w:hAnsi="Cambria Math"/>
                    <w:sz w:val="20"/>
                    <w:lang w:val="en-US"/>
                  </w:rPr>
                  <m:t>FTF</m:t>
                </m:r>
              </m:oMath>
            </m:oMathPara>
          </w:p>
        </w:tc>
        <w:tc>
          <w:tcPr>
            <w:tcW w:w="1890" w:type="dxa"/>
            <w:tcBorders>
              <w:top w:val="single" w:sz="4" w:space="0" w:color="auto"/>
              <w:left w:val="nil"/>
              <w:right w:val="nil"/>
            </w:tcBorders>
            <w:vAlign w:val="center"/>
          </w:tcPr>
          <w:p w14:paraId="368AC809" w14:textId="77777777" w:rsidR="005D2947" w:rsidRPr="00B336E0" w:rsidRDefault="005D2947" w:rsidP="005D2947">
            <w:pPr>
              <w:spacing w:line="276" w:lineRule="auto"/>
              <w:jc w:val="center"/>
              <w:rPr>
                <w:sz w:val="20"/>
                <w:lang w:val="en-US"/>
              </w:rPr>
            </w:pPr>
            <w:r w:rsidRPr="00B336E0">
              <w:rPr>
                <w:sz w:val="20"/>
                <w:lang w:val="en-US"/>
              </w:rPr>
              <w:t>154.00</w:t>
            </w:r>
          </w:p>
        </w:tc>
      </w:tr>
      <w:tr w:rsidR="005D2947" w:rsidRPr="00B336E0" w14:paraId="3F91ACDD" w14:textId="77777777" w:rsidTr="009E6914">
        <w:trPr>
          <w:jc w:val="center"/>
        </w:trPr>
        <w:tc>
          <w:tcPr>
            <w:tcW w:w="3228" w:type="dxa"/>
            <w:tcBorders>
              <w:left w:val="nil"/>
              <w:right w:val="nil"/>
            </w:tcBorders>
            <w:vAlign w:val="center"/>
          </w:tcPr>
          <w:p w14:paraId="0BD219A8" w14:textId="77777777" w:rsidR="005D2947" w:rsidRPr="00B336E0" w:rsidRDefault="005D2947" w:rsidP="009E6914">
            <w:pPr>
              <w:spacing w:line="276" w:lineRule="auto"/>
              <w:rPr>
                <w:sz w:val="20"/>
                <w:lang w:val="en-US"/>
              </w:rPr>
            </w:pPr>
            <w:r w:rsidRPr="00B336E0">
              <w:rPr>
                <w:sz w:val="20"/>
                <w:lang w:val="en-US"/>
              </w:rPr>
              <w:t>Rod diameter [mm]</w:t>
            </w:r>
          </w:p>
        </w:tc>
        <w:tc>
          <w:tcPr>
            <w:tcW w:w="1362" w:type="dxa"/>
            <w:tcBorders>
              <w:left w:val="nil"/>
              <w:right w:val="nil"/>
            </w:tcBorders>
            <w:vAlign w:val="center"/>
          </w:tcPr>
          <w:p w14:paraId="162EF223" w14:textId="77777777" w:rsidR="005D2947" w:rsidRPr="00B336E0" w:rsidRDefault="005D2947" w:rsidP="005D2947">
            <w:pPr>
              <w:spacing w:line="276" w:lineRule="auto"/>
              <w:jc w:val="center"/>
              <w:rPr>
                <w:rFonts w:ascii="Cambria Math" w:hAnsi="Cambria Math"/>
                <w:sz w:val="20"/>
                <w:lang w:val="en-US"/>
              </w:rPr>
            </w:pPr>
            <m:oMathPara>
              <m:oMath>
                <m:r>
                  <w:rPr>
                    <w:rFonts w:ascii="Cambria Math" w:hAnsi="Cambria Math"/>
                    <w:sz w:val="20"/>
                    <w:lang w:val="en-US"/>
                  </w:rPr>
                  <m:t>D</m:t>
                </m:r>
              </m:oMath>
            </m:oMathPara>
          </w:p>
        </w:tc>
        <w:tc>
          <w:tcPr>
            <w:tcW w:w="1890" w:type="dxa"/>
            <w:tcBorders>
              <w:left w:val="nil"/>
              <w:right w:val="nil"/>
            </w:tcBorders>
            <w:vAlign w:val="center"/>
          </w:tcPr>
          <w:p w14:paraId="220BF3B8" w14:textId="77777777" w:rsidR="005D2947" w:rsidRPr="00B336E0" w:rsidRDefault="005D2947" w:rsidP="005D2947">
            <w:pPr>
              <w:spacing w:line="276" w:lineRule="auto"/>
              <w:jc w:val="center"/>
              <w:rPr>
                <w:sz w:val="20"/>
                <w:lang w:val="en-US"/>
              </w:rPr>
            </w:pPr>
            <w:r w:rsidRPr="00B336E0">
              <w:rPr>
                <w:sz w:val="20"/>
                <w:lang w:val="en-US"/>
              </w:rPr>
              <w:t>15.88</w:t>
            </w:r>
          </w:p>
        </w:tc>
      </w:tr>
      <w:tr w:rsidR="005D2947" w:rsidRPr="00B336E0" w14:paraId="7FC6DAFD" w14:textId="77777777" w:rsidTr="009E6914">
        <w:trPr>
          <w:jc w:val="center"/>
        </w:trPr>
        <w:tc>
          <w:tcPr>
            <w:tcW w:w="3228" w:type="dxa"/>
            <w:tcBorders>
              <w:left w:val="nil"/>
              <w:right w:val="nil"/>
            </w:tcBorders>
            <w:vAlign w:val="center"/>
          </w:tcPr>
          <w:p w14:paraId="52A17E04" w14:textId="77777777" w:rsidR="005D2947" w:rsidRPr="00B336E0" w:rsidRDefault="005D2947" w:rsidP="009E6914">
            <w:pPr>
              <w:spacing w:line="276" w:lineRule="auto"/>
              <w:rPr>
                <w:sz w:val="20"/>
                <w:lang w:val="en-US"/>
              </w:rPr>
            </w:pPr>
            <w:r w:rsidRPr="00B336E0">
              <w:rPr>
                <w:sz w:val="20"/>
                <w:lang w:val="en-US"/>
              </w:rPr>
              <w:t>Wire diameter [mm]</w:t>
            </w:r>
          </w:p>
        </w:tc>
        <w:tc>
          <w:tcPr>
            <w:tcW w:w="1362" w:type="dxa"/>
            <w:tcBorders>
              <w:left w:val="nil"/>
              <w:right w:val="nil"/>
            </w:tcBorders>
            <w:vAlign w:val="center"/>
          </w:tcPr>
          <w:p w14:paraId="186C303B" w14:textId="77777777" w:rsidR="005D2947" w:rsidRPr="00B336E0" w:rsidRDefault="006A6D9F" w:rsidP="005D2947">
            <w:pPr>
              <w:spacing w:line="276" w:lineRule="auto"/>
              <w:jc w:val="center"/>
              <w:rPr>
                <w:rFonts w:ascii="Cambria Math" w:hAnsi="Cambria Math"/>
                <w:sz w:val="20"/>
                <w:lang w:val="en-US"/>
              </w:rPr>
            </w:pPr>
            <m:oMathPara>
              <m:oMath>
                <m:sSub>
                  <m:sSubPr>
                    <m:ctrlPr>
                      <w:rPr>
                        <w:rFonts w:ascii="Cambria Math" w:hAnsi="Cambria Math"/>
                        <w:i/>
                        <w:sz w:val="20"/>
                        <w:lang w:val="en-US"/>
                      </w:rPr>
                    </m:ctrlPr>
                  </m:sSubPr>
                  <m:e>
                    <m:r>
                      <w:rPr>
                        <w:rFonts w:ascii="Cambria Math" w:hAnsi="Cambria Math"/>
                        <w:sz w:val="20"/>
                        <w:lang w:val="en-US"/>
                      </w:rPr>
                      <m:t>D</m:t>
                    </m:r>
                  </m:e>
                  <m:sub>
                    <m:r>
                      <w:rPr>
                        <w:rFonts w:ascii="Cambria Math" w:hAnsi="Cambria Math"/>
                        <w:sz w:val="20"/>
                        <w:lang w:val="en-US"/>
                      </w:rPr>
                      <m:t>w</m:t>
                    </m:r>
                  </m:sub>
                </m:sSub>
              </m:oMath>
            </m:oMathPara>
          </w:p>
        </w:tc>
        <w:tc>
          <w:tcPr>
            <w:tcW w:w="1890" w:type="dxa"/>
            <w:tcBorders>
              <w:left w:val="nil"/>
              <w:right w:val="nil"/>
            </w:tcBorders>
            <w:vAlign w:val="center"/>
          </w:tcPr>
          <w:p w14:paraId="0982F392" w14:textId="77777777" w:rsidR="005D2947" w:rsidRPr="00B336E0" w:rsidRDefault="005D2947" w:rsidP="005D2947">
            <w:pPr>
              <w:spacing w:line="276" w:lineRule="auto"/>
              <w:jc w:val="center"/>
              <w:rPr>
                <w:sz w:val="20"/>
                <w:lang w:val="en-US"/>
              </w:rPr>
            </w:pPr>
            <w:r w:rsidRPr="00B336E0">
              <w:rPr>
                <w:sz w:val="20"/>
                <w:lang w:val="en-US"/>
              </w:rPr>
              <w:t>3.00</w:t>
            </w:r>
          </w:p>
        </w:tc>
      </w:tr>
      <w:tr w:rsidR="005D2947" w:rsidRPr="00B336E0" w14:paraId="466027C5" w14:textId="77777777" w:rsidTr="009E6914">
        <w:trPr>
          <w:jc w:val="center"/>
        </w:trPr>
        <w:tc>
          <w:tcPr>
            <w:tcW w:w="3228" w:type="dxa"/>
            <w:tcBorders>
              <w:left w:val="nil"/>
              <w:right w:val="nil"/>
            </w:tcBorders>
            <w:vAlign w:val="center"/>
          </w:tcPr>
          <w:p w14:paraId="0ACC0989" w14:textId="77777777" w:rsidR="005D2947" w:rsidRPr="00B336E0" w:rsidRDefault="005D2947" w:rsidP="009E6914">
            <w:pPr>
              <w:spacing w:line="276" w:lineRule="auto"/>
              <w:rPr>
                <w:sz w:val="20"/>
                <w:lang w:val="en-US"/>
              </w:rPr>
            </w:pPr>
            <w:r w:rsidRPr="00B336E0">
              <w:rPr>
                <w:sz w:val="20"/>
                <w:lang w:val="en-US"/>
              </w:rPr>
              <w:t>Rod Pitch [mm]</w:t>
            </w:r>
          </w:p>
        </w:tc>
        <w:tc>
          <w:tcPr>
            <w:tcW w:w="1362" w:type="dxa"/>
            <w:tcBorders>
              <w:left w:val="nil"/>
              <w:right w:val="nil"/>
            </w:tcBorders>
            <w:vAlign w:val="center"/>
          </w:tcPr>
          <w:p w14:paraId="5096765B" w14:textId="77777777" w:rsidR="005D2947" w:rsidRPr="00B336E0" w:rsidRDefault="005D2947" w:rsidP="005D2947">
            <w:pPr>
              <w:spacing w:line="276" w:lineRule="auto"/>
              <w:jc w:val="center"/>
              <w:rPr>
                <w:rFonts w:ascii="Cambria Math" w:hAnsi="Cambria Math"/>
                <w:sz w:val="20"/>
                <w:lang w:val="en-US"/>
              </w:rPr>
            </w:pPr>
            <m:oMathPara>
              <m:oMath>
                <m:r>
                  <w:rPr>
                    <w:rFonts w:ascii="Cambria Math" w:hAnsi="Cambria Math"/>
                    <w:sz w:val="20"/>
                    <w:lang w:val="en-US"/>
                  </w:rPr>
                  <m:t>P</m:t>
                </m:r>
              </m:oMath>
            </m:oMathPara>
          </w:p>
        </w:tc>
        <w:tc>
          <w:tcPr>
            <w:tcW w:w="1890" w:type="dxa"/>
            <w:tcBorders>
              <w:left w:val="nil"/>
              <w:right w:val="nil"/>
            </w:tcBorders>
            <w:vAlign w:val="center"/>
          </w:tcPr>
          <w:p w14:paraId="374753A1" w14:textId="77777777" w:rsidR="005D2947" w:rsidRPr="00B336E0" w:rsidRDefault="005D2947" w:rsidP="005D2947">
            <w:pPr>
              <w:spacing w:line="276" w:lineRule="auto"/>
              <w:jc w:val="center"/>
              <w:rPr>
                <w:sz w:val="20"/>
                <w:lang w:val="en-US"/>
              </w:rPr>
            </w:pPr>
            <w:r w:rsidRPr="00B336E0">
              <w:rPr>
                <w:sz w:val="20"/>
                <w:lang w:val="en-US"/>
              </w:rPr>
              <w:t>18.88</w:t>
            </w:r>
          </w:p>
        </w:tc>
      </w:tr>
      <w:tr w:rsidR="005D2947" w:rsidRPr="00B336E0" w14:paraId="3DE77C2B" w14:textId="77777777" w:rsidTr="009E6914">
        <w:trPr>
          <w:jc w:val="center"/>
        </w:trPr>
        <w:tc>
          <w:tcPr>
            <w:tcW w:w="3228" w:type="dxa"/>
            <w:tcBorders>
              <w:left w:val="nil"/>
              <w:right w:val="nil"/>
            </w:tcBorders>
            <w:vAlign w:val="center"/>
          </w:tcPr>
          <w:p w14:paraId="475FEBBB" w14:textId="77777777" w:rsidR="005D2947" w:rsidRPr="00B336E0" w:rsidRDefault="005D2947" w:rsidP="009E6914">
            <w:pPr>
              <w:spacing w:line="276" w:lineRule="auto"/>
              <w:rPr>
                <w:sz w:val="20"/>
                <w:lang w:val="en-US"/>
              </w:rPr>
            </w:pPr>
            <w:r w:rsidRPr="00B336E0">
              <w:rPr>
                <w:sz w:val="20"/>
                <w:lang w:val="en-US"/>
              </w:rPr>
              <w:t>Helix Pitch [mm]</w:t>
            </w:r>
          </w:p>
        </w:tc>
        <w:tc>
          <w:tcPr>
            <w:tcW w:w="1362" w:type="dxa"/>
            <w:tcBorders>
              <w:left w:val="nil"/>
              <w:right w:val="nil"/>
            </w:tcBorders>
            <w:vAlign w:val="center"/>
          </w:tcPr>
          <w:p w14:paraId="45E345BE" w14:textId="77777777" w:rsidR="005D2947" w:rsidRPr="00B336E0" w:rsidRDefault="005D2947" w:rsidP="005D2947">
            <w:pPr>
              <w:spacing w:line="276" w:lineRule="auto"/>
              <w:jc w:val="center"/>
              <w:rPr>
                <w:rFonts w:ascii="Cambria Math" w:hAnsi="Cambria Math"/>
                <w:sz w:val="20"/>
                <w:lang w:val="en-US"/>
              </w:rPr>
            </w:pPr>
            <m:oMathPara>
              <m:oMath>
                <m:r>
                  <w:rPr>
                    <w:rFonts w:ascii="Cambria Math" w:hAnsi="Cambria Math"/>
                    <w:sz w:val="20"/>
                    <w:lang w:val="en-US"/>
                  </w:rPr>
                  <m:t>H</m:t>
                </m:r>
              </m:oMath>
            </m:oMathPara>
          </w:p>
        </w:tc>
        <w:tc>
          <w:tcPr>
            <w:tcW w:w="1890" w:type="dxa"/>
            <w:tcBorders>
              <w:left w:val="nil"/>
              <w:right w:val="nil"/>
            </w:tcBorders>
            <w:vAlign w:val="center"/>
          </w:tcPr>
          <w:p w14:paraId="3AF75793" w14:textId="77777777" w:rsidR="005D2947" w:rsidRPr="00B336E0" w:rsidRDefault="005D2947" w:rsidP="005D2947">
            <w:pPr>
              <w:spacing w:line="276" w:lineRule="auto"/>
              <w:jc w:val="center"/>
              <w:rPr>
                <w:sz w:val="20"/>
                <w:lang w:val="en-US"/>
              </w:rPr>
            </w:pPr>
            <w:r w:rsidRPr="00B336E0">
              <w:rPr>
                <w:sz w:val="20"/>
                <w:lang w:val="en-US"/>
              </w:rPr>
              <w:t>476.25</w:t>
            </w:r>
          </w:p>
        </w:tc>
      </w:tr>
      <w:tr w:rsidR="005D2947" w:rsidRPr="00B336E0" w14:paraId="3D6CD7F2" w14:textId="77777777" w:rsidTr="009E6914">
        <w:trPr>
          <w:jc w:val="center"/>
        </w:trPr>
        <w:tc>
          <w:tcPr>
            <w:tcW w:w="3228" w:type="dxa"/>
            <w:tcBorders>
              <w:left w:val="nil"/>
              <w:right w:val="nil"/>
            </w:tcBorders>
            <w:vAlign w:val="center"/>
          </w:tcPr>
          <w:p w14:paraId="74934852" w14:textId="77777777" w:rsidR="005D2947" w:rsidRPr="00B336E0" w:rsidRDefault="005D2947" w:rsidP="009E6914">
            <w:pPr>
              <w:spacing w:line="276" w:lineRule="auto"/>
              <w:rPr>
                <w:sz w:val="20"/>
                <w:lang w:val="en-US"/>
              </w:rPr>
            </w:pPr>
            <w:r w:rsidRPr="00B336E0">
              <w:rPr>
                <w:sz w:val="20"/>
                <w:lang w:val="en-US"/>
              </w:rPr>
              <w:t xml:space="preserve">Hydraulic Diameter [mm] </w:t>
            </w:r>
          </w:p>
        </w:tc>
        <w:tc>
          <w:tcPr>
            <w:tcW w:w="1362" w:type="dxa"/>
            <w:tcBorders>
              <w:left w:val="nil"/>
              <w:right w:val="nil"/>
            </w:tcBorders>
            <w:vAlign w:val="center"/>
          </w:tcPr>
          <w:p w14:paraId="514A75AA" w14:textId="77777777" w:rsidR="005D2947" w:rsidRPr="00B336E0" w:rsidRDefault="006A6D9F" w:rsidP="005D2947">
            <w:pPr>
              <w:spacing w:line="276" w:lineRule="auto"/>
              <w:jc w:val="center"/>
              <w:rPr>
                <w:rFonts w:ascii="Cambria Math" w:hAnsi="Cambria Math"/>
                <w:sz w:val="20"/>
                <w:lang w:val="en-US"/>
              </w:rPr>
            </w:pPr>
            <m:oMathPara>
              <m:oMath>
                <m:sSub>
                  <m:sSubPr>
                    <m:ctrlPr>
                      <w:rPr>
                        <w:rFonts w:ascii="Cambria Math" w:hAnsi="Cambria Math"/>
                        <w:i/>
                        <w:sz w:val="20"/>
                        <w:lang w:val="en-US"/>
                      </w:rPr>
                    </m:ctrlPr>
                  </m:sSubPr>
                  <m:e>
                    <m:r>
                      <w:rPr>
                        <w:rFonts w:ascii="Cambria Math" w:hAnsi="Cambria Math"/>
                        <w:sz w:val="20"/>
                        <w:lang w:val="en-US"/>
                      </w:rPr>
                      <m:t>D</m:t>
                    </m:r>
                  </m:e>
                  <m:sub>
                    <m:r>
                      <w:rPr>
                        <w:rFonts w:ascii="Cambria Math" w:hAnsi="Cambria Math"/>
                        <w:sz w:val="20"/>
                        <w:lang w:val="en-US"/>
                      </w:rPr>
                      <m:t>h</m:t>
                    </m:r>
                  </m:sub>
                </m:sSub>
              </m:oMath>
            </m:oMathPara>
          </w:p>
        </w:tc>
        <w:tc>
          <w:tcPr>
            <w:tcW w:w="1890" w:type="dxa"/>
            <w:tcBorders>
              <w:left w:val="nil"/>
              <w:right w:val="nil"/>
            </w:tcBorders>
            <w:vAlign w:val="center"/>
          </w:tcPr>
          <w:p w14:paraId="3090C89C" w14:textId="77777777" w:rsidR="005D2947" w:rsidRPr="00B336E0" w:rsidRDefault="005D2947" w:rsidP="005D2947">
            <w:pPr>
              <w:spacing w:line="276" w:lineRule="auto"/>
              <w:jc w:val="center"/>
              <w:rPr>
                <w:sz w:val="20"/>
                <w:lang w:val="en-US"/>
              </w:rPr>
            </w:pPr>
            <w:r w:rsidRPr="00B336E0">
              <w:rPr>
                <w:sz w:val="20"/>
                <w:lang w:val="en-US"/>
              </w:rPr>
              <w:t>7.756</w:t>
            </w:r>
          </w:p>
        </w:tc>
      </w:tr>
    </w:tbl>
    <w:p w14:paraId="0EB01549" w14:textId="142D5B8D" w:rsidR="007442B8" w:rsidRPr="00B336E0" w:rsidRDefault="007442B8" w:rsidP="007442B8">
      <w:pPr>
        <w:pStyle w:val="BodyText"/>
        <w:ind w:firstLine="0"/>
        <w:rPr>
          <w:lang w:val="en-US"/>
        </w:rPr>
      </w:pPr>
    </w:p>
    <w:p w14:paraId="2B1DF562" w14:textId="0E683219" w:rsidR="007442B8" w:rsidRPr="00B336E0" w:rsidRDefault="007442B8" w:rsidP="007442B8">
      <w:pPr>
        <w:pStyle w:val="BodyText"/>
        <w:rPr>
          <w:lang w:val="en-US"/>
        </w:rPr>
      </w:pPr>
      <w:r w:rsidRPr="00B336E0">
        <w:rPr>
          <w:lang w:val="en-US"/>
        </w:rPr>
        <w:t xml:space="preserve">The dimensions listed </w:t>
      </w:r>
      <w:r w:rsidR="00F533EE" w:rsidRPr="00B336E0">
        <w:rPr>
          <w:lang w:val="en-US"/>
        </w:rPr>
        <w:t xml:space="preserve">on </w:t>
      </w:r>
      <w:r w:rsidR="00F533EE" w:rsidRPr="00B336E0">
        <w:rPr>
          <w:lang w:val="en-US"/>
        </w:rPr>
        <w:fldChar w:fldCharType="begin"/>
      </w:r>
      <w:r w:rsidR="00F533EE" w:rsidRPr="00B336E0">
        <w:rPr>
          <w:lang w:val="en-US"/>
        </w:rPr>
        <w:instrText xml:space="preserve"> REF _Ref67304862 \h </w:instrText>
      </w:r>
      <w:r w:rsidR="00F533EE" w:rsidRPr="00B336E0">
        <w:rPr>
          <w:lang w:val="en-US"/>
        </w:rPr>
      </w:r>
      <w:r w:rsidR="00F533EE" w:rsidRPr="00B336E0">
        <w:rPr>
          <w:lang w:val="en-US"/>
        </w:rPr>
        <w:fldChar w:fldCharType="separate"/>
      </w:r>
      <w:r w:rsidR="00A72A78" w:rsidRPr="00B336E0">
        <w:rPr>
          <w:lang w:val="en-US"/>
        </w:rPr>
        <w:t xml:space="preserve">TABLE </w:t>
      </w:r>
      <w:r w:rsidR="00A72A78">
        <w:rPr>
          <w:noProof/>
          <w:lang w:val="en-US"/>
        </w:rPr>
        <w:t>I</w:t>
      </w:r>
      <w:r w:rsidR="00F533EE" w:rsidRPr="00B336E0">
        <w:rPr>
          <w:lang w:val="en-US"/>
        </w:rPr>
        <w:fldChar w:fldCharType="end"/>
      </w:r>
      <w:r w:rsidRPr="00B336E0">
        <w:rPr>
          <w:lang w:val="en-US"/>
        </w:rPr>
        <w:t xml:space="preserve"> were used to </w:t>
      </w:r>
      <w:r w:rsidR="00F533EE" w:rsidRPr="00B336E0">
        <w:rPr>
          <w:lang w:val="en-US"/>
        </w:rPr>
        <w:t>compute</w:t>
      </w:r>
      <w:r w:rsidRPr="00B336E0">
        <w:rPr>
          <w:lang w:val="en-US"/>
        </w:rPr>
        <w:t xml:space="preserve"> the wetted perimeter </w:t>
      </w:r>
      <w:r w:rsidR="00F533EE" w:rsidRPr="00B336E0">
        <w:rPr>
          <w:lang w:val="en-US"/>
        </w:rPr>
        <w:t xml:space="preserve">and the cross-sectional flow area </w:t>
      </w:r>
      <w:r w:rsidRPr="00B336E0">
        <w:rPr>
          <w:lang w:val="en-US"/>
        </w:rPr>
        <w:t>of the hexagonal duct, equal to</w:t>
      </w:r>
      <w:r w:rsidR="00F533EE" w:rsidRPr="00B336E0">
        <w:rPr>
          <w:lang w:val="en-US"/>
        </w:rPr>
        <w:t xml:space="preserve"> </w:t>
      </w:r>
      <m:oMath>
        <m:sSub>
          <m:sSubPr>
            <m:ctrlPr>
              <w:rPr>
                <w:rFonts w:ascii="Cambria Math" w:hAnsi="Cambria Math"/>
                <w:i/>
                <w:lang w:val="en-US"/>
              </w:rPr>
            </m:ctrlPr>
          </m:sSubPr>
          <m:e>
            <m:r>
              <m:rPr>
                <m:scr m:val="script"/>
              </m:rPr>
              <w:rPr>
                <w:rFonts w:ascii="Cambria Math" w:hAnsi="Cambria Math"/>
                <w:lang w:val="en-US"/>
              </w:rPr>
              <m:t>P</m:t>
            </m:r>
          </m:e>
          <m:sub>
            <m:r>
              <w:rPr>
                <w:rFonts w:ascii="Cambria Math" w:hAnsi="Cambria Math"/>
                <w:lang w:val="en-US"/>
              </w:rPr>
              <m:t>w</m:t>
            </m:r>
          </m:sub>
        </m:sSub>
        <m:r>
          <w:rPr>
            <w:rFonts w:ascii="Cambria Math" w:hAnsi="Cambria Math"/>
            <w:lang w:val="en-US"/>
          </w:rPr>
          <m:t>=4.145</m:t>
        </m:r>
      </m:oMath>
      <w:r w:rsidR="00F533EE" w:rsidRPr="00B336E0">
        <w:rPr>
          <w:lang w:val="en-US"/>
        </w:rPr>
        <w:t xml:space="preserve"> m and</w:t>
      </w:r>
      <w:r w:rsidRPr="00B336E0">
        <w:rPr>
          <w:lang w:val="en-US"/>
        </w:rPr>
        <w:t xml:space="preserve"> </w:t>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f</m:t>
            </m:r>
          </m:sub>
        </m:sSub>
        <m:r>
          <w:rPr>
            <w:rFonts w:ascii="Cambria Math" w:hAnsi="Cambria Math"/>
            <w:lang w:val="en-US"/>
          </w:rPr>
          <m:t>=8.038×</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-3</m:t>
            </m:r>
          </m:sup>
        </m:sSup>
        <m:r>
          <w:rPr>
            <w:rFonts w:ascii="Cambria Math" w:hAnsi="Cambria Math"/>
            <w:lang w:val="en-US"/>
          </w:rPr>
          <m:t xml:space="preserve"> </m:t>
        </m:r>
      </m:oMath>
      <w:r w:rsidRPr="00B336E0">
        <w:rPr>
          <w:lang w:val="en-US"/>
        </w:rPr>
        <w:t>m</w:t>
      </w:r>
      <w:r w:rsidRPr="00B336E0">
        <w:rPr>
          <w:vertAlign w:val="superscript"/>
          <w:lang w:val="en-US"/>
        </w:rPr>
        <w:t>2</w:t>
      </w:r>
      <w:r w:rsidRPr="00B336E0">
        <w:rPr>
          <w:lang w:val="en-US"/>
        </w:rPr>
        <w:t>, respectively. The hydraulic diameter was determined using Eq. 1.</w:t>
      </w:r>
    </w:p>
    <w:p w14:paraId="414D07BD" w14:textId="77777777" w:rsidR="007442B8" w:rsidRPr="00B336E0" w:rsidRDefault="007442B8" w:rsidP="007442B8">
      <w:pPr>
        <w:pStyle w:val="BodyText"/>
        <w:rPr>
          <w:lang w:val="en-US"/>
        </w:rPr>
      </w:pPr>
    </w:p>
    <w:p w14:paraId="59AAE9B3" w14:textId="432EBD6B" w:rsidR="007442B8" w:rsidRPr="00B336E0" w:rsidRDefault="006A6D9F" w:rsidP="007442B8">
      <w:pPr>
        <w:pStyle w:val="BodyText"/>
        <w:ind w:firstLine="0"/>
        <w:rPr>
          <w:lang w:val="en-US"/>
        </w:rPr>
      </w:pPr>
      <m:oMathPara>
        <m:oMath>
          <m:eqArr>
            <m:eqArrPr>
              <m:maxDist m:val="1"/>
              <m:ctrlPr>
                <w:rPr>
                  <w:rFonts w:ascii="Cambria Math" w:hAnsi="Cambria Math"/>
                  <w:i/>
                  <w:lang w:val="en-US"/>
                </w:rPr>
              </m:ctrlPr>
            </m:eqArrPr>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h</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4</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f</m:t>
                      </m:r>
                    </m:sub>
                  </m:sSub>
                </m:num>
                <m:den>
                  <m:sSub>
                    <m:sSubPr>
                      <m:ctrlPr>
                        <w:rPr>
                          <w:rFonts w:ascii="Cambria Math" w:hAnsi="Cambria Math"/>
                          <w:i/>
                          <w:lang w:val="en-US"/>
                        </w:rPr>
                      </m:ctrlPr>
                    </m:sSubPr>
                    <m:e>
                      <m:r>
                        <m:rPr>
                          <m:scr m:val="script"/>
                        </m:rPr>
                        <w:rPr>
                          <w:rFonts w:ascii="Cambria Math" w:hAnsi="Cambria Math"/>
                          <w:lang w:val="en-US"/>
                        </w:rPr>
                        <m:t>P</m:t>
                      </m:r>
                    </m:e>
                    <m:sub>
                      <m:r>
                        <w:rPr>
                          <w:rFonts w:ascii="Cambria Math" w:hAnsi="Cambria Math"/>
                          <w:lang w:val="en-US"/>
                        </w:rPr>
                        <m:t>w</m:t>
                      </m:r>
                    </m:sub>
                  </m:sSub>
                </m:den>
              </m:f>
              <m:r>
                <w:rPr>
                  <w:rFonts w:ascii="Cambria Math" w:hAnsi="Cambria Math"/>
                  <w:lang w:val="en-US"/>
                </w:rPr>
                <m:t>#</m:t>
              </m:r>
              <m:d>
                <m:dPr>
                  <m:ctrlPr>
                    <w:rPr>
                      <w:rFonts w:ascii="Cambria Math" w:hAnsi="Cambria Math"/>
                      <w:i/>
                      <w:lang w:val="en-US"/>
                    </w:rPr>
                  </m:ctrlPr>
                </m:dPr>
                <m:e>
                  <m:r>
                    <w:rPr>
                      <w:rFonts w:ascii="Cambria Math" w:hAnsi="Cambria Math"/>
                      <w:lang w:val="en-US"/>
                    </w:rPr>
                    <m:t>1</m:t>
                  </m:r>
                </m:e>
              </m:d>
            </m:e>
          </m:eqArr>
        </m:oMath>
      </m:oMathPara>
    </w:p>
    <w:p w14:paraId="732590F4" w14:textId="77777777" w:rsidR="007442B8" w:rsidRPr="00B336E0" w:rsidRDefault="007442B8" w:rsidP="007442B8">
      <w:pPr>
        <w:pStyle w:val="BodyText"/>
        <w:ind w:firstLine="0"/>
        <w:rPr>
          <w:lang w:val="en-US"/>
        </w:rPr>
      </w:pPr>
    </w:p>
    <w:p w14:paraId="711C9B22" w14:textId="51D09ACD" w:rsidR="00F533EE" w:rsidRPr="00B336E0" w:rsidRDefault="007442B8" w:rsidP="00EB34B7">
      <w:pPr>
        <w:pStyle w:val="BodyText"/>
        <w:rPr>
          <w:lang w:val="en-US"/>
        </w:rPr>
      </w:pPr>
      <w:r w:rsidRPr="00B336E0">
        <w:rPr>
          <w:lang w:val="en-US"/>
        </w:rPr>
        <w:t>The length of the rod bundle was selected to guarantee fully developed flow conditions within the measurement region of the test section. A detailed description is available in other</w:t>
      </w:r>
      <w:r w:rsidR="00C053C1">
        <w:rPr>
          <w:lang w:val="en-US"/>
        </w:rPr>
        <w:t>s</w:t>
      </w:r>
      <w:r w:rsidRPr="00B336E0">
        <w:rPr>
          <w:lang w:val="en-US"/>
        </w:rPr>
        <w:t xml:space="preserve"> published research</w:t>
      </w:r>
      <w:r w:rsidR="00C053C1">
        <w:rPr>
          <w:lang w:val="en-US"/>
        </w:rPr>
        <w:t>es</w:t>
      </w:r>
      <w:r w:rsidRPr="00B336E0">
        <w:rPr>
          <w:lang w:val="en-US"/>
        </w:rPr>
        <w:t xml:space="preserve"> conducted by Vaghetto et al.</w:t>
      </w:r>
      <w:r w:rsidR="00EB34B7" w:rsidRPr="00B336E0">
        <w:rPr>
          <w:lang w:val="en-US"/>
        </w:rPr>
        <w:t xml:space="preserve"> </w:t>
      </w:r>
      <w:r w:rsidR="00EB34B7" w:rsidRPr="00B336E0">
        <w:rPr>
          <w:lang w:val="en-US"/>
        </w:rPr>
        <w:fldChar w:fldCharType="begin"/>
      </w:r>
      <w:r w:rsidR="00EB34B7" w:rsidRPr="00B336E0">
        <w:rPr>
          <w:lang w:val="en-US"/>
        </w:rPr>
        <w:instrText xml:space="preserve"> REF _Ref67226641 \r \h </w:instrText>
      </w:r>
      <w:r w:rsidR="00EB34B7" w:rsidRPr="00B336E0">
        <w:rPr>
          <w:lang w:val="en-US"/>
        </w:rPr>
      </w:r>
      <w:r w:rsidR="00EB34B7" w:rsidRPr="00B336E0">
        <w:rPr>
          <w:lang w:val="en-US"/>
        </w:rPr>
        <w:fldChar w:fldCharType="separate"/>
      </w:r>
      <w:r w:rsidR="00A72A78">
        <w:rPr>
          <w:lang w:val="en-US"/>
        </w:rPr>
        <w:t>[4]</w:t>
      </w:r>
      <w:r w:rsidR="00EB34B7" w:rsidRPr="00B336E0">
        <w:rPr>
          <w:lang w:val="en-US"/>
        </w:rPr>
        <w:fldChar w:fldCharType="end"/>
      </w:r>
      <w:r w:rsidRPr="00B336E0">
        <w:rPr>
          <w:lang w:val="en-US"/>
        </w:rPr>
        <w:t xml:space="preserve"> and by Childs et al.</w:t>
      </w:r>
      <w:r w:rsidR="00EB34B7" w:rsidRPr="00B336E0">
        <w:rPr>
          <w:lang w:val="en-US"/>
        </w:rPr>
        <w:t xml:space="preserve"> </w:t>
      </w:r>
      <w:r w:rsidR="00EB34B7" w:rsidRPr="00B336E0">
        <w:rPr>
          <w:lang w:val="en-US"/>
        </w:rPr>
        <w:fldChar w:fldCharType="begin"/>
      </w:r>
      <w:r w:rsidR="00EB34B7" w:rsidRPr="00B336E0">
        <w:rPr>
          <w:lang w:val="en-US"/>
        </w:rPr>
        <w:instrText xml:space="preserve"> REF _Ref67226658 \r \h </w:instrText>
      </w:r>
      <w:r w:rsidR="00EB34B7" w:rsidRPr="00B336E0">
        <w:rPr>
          <w:lang w:val="en-US"/>
        </w:rPr>
      </w:r>
      <w:r w:rsidR="00EB34B7" w:rsidRPr="00B336E0">
        <w:rPr>
          <w:lang w:val="en-US"/>
        </w:rPr>
        <w:fldChar w:fldCharType="separate"/>
      </w:r>
      <w:r w:rsidR="00A72A78">
        <w:rPr>
          <w:lang w:val="en-US"/>
        </w:rPr>
        <w:t>[5]</w:t>
      </w:r>
      <w:r w:rsidR="00EB34B7" w:rsidRPr="00B336E0">
        <w:rPr>
          <w:lang w:val="en-US"/>
        </w:rPr>
        <w:fldChar w:fldCharType="end"/>
      </w:r>
      <w:r w:rsidRPr="00B336E0">
        <w:rPr>
          <w:lang w:val="en-US"/>
        </w:rPr>
        <w:t xml:space="preserve">. </w:t>
      </w:r>
    </w:p>
    <w:p w14:paraId="2FBD091F" w14:textId="69982712" w:rsidR="007442B8" w:rsidRPr="00B336E0" w:rsidRDefault="007442B8" w:rsidP="007442B8">
      <w:pPr>
        <w:pStyle w:val="BodyText"/>
        <w:rPr>
          <w:lang w:val="en-US"/>
        </w:rPr>
      </w:pPr>
      <w:r w:rsidRPr="00B336E0">
        <w:rPr>
          <w:lang w:val="en-US"/>
        </w:rPr>
        <w:t>The bundle-averaged axial friction factor</w:t>
      </w:r>
      <w:r w:rsidR="00F533EE" w:rsidRPr="00B336E0">
        <w:rPr>
          <w:lang w:val="en-US"/>
        </w:rPr>
        <w:t>,</w:t>
      </w:r>
      <w:r w:rsidRPr="00B336E0">
        <w:rPr>
          <w:lang w:val="en-US"/>
        </w:rPr>
        <w:t xml:space="preserv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m:t>
            </m:r>
          </m:sub>
        </m:sSub>
      </m:oMath>
      <w:r w:rsidR="00F533EE" w:rsidRPr="00B336E0">
        <w:rPr>
          <w:lang w:val="en-US"/>
        </w:rPr>
        <w:t>,</w:t>
      </w:r>
      <w:r w:rsidRPr="00B336E0">
        <w:rPr>
          <w:lang w:val="en-US"/>
        </w:rPr>
        <w:t xml:space="preserve"> is</w:t>
      </w:r>
      <w:r w:rsidR="00F533EE" w:rsidRPr="00B336E0">
        <w:rPr>
          <w:lang w:val="en-US"/>
        </w:rPr>
        <w:t xml:space="preserve"> defined as</w:t>
      </w:r>
    </w:p>
    <w:p w14:paraId="6DA71C87" w14:textId="77777777" w:rsidR="007442B8" w:rsidRPr="00B336E0" w:rsidRDefault="007442B8" w:rsidP="007442B8">
      <w:pPr>
        <w:pStyle w:val="BodyText"/>
        <w:rPr>
          <w:lang w:val="en-US"/>
        </w:rPr>
      </w:pPr>
    </w:p>
    <w:p w14:paraId="48FD5F29" w14:textId="0F7B5F54" w:rsidR="007442B8" w:rsidRPr="00B336E0" w:rsidRDefault="006A6D9F" w:rsidP="003447A1">
      <w:pPr>
        <w:pStyle w:val="BodyText"/>
        <w:spacing w:line="276" w:lineRule="auto"/>
        <w:ind w:firstLine="0"/>
        <w:rPr>
          <w:lang w:val="en-US"/>
        </w:rPr>
      </w:pPr>
      <m:oMathPara>
        <m:oMath>
          <m:eqArr>
            <m:eqArrPr>
              <m:maxDist m:val="1"/>
              <m:ctrlPr>
                <w:rPr>
                  <w:rFonts w:ascii="Cambria Math" w:hAnsi="Cambria Math"/>
                  <w:i/>
                  <w:lang w:val="en-US"/>
                </w:rPr>
              </m:ctrlPr>
            </m:eqArr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h</m:t>
                      </m:r>
                    </m:sub>
                  </m:sSub>
                </m:num>
                <m:den>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ρ</m:t>
                  </m:r>
                  <m:sSup>
                    <m:sSupPr>
                      <m:ctrlPr>
                        <w:rPr>
                          <w:rFonts w:ascii="Cambria Math" w:hAnsi="Cambria Math"/>
                          <w:i/>
                          <w:lang w:val="en-US"/>
                        </w:rPr>
                      </m:ctrlPr>
                    </m:sSupPr>
                    <m:e>
                      <m:bar>
                        <m:barPr>
                          <m:pos m:val="top"/>
                          <m:ctrlPr>
                            <w:rPr>
                              <w:rFonts w:ascii="Cambria Math" w:hAnsi="Cambria Math"/>
                              <w:i/>
                              <w:lang w:val="en-US"/>
                            </w:rPr>
                          </m:ctrlPr>
                        </m:barPr>
                        <m:e>
                          <m:r>
                            <w:rPr>
                              <w:rFonts w:ascii="Cambria Math" w:hAnsi="Cambria Math"/>
                              <w:lang w:val="en-US"/>
                            </w:rPr>
                            <m:t>U</m:t>
                          </m:r>
                        </m:e>
                      </m:bar>
                    </m:e>
                    <m:sup>
                      <m:r>
                        <w:rPr>
                          <w:rFonts w:ascii="Cambria Math" w:hAnsi="Cambria Math"/>
                          <w:lang w:val="en-US"/>
                        </w:rPr>
                        <m:t>2</m:t>
                      </m:r>
                    </m:sup>
                  </m:sSup>
                </m:den>
              </m:f>
              <m:f>
                <m:fPr>
                  <m:ctrlPr>
                    <w:rPr>
                      <w:rFonts w:ascii="Cambria Math" w:hAnsi="Cambria Math"/>
                      <w:i/>
                      <w:lang w:val="en-US"/>
                    </w:rPr>
                  </m:ctrlPr>
                </m:fPr>
                <m:num>
                  <m:r>
                    <m:rPr>
                      <m:sty m:val="p"/>
                    </m:rPr>
                    <w:rPr>
                      <w:rFonts w:ascii="Cambria Math" w:hAnsi="Cambria Math"/>
                      <w:lang w:val="en-US"/>
                    </w:rPr>
                    <m:t>Δ</m:t>
                  </m:r>
                  <m:r>
                    <w:rPr>
                      <w:rFonts w:ascii="Cambria Math" w:hAnsi="Cambria Math"/>
                      <w:lang w:val="en-US"/>
                    </w:rPr>
                    <m:t>P</m:t>
                  </m:r>
                </m:num>
                <m:den>
                  <m:r>
                    <w:rPr>
                      <w:rFonts w:ascii="Cambria Math" w:hAnsi="Cambria Math"/>
                      <w:lang w:val="en-US"/>
                    </w:rPr>
                    <m:t>H</m:t>
                  </m:r>
                </m:den>
              </m:f>
              <m:r>
                <w:rPr>
                  <w:rFonts w:ascii="Cambria Math" w:hAnsi="Cambria Math"/>
                  <w:lang w:val="en-US"/>
                </w:rPr>
                <m:t>#</m:t>
              </m:r>
              <m:d>
                <m:dPr>
                  <m:ctrlPr>
                    <w:rPr>
                      <w:rFonts w:ascii="Cambria Math" w:hAnsi="Cambria Math"/>
                      <w:i/>
                      <w:lang w:val="en-US"/>
                    </w:rPr>
                  </m:ctrlPr>
                </m:dPr>
                <m:e>
                  <m:r>
                    <w:rPr>
                      <w:rFonts w:ascii="Cambria Math" w:hAnsi="Cambria Math"/>
                      <w:lang w:val="en-US"/>
                    </w:rPr>
                    <m:t>2</m:t>
                  </m:r>
                </m:e>
              </m:d>
            </m:e>
          </m:eqArr>
        </m:oMath>
      </m:oMathPara>
    </w:p>
    <w:p w14:paraId="0B04CE32" w14:textId="77777777" w:rsidR="003447A1" w:rsidRPr="00B336E0" w:rsidRDefault="003447A1" w:rsidP="007442B8">
      <w:pPr>
        <w:pStyle w:val="BodyText"/>
        <w:ind w:firstLine="0"/>
        <w:rPr>
          <w:lang w:val="en-US"/>
        </w:rPr>
      </w:pPr>
    </w:p>
    <w:p w14:paraId="6557E137" w14:textId="1C0A89AF" w:rsidR="00DC3B35" w:rsidRPr="00B336E0" w:rsidRDefault="007442B8" w:rsidP="00F533EE">
      <w:pPr>
        <w:pStyle w:val="BodyText"/>
        <w:ind w:firstLine="0"/>
        <w:rPr>
          <w:lang w:val="en-US"/>
        </w:rPr>
      </w:pPr>
      <w:r w:rsidRPr="00B336E0">
        <w:rPr>
          <w:lang w:val="en-US"/>
        </w:rPr>
        <w:t xml:space="preserve">where </w:t>
      </w:r>
      <m:oMath>
        <m:r>
          <w:rPr>
            <w:rFonts w:ascii="Cambria Math" w:hAnsi="Cambria Math"/>
            <w:lang w:val="en-US"/>
          </w:rPr>
          <m:t>ΔP</m:t>
        </m:r>
      </m:oMath>
      <w:r w:rsidRPr="00B336E0">
        <w:rPr>
          <w:lang w:val="en-US"/>
        </w:rPr>
        <w:t xml:space="preserve"> is the pressure drop between inlet and </w:t>
      </w:r>
      <w:r w:rsidR="00DC3B35" w:rsidRPr="00B336E0">
        <w:rPr>
          <w:lang w:val="en-US"/>
        </w:rPr>
        <w:t>o</w:t>
      </w:r>
      <w:r w:rsidRPr="00B336E0">
        <w:rPr>
          <w:lang w:val="en-US"/>
        </w:rPr>
        <w:t xml:space="preserve">utlet, </w:t>
      </w:r>
      <m:oMath>
        <m:bar>
          <m:barPr>
            <m:pos m:val="top"/>
            <m:ctrlPr>
              <w:rPr>
                <w:rFonts w:ascii="Cambria Math" w:hAnsi="Cambria Math"/>
                <w:i/>
                <w:lang w:val="en-US"/>
              </w:rPr>
            </m:ctrlPr>
          </m:barPr>
          <m:e>
            <m:r>
              <w:rPr>
                <w:rFonts w:ascii="Cambria Math" w:hAnsi="Cambria Math"/>
                <w:lang w:val="en-US"/>
              </w:rPr>
              <m:t>U</m:t>
            </m:r>
          </m:e>
        </m:bar>
      </m:oMath>
      <w:r w:rsidR="00DC3B35" w:rsidRPr="00B336E0">
        <w:rPr>
          <w:lang w:val="en-US"/>
        </w:rPr>
        <w:t xml:space="preserve"> </w:t>
      </w:r>
      <w:r w:rsidRPr="00B336E0">
        <w:rPr>
          <w:lang w:val="en-US"/>
        </w:rPr>
        <w:t xml:space="preserve">is the </w:t>
      </w:r>
      <w:r w:rsidR="00DC3B35" w:rsidRPr="00B336E0">
        <w:rPr>
          <w:lang w:val="en-US"/>
        </w:rPr>
        <w:t>bulk</w:t>
      </w:r>
      <w:r w:rsidRPr="00B336E0">
        <w:rPr>
          <w:lang w:val="en-US"/>
        </w:rPr>
        <w:t xml:space="preserve"> velocity</w:t>
      </w:r>
      <w:r w:rsidR="00C053C1">
        <w:rPr>
          <w:lang w:val="en-US"/>
        </w:rPr>
        <w:t xml:space="preserve">, </w:t>
      </w:r>
      <m:oMath>
        <m:r>
          <w:rPr>
            <w:rFonts w:ascii="Cambria Math" w:hAnsi="Cambria Math"/>
            <w:lang w:val="en-US"/>
          </w:rPr>
          <m:t>ρ</m:t>
        </m:r>
      </m:oMath>
      <w:r w:rsidR="00C053C1">
        <w:rPr>
          <w:lang w:val="en-US"/>
        </w:rPr>
        <w:t xml:space="preserve"> is the fluid density </w:t>
      </w:r>
      <w:r w:rsidR="00A37DCA">
        <w:rPr>
          <w:lang w:val="en-US"/>
        </w:rPr>
        <w:t xml:space="preserve">and </w:t>
      </w:r>
      <m:oMath>
        <m:r>
          <w:rPr>
            <w:rFonts w:ascii="Cambria Math" w:hAnsi="Cambria Math"/>
            <w:lang w:val="en-US"/>
          </w:rPr>
          <m:t>H</m:t>
        </m:r>
      </m:oMath>
      <w:r w:rsidR="00A37DCA">
        <w:rPr>
          <w:lang w:val="en-US"/>
        </w:rPr>
        <w:t xml:space="preserve"> is the wire helical pitch.</w:t>
      </w:r>
    </w:p>
    <w:p w14:paraId="0F5D230F" w14:textId="65D50C47" w:rsidR="007442B8" w:rsidRPr="00B336E0" w:rsidRDefault="007442B8" w:rsidP="00D3236D">
      <w:pPr>
        <w:pStyle w:val="BodyText"/>
        <w:rPr>
          <w:lang w:val="en-US"/>
        </w:rPr>
      </w:pPr>
      <w:r w:rsidRPr="00B336E0">
        <w:rPr>
          <w:lang w:val="en-US"/>
        </w:rPr>
        <w:t xml:space="preserve">The </w:t>
      </w:r>
      <w:r w:rsidR="00F533EE" w:rsidRPr="00B336E0">
        <w:rPr>
          <w:lang w:val="en-US"/>
        </w:rPr>
        <w:t xml:space="preserve">experimental data of </w:t>
      </w:r>
      <w:r w:rsidRPr="00B336E0">
        <w:rPr>
          <w:lang w:val="en-US"/>
        </w:rPr>
        <w:t xml:space="preserve">axial </w:t>
      </w:r>
      <w:r w:rsidR="00EB34B7" w:rsidRPr="00B336E0">
        <w:rPr>
          <w:lang w:val="en-US"/>
        </w:rPr>
        <w:t>friction factor</w:t>
      </w:r>
      <w:r w:rsidRPr="00B336E0">
        <w:rPr>
          <w:lang w:val="en-US"/>
        </w:rPr>
        <w:t xml:space="preserve"> </w:t>
      </w:r>
      <w:r w:rsidR="00F533EE" w:rsidRPr="00B336E0">
        <w:rPr>
          <w:lang w:val="en-US"/>
        </w:rPr>
        <w:t xml:space="preserve">was available for the range of Reynolds numbers                </w:t>
      </w:r>
      <m:oMath>
        <m:r>
          <w:rPr>
            <w:rFonts w:ascii="Cambria Math" w:hAnsi="Cambria Math"/>
            <w:lang w:val="en-US"/>
          </w:rPr>
          <m:t>439&lt;Re&lt;13767</m:t>
        </m:r>
      </m:oMath>
      <w:r w:rsidR="00EB34B7" w:rsidRPr="00B336E0">
        <w:rPr>
          <w:lang w:val="en-US"/>
        </w:rPr>
        <w:t xml:space="preserve"> (Vaghetto et al. </w:t>
      </w:r>
      <w:r w:rsidR="00EB34B7" w:rsidRPr="00B336E0">
        <w:rPr>
          <w:lang w:val="en-US"/>
        </w:rPr>
        <w:fldChar w:fldCharType="begin"/>
      </w:r>
      <w:r w:rsidR="00EB34B7" w:rsidRPr="00B336E0">
        <w:rPr>
          <w:lang w:val="en-US"/>
        </w:rPr>
        <w:instrText xml:space="preserve"> REF _Ref67226641 \r \h </w:instrText>
      </w:r>
      <w:r w:rsidR="00EB34B7" w:rsidRPr="00B336E0">
        <w:rPr>
          <w:lang w:val="en-US"/>
        </w:rPr>
      </w:r>
      <w:r w:rsidR="00EB34B7" w:rsidRPr="00B336E0">
        <w:rPr>
          <w:lang w:val="en-US"/>
        </w:rPr>
        <w:fldChar w:fldCharType="separate"/>
      </w:r>
      <w:r w:rsidR="00A72A78">
        <w:rPr>
          <w:lang w:val="en-US"/>
        </w:rPr>
        <w:t>[4]</w:t>
      </w:r>
      <w:r w:rsidR="00EB34B7" w:rsidRPr="00B336E0">
        <w:rPr>
          <w:lang w:val="en-US"/>
        </w:rPr>
        <w:fldChar w:fldCharType="end"/>
      </w:r>
      <w:r w:rsidR="00EB34B7" w:rsidRPr="00B336E0">
        <w:rPr>
          <w:lang w:val="en-US"/>
        </w:rPr>
        <w:t>)</w:t>
      </w:r>
      <w:r w:rsidR="00DC3B35" w:rsidRPr="00B336E0">
        <w:rPr>
          <w:lang w:val="en-US"/>
        </w:rPr>
        <w:t xml:space="preserve">. </w:t>
      </w:r>
      <w:r w:rsidRPr="00B336E0">
        <w:rPr>
          <w:lang w:val="en-US"/>
        </w:rPr>
        <w:t>The transverse pressure difference data used for the benchmark w</w:t>
      </w:r>
      <w:r w:rsidR="00EB34B7" w:rsidRPr="00B336E0">
        <w:rPr>
          <w:lang w:val="en-US"/>
        </w:rPr>
        <w:t>as</w:t>
      </w:r>
      <w:r w:rsidRPr="00B336E0">
        <w:rPr>
          <w:lang w:val="en-US"/>
        </w:rPr>
        <w:t xml:space="preserve"> obtained by Childs et al. </w:t>
      </w:r>
      <w:r w:rsidR="00EB34B7" w:rsidRPr="00B336E0">
        <w:rPr>
          <w:lang w:val="en-US"/>
        </w:rPr>
        <w:fldChar w:fldCharType="begin"/>
      </w:r>
      <w:r w:rsidR="00EB34B7" w:rsidRPr="00B336E0">
        <w:rPr>
          <w:lang w:val="en-US"/>
        </w:rPr>
        <w:instrText xml:space="preserve"> REF _Ref67226658 \r \h </w:instrText>
      </w:r>
      <w:r w:rsidR="00EB34B7" w:rsidRPr="00B336E0">
        <w:rPr>
          <w:lang w:val="en-US"/>
        </w:rPr>
      </w:r>
      <w:r w:rsidR="00EB34B7" w:rsidRPr="00B336E0">
        <w:rPr>
          <w:lang w:val="en-US"/>
        </w:rPr>
        <w:fldChar w:fldCharType="separate"/>
      </w:r>
      <w:r w:rsidR="00A72A78">
        <w:rPr>
          <w:lang w:val="en-US"/>
        </w:rPr>
        <w:t>[5]</w:t>
      </w:r>
      <w:r w:rsidR="00EB34B7" w:rsidRPr="00B336E0">
        <w:rPr>
          <w:lang w:val="en-US"/>
        </w:rPr>
        <w:fldChar w:fldCharType="end"/>
      </w:r>
      <w:r w:rsidR="00EB34B7" w:rsidRPr="00B336E0">
        <w:rPr>
          <w:lang w:val="en-US"/>
        </w:rPr>
        <w:t xml:space="preserve"> </w:t>
      </w:r>
      <w:r w:rsidRPr="00B336E0">
        <w:rPr>
          <w:lang w:val="en-US"/>
        </w:rPr>
        <w:t xml:space="preserve">from the same experimental facility, for Reynolds numbers </w:t>
      </w:r>
      <w:r w:rsidR="00F533EE" w:rsidRPr="00B336E0">
        <w:rPr>
          <w:lang w:val="en-US"/>
        </w:rPr>
        <w:t>in the range</w:t>
      </w:r>
      <w:r w:rsidR="00EB34B7" w:rsidRPr="00B336E0">
        <w:rPr>
          <w:lang w:val="en-US"/>
        </w:rPr>
        <w:t xml:space="preserve">               </w:t>
      </w:r>
      <w:r w:rsidR="00F533EE" w:rsidRPr="00B336E0">
        <w:rPr>
          <w:lang w:val="en-US"/>
        </w:rPr>
        <w:t xml:space="preserve"> </w:t>
      </w:r>
      <m:oMath>
        <m:r>
          <w:rPr>
            <w:rFonts w:ascii="Cambria Math" w:hAnsi="Cambria Math"/>
            <w:lang w:val="en-US"/>
          </w:rPr>
          <m:t>3144&lt;Re&lt;17552</m:t>
        </m:r>
      </m:oMath>
      <w:r w:rsidRPr="00B336E0">
        <w:rPr>
          <w:lang w:val="en-US"/>
        </w:rPr>
        <w:t xml:space="preserve">. </w:t>
      </w:r>
    </w:p>
    <w:p w14:paraId="01EDB18F" w14:textId="21DF47B5" w:rsidR="007442B8" w:rsidRPr="00B336E0" w:rsidRDefault="007442B8" w:rsidP="007442B8">
      <w:pPr>
        <w:pStyle w:val="BodyText"/>
        <w:rPr>
          <w:lang w:val="en-US"/>
        </w:rPr>
      </w:pPr>
      <w:r w:rsidRPr="00B336E0">
        <w:rPr>
          <w:lang w:val="en-US"/>
        </w:rPr>
        <w:t>The axial friction factor results were</w:t>
      </w:r>
      <w:r w:rsidR="00DC3B35" w:rsidRPr="00B336E0">
        <w:rPr>
          <w:lang w:val="en-US"/>
        </w:rPr>
        <w:t xml:space="preserve"> also</w:t>
      </w:r>
      <w:r w:rsidRPr="00B336E0">
        <w:rPr>
          <w:lang w:val="en-US"/>
        </w:rPr>
        <w:t xml:space="preserve"> compared with the predictions of the Upgraded Chen and Todreas Detailed (UCTD) correlation</w:t>
      </w:r>
      <w:r w:rsidR="00DC3B35" w:rsidRPr="00B336E0">
        <w:rPr>
          <w:lang w:val="en-US"/>
        </w:rPr>
        <w:t xml:space="preserve"> </w:t>
      </w:r>
      <w:r w:rsidR="00DC3B35" w:rsidRPr="00B336E0">
        <w:rPr>
          <w:lang w:val="en-US"/>
        </w:rPr>
        <w:fldChar w:fldCharType="begin"/>
      </w:r>
      <w:r w:rsidR="00DC3B35" w:rsidRPr="00B336E0">
        <w:rPr>
          <w:lang w:val="en-US"/>
        </w:rPr>
        <w:instrText xml:space="preserve"> REF _Ref67226611 \r \h </w:instrText>
      </w:r>
      <w:r w:rsidR="00DC3B35" w:rsidRPr="00B336E0">
        <w:rPr>
          <w:lang w:val="en-US"/>
        </w:rPr>
      </w:r>
      <w:r w:rsidR="00DC3B35" w:rsidRPr="00B336E0">
        <w:rPr>
          <w:lang w:val="en-US"/>
        </w:rPr>
        <w:fldChar w:fldCharType="separate"/>
      </w:r>
      <w:r w:rsidR="00A72A78">
        <w:rPr>
          <w:lang w:val="en-US"/>
        </w:rPr>
        <w:t>[2]</w:t>
      </w:r>
      <w:r w:rsidR="00DC3B35" w:rsidRPr="00B336E0">
        <w:rPr>
          <w:lang w:val="en-US"/>
        </w:rPr>
        <w:fldChar w:fldCharType="end"/>
      </w:r>
      <w:r w:rsidRPr="00B336E0">
        <w:rPr>
          <w:lang w:val="en-US"/>
        </w:rPr>
        <w:t xml:space="preserve">. This correlation was selected because it is applicable to the wideset range of Reynolds number and </w:t>
      </w:r>
      <w:r w:rsidR="00F533EE" w:rsidRPr="00B336E0">
        <w:rPr>
          <w:lang w:val="en-US"/>
        </w:rPr>
        <w:t xml:space="preserve">it was </w:t>
      </w:r>
      <w:r w:rsidRPr="00B336E0">
        <w:rPr>
          <w:lang w:val="en-US"/>
        </w:rPr>
        <w:t>largely validated.</w:t>
      </w:r>
    </w:p>
    <w:p w14:paraId="433FE053" w14:textId="121FC41F" w:rsidR="00EE0041" w:rsidRPr="00B336E0" w:rsidRDefault="0095573A" w:rsidP="0026525A">
      <w:pPr>
        <w:pStyle w:val="Heading2"/>
        <w:numPr>
          <w:ilvl w:val="1"/>
          <w:numId w:val="10"/>
        </w:numPr>
        <w:rPr>
          <w:lang w:val="en-US"/>
        </w:rPr>
      </w:pPr>
      <w:r w:rsidRPr="00B336E0">
        <w:rPr>
          <w:lang w:val="en-US"/>
        </w:rPr>
        <w:t>methodology</w:t>
      </w:r>
    </w:p>
    <w:p w14:paraId="3B3220E7" w14:textId="40834B1B" w:rsidR="0010538D" w:rsidRDefault="007442B8" w:rsidP="002E0E4B">
      <w:pPr>
        <w:pStyle w:val="BodyText"/>
        <w:rPr>
          <w:lang w:val="en-US"/>
        </w:rPr>
      </w:pPr>
      <w:r w:rsidRPr="00B336E0">
        <w:rPr>
          <w:lang w:val="en-US"/>
        </w:rPr>
        <w:t xml:space="preserve">The computational fluid dynamics (CFD) simulations in this study were executed using STAR-CCM+ software, Version 14.04.013. The velocity and pressure fields in the wire-wrapped fuel bundle were solved using incompressible and steady Reynolds-Averaged </w:t>
      </w:r>
      <w:proofErr w:type="spellStart"/>
      <w:r w:rsidRPr="00B336E0">
        <w:rPr>
          <w:lang w:val="en-US"/>
        </w:rPr>
        <w:t>Navier</w:t>
      </w:r>
      <w:proofErr w:type="spellEnd"/>
      <w:r w:rsidRPr="00B336E0">
        <w:rPr>
          <w:lang w:val="en-US"/>
        </w:rPr>
        <w:t>-Stokes (RANS) equations</w:t>
      </w:r>
      <w:r w:rsidR="00F74954">
        <w:rPr>
          <w:lang w:val="en-US"/>
        </w:rPr>
        <w:t>.</w:t>
      </w:r>
      <w:r w:rsidRPr="00B336E0">
        <w:rPr>
          <w:lang w:val="en-US"/>
        </w:rPr>
        <w:t xml:space="preserve"> </w:t>
      </w:r>
      <w:r w:rsidR="00F74954">
        <w:rPr>
          <w:lang w:val="en-US"/>
        </w:rPr>
        <w:t>T</w:t>
      </w:r>
      <w:r w:rsidR="004B00F0" w:rsidRPr="00B336E0">
        <w:rPr>
          <w:lang w:val="en-US"/>
        </w:rPr>
        <w:t xml:space="preserve">he </w:t>
      </w:r>
      <m:oMath>
        <m:r>
          <w:rPr>
            <w:rFonts w:ascii="Cambria Math" w:hAnsi="Cambria Math"/>
            <w:lang w:val="en-US"/>
          </w:rPr>
          <m:t>k-ω</m:t>
        </m:r>
      </m:oMath>
      <w:r w:rsidR="004B00F0" w:rsidRPr="00B336E0">
        <w:rPr>
          <w:lang w:val="en-US"/>
        </w:rPr>
        <w:t xml:space="preserve"> </w:t>
      </w:r>
      <w:r w:rsidR="0010538D">
        <w:rPr>
          <w:lang w:val="en-US"/>
        </w:rPr>
        <w:t>Shear Stress Transport (</w:t>
      </w:r>
      <w:r w:rsidR="004B00F0" w:rsidRPr="00B336E0">
        <w:rPr>
          <w:lang w:val="en-US"/>
        </w:rPr>
        <w:t>SST</w:t>
      </w:r>
      <w:r w:rsidR="0010538D">
        <w:rPr>
          <w:lang w:val="en-US"/>
        </w:rPr>
        <w:t>)</w:t>
      </w:r>
      <w:r w:rsidRPr="00B336E0">
        <w:rPr>
          <w:lang w:val="en-US"/>
        </w:rPr>
        <w:t xml:space="preserve"> turbulen</w:t>
      </w:r>
      <w:r w:rsidR="004B00F0" w:rsidRPr="00B336E0">
        <w:rPr>
          <w:lang w:val="en-US"/>
        </w:rPr>
        <w:t>ce</w:t>
      </w:r>
      <w:r w:rsidRPr="00B336E0">
        <w:rPr>
          <w:lang w:val="en-US"/>
        </w:rPr>
        <w:t xml:space="preserve"> model</w:t>
      </w:r>
      <w:r w:rsidR="00F74954">
        <w:rPr>
          <w:lang w:val="en-US"/>
        </w:rPr>
        <w:t>,</w:t>
      </w:r>
      <w:r w:rsidRPr="00B336E0">
        <w:rPr>
          <w:lang w:val="en-US"/>
        </w:rPr>
        <w:t xml:space="preserve"> </w:t>
      </w:r>
      <w:r w:rsidR="004B00F0" w:rsidRPr="00B336E0">
        <w:rPr>
          <w:lang w:val="en-US"/>
        </w:rPr>
        <w:t>with</w:t>
      </w:r>
      <w:r w:rsidR="00D76F0A">
        <w:rPr>
          <w:lang w:val="en-US"/>
        </w:rPr>
        <w:t xml:space="preserve"> a </w:t>
      </w:r>
      <w:r w:rsidR="00F74954">
        <w:rPr>
          <w:lang w:val="en-US"/>
        </w:rPr>
        <w:t>nonlinear (cubic)</w:t>
      </w:r>
      <w:r w:rsidR="00D76F0A">
        <w:rPr>
          <w:lang w:val="en-US"/>
        </w:rPr>
        <w:t xml:space="preserve"> </w:t>
      </w:r>
      <w:r w:rsidR="004B00F0" w:rsidRPr="00B336E0">
        <w:rPr>
          <w:lang w:val="en-US"/>
        </w:rPr>
        <w:t>constitutive</w:t>
      </w:r>
      <w:r w:rsidR="00D76F0A">
        <w:rPr>
          <w:lang w:val="en-US"/>
        </w:rPr>
        <w:t xml:space="preserve"> equation for the estimation of the Reynolds Stress Tensor</w:t>
      </w:r>
      <w:r w:rsidR="00F74954">
        <w:rPr>
          <w:lang w:val="en-US"/>
        </w:rPr>
        <w:t xml:space="preserve">, was selected for giving closure to the RANS equations. This </w:t>
      </w:r>
      <w:r w:rsidR="002E0E4B">
        <w:rPr>
          <w:lang w:val="en-US"/>
        </w:rPr>
        <w:t xml:space="preserve">turbulence </w:t>
      </w:r>
      <w:r w:rsidR="00F74954">
        <w:rPr>
          <w:lang w:val="en-US"/>
        </w:rPr>
        <w:t xml:space="preserve">model was </w:t>
      </w:r>
      <w:r w:rsidR="002E0E4B">
        <w:rPr>
          <w:lang w:val="en-US"/>
        </w:rPr>
        <w:t>proposed</w:t>
      </w:r>
      <w:r w:rsidR="00F74954">
        <w:rPr>
          <w:lang w:val="en-US"/>
        </w:rPr>
        <w:t xml:space="preserve"> by </w:t>
      </w:r>
      <w:proofErr w:type="spellStart"/>
      <w:r w:rsidR="00F74954">
        <w:rPr>
          <w:lang w:val="en-US"/>
        </w:rPr>
        <w:t>Menter</w:t>
      </w:r>
      <w:proofErr w:type="spellEnd"/>
      <w:r w:rsidR="00F74954">
        <w:rPr>
          <w:lang w:val="en-US"/>
        </w:rPr>
        <w:t xml:space="preserve"> </w:t>
      </w:r>
      <w:r w:rsidR="00F74954">
        <w:rPr>
          <w:lang w:val="en-US"/>
        </w:rPr>
        <w:fldChar w:fldCharType="begin"/>
      </w:r>
      <w:r w:rsidR="00F74954">
        <w:rPr>
          <w:lang w:val="en-US"/>
        </w:rPr>
        <w:instrText xml:space="preserve"> REF _Ref97285793 \r \h </w:instrText>
      </w:r>
      <w:r w:rsidR="00F74954">
        <w:rPr>
          <w:lang w:val="en-US"/>
        </w:rPr>
      </w:r>
      <w:r w:rsidR="00F74954">
        <w:rPr>
          <w:lang w:val="en-US"/>
        </w:rPr>
        <w:fldChar w:fldCharType="separate"/>
      </w:r>
      <w:r w:rsidR="00A72A78">
        <w:rPr>
          <w:lang w:val="en-US"/>
        </w:rPr>
        <w:t>[17]</w:t>
      </w:r>
      <w:r w:rsidR="00F74954">
        <w:rPr>
          <w:lang w:val="en-US"/>
        </w:rPr>
        <w:fldChar w:fldCharType="end"/>
      </w:r>
      <w:r w:rsidR="002E0E4B">
        <w:rPr>
          <w:lang w:val="en-US"/>
        </w:rPr>
        <w:t xml:space="preserve"> in order to provide a solution to the problem </w:t>
      </w:r>
      <w:r w:rsidR="002E0E4B" w:rsidRPr="002E0E4B">
        <w:rPr>
          <w:lang w:val="en-US"/>
        </w:rPr>
        <w:t xml:space="preserve">of sensitivity to free-stream/inlet conditions of the standard </w:t>
      </w:r>
      <m:oMath>
        <m:r>
          <w:rPr>
            <w:rFonts w:ascii="Cambria Math" w:hAnsi="Cambria Math"/>
            <w:lang w:val="en-US"/>
          </w:rPr>
          <m:t>k-ω</m:t>
        </m:r>
      </m:oMath>
      <w:r w:rsidR="002E0E4B" w:rsidRPr="002E0E4B">
        <w:rPr>
          <w:lang w:val="en-US"/>
        </w:rPr>
        <w:t xml:space="preserve"> model</w:t>
      </w:r>
      <w:r w:rsidR="002E0E4B">
        <w:rPr>
          <w:lang w:val="en-US"/>
        </w:rPr>
        <w:t xml:space="preserve"> by </w:t>
      </w:r>
      <w:r w:rsidR="002E0E4B" w:rsidRPr="002E0E4B">
        <w:rPr>
          <w:lang w:val="en-US"/>
        </w:rPr>
        <w:t xml:space="preserve">using a blending function that included a cross-diffusion term far from the walls, but not near the walls. This approach effectively blends a </w:t>
      </w:r>
      <m:oMath>
        <m:r>
          <w:rPr>
            <w:rFonts w:ascii="Cambria Math" w:hAnsi="Cambria Math"/>
            <w:lang w:val="en-US"/>
          </w:rPr>
          <m:t>k-ϵ</m:t>
        </m:r>
      </m:oMath>
      <w:r w:rsidR="002E0E4B" w:rsidRPr="002E0E4B">
        <w:rPr>
          <w:lang w:val="en-US"/>
        </w:rPr>
        <w:t xml:space="preserve"> model in the far-field with a </w:t>
      </w:r>
      <m:oMath>
        <m:r>
          <w:rPr>
            <w:rFonts w:ascii="Cambria Math" w:hAnsi="Cambria Math"/>
            <w:lang w:val="en-US"/>
          </w:rPr>
          <m:t>k-ω</m:t>
        </m:r>
      </m:oMath>
      <w:r w:rsidR="002E0E4B" w:rsidRPr="002E0E4B">
        <w:rPr>
          <w:lang w:val="en-US"/>
        </w:rPr>
        <w:t xml:space="preserve"> model near the wall</w:t>
      </w:r>
      <w:r w:rsidR="002E0E4B">
        <w:rPr>
          <w:lang w:val="en-US"/>
        </w:rPr>
        <w:t xml:space="preserve">. In addition, a nonlinear (cubic) constitutive model was utilized to estimate the Reynolds stress tensor. </w:t>
      </w:r>
      <w:r w:rsidR="002E0E4B" w:rsidRPr="002E0E4B">
        <w:rPr>
          <w:lang w:val="en-US"/>
        </w:rPr>
        <w:t>Constitutive relations describe the relation between the stress tensor and the mean strain rate used in the Boussinesq approximation.</w:t>
      </w:r>
      <w:r w:rsidR="002E0E4B">
        <w:rPr>
          <w:lang w:val="en-US"/>
        </w:rPr>
        <w:t xml:space="preserve"> </w:t>
      </w:r>
      <w:r w:rsidR="002E0E4B" w:rsidRPr="002E0E4B">
        <w:rPr>
          <w:lang w:val="en-US"/>
        </w:rPr>
        <w:t xml:space="preserve">By default, the Boussinesq approximation implies a linear constitutive relation. Non-linear constitutive relations </w:t>
      </w:r>
      <w:r w:rsidR="002E0E4B">
        <w:rPr>
          <w:lang w:val="en-US"/>
        </w:rPr>
        <w:fldChar w:fldCharType="begin"/>
      </w:r>
      <w:r w:rsidR="002E0E4B">
        <w:rPr>
          <w:lang w:val="en-US"/>
        </w:rPr>
        <w:instrText xml:space="preserve"> REF _Ref97286343 \r \h </w:instrText>
      </w:r>
      <w:r w:rsidR="002E0E4B">
        <w:rPr>
          <w:lang w:val="en-US"/>
        </w:rPr>
      </w:r>
      <w:r w:rsidR="002E0E4B">
        <w:rPr>
          <w:lang w:val="en-US"/>
        </w:rPr>
        <w:fldChar w:fldCharType="separate"/>
      </w:r>
      <w:r w:rsidR="00A72A78">
        <w:rPr>
          <w:lang w:val="en-US"/>
        </w:rPr>
        <w:t>[18]</w:t>
      </w:r>
      <w:r w:rsidR="002E0E4B">
        <w:rPr>
          <w:lang w:val="en-US"/>
        </w:rPr>
        <w:fldChar w:fldCharType="end"/>
      </w:r>
      <w:r w:rsidR="002E0E4B" w:rsidRPr="002E0E4B">
        <w:rPr>
          <w:lang w:val="en-US"/>
        </w:rPr>
        <w:t xml:space="preserve"> account for anisotropy of turbulence by adding non-linear functions of the strain and rotation tensors</w:t>
      </w:r>
      <w:r w:rsidR="002E0E4B">
        <w:rPr>
          <w:lang w:val="en-US"/>
        </w:rPr>
        <w:t>. This is of particular importance in wire-wrapped bundle flows where the turbulence is expected to be anisotropic.</w:t>
      </w:r>
      <w:r w:rsidR="002E0E4B" w:rsidRPr="002E0E4B">
        <w:rPr>
          <w:lang w:val="en-US"/>
        </w:rPr>
        <w:t xml:space="preserve"> </w:t>
      </w:r>
      <w:r w:rsidR="002E0E4B">
        <w:rPr>
          <w:lang w:val="en-US"/>
        </w:rPr>
        <w:t xml:space="preserve">This turbulence model with the cubic constitutive relation was found suitable for predictions of pressure drop and velocity in wire-wrapped bundles, as it was reported by Bovati et al. </w:t>
      </w:r>
      <w:r w:rsidR="002E0E4B">
        <w:rPr>
          <w:lang w:val="en-US"/>
        </w:rPr>
        <w:fldChar w:fldCharType="begin"/>
      </w:r>
      <w:r w:rsidR="002E0E4B">
        <w:rPr>
          <w:lang w:val="en-US"/>
        </w:rPr>
        <w:instrText xml:space="preserve"> REF _Ref97283998 \r \h </w:instrText>
      </w:r>
      <w:r w:rsidR="002E0E4B">
        <w:rPr>
          <w:lang w:val="en-US"/>
        </w:rPr>
      </w:r>
      <w:r w:rsidR="002E0E4B">
        <w:rPr>
          <w:lang w:val="en-US"/>
        </w:rPr>
        <w:fldChar w:fldCharType="separate"/>
      </w:r>
      <w:r w:rsidR="00A72A78">
        <w:rPr>
          <w:lang w:val="en-US"/>
        </w:rPr>
        <w:t>[19]</w:t>
      </w:r>
      <w:r w:rsidR="002E0E4B">
        <w:rPr>
          <w:lang w:val="en-US"/>
        </w:rPr>
        <w:fldChar w:fldCharType="end"/>
      </w:r>
      <w:r w:rsidR="002E0E4B" w:rsidRPr="00B336E0">
        <w:rPr>
          <w:lang w:val="en-US"/>
        </w:rPr>
        <w:t>.</w:t>
      </w:r>
    </w:p>
    <w:p w14:paraId="69EE8AC8" w14:textId="7424A5A9" w:rsidR="007442B8" w:rsidRPr="00B336E0" w:rsidRDefault="007442B8" w:rsidP="007442B8">
      <w:pPr>
        <w:pStyle w:val="BodyText"/>
        <w:rPr>
          <w:lang w:val="en-US"/>
        </w:rPr>
      </w:pPr>
      <w:r w:rsidRPr="00B336E0">
        <w:rPr>
          <w:lang w:val="en-US"/>
        </w:rPr>
        <w:lastRenderedPageBreak/>
        <w:t xml:space="preserve">The model axial length was one helix pitch, </w:t>
      </w:r>
      <m:oMath>
        <m:r>
          <w:rPr>
            <w:rFonts w:ascii="Cambria Math" w:hAnsi="Cambria Math"/>
            <w:lang w:val="en-US"/>
          </w:rPr>
          <m:t>H</m:t>
        </m:r>
      </m:oMath>
      <w:r w:rsidRPr="00B336E0">
        <w:rPr>
          <w:lang w:val="en-US"/>
        </w:rPr>
        <w:t xml:space="preserve">. The inlet and outlet surfaces were connected through a periodic fully-developed interface. This let to simulate a fully developed flow, as it was the case </w:t>
      </w:r>
      <w:r w:rsidR="004B00F0" w:rsidRPr="00B336E0">
        <w:rPr>
          <w:lang w:val="en-US"/>
        </w:rPr>
        <w:t>of</w:t>
      </w:r>
      <w:r w:rsidRPr="00B336E0">
        <w:rPr>
          <w:lang w:val="en-US"/>
        </w:rPr>
        <w:t xml:space="preserve"> the experiment.</w:t>
      </w:r>
      <w:r w:rsidR="004B00F0" w:rsidRPr="00B336E0">
        <w:rPr>
          <w:lang w:val="en-US"/>
        </w:rPr>
        <w:t xml:space="preserve"> The remaining surfaces had a no-slip boundary condition.</w:t>
      </w:r>
      <w:r w:rsidRPr="00B336E0">
        <w:rPr>
          <w:lang w:val="en-US"/>
        </w:rPr>
        <w:t xml:space="preserve"> The mass flow was </w:t>
      </w:r>
      <w:r w:rsidR="004B00F0" w:rsidRPr="00B336E0">
        <w:rPr>
          <w:lang w:val="en-US"/>
        </w:rPr>
        <w:t>forced</w:t>
      </w:r>
      <w:r w:rsidRPr="00B336E0">
        <w:rPr>
          <w:lang w:val="en-US"/>
        </w:rPr>
        <w:t xml:space="preserve"> at the inlet with a value that varied depending on the</w:t>
      </w:r>
      <w:r w:rsidR="004B00F0" w:rsidRPr="00B336E0">
        <w:rPr>
          <w:lang w:val="en-US"/>
        </w:rPr>
        <w:t xml:space="preserve"> desired </w:t>
      </w:r>
      <m:oMath>
        <m:r>
          <w:rPr>
            <w:rFonts w:ascii="Cambria Math" w:hAnsi="Cambria Math"/>
            <w:lang w:val="en-US"/>
          </w:rPr>
          <m:t>Re</m:t>
        </m:r>
      </m:oMath>
      <w:r w:rsidRPr="00B336E0">
        <w:rPr>
          <w:lang w:val="en-US"/>
        </w:rPr>
        <w:t>.</w:t>
      </w:r>
    </w:p>
    <w:p w14:paraId="433FE058" w14:textId="78751F2F" w:rsidR="00CF7AF3" w:rsidRPr="00B336E0" w:rsidRDefault="007442B8" w:rsidP="007442B8">
      <w:pPr>
        <w:pStyle w:val="BodyText"/>
        <w:rPr>
          <w:lang w:val="en-US"/>
        </w:rPr>
      </w:pPr>
      <w:r w:rsidRPr="00B336E0">
        <w:rPr>
          <w:lang w:val="en-US"/>
        </w:rPr>
        <w:t xml:space="preserve">A </w:t>
      </w:r>
      <w:r w:rsidR="004B00F0" w:rsidRPr="00B336E0">
        <w:rPr>
          <w:lang w:val="en-US"/>
        </w:rPr>
        <w:t>particular</w:t>
      </w:r>
      <w:r w:rsidRPr="00B336E0">
        <w:rPr>
          <w:lang w:val="en-US"/>
        </w:rPr>
        <w:t xml:space="preserve"> approach was used to model the contact </w:t>
      </w:r>
      <w:r w:rsidR="004B00F0" w:rsidRPr="00B336E0">
        <w:rPr>
          <w:lang w:val="en-US"/>
        </w:rPr>
        <w:t>surface</w:t>
      </w:r>
      <w:r w:rsidRPr="00B336E0">
        <w:rPr>
          <w:lang w:val="en-US"/>
        </w:rPr>
        <w:t xml:space="preserve"> between the</w:t>
      </w:r>
      <w:r w:rsidR="004B00F0" w:rsidRPr="00B336E0">
        <w:rPr>
          <w:lang w:val="en-US"/>
        </w:rPr>
        <w:t xml:space="preserve"> rod and the wire</w:t>
      </w:r>
      <w:r w:rsidRPr="00B336E0">
        <w:rPr>
          <w:lang w:val="en-US"/>
        </w:rPr>
        <w:t xml:space="preserve">. According to </w:t>
      </w:r>
      <w:proofErr w:type="spellStart"/>
      <w:r w:rsidRPr="00B336E0">
        <w:rPr>
          <w:lang w:val="en-US"/>
        </w:rPr>
        <w:t>Merzari</w:t>
      </w:r>
      <w:proofErr w:type="spellEnd"/>
      <w:r w:rsidRPr="00B336E0">
        <w:rPr>
          <w:lang w:val="en-US"/>
        </w:rPr>
        <w:t xml:space="preserve"> et al. </w:t>
      </w:r>
      <w:r w:rsidR="00D3236D" w:rsidRPr="00B336E0">
        <w:rPr>
          <w:lang w:val="en-US"/>
        </w:rPr>
        <w:fldChar w:fldCharType="begin"/>
      </w:r>
      <w:r w:rsidR="00D3236D" w:rsidRPr="00B336E0">
        <w:rPr>
          <w:lang w:val="en-US"/>
        </w:rPr>
        <w:instrText xml:space="preserve"> REF _Ref67229333 \r \h </w:instrText>
      </w:r>
      <w:r w:rsidR="00D3236D" w:rsidRPr="00B336E0">
        <w:rPr>
          <w:lang w:val="en-US"/>
        </w:rPr>
      </w:r>
      <w:r w:rsidR="00D3236D" w:rsidRPr="00B336E0">
        <w:rPr>
          <w:lang w:val="en-US"/>
        </w:rPr>
        <w:fldChar w:fldCharType="separate"/>
      </w:r>
      <w:r w:rsidR="00A72A78">
        <w:rPr>
          <w:lang w:val="en-US"/>
        </w:rPr>
        <w:t>[16]</w:t>
      </w:r>
      <w:r w:rsidR="00D3236D" w:rsidRPr="00B336E0">
        <w:rPr>
          <w:lang w:val="en-US"/>
        </w:rPr>
        <w:fldChar w:fldCharType="end"/>
      </w:r>
      <w:r w:rsidRPr="00B336E0">
        <w:rPr>
          <w:lang w:val="en-US"/>
        </w:rPr>
        <w:t>, the approach adopted to model the contact between the fuel rod and the wire spacer may significantly impact the simulation results. The wire-pin contact model adopted for this study was to overlap the wire boundary within the rod boundary to avoid the singularity at the tangential contact point. Then</w:t>
      </w:r>
      <w:r w:rsidR="004B00F0" w:rsidRPr="00B336E0">
        <w:rPr>
          <w:lang w:val="en-US"/>
        </w:rPr>
        <w:t>,</w:t>
      </w:r>
      <w:r w:rsidRPr="00B336E0">
        <w:rPr>
          <w:lang w:val="en-US"/>
        </w:rPr>
        <w:t xml:space="preserve"> contact angles were smoothed out using circular fillets, to reduce the required number of </w:t>
      </w:r>
      <w:r w:rsidR="00A37DCA">
        <w:rPr>
          <w:lang w:val="en-US"/>
        </w:rPr>
        <w:t>mesh cells</w:t>
      </w:r>
      <w:r w:rsidRPr="00B336E0">
        <w:rPr>
          <w:lang w:val="en-US"/>
        </w:rPr>
        <w:t xml:space="preserve">, which is desirable for a faster RANS calculation. </w:t>
      </w:r>
      <w:r w:rsidR="001D6F0A">
        <w:rPr>
          <w:lang w:val="en-US"/>
        </w:rPr>
        <w:fldChar w:fldCharType="begin"/>
      </w:r>
      <w:r w:rsidR="001D6F0A">
        <w:rPr>
          <w:lang w:val="en-US"/>
        </w:rPr>
        <w:instrText xml:space="preserve"> REF _Ref67311683 \h </w:instrText>
      </w:r>
      <w:r w:rsidR="001D6F0A">
        <w:rPr>
          <w:lang w:val="en-US"/>
        </w:rPr>
      </w:r>
      <w:r w:rsidR="001D6F0A">
        <w:rPr>
          <w:lang w:val="en-US"/>
        </w:rPr>
        <w:fldChar w:fldCharType="separate"/>
      </w:r>
      <w:r w:rsidR="00A72A78" w:rsidRPr="00B336E0">
        <w:rPr>
          <w:lang w:val="en-US"/>
        </w:rPr>
        <w:t xml:space="preserve">FIG </w:t>
      </w:r>
      <w:r w:rsidR="00A72A78">
        <w:rPr>
          <w:noProof/>
          <w:lang w:val="en-US"/>
        </w:rPr>
        <w:t>2</w:t>
      </w:r>
      <w:r w:rsidR="001D6F0A">
        <w:rPr>
          <w:lang w:val="en-US"/>
        </w:rPr>
        <w:fldChar w:fldCharType="end"/>
      </w:r>
      <w:r w:rsidR="00037061" w:rsidRPr="00B336E0">
        <w:rPr>
          <w:lang w:val="en-US"/>
        </w:rPr>
        <w:t xml:space="preserve"> shows the final CAD model of the wire-wrapped assembly with a view of the wire-rod contact geometry simulated</w:t>
      </w:r>
    </w:p>
    <w:p w14:paraId="170BE842" w14:textId="3ED9F495" w:rsidR="00037061" w:rsidRPr="00B336E0" w:rsidRDefault="00037061" w:rsidP="00037061">
      <w:pPr>
        <w:pStyle w:val="BodyText"/>
        <w:ind w:firstLine="0"/>
        <w:rPr>
          <w:lang w:val="en-US"/>
        </w:rPr>
      </w:pPr>
    </w:p>
    <w:p w14:paraId="4A455FB9" w14:textId="77777777" w:rsidR="0023113E" w:rsidRPr="00B336E0" w:rsidRDefault="00037061" w:rsidP="0023113E">
      <w:pPr>
        <w:pStyle w:val="BodyText"/>
        <w:keepNext/>
        <w:ind w:firstLine="0"/>
        <w:jc w:val="center"/>
        <w:rPr>
          <w:lang w:val="en-US"/>
        </w:rPr>
      </w:pPr>
      <w:r w:rsidRPr="00B336E0">
        <w:rPr>
          <w:noProof/>
          <w:lang w:val="en-US"/>
        </w:rPr>
        <w:drawing>
          <wp:inline distT="0" distB="0" distL="0" distR="0" wp14:anchorId="05D72A97" wp14:editId="624CD93A">
            <wp:extent cx="3087587" cy="1645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20841" t="19134" r="21707" b="6989"/>
                    <a:stretch/>
                  </pic:blipFill>
                  <pic:spPr bwMode="auto">
                    <a:xfrm>
                      <a:off x="0" y="0"/>
                      <a:ext cx="3087587" cy="1645920"/>
                    </a:xfrm>
                    <a:prstGeom prst="rect">
                      <a:avLst/>
                    </a:prstGeom>
                    <a:noFill/>
                    <a:ln>
                      <a:noFill/>
                    </a:ln>
                    <a:extLst>
                      <a:ext uri="{53640926-AAD7-44D8-BBD7-CCE9431645EC}">
                        <a14:shadowObscured xmlns:a14="http://schemas.microsoft.com/office/drawing/2010/main"/>
                      </a:ext>
                    </a:extLst>
                  </pic:spPr>
                </pic:pic>
              </a:graphicData>
            </a:graphic>
          </wp:inline>
        </w:drawing>
      </w:r>
      <w:r w:rsidRPr="00B336E0">
        <w:rPr>
          <w:noProof/>
          <w:lang w:val="en-US"/>
        </w:rPr>
        <w:drawing>
          <wp:inline distT="0" distB="0" distL="0" distR="0" wp14:anchorId="0505FEB6" wp14:editId="56DEE920">
            <wp:extent cx="2515375" cy="1645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a:extLst>
                        <a:ext uri="{28A0092B-C50C-407E-A947-70E740481C1C}">
                          <a14:useLocalDpi xmlns:a14="http://schemas.microsoft.com/office/drawing/2010/main" val="0"/>
                        </a:ext>
                      </a:extLst>
                    </a:blip>
                    <a:srcRect l="34211" r="2433"/>
                    <a:stretch/>
                  </pic:blipFill>
                  <pic:spPr bwMode="auto">
                    <a:xfrm>
                      <a:off x="0" y="0"/>
                      <a:ext cx="2515375" cy="1645920"/>
                    </a:xfrm>
                    <a:prstGeom prst="rect">
                      <a:avLst/>
                    </a:prstGeom>
                    <a:noFill/>
                    <a:ln>
                      <a:noFill/>
                    </a:ln>
                    <a:extLst>
                      <a:ext uri="{53640926-AAD7-44D8-BBD7-CCE9431645EC}">
                        <a14:shadowObscured xmlns:a14="http://schemas.microsoft.com/office/drawing/2010/main"/>
                      </a:ext>
                    </a:extLst>
                  </pic:spPr>
                </pic:pic>
              </a:graphicData>
            </a:graphic>
          </wp:inline>
        </w:drawing>
      </w:r>
    </w:p>
    <w:p w14:paraId="3068225D" w14:textId="4B8FD89A" w:rsidR="0023113E" w:rsidRDefault="0023113E" w:rsidP="00D36D8D">
      <w:pPr>
        <w:pStyle w:val="FIG-LONG"/>
        <w:rPr>
          <w:lang w:val="en-US"/>
        </w:rPr>
      </w:pPr>
      <w:bookmarkStart w:id="3" w:name="_Ref67311683"/>
      <w:r w:rsidRPr="00B336E0">
        <w:rPr>
          <w:lang w:val="en-US"/>
        </w:rPr>
        <w:t xml:space="preserve">FIG </w:t>
      </w:r>
      <w:r w:rsidRPr="00B336E0">
        <w:rPr>
          <w:lang w:val="en-US"/>
        </w:rPr>
        <w:fldChar w:fldCharType="begin"/>
      </w:r>
      <w:r w:rsidRPr="00B336E0">
        <w:rPr>
          <w:lang w:val="en-US"/>
        </w:rPr>
        <w:instrText xml:space="preserve"> SEQ Figure \* ARABIC </w:instrText>
      </w:r>
      <w:r w:rsidRPr="00B336E0">
        <w:rPr>
          <w:lang w:val="en-US"/>
        </w:rPr>
        <w:fldChar w:fldCharType="separate"/>
      </w:r>
      <w:r w:rsidR="00A72A78">
        <w:rPr>
          <w:noProof/>
          <w:lang w:val="en-US"/>
        </w:rPr>
        <w:t>2</w:t>
      </w:r>
      <w:r w:rsidRPr="00B336E0">
        <w:rPr>
          <w:lang w:val="en-US"/>
        </w:rPr>
        <w:fldChar w:fldCharType="end"/>
      </w:r>
      <w:bookmarkEnd w:id="3"/>
      <w:r w:rsidRPr="00B336E0">
        <w:rPr>
          <w:lang w:val="en-US"/>
        </w:rPr>
        <w:t>.</w:t>
      </w:r>
      <w:r w:rsidRPr="00B336E0">
        <w:rPr>
          <w:lang w:val="en-US"/>
        </w:rPr>
        <w:tab/>
        <w:t xml:space="preserve">Visualization of the final CAD model for the CFD calculation (left) and detailed of the contact model between the fuel rod and the wire spacer (right) </w:t>
      </w:r>
    </w:p>
    <w:p w14:paraId="19B901D4" w14:textId="54149FC2" w:rsidR="001F5CB0" w:rsidRDefault="001F5CB0" w:rsidP="001F5CB0">
      <w:pPr>
        <w:pStyle w:val="BodyText"/>
        <w:rPr>
          <w:lang w:val="en-US"/>
        </w:rPr>
      </w:pPr>
      <w:r w:rsidRPr="001F5CB0">
        <w:rPr>
          <w:lang w:val="en-US"/>
        </w:rPr>
        <w:t xml:space="preserve">The mesh was created using STAR-CCM+ with the Polyhedral Mesher, Prism Layer Mesher, and Surface Remesher models. A mesh sensitivity analysis was achieved to identify the most appropriate number of mesh cells. Simulations for mesh sensitivity were set at </w:t>
      </w:r>
      <m:oMath>
        <m:r>
          <w:rPr>
            <w:rFonts w:ascii="Cambria Math" w:hAnsi="Cambria Math"/>
            <w:lang w:val="en-US"/>
          </w:rPr>
          <m:t>Re=50,000</m:t>
        </m:r>
      </m:oMath>
      <w:r w:rsidRPr="001F5CB0">
        <w:rPr>
          <w:lang w:val="en-US"/>
        </w:rPr>
        <w:t xml:space="preserve">, because it was the highest Reynolds number </w:t>
      </w:r>
      <w:r>
        <w:rPr>
          <w:lang w:val="en-US"/>
        </w:rPr>
        <w:t>analyzed</w:t>
      </w:r>
      <w:r w:rsidRPr="001F5CB0">
        <w:rPr>
          <w:lang w:val="en-US"/>
        </w:rPr>
        <w:t>. A converged mesh for this Reynolds number is appropriate for simulations with lower Reynolds numbers. The figure of merit to determine mesh convergence was the friction factor. Four different meshes with different number of cells were tested and their features are indicated on</w:t>
      </w:r>
      <w:r>
        <w:rPr>
          <w:lang w:val="en-US"/>
        </w:rPr>
        <w:t xml:space="preserve"> </w:t>
      </w:r>
      <w:r>
        <w:rPr>
          <w:lang w:val="en-US"/>
        </w:rPr>
        <w:fldChar w:fldCharType="begin"/>
      </w:r>
      <w:r>
        <w:rPr>
          <w:lang w:val="en-US"/>
        </w:rPr>
        <w:instrText xml:space="preserve"> REF _Ref96936772 \h </w:instrText>
      </w:r>
      <w:r>
        <w:rPr>
          <w:lang w:val="en-US"/>
        </w:rPr>
      </w:r>
      <w:r>
        <w:rPr>
          <w:lang w:val="en-US"/>
        </w:rPr>
        <w:fldChar w:fldCharType="separate"/>
      </w:r>
      <w:r w:rsidR="00A72A78">
        <w:t xml:space="preserve">TABLE </w:t>
      </w:r>
      <w:r w:rsidR="00A72A78">
        <w:rPr>
          <w:noProof/>
        </w:rPr>
        <w:t>II</w:t>
      </w:r>
      <w:r>
        <w:rPr>
          <w:lang w:val="en-US"/>
        </w:rPr>
        <w:fldChar w:fldCharType="end"/>
      </w:r>
      <w:r>
        <w:rPr>
          <w:lang w:val="en-US"/>
        </w:rPr>
        <w:t>.</w:t>
      </w:r>
    </w:p>
    <w:p w14:paraId="3C68415B" w14:textId="06A0073F" w:rsidR="001F5CB0" w:rsidRDefault="001F5CB0" w:rsidP="001F5CB0">
      <w:pPr>
        <w:pStyle w:val="BodyText"/>
        <w:rPr>
          <w:lang w:val="en-US"/>
        </w:rPr>
      </w:pPr>
    </w:p>
    <w:p w14:paraId="00820B44" w14:textId="4653EAD9" w:rsidR="001F5CB0" w:rsidRDefault="001F5CB0" w:rsidP="001F5CB0">
      <w:pPr>
        <w:pStyle w:val="Caption"/>
        <w:keepNext/>
      </w:pPr>
      <w:bookmarkStart w:id="4" w:name="_Ref96936772"/>
      <w:r>
        <w:t xml:space="preserve">TABLE </w:t>
      </w:r>
      <w:r>
        <w:fldChar w:fldCharType="begin"/>
      </w:r>
      <w:r>
        <w:instrText xml:space="preserve"> SEQ TABLE \* ROMAN </w:instrText>
      </w:r>
      <w:r>
        <w:fldChar w:fldCharType="separate"/>
      </w:r>
      <w:r w:rsidR="00A72A78">
        <w:rPr>
          <w:noProof/>
        </w:rPr>
        <w:t>II</w:t>
      </w:r>
      <w:r>
        <w:fldChar w:fldCharType="end"/>
      </w:r>
      <w:bookmarkEnd w:id="4"/>
      <w:r>
        <w:t>.</w:t>
      </w:r>
      <w:r>
        <w:tab/>
      </w:r>
      <w:r w:rsidRPr="001F5CB0">
        <w:t>PARAMETER VALUES FOR THE ANALYZED MESHES</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790"/>
        <w:gridCol w:w="1320"/>
        <w:gridCol w:w="1555"/>
        <w:gridCol w:w="1325"/>
        <w:gridCol w:w="1555"/>
      </w:tblGrid>
      <w:tr w:rsidR="001F5CB0" w:rsidRPr="00B336E0" w14:paraId="534E64D3" w14:textId="77777777" w:rsidTr="001F5CB0">
        <w:trPr>
          <w:trHeight w:val="300"/>
          <w:jc w:val="center"/>
        </w:trPr>
        <w:tc>
          <w:tcPr>
            <w:tcW w:w="2790" w:type="dxa"/>
            <w:tcBorders>
              <w:right w:val="nil"/>
            </w:tcBorders>
            <w:noWrap/>
            <w:vAlign w:val="center"/>
            <w:hideMark/>
          </w:tcPr>
          <w:p w14:paraId="55BAF0FA" w14:textId="77777777" w:rsidR="001F5CB0" w:rsidRPr="00B336E0" w:rsidRDefault="001F5CB0" w:rsidP="001F5CB0">
            <w:pPr>
              <w:rPr>
                <w:bCs/>
                <w:sz w:val="20"/>
                <w:lang w:val="en-US"/>
              </w:rPr>
            </w:pPr>
            <w:r w:rsidRPr="00B336E0">
              <w:rPr>
                <w:bCs/>
                <w:sz w:val="20"/>
                <w:lang w:val="en-US"/>
              </w:rPr>
              <w:t>Mesh Number</w:t>
            </w:r>
          </w:p>
        </w:tc>
        <w:tc>
          <w:tcPr>
            <w:tcW w:w="1320" w:type="dxa"/>
            <w:tcBorders>
              <w:left w:val="nil"/>
              <w:right w:val="nil"/>
            </w:tcBorders>
            <w:noWrap/>
            <w:vAlign w:val="center"/>
            <w:hideMark/>
          </w:tcPr>
          <w:p w14:paraId="7FBB8E84" w14:textId="77777777" w:rsidR="001F5CB0" w:rsidRPr="00B336E0" w:rsidRDefault="001F5CB0" w:rsidP="001F5CB0">
            <w:pPr>
              <w:jc w:val="center"/>
              <w:rPr>
                <w:bCs/>
                <w:sz w:val="20"/>
                <w:lang w:val="en-US"/>
              </w:rPr>
            </w:pPr>
            <w:r w:rsidRPr="00B336E0">
              <w:rPr>
                <w:bCs/>
                <w:sz w:val="20"/>
                <w:lang w:val="en-US"/>
              </w:rPr>
              <w:t>1</w:t>
            </w:r>
          </w:p>
        </w:tc>
        <w:tc>
          <w:tcPr>
            <w:tcW w:w="1555" w:type="dxa"/>
            <w:tcBorders>
              <w:left w:val="nil"/>
              <w:right w:val="nil"/>
            </w:tcBorders>
            <w:noWrap/>
            <w:vAlign w:val="center"/>
            <w:hideMark/>
          </w:tcPr>
          <w:p w14:paraId="59576D24" w14:textId="77777777" w:rsidR="001F5CB0" w:rsidRPr="00B336E0" w:rsidRDefault="001F5CB0" w:rsidP="001F5CB0">
            <w:pPr>
              <w:jc w:val="center"/>
              <w:rPr>
                <w:bCs/>
                <w:sz w:val="20"/>
                <w:lang w:val="en-US"/>
              </w:rPr>
            </w:pPr>
            <w:r w:rsidRPr="00B336E0">
              <w:rPr>
                <w:bCs/>
                <w:sz w:val="20"/>
                <w:lang w:val="en-US"/>
              </w:rPr>
              <w:t>2</w:t>
            </w:r>
          </w:p>
        </w:tc>
        <w:tc>
          <w:tcPr>
            <w:tcW w:w="1325" w:type="dxa"/>
            <w:tcBorders>
              <w:left w:val="nil"/>
              <w:right w:val="nil"/>
            </w:tcBorders>
            <w:noWrap/>
            <w:vAlign w:val="center"/>
            <w:hideMark/>
          </w:tcPr>
          <w:p w14:paraId="0A02DC6B" w14:textId="77777777" w:rsidR="001F5CB0" w:rsidRPr="00B336E0" w:rsidRDefault="001F5CB0" w:rsidP="001F5CB0">
            <w:pPr>
              <w:jc w:val="center"/>
              <w:rPr>
                <w:bCs/>
                <w:sz w:val="20"/>
                <w:lang w:val="en-US"/>
              </w:rPr>
            </w:pPr>
            <w:r w:rsidRPr="00B336E0">
              <w:rPr>
                <w:bCs/>
                <w:sz w:val="20"/>
                <w:lang w:val="en-US"/>
              </w:rPr>
              <w:t>3</w:t>
            </w:r>
          </w:p>
        </w:tc>
        <w:tc>
          <w:tcPr>
            <w:tcW w:w="1555" w:type="dxa"/>
            <w:tcBorders>
              <w:left w:val="nil"/>
            </w:tcBorders>
            <w:noWrap/>
            <w:vAlign w:val="center"/>
            <w:hideMark/>
          </w:tcPr>
          <w:p w14:paraId="2ACE9C49" w14:textId="77777777" w:rsidR="001F5CB0" w:rsidRPr="00B336E0" w:rsidRDefault="001F5CB0" w:rsidP="001F5CB0">
            <w:pPr>
              <w:jc w:val="center"/>
              <w:rPr>
                <w:bCs/>
                <w:sz w:val="20"/>
                <w:lang w:val="en-US"/>
              </w:rPr>
            </w:pPr>
            <w:r w:rsidRPr="00B336E0">
              <w:rPr>
                <w:bCs/>
                <w:sz w:val="20"/>
                <w:lang w:val="en-US"/>
              </w:rPr>
              <w:t>4</w:t>
            </w:r>
          </w:p>
        </w:tc>
      </w:tr>
      <w:tr w:rsidR="001F5CB0" w:rsidRPr="00B336E0" w14:paraId="31D76640" w14:textId="77777777" w:rsidTr="001F5CB0">
        <w:trPr>
          <w:trHeight w:val="300"/>
          <w:jc w:val="center"/>
        </w:trPr>
        <w:tc>
          <w:tcPr>
            <w:tcW w:w="2790" w:type="dxa"/>
            <w:tcBorders>
              <w:right w:val="nil"/>
            </w:tcBorders>
            <w:noWrap/>
            <w:vAlign w:val="center"/>
            <w:hideMark/>
          </w:tcPr>
          <w:p w14:paraId="017ED75C" w14:textId="77777777" w:rsidR="001F5CB0" w:rsidRPr="00B336E0" w:rsidRDefault="001F5CB0" w:rsidP="001F5CB0">
            <w:pPr>
              <w:rPr>
                <w:bCs/>
                <w:sz w:val="20"/>
                <w:lang w:val="en-US"/>
              </w:rPr>
            </w:pPr>
            <w:r w:rsidRPr="00B336E0">
              <w:rPr>
                <w:bCs/>
                <w:sz w:val="20"/>
                <w:lang w:val="en-US"/>
              </w:rPr>
              <w:t>Number of Cells</w:t>
            </w:r>
          </w:p>
        </w:tc>
        <w:tc>
          <w:tcPr>
            <w:tcW w:w="1320" w:type="dxa"/>
            <w:tcBorders>
              <w:left w:val="nil"/>
              <w:right w:val="nil"/>
            </w:tcBorders>
            <w:noWrap/>
            <w:vAlign w:val="center"/>
            <w:hideMark/>
          </w:tcPr>
          <w:p w14:paraId="7A189CB1" w14:textId="77777777" w:rsidR="001F5CB0" w:rsidRPr="00B336E0" w:rsidRDefault="001F5CB0" w:rsidP="001F5CB0">
            <w:pPr>
              <w:jc w:val="center"/>
              <w:rPr>
                <w:sz w:val="20"/>
                <w:lang w:val="en-US"/>
              </w:rPr>
            </w:pPr>
            <w:r w:rsidRPr="00B336E0">
              <w:rPr>
                <w:sz w:val="20"/>
                <w:lang w:val="en-US"/>
              </w:rPr>
              <w:t>79,266,451</w:t>
            </w:r>
          </w:p>
        </w:tc>
        <w:tc>
          <w:tcPr>
            <w:tcW w:w="1555" w:type="dxa"/>
            <w:tcBorders>
              <w:left w:val="nil"/>
              <w:right w:val="nil"/>
            </w:tcBorders>
            <w:noWrap/>
            <w:vAlign w:val="center"/>
            <w:hideMark/>
          </w:tcPr>
          <w:p w14:paraId="1D401BF4" w14:textId="77777777" w:rsidR="001F5CB0" w:rsidRPr="00B336E0" w:rsidRDefault="001F5CB0" w:rsidP="001F5CB0">
            <w:pPr>
              <w:jc w:val="center"/>
              <w:rPr>
                <w:sz w:val="20"/>
                <w:lang w:val="en-US"/>
              </w:rPr>
            </w:pPr>
            <w:r w:rsidRPr="00B336E0">
              <w:rPr>
                <w:sz w:val="20"/>
                <w:lang w:val="en-US"/>
              </w:rPr>
              <w:t>93,003,107</w:t>
            </w:r>
          </w:p>
        </w:tc>
        <w:tc>
          <w:tcPr>
            <w:tcW w:w="1325" w:type="dxa"/>
            <w:tcBorders>
              <w:left w:val="nil"/>
              <w:right w:val="nil"/>
            </w:tcBorders>
            <w:noWrap/>
            <w:vAlign w:val="center"/>
            <w:hideMark/>
          </w:tcPr>
          <w:p w14:paraId="3F7D2300" w14:textId="77777777" w:rsidR="001F5CB0" w:rsidRPr="00B336E0" w:rsidRDefault="001F5CB0" w:rsidP="001F5CB0">
            <w:pPr>
              <w:jc w:val="center"/>
              <w:rPr>
                <w:sz w:val="20"/>
                <w:lang w:val="en-US"/>
              </w:rPr>
            </w:pPr>
            <w:r w:rsidRPr="00B336E0">
              <w:rPr>
                <w:sz w:val="20"/>
                <w:lang w:val="en-US"/>
              </w:rPr>
              <w:t>124,003,072</w:t>
            </w:r>
          </w:p>
        </w:tc>
        <w:tc>
          <w:tcPr>
            <w:tcW w:w="1555" w:type="dxa"/>
            <w:tcBorders>
              <w:left w:val="nil"/>
            </w:tcBorders>
            <w:noWrap/>
            <w:vAlign w:val="center"/>
            <w:hideMark/>
          </w:tcPr>
          <w:p w14:paraId="3EB49C27" w14:textId="77777777" w:rsidR="001F5CB0" w:rsidRPr="00B336E0" w:rsidRDefault="001F5CB0" w:rsidP="001F5CB0">
            <w:pPr>
              <w:jc w:val="center"/>
              <w:rPr>
                <w:sz w:val="20"/>
                <w:lang w:val="en-US"/>
              </w:rPr>
            </w:pPr>
            <w:r w:rsidRPr="00B336E0">
              <w:rPr>
                <w:sz w:val="20"/>
                <w:lang w:val="en-US"/>
              </w:rPr>
              <w:t>156,536,939</w:t>
            </w:r>
          </w:p>
        </w:tc>
      </w:tr>
      <w:tr w:rsidR="001F5CB0" w:rsidRPr="00B336E0" w14:paraId="5831676E" w14:textId="77777777" w:rsidTr="001F5CB0">
        <w:trPr>
          <w:trHeight w:val="300"/>
          <w:jc w:val="center"/>
        </w:trPr>
        <w:tc>
          <w:tcPr>
            <w:tcW w:w="2790" w:type="dxa"/>
            <w:tcBorders>
              <w:right w:val="nil"/>
            </w:tcBorders>
            <w:noWrap/>
            <w:vAlign w:val="center"/>
            <w:hideMark/>
          </w:tcPr>
          <w:p w14:paraId="2F7A762D" w14:textId="77777777" w:rsidR="001F5CB0" w:rsidRPr="00B336E0" w:rsidRDefault="001F5CB0" w:rsidP="001F5CB0">
            <w:pPr>
              <w:rPr>
                <w:bCs/>
                <w:sz w:val="20"/>
                <w:lang w:val="en-US"/>
              </w:rPr>
            </w:pPr>
            <w:r w:rsidRPr="00B336E0">
              <w:rPr>
                <w:bCs/>
                <w:sz w:val="20"/>
                <w:lang w:val="en-US"/>
              </w:rPr>
              <w:t>Base Size (BS) [m]</w:t>
            </w:r>
          </w:p>
        </w:tc>
        <w:tc>
          <w:tcPr>
            <w:tcW w:w="1320" w:type="dxa"/>
            <w:tcBorders>
              <w:left w:val="nil"/>
              <w:right w:val="nil"/>
            </w:tcBorders>
            <w:noWrap/>
            <w:vAlign w:val="center"/>
            <w:hideMark/>
          </w:tcPr>
          <w:p w14:paraId="0814566C" w14:textId="77777777" w:rsidR="001F5CB0" w:rsidRPr="00B336E0" w:rsidRDefault="001F5CB0" w:rsidP="001F5CB0">
            <w:pPr>
              <w:jc w:val="center"/>
              <w:rPr>
                <w:sz w:val="20"/>
                <w:lang w:val="en-US"/>
              </w:rPr>
            </w:pPr>
            <w:r w:rsidRPr="00B336E0">
              <w:rPr>
                <w:sz w:val="20"/>
                <w:lang w:val="en-US"/>
              </w:rPr>
              <w:t>0.0035</w:t>
            </w:r>
          </w:p>
        </w:tc>
        <w:tc>
          <w:tcPr>
            <w:tcW w:w="1555" w:type="dxa"/>
            <w:tcBorders>
              <w:left w:val="nil"/>
              <w:right w:val="nil"/>
            </w:tcBorders>
            <w:noWrap/>
            <w:vAlign w:val="center"/>
            <w:hideMark/>
          </w:tcPr>
          <w:p w14:paraId="0F4417F2" w14:textId="77777777" w:rsidR="001F5CB0" w:rsidRPr="00B336E0" w:rsidRDefault="001F5CB0" w:rsidP="001F5CB0">
            <w:pPr>
              <w:jc w:val="center"/>
              <w:rPr>
                <w:sz w:val="20"/>
                <w:lang w:val="en-US"/>
              </w:rPr>
            </w:pPr>
            <w:r w:rsidRPr="00B336E0">
              <w:rPr>
                <w:sz w:val="20"/>
                <w:lang w:val="en-US"/>
              </w:rPr>
              <w:t>0.003</w:t>
            </w:r>
          </w:p>
        </w:tc>
        <w:tc>
          <w:tcPr>
            <w:tcW w:w="1325" w:type="dxa"/>
            <w:tcBorders>
              <w:left w:val="nil"/>
              <w:right w:val="nil"/>
            </w:tcBorders>
            <w:noWrap/>
            <w:vAlign w:val="center"/>
            <w:hideMark/>
          </w:tcPr>
          <w:p w14:paraId="425766EC" w14:textId="77777777" w:rsidR="001F5CB0" w:rsidRPr="00B336E0" w:rsidRDefault="001F5CB0" w:rsidP="001F5CB0">
            <w:pPr>
              <w:jc w:val="center"/>
              <w:rPr>
                <w:sz w:val="20"/>
                <w:lang w:val="en-US"/>
              </w:rPr>
            </w:pPr>
            <w:r w:rsidRPr="00B336E0">
              <w:rPr>
                <w:sz w:val="20"/>
                <w:lang w:val="en-US"/>
              </w:rPr>
              <w:t>0.003</w:t>
            </w:r>
          </w:p>
        </w:tc>
        <w:tc>
          <w:tcPr>
            <w:tcW w:w="1555" w:type="dxa"/>
            <w:tcBorders>
              <w:left w:val="nil"/>
            </w:tcBorders>
            <w:noWrap/>
            <w:vAlign w:val="center"/>
            <w:hideMark/>
          </w:tcPr>
          <w:p w14:paraId="2E143491" w14:textId="77777777" w:rsidR="001F5CB0" w:rsidRPr="00B336E0" w:rsidRDefault="001F5CB0" w:rsidP="001F5CB0">
            <w:pPr>
              <w:jc w:val="center"/>
              <w:rPr>
                <w:sz w:val="20"/>
                <w:lang w:val="en-US"/>
              </w:rPr>
            </w:pPr>
            <w:r w:rsidRPr="00B336E0">
              <w:rPr>
                <w:sz w:val="20"/>
                <w:lang w:val="en-US"/>
              </w:rPr>
              <w:t>0.00275</w:t>
            </w:r>
          </w:p>
        </w:tc>
      </w:tr>
      <w:tr w:rsidR="001F5CB0" w:rsidRPr="00B336E0" w14:paraId="2BF83A20" w14:textId="77777777" w:rsidTr="001F5CB0">
        <w:trPr>
          <w:trHeight w:val="300"/>
          <w:jc w:val="center"/>
        </w:trPr>
        <w:tc>
          <w:tcPr>
            <w:tcW w:w="2790" w:type="dxa"/>
            <w:tcBorders>
              <w:right w:val="nil"/>
            </w:tcBorders>
            <w:noWrap/>
            <w:vAlign w:val="center"/>
            <w:hideMark/>
          </w:tcPr>
          <w:p w14:paraId="7A59CF1C" w14:textId="77777777" w:rsidR="001F5CB0" w:rsidRPr="00B336E0" w:rsidRDefault="001F5CB0" w:rsidP="001F5CB0">
            <w:pPr>
              <w:rPr>
                <w:bCs/>
                <w:sz w:val="20"/>
                <w:lang w:val="en-US"/>
              </w:rPr>
            </w:pPr>
            <w:r w:rsidRPr="00B336E0">
              <w:rPr>
                <w:bCs/>
                <w:sz w:val="20"/>
                <w:lang w:val="en-US"/>
              </w:rPr>
              <w:t>BS/Dh</w:t>
            </w:r>
          </w:p>
        </w:tc>
        <w:tc>
          <w:tcPr>
            <w:tcW w:w="1320" w:type="dxa"/>
            <w:tcBorders>
              <w:left w:val="nil"/>
              <w:right w:val="nil"/>
            </w:tcBorders>
            <w:noWrap/>
            <w:vAlign w:val="center"/>
            <w:hideMark/>
          </w:tcPr>
          <w:p w14:paraId="626B5171" w14:textId="77777777" w:rsidR="001F5CB0" w:rsidRPr="00B336E0" w:rsidRDefault="001F5CB0" w:rsidP="001F5CB0">
            <w:pPr>
              <w:jc w:val="center"/>
              <w:rPr>
                <w:sz w:val="20"/>
                <w:lang w:val="en-US"/>
              </w:rPr>
            </w:pPr>
            <w:r w:rsidRPr="00B336E0">
              <w:rPr>
                <w:sz w:val="20"/>
                <w:lang w:val="en-US"/>
              </w:rPr>
              <w:t>0.4512</w:t>
            </w:r>
          </w:p>
        </w:tc>
        <w:tc>
          <w:tcPr>
            <w:tcW w:w="1555" w:type="dxa"/>
            <w:tcBorders>
              <w:left w:val="nil"/>
              <w:right w:val="nil"/>
            </w:tcBorders>
            <w:noWrap/>
            <w:vAlign w:val="center"/>
            <w:hideMark/>
          </w:tcPr>
          <w:p w14:paraId="4A204806" w14:textId="77777777" w:rsidR="001F5CB0" w:rsidRPr="00B336E0" w:rsidRDefault="001F5CB0" w:rsidP="001F5CB0">
            <w:pPr>
              <w:jc w:val="center"/>
              <w:rPr>
                <w:sz w:val="20"/>
                <w:lang w:val="en-US"/>
              </w:rPr>
            </w:pPr>
            <w:r w:rsidRPr="00B336E0">
              <w:rPr>
                <w:sz w:val="20"/>
                <w:lang w:val="en-US"/>
              </w:rPr>
              <w:t>0.3868</w:t>
            </w:r>
          </w:p>
        </w:tc>
        <w:tc>
          <w:tcPr>
            <w:tcW w:w="1325" w:type="dxa"/>
            <w:tcBorders>
              <w:left w:val="nil"/>
              <w:right w:val="nil"/>
            </w:tcBorders>
            <w:noWrap/>
            <w:vAlign w:val="center"/>
            <w:hideMark/>
          </w:tcPr>
          <w:p w14:paraId="5377DE34" w14:textId="77777777" w:rsidR="001F5CB0" w:rsidRPr="00B336E0" w:rsidRDefault="001F5CB0" w:rsidP="001F5CB0">
            <w:pPr>
              <w:jc w:val="center"/>
              <w:rPr>
                <w:sz w:val="20"/>
                <w:lang w:val="en-US"/>
              </w:rPr>
            </w:pPr>
            <w:r w:rsidRPr="00B336E0">
              <w:rPr>
                <w:sz w:val="20"/>
                <w:lang w:val="en-US"/>
              </w:rPr>
              <w:t>0.3868</w:t>
            </w:r>
          </w:p>
        </w:tc>
        <w:tc>
          <w:tcPr>
            <w:tcW w:w="1555" w:type="dxa"/>
            <w:tcBorders>
              <w:left w:val="nil"/>
            </w:tcBorders>
            <w:noWrap/>
            <w:vAlign w:val="center"/>
            <w:hideMark/>
          </w:tcPr>
          <w:p w14:paraId="38944A6E" w14:textId="77777777" w:rsidR="001F5CB0" w:rsidRPr="00B336E0" w:rsidRDefault="001F5CB0" w:rsidP="001F5CB0">
            <w:pPr>
              <w:jc w:val="center"/>
              <w:rPr>
                <w:sz w:val="20"/>
                <w:lang w:val="en-US"/>
              </w:rPr>
            </w:pPr>
            <w:r w:rsidRPr="00B336E0">
              <w:rPr>
                <w:sz w:val="20"/>
                <w:lang w:val="en-US"/>
              </w:rPr>
              <w:t>0.3545</w:t>
            </w:r>
          </w:p>
        </w:tc>
      </w:tr>
      <w:tr w:rsidR="001F5CB0" w:rsidRPr="00B336E0" w14:paraId="656B500D" w14:textId="77777777" w:rsidTr="001F5CB0">
        <w:trPr>
          <w:trHeight w:val="300"/>
          <w:jc w:val="center"/>
        </w:trPr>
        <w:tc>
          <w:tcPr>
            <w:tcW w:w="2790" w:type="dxa"/>
            <w:tcBorders>
              <w:right w:val="nil"/>
            </w:tcBorders>
            <w:noWrap/>
            <w:vAlign w:val="center"/>
            <w:hideMark/>
          </w:tcPr>
          <w:p w14:paraId="6CDAA122" w14:textId="77777777" w:rsidR="001F5CB0" w:rsidRPr="00B336E0" w:rsidRDefault="001F5CB0" w:rsidP="001F5CB0">
            <w:pPr>
              <w:rPr>
                <w:bCs/>
                <w:sz w:val="20"/>
                <w:lang w:val="en-US"/>
              </w:rPr>
            </w:pPr>
            <w:r w:rsidRPr="00B336E0">
              <w:rPr>
                <w:bCs/>
                <w:sz w:val="20"/>
                <w:lang w:val="en-US"/>
              </w:rPr>
              <w:t>Number of Prism Layers</w:t>
            </w:r>
          </w:p>
        </w:tc>
        <w:tc>
          <w:tcPr>
            <w:tcW w:w="1320" w:type="dxa"/>
            <w:tcBorders>
              <w:left w:val="nil"/>
              <w:right w:val="nil"/>
            </w:tcBorders>
            <w:noWrap/>
            <w:vAlign w:val="center"/>
            <w:hideMark/>
          </w:tcPr>
          <w:p w14:paraId="1A648872" w14:textId="77777777" w:rsidR="001F5CB0" w:rsidRPr="00B336E0" w:rsidRDefault="001F5CB0" w:rsidP="001F5CB0">
            <w:pPr>
              <w:jc w:val="center"/>
              <w:rPr>
                <w:sz w:val="20"/>
                <w:lang w:val="en-US"/>
              </w:rPr>
            </w:pPr>
            <w:r w:rsidRPr="00B336E0">
              <w:rPr>
                <w:sz w:val="20"/>
                <w:lang w:val="en-US"/>
              </w:rPr>
              <w:t>7</w:t>
            </w:r>
          </w:p>
        </w:tc>
        <w:tc>
          <w:tcPr>
            <w:tcW w:w="1555" w:type="dxa"/>
            <w:tcBorders>
              <w:left w:val="nil"/>
              <w:right w:val="nil"/>
            </w:tcBorders>
            <w:noWrap/>
            <w:vAlign w:val="center"/>
            <w:hideMark/>
          </w:tcPr>
          <w:p w14:paraId="1DD330E4" w14:textId="77777777" w:rsidR="001F5CB0" w:rsidRPr="00B336E0" w:rsidRDefault="001F5CB0" w:rsidP="001F5CB0">
            <w:pPr>
              <w:jc w:val="center"/>
              <w:rPr>
                <w:sz w:val="20"/>
                <w:lang w:val="en-US"/>
              </w:rPr>
            </w:pPr>
            <w:r w:rsidRPr="00B336E0">
              <w:rPr>
                <w:sz w:val="20"/>
                <w:lang w:val="en-US"/>
              </w:rPr>
              <w:t>7</w:t>
            </w:r>
          </w:p>
        </w:tc>
        <w:tc>
          <w:tcPr>
            <w:tcW w:w="1325" w:type="dxa"/>
            <w:tcBorders>
              <w:left w:val="nil"/>
              <w:right w:val="nil"/>
            </w:tcBorders>
            <w:noWrap/>
            <w:vAlign w:val="center"/>
            <w:hideMark/>
          </w:tcPr>
          <w:p w14:paraId="4A076C80" w14:textId="77777777" w:rsidR="001F5CB0" w:rsidRPr="00B336E0" w:rsidRDefault="001F5CB0" w:rsidP="001F5CB0">
            <w:pPr>
              <w:jc w:val="center"/>
              <w:rPr>
                <w:sz w:val="20"/>
                <w:lang w:val="en-US"/>
              </w:rPr>
            </w:pPr>
            <w:r w:rsidRPr="00B336E0">
              <w:rPr>
                <w:sz w:val="20"/>
                <w:lang w:val="en-US"/>
              </w:rPr>
              <w:t>9</w:t>
            </w:r>
          </w:p>
        </w:tc>
        <w:tc>
          <w:tcPr>
            <w:tcW w:w="1555" w:type="dxa"/>
            <w:tcBorders>
              <w:left w:val="nil"/>
            </w:tcBorders>
            <w:noWrap/>
            <w:vAlign w:val="center"/>
            <w:hideMark/>
          </w:tcPr>
          <w:p w14:paraId="19DA43E4" w14:textId="77777777" w:rsidR="001F5CB0" w:rsidRPr="00B336E0" w:rsidRDefault="001F5CB0" w:rsidP="001F5CB0">
            <w:pPr>
              <w:jc w:val="center"/>
              <w:rPr>
                <w:sz w:val="20"/>
                <w:lang w:val="en-US"/>
              </w:rPr>
            </w:pPr>
            <w:r w:rsidRPr="00B336E0">
              <w:rPr>
                <w:sz w:val="20"/>
                <w:lang w:val="en-US"/>
              </w:rPr>
              <w:t>10</w:t>
            </w:r>
          </w:p>
        </w:tc>
      </w:tr>
      <w:tr w:rsidR="001F5CB0" w:rsidRPr="00B336E0" w14:paraId="2C109415" w14:textId="77777777" w:rsidTr="001F5CB0">
        <w:trPr>
          <w:trHeight w:val="300"/>
          <w:jc w:val="center"/>
        </w:trPr>
        <w:tc>
          <w:tcPr>
            <w:tcW w:w="2790" w:type="dxa"/>
            <w:vMerge w:val="restart"/>
            <w:tcBorders>
              <w:right w:val="nil"/>
            </w:tcBorders>
            <w:vAlign w:val="center"/>
            <w:hideMark/>
          </w:tcPr>
          <w:p w14:paraId="60EAF4D6" w14:textId="1EEAB828" w:rsidR="001F5CB0" w:rsidRPr="00B336E0" w:rsidRDefault="001F5CB0" w:rsidP="001F5CB0">
            <w:pPr>
              <w:rPr>
                <w:bCs/>
                <w:sz w:val="20"/>
                <w:lang w:val="en-US"/>
              </w:rPr>
            </w:pPr>
            <w:r w:rsidRPr="00B336E0">
              <w:rPr>
                <w:bCs/>
                <w:sz w:val="20"/>
                <w:lang w:val="en-US"/>
              </w:rPr>
              <w:t>Prism Layer Thickness [m]</w:t>
            </w:r>
          </w:p>
        </w:tc>
        <w:tc>
          <w:tcPr>
            <w:tcW w:w="1320" w:type="dxa"/>
            <w:tcBorders>
              <w:left w:val="nil"/>
              <w:right w:val="nil"/>
            </w:tcBorders>
            <w:noWrap/>
            <w:vAlign w:val="center"/>
            <w:hideMark/>
          </w:tcPr>
          <w:p w14:paraId="30BFA816" w14:textId="77777777" w:rsidR="001F5CB0" w:rsidRPr="00B336E0" w:rsidRDefault="001F5CB0" w:rsidP="001F5CB0">
            <w:pPr>
              <w:jc w:val="center"/>
              <w:rPr>
                <w:sz w:val="20"/>
                <w:lang w:val="en-US"/>
              </w:rPr>
            </w:pPr>
            <w:r w:rsidRPr="00B336E0">
              <w:rPr>
                <w:sz w:val="20"/>
                <w:lang w:val="en-US"/>
              </w:rPr>
              <w:t>7.00E-04</w:t>
            </w:r>
          </w:p>
        </w:tc>
        <w:tc>
          <w:tcPr>
            <w:tcW w:w="1555" w:type="dxa"/>
            <w:tcBorders>
              <w:left w:val="nil"/>
              <w:right w:val="nil"/>
            </w:tcBorders>
            <w:noWrap/>
            <w:vAlign w:val="center"/>
            <w:hideMark/>
          </w:tcPr>
          <w:p w14:paraId="43A00E83" w14:textId="77777777" w:rsidR="001F5CB0" w:rsidRPr="00B336E0" w:rsidRDefault="001F5CB0" w:rsidP="001F5CB0">
            <w:pPr>
              <w:jc w:val="center"/>
              <w:rPr>
                <w:sz w:val="20"/>
                <w:lang w:val="en-US"/>
              </w:rPr>
            </w:pPr>
            <w:r w:rsidRPr="00B336E0">
              <w:rPr>
                <w:sz w:val="20"/>
                <w:lang w:val="en-US"/>
              </w:rPr>
              <w:t>7.33E-04</w:t>
            </w:r>
          </w:p>
        </w:tc>
        <w:tc>
          <w:tcPr>
            <w:tcW w:w="1325" w:type="dxa"/>
            <w:tcBorders>
              <w:left w:val="nil"/>
              <w:right w:val="nil"/>
            </w:tcBorders>
            <w:noWrap/>
            <w:vAlign w:val="center"/>
            <w:hideMark/>
          </w:tcPr>
          <w:p w14:paraId="6E598C1B" w14:textId="77777777" w:rsidR="001F5CB0" w:rsidRPr="00B336E0" w:rsidRDefault="001F5CB0" w:rsidP="001F5CB0">
            <w:pPr>
              <w:jc w:val="center"/>
              <w:rPr>
                <w:sz w:val="20"/>
                <w:lang w:val="en-US"/>
              </w:rPr>
            </w:pPr>
            <w:r w:rsidRPr="00B336E0">
              <w:rPr>
                <w:sz w:val="20"/>
                <w:lang w:val="en-US"/>
              </w:rPr>
              <w:t>6.04E-04</w:t>
            </w:r>
          </w:p>
        </w:tc>
        <w:tc>
          <w:tcPr>
            <w:tcW w:w="1555" w:type="dxa"/>
            <w:tcBorders>
              <w:left w:val="nil"/>
            </w:tcBorders>
            <w:noWrap/>
            <w:vAlign w:val="center"/>
            <w:hideMark/>
          </w:tcPr>
          <w:p w14:paraId="7C60E3D0" w14:textId="77777777" w:rsidR="001F5CB0" w:rsidRPr="00B336E0" w:rsidRDefault="001F5CB0" w:rsidP="001F5CB0">
            <w:pPr>
              <w:jc w:val="center"/>
              <w:rPr>
                <w:sz w:val="20"/>
                <w:lang w:val="en-US"/>
              </w:rPr>
            </w:pPr>
            <w:r w:rsidRPr="00B336E0">
              <w:rPr>
                <w:sz w:val="20"/>
                <w:lang w:val="en-US"/>
              </w:rPr>
              <w:t>6.04E-04</w:t>
            </w:r>
          </w:p>
        </w:tc>
      </w:tr>
      <w:tr w:rsidR="001F5CB0" w:rsidRPr="00B336E0" w14:paraId="4A095205" w14:textId="77777777" w:rsidTr="001F5CB0">
        <w:trPr>
          <w:trHeight w:val="300"/>
          <w:jc w:val="center"/>
        </w:trPr>
        <w:tc>
          <w:tcPr>
            <w:tcW w:w="2790" w:type="dxa"/>
            <w:vMerge/>
            <w:tcBorders>
              <w:right w:val="nil"/>
            </w:tcBorders>
            <w:vAlign w:val="center"/>
            <w:hideMark/>
          </w:tcPr>
          <w:p w14:paraId="130DA44D" w14:textId="77777777" w:rsidR="001F5CB0" w:rsidRPr="00B336E0" w:rsidRDefault="001F5CB0" w:rsidP="001F5CB0">
            <w:pPr>
              <w:rPr>
                <w:bCs/>
                <w:sz w:val="20"/>
                <w:lang w:val="en-US"/>
              </w:rPr>
            </w:pPr>
          </w:p>
        </w:tc>
        <w:tc>
          <w:tcPr>
            <w:tcW w:w="1320" w:type="dxa"/>
            <w:tcBorders>
              <w:left w:val="nil"/>
              <w:right w:val="nil"/>
            </w:tcBorders>
            <w:noWrap/>
            <w:vAlign w:val="center"/>
            <w:hideMark/>
          </w:tcPr>
          <w:p w14:paraId="0D64DA12" w14:textId="77777777" w:rsidR="001F5CB0" w:rsidRPr="00B336E0" w:rsidRDefault="001F5CB0" w:rsidP="001F5CB0">
            <w:pPr>
              <w:jc w:val="center"/>
              <w:rPr>
                <w:sz w:val="20"/>
                <w:lang w:val="en-US"/>
              </w:rPr>
            </w:pPr>
            <w:r w:rsidRPr="00B336E0">
              <w:rPr>
                <w:sz w:val="20"/>
                <w:lang w:val="en-US"/>
              </w:rPr>
              <w:t>20% of BS</w:t>
            </w:r>
          </w:p>
        </w:tc>
        <w:tc>
          <w:tcPr>
            <w:tcW w:w="1555" w:type="dxa"/>
            <w:tcBorders>
              <w:left w:val="nil"/>
              <w:right w:val="nil"/>
            </w:tcBorders>
            <w:noWrap/>
            <w:vAlign w:val="center"/>
            <w:hideMark/>
          </w:tcPr>
          <w:p w14:paraId="710E8B93" w14:textId="77777777" w:rsidR="001F5CB0" w:rsidRPr="00B336E0" w:rsidRDefault="001F5CB0" w:rsidP="001F5CB0">
            <w:pPr>
              <w:jc w:val="center"/>
              <w:rPr>
                <w:sz w:val="20"/>
                <w:lang w:val="en-US"/>
              </w:rPr>
            </w:pPr>
            <w:r w:rsidRPr="00B336E0">
              <w:rPr>
                <w:sz w:val="20"/>
                <w:lang w:val="en-US"/>
              </w:rPr>
              <w:t>24.42% of BS</w:t>
            </w:r>
          </w:p>
        </w:tc>
        <w:tc>
          <w:tcPr>
            <w:tcW w:w="1325" w:type="dxa"/>
            <w:tcBorders>
              <w:left w:val="nil"/>
              <w:right w:val="nil"/>
            </w:tcBorders>
            <w:noWrap/>
            <w:vAlign w:val="center"/>
            <w:hideMark/>
          </w:tcPr>
          <w:p w14:paraId="560D7898" w14:textId="77777777" w:rsidR="001F5CB0" w:rsidRPr="00B336E0" w:rsidRDefault="001F5CB0" w:rsidP="001F5CB0">
            <w:pPr>
              <w:jc w:val="center"/>
              <w:rPr>
                <w:sz w:val="20"/>
                <w:lang w:val="en-US"/>
              </w:rPr>
            </w:pPr>
            <w:r w:rsidRPr="00B336E0">
              <w:rPr>
                <w:sz w:val="20"/>
                <w:lang w:val="en-US"/>
              </w:rPr>
              <w:t>20% of BS</w:t>
            </w:r>
          </w:p>
        </w:tc>
        <w:tc>
          <w:tcPr>
            <w:tcW w:w="1555" w:type="dxa"/>
            <w:tcBorders>
              <w:left w:val="nil"/>
            </w:tcBorders>
            <w:noWrap/>
            <w:vAlign w:val="center"/>
            <w:hideMark/>
          </w:tcPr>
          <w:p w14:paraId="5DD8322A" w14:textId="77777777" w:rsidR="001F5CB0" w:rsidRPr="00B336E0" w:rsidRDefault="001F5CB0" w:rsidP="001F5CB0">
            <w:pPr>
              <w:jc w:val="center"/>
              <w:rPr>
                <w:sz w:val="20"/>
                <w:lang w:val="en-US"/>
              </w:rPr>
            </w:pPr>
            <w:r w:rsidRPr="00B336E0">
              <w:rPr>
                <w:sz w:val="20"/>
                <w:lang w:val="en-US"/>
              </w:rPr>
              <w:t>21.96% of BS</w:t>
            </w:r>
          </w:p>
        </w:tc>
      </w:tr>
      <w:tr w:rsidR="001F5CB0" w:rsidRPr="00B336E0" w14:paraId="3B2C1774" w14:textId="77777777" w:rsidTr="001F5CB0">
        <w:trPr>
          <w:trHeight w:val="600"/>
          <w:jc w:val="center"/>
        </w:trPr>
        <w:tc>
          <w:tcPr>
            <w:tcW w:w="2790" w:type="dxa"/>
            <w:tcBorders>
              <w:right w:val="nil"/>
            </w:tcBorders>
            <w:vAlign w:val="center"/>
            <w:hideMark/>
          </w:tcPr>
          <w:p w14:paraId="629C5EB5" w14:textId="77777777" w:rsidR="001F5CB0" w:rsidRPr="00B336E0" w:rsidRDefault="001F5CB0" w:rsidP="001F5CB0">
            <w:pPr>
              <w:rPr>
                <w:bCs/>
                <w:sz w:val="20"/>
                <w:lang w:val="en-US"/>
              </w:rPr>
            </w:pPr>
            <w:r w:rsidRPr="00B336E0">
              <w:rPr>
                <w:bCs/>
                <w:sz w:val="20"/>
                <w:lang w:val="en-US"/>
              </w:rPr>
              <w:t xml:space="preserve">Thickness of Near </w:t>
            </w:r>
            <w:r w:rsidRPr="00B336E0">
              <w:rPr>
                <w:bCs/>
                <w:sz w:val="20"/>
                <w:lang w:val="en-US"/>
              </w:rPr>
              <w:br/>
              <w:t>Wall Prism Layer</w:t>
            </w:r>
          </w:p>
        </w:tc>
        <w:tc>
          <w:tcPr>
            <w:tcW w:w="1320" w:type="dxa"/>
            <w:tcBorders>
              <w:left w:val="nil"/>
              <w:right w:val="nil"/>
            </w:tcBorders>
            <w:noWrap/>
            <w:vAlign w:val="center"/>
            <w:hideMark/>
          </w:tcPr>
          <w:p w14:paraId="23EA3E3E" w14:textId="225F935A" w:rsidR="001F5CB0" w:rsidRPr="00B336E0" w:rsidRDefault="001F5CB0" w:rsidP="001F5CB0">
            <w:pPr>
              <w:jc w:val="center"/>
              <w:rPr>
                <w:sz w:val="20"/>
                <w:lang w:val="en-US"/>
              </w:rPr>
            </w:pPr>
            <w:r w:rsidRPr="001F5CB0">
              <w:rPr>
                <w:sz w:val="20"/>
                <w:lang w:val="en-US"/>
              </w:rPr>
              <w:t>4.64E</w:t>
            </w:r>
            <w:r>
              <w:rPr>
                <w:sz w:val="20"/>
                <w:lang w:val="en-US"/>
              </w:rPr>
              <w:t>-</w:t>
            </w:r>
            <w:r w:rsidRPr="001F5CB0">
              <w:rPr>
                <w:sz w:val="20"/>
                <w:lang w:val="en-US"/>
              </w:rPr>
              <w:t>05</w:t>
            </w:r>
          </w:p>
        </w:tc>
        <w:tc>
          <w:tcPr>
            <w:tcW w:w="1555" w:type="dxa"/>
            <w:tcBorders>
              <w:left w:val="nil"/>
              <w:right w:val="nil"/>
            </w:tcBorders>
            <w:noWrap/>
            <w:vAlign w:val="center"/>
            <w:hideMark/>
          </w:tcPr>
          <w:p w14:paraId="6C6286FE" w14:textId="77777777" w:rsidR="001F5CB0" w:rsidRPr="00B336E0" w:rsidRDefault="001F5CB0" w:rsidP="001F5CB0">
            <w:pPr>
              <w:jc w:val="center"/>
              <w:rPr>
                <w:sz w:val="20"/>
                <w:lang w:val="en-US"/>
              </w:rPr>
            </w:pPr>
            <w:r w:rsidRPr="00B336E0">
              <w:rPr>
                <w:sz w:val="20"/>
                <w:lang w:val="en-US"/>
              </w:rPr>
              <w:t>5.77E-06</w:t>
            </w:r>
          </w:p>
        </w:tc>
        <w:tc>
          <w:tcPr>
            <w:tcW w:w="1325" w:type="dxa"/>
            <w:tcBorders>
              <w:left w:val="nil"/>
              <w:right w:val="nil"/>
            </w:tcBorders>
            <w:noWrap/>
            <w:vAlign w:val="center"/>
            <w:hideMark/>
          </w:tcPr>
          <w:p w14:paraId="1AE1C080" w14:textId="77777777" w:rsidR="001F5CB0" w:rsidRPr="00B336E0" w:rsidRDefault="001F5CB0" w:rsidP="001F5CB0">
            <w:pPr>
              <w:jc w:val="center"/>
              <w:rPr>
                <w:sz w:val="20"/>
                <w:lang w:val="en-US"/>
              </w:rPr>
            </w:pPr>
            <w:r w:rsidRPr="00B336E0">
              <w:rPr>
                <w:sz w:val="20"/>
                <w:lang w:val="en-US"/>
              </w:rPr>
              <w:t>7.89E-07</w:t>
            </w:r>
          </w:p>
        </w:tc>
        <w:tc>
          <w:tcPr>
            <w:tcW w:w="1555" w:type="dxa"/>
            <w:tcBorders>
              <w:left w:val="nil"/>
            </w:tcBorders>
            <w:noWrap/>
            <w:vAlign w:val="center"/>
            <w:hideMark/>
          </w:tcPr>
          <w:p w14:paraId="61A2BCA6" w14:textId="77777777" w:rsidR="001F5CB0" w:rsidRPr="00B336E0" w:rsidRDefault="001F5CB0" w:rsidP="001F5CB0">
            <w:pPr>
              <w:jc w:val="center"/>
              <w:rPr>
                <w:sz w:val="20"/>
                <w:lang w:val="en-US"/>
              </w:rPr>
            </w:pPr>
            <w:r w:rsidRPr="00B336E0">
              <w:rPr>
                <w:sz w:val="20"/>
                <w:lang w:val="en-US"/>
              </w:rPr>
              <w:t>7.89E-07</w:t>
            </w:r>
          </w:p>
        </w:tc>
      </w:tr>
    </w:tbl>
    <w:p w14:paraId="44429E6E" w14:textId="3B9A5127" w:rsidR="001F5CB0" w:rsidRDefault="001F5CB0" w:rsidP="001F5CB0">
      <w:pPr>
        <w:pStyle w:val="BodyText"/>
        <w:ind w:firstLine="0"/>
        <w:rPr>
          <w:lang w:val="en-US"/>
        </w:rPr>
      </w:pPr>
    </w:p>
    <w:p w14:paraId="2A282740" w14:textId="6A617DCD" w:rsidR="001F5CB0" w:rsidRDefault="001F5CB0" w:rsidP="001F5CB0">
      <w:pPr>
        <w:pStyle w:val="BodyText"/>
        <w:rPr>
          <w:lang w:val="en-US"/>
        </w:rPr>
      </w:pPr>
      <w:r w:rsidRPr="001F5CB0">
        <w:rPr>
          <w:lang w:val="en-US"/>
        </w:rPr>
        <w:t>The calculated friction factor is presented on</w:t>
      </w:r>
      <w:r>
        <w:rPr>
          <w:lang w:val="en-US"/>
        </w:rPr>
        <w:t xml:space="preserve"> </w:t>
      </w:r>
      <w:r>
        <w:rPr>
          <w:lang w:val="en-US"/>
        </w:rPr>
        <w:fldChar w:fldCharType="begin"/>
      </w:r>
      <w:r>
        <w:rPr>
          <w:lang w:val="en-US"/>
        </w:rPr>
        <w:instrText xml:space="preserve"> REF _Ref96937156 \h </w:instrText>
      </w:r>
      <w:r>
        <w:rPr>
          <w:lang w:val="en-US"/>
        </w:rPr>
      </w:r>
      <w:r>
        <w:rPr>
          <w:lang w:val="en-US"/>
        </w:rPr>
        <w:fldChar w:fldCharType="separate"/>
      </w:r>
      <w:r w:rsidR="00A72A78">
        <w:t xml:space="preserve">TABLE </w:t>
      </w:r>
      <w:r w:rsidR="00A72A78">
        <w:rPr>
          <w:noProof/>
        </w:rPr>
        <w:t>III</w:t>
      </w:r>
      <w:r>
        <w:rPr>
          <w:lang w:val="en-US"/>
        </w:rPr>
        <w:fldChar w:fldCharType="end"/>
      </w:r>
      <w:r w:rsidRPr="001F5CB0">
        <w:rPr>
          <w:color w:val="FF0000"/>
          <w:lang w:val="en-US"/>
        </w:rPr>
        <w:t xml:space="preserve"> </w:t>
      </w:r>
      <w:r w:rsidRPr="001F5CB0">
        <w:rPr>
          <w:lang w:val="en-US"/>
        </w:rPr>
        <w:t xml:space="preserve">for each mesh analyzed. It is observed that the relative difference between two consecutive meshes decreases as the mesh becomes finer. This was also the case for the relative error with respect to the UCTD correlation. The friction factor predicted by the UCTD correlation at </w:t>
      </w:r>
      <m:oMath>
        <m:r>
          <w:rPr>
            <w:rFonts w:ascii="Cambria Math" w:hAnsi="Cambria Math"/>
            <w:lang w:val="en-US"/>
          </w:rPr>
          <m:t>Re=50,000</m:t>
        </m:r>
      </m:oMath>
      <w:r w:rsidRPr="001F5CB0">
        <w:rPr>
          <w:lang w:val="en-US"/>
        </w:rPr>
        <w:t xml:space="preserve"> is 0.02339. Because the relative difference between the friction factors calculated with meshes 3 and 4 was relatively low (~3.5%), mesh 3 is considered to be the converged mesh and it was used to performed the simulations for all the Reynolds numbers considered. The averaged-wall </w:t>
      </w:r>
      <m:oMath>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m:t>
            </m:r>
          </m:sup>
        </m:sSup>
      </m:oMath>
      <w:r w:rsidRPr="001F5CB0">
        <w:rPr>
          <w:lang w:val="en-US"/>
        </w:rPr>
        <w:t xml:space="preserve"> is also indicated. Mesh 3 had an average wall-</w:t>
      </w:r>
      <m:oMath>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m:t>
            </m:r>
          </m:sup>
        </m:sSup>
      </m:oMath>
      <w:r w:rsidRPr="001F5CB0">
        <w:rPr>
          <w:lang w:val="en-US"/>
        </w:rPr>
        <w:t xml:space="preserve"> of 0.397, which means that the viscous sub-layer was calculated with the low </w:t>
      </w:r>
      <m:oMath>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m:t>
            </m:r>
          </m:sup>
        </m:sSup>
      </m:oMath>
      <w:r w:rsidRPr="001F5CB0">
        <w:rPr>
          <w:lang w:val="en-US"/>
        </w:rPr>
        <w:t xml:space="preserve"> wall treatment of STAR-CCM+.</w:t>
      </w:r>
    </w:p>
    <w:p w14:paraId="20B76F79" w14:textId="77777777" w:rsidR="001F5CB0" w:rsidRDefault="001F5CB0" w:rsidP="001F5CB0">
      <w:pPr>
        <w:pStyle w:val="BodyText"/>
        <w:ind w:firstLine="0"/>
        <w:rPr>
          <w:lang w:val="en-US"/>
        </w:rPr>
      </w:pPr>
    </w:p>
    <w:p w14:paraId="4FC027AA" w14:textId="6FB0A140" w:rsidR="001F5CB0" w:rsidRDefault="001F5CB0" w:rsidP="001F5CB0">
      <w:pPr>
        <w:pStyle w:val="Caption"/>
        <w:keepNext/>
      </w:pPr>
      <w:bookmarkStart w:id="5" w:name="_Ref96937156"/>
      <w:r>
        <w:lastRenderedPageBreak/>
        <w:t xml:space="preserve">TABLE </w:t>
      </w:r>
      <w:r>
        <w:fldChar w:fldCharType="begin"/>
      </w:r>
      <w:r>
        <w:instrText xml:space="preserve"> SEQ TABLE \* ROMAN </w:instrText>
      </w:r>
      <w:r>
        <w:fldChar w:fldCharType="separate"/>
      </w:r>
      <w:r w:rsidR="00A72A78">
        <w:rPr>
          <w:noProof/>
        </w:rPr>
        <w:t>III</w:t>
      </w:r>
      <w:r>
        <w:fldChar w:fldCharType="end"/>
      </w:r>
      <w:bookmarkEnd w:id="5"/>
      <w:r>
        <w:t>.</w:t>
      </w:r>
      <w:r>
        <w:tab/>
      </w:r>
      <w:r w:rsidRPr="001F5CB0">
        <w:t xml:space="preserve">FRICTION FACTOR AND AVERAGE </w:t>
      </w:r>
      <m:oMath>
        <m:sSup>
          <m:sSupPr>
            <m:ctrlPr>
              <w:rPr>
                <w:rFonts w:ascii="Cambria Math" w:hAnsi="Cambria Math"/>
                <w:i/>
              </w:rPr>
            </m:ctrlPr>
          </m:sSupPr>
          <m:e>
            <m:r>
              <w:rPr>
                <w:rFonts w:ascii="Cambria Math" w:hAnsi="Cambria Math"/>
              </w:rPr>
              <m:t>Y</m:t>
            </m:r>
          </m:e>
          <m:sup>
            <m:r>
              <w:rPr>
                <w:rFonts w:ascii="Cambria Math" w:hAnsi="Cambria Math"/>
              </w:rPr>
              <m:t>+</m:t>
            </m:r>
          </m:sup>
        </m:sSup>
      </m:oMath>
      <w:r w:rsidRPr="001F5CB0">
        <w:t xml:space="preserve"> OBTAINED WITH THE FOUR MESHES ANALYZED</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885"/>
        <w:gridCol w:w="1270"/>
        <w:gridCol w:w="1620"/>
        <w:gridCol w:w="1620"/>
        <w:gridCol w:w="1710"/>
        <w:gridCol w:w="1080"/>
      </w:tblGrid>
      <w:tr w:rsidR="001F5CB0" w:rsidRPr="00B336E0" w14:paraId="484A2326" w14:textId="77777777" w:rsidTr="001F5CB0">
        <w:trPr>
          <w:jc w:val="center"/>
        </w:trPr>
        <w:tc>
          <w:tcPr>
            <w:tcW w:w="885" w:type="dxa"/>
            <w:tcBorders>
              <w:right w:val="nil"/>
            </w:tcBorders>
            <w:vAlign w:val="center"/>
          </w:tcPr>
          <w:p w14:paraId="063A0F44" w14:textId="77777777" w:rsidR="001F5CB0" w:rsidRPr="00B336E0" w:rsidRDefault="001F5CB0" w:rsidP="001F5CB0">
            <w:pPr>
              <w:pStyle w:val="BodyText"/>
              <w:spacing w:line="276" w:lineRule="auto"/>
              <w:ind w:firstLine="0"/>
              <w:rPr>
                <w:lang w:val="en-US"/>
              </w:rPr>
            </w:pPr>
            <w:r w:rsidRPr="00B336E0">
              <w:rPr>
                <w:lang w:val="en-US"/>
              </w:rPr>
              <w:t xml:space="preserve">Mesh </w:t>
            </w:r>
            <w:r>
              <w:rPr>
                <w:lang w:val="en-US"/>
              </w:rPr>
              <w:t>Number</w:t>
            </w:r>
          </w:p>
        </w:tc>
        <w:tc>
          <w:tcPr>
            <w:tcW w:w="1270" w:type="dxa"/>
            <w:tcBorders>
              <w:left w:val="nil"/>
              <w:right w:val="nil"/>
            </w:tcBorders>
            <w:vAlign w:val="center"/>
          </w:tcPr>
          <w:p w14:paraId="7C6845DE" w14:textId="77777777" w:rsidR="001F5CB0" w:rsidRPr="00B336E0" w:rsidRDefault="001F5CB0" w:rsidP="001F5CB0">
            <w:pPr>
              <w:pStyle w:val="BodyText"/>
              <w:spacing w:line="276" w:lineRule="auto"/>
              <w:ind w:firstLine="0"/>
              <w:jc w:val="center"/>
              <w:rPr>
                <w:lang w:val="en-US"/>
              </w:rPr>
            </w:pPr>
            <w:r w:rsidRPr="00B336E0">
              <w:rPr>
                <w:lang w:val="en-US"/>
              </w:rPr>
              <w:t>Cells</w:t>
            </w:r>
          </w:p>
        </w:tc>
        <w:tc>
          <w:tcPr>
            <w:tcW w:w="1620" w:type="dxa"/>
            <w:tcBorders>
              <w:left w:val="nil"/>
              <w:right w:val="nil"/>
            </w:tcBorders>
            <w:vAlign w:val="center"/>
          </w:tcPr>
          <w:p w14:paraId="474D4F42" w14:textId="77777777" w:rsidR="001F5CB0" w:rsidRPr="00B336E0" w:rsidRDefault="001F5CB0" w:rsidP="001F5CB0">
            <w:pPr>
              <w:pStyle w:val="BodyText"/>
              <w:spacing w:line="276" w:lineRule="auto"/>
              <w:ind w:firstLine="0"/>
              <w:jc w:val="center"/>
              <w:rPr>
                <w:lang w:val="en-US"/>
              </w:rPr>
            </w:pPr>
            <w:r w:rsidRPr="00B336E0">
              <w:rPr>
                <w:lang w:val="en-US"/>
              </w:rPr>
              <w:t>Friction Factor (CFD)</w:t>
            </w:r>
          </w:p>
        </w:tc>
        <w:tc>
          <w:tcPr>
            <w:tcW w:w="1620" w:type="dxa"/>
            <w:tcBorders>
              <w:left w:val="nil"/>
              <w:right w:val="nil"/>
            </w:tcBorders>
            <w:vAlign w:val="center"/>
          </w:tcPr>
          <w:p w14:paraId="7BE66952" w14:textId="77777777" w:rsidR="001F5CB0" w:rsidRPr="00B336E0" w:rsidRDefault="001F5CB0" w:rsidP="001F5CB0">
            <w:pPr>
              <w:pStyle w:val="BodyText"/>
              <w:spacing w:line="276" w:lineRule="auto"/>
              <w:ind w:firstLine="0"/>
              <w:jc w:val="center"/>
              <w:rPr>
                <w:lang w:val="en-US"/>
              </w:rPr>
            </w:pPr>
            <w:r w:rsidRPr="00B336E0">
              <w:rPr>
                <w:lang w:val="en-US"/>
              </w:rPr>
              <w:t>Relative difference w. r. t. previous mesh</w:t>
            </w:r>
          </w:p>
        </w:tc>
        <w:tc>
          <w:tcPr>
            <w:tcW w:w="1710" w:type="dxa"/>
            <w:tcBorders>
              <w:left w:val="nil"/>
              <w:right w:val="nil"/>
            </w:tcBorders>
            <w:vAlign w:val="center"/>
          </w:tcPr>
          <w:p w14:paraId="51636088" w14:textId="77777777" w:rsidR="001F5CB0" w:rsidRPr="00B336E0" w:rsidRDefault="001F5CB0" w:rsidP="001F5CB0">
            <w:pPr>
              <w:pStyle w:val="BodyText"/>
              <w:spacing w:line="276" w:lineRule="auto"/>
              <w:ind w:firstLine="0"/>
              <w:jc w:val="center"/>
              <w:rPr>
                <w:lang w:val="en-US"/>
              </w:rPr>
            </w:pPr>
            <w:r w:rsidRPr="00B336E0">
              <w:rPr>
                <w:lang w:val="en-US"/>
              </w:rPr>
              <w:t>Relative error w. r. t UCTD</w:t>
            </w:r>
          </w:p>
        </w:tc>
        <w:tc>
          <w:tcPr>
            <w:tcW w:w="1080" w:type="dxa"/>
            <w:tcBorders>
              <w:left w:val="nil"/>
            </w:tcBorders>
            <w:vAlign w:val="center"/>
          </w:tcPr>
          <w:p w14:paraId="6C7B110D" w14:textId="77777777" w:rsidR="001F5CB0" w:rsidRPr="00B336E0" w:rsidRDefault="001F5CB0" w:rsidP="001F5CB0">
            <w:pPr>
              <w:pStyle w:val="BodyText"/>
              <w:spacing w:line="276" w:lineRule="auto"/>
              <w:ind w:firstLine="0"/>
              <w:jc w:val="center"/>
              <w:rPr>
                <w:lang w:val="en-US"/>
              </w:rPr>
            </w:pPr>
            <w:r>
              <w:rPr>
                <w:lang w:val="en-US"/>
              </w:rPr>
              <w:t xml:space="preserve">Average Wall – </w:t>
            </w:r>
            <m:oMath>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m:t>
                  </m:r>
                </m:sup>
              </m:sSup>
            </m:oMath>
          </w:p>
        </w:tc>
      </w:tr>
      <w:tr w:rsidR="001F5CB0" w:rsidRPr="00B336E0" w14:paraId="252A7ADA" w14:textId="77777777" w:rsidTr="001F5CB0">
        <w:trPr>
          <w:jc w:val="center"/>
        </w:trPr>
        <w:tc>
          <w:tcPr>
            <w:tcW w:w="885" w:type="dxa"/>
            <w:tcBorders>
              <w:right w:val="nil"/>
            </w:tcBorders>
            <w:vAlign w:val="center"/>
          </w:tcPr>
          <w:p w14:paraId="5F33335B" w14:textId="77777777" w:rsidR="001F5CB0" w:rsidRPr="00B336E0" w:rsidRDefault="001F5CB0" w:rsidP="001F5CB0">
            <w:pPr>
              <w:pStyle w:val="BodyText"/>
              <w:spacing w:line="276" w:lineRule="auto"/>
              <w:ind w:firstLine="0"/>
              <w:rPr>
                <w:lang w:val="en-US"/>
              </w:rPr>
            </w:pPr>
            <w:r>
              <w:rPr>
                <w:lang w:val="en-US"/>
              </w:rPr>
              <w:t>1</w:t>
            </w:r>
          </w:p>
        </w:tc>
        <w:tc>
          <w:tcPr>
            <w:tcW w:w="1270" w:type="dxa"/>
            <w:tcBorders>
              <w:left w:val="nil"/>
              <w:right w:val="nil"/>
            </w:tcBorders>
            <w:vAlign w:val="center"/>
          </w:tcPr>
          <w:p w14:paraId="4A461FFF" w14:textId="77777777" w:rsidR="001F5CB0" w:rsidRPr="00B336E0" w:rsidRDefault="001F5CB0" w:rsidP="001F5CB0">
            <w:pPr>
              <w:pStyle w:val="BodyText"/>
              <w:spacing w:line="276" w:lineRule="auto"/>
              <w:ind w:firstLine="0"/>
              <w:jc w:val="center"/>
              <w:rPr>
                <w:lang w:val="en-US"/>
              </w:rPr>
            </w:pPr>
            <w:r w:rsidRPr="00B336E0">
              <w:rPr>
                <w:lang w:val="en-US"/>
              </w:rPr>
              <w:t>79,266,451</w:t>
            </w:r>
          </w:p>
        </w:tc>
        <w:tc>
          <w:tcPr>
            <w:tcW w:w="1620" w:type="dxa"/>
            <w:tcBorders>
              <w:left w:val="nil"/>
              <w:right w:val="nil"/>
            </w:tcBorders>
            <w:vAlign w:val="center"/>
          </w:tcPr>
          <w:p w14:paraId="7F464FBA" w14:textId="77777777" w:rsidR="001F5CB0" w:rsidRPr="00B336E0" w:rsidRDefault="001F5CB0" w:rsidP="001F5CB0">
            <w:pPr>
              <w:pStyle w:val="BodyText"/>
              <w:spacing w:line="276" w:lineRule="auto"/>
              <w:ind w:firstLine="0"/>
              <w:jc w:val="center"/>
              <w:rPr>
                <w:lang w:val="en-US"/>
              </w:rPr>
            </w:pPr>
            <w:r>
              <w:rPr>
                <w:rFonts w:ascii="TimesNewRoman" w:hAnsi="TimesNewRoman" w:cs="TimesNewRoman"/>
                <w:szCs w:val="22"/>
                <w:lang w:val="en-US" w:eastAsia="en-GB"/>
              </w:rPr>
              <w:t>0.027139</w:t>
            </w:r>
          </w:p>
        </w:tc>
        <w:tc>
          <w:tcPr>
            <w:tcW w:w="1620" w:type="dxa"/>
            <w:tcBorders>
              <w:left w:val="nil"/>
              <w:right w:val="nil"/>
            </w:tcBorders>
            <w:vAlign w:val="center"/>
          </w:tcPr>
          <w:p w14:paraId="476D8775" w14:textId="77777777" w:rsidR="001F5CB0" w:rsidRPr="00B336E0" w:rsidRDefault="001F5CB0" w:rsidP="001F5CB0">
            <w:pPr>
              <w:pStyle w:val="BodyText"/>
              <w:spacing w:line="276" w:lineRule="auto"/>
              <w:ind w:firstLine="0"/>
              <w:jc w:val="center"/>
              <w:rPr>
                <w:lang w:val="en-US"/>
              </w:rPr>
            </w:pPr>
            <w:r>
              <w:rPr>
                <w:lang w:val="en-US"/>
              </w:rPr>
              <w:t>-</w:t>
            </w:r>
          </w:p>
        </w:tc>
        <w:tc>
          <w:tcPr>
            <w:tcW w:w="1710" w:type="dxa"/>
            <w:tcBorders>
              <w:left w:val="nil"/>
              <w:right w:val="nil"/>
            </w:tcBorders>
            <w:vAlign w:val="center"/>
          </w:tcPr>
          <w:p w14:paraId="4FF27B21" w14:textId="77777777" w:rsidR="001F5CB0" w:rsidRPr="00B336E0" w:rsidRDefault="001F5CB0" w:rsidP="001F5CB0">
            <w:pPr>
              <w:pStyle w:val="BodyText"/>
              <w:spacing w:line="276" w:lineRule="auto"/>
              <w:ind w:firstLine="0"/>
              <w:jc w:val="center"/>
              <w:rPr>
                <w:lang w:val="en-US"/>
              </w:rPr>
            </w:pPr>
            <w:r>
              <w:rPr>
                <w:lang w:val="en-US"/>
              </w:rPr>
              <w:t>16.04 %</w:t>
            </w:r>
          </w:p>
        </w:tc>
        <w:tc>
          <w:tcPr>
            <w:tcW w:w="1080" w:type="dxa"/>
            <w:tcBorders>
              <w:left w:val="nil"/>
            </w:tcBorders>
            <w:vAlign w:val="center"/>
          </w:tcPr>
          <w:p w14:paraId="246A82D9" w14:textId="77777777" w:rsidR="001F5CB0" w:rsidRPr="00B336E0" w:rsidRDefault="001F5CB0" w:rsidP="001F5CB0">
            <w:pPr>
              <w:pStyle w:val="BodyText"/>
              <w:spacing w:line="276" w:lineRule="auto"/>
              <w:ind w:firstLine="0"/>
              <w:jc w:val="center"/>
              <w:rPr>
                <w:lang w:val="en-US"/>
              </w:rPr>
            </w:pPr>
            <w:r>
              <w:rPr>
                <w:lang w:val="en-US"/>
              </w:rPr>
              <w:t>8.065</w:t>
            </w:r>
          </w:p>
        </w:tc>
      </w:tr>
      <w:tr w:rsidR="001F5CB0" w:rsidRPr="00B336E0" w14:paraId="3B2CF032" w14:textId="77777777" w:rsidTr="001F5CB0">
        <w:trPr>
          <w:jc w:val="center"/>
        </w:trPr>
        <w:tc>
          <w:tcPr>
            <w:tcW w:w="885" w:type="dxa"/>
            <w:tcBorders>
              <w:right w:val="nil"/>
            </w:tcBorders>
            <w:vAlign w:val="center"/>
          </w:tcPr>
          <w:p w14:paraId="69B7C3A0" w14:textId="77777777" w:rsidR="001F5CB0" w:rsidRPr="00B336E0" w:rsidRDefault="001F5CB0" w:rsidP="001F5CB0">
            <w:pPr>
              <w:pStyle w:val="BodyText"/>
              <w:spacing w:line="276" w:lineRule="auto"/>
              <w:ind w:firstLine="0"/>
              <w:rPr>
                <w:lang w:val="en-US"/>
              </w:rPr>
            </w:pPr>
            <w:r>
              <w:rPr>
                <w:lang w:val="en-US"/>
              </w:rPr>
              <w:t>2</w:t>
            </w:r>
          </w:p>
        </w:tc>
        <w:tc>
          <w:tcPr>
            <w:tcW w:w="1270" w:type="dxa"/>
            <w:tcBorders>
              <w:left w:val="nil"/>
              <w:right w:val="nil"/>
            </w:tcBorders>
            <w:vAlign w:val="center"/>
          </w:tcPr>
          <w:p w14:paraId="49D8C770" w14:textId="77777777" w:rsidR="001F5CB0" w:rsidRPr="00B336E0" w:rsidRDefault="001F5CB0" w:rsidP="001F5CB0">
            <w:pPr>
              <w:pStyle w:val="BodyText"/>
              <w:spacing w:line="276" w:lineRule="auto"/>
              <w:ind w:firstLine="0"/>
              <w:jc w:val="center"/>
              <w:rPr>
                <w:lang w:val="en-US"/>
              </w:rPr>
            </w:pPr>
            <w:r>
              <w:rPr>
                <w:rFonts w:ascii="TimesNewRoman" w:hAnsi="TimesNewRoman" w:cs="TimesNewRoman"/>
                <w:szCs w:val="22"/>
                <w:lang w:val="en-US" w:eastAsia="en-GB"/>
              </w:rPr>
              <w:t>93,003,107</w:t>
            </w:r>
          </w:p>
        </w:tc>
        <w:tc>
          <w:tcPr>
            <w:tcW w:w="1620" w:type="dxa"/>
            <w:tcBorders>
              <w:left w:val="nil"/>
              <w:right w:val="nil"/>
            </w:tcBorders>
            <w:vAlign w:val="center"/>
          </w:tcPr>
          <w:p w14:paraId="1C67E643" w14:textId="77777777" w:rsidR="001F5CB0" w:rsidRPr="00B336E0" w:rsidRDefault="001F5CB0" w:rsidP="001F5CB0">
            <w:pPr>
              <w:pStyle w:val="BodyText"/>
              <w:spacing w:line="276" w:lineRule="auto"/>
              <w:ind w:firstLine="0"/>
              <w:jc w:val="center"/>
              <w:rPr>
                <w:lang w:val="en-US"/>
              </w:rPr>
            </w:pPr>
            <w:r>
              <w:rPr>
                <w:rFonts w:ascii="TimesNewRoman" w:hAnsi="TimesNewRoman" w:cs="TimesNewRoman"/>
                <w:szCs w:val="22"/>
                <w:lang w:val="en-US" w:eastAsia="en-GB"/>
              </w:rPr>
              <w:t>0.020001</w:t>
            </w:r>
          </w:p>
        </w:tc>
        <w:tc>
          <w:tcPr>
            <w:tcW w:w="1620" w:type="dxa"/>
            <w:tcBorders>
              <w:left w:val="nil"/>
              <w:right w:val="nil"/>
            </w:tcBorders>
            <w:vAlign w:val="center"/>
          </w:tcPr>
          <w:p w14:paraId="58F95242" w14:textId="77777777" w:rsidR="001F5CB0" w:rsidRPr="00B336E0" w:rsidRDefault="001F5CB0" w:rsidP="001F5CB0">
            <w:pPr>
              <w:pStyle w:val="BodyText"/>
              <w:spacing w:line="276" w:lineRule="auto"/>
              <w:ind w:firstLine="0"/>
              <w:jc w:val="center"/>
              <w:rPr>
                <w:lang w:val="en-US"/>
              </w:rPr>
            </w:pPr>
            <w:r>
              <w:rPr>
                <w:lang w:val="en-US"/>
              </w:rPr>
              <w:t>26.30 %</w:t>
            </w:r>
          </w:p>
        </w:tc>
        <w:tc>
          <w:tcPr>
            <w:tcW w:w="1710" w:type="dxa"/>
            <w:tcBorders>
              <w:left w:val="nil"/>
              <w:right w:val="nil"/>
            </w:tcBorders>
            <w:vAlign w:val="center"/>
          </w:tcPr>
          <w:p w14:paraId="6FD59779" w14:textId="77777777" w:rsidR="001F5CB0" w:rsidRPr="00B336E0" w:rsidRDefault="001F5CB0" w:rsidP="001F5CB0">
            <w:pPr>
              <w:pStyle w:val="BodyText"/>
              <w:spacing w:line="276" w:lineRule="auto"/>
              <w:ind w:firstLine="0"/>
              <w:jc w:val="center"/>
              <w:rPr>
                <w:lang w:val="en-US"/>
              </w:rPr>
            </w:pPr>
            <w:r>
              <w:rPr>
                <w:lang w:val="en-US"/>
              </w:rPr>
              <w:t>14.48 %</w:t>
            </w:r>
          </w:p>
        </w:tc>
        <w:tc>
          <w:tcPr>
            <w:tcW w:w="1080" w:type="dxa"/>
            <w:tcBorders>
              <w:left w:val="nil"/>
            </w:tcBorders>
            <w:vAlign w:val="center"/>
          </w:tcPr>
          <w:p w14:paraId="7020F391" w14:textId="77777777" w:rsidR="001F5CB0" w:rsidRPr="00B336E0" w:rsidRDefault="001F5CB0" w:rsidP="001F5CB0">
            <w:pPr>
              <w:pStyle w:val="BodyText"/>
              <w:spacing w:line="276" w:lineRule="auto"/>
              <w:ind w:firstLine="0"/>
              <w:jc w:val="center"/>
              <w:rPr>
                <w:lang w:val="en-US"/>
              </w:rPr>
            </w:pPr>
            <w:r>
              <w:rPr>
                <w:lang w:val="en-US"/>
              </w:rPr>
              <w:t>0.995</w:t>
            </w:r>
          </w:p>
        </w:tc>
      </w:tr>
      <w:tr w:rsidR="001F5CB0" w:rsidRPr="00B336E0" w14:paraId="5A571A2A" w14:textId="77777777" w:rsidTr="001F5CB0">
        <w:trPr>
          <w:jc w:val="center"/>
        </w:trPr>
        <w:tc>
          <w:tcPr>
            <w:tcW w:w="885" w:type="dxa"/>
            <w:tcBorders>
              <w:right w:val="nil"/>
            </w:tcBorders>
            <w:vAlign w:val="center"/>
          </w:tcPr>
          <w:p w14:paraId="46078502" w14:textId="77777777" w:rsidR="001F5CB0" w:rsidRPr="00B336E0" w:rsidRDefault="001F5CB0" w:rsidP="001F5CB0">
            <w:pPr>
              <w:pStyle w:val="BodyText"/>
              <w:spacing w:line="276" w:lineRule="auto"/>
              <w:ind w:firstLine="0"/>
              <w:rPr>
                <w:lang w:val="en-US"/>
              </w:rPr>
            </w:pPr>
            <w:r>
              <w:rPr>
                <w:lang w:val="en-US"/>
              </w:rPr>
              <w:t>3</w:t>
            </w:r>
          </w:p>
        </w:tc>
        <w:tc>
          <w:tcPr>
            <w:tcW w:w="1270" w:type="dxa"/>
            <w:tcBorders>
              <w:left w:val="nil"/>
              <w:right w:val="nil"/>
            </w:tcBorders>
            <w:vAlign w:val="center"/>
          </w:tcPr>
          <w:p w14:paraId="29866536" w14:textId="77777777" w:rsidR="001F5CB0" w:rsidRPr="00B336E0" w:rsidRDefault="001F5CB0" w:rsidP="001F5CB0">
            <w:pPr>
              <w:pStyle w:val="BodyText"/>
              <w:spacing w:line="276" w:lineRule="auto"/>
              <w:ind w:firstLine="0"/>
              <w:jc w:val="center"/>
              <w:rPr>
                <w:lang w:val="en-US"/>
              </w:rPr>
            </w:pPr>
            <w:r>
              <w:rPr>
                <w:rFonts w:ascii="TimesNewRoman" w:hAnsi="TimesNewRoman" w:cs="TimesNewRoman"/>
                <w:szCs w:val="22"/>
                <w:lang w:val="en-US" w:eastAsia="en-GB"/>
              </w:rPr>
              <w:t>124,003,072</w:t>
            </w:r>
          </w:p>
        </w:tc>
        <w:tc>
          <w:tcPr>
            <w:tcW w:w="1620" w:type="dxa"/>
            <w:tcBorders>
              <w:left w:val="nil"/>
              <w:right w:val="nil"/>
            </w:tcBorders>
            <w:vAlign w:val="center"/>
          </w:tcPr>
          <w:p w14:paraId="23E58709" w14:textId="77777777" w:rsidR="001F5CB0" w:rsidRPr="00B336E0" w:rsidRDefault="001F5CB0" w:rsidP="001F5CB0">
            <w:pPr>
              <w:pStyle w:val="BodyText"/>
              <w:spacing w:line="276" w:lineRule="auto"/>
              <w:ind w:firstLine="0"/>
              <w:jc w:val="center"/>
              <w:rPr>
                <w:lang w:val="en-US"/>
              </w:rPr>
            </w:pPr>
            <w:r>
              <w:rPr>
                <w:rFonts w:ascii="TimesNewRoman" w:hAnsi="TimesNewRoman" w:cs="TimesNewRoman"/>
                <w:szCs w:val="22"/>
                <w:lang w:val="en-US" w:eastAsia="en-GB"/>
              </w:rPr>
              <w:t>0.022592</w:t>
            </w:r>
          </w:p>
        </w:tc>
        <w:tc>
          <w:tcPr>
            <w:tcW w:w="1620" w:type="dxa"/>
            <w:tcBorders>
              <w:left w:val="nil"/>
              <w:right w:val="nil"/>
            </w:tcBorders>
            <w:vAlign w:val="center"/>
          </w:tcPr>
          <w:p w14:paraId="377A2383" w14:textId="77777777" w:rsidR="001F5CB0" w:rsidRPr="00B336E0" w:rsidRDefault="001F5CB0" w:rsidP="001F5CB0">
            <w:pPr>
              <w:pStyle w:val="BodyText"/>
              <w:spacing w:line="276" w:lineRule="auto"/>
              <w:ind w:firstLine="0"/>
              <w:jc w:val="center"/>
              <w:rPr>
                <w:lang w:val="en-US"/>
              </w:rPr>
            </w:pPr>
            <w:r>
              <w:rPr>
                <w:lang w:val="en-US"/>
              </w:rPr>
              <w:t>12.96 %</w:t>
            </w:r>
          </w:p>
        </w:tc>
        <w:tc>
          <w:tcPr>
            <w:tcW w:w="1710" w:type="dxa"/>
            <w:tcBorders>
              <w:left w:val="nil"/>
              <w:right w:val="nil"/>
            </w:tcBorders>
            <w:vAlign w:val="center"/>
          </w:tcPr>
          <w:p w14:paraId="63B117C1" w14:textId="77777777" w:rsidR="001F5CB0" w:rsidRPr="00B336E0" w:rsidRDefault="001F5CB0" w:rsidP="001F5CB0">
            <w:pPr>
              <w:pStyle w:val="BodyText"/>
              <w:spacing w:line="276" w:lineRule="auto"/>
              <w:ind w:firstLine="0"/>
              <w:jc w:val="center"/>
              <w:rPr>
                <w:lang w:val="en-US"/>
              </w:rPr>
            </w:pPr>
            <w:r>
              <w:rPr>
                <w:lang w:val="en-US"/>
              </w:rPr>
              <w:t>3.40 %</w:t>
            </w:r>
          </w:p>
        </w:tc>
        <w:tc>
          <w:tcPr>
            <w:tcW w:w="1080" w:type="dxa"/>
            <w:tcBorders>
              <w:left w:val="nil"/>
            </w:tcBorders>
            <w:vAlign w:val="center"/>
          </w:tcPr>
          <w:p w14:paraId="1BE925AD" w14:textId="77777777" w:rsidR="001F5CB0" w:rsidRPr="00B336E0" w:rsidRDefault="001F5CB0" w:rsidP="001F5CB0">
            <w:pPr>
              <w:pStyle w:val="BodyText"/>
              <w:spacing w:line="276" w:lineRule="auto"/>
              <w:ind w:firstLine="0"/>
              <w:jc w:val="center"/>
              <w:rPr>
                <w:lang w:val="en-US"/>
              </w:rPr>
            </w:pPr>
            <w:r>
              <w:rPr>
                <w:lang w:val="en-US"/>
              </w:rPr>
              <w:t>0.397</w:t>
            </w:r>
          </w:p>
        </w:tc>
      </w:tr>
      <w:tr w:rsidR="001F5CB0" w:rsidRPr="00B336E0" w14:paraId="35BF8B8C" w14:textId="77777777" w:rsidTr="001F5CB0">
        <w:trPr>
          <w:jc w:val="center"/>
        </w:trPr>
        <w:tc>
          <w:tcPr>
            <w:tcW w:w="885" w:type="dxa"/>
            <w:tcBorders>
              <w:right w:val="nil"/>
            </w:tcBorders>
            <w:vAlign w:val="center"/>
          </w:tcPr>
          <w:p w14:paraId="5A939F90" w14:textId="77777777" w:rsidR="001F5CB0" w:rsidRPr="00B336E0" w:rsidRDefault="001F5CB0" w:rsidP="001F5CB0">
            <w:pPr>
              <w:pStyle w:val="BodyText"/>
              <w:spacing w:line="276" w:lineRule="auto"/>
              <w:ind w:firstLine="0"/>
              <w:rPr>
                <w:lang w:val="en-US"/>
              </w:rPr>
            </w:pPr>
            <w:r>
              <w:rPr>
                <w:lang w:val="en-US"/>
              </w:rPr>
              <w:t>4</w:t>
            </w:r>
          </w:p>
        </w:tc>
        <w:tc>
          <w:tcPr>
            <w:tcW w:w="1270" w:type="dxa"/>
            <w:tcBorders>
              <w:left w:val="nil"/>
              <w:right w:val="nil"/>
            </w:tcBorders>
            <w:vAlign w:val="center"/>
          </w:tcPr>
          <w:p w14:paraId="6C5D3D23" w14:textId="77777777" w:rsidR="001F5CB0" w:rsidRPr="00B336E0" w:rsidRDefault="001F5CB0" w:rsidP="001F5CB0">
            <w:pPr>
              <w:pStyle w:val="BodyText"/>
              <w:spacing w:line="276" w:lineRule="auto"/>
              <w:ind w:firstLine="0"/>
              <w:jc w:val="center"/>
              <w:rPr>
                <w:lang w:val="en-US"/>
              </w:rPr>
            </w:pPr>
            <w:r>
              <w:rPr>
                <w:rFonts w:ascii="TimesNewRoman" w:hAnsi="TimesNewRoman" w:cs="TimesNewRoman"/>
                <w:szCs w:val="22"/>
                <w:lang w:val="en-US" w:eastAsia="en-GB"/>
              </w:rPr>
              <w:t>156,536,939</w:t>
            </w:r>
          </w:p>
        </w:tc>
        <w:tc>
          <w:tcPr>
            <w:tcW w:w="1620" w:type="dxa"/>
            <w:tcBorders>
              <w:left w:val="nil"/>
              <w:right w:val="nil"/>
            </w:tcBorders>
            <w:vAlign w:val="center"/>
          </w:tcPr>
          <w:p w14:paraId="4FFF6226" w14:textId="77777777" w:rsidR="001F5CB0" w:rsidRPr="00B336E0" w:rsidRDefault="001F5CB0" w:rsidP="001F5CB0">
            <w:pPr>
              <w:pStyle w:val="BodyText"/>
              <w:spacing w:line="276" w:lineRule="auto"/>
              <w:ind w:firstLine="0"/>
              <w:jc w:val="center"/>
              <w:rPr>
                <w:lang w:val="en-US"/>
              </w:rPr>
            </w:pPr>
            <w:r>
              <w:rPr>
                <w:rFonts w:ascii="TimesNewRoman" w:hAnsi="TimesNewRoman" w:cs="TimesNewRoman"/>
                <w:szCs w:val="22"/>
                <w:lang w:val="en-US" w:eastAsia="en-GB"/>
              </w:rPr>
              <w:t>0.023385</w:t>
            </w:r>
          </w:p>
        </w:tc>
        <w:tc>
          <w:tcPr>
            <w:tcW w:w="1620" w:type="dxa"/>
            <w:tcBorders>
              <w:left w:val="nil"/>
              <w:right w:val="nil"/>
            </w:tcBorders>
            <w:vAlign w:val="center"/>
          </w:tcPr>
          <w:p w14:paraId="13651E27" w14:textId="77777777" w:rsidR="001F5CB0" w:rsidRPr="00B336E0" w:rsidRDefault="001F5CB0" w:rsidP="001F5CB0">
            <w:pPr>
              <w:pStyle w:val="BodyText"/>
              <w:spacing w:line="276" w:lineRule="auto"/>
              <w:ind w:firstLine="0"/>
              <w:jc w:val="center"/>
              <w:rPr>
                <w:lang w:val="en-US"/>
              </w:rPr>
            </w:pPr>
            <w:r>
              <w:rPr>
                <w:lang w:val="en-US"/>
              </w:rPr>
              <w:t>3.51 %</w:t>
            </w:r>
          </w:p>
        </w:tc>
        <w:tc>
          <w:tcPr>
            <w:tcW w:w="1710" w:type="dxa"/>
            <w:tcBorders>
              <w:left w:val="nil"/>
              <w:right w:val="nil"/>
            </w:tcBorders>
            <w:vAlign w:val="center"/>
          </w:tcPr>
          <w:p w14:paraId="2942898C" w14:textId="77777777" w:rsidR="001F5CB0" w:rsidRPr="00B336E0" w:rsidRDefault="001F5CB0" w:rsidP="001F5CB0">
            <w:pPr>
              <w:pStyle w:val="BodyText"/>
              <w:spacing w:line="276" w:lineRule="auto"/>
              <w:ind w:firstLine="0"/>
              <w:jc w:val="center"/>
              <w:rPr>
                <w:lang w:val="en-US"/>
              </w:rPr>
            </w:pPr>
            <w:r>
              <w:rPr>
                <w:lang w:val="en-US"/>
              </w:rPr>
              <w:t>0.02 %</w:t>
            </w:r>
          </w:p>
        </w:tc>
        <w:tc>
          <w:tcPr>
            <w:tcW w:w="1080" w:type="dxa"/>
            <w:tcBorders>
              <w:left w:val="nil"/>
            </w:tcBorders>
            <w:vAlign w:val="center"/>
          </w:tcPr>
          <w:p w14:paraId="78A38F5B" w14:textId="77777777" w:rsidR="001F5CB0" w:rsidRPr="00B336E0" w:rsidRDefault="001F5CB0" w:rsidP="001F5CB0">
            <w:pPr>
              <w:pStyle w:val="BodyText"/>
              <w:spacing w:line="276" w:lineRule="auto"/>
              <w:ind w:firstLine="0"/>
              <w:jc w:val="center"/>
              <w:rPr>
                <w:lang w:val="en-US"/>
              </w:rPr>
            </w:pPr>
            <w:r>
              <w:rPr>
                <w:lang w:val="en-US"/>
              </w:rPr>
              <w:t>0.395</w:t>
            </w:r>
          </w:p>
        </w:tc>
      </w:tr>
    </w:tbl>
    <w:p w14:paraId="4F518A78" w14:textId="6FD595AD" w:rsidR="001F5CB0" w:rsidRDefault="001F5CB0" w:rsidP="001F5CB0">
      <w:pPr>
        <w:pStyle w:val="BodyText"/>
        <w:ind w:firstLine="0"/>
        <w:rPr>
          <w:lang w:val="en-US"/>
        </w:rPr>
      </w:pPr>
    </w:p>
    <w:p w14:paraId="433FE059" w14:textId="1F299D7A" w:rsidR="00F004EE" w:rsidRDefault="0095573A" w:rsidP="00537496">
      <w:pPr>
        <w:pStyle w:val="Heading2"/>
        <w:rPr>
          <w:lang w:val="en-US"/>
        </w:rPr>
      </w:pPr>
      <w:r w:rsidRPr="00B336E0">
        <w:rPr>
          <w:lang w:val="en-US"/>
        </w:rPr>
        <w:t>results</w:t>
      </w:r>
    </w:p>
    <w:p w14:paraId="7205C27D" w14:textId="415D415B" w:rsidR="00CA460B" w:rsidRDefault="00F753D8" w:rsidP="00D36D8D">
      <w:pPr>
        <w:pStyle w:val="BodyText"/>
        <w:rPr>
          <w:lang w:val="en-US"/>
        </w:rPr>
      </w:pPr>
      <w:r>
        <w:rPr>
          <w:lang w:val="en-US"/>
        </w:rPr>
        <w:t xml:space="preserve">Simulations using the RANS </w:t>
      </w:r>
      <m:oMath>
        <m:r>
          <w:rPr>
            <w:rFonts w:ascii="Cambria Math" w:hAnsi="Cambria Math"/>
            <w:lang w:val="en-US"/>
          </w:rPr>
          <m:t>k-ω</m:t>
        </m:r>
      </m:oMath>
      <w:r>
        <w:rPr>
          <w:lang w:val="en-US"/>
        </w:rPr>
        <w:t xml:space="preserve"> SST model were performed for 16 different Reynolds number</w:t>
      </w:r>
      <w:r w:rsidR="004A33AA">
        <w:rPr>
          <w:lang w:val="en-US"/>
        </w:rPr>
        <w:t>s</w:t>
      </w:r>
      <w:r>
        <w:rPr>
          <w:lang w:val="en-US"/>
        </w:rPr>
        <w:t>, covering the transition regime (</w:t>
      </w:r>
      <m:oMath>
        <m:r>
          <w:rPr>
            <w:rFonts w:ascii="Cambria Math" w:hAnsi="Cambria Math"/>
            <w:lang w:val="en-US"/>
          </w:rPr>
          <m:t>1,270≤Re≤13,175</m:t>
        </m:r>
      </m:oMath>
      <w:r>
        <w:rPr>
          <w:lang w:val="en-US"/>
        </w:rPr>
        <w:t xml:space="preserve">) and the turbulent regime </w:t>
      </w:r>
      <m:oMath>
        <m:d>
          <m:dPr>
            <m:ctrlPr>
              <w:rPr>
                <w:rFonts w:ascii="Cambria Math" w:hAnsi="Cambria Math"/>
                <w:i/>
                <w:lang w:val="en-US"/>
              </w:rPr>
            </m:ctrlPr>
          </m:dPr>
          <m:e>
            <m:r>
              <w:rPr>
                <w:rFonts w:ascii="Cambria Math" w:hAnsi="Cambria Math"/>
                <w:lang w:val="en-US"/>
              </w:rPr>
              <m:t>17,552≤Re≤50,000</m:t>
            </m:r>
          </m:e>
        </m:d>
      </m:oMath>
      <w:r>
        <w:rPr>
          <w:lang w:val="en-US"/>
        </w:rPr>
        <w:t xml:space="preserve">. </w:t>
      </w:r>
      <w:r w:rsidR="008430C9" w:rsidRPr="008430C9">
        <w:rPr>
          <w:lang w:val="en-US"/>
        </w:rPr>
        <w:t>The comparison of the friction factor simulation results with the</w:t>
      </w:r>
      <w:r w:rsidR="004A33AA">
        <w:rPr>
          <w:lang w:val="en-US"/>
        </w:rPr>
        <w:t xml:space="preserve"> </w:t>
      </w:r>
      <w:r w:rsidR="004A33AA" w:rsidRPr="008430C9">
        <w:rPr>
          <w:lang w:val="en-US"/>
        </w:rPr>
        <w:t>experimental</w:t>
      </w:r>
      <w:r w:rsidR="004A33AA">
        <w:rPr>
          <w:lang w:val="en-US"/>
        </w:rPr>
        <w:t xml:space="preserve"> measurements and the</w:t>
      </w:r>
      <w:r w:rsidR="008430C9" w:rsidRPr="008430C9">
        <w:rPr>
          <w:lang w:val="en-US"/>
        </w:rPr>
        <w:t xml:space="preserve"> UCTD correlation</w:t>
      </w:r>
      <w:r w:rsidR="004A33AA">
        <w:rPr>
          <w:lang w:val="en-US"/>
        </w:rPr>
        <w:t xml:space="preserve"> predictions</w:t>
      </w:r>
      <w:r w:rsidR="008430C9" w:rsidRPr="008430C9">
        <w:rPr>
          <w:lang w:val="en-US"/>
        </w:rPr>
        <w:t xml:space="preserve"> </w:t>
      </w:r>
      <w:r w:rsidR="004A33AA">
        <w:rPr>
          <w:lang w:val="en-US"/>
        </w:rPr>
        <w:t>are</w:t>
      </w:r>
      <w:r w:rsidR="008430C9" w:rsidRPr="008430C9">
        <w:rPr>
          <w:lang w:val="en-US"/>
        </w:rPr>
        <w:t xml:space="preserve"> shown in </w:t>
      </w:r>
      <w:r w:rsidR="004A33AA">
        <w:rPr>
          <w:lang w:val="en-US"/>
        </w:rPr>
        <w:fldChar w:fldCharType="begin"/>
      </w:r>
      <w:r w:rsidR="004A33AA">
        <w:rPr>
          <w:lang w:val="en-US"/>
        </w:rPr>
        <w:instrText xml:space="preserve"> REF _Ref67309325 \h </w:instrText>
      </w:r>
      <w:r w:rsidR="004A33AA">
        <w:rPr>
          <w:lang w:val="en-US"/>
        </w:rPr>
      </w:r>
      <w:r w:rsidR="004A33AA">
        <w:rPr>
          <w:lang w:val="en-US"/>
        </w:rPr>
        <w:fldChar w:fldCharType="separate"/>
      </w:r>
      <w:r w:rsidR="00A72A78" w:rsidRPr="00B336E0">
        <w:rPr>
          <w:lang w:val="en-US"/>
        </w:rPr>
        <w:t xml:space="preserve">FIG </w:t>
      </w:r>
      <w:r w:rsidR="00A72A78">
        <w:rPr>
          <w:noProof/>
          <w:lang w:val="en-US"/>
        </w:rPr>
        <w:t>3</w:t>
      </w:r>
      <w:r w:rsidR="004A33AA">
        <w:rPr>
          <w:lang w:val="en-US"/>
        </w:rPr>
        <w:fldChar w:fldCharType="end"/>
      </w:r>
      <w:r w:rsidR="008430C9" w:rsidRPr="008430C9">
        <w:rPr>
          <w:lang w:val="en-US"/>
        </w:rPr>
        <w:t>.</w:t>
      </w:r>
      <w:r w:rsidR="008430C9">
        <w:rPr>
          <w:lang w:val="en-US"/>
        </w:rPr>
        <w:t xml:space="preserve"> The friction factor presented a decreasing value with the Reynolds number, as expected. </w:t>
      </w:r>
      <w:r w:rsidR="00A37DCA">
        <w:rPr>
          <w:lang w:val="en-US"/>
        </w:rPr>
        <w:t>The</w:t>
      </w:r>
      <w:r w:rsidR="008430C9">
        <w:rPr>
          <w:lang w:val="en-US"/>
        </w:rPr>
        <w:t xml:space="preserve"> turbulence model</w:t>
      </w:r>
      <w:r w:rsidR="00A37DCA">
        <w:rPr>
          <w:lang w:val="en-US"/>
        </w:rPr>
        <w:t xml:space="preserve"> predictions were in</w:t>
      </w:r>
      <w:r w:rsidR="008430C9">
        <w:rPr>
          <w:lang w:val="en-US"/>
        </w:rPr>
        <w:t xml:space="preserve"> excellent agreement with the experimental measurements, being always within the experimental uncertainty interval. The UCTD correlation slightly underpredicted the empirical and the simulation results, being the maximum relative difference </w:t>
      </w:r>
      <w:r w:rsidR="00A37DCA">
        <w:rPr>
          <w:lang w:val="en-US"/>
        </w:rPr>
        <w:t xml:space="preserve">with the simulation </w:t>
      </w:r>
      <w:r w:rsidR="008430C9">
        <w:rPr>
          <w:lang w:val="en-US"/>
        </w:rPr>
        <w:t xml:space="preserve">to be 7.33%, recorded for the transition regime. The matching between the simulation and the correlation improved at the turbulent regime, with the biggest relative error found to be 3.24%. Overall, the </w:t>
      </w:r>
      <m:oMath>
        <m:r>
          <w:rPr>
            <w:rFonts w:ascii="Cambria Math" w:hAnsi="Cambria Math"/>
            <w:lang w:val="en-US"/>
          </w:rPr>
          <m:t>k-ω</m:t>
        </m:r>
      </m:oMath>
      <w:r w:rsidR="008430C9">
        <w:rPr>
          <w:lang w:val="en-US"/>
        </w:rPr>
        <w:t xml:space="preserve"> predictions of the friction factor indicates that </w:t>
      </w:r>
      <w:r w:rsidR="004A33AA">
        <w:rPr>
          <w:lang w:val="en-US"/>
        </w:rPr>
        <w:t>this model</w:t>
      </w:r>
      <w:r w:rsidR="008430C9">
        <w:rPr>
          <w:lang w:val="en-US"/>
        </w:rPr>
        <w:t xml:space="preserve"> is suitable to be used </w:t>
      </w:r>
      <w:r w:rsidR="004A33AA">
        <w:rPr>
          <w:lang w:val="en-US"/>
        </w:rPr>
        <w:t xml:space="preserve">for axial pressure drop calculations in 61-pin wire-wrapped rod bundles. </w:t>
      </w:r>
    </w:p>
    <w:p w14:paraId="1986B500" w14:textId="77777777" w:rsidR="004C35AB" w:rsidRPr="00B336E0" w:rsidRDefault="004C35AB" w:rsidP="00D36D8D">
      <w:pPr>
        <w:pStyle w:val="BodyText"/>
        <w:rPr>
          <w:lang w:val="en-US"/>
        </w:rPr>
      </w:pPr>
    </w:p>
    <w:p w14:paraId="019AEE93" w14:textId="77777777" w:rsidR="00CA460B" w:rsidRPr="00B336E0" w:rsidRDefault="00192F64" w:rsidP="00CA460B">
      <w:pPr>
        <w:pStyle w:val="BodyText"/>
        <w:keepNext/>
        <w:ind w:firstLine="0"/>
        <w:jc w:val="center"/>
        <w:rPr>
          <w:lang w:val="en-US"/>
        </w:rPr>
      </w:pPr>
      <w:r w:rsidRPr="00B336E0">
        <w:rPr>
          <w:noProof/>
          <w:lang w:val="en-US"/>
        </w:rPr>
        <w:drawing>
          <wp:inline distT="0" distB="0" distL="0" distR="0" wp14:anchorId="17CA737C" wp14:editId="4D363728">
            <wp:extent cx="5168242"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8298" t="11060" r="13456" b="8359"/>
                    <a:stretch/>
                  </pic:blipFill>
                  <pic:spPr bwMode="auto">
                    <a:xfrm>
                      <a:off x="0" y="0"/>
                      <a:ext cx="5168242"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3AFC0D71" w14:textId="0147107E" w:rsidR="004A33AA" w:rsidRPr="00A916C4" w:rsidRDefault="00CA460B" w:rsidP="00A916C4">
      <w:pPr>
        <w:pStyle w:val="FIG-LONG"/>
        <w:rPr>
          <w:lang w:val="en-US"/>
        </w:rPr>
      </w:pPr>
      <w:bookmarkStart w:id="6" w:name="_Ref67309325"/>
      <w:bookmarkStart w:id="7" w:name="_Ref67309322"/>
      <w:r w:rsidRPr="00B336E0">
        <w:rPr>
          <w:lang w:val="en-US"/>
        </w:rPr>
        <w:t xml:space="preserve">FIG </w:t>
      </w:r>
      <w:r w:rsidRPr="00B336E0">
        <w:rPr>
          <w:lang w:val="en-US"/>
        </w:rPr>
        <w:fldChar w:fldCharType="begin"/>
      </w:r>
      <w:r w:rsidRPr="00B336E0">
        <w:rPr>
          <w:lang w:val="en-US"/>
        </w:rPr>
        <w:instrText xml:space="preserve"> SEQ Figure \* ARABIC </w:instrText>
      </w:r>
      <w:r w:rsidRPr="00B336E0">
        <w:rPr>
          <w:lang w:val="en-US"/>
        </w:rPr>
        <w:fldChar w:fldCharType="separate"/>
      </w:r>
      <w:r w:rsidR="00A72A78">
        <w:rPr>
          <w:noProof/>
          <w:lang w:val="en-US"/>
        </w:rPr>
        <w:t>3</w:t>
      </w:r>
      <w:r w:rsidRPr="00B336E0">
        <w:rPr>
          <w:lang w:val="en-US"/>
        </w:rPr>
        <w:fldChar w:fldCharType="end"/>
      </w:r>
      <w:bookmarkEnd w:id="6"/>
      <w:r w:rsidRPr="00B336E0">
        <w:rPr>
          <w:lang w:val="en-US"/>
        </w:rPr>
        <w:t>.</w:t>
      </w:r>
      <w:r w:rsidRPr="00B336E0">
        <w:rPr>
          <w:lang w:val="en-US"/>
        </w:rPr>
        <w:tab/>
        <w:t xml:space="preserve">Friction factor results obtained with RANS </w:t>
      </w:r>
      <m:oMath>
        <m:r>
          <w:rPr>
            <w:rFonts w:ascii="Cambria Math" w:hAnsi="Cambria Math"/>
            <w:lang w:val="en-US"/>
          </w:rPr>
          <m:t>k-ω</m:t>
        </m:r>
      </m:oMath>
      <w:r w:rsidRPr="00B336E0">
        <w:rPr>
          <w:lang w:val="en-US"/>
        </w:rPr>
        <w:t xml:space="preserve"> SST and comparison with experimental measurements and UCTD correlation</w:t>
      </w:r>
      <w:r w:rsidR="008430C9">
        <w:rPr>
          <w:lang w:val="en-US"/>
        </w:rPr>
        <w:t>. The correlation confidence interval of ±14.8% is also indicated</w:t>
      </w:r>
      <w:bookmarkEnd w:id="7"/>
    </w:p>
    <w:p w14:paraId="4AE4632E" w14:textId="56A2D611" w:rsidR="004A33AA" w:rsidRDefault="004A33AA" w:rsidP="004A33AA">
      <w:pPr>
        <w:pStyle w:val="BodyText"/>
        <w:rPr>
          <w:lang w:val="en-US"/>
        </w:rPr>
      </w:pPr>
      <w:r w:rsidRPr="004A33AA">
        <w:rPr>
          <w:lang w:val="en-US"/>
        </w:rPr>
        <w:lastRenderedPageBreak/>
        <w:t>In order to better understand the flow physics in wire wrapped fuel bundles, transverse pressure difference was investigated between adjacent faces. Differential pressure between two faces was quantified with respect to the wire wrapping angle, θ, which represents the position of the wire relative to the corner between two adjacent faces. In th</w:t>
      </w:r>
      <w:r>
        <w:rPr>
          <w:lang w:val="en-US"/>
        </w:rPr>
        <w:t>e</w:t>
      </w:r>
      <w:r w:rsidRPr="004A33AA">
        <w:rPr>
          <w:lang w:val="en-US"/>
        </w:rPr>
        <w:t xml:space="preserve"> study, pressure difference between faces A and F was recorded along the full length</w:t>
      </w:r>
      <w:r>
        <w:rPr>
          <w:lang w:val="en-US"/>
        </w:rPr>
        <w:t xml:space="preserve"> of</w:t>
      </w:r>
      <w:r w:rsidRPr="004A33AA">
        <w:rPr>
          <w:lang w:val="en-US"/>
        </w:rPr>
        <w:t xml:space="preserve"> the bundle. Results of the</w:t>
      </w:r>
      <w:r w:rsidR="00A37DCA">
        <w:rPr>
          <w:lang w:val="en-US"/>
        </w:rPr>
        <w:t xml:space="preserve"> transverse</w:t>
      </w:r>
      <w:r w:rsidRPr="004A33AA">
        <w:rPr>
          <w:lang w:val="en-US"/>
        </w:rPr>
        <w:t xml:space="preserve"> differential pressure in the</w:t>
      </w:r>
      <w:r w:rsidR="00A37DCA">
        <w:rPr>
          <w:lang w:val="en-US"/>
        </w:rPr>
        <w:t xml:space="preserve"> assembly</w:t>
      </w:r>
      <w:r w:rsidRPr="004A33AA">
        <w:rPr>
          <w:lang w:val="en-US"/>
        </w:rPr>
        <w:t xml:space="preserve"> were compared with the experimental data of Childs et al.</w:t>
      </w:r>
      <w:r w:rsidR="00A37DCA">
        <w:rPr>
          <w:lang w:val="en-US"/>
        </w:rPr>
        <w:t xml:space="preserve"> </w:t>
      </w:r>
      <w:r w:rsidR="00A37DCA">
        <w:rPr>
          <w:lang w:val="en-US"/>
        </w:rPr>
        <w:fldChar w:fldCharType="begin"/>
      </w:r>
      <w:r w:rsidR="00A37DCA">
        <w:rPr>
          <w:lang w:val="en-US"/>
        </w:rPr>
        <w:instrText xml:space="preserve"> REF _Ref67226658 \r \h </w:instrText>
      </w:r>
      <w:r w:rsidR="00A37DCA">
        <w:rPr>
          <w:lang w:val="en-US"/>
        </w:rPr>
      </w:r>
      <w:r w:rsidR="00A37DCA">
        <w:rPr>
          <w:lang w:val="en-US"/>
        </w:rPr>
        <w:fldChar w:fldCharType="separate"/>
      </w:r>
      <w:r w:rsidR="00A72A78">
        <w:rPr>
          <w:lang w:val="en-US"/>
        </w:rPr>
        <w:t>[5]</w:t>
      </w:r>
      <w:r w:rsidR="00A37DCA">
        <w:rPr>
          <w:lang w:val="en-US"/>
        </w:rPr>
        <w:fldChar w:fldCharType="end"/>
      </w:r>
      <w:r w:rsidRPr="004A33AA">
        <w:rPr>
          <w:lang w:val="en-US"/>
        </w:rPr>
        <w:t xml:space="preserve"> for the validation. </w:t>
      </w:r>
      <w:r w:rsidR="00A37DCA">
        <w:rPr>
          <w:lang w:val="en-US"/>
        </w:rPr>
        <w:t>The d</w:t>
      </w:r>
      <w:r w:rsidRPr="004A33AA">
        <w:rPr>
          <w:lang w:val="en-US"/>
        </w:rPr>
        <w:t xml:space="preserve">ifferential pressure was </w:t>
      </w:r>
      <w:r>
        <w:rPr>
          <w:lang w:val="en-US"/>
        </w:rPr>
        <w:t>normalized according to Equation 3,</w:t>
      </w:r>
    </w:p>
    <w:p w14:paraId="6625DC98" w14:textId="77777777" w:rsidR="0007004C" w:rsidRDefault="0007004C" w:rsidP="004A33AA">
      <w:pPr>
        <w:pStyle w:val="BodyText"/>
        <w:rPr>
          <w:lang w:val="en-US"/>
        </w:rPr>
      </w:pPr>
    </w:p>
    <w:p w14:paraId="4551ED4D" w14:textId="4E4714AB" w:rsidR="004A33AA" w:rsidRPr="0007004C" w:rsidRDefault="006A6D9F" w:rsidP="004A33AA">
      <w:pPr>
        <w:pStyle w:val="BodyText"/>
        <w:ind w:firstLine="0"/>
        <w:rPr>
          <w:lang w:val="en-US"/>
        </w:rPr>
      </w:pPr>
      <m:oMathPara>
        <m:oMath>
          <m:eqArr>
            <m:eqArrPr>
              <m:maxDist m:val="1"/>
              <m:ctrlPr>
                <w:rPr>
                  <w:rFonts w:ascii="Cambria Math" w:hAnsi="Cambria Math"/>
                  <w:i/>
                  <w:lang w:val="en-US"/>
                </w:rPr>
              </m:ctrlPr>
            </m:eqArrPr>
            <m:e>
              <m:r>
                <m:rPr>
                  <m:sty m:val="p"/>
                </m:rPr>
                <w:rPr>
                  <w:rFonts w:ascii="Cambria Math" w:hAnsi="Cambria Math"/>
                  <w:lang w:val="en-US"/>
                </w:rPr>
                <m:t>Δ</m:t>
              </m:r>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F</m:t>
                      </m:r>
                    </m:sub>
                  </m:sSub>
                </m:num>
                <m:den>
                  <m:r>
                    <w:rPr>
                      <w:rFonts w:ascii="Cambria Math" w:hAnsi="Cambria Math"/>
                      <w:lang w:val="en-US"/>
                    </w:rPr>
                    <m:t>ρ</m:t>
                  </m:r>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U</m:t>
                          </m:r>
                        </m:e>
                      </m:acc>
                    </m:e>
                    <m:sup>
                      <m:r>
                        <w:rPr>
                          <w:rFonts w:ascii="Cambria Math" w:hAnsi="Cambria Math"/>
                          <w:lang w:val="en-US"/>
                        </w:rPr>
                        <m:t>2</m:t>
                      </m:r>
                    </m:sup>
                  </m:sSup>
                </m:den>
              </m:f>
              <m:r>
                <w:rPr>
                  <w:rFonts w:ascii="Cambria Math" w:hAnsi="Cambria Math"/>
                  <w:lang w:val="en-US"/>
                </w:rPr>
                <m:t>#</m:t>
              </m:r>
              <m:d>
                <m:dPr>
                  <m:ctrlPr>
                    <w:rPr>
                      <w:rFonts w:ascii="Cambria Math" w:hAnsi="Cambria Math"/>
                      <w:i/>
                      <w:lang w:val="en-US"/>
                    </w:rPr>
                  </m:ctrlPr>
                </m:dPr>
                <m:e>
                  <m:r>
                    <w:rPr>
                      <w:rFonts w:ascii="Cambria Math" w:hAnsi="Cambria Math"/>
                      <w:lang w:val="en-US"/>
                    </w:rPr>
                    <m:t>3</m:t>
                  </m:r>
                </m:e>
              </m:d>
            </m:e>
          </m:eqArr>
        </m:oMath>
      </m:oMathPara>
    </w:p>
    <w:p w14:paraId="17F0D172" w14:textId="77777777" w:rsidR="0007004C" w:rsidRPr="004A33AA" w:rsidRDefault="0007004C" w:rsidP="004A33AA">
      <w:pPr>
        <w:pStyle w:val="BodyText"/>
        <w:ind w:firstLine="0"/>
        <w:rPr>
          <w:lang w:val="en-US"/>
        </w:rPr>
      </w:pPr>
    </w:p>
    <w:p w14:paraId="2178484E" w14:textId="7D5108EC" w:rsidR="004A33AA" w:rsidRPr="004A33AA" w:rsidRDefault="004A33AA" w:rsidP="004A33AA">
      <w:pPr>
        <w:pStyle w:val="BodyText"/>
        <w:ind w:firstLine="0"/>
        <w:rPr>
          <w:lang w:val="en-US"/>
        </w:rPr>
      </w:pPr>
      <w:r>
        <w:rPr>
          <w:lang w:val="en-US"/>
        </w:rPr>
        <w:t xml:space="preserve">where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m:t>
            </m:r>
          </m:sub>
        </m:sSub>
      </m:oMath>
      <w:r>
        <w:rPr>
          <w:lang w:val="en-US"/>
        </w:rPr>
        <w:t xml:space="preserve"> and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F</m:t>
            </m:r>
          </m:sub>
        </m:sSub>
      </m:oMath>
      <w:r>
        <w:rPr>
          <w:lang w:val="en-US"/>
        </w:rPr>
        <w:t xml:space="preserve"> are the pressure at the center of faces A and F, respectively (see </w:t>
      </w:r>
      <w:r>
        <w:rPr>
          <w:lang w:val="en-US"/>
        </w:rPr>
        <w:fldChar w:fldCharType="begin"/>
      </w:r>
      <w:r>
        <w:rPr>
          <w:lang w:val="en-US"/>
        </w:rPr>
        <w:instrText xml:space="preserve"> REF _Ref67144843 \h </w:instrText>
      </w:r>
      <w:r>
        <w:rPr>
          <w:lang w:val="en-US"/>
        </w:rPr>
      </w:r>
      <w:r>
        <w:rPr>
          <w:lang w:val="en-US"/>
        </w:rPr>
        <w:fldChar w:fldCharType="separate"/>
      </w:r>
      <w:r w:rsidR="00A72A78" w:rsidRPr="00B336E0">
        <w:rPr>
          <w:lang w:val="en-US"/>
        </w:rPr>
        <w:t xml:space="preserve">FIG </w:t>
      </w:r>
      <w:r w:rsidR="00A72A78">
        <w:rPr>
          <w:noProof/>
          <w:lang w:val="en-US"/>
        </w:rPr>
        <w:t>1</w:t>
      </w:r>
      <w:r>
        <w:rPr>
          <w:lang w:val="en-US"/>
        </w:rPr>
        <w:fldChar w:fldCharType="end"/>
      </w:r>
      <w:r>
        <w:rPr>
          <w:lang w:val="en-US"/>
        </w:rPr>
        <w:t xml:space="preserve">), </w:t>
      </w:r>
      <m:oMath>
        <m:r>
          <w:rPr>
            <w:rFonts w:ascii="Cambria Math" w:hAnsi="Cambria Math"/>
            <w:lang w:val="en-US"/>
          </w:rPr>
          <m:t>ρ</m:t>
        </m:r>
      </m:oMath>
      <w:r>
        <w:rPr>
          <w:lang w:val="en-US"/>
        </w:rPr>
        <w:t xml:space="preserve"> is the fluid density and </w:t>
      </w:r>
      <m:oMath>
        <m:acc>
          <m:accPr>
            <m:chr m:val="̅"/>
            <m:ctrlPr>
              <w:rPr>
                <w:rFonts w:ascii="Cambria Math" w:hAnsi="Cambria Math"/>
                <w:i/>
                <w:lang w:val="en-US"/>
              </w:rPr>
            </m:ctrlPr>
          </m:accPr>
          <m:e>
            <m:r>
              <w:rPr>
                <w:rFonts w:ascii="Cambria Math" w:hAnsi="Cambria Math"/>
                <w:lang w:val="en-US"/>
              </w:rPr>
              <m:t>U</m:t>
            </m:r>
          </m:e>
        </m:acc>
      </m:oMath>
      <w:r>
        <w:rPr>
          <w:lang w:val="en-US"/>
        </w:rPr>
        <w:t xml:space="preserve"> is the bulk velocity. </w:t>
      </w:r>
    </w:p>
    <w:p w14:paraId="0E997208" w14:textId="0CE8A4DD" w:rsidR="004A33AA" w:rsidRDefault="0007004C" w:rsidP="0007004C">
      <w:pPr>
        <w:pStyle w:val="BodyText"/>
        <w:rPr>
          <w:lang w:val="en-US"/>
        </w:rPr>
      </w:pPr>
      <w:r>
        <w:rPr>
          <w:lang w:val="en-US"/>
        </w:rPr>
        <w:fldChar w:fldCharType="begin"/>
      </w:r>
      <w:r>
        <w:rPr>
          <w:lang w:val="en-US"/>
        </w:rPr>
        <w:instrText xml:space="preserve"> REF _Ref67309870 \h </w:instrText>
      </w:r>
      <w:r>
        <w:rPr>
          <w:lang w:val="en-US"/>
        </w:rPr>
      </w:r>
      <w:r>
        <w:rPr>
          <w:lang w:val="en-US"/>
        </w:rPr>
        <w:fldChar w:fldCharType="separate"/>
      </w:r>
      <w:r w:rsidR="00A72A78" w:rsidRPr="00B336E0">
        <w:rPr>
          <w:lang w:val="en-US"/>
        </w:rPr>
        <w:t xml:space="preserve">FIG </w:t>
      </w:r>
      <w:r w:rsidR="00A72A78">
        <w:rPr>
          <w:noProof/>
          <w:lang w:val="en-US"/>
        </w:rPr>
        <w:t>4</w:t>
      </w:r>
      <w:r>
        <w:rPr>
          <w:lang w:val="en-US"/>
        </w:rPr>
        <w:fldChar w:fldCharType="end"/>
      </w:r>
      <w:r>
        <w:rPr>
          <w:lang w:val="en-US"/>
        </w:rPr>
        <w:t xml:space="preserve"> and </w:t>
      </w:r>
      <w:r>
        <w:rPr>
          <w:lang w:val="en-US"/>
        </w:rPr>
        <w:fldChar w:fldCharType="begin"/>
      </w:r>
      <w:r>
        <w:rPr>
          <w:lang w:val="en-US"/>
        </w:rPr>
        <w:instrText xml:space="preserve"> REF _Ref67309872 \h </w:instrText>
      </w:r>
      <w:r>
        <w:rPr>
          <w:lang w:val="en-US"/>
        </w:rPr>
      </w:r>
      <w:r>
        <w:rPr>
          <w:lang w:val="en-US"/>
        </w:rPr>
        <w:fldChar w:fldCharType="separate"/>
      </w:r>
      <w:r w:rsidR="00A72A78" w:rsidRPr="00B336E0">
        <w:rPr>
          <w:lang w:val="en-US"/>
        </w:rPr>
        <w:t xml:space="preserve">FIG </w:t>
      </w:r>
      <w:r w:rsidR="00A72A78">
        <w:rPr>
          <w:noProof/>
          <w:lang w:val="en-US"/>
        </w:rPr>
        <w:t>5</w:t>
      </w:r>
      <w:r>
        <w:rPr>
          <w:lang w:val="en-US"/>
        </w:rPr>
        <w:fldChar w:fldCharType="end"/>
      </w:r>
      <w:r w:rsidR="004A33AA" w:rsidRPr="004A33AA">
        <w:rPr>
          <w:lang w:val="en-US"/>
        </w:rPr>
        <w:t xml:space="preserve"> shows the comparison of the </w:t>
      </w:r>
      <w:r>
        <w:rPr>
          <w:lang w:val="en-US"/>
        </w:rPr>
        <w:t>normalized transverse</w:t>
      </w:r>
      <w:r w:rsidR="004A33AA" w:rsidRPr="004A33AA">
        <w:rPr>
          <w:lang w:val="en-US"/>
        </w:rPr>
        <w:t xml:space="preserve"> differential pressure between the simulation and the </w:t>
      </w:r>
      <w:r w:rsidR="004A33AA" w:rsidRPr="0007004C">
        <w:t>experimental</w:t>
      </w:r>
      <w:r w:rsidR="004A33AA" w:rsidRPr="004A33AA">
        <w:rPr>
          <w:lang w:val="en-US"/>
        </w:rPr>
        <w:t xml:space="preserve"> data as a function of </w:t>
      </w:r>
      <w:r>
        <w:rPr>
          <w:lang w:val="en-US"/>
        </w:rPr>
        <w:t xml:space="preserve">the wire </w:t>
      </w:r>
      <w:r w:rsidR="004A33AA" w:rsidRPr="004A33AA">
        <w:rPr>
          <w:lang w:val="en-US"/>
        </w:rPr>
        <w:t>angular position</w:t>
      </w:r>
      <w:r>
        <w:rPr>
          <w:lang w:val="en-US"/>
        </w:rPr>
        <w:t xml:space="preserve">. </w:t>
      </w:r>
      <w:r w:rsidR="004A33AA" w:rsidRPr="004A33AA">
        <w:rPr>
          <w:lang w:val="en-US"/>
        </w:rPr>
        <w:t xml:space="preserve">The comparison is shown for </w:t>
      </w:r>
      <w:r>
        <w:rPr>
          <w:lang w:val="en-US"/>
        </w:rPr>
        <w:t>four different</w:t>
      </w:r>
      <w:r w:rsidR="004A33AA" w:rsidRPr="004A33AA">
        <w:rPr>
          <w:lang w:val="en-US"/>
        </w:rPr>
        <w:t xml:space="preserve"> Reynolds</w:t>
      </w:r>
      <w:r>
        <w:rPr>
          <w:lang w:val="en-US"/>
        </w:rPr>
        <w:t xml:space="preserve"> </w:t>
      </w:r>
      <w:r w:rsidR="004A33AA" w:rsidRPr="004A33AA">
        <w:rPr>
          <w:lang w:val="en-US"/>
        </w:rPr>
        <w:t>numbers</w:t>
      </w:r>
      <w:r>
        <w:rPr>
          <w:lang w:val="en-US"/>
        </w:rPr>
        <w:t xml:space="preserve"> </w:t>
      </w:r>
      <m:oMath>
        <m:r>
          <w:rPr>
            <w:rFonts w:ascii="Cambria Math" w:hAnsi="Cambria Math"/>
            <w:lang w:val="en-US"/>
          </w:rPr>
          <m:t>Re=17552; 9395</m:t>
        </m:r>
      </m:oMath>
      <w:r>
        <w:rPr>
          <w:lang w:val="en-US"/>
        </w:rPr>
        <w:t xml:space="preserve"> (</w:t>
      </w:r>
      <w:r>
        <w:rPr>
          <w:lang w:val="en-US"/>
        </w:rPr>
        <w:fldChar w:fldCharType="begin"/>
      </w:r>
      <w:r>
        <w:rPr>
          <w:lang w:val="en-US"/>
        </w:rPr>
        <w:instrText xml:space="preserve"> REF _Ref67309870 \h </w:instrText>
      </w:r>
      <w:r>
        <w:rPr>
          <w:lang w:val="en-US"/>
        </w:rPr>
      </w:r>
      <w:r>
        <w:rPr>
          <w:lang w:val="en-US"/>
        </w:rPr>
        <w:fldChar w:fldCharType="separate"/>
      </w:r>
      <w:r w:rsidR="00A72A78" w:rsidRPr="00B336E0">
        <w:rPr>
          <w:lang w:val="en-US"/>
        </w:rPr>
        <w:t xml:space="preserve">FIG </w:t>
      </w:r>
      <w:r w:rsidR="00A72A78">
        <w:rPr>
          <w:noProof/>
          <w:lang w:val="en-US"/>
        </w:rPr>
        <w:t>4</w:t>
      </w:r>
      <w:r>
        <w:rPr>
          <w:lang w:val="en-US"/>
        </w:rPr>
        <w:fldChar w:fldCharType="end"/>
      </w:r>
      <w:r>
        <w:rPr>
          <w:lang w:val="en-US"/>
        </w:rPr>
        <w:t xml:space="preserve">) and </w:t>
      </w:r>
      <m:oMath>
        <m:r>
          <w:rPr>
            <w:rFonts w:ascii="Cambria Math" w:hAnsi="Cambria Math"/>
            <w:lang w:val="en-US"/>
          </w:rPr>
          <m:t>Re=6263; 5637</m:t>
        </m:r>
      </m:oMath>
      <w:r>
        <w:rPr>
          <w:lang w:val="en-US"/>
        </w:rPr>
        <w:t xml:space="preserve"> (</w:t>
      </w:r>
      <w:r>
        <w:rPr>
          <w:lang w:val="en-US"/>
        </w:rPr>
        <w:fldChar w:fldCharType="begin"/>
      </w:r>
      <w:r>
        <w:rPr>
          <w:lang w:val="en-US"/>
        </w:rPr>
        <w:instrText xml:space="preserve"> REF _Ref67309872 \h </w:instrText>
      </w:r>
      <w:r>
        <w:rPr>
          <w:lang w:val="en-US"/>
        </w:rPr>
      </w:r>
      <w:r>
        <w:rPr>
          <w:lang w:val="en-US"/>
        </w:rPr>
        <w:fldChar w:fldCharType="separate"/>
      </w:r>
      <w:r w:rsidR="00A72A78" w:rsidRPr="00B336E0">
        <w:rPr>
          <w:lang w:val="en-US"/>
        </w:rPr>
        <w:t xml:space="preserve">FIG </w:t>
      </w:r>
      <w:r w:rsidR="00A72A78">
        <w:rPr>
          <w:noProof/>
          <w:lang w:val="en-US"/>
        </w:rPr>
        <w:t>5</w:t>
      </w:r>
      <w:r>
        <w:rPr>
          <w:lang w:val="en-US"/>
        </w:rPr>
        <w:fldChar w:fldCharType="end"/>
      </w:r>
      <w:r>
        <w:rPr>
          <w:lang w:val="en-US"/>
        </w:rPr>
        <w:t>)</w:t>
      </w:r>
      <w:r w:rsidR="004A33AA" w:rsidRPr="004A33AA">
        <w:rPr>
          <w:lang w:val="en-US"/>
        </w:rPr>
        <w:t xml:space="preserve">. The experimental measurements were available for six different angular positions as can be seen from the figure. In all </w:t>
      </w:r>
      <w:r w:rsidR="00946F09">
        <w:rPr>
          <w:lang w:val="en-US"/>
        </w:rPr>
        <w:t xml:space="preserve">four </w:t>
      </w:r>
      <w:r w:rsidR="00A4401C">
        <w:rPr>
          <w:lang w:val="en-US"/>
        </w:rPr>
        <w:t>*/</w:t>
      </w:r>
      <w:bookmarkStart w:id="8" w:name="_GoBack"/>
      <w:bookmarkEnd w:id="8"/>
      <w:r w:rsidR="004A33AA" w:rsidRPr="004A33AA">
        <w:rPr>
          <w:lang w:val="en-US"/>
        </w:rPr>
        <w:t>cases, the simulation results show</w:t>
      </w:r>
      <w:r w:rsidR="00A37DCA">
        <w:rPr>
          <w:lang w:val="en-US"/>
        </w:rPr>
        <w:t>ed</w:t>
      </w:r>
      <w:r w:rsidR="004A33AA" w:rsidRPr="004A33AA">
        <w:rPr>
          <w:lang w:val="en-US"/>
        </w:rPr>
        <w:t xml:space="preserve"> a continuous differential pressure profile. The differential pressure profile along the bundle </w:t>
      </w:r>
      <w:r w:rsidR="00A37DCA">
        <w:rPr>
          <w:lang w:val="en-US"/>
        </w:rPr>
        <w:t>presented</w:t>
      </w:r>
      <w:r w:rsidR="004A33AA" w:rsidRPr="004A33AA">
        <w:rPr>
          <w:lang w:val="en-US"/>
        </w:rPr>
        <w:t xml:space="preserve"> a bell curved shape, where the maximum differential pressure </w:t>
      </w:r>
      <w:r w:rsidR="00A37DCA">
        <w:rPr>
          <w:lang w:val="en-US"/>
        </w:rPr>
        <w:t>was</w:t>
      </w:r>
      <w:r w:rsidR="004A33AA" w:rsidRPr="004A33AA">
        <w:rPr>
          <w:lang w:val="en-US"/>
        </w:rPr>
        <w:t xml:space="preserve"> recorded when the wire faces the corner between the adjacent faces at </w:t>
      </w:r>
      <m:oMath>
        <m:r>
          <w:rPr>
            <w:rFonts w:ascii="Cambria Math" w:hAnsi="Cambria Math"/>
            <w:lang w:val="en-US"/>
          </w:rPr>
          <m:t>θ=0°</m:t>
        </m:r>
      </m:oMath>
      <w:r w:rsidR="004A33AA" w:rsidRPr="004A33AA">
        <w:rPr>
          <w:lang w:val="en-US"/>
        </w:rPr>
        <w:t xml:space="preserve">. The minimum differential pressure </w:t>
      </w:r>
      <w:r w:rsidR="00A37DCA">
        <w:rPr>
          <w:lang w:val="en-US"/>
        </w:rPr>
        <w:t>was</w:t>
      </w:r>
      <w:r w:rsidR="004A33AA" w:rsidRPr="004A33AA">
        <w:rPr>
          <w:lang w:val="en-US"/>
        </w:rPr>
        <w:t xml:space="preserve"> recorded at </w:t>
      </w:r>
      <m:oMath>
        <m:r>
          <w:rPr>
            <w:rFonts w:ascii="Cambria Math" w:hAnsi="Cambria Math"/>
            <w:lang w:val="en-US"/>
          </w:rPr>
          <m:t>θ=-90°</m:t>
        </m:r>
      </m:oMath>
      <w:r w:rsidR="004A33AA" w:rsidRPr="004A33AA">
        <w:rPr>
          <w:lang w:val="en-US"/>
        </w:rPr>
        <w:t xml:space="preserve"> when the wire </w:t>
      </w:r>
      <w:r w:rsidR="00A37DCA">
        <w:rPr>
          <w:lang w:val="en-US"/>
        </w:rPr>
        <w:t>was</w:t>
      </w:r>
      <w:r w:rsidR="004A33AA" w:rsidRPr="004A33AA">
        <w:rPr>
          <w:lang w:val="en-US"/>
        </w:rPr>
        <w:t xml:space="preserve"> directed to the face E. The experimental measurements </w:t>
      </w:r>
      <w:r w:rsidR="00A37DCA">
        <w:rPr>
          <w:lang w:val="en-US"/>
        </w:rPr>
        <w:t>for</w:t>
      </w:r>
      <w:r>
        <w:rPr>
          <w:lang w:val="en-US"/>
        </w:rPr>
        <w:t xml:space="preserve"> the</w:t>
      </w:r>
      <w:r w:rsidR="004A33AA" w:rsidRPr="004A33AA">
        <w:rPr>
          <w:lang w:val="en-US"/>
        </w:rPr>
        <w:t xml:space="preserve"> lowest Reynolds number</w:t>
      </w:r>
      <w:r w:rsidR="00A37DCA">
        <w:rPr>
          <w:lang w:val="en-US"/>
        </w:rPr>
        <w:t>s</w:t>
      </w:r>
      <w:r w:rsidR="004A33AA" w:rsidRPr="004A33AA">
        <w:rPr>
          <w:lang w:val="en-US"/>
        </w:rPr>
        <w:t xml:space="preserve"> (</w:t>
      </w:r>
      <w:r>
        <w:rPr>
          <w:lang w:val="en-US"/>
        </w:rPr>
        <w:fldChar w:fldCharType="begin"/>
      </w:r>
      <w:r>
        <w:rPr>
          <w:lang w:val="en-US"/>
        </w:rPr>
        <w:instrText xml:space="preserve"> REF _Ref67309872 \h </w:instrText>
      </w:r>
      <w:r>
        <w:rPr>
          <w:lang w:val="en-US"/>
        </w:rPr>
      </w:r>
      <w:r>
        <w:rPr>
          <w:lang w:val="en-US"/>
        </w:rPr>
        <w:fldChar w:fldCharType="separate"/>
      </w:r>
      <w:r w:rsidR="00A72A78" w:rsidRPr="00B336E0">
        <w:rPr>
          <w:lang w:val="en-US"/>
        </w:rPr>
        <w:t xml:space="preserve">FIG </w:t>
      </w:r>
      <w:r w:rsidR="00A72A78">
        <w:rPr>
          <w:noProof/>
          <w:lang w:val="en-US"/>
        </w:rPr>
        <w:t>5</w:t>
      </w:r>
      <w:r>
        <w:rPr>
          <w:lang w:val="en-US"/>
        </w:rPr>
        <w:fldChar w:fldCharType="end"/>
      </w:r>
      <w:r w:rsidR="004A33AA" w:rsidRPr="004A33AA">
        <w:rPr>
          <w:lang w:val="en-US"/>
        </w:rPr>
        <w:t>) show</w:t>
      </w:r>
      <w:r w:rsidR="00A37DCA">
        <w:rPr>
          <w:lang w:val="en-US"/>
        </w:rPr>
        <w:t>ed</w:t>
      </w:r>
      <w:r w:rsidR="004A33AA" w:rsidRPr="004A33AA">
        <w:rPr>
          <w:lang w:val="en-US"/>
        </w:rPr>
        <w:t xml:space="preserve"> a different trend than the simulation in proximity to the wire angle of </w:t>
      </w:r>
      <m:oMath>
        <m:r>
          <w:rPr>
            <w:rFonts w:ascii="Cambria Math" w:hAnsi="Cambria Math"/>
            <w:lang w:val="en-US"/>
          </w:rPr>
          <m:t>θ=0°</m:t>
        </m:r>
      </m:oMath>
      <w:r w:rsidR="004A33AA" w:rsidRPr="004A33AA">
        <w:rPr>
          <w:lang w:val="en-US"/>
        </w:rPr>
        <w:t xml:space="preserve">. Experimental measurements </w:t>
      </w:r>
      <w:r w:rsidR="00A37DCA">
        <w:rPr>
          <w:lang w:val="en-US"/>
        </w:rPr>
        <w:t>presented</w:t>
      </w:r>
      <w:r w:rsidR="004A33AA" w:rsidRPr="004A33AA">
        <w:rPr>
          <w:lang w:val="en-US"/>
        </w:rPr>
        <w:t xml:space="preserve"> a local minimum where the wire </w:t>
      </w:r>
      <w:r w:rsidR="00A37DCA">
        <w:rPr>
          <w:lang w:val="en-US"/>
        </w:rPr>
        <w:t>was</w:t>
      </w:r>
      <w:r w:rsidR="004A33AA" w:rsidRPr="004A33AA">
        <w:rPr>
          <w:lang w:val="en-US"/>
        </w:rPr>
        <w:t xml:space="preserve"> directed to the corner between the faces A-F, which </w:t>
      </w:r>
      <w:r w:rsidR="00A37DCA">
        <w:rPr>
          <w:lang w:val="en-US"/>
        </w:rPr>
        <w:t>was</w:t>
      </w:r>
      <w:r w:rsidR="004A33AA" w:rsidRPr="004A33AA">
        <w:rPr>
          <w:lang w:val="en-US"/>
        </w:rPr>
        <w:t xml:space="preserve"> not the case in higher Reynolds numbers. In higher Reynolds number, especially in the turbulent regime (</w:t>
      </w:r>
      <m:oMath>
        <m:r>
          <w:rPr>
            <w:rFonts w:ascii="Cambria Math" w:hAnsi="Cambria Math"/>
            <w:lang w:val="en-US"/>
          </w:rPr>
          <m:t>Re=17552</m:t>
        </m:r>
      </m:oMath>
      <w:r w:rsidR="004A33AA" w:rsidRPr="004A33AA">
        <w:rPr>
          <w:lang w:val="en-US"/>
        </w:rPr>
        <w:t>), experimental measurements show good agreement with the simulation results.</w:t>
      </w:r>
    </w:p>
    <w:p w14:paraId="6DC471E1" w14:textId="2451A59F" w:rsidR="0007004C" w:rsidRDefault="0007004C" w:rsidP="0007004C">
      <w:pPr>
        <w:pStyle w:val="BodyText"/>
        <w:rPr>
          <w:lang w:val="en-US"/>
        </w:rPr>
      </w:pPr>
    </w:p>
    <w:p w14:paraId="6B4B995A" w14:textId="77777777" w:rsidR="0007004C" w:rsidRPr="004A33AA" w:rsidRDefault="0007004C" w:rsidP="0007004C">
      <w:pPr>
        <w:pStyle w:val="BodyText"/>
        <w:rPr>
          <w:lang w:val="en-US"/>
        </w:rPr>
      </w:pPr>
    </w:p>
    <w:p w14:paraId="7BC6A8D9" w14:textId="77777777" w:rsidR="003447A1" w:rsidRPr="00B336E0" w:rsidRDefault="00CA460B" w:rsidP="003447A1">
      <w:pPr>
        <w:pStyle w:val="BodyText"/>
        <w:keepNext/>
        <w:ind w:firstLine="0"/>
        <w:jc w:val="center"/>
        <w:rPr>
          <w:lang w:val="en-US"/>
        </w:rPr>
      </w:pPr>
      <w:r w:rsidRPr="00B336E0">
        <w:rPr>
          <w:noProof/>
          <w:lang w:val="en-US"/>
        </w:rPr>
        <w:drawing>
          <wp:anchor distT="0" distB="0" distL="114300" distR="114300" simplePos="0" relativeHeight="251658240" behindDoc="0" locked="0" layoutInCell="1" allowOverlap="1" wp14:anchorId="561A2456" wp14:editId="7F27BA3C">
            <wp:simplePos x="0" y="0"/>
            <wp:positionH relativeFrom="column">
              <wp:posOffset>3999112</wp:posOffset>
            </wp:positionH>
            <wp:positionV relativeFrom="paragraph">
              <wp:posOffset>200837</wp:posOffset>
            </wp:positionV>
            <wp:extent cx="1277753" cy="10058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77753" cy="1005840"/>
                    </a:xfrm>
                    <a:prstGeom prst="rect">
                      <a:avLst/>
                    </a:prstGeom>
                  </pic:spPr>
                </pic:pic>
              </a:graphicData>
            </a:graphic>
            <wp14:sizeRelH relativeFrom="page">
              <wp14:pctWidth>0</wp14:pctWidth>
            </wp14:sizeRelH>
            <wp14:sizeRelV relativeFrom="page">
              <wp14:pctHeight>0</wp14:pctHeight>
            </wp14:sizeRelV>
          </wp:anchor>
        </w:drawing>
      </w:r>
      <w:r w:rsidRPr="00B336E0">
        <w:rPr>
          <w:noProof/>
          <w:lang w:val="en-US"/>
        </w:rPr>
        <w:drawing>
          <wp:inline distT="0" distB="0" distL="0" distR="0" wp14:anchorId="004DE650" wp14:editId="249DF840">
            <wp:extent cx="5138400" cy="41148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8554" t="10731" r="13328" b="8353"/>
                    <a:stretch/>
                  </pic:blipFill>
                  <pic:spPr bwMode="auto">
                    <a:xfrm>
                      <a:off x="0" y="0"/>
                      <a:ext cx="5138400"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7FE55B96" w14:textId="630103EA" w:rsidR="003447A1" w:rsidRPr="00B336E0" w:rsidRDefault="003447A1" w:rsidP="003447A1">
      <w:pPr>
        <w:pStyle w:val="FIG-LONG"/>
        <w:rPr>
          <w:lang w:val="en-US"/>
        </w:rPr>
      </w:pPr>
      <w:bookmarkStart w:id="9" w:name="_Ref67309870"/>
      <w:r w:rsidRPr="00B336E0">
        <w:rPr>
          <w:lang w:val="en-US"/>
        </w:rPr>
        <w:t xml:space="preserve">FIG </w:t>
      </w:r>
      <w:r w:rsidRPr="00B336E0">
        <w:rPr>
          <w:lang w:val="en-US"/>
        </w:rPr>
        <w:fldChar w:fldCharType="begin"/>
      </w:r>
      <w:r w:rsidRPr="00B336E0">
        <w:rPr>
          <w:lang w:val="en-US"/>
        </w:rPr>
        <w:instrText xml:space="preserve"> SEQ Figure \* ARABIC </w:instrText>
      </w:r>
      <w:r w:rsidRPr="00B336E0">
        <w:rPr>
          <w:lang w:val="en-US"/>
        </w:rPr>
        <w:fldChar w:fldCharType="separate"/>
      </w:r>
      <w:r w:rsidR="00A72A78">
        <w:rPr>
          <w:noProof/>
          <w:lang w:val="en-US"/>
        </w:rPr>
        <w:t>4</w:t>
      </w:r>
      <w:r w:rsidRPr="00B336E0">
        <w:rPr>
          <w:lang w:val="en-US"/>
        </w:rPr>
        <w:fldChar w:fldCharType="end"/>
      </w:r>
      <w:bookmarkEnd w:id="9"/>
      <w:r w:rsidRPr="00B336E0">
        <w:rPr>
          <w:lang w:val="en-US"/>
        </w:rPr>
        <w:t>.</w:t>
      </w:r>
      <w:r w:rsidRPr="00B336E0">
        <w:rPr>
          <w:lang w:val="en-US"/>
        </w:rPr>
        <w:tab/>
        <w:t>Transverse pressure difference between faces A and F as a function of the wire orientation angle for Re=17552 and Re=9395</w:t>
      </w:r>
    </w:p>
    <w:p w14:paraId="74D3E0C1" w14:textId="77777777" w:rsidR="003447A1" w:rsidRPr="00B336E0" w:rsidRDefault="00CA460B" w:rsidP="003447A1">
      <w:pPr>
        <w:pStyle w:val="BodyText"/>
        <w:keepNext/>
        <w:ind w:firstLine="0"/>
        <w:jc w:val="center"/>
        <w:rPr>
          <w:lang w:val="en-US"/>
        </w:rPr>
      </w:pPr>
      <w:r w:rsidRPr="00B336E0">
        <w:rPr>
          <w:noProof/>
          <w:lang w:val="en-US"/>
        </w:rPr>
        <w:lastRenderedPageBreak/>
        <w:drawing>
          <wp:anchor distT="0" distB="0" distL="114300" distR="114300" simplePos="0" relativeHeight="251660288" behindDoc="0" locked="0" layoutInCell="1" allowOverlap="1" wp14:anchorId="510CCEAA" wp14:editId="4FC1735D">
            <wp:simplePos x="0" y="0"/>
            <wp:positionH relativeFrom="column">
              <wp:posOffset>4016715</wp:posOffset>
            </wp:positionH>
            <wp:positionV relativeFrom="paragraph">
              <wp:posOffset>264987</wp:posOffset>
            </wp:positionV>
            <wp:extent cx="1277753" cy="10058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77753" cy="1005840"/>
                    </a:xfrm>
                    <a:prstGeom prst="rect">
                      <a:avLst/>
                    </a:prstGeom>
                  </pic:spPr>
                </pic:pic>
              </a:graphicData>
            </a:graphic>
            <wp14:sizeRelH relativeFrom="page">
              <wp14:pctWidth>0</wp14:pctWidth>
            </wp14:sizeRelH>
            <wp14:sizeRelV relativeFrom="page">
              <wp14:pctHeight>0</wp14:pctHeight>
            </wp14:sizeRelV>
          </wp:anchor>
        </w:drawing>
      </w:r>
      <w:r w:rsidRPr="00B336E0">
        <w:rPr>
          <w:lang w:val="en-US"/>
        </w:rPr>
        <w:t xml:space="preserve">. </w:t>
      </w:r>
      <w:r w:rsidRPr="00B336E0">
        <w:rPr>
          <w:noProof/>
          <w:lang w:val="en-US"/>
        </w:rPr>
        <w:drawing>
          <wp:inline distT="0" distB="0" distL="0" distR="0" wp14:anchorId="1F322426" wp14:editId="60B2AB59">
            <wp:extent cx="5019405"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l="8682" t="9741" r="13456" b="7697"/>
                    <a:stretch/>
                  </pic:blipFill>
                  <pic:spPr bwMode="auto">
                    <a:xfrm>
                      <a:off x="0" y="0"/>
                      <a:ext cx="5019405"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2EDD9FE4" w14:textId="517CE9BC" w:rsidR="00CA460B" w:rsidRDefault="003447A1" w:rsidP="003447A1">
      <w:pPr>
        <w:pStyle w:val="FIG-LONG"/>
        <w:rPr>
          <w:lang w:val="en-US"/>
        </w:rPr>
      </w:pPr>
      <w:bookmarkStart w:id="10" w:name="_Ref67309872"/>
      <w:r w:rsidRPr="00B336E0">
        <w:rPr>
          <w:lang w:val="en-US"/>
        </w:rPr>
        <w:t xml:space="preserve">FIG </w:t>
      </w:r>
      <w:r w:rsidRPr="00B336E0">
        <w:rPr>
          <w:lang w:val="en-US"/>
        </w:rPr>
        <w:fldChar w:fldCharType="begin"/>
      </w:r>
      <w:r w:rsidRPr="00B336E0">
        <w:rPr>
          <w:lang w:val="en-US"/>
        </w:rPr>
        <w:instrText xml:space="preserve"> SEQ Figure \* ARABIC </w:instrText>
      </w:r>
      <w:r w:rsidRPr="00B336E0">
        <w:rPr>
          <w:lang w:val="en-US"/>
        </w:rPr>
        <w:fldChar w:fldCharType="separate"/>
      </w:r>
      <w:r w:rsidR="00A72A78">
        <w:rPr>
          <w:noProof/>
          <w:lang w:val="en-US"/>
        </w:rPr>
        <w:t>5</w:t>
      </w:r>
      <w:r w:rsidRPr="00B336E0">
        <w:rPr>
          <w:lang w:val="en-US"/>
        </w:rPr>
        <w:fldChar w:fldCharType="end"/>
      </w:r>
      <w:bookmarkEnd w:id="10"/>
      <w:r w:rsidRPr="00B336E0">
        <w:rPr>
          <w:lang w:val="en-US"/>
        </w:rPr>
        <w:t>.</w:t>
      </w:r>
      <w:r w:rsidRPr="00B336E0">
        <w:rPr>
          <w:lang w:val="en-US"/>
        </w:rPr>
        <w:tab/>
        <w:t>Transverse pressure difference between faces A and F as a function of the wire orientation angle for Re=6262 and Re=5637.</w:t>
      </w:r>
    </w:p>
    <w:p w14:paraId="4685B5D9" w14:textId="77777777" w:rsidR="007607E5" w:rsidRDefault="007607E5" w:rsidP="007607E5">
      <w:pPr>
        <w:keepNext/>
        <w:jc w:val="center"/>
      </w:pPr>
      <w:r>
        <w:rPr>
          <w:noProof/>
        </w:rPr>
        <w:drawing>
          <wp:inline distT="0" distB="0" distL="0" distR="0" wp14:anchorId="561B07B3" wp14:editId="00020F76">
            <wp:extent cx="4995310" cy="411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a:extLst>
                        <a:ext uri="{28A0092B-C50C-407E-A947-70E740481C1C}">
                          <a14:useLocalDpi xmlns:a14="http://schemas.microsoft.com/office/drawing/2010/main" val="0"/>
                        </a:ext>
                      </a:extLst>
                    </a:blip>
                    <a:srcRect l="22021" t="3810" r="19396"/>
                    <a:stretch/>
                  </pic:blipFill>
                  <pic:spPr bwMode="auto">
                    <a:xfrm>
                      <a:off x="0" y="0"/>
                      <a:ext cx="4995310"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34B94DD7" w14:textId="5049ECCA" w:rsidR="00F37A29" w:rsidRDefault="007607E5" w:rsidP="007607E5">
      <w:pPr>
        <w:pStyle w:val="Figurecaption"/>
      </w:pPr>
      <w:bookmarkStart w:id="11" w:name="_Ref67312766"/>
      <w:r>
        <w:t xml:space="preserve">FIG </w:t>
      </w:r>
      <w:r w:rsidR="006A6D9F">
        <w:fldChar w:fldCharType="begin"/>
      </w:r>
      <w:r w:rsidR="006A6D9F">
        <w:instrText xml:space="preserve"> SEQ Figure \* ARABIC </w:instrText>
      </w:r>
      <w:r w:rsidR="006A6D9F">
        <w:fldChar w:fldCharType="separate"/>
      </w:r>
      <w:r w:rsidR="00A72A78">
        <w:rPr>
          <w:noProof/>
        </w:rPr>
        <w:t>6</w:t>
      </w:r>
      <w:r w:rsidR="006A6D9F">
        <w:rPr>
          <w:noProof/>
        </w:rPr>
        <w:fldChar w:fldCharType="end"/>
      </w:r>
      <w:bookmarkEnd w:id="11"/>
      <w:r>
        <w:t>. Normalized pressure and velocity streamlines over the wire-wrapped fuel assembly cross-section at Re=13K.</w:t>
      </w:r>
    </w:p>
    <w:p w14:paraId="621DE1B6" w14:textId="77777777" w:rsidR="00AC7E51" w:rsidRPr="00F37A29" w:rsidRDefault="00AC7E51" w:rsidP="007607E5">
      <w:pPr>
        <w:pStyle w:val="Figurecaption"/>
        <w:rPr>
          <w:lang w:val="en-US"/>
        </w:rPr>
      </w:pPr>
    </w:p>
    <w:p w14:paraId="526806CB" w14:textId="35D3CDFD" w:rsidR="001D6F0A" w:rsidRDefault="00B86B82" w:rsidP="00B86B82">
      <w:pPr>
        <w:pStyle w:val="BodyText"/>
        <w:rPr>
          <w:lang w:val="en-US"/>
        </w:rPr>
      </w:pPr>
      <w:r>
        <w:rPr>
          <w:lang w:val="en-US"/>
        </w:rPr>
        <w:t xml:space="preserve">The observed variation of the transverse pressure difference with the wire orientation indicates the presence of a change in the pressure relative values along the bundle length. To better visualize this distribution, a normalized pressure over the assembly cross-section is shown in </w:t>
      </w:r>
      <w:r>
        <w:rPr>
          <w:lang w:val="en-US"/>
        </w:rPr>
        <w:fldChar w:fldCharType="begin"/>
      </w:r>
      <w:r>
        <w:rPr>
          <w:lang w:val="en-US"/>
        </w:rPr>
        <w:instrText xml:space="preserve"> REF _Ref67312766 \h </w:instrText>
      </w:r>
      <w:r>
        <w:rPr>
          <w:lang w:val="en-US"/>
        </w:rPr>
      </w:r>
      <w:r>
        <w:rPr>
          <w:lang w:val="en-US"/>
        </w:rPr>
        <w:fldChar w:fldCharType="separate"/>
      </w:r>
      <w:r w:rsidR="00A72A78">
        <w:t xml:space="preserve">FIG </w:t>
      </w:r>
      <w:r w:rsidR="00A72A78">
        <w:rPr>
          <w:noProof/>
        </w:rPr>
        <w:t>6</w:t>
      </w:r>
      <w:r>
        <w:rPr>
          <w:lang w:val="en-US"/>
        </w:rPr>
        <w:fldChar w:fldCharType="end"/>
      </w:r>
      <w:r>
        <w:rPr>
          <w:lang w:val="en-US"/>
        </w:rPr>
        <w:t xml:space="preserve"> for a wire position facing directly the corner between two adjacent faces</w:t>
      </w:r>
      <w:r w:rsidR="004742B9">
        <w:rPr>
          <w:lang w:val="en-US"/>
        </w:rPr>
        <w:t xml:space="preserve"> at a Reynolds number of </w:t>
      </w:r>
      <w:r w:rsidR="004742B9" w:rsidRPr="004742B9">
        <w:rPr>
          <w:lang w:val="en-US"/>
        </w:rPr>
        <w:t>thirteen</w:t>
      </w:r>
      <w:r w:rsidR="004742B9">
        <w:rPr>
          <w:lang w:val="en-US"/>
        </w:rPr>
        <w:t xml:space="preserve"> thousand</w:t>
      </w:r>
      <w:r>
        <w:rPr>
          <w:lang w:val="en-US"/>
        </w:rPr>
        <w:t xml:space="preserve">. Velocity streamlines </w:t>
      </w:r>
      <w:r w:rsidR="00A37DCA">
        <w:rPr>
          <w:lang w:val="en-US"/>
        </w:rPr>
        <w:t>were</w:t>
      </w:r>
      <w:r>
        <w:rPr>
          <w:lang w:val="en-US"/>
        </w:rPr>
        <w:t xml:space="preserve"> also plotted over the cross-section to visualize the cross flow. The maximum pressure was located at </w:t>
      </w:r>
      <w:r w:rsidR="00A37DCA">
        <w:rPr>
          <w:lang w:val="en-US"/>
        </w:rPr>
        <w:t xml:space="preserve">the </w:t>
      </w:r>
      <w:r>
        <w:rPr>
          <w:lang w:val="en-US"/>
        </w:rPr>
        <w:t>position where the flow tended to travel perpendicular to the wire. Because of this obstruction, the flow had to move around the pin in the direction of decreasing pressure, creating the observed cross-flow pattern. The presence of vortex</w:t>
      </w:r>
      <w:r w:rsidR="00740524">
        <w:rPr>
          <w:lang w:val="en-US"/>
        </w:rPr>
        <w:t>es</w:t>
      </w:r>
      <w:r>
        <w:rPr>
          <w:lang w:val="en-US"/>
        </w:rPr>
        <w:t xml:space="preserve"> </w:t>
      </w:r>
      <w:r w:rsidR="00740524">
        <w:rPr>
          <w:lang w:val="en-US"/>
        </w:rPr>
        <w:t>was</w:t>
      </w:r>
      <w:r>
        <w:rPr>
          <w:lang w:val="en-US"/>
        </w:rPr>
        <w:t xml:space="preserve"> also observed, with a diameter that was bigger in the region of the lowest pressure. This swirl flow is a direct consequence of the wire shape, and it is the responsible of the higher mixing in this kind of fuel assemblies. </w:t>
      </w:r>
    </w:p>
    <w:p w14:paraId="433FE06E" w14:textId="155FD736" w:rsidR="001C58F5" w:rsidRDefault="0095573A" w:rsidP="003447A1">
      <w:pPr>
        <w:pStyle w:val="Heading2"/>
        <w:rPr>
          <w:lang w:val="en-US"/>
        </w:rPr>
      </w:pPr>
      <w:r w:rsidRPr="00B336E0">
        <w:rPr>
          <w:lang w:val="en-US"/>
        </w:rPr>
        <w:t>conclusion</w:t>
      </w:r>
    </w:p>
    <w:p w14:paraId="4D50B234" w14:textId="77777777" w:rsidR="004742B9" w:rsidRDefault="004742B9" w:rsidP="004742B9">
      <w:pPr>
        <w:pStyle w:val="BodyText"/>
        <w:rPr>
          <w:lang w:val="en-US"/>
        </w:rPr>
      </w:pPr>
      <w:r w:rsidRPr="004742B9">
        <w:rPr>
          <w:lang w:val="en-US"/>
        </w:rPr>
        <w:t xml:space="preserve">CFD calculations were performed using </w:t>
      </w:r>
      <w:r>
        <w:rPr>
          <w:lang w:val="en-US"/>
        </w:rPr>
        <w:t xml:space="preserve">the </w:t>
      </w:r>
      <w:r w:rsidRPr="004742B9">
        <w:rPr>
          <w:lang w:val="en-US"/>
        </w:rPr>
        <w:t>RANS</w:t>
      </w:r>
      <w:r>
        <w:rPr>
          <w:lang w:val="en-US"/>
        </w:rPr>
        <w:t xml:space="preserve"> approach with the </w:t>
      </w:r>
      <m:oMath>
        <m:r>
          <w:rPr>
            <w:rFonts w:ascii="Cambria Math" w:hAnsi="Cambria Math"/>
            <w:lang w:val="en-US"/>
          </w:rPr>
          <m:t>k-ω</m:t>
        </m:r>
      </m:oMath>
      <w:r>
        <w:rPr>
          <w:lang w:val="en-US"/>
        </w:rPr>
        <w:t xml:space="preserve"> SST</w:t>
      </w:r>
      <w:r w:rsidRPr="004742B9">
        <w:rPr>
          <w:lang w:val="en-US"/>
        </w:rPr>
        <w:t xml:space="preserve"> to simulate an incompressible flow through a wire</w:t>
      </w:r>
      <w:r>
        <w:rPr>
          <w:lang w:val="en-US"/>
        </w:rPr>
        <w:t>-</w:t>
      </w:r>
      <w:r w:rsidRPr="004742B9">
        <w:rPr>
          <w:lang w:val="en-US"/>
        </w:rPr>
        <w:t>wrapped</w:t>
      </w:r>
      <w:r>
        <w:rPr>
          <w:lang w:val="en-US"/>
        </w:rPr>
        <w:t xml:space="preserve"> fuel assembly</w:t>
      </w:r>
      <w:r w:rsidRPr="004742B9">
        <w:rPr>
          <w:lang w:val="en-US"/>
        </w:rPr>
        <w:t xml:space="preserve"> using STAR</w:t>
      </w:r>
      <w:r>
        <w:rPr>
          <w:lang w:val="en-US"/>
        </w:rPr>
        <w:t>-</w:t>
      </w:r>
      <w:r w:rsidRPr="004742B9">
        <w:rPr>
          <w:lang w:val="en-US"/>
        </w:rPr>
        <w:t>CCM+. The analyzed results focused mainly on the axial and transverse pressure drops for</w:t>
      </w:r>
      <w:r>
        <w:rPr>
          <w:lang w:val="en-US"/>
        </w:rPr>
        <w:t xml:space="preserve"> </w:t>
      </w:r>
      <w:r w:rsidRPr="004742B9">
        <w:rPr>
          <w:lang w:val="en-US"/>
        </w:rPr>
        <w:t>a wide range of Reynolds numbers covering the transition and turbulent regimes. The results were compared with available</w:t>
      </w:r>
      <w:r>
        <w:rPr>
          <w:lang w:val="en-US"/>
        </w:rPr>
        <w:t xml:space="preserve"> </w:t>
      </w:r>
      <w:r w:rsidRPr="004742B9">
        <w:rPr>
          <w:lang w:val="en-US"/>
        </w:rPr>
        <w:t>experimental data provided by the Texas A&amp;M experimental facility, and with the UCTD correlation. It was found that</w:t>
      </w:r>
      <w:r>
        <w:rPr>
          <w:lang w:val="en-US"/>
        </w:rPr>
        <w:t xml:space="preserve"> this </w:t>
      </w:r>
      <w:r w:rsidRPr="004742B9">
        <w:rPr>
          <w:lang w:val="en-US"/>
        </w:rPr>
        <w:t>RANS model</w:t>
      </w:r>
      <w:r>
        <w:rPr>
          <w:lang w:val="en-US"/>
        </w:rPr>
        <w:t xml:space="preserve"> was</w:t>
      </w:r>
      <w:r w:rsidRPr="004742B9">
        <w:rPr>
          <w:lang w:val="en-US"/>
        </w:rPr>
        <w:t xml:space="preserve"> able to predict the experimental and correlation friction factor values with a </w:t>
      </w:r>
      <w:r>
        <w:rPr>
          <w:lang w:val="en-US"/>
        </w:rPr>
        <w:t xml:space="preserve">low </w:t>
      </w:r>
      <w:r w:rsidRPr="004742B9">
        <w:rPr>
          <w:lang w:val="en-US"/>
        </w:rPr>
        <w:t>relative</w:t>
      </w:r>
      <w:r>
        <w:rPr>
          <w:lang w:val="en-US"/>
        </w:rPr>
        <w:t xml:space="preserve"> error, since all the model predictions were within the experimental uncertainty interval</w:t>
      </w:r>
      <w:r w:rsidRPr="004742B9">
        <w:rPr>
          <w:lang w:val="en-US"/>
        </w:rPr>
        <w:t xml:space="preserve">. </w:t>
      </w:r>
    </w:p>
    <w:p w14:paraId="536785E6" w14:textId="75A10EFA" w:rsidR="004742B9" w:rsidRPr="004742B9" w:rsidRDefault="004742B9" w:rsidP="004742B9">
      <w:pPr>
        <w:pStyle w:val="BodyText"/>
        <w:rPr>
          <w:lang w:val="en-US"/>
        </w:rPr>
      </w:pPr>
      <w:r w:rsidRPr="004742B9">
        <w:rPr>
          <w:lang w:val="en-US"/>
        </w:rPr>
        <w:t>With respect to the transverse pressure drop,</w:t>
      </w:r>
      <w:r>
        <w:rPr>
          <w:lang w:val="en-US"/>
        </w:rPr>
        <w:t xml:space="preserve"> the bigger discrepancy </w:t>
      </w:r>
      <w:r w:rsidR="00740524">
        <w:rPr>
          <w:lang w:val="en-US"/>
        </w:rPr>
        <w:t>occurred</w:t>
      </w:r>
      <w:r>
        <w:rPr>
          <w:lang w:val="en-US"/>
        </w:rPr>
        <w:t xml:space="preserve"> at low Reynolds number where the wire faced directly to the corner formed by faces A and F</w:t>
      </w:r>
      <w:r w:rsidRPr="004742B9">
        <w:rPr>
          <w:lang w:val="en-US"/>
        </w:rPr>
        <w:t>.</w:t>
      </w:r>
      <w:r>
        <w:rPr>
          <w:lang w:val="en-US"/>
        </w:rPr>
        <w:t xml:space="preserve"> All the remaining angular positions were in satisfactory agreement with the model predictions. Due to the wire shape, the pressure distribution on the wire cross-section was not uniform, producing region</w:t>
      </w:r>
      <w:r w:rsidR="00740524">
        <w:rPr>
          <w:lang w:val="en-US"/>
        </w:rPr>
        <w:t>s</w:t>
      </w:r>
      <w:r>
        <w:rPr>
          <w:lang w:val="en-US"/>
        </w:rPr>
        <w:t xml:space="preserve"> of high and low pressure and the presence of cross-flow.</w:t>
      </w:r>
    </w:p>
    <w:p w14:paraId="0EB46D05" w14:textId="0B91FB76" w:rsidR="00F37A29" w:rsidRDefault="004742B9" w:rsidP="00A916C4">
      <w:pPr>
        <w:pStyle w:val="BodyText"/>
        <w:rPr>
          <w:lang w:val="en-US"/>
        </w:rPr>
      </w:pPr>
      <w:r>
        <w:rPr>
          <w:lang w:val="en-US"/>
        </w:rPr>
        <w:t>I</w:t>
      </w:r>
      <w:r w:rsidR="00740524">
        <w:rPr>
          <w:lang w:val="en-US"/>
        </w:rPr>
        <w:t xml:space="preserve">t </w:t>
      </w:r>
      <w:r>
        <w:rPr>
          <w:lang w:val="en-US"/>
        </w:rPr>
        <w:t xml:space="preserve">can be concluded that the </w:t>
      </w:r>
      <m:oMath>
        <m:r>
          <w:rPr>
            <w:rFonts w:ascii="Cambria Math" w:hAnsi="Cambria Math"/>
            <w:lang w:val="en-US"/>
          </w:rPr>
          <m:t>k-ω</m:t>
        </m:r>
      </m:oMath>
      <w:r>
        <w:rPr>
          <w:lang w:val="en-US"/>
        </w:rPr>
        <w:t xml:space="preserve"> SST </w:t>
      </w:r>
      <w:r w:rsidRPr="004742B9">
        <w:rPr>
          <w:lang w:val="en-US"/>
        </w:rPr>
        <w:t>turbulence model can be used to predict pressure drop, both axial and transversal, for</w:t>
      </w:r>
      <w:r>
        <w:rPr>
          <w:lang w:val="en-US"/>
        </w:rPr>
        <w:t xml:space="preserve"> 61-pin</w:t>
      </w:r>
      <w:r w:rsidRPr="004742B9">
        <w:rPr>
          <w:lang w:val="en-US"/>
        </w:rPr>
        <w:t xml:space="preserve"> </w:t>
      </w:r>
      <w:r>
        <w:rPr>
          <w:lang w:val="en-US"/>
        </w:rPr>
        <w:t xml:space="preserve">fuel </w:t>
      </w:r>
      <w:r w:rsidRPr="004742B9">
        <w:rPr>
          <w:lang w:val="en-US"/>
        </w:rPr>
        <w:t>assemblies that use helical wire-wrapped as spacers. This allows to get reasonabl</w:t>
      </w:r>
      <w:r w:rsidR="00740524">
        <w:rPr>
          <w:lang w:val="en-US"/>
        </w:rPr>
        <w:t>y</w:t>
      </w:r>
      <w:r w:rsidRPr="004742B9">
        <w:rPr>
          <w:lang w:val="en-US"/>
        </w:rPr>
        <w:t xml:space="preserve"> accurate pressure drop results with a considerably less computational effort when compared to more sophisticated </w:t>
      </w:r>
      <w:r>
        <w:rPr>
          <w:lang w:val="en-US"/>
        </w:rPr>
        <w:t xml:space="preserve">numerical </w:t>
      </w:r>
      <w:r w:rsidRPr="004742B9">
        <w:rPr>
          <w:lang w:val="en-US"/>
        </w:rPr>
        <w:t>tools. The</w:t>
      </w:r>
      <w:r>
        <w:rPr>
          <w:lang w:val="en-US"/>
        </w:rPr>
        <w:t xml:space="preserve"> </w:t>
      </w:r>
      <w:r w:rsidR="00F37A29">
        <w:rPr>
          <w:lang w:val="en-US"/>
        </w:rPr>
        <w:t>results presented in the paper</w:t>
      </w:r>
      <w:r w:rsidRPr="004742B9">
        <w:rPr>
          <w:lang w:val="en-US"/>
        </w:rPr>
        <w:t xml:space="preserve"> </w:t>
      </w:r>
      <w:r w:rsidR="00F37A29">
        <w:rPr>
          <w:lang w:val="en-US"/>
        </w:rPr>
        <w:t>might</w:t>
      </w:r>
      <w:r w:rsidRPr="004742B9">
        <w:rPr>
          <w:lang w:val="en-US"/>
        </w:rPr>
        <w:t xml:space="preserve"> let the</w:t>
      </w:r>
      <w:r w:rsidR="00F37A29">
        <w:rPr>
          <w:lang w:val="en-US"/>
        </w:rPr>
        <w:t xml:space="preserve"> nuclear</w:t>
      </w:r>
      <w:r w:rsidRPr="004742B9">
        <w:rPr>
          <w:lang w:val="en-US"/>
        </w:rPr>
        <w:t xml:space="preserve"> industr</w:t>
      </w:r>
      <w:r w:rsidR="00F37A29">
        <w:rPr>
          <w:lang w:val="en-US"/>
        </w:rPr>
        <w:t>y</w:t>
      </w:r>
      <w:r w:rsidRPr="004742B9">
        <w:rPr>
          <w:lang w:val="en-US"/>
        </w:rPr>
        <w:t xml:space="preserve"> to use RANS CFD models with more confidence and</w:t>
      </w:r>
      <w:r>
        <w:rPr>
          <w:lang w:val="en-US"/>
        </w:rPr>
        <w:t xml:space="preserve"> </w:t>
      </w:r>
      <w:r w:rsidRPr="004742B9">
        <w:rPr>
          <w:lang w:val="en-US"/>
        </w:rPr>
        <w:t>reliability</w:t>
      </w:r>
      <w:r w:rsidR="00740524">
        <w:rPr>
          <w:lang w:val="en-US"/>
        </w:rPr>
        <w:t xml:space="preserve"> in the calculation of wire-wrapped fuel bundles.</w:t>
      </w:r>
      <w:r w:rsidR="00C36585">
        <w:rPr>
          <w:lang w:val="en-US"/>
        </w:rPr>
        <w:t xml:space="preserve"> However, this RANS turbulence model should be used carefully to predict the transverse pressure drop at low Reynolds numbers because a higher relative error with respect to experiments was observed at these Reynolds</w:t>
      </w:r>
      <w:r w:rsidR="00AC7E51">
        <w:rPr>
          <w:lang w:val="en-US"/>
        </w:rPr>
        <w:t xml:space="preserve"> numbers</w:t>
      </w:r>
      <w:r w:rsidR="00C36585">
        <w:rPr>
          <w:lang w:val="en-US"/>
        </w:rPr>
        <w:t xml:space="preserve">. </w:t>
      </w:r>
    </w:p>
    <w:p w14:paraId="433FE097" w14:textId="37E8DAC7" w:rsidR="00D26ADA" w:rsidRPr="00B336E0" w:rsidRDefault="00D26ADA" w:rsidP="00537496">
      <w:pPr>
        <w:pStyle w:val="Otherunnumberedheadings"/>
        <w:rPr>
          <w:lang w:val="en-US"/>
        </w:rPr>
      </w:pPr>
      <w:r w:rsidRPr="00B336E0">
        <w:rPr>
          <w:lang w:val="en-US"/>
        </w:rPr>
        <w:t>References</w:t>
      </w:r>
    </w:p>
    <w:p w14:paraId="7B1DDD3B" w14:textId="25B7D0E5" w:rsidR="0095573A" w:rsidRPr="00B336E0" w:rsidRDefault="00FD676C" w:rsidP="0095573A">
      <w:pPr>
        <w:pStyle w:val="Referencelist"/>
        <w:rPr>
          <w:lang w:val="en-US"/>
        </w:rPr>
      </w:pPr>
      <w:bookmarkStart w:id="12" w:name="_Ref67226598"/>
      <w:r w:rsidRPr="00B336E0">
        <w:rPr>
          <w:lang w:val="en-US"/>
        </w:rPr>
        <w:t xml:space="preserve">SHIH-KUEI CHENG &amp; NEIL E. TODREAS; </w:t>
      </w:r>
      <w:r w:rsidR="00F74954">
        <w:rPr>
          <w:lang w:val="en-US"/>
        </w:rPr>
        <w:t>“</w:t>
      </w:r>
      <w:r w:rsidRPr="00B336E0">
        <w:rPr>
          <w:lang w:val="en-US"/>
        </w:rPr>
        <w:t>Hydrodynamic models and correlations for bare and wire-wrapped hexagonal rod bundles - bundle friction factors, subchannel friction factors and mixing parameters</w:t>
      </w:r>
      <w:r w:rsidR="00F74954">
        <w:rPr>
          <w:lang w:val="en-US"/>
        </w:rPr>
        <w:t>”</w:t>
      </w:r>
      <w:r w:rsidRPr="00B336E0">
        <w:rPr>
          <w:lang w:val="en-US"/>
        </w:rPr>
        <w:t xml:space="preserve">; </w:t>
      </w:r>
      <w:r w:rsidRPr="00F74954">
        <w:rPr>
          <w:i/>
          <w:lang w:val="en-US"/>
        </w:rPr>
        <w:t>Nuclear Engineering and Design</w:t>
      </w:r>
      <w:r w:rsidR="00F74954">
        <w:rPr>
          <w:lang w:val="en-US"/>
        </w:rPr>
        <w:t>,</w:t>
      </w:r>
      <w:r w:rsidRPr="00B336E0">
        <w:rPr>
          <w:lang w:val="en-US"/>
        </w:rPr>
        <w:t xml:space="preserve"> </w:t>
      </w:r>
      <w:r w:rsidRPr="00F74954">
        <w:rPr>
          <w:b/>
          <w:lang w:val="en-US"/>
        </w:rPr>
        <w:t>92</w:t>
      </w:r>
      <w:r w:rsidRPr="00B336E0">
        <w:rPr>
          <w:lang w:val="en-US"/>
        </w:rPr>
        <w:t>; 1986; 227-251.</w:t>
      </w:r>
      <w:bookmarkEnd w:id="12"/>
    </w:p>
    <w:p w14:paraId="711C7ACB" w14:textId="7D59EA34" w:rsidR="00FD676C" w:rsidRPr="00B336E0" w:rsidRDefault="00FD676C" w:rsidP="0095573A">
      <w:pPr>
        <w:pStyle w:val="Referencelist"/>
        <w:rPr>
          <w:lang w:val="en-US"/>
        </w:rPr>
      </w:pPr>
      <w:bookmarkStart w:id="13" w:name="_Ref67226611"/>
      <w:r w:rsidRPr="00B336E0">
        <w:rPr>
          <w:lang w:val="en-US"/>
        </w:rPr>
        <w:t xml:space="preserve">S.K. CHEN, Y.M. CHEN, N.E. TODREAS; </w:t>
      </w:r>
      <w:r w:rsidR="00F74954">
        <w:rPr>
          <w:lang w:val="en-US"/>
        </w:rPr>
        <w:t>“</w:t>
      </w:r>
      <w:r w:rsidRPr="00B336E0">
        <w:rPr>
          <w:lang w:val="en-US"/>
        </w:rPr>
        <w:t>The upgraded Cheng and Todreas correlation for pressure drop in hexagonal wire-wrapped rod bundles</w:t>
      </w:r>
      <w:r w:rsidR="00F74954">
        <w:rPr>
          <w:lang w:val="en-US"/>
        </w:rPr>
        <w:t>”</w:t>
      </w:r>
      <w:r w:rsidRPr="00B336E0">
        <w:rPr>
          <w:lang w:val="en-US"/>
        </w:rPr>
        <w:t xml:space="preserve">; </w:t>
      </w:r>
      <w:r w:rsidRPr="00F74954">
        <w:rPr>
          <w:i/>
          <w:lang w:val="en-US"/>
        </w:rPr>
        <w:t>Nuclear Engineering and Design</w:t>
      </w:r>
      <w:r w:rsidR="00F74954">
        <w:rPr>
          <w:lang w:val="en-US"/>
        </w:rPr>
        <w:t>;</w:t>
      </w:r>
      <w:r w:rsidRPr="00B336E0">
        <w:rPr>
          <w:lang w:val="en-US"/>
        </w:rPr>
        <w:t xml:space="preserve"> </w:t>
      </w:r>
      <w:r w:rsidRPr="00F74954">
        <w:rPr>
          <w:b/>
          <w:lang w:val="en-US"/>
        </w:rPr>
        <w:t>335</w:t>
      </w:r>
      <w:r w:rsidRPr="00B336E0">
        <w:rPr>
          <w:lang w:val="en-US"/>
        </w:rPr>
        <w:t>; 2018; pages 356–373.</w:t>
      </w:r>
      <w:bookmarkEnd w:id="13"/>
    </w:p>
    <w:p w14:paraId="6C6A5B34" w14:textId="43D30520" w:rsidR="00FD676C" w:rsidRPr="00B336E0" w:rsidRDefault="005D2947" w:rsidP="0095573A">
      <w:pPr>
        <w:pStyle w:val="Referencelist"/>
        <w:rPr>
          <w:lang w:val="en-US"/>
        </w:rPr>
      </w:pPr>
      <w:bookmarkStart w:id="14" w:name="_Ref67226621"/>
      <w:r w:rsidRPr="00B336E0">
        <w:rPr>
          <w:lang w:val="en-US"/>
        </w:rPr>
        <w:t>DAJUN FAN, TIANJI PENG, YANZE TANG &amp; OTHERS</w:t>
      </w:r>
      <w:r w:rsidR="00FD676C" w:rsidRPr="00B336E0">
        <w:rPr>
          <w:lang w:val="en-US"/>
        </w:rPr>
        <w:t xml:space="preserve">; </w:t>
      </w:r>
      <w:r w:rsidR="00F74954">
        <w:rPr>
          <w:lang w:val="en-US"/>
        </w:rPr>
        <w:t>“</w:t>
      </w:r>
      <w:r w:rsidR="00FD676C" w:rsidRPr="00B336E0">
        <w:rPr>
          <w:lang w:val="en-US"/>
        </w:rPr>
        <w:t>Periodicity and transversal pressure distribution in a Wire-wrapped 19-Pin fuel assembly</w:t>
      </w:r>
      <w:r w:rsidR="00F74954">
        <w:rPr>
          <w:lang w:val="en-US"/>
        </w:rPr>
        <w:t>”</w:t>
      </w:r>
      <w:r w:rsidR="00FD676C" w:rsidRPr="00B336E0">
        <w:rPr>
          <w:lang w:val="en-US"/>
        </w:rPr>
        <w:t xml:space="preserve">; </w:t>
      </w:r>
      <w:r w:rsidR="00FD676C" w:rsidRPr="00F74954">
        <w:rPr>
          <w:i/>
          <w:lang w:val="en-US"/>
        </w:rPr>
        <w:t>International Journal of Energy Research</w:t>
      </w:r>
      <w:r w:rsidR="00FD676C" w:rsidRPr="00B336E0">
        <w:rPr>
          <w:lang w:val="en-US"/>
        </w:rPr>
        <w:t>; September 2020;1–14.</w:t>
      </w:r>
      <w:bookmarkEnd w:id="14"/>
    </w:p>
    <w:p w14:paraId="1E303777" w14:textId="530B78F7" w:rsidR="00FD676C" w:rsidRPr="00B336E0" w:rsidRDefault="005D2947" w:rsidP="0095573A">
      <w:pPr>
        <w:pStyle w:val="Referencelist"/>
        <w:rPr>
          <w:lang w:val="en-US"/>
        </w:rPr>
      </w:pPr>
      <w:bookmarkStart w:id="15" w:name="_Ref67226641"/>
      <w:r w:rsidRPr="00B336E0">
        <w:rPr>
          <w:lang w:val="en-US"/>
        </w:rPr>
        <w:t>RODOLFO VAGHETTO ET.AL.</w:t>
      </w:r>
      <w:r w:rsidR="00FD676C" w:rsidRPr="00B336E0">
        <w:rPr>
          <w:lang w:val="en-US"/>
        </w:rPr>
        <w:t xml:space="preserve">; </w:t>
      </w:r>
      <w:r w:rsidR="00F74954">
        <w:rPr>
          <w:lang w:val="en-US"/>
        </w:rPr>
        <w:t>“</w:t>
      </w:r>
      <w:r w:rsidR="00FD676C" w:rsidRPr="00B336E0">
        <w:rPr>
          <w:lang w:val="en-US"/>
        </w:rPr>
        <w:t>Pressure Measurements in a Wire-Wrapped 61-Pin Hexagonal Fuel Bundle; Journal of Fluids Engineering</w:t>
      </w:r>
      <w:r w:rsidR="00F74954">
        <w:rPr>
          <w:lang w:val="en-US"/>
        </w:rPr>
        <w:t>”</w:t>
      </w:r>
      <w:r w:rsidR="00FD676C" w:rsidRPr="00B336E0">
        <w:rPr>
          <w:lang w:val="en-US"/>
        </w:rPr>
        <w:t xml:space="preserve">; </w:t>
      </w:r>
      <w:r w:rsidR="00FD676C" w:rsidRPr="00F74954">
        <w:rPr>
          <w:i/>
          <w:lang w:val="en-US"/>
        </w:rPr>
        <w:t>Fluids Engineering Division of ASME</w:t>
      </w:r>
      <w:r w:rsidR="00FD676C" w:rsidRPr="00B336E0">
        <w:rPr>
          <w:lang w:val="en-US"/>
        </w:rPr>
        <w:t xml:space="preserve">; MARCH 2018; </w:t>
      </w:r>
      <w:r w:rsidR="00FD676C" w:rsidRPr="00F74954">
        <w:rPr>
          <w:b/>
          <w:lang w:val="en-US"/>
        </w:rPr>
        <w:t>Vol. 140</w:t>
      </w:r>
      <w:r w:rsidR="00FD676C" w:rsidRPr="00B336E0">
        <w:rPr>
          <w:lang w:val="en-US"/>
        </w:rPr>
        <w:t>.</w:t>
      </w:r>
      <w:bookmarkEnd w:id="15"/>
    </w:p>
    <w:p w14:paraId="2BE8EE9D" w14:textId="12F7F428" w:rsidR="00FD676C" w:rsidRPr="00B336E0" w:rsidRDefault="005D2947" w:rsidP="0095573A">
      <w:pPr>
        <w:pStyle w:val="Referencelist"/>
        <w:rPr>
          <w:lang w:val="en-US"/>
        </w:rPr>
      </w:pPr>
      <w:bookmarkStart w:id="16" w:name="_Ref67226658"/>
      <w:r w:rsidRPr="00B336E0">
        <w:rPr>
          <w:lang w:val="en-US"/>
        </w:rPr>
        <w:t>MASON CHILDS, RODOLFO VAGHETTO, PHILIP JONES, NOLAN GOTH, YASSIN HASSAN</w:t>
      </w:r>
      <w:r w:rsidR="00FD676C" w:rsidRPr="00B336E0">
        <w:rPr>
          <w:lang w:val="en-US"/>
        </w:rPr>
        <w:t xml:space="preserve">; </w:t>
      </w:r>
      <w:r w:rsidR="00F74954">
        <w:rPr>
          <w:lang w:val="en-US"/>
        </w:rPr>
        <w:t>“</w:t>
      </w:r>
      <w:r w:rsidR="00FD676C" w:rsidRPr="00B336E0">
        <w:rPr>
          <w:lang w:val="en-US"/>
        </w:rPr>
        <w:t>Experimental Determination and Analysis of the Transverse Pressure Difference in a Wire-Wrapped Rod Bundle</w:t>
      </w:r>
      <w:r w:rsidR="00F74954">
        <w:rPr>
          <w:lang w:val="en-US"/>
        </w:rPr>
        <w:t>”</w:t>
      </w:r>
      <w:r w:rsidR="00FD676C" w:rsidRPr="00B336E0">
        <w:rPr>
          <w:lang w:val="en-US"/>
        </w:rPr>
        <w:t xml:space="preserve">; </w:t>
      </w:r>
      <w:r w:rsidR="00FD676C" w:rsidRPr="00F74954">
        <w:rPr>
          <w:i/>
          <w:lang w:val="en-US"/>
        </w:rPr>
        <w:t>International Journal of Heat and Mass Transfer</w:t>
      </w:r>
      <w:r w:rsidR="00FD676C" w:rsidRPr="00B336E0">
        <w:rPr>
          <w:lang w:val="en-US"/>
        </w:rPr>
        <w:t>; January 7, 2021.</w:t>
      </w:r>
      <w:bookmarkEnd w:id="16"/>
    </w:p>
    <w:p w14:paraId="5D4E1709" w14:textId="7BFA0018" w:rsidR="00FD676C" w:rsidRPr="00B336E0" w:rsidRDefault="005D2947" w:rsidP="0095573A">
      <w:pPr>
        <w:pStyle w:val="Referencelist"/>
        <w:rPr>
          <w:lang w:val="en-US"/>
        </w:rPr>
      </w:pPr>
      <w:bookmarkStart w:id="17" w:name="_Ref67226680"/>
      <w:r w:rsidRPr="00B336E0">
        <w:rPr>
          <w:lang w:val="en-US"/>
        </w:rPr>
        <w:t>PINGHUI ZHAO, JIAMING LIU, ZHIHAO GE, XI WANG, XU CHENG</w:t>
      </w:r>
      <w:r w:rsidR="00FD676C" w:rsidRPr="00B336E0">
        <w:rPr>
          <w:lang w:val="en-US"/>
        </w:rPr>
        <w:t xml:space="preserve">; </w:t>
      </w:r>
      <w:r w:rsidR="00F74954">
        <w:rPr>
          <w:lang w:val="en-US"/>
        </w:rPr>
        <w:t>“</w:t>
      </w:r>
      <w:r w:rsidR="00FD676C" w:rsidRPr="00B336E0">
        <w:rPr>
          <w:lang w:val="en-US"/>
        </w:rPr>
        <w:t>CFD analysis of transverse flow in a wire-wrapped hexagonal seven-pin bundle</w:t>
      </w:r>
      <w:r w:rsidR="00F74954">
        <w:rPr>
          <w:lang w:val="en-US"/>
        </w:rPr>
        <w:t>”</w:t>
      </w:r>
      <w:r w:rsidR="00FD676C" w:rsidRPr="00B336E0">
        <w:rPr>
          <w:lang w:val="en-US"/>
        </w:rPr>
        <w:t xml:space="preserve">; </w:t>
      </w:r>
      <w:r w:rsidR="00FD676C" w:rsidRPr="00F74954">
        <w:rPr>
          <w:i/>
          <w:lang w:val="en-US"/>
        </w:rPr>
        <w:t>Nuclear Engineering and Design</w:t>
      </w:r>
      <w:r w:rsidR="00F74954">
        <w:rPr>
          <w:lang w:val="en-US"/>
        </w:rPr>
        <w:t>;</w:t>
      </w:r>
      <w:r w:rsidR="00FD676C" w:rsidRPr="00B336E0">
        <w:rPr>
          <w:lang w:val="en-US"/>
        </w:rPr>
        <w:t xml:space="preserve"> </w:t>
      </w:r>
      <w:r w:rsidR="00FD676C" w:rsidRPr="00F74954">
        <w:rPr>
          <w:b/>
          <w:lang w:val="en-US"/>
        </w:rPr>
        <w:t>317</w:t>
      </w:r>
      <w:r w:rsidR="00FD676C" w:rsidRPr="00B336E0">
        <w:rPr>
          <w:lang w:val="en-US"/>
        </w:rPr>
        <w:t>; 2017; 146–157.</w:t>
      </w:r>
      <w:bookmarkEnd w:id="17"/>
    </w:p>
    <w:p w14:paraId="4F7E4476" w14:textId="1D95952B" w:rsidR="00FD676C" w:rsidRPr="00B336E0" w:rsidRDefault="005D2947" w:rsidP="0095573A">
      <w:pPr>
        <w:pStyle w:val="Referencelist"/>
        <w:rPr>
          <w:lang w:val="en-US"/>
        </w:rPr>
      </w:pPr>
      <w:bookmarkStart w:id="18" w:name="_Ref67226701"/>
      <w:r w:rsidRPr="00B336E0">
        <w:rPr>
          <w:lang w:val="en-US"/>
        </w:rPr>
        <w:t>SU-JONG YOON &amp; FLORENT HEIDET</w:t>
      </w:r>
      <w:r w:rsidR="00FD676C" w:rsidRPr="00B336E0">
        <w:rPr>
          <w:lang w:val="en-US"/>
        </w:rPr>
        <w:t xml:space="preserve">; </w:t>
      </w:r>
      <w:r w:rsidR="00F74954">
        <w:rPr>
          <w:lang w:val="en-US"/>
        </w:rPr>
        <w:t>“</w:t>
      </w:r>
      <w:r w:rsidR="00FD676C" w:rsidRPr="00B336E0">
        <w:rPr>
          <w:lang w:val="en-US"/>
        </w:rPr>
        <w:t>Evaluation of Pressure Drop Correlations for the Wire-wrapped Rod Bundles</w:t>
      </w:r>
      <w:r w:rsidR="00F74954">
        <w:rPr>
          <w:lang w:val="en-US"/>
        </w:rPr>
        <w:t>”</w:t>
      </w:r>
      <w:r w:rsidR="00FD676C" w:rsidRPr="00B336E0">
        <w:rPr>
          <w:lang w:val="en-US"/>
        </w:rPr>
        <w:t xml:space="preserve">; </w:t>
      </w:r>
      <w:r w:rsidR="00FD676C" w:rsidRPr="00F74954">
        <w:rPr>
          <w:i/>
          <w:lang w:val="en-US"/>
        </w:rPr>
        <w:t>Transactions of the American Nuclear Society</w:t>
      </w:r>
      <w:r w:rsidR="00FD676C" w:rsidRPr="00B336E0">
        <w:rPr>
          <w:lang w:val="en-US"/>
        </w:rPr>
        <w:t xml:space="preserve">, </w:t>
      </w:r>
      <w:r w:rsidR="00FD676C" w:rsidRPr="00F74954">
        <w:rPr>
          <w:b/>
          <w:lang w:val="en-US"/>
        </w:rPr>
        <w:t>Vol. 122</w:t>
      </w:r>
      <w:r w:rsidR="00FD676C" w:rsidRPr="00B336E0">
        <w:rPr>
          <w:lang w:val="en-US"/>
        </w:rPr>
        <w:t>, Virtual Conference, June 8–11, 2020.</w:t>
      </w:r>
      <w:bookmarkEnd w:id="18"/>
    </w:p>
    <w:p w14:paraId="639716F8" w14:textId="72AFB2A3" w:rsidR="00FD676C" w:rsidRPr="00B336E0" w:rsidRDefault="005D2947" w:rsidP="0095573A">
      <w:pPr>
        <w:pStyle w:val="Referencelist"/>
        <w:rPr>
          <w:lang w:val="en-US"/>
        </w:rPr>
      </w:pPr>
      <w:bookmarkStart w:id="19" w:name="_Ref67226771"/>
      <w:r w:rsidRPr="00B336E0">
        <w:rPr>
          <w:lang w:val="en-US"/>
        </w:rPr>
        <w:t>LANDON BROCKMEYER, LANE B. CARASIK, ELIA MERZARI, YASSIN HASSAN</w:t>
      </w:r>
      <w:r w:rsidR="00FD676C" w:rsidRPr="00B336E0">
        <w:rPr>
          <w:lang w:val="en-US"/>
        </w:rPr>
        <w:t xml:space="preserve">; </w:t>
      </w:r>
      <w:r w:rsidR="00F74954">
        <w:rPr>
          <w:lang w:val="en-US"/>
        </w:rPr>
        <w:t>“</w:t>
      </w:r>
      <w:r w:rsidR="00FD676C" w:rsidRPr="00B336E0">
        <w:rPr>
          <w:lang w:val="en-US"/>
        </w:rPr>
        <w:t>Numerical simulations for determination of minimum representative bundle size in wire wrapped tube bundles</w:t>
      </w:r>
      <w:r w:rsidR="00F74954">
        <w:rPr>
          <w:lang w:val="en-US"/>
        </w:rPr>
        <w:t>”</w:t>
      </w:r>
      <w:r w:rsidR="00FD676C" w:rsidRPr="00B336E0">
        <w:rPr>
          <w:lang w:val="en-US"/>
        </w:rPr>
        <w:t xml:space="preserve">; </w:t>
      </w:r>
      <w:r w:rsidR="00FD676C" w:rsidRPr="00F74954">
        <w:rPr>
          <w:i/>
          <w:lang w:val="en-US"/>
        </w:rPr>
        <w:t>Nuclear Engineering and Design; Nuclear Engineering and Design</w:t>
      </w:r>
      <w:r w:rsidR="00F74954">
        <w:rPr>
          <w:lang w:val="en-US"/>
        </w:rPr>
        <w:t>;</w:t>
      </w:r>
      <w:r w:rsidR="00FD676C" w:rsidRPr="00B336E0">
        <w:rPr>
          <w:lang w:val="en-US"/>
        </w:rPr>
        <w:t xml:space="preserve"> </w:t>
      </w:r>
      <w:r w:rsidR="00FD676C" w:rsidRPr="00F74954">
        <w:rPr>
          <w:b/>
          <w:lang w:val="en-US"/>
        </w:rPr>
        <w:t>322</w:t>
      </w:r>
      <w:r w:rsidR="00FD676C" w:rsidRPr="00B336E0">
        <w:rPr>
          <w:lang w:val="en-US"/>
        </w:rPr>
        <w:t>; 2017; 557–590.</w:t>
      </w:r>
      <w:bookmarkEnd w:id="19"/>
    </w:p>
    <w:p w14:paraId="0DA55AF9" w14:textId="5FEF546B" w:rsidR="00FD676C" w:rsidRPr="00B336E0" w:rsidRDefault="005D2947" w:rsidP="0095573A">
      <w:pPr>
        <w:pStyle w:val="Referencelist"/>
        <w:rPr>
          <w:lang w:val="en-US"/>
        </w:rPr>
      </w:pPr>
      <w:bookmarkStart w:id="20" w:name="_Ref67301476"/>
      <w:r w:rsidRPr="00B336E0">
        <w:rPr>
          <w:lang w:val="en-US"/>
        </w:rPr>
        <w:lastRenderedPageBreak/>
        <w:t xml:space="preserve">POINTER, W. D., THOMAS, J., FANNING, T., FISCHER, P., SIEGEL, A., SMITH, J., &amp; TOKUHIRO, A. (2009). </w:t>
      </w:r>
      <w:r w:rsidR="00F74954">
        <w:rPr>
          <w:lang w:val="en-US"/>
        </w:rPr>
        <w:t>“</w:t>
      </w:r>
      <w:r w:rsidRPr="00B336E0">
        <w:rPr>
          <w:lang w:val="en-US"/>
        </w:rPr>
        <w:t>RANS-based CFD simulations of sodium fast reactor wire-wrapped pin bundles</w:t>
      </w:r>
      <w:r w:rsidR="00F74954">
        <w:rPr>
          <w:lang w:val="en-US"/>
        </w:rPr>
        <w:t>”</w:t>
      </w:r>
      <w:r w:rsidRPr="00B336E0">
        <w:rPr>
          <w:lang w:val="en-US"/>
        </w:rPr>
        <w:t>. In American Nuclear Society - International Conference on Mathematics, Computational Methods and Reactor Physics 2009, M and C 2009 (pp. 2212-2224). (American Nuclear Society - International Conference on Mathematics, Computational Methods and Reactor Physics 2009, M and C 2009; Vol. 4).</w:t>
      </w:r>
      <w:bookmarkEnd w:id="20"/>
    </w:p>
    <w:p w14:paraId="5F9F8AC4" w14:textId="6625359C" w:rsidR="00FD676C" w:rsidRPr="00B336E0" w:rsidRDefault="005D2947" w:rsidP="0095573A">
      <w:pPr>
        <w:pStyle w:val="Referencelist"/>
        <w:rPr>
          <w:lang w:val="en-US"/>
        </w:rPr>
      </w:pPr>
      <w:bookmarkStart w:id="21" w:name="_Ref67301789"/>
      <w:r w:rsidRPr="00B336E0">
        <w:rPr>
          <w:lang w:val="en-US"/>
        </w:rPr>
        <w:t xml:space="preserve">AHMAD, IMTEYAZ &amp; KIM, KWANG-YONG. </w:t>
      </w:r>
      <w:r w:rsidR="00F74954">
        <w:rPr>
          <w:lang w:val="en-US"/>
        </w:rPr>
        <w:t>“</w:t>
      </w:r>
      <w:r w:rsidRPr="00B336E0">
        <w:rPr>
          <w:lang w:val="en-US"/>
        </w:rPr>
        <w:t>Three-Dimensional Analysis of Flow and Heat Transfer in A Wire-Wrapped Fuel Assembly</w:t>
      </w:r>
      <w:r w:rsidR="00F74954">
        <w:rPr>
          <w:lang w:val="en-US"/>
        </w:rPr>
        <w:t>”</w:t>
      </w:r>
      <w:r w:rsidRPr="00B336E0">
        <w:rPr>
          <w:lang w:val="en-US"/>
        </w:rPr>
        <w:t>. Proceedings of the American Nuclear Society - International Congress on Advances in Nuclear Power Plants 2005, ICAPP'05. 1.</w:t>
      </w:r>
      <w:bookmarkEnd w:id="21"/>
    </w:p>
    <w:p w14:paraId="32C631BE" w14:textId="50844BBB" w:rsidR="00FD676C" w:rsidRPr="00B336E0" w:rsidRDefault="005D2947" w:rsidP="0095573A">
      <w:pPr>
        <w:pStyle w:val="Referencelist"/>
        <w:rPr>
          <w:lang w:val="en-US"/>
        </w:rPr>
      </w:pPr>
      <w:bookmarkStart w:id="22" w:name="_Ref67226795"/>
      <w:r w:rsidRPr="00B336E0">
        <w:rPr>
          <w:lang w:val="en-US"/>
        </w:rPr>
        <w:t>GAJAPATHY, R., VELUSAMY, K., SELVARAJ, P., CHELLAPANDI, P., CHETAL, S.C.</w:t>
      </w:r>
      <w:r w:rsidR="00FD676C" w:rsidRPr="00B336E0">
        <w:rPr>
          <w:lang w:val="en-US"/>
        </w:rPr>
        <w:t xml:space="preserve">, 2007. </w:t>
      </w:r>
      <w:r w:rsidR="00F74954">
        <w:rPr>
          <w:lang w:val="en-US"/>
        </w:rPr>
        <w:t>“</w:t>
      </w:r>
      <w:r w:rsidR="00FD676C" w:rsidRPr="00B336E0">
        <w:rPr>
          <w:lang w:val="en-US"/>
        </w:rPr>
        <w:t>CFD investigation of helical wire-wrapped 7-pin fuel bundle and the challenges in modeling full scale 217 pin bundle</w:t>
      </w:r>
      <w:r w:rsidR="00F74954">
        <w:rPr>
          <w:lang w:val="en-US"/>
        </w:rPr>
        <w:t>;</w:t>
      </w:r>
      <w:r w:rsidR="00FD676C" w:rsidRPr="00B336E0">
        <w:rPr>
          <w:lang w:val="en-US"/>
        </w:rPr>
        <w:t xml:space="preserve"> </w:t>
      </w:r>
      <w:r w:rsidR="00FD676C" w:rsidRPr="00F74954">
        <w:rPr>
          <w:i/>
          <w:lang w:val="en-US"/>
        </w:rPr>
        <w:t>Nuclear. Engineering. Des.</w:t>
      </w:r>
      <w:r w:rsidR="00F74954">
        <w:rPr>
          <w:lang w:val="en-US"/>
        </w:rPr>
        <w:t>;</w:t>
      </w:r>
      <w:r w:rsidR="00FD676C" w:rsidRPr="00B336E0">
        <w:rPr>
          <w:lang w:val="en-US"/>
        </w:rPr>
        <w:t xml:space="preserve"> </w:t>
      </w:r>
      <w:r w:rsidR="00FD676C" w:rsidRPr="00F74954">
        <w:rPr>
          <w:b/>
          <w:lang w:val="en-US"/>
        </w:rPr>
        <w:t>237</w:t>
      </w:r>
      <w:r w:rsidR="00FD676C" w:rsidRPr="00B336E0">
        <w:rPr>
          <w:lang w:val="en-US"/>
        </w:rPr>
        <w:t>, 2332–2342.</w:t>
      </w:r>
      <w:bookmarkEnd w:id="22"/>
    </w:p>
    <w:p w14:paraId="25C1E384" w14:textId="2E061B35" w:rsidR="00FD676C" w:rsidRPr="00B336E0" w:rsidRDefault="005D2947" w:rsidP="0095573A">
      <w:pPr>
        <w:pStyle w:val="Referencelist"/>
        <w:rPr>
          <w:lang w:val="en-US"/>
        </w:rPr>
      </w:pPr>
      <w:bookmarkStart w:id="23" w:name="_Ref67226803"/>
      <w:r w:rsidRPr="00B336E0">
        <w:rPr>
          <w:lang w:val="en-US"/>
        </w:rPr>
        <w:t>U. BIEDER, H. UITSLAG-DOOLAARD, B. MIKUZ</w:t>
      </w:r>
      <w:r w:rsidR="00FD676C" w:rsidRPr="00B336E0">
        <w:rPr>
          <w:lang w:val="en-US"/>
        </w:rPr>
        <w:t xml:space="preserve">; </w:t>
      </w:r>
      <w:r w:rsidR="00F74954">
        <w:rPr>
          <w:lang w:val="en-US"/>
        </w:rPr>
        <w:t>“</w:t>
      </w:r>
      <w:r w:rsidR="00FD676C" w:rsidRPr="00B336E0">
        <w:rPr>
          <w:lang w:val="en-US"/>
        </w:rPr>
        <w:t>Investigation of pressure loss and velocity distribution in fuel assemblies with wire-wrapped rods by using RANS and LES with wall functions</w:t>
      </w:r>
      <w:r w:rsidR="00F74954">
        <w:rPr>
          <w:lang w:val="en-US"/>
        </w:rPr>
        <w:t>”</w:t>
      </w:r>
      <w:r w:rsidR="00FD676C" w:rsidRPr="00B336E0">
        <w:rPr>
          <w:lang w:val="en-US"/>
        </w:rPr>
        <w:t xml:space="preserve">; </w:t>
      </w:r>
      <w:r w:rsidR="00FD676C" w:rsidRPr="00F74954">
        <w:rPr>
          <w:i/>
          <w:lang w:val="en-US"/>
        </w:rPr>
        <w:t>Annals of Nuclear Energy</w:t>
      </w:r>
      <w:r w:rsidR="00FD676C" w:rsidRPr="00B336E0">
        <w:rPr>
          <w:lang w:val="en-US"/>
        </w:rPr>
        <w:t xml:space="preserve">, </w:t>
      </w:r>
      <w:hyperlink r:id="rId20" w:history="1">
        <w:r w:rsidR="00FD676C" w:rsidRPr="00B336E0">
          <w:rPr>
            <w:rStyle w:val="Hyperlink"/>
            <w:lang w:val="en-US"/>
          </w:rPr>
          <w:t>https://doi.org/10.1016/j.anucene.2020.108025</w:t>
        </w:r>
      </w:hyperlink>
      <w:bookmarkEnd w:id="23"/>
    </w:p>
    <w:p w14:paraId="46075970" w14:textId="21C7261E" w:rsidR="00FD676C" w:rsidRPr="00B336E0" w:rsidRDefault="005D2947" w:rsidP="0095573A">
      <w:pPr>
        <w:pStyle w:val="Referencelist"/>
        <w:rPr>
          <w:lang w:val="en-US"/>
        </w:rPr>
      </w:pPr>
      <w:bookmarkStart w:id="24" w:name="_Ref67226810"/>
      <w:r w:rsidRPr="00B336E0">
        <w:rPr>
          <w:lang w:val="en-US"/>
        </w:rPr>
        <w:t>DANIELE DOVIZIO, BLAŽ MIKUŽ, AFAQUE SHAMS, FERRY ROELOFS</w:t>
      </w:r>
      <w:r w:rsidR="00FD676C" w:rsidRPr="00B336E0">
        <w:rPr>
          <w:lang w:val="en-US"/>
        </w:rPr>
        <w:t xml:space="preserve">; </w:t>
      </w:r>
      <w:r w:rsidR="00F74954">
        <w:rPr>
          <w:lang w:val="en-US"/>
        </w:rPr>
        <w:t>“</w:t>
      </w:r>
      <w:r w:rsidR="00FD676C" w:rsidRPr="00B336E0">
        <w:rPr>
          <w:lang w:val="en-US"/>
        </w:rPr>
        <w:t>Validating RANS to predict the flow behavior in wire-wrapped fuel assemblies</w:t>
      </w:r>
      <w:r w:rsidR="00F74954">
        <w:rPr>
          <w:lang w:val="en-US"/>
        </w:rPr>
        <w:t>”</w:t>
      </w:r>
      <w:r w:rsidR="00FD676C" w:rsidRPr="00B336E0">
        <w:rPr>
          <w:lang w:val="en-US"/>
        </w:rPr>
        <w:t xml:space="preserve">; </w:t>
      </w:r>
      <w:r w:rsidR="00FD676C" w:rsidRPr="00F74954">
        <w:rPr>
          <w:i/>
          <w:lang w:val="en-US"/>
        </w:rPr>
        <w:t>Nuclear Engineering and Design</w:t>
      </w:r>
      <w:r w:rsidR="00F74954">
        <w:rPr>
          <w:lang w:val="en-US"/>
        </w:rPr>
        <w:t>;</w:t>
      </w:r>
      <w:r w:rsidR="00FD676C" w:rsidRPr="00B336E0">
        <w:rPr>
          <w:lang w:val="en-US"/>
        </w:rPr>
        <w:t xml:space="preserve"> </w:t>
      </w:r>
      <w:r w:rsidR="00FD676C" w:rsidRPr="00F74954">
        <w:rPr>
          <w:b/>
          <w:lang w:val="en-US"/>
        </w:rPr>
        <w:t>356</w:t>
      </w:r>
      <w:r w:rsidR="00FD676C" w:rsidRPr="00B336E0">
        <w:rPr>
          <w:lang w:val="en-US"/>
        </w:rPr>
        <w:t xml:space="preserve"> (2020) 110376.</w:t>
      </w:r>
      <w:bookmarkEnd w:id="24"/>
    </w:p>
    <w:p w14:paraId="360A7936" w14:textId="2C6525FE" w:rsidR="00FD676C" w:rsidRPr="00B336E0" w:rsidRDefault="00FD676C" w:rsidP="0095573A">
      <w:pPr>
        <w:pStyle w:val="Referencelist"/>
        <w:rPr>
          <w:lang w:val="en-US"/>
        </w:rPr>
      </w:pPr>
      <w:bookmarkStart w:id="25" w:name="_Ref67226818"/>
      <w:r w:rsidRPr="00B336E0">
        <w:rPr>
          <w:lang w:val="en-US"/>
        </w:rPr>
        <w:t xml:space="preserve">Texas A&amp;M University-Thermal-Hydraulic Research Laboratory. (2021, February 24). Wire Wrapped Fuel Assembly </w:t>
      </w:r>
      <w:hyperlink r:id="rId21" w:history="1">
        <w:r w:rsidRPr="00B336E0">
          <w:rPr>
            <w:rStyle w:val="Hyperlink"/>
            <w:lang w:val="en-US"/>
          </w:rPr>
          <w:t>https://thrlab.tamu.edu/wire-wrapped-fuel-assembly/</w:t>
        </w:r>
      </w:hyperlink>
      <w:bookmarkEnd w:id="25"/>
    </w:p>
    <w:p w14:paraId="4544F711" w14:textId="76A05A97" w:rsidR="005D2947" w:rsidRPr="00B336E0" w:rsidRDefault="005D2947" w:rsidP="0095573A">
      <w:pPr>
        <w:pStyle w:val="Referencelist"/>
        <w:rPr>
          <w:lang w:val="en-US"/>
        </w:rPr>
      </w:pPr>
      <w:r w:rsidRPr="00B336E0">
        <w:rPr>
          <w:lang w:val="en-US"/>
        </w:rPr>
        <w:t xml:space="preserve">N.E. GOTH, </w:t>
      </w:r>
      <w:r w:rsidR="00F74954">
        <w:rPr>
          <w:lang w:val="en-US"/>
        </w:rPr>
        <w:t>“</w:t>
      </w:r>
      <w:r w:rsidRPr="00B336E0">
        <w:rPr>
          <w:lang w:val="en-US"/>
        </w:rPr>
        <w:t>Design and PIV Measurements on a Wire-Wrapped 61-Rod Hexagonal Fuel Assembly Experimental Facility</w:t>
      </w:r>
      <w:r w:rsidR="00F74954">
        <w:rPr>
          <w:lang w:val="en-US"/>
        </w:rPr>
        <w:t>”</w:t>
      </w:r>
      <w:r w:rsidRPr="00B336E0">
        <w:rPr>
          <w:lang w:val="en-US"/>
        </w:rPr>
        <w:t>, Texas A&amp;M University, 2017 MS thesis.</w:t>
      </w:r>
    </w:p>
    <w:p w14:paraId="6132492A" w14:textId="50A5A8B7" w:rsidR="002A3EAF" w:rsidRDefault="005D2947" w:rsidP="00A21A16">
      <w:pPr>
        <w:pStyle w:val="Referencelist"/>
        <w:rPr>
          <w:lang w:val="en-US"/>
        </w:rPr>
      </w:pPr>
      <w:bookmarkStart w:id="26" w:name="_Ref67229333"/>
      <w:r w:rsidRPr="00B336E0">
        <w:rPr>
          <w:lang w:val="en-US"/>
        </w:rPr>
        <w:t>E. MERZARI, W.D. POINTER, J.G. SMITH, A. TENTNER, P. FISCHER</w:t>
      </w:r>
      <w:r w:rsidR="00FD676C" w:rsidRPr="00B336E0">
        <w:rPr>
          <w:lang w:val="en-US"/>
        </w:rPr>
        <w:t xml:space="preserve">; </w:t>
      </w:r>
      <w:r w:rsidR="00F74954">
        <w:rPr>
          <w:lang w:val="en-US"/>
        </w:rPr>
        <w:t>“</w:t>
      </w:r>
      <w:r w:rsidR="00FD676C" w:rsidRPr="00B336E0">
        <w:rPr>
          <w:lang w:val="en-US"/>
        </w:rPr>
        <w:t>Numerical simulation of the flow in wire-wrapped pin bundles: Effect of pin-wire contact modeling</w:t>
      </w:r>
      <w:r w:rsidR="00F74954">
        <w:rPr>
          <w:lang w:val="en-US"/>
        </w:rPr>
        <w:t>”</w:t>
      </w:r>
      <w:r w:rsidR="00FD676C" w:rsidRPr="00B336E0">
        <w:rPr>
          <w:lang w:val="en-US"/>
        </w:rPr>
        <w:t xml:space="preserve">; </w:t>
      </w:r>
      <w:r w:rsidR="00FD676C" w:rsidRPr="00F74954">
        <w:rPr>
          <w:i/>
          <w:lang w:val="en-US"/>
        </w:rPr>
        <w:t>Nuclear Engineering and Design</w:t>
      </w:r>
      <w:r w:rsidR="00FD676C" w:rsidRPr="00B336E0">
        <w:rPr>
          <w:lang w:val="en-US"/>
        </w:rPr>
        <w:t xml:space="preserve">; </w:t>
      </w:r>
      <w:r w:rsidR="00FD676C" w:rsidRPr="00F74954">
        <w:rPr>
          <w:b/>
          <w:lang w:val="en-US"/>
        </w:rPr>
        <w:t>253</w:t>
      </w:r>
      <w:r w:rsidR="00FD676C" w:rsidRPr="00B336E0">
        <w:rPr>
          <w:lang w:val="en-US"/>
        </w:rPr>
        <w:t>; 2012; pages 374-386.</w:t>
      </w:r>
      <w:bookmarkEnd w:id="26"/>
    </w:p>
    <w:p w14:paraId="17CC4705" w14:textId="717308C6" w:rsidR="00F74954" w:rsidRDefault="00F74954" w:rsidP="00A21A16">
      <w:pPr>
        <w:pStyle w:val="Referencelist"/>
        <w:rPr>
          <w:lang w:val="en-US"/>
        </w:rPr>
      </w:pPr>
      <w:bookmarkStart w:id="27" w:name="_Ref97285793"/>
      <w:proofErr w:type="spellStart"/>
      <w:r w:rsidRPr="00F74954">
        <w:rPr>
          <w:lang w:val="en-US"/>
        </w:rPr>
        <w:t>Menter</w:t>
      </w:r>
      <w:proofErr w:type="spellEnd"/>
      <w:r w:rsidRPr="00F74954">
        <w:rPr>
          <w:lang w:val="en-US"/>
        </w:rPr>
        <w:t xml:space="preserve">, F.R. 1994; </w:t>
      </w:r>
      <w:r>
        <w:rPr>
          <w:lang w:val="en-US"/>
        </w:rPr>
        <w:t>“</w:t>
      </w:r>
      <w:r w:rsidRPr="00F74954">
        <w:rPr>
          <w:lang w:val="en-US"/>
        </w:rPr>
        <w:t>Two-equation eddy-viscosity turbulence modeling for engineering applications</w:t>
      </w:r>
      <w:r>
        <w:rPr>
          <w:lang w:val="en-US"/>
        </w:rPr>
        <w:t>”</w:t>
      </w:r>
      <w:r w:rsidRPr="00F74954">
        <w:rPr>
          <w:lang w:val="en-US"/>
        </w:rPr>
        <w:t xml:space="preserve">, </w:t>
      </w:r>
      <w:r w:rsidRPr="00F74954">
        <w:rPr>
          <w:i/>
          <w:lang w:val="en-US"/>
        </w:rPr>
        <w:t>American Institute of Aeronautics and Astronautics Journal</w:t>
      </w:r>
      <w:r w:rsidRPr="00F74954">
        <w:rPr>
          <w:lang w:val="en-US"/>
        </w:rPr>
        <w:t xml:space="preserve">, </w:t>
      </w:r>
      <w:r w:rsidRPr="00F74954">
        <w:rPr>
          <w:b/>
          <w:lang w:val="en-US"/>
        </w:rPr>
        <w:t>32</w:t>
      </w:r>
      <w:r w:rsidRPr="00F74954">
        <w:rPr>
          <w:lang w:val="en-US"/>
        </w:rPr>
        <w:t>(8), pp. 1598-1605.</w:t>
      </w:r>
      <w:bookmarkEnd w:id="27"/>
    </w:p>
    <w:p w14:paraId="02BECA56" w14:textId="2DBA1902" w:rsidR="002E0E4B" w:rsidRDefault="002E0E4B" w:rsidP="0010538D">
      <w:pPr>
        <w:pStyle w:val="Referencelist"/>
        <w:rPr>
          <w:lang w:val="en-US"/>
        </w:rPr>
      </w:pPr>
      <w:bookmarkStart w:id="28" w:name="_Ref97286343"/>
      <w:r w:rsidRPr="002E0E4B">
        <w:rPr>
          <w:lang w:val="en-US"/>
        </w:rPr>
        <w:t xml:space="preserve">Lien, F.S., Chen, W.L., and </w:t>
      </w:r>
      <w:proofErr w:type="spellStart"/>
      <w:r w:rsidRPr="002E0E4B">
        <w:rPr>
          <w:lang w:val="en-US"/>
        </w:rPr>
        <w:t>Leschziner</w:t>
      </w:r>
      <w:proofErr w:type="spellEnd"/>
      <w:r w:rsidRPr="002E0E4B">
        <w:rPr>
          <w:lang w:val="en-US"/>
        </w:rPr>
        <w:t>, M.A. 1996. “Low-Reynolds number eddy-viscosity modelling based on</w:t>
      </w:r>
      <w:r>
        <w:rPr>
          <w:lang w:val="en-US"/>
        </w:rPr>
        <w:t xml:space="preserve"> </w:t>
      </w:r>
      <w:r w:rsidRPr="002E0E4B">
        <w:rPr>
          <w:lang w:val="en-US"/>
        </w:rPr>
        <w:t xml:space="preserve">non-linear stress-strain/vorticity relations”, Proc. 3rd </w:t>
      </w:r>
      <w:proofErr w:type="spellStart"/>
      <w:r w:rsidRPr="002E0E4B">
        <w:rPr>
          <w:lang w:val="en-US"/>
        </w:rPr>
        <w:t>Symp</w:t>
      </w:r>
      <w:proofErr w:type="spellEnd"/>
      <w:r w:rsidRPr="002E0E4B">
        <w:rPr>
          <w:lang w:val="en-US"/>
        </w:rPr>
        <w:t>. on Engineering Turbulence Modelling and Measurements, 27-29 May, Crete, Greece.</w:t>
      </w:r>
      <w:bookmarkEnd w:id="28"/>
    </w:p>
    <w:p w14:paraId="1F84E7AF" w14:textId="77777777" w:rsidR="00EF51AE" w:rsidRDefault="00EF51AE" w:rsidP="00EF51AE">
      <w:pPr>
        <w:pStyle w:val="Referencelist"/>
        <w:rPr>
          <w:lang w:val="en-US"/>
        </w:rPr>
      </w:pPr>
      <w:bookmarkStart w:id="29" w:name="_Ref97283998"/>
      <w:r w:rsidRPr="0010538D">
        <w:rPr>
          <w:lang w:val="en-US"/>
        </w:rPr>
        <w:t xml:space="preserve">O. Bovati, M. A. </w:t>
      </w:r>
      <w:proofErr w:type="spellStart"/>
      <w:r w:rsidRPr="0010538D">
        <w:rPr>
          <w:lang w:val="en-US"/>
        </w:rPr>
        <w:t>Yildiz</w:t>
      </w:r>
      <w:proofErr w:type="spellEnd"/>
      <w:r w:rsidRPr="0010538D">
        <w:rPr>
          <w:lang w:val="en-US"/>
        </w:rPr>
        <w:t xml:space="preserve">, Y. Hassan, and R. Vaghetto, “RANS simulations for transition and turbulent flow regimes in wire-wrapped rod bundles,” </w:t>
      </w:r>
      <w:r w:rsidRPr="0010538D">
        <w:rPr>
          <w:i/>
          <w:lang w:val="en-US"/>
        </w:rPr>
        <w:t>International Journal of Heat and Fluid Flow</w:t>
      </w:r>
      <w:r w:rsidRPr="0010538D">
        <w:rPr>
          <w:lang w:val="en-US"/>
        </w:rPr>
        <w:t xml:space="preserve">, </w:t>
      </w:r>
      <w:r w:rsidRPr="0010538D">
        <w:rPr>
          <w:b/>
          <w:lang w:val="en-US"/>
        </w:rPr>
        <w:t>90</w:t>
      </w:r>
      <w:r w:rsidRPr="0010538D">
        <w:rPr>
          <w:lang w:val="en-US"/>
        </w:rPr>
        <w:t xml:space="preserve"> (2021)</w:t>
      </w:r>
      <w:bookmarkEnd w:id="29"/>
    </w:p>
    <w:p w14:paraId="575E21CA" w14:textId="77777777" w:rsidR="00EF51AE" w:rsidRPr="0010538D" w:rsidRDefault="00EF51AE" w:rsidP="00EF51AE">
      <w:pPr>
        <w:pStyle w:val="Referencelist"/>
        <w:numPr>
          <w:ilvl w:val="0"/>
          <w:numId w:val="0"/>
        </w:numPr>
        <w:ind w:left="720" w:hanging="360"/>
        <w:rPr>
          <w:lang w:val="en-US"/>
        </w:rPr>
      </w:pPr>
    </w:p>
    <w:sectPr w:rsidR="00EF51AE" w:rsidRPr="0010538D" w:rsidSect="008D3F11">
      <w:headerReference w:type="even" r:id="rId22"/>
      <w:headerReference w:type="default" r:id="rId23"/>
      <w:footerReference w:type="even" r:id="rId24"/>
      <w:footerReference w:type="default" r:id="rId25"/>
      <w:headerReference w:type="first" r:id="rId26"/>
      <w:footerReference w:type="first" r:id="rId27"/>
      <w:type w:val="oddPage"/>
      <w:pgSz w:w="11907" w:h="16840" w:code="9"/>
      <w:pgMar w:top="1440" w:right="1440" w:bottom="1440" w:left="1440" w:header="539" w:footer="96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E728B" w14:textId="77777777" w:rsidR="006A6D9F" w:rsidRDefault="006A6D9F">
      <w:r>
        <w:separator/>
      </w:r>
    </w:p>
  </w:endnote>
  <w:endnote w:type="continuationSeparator" w:id="0">
    <w:p w14:paraId="1A381B12" w14:textId="77777777" w:rsidR="006A6D9F" w:rsidRDefault="006A6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auto"/>
    <w:notTrueType/>
    <w:pitch w:val="default"/>
    <w:sig w:usb0="00000083" w:usb1="00000000" w:usb2="00000000" w:usb3="00000000" w:csb0="00000009"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6" w14:textId="3F1FA1EB" w:rsidR="0010538D" w:rsidRDefault="0010538D">
    <w:pPr>
      <w:pStyle w:val="zyxClassification1"/>
    </w:pPr>
    <w:r>
      <w:fldChar w:fldCharType="begin"/>
    </w:r>
    <w:r>
      <w:instrText xml:space="preserve"> DOCPROPERTY "IaeaClassification"  \* MERGEFORMAT </w:instrText>
    </w:r>
    <w:r>
      <w:fldChar w:fldCharType="end"/>
    </w:r>
  </w:p>
  <w:p w14:paraId="433FE0C7" w14:textId="2761982E" w:rsidR="0010538D" w:rsidRDefault="0010538D">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8" w14:textId="3B106DCF" w:rsidR="0010538D" w:rsidRDefault="0010538D">
    <w:pPr>
      <w:pStyle w:val="zyxClassification1"/>
    </w:pPr>
    <w:r>
      <w:fldChar w:fldCharType="begin"/>
    </w:r>
    <w:r>
      <w:instrText xml:space="preserve"> DOCPROPERTY "IaeaClassification"  \* MERGEFORMAT </w:instrText>
    </w:r>
    <w:r>
      <w:fldChar w:fldCharType="end"/>
    </w:r>
  </w:p>
  <w:p w14:paraId="433FE0C9" w14:textId="4E12A4DA" w:rsidR="0010538D" w:rsidRPr="00037321" w:rsidRDefault="0010538D">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10538D" w14:paraId="433FE0D8" w14:textId="77777777">
      <w:trPr>
        <w:cantSplit/>
      </w:trPr>
      <w:tc>
        <w:tcPr>
          <w:tcW w:w="4644" w:type="dxa"/>
        </w:tcPr>
        <w:p w14:paraId="433FE0D4" w14:textId="73EFBB66" w:rsidR="0010538D" w:rsidRDefault="0010538D">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2E6B2585" w:rsidR="0010538D" w:rsidRDefault="0010538D">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1" w:name="DOC_bkmClassification2"/>
      <w:tc>
        <w:tcPr>
          <w:tcW w:w="5670" w:type="dxa"/>
          <w:tcMar>
            <w:right w:w="249" w:type="dxa"/>
          </w:tcMar>
        </w:tcPr>
        <w:p w14:paraId="433FE0D6" w14:textId="7ABDA978" w:rsidR="0010538D" w:rsidRDefault="0010538D">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1"/>
        <w:p w14:paraId="433FE0D7" w14:textId="0FC1D741" w:rsidR="0010538D" w:rsidRDefault="0010538D">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2" w:name="DOC_bkmFileName"/>
  <w:p w14:paraId="433FE0D9" w14:textId="2E25FAC8" w:rsidR="0010538D" w:rsidRDefault="0010538D">
    <w:r>
      <w:rPr>
        <w:sz w:val="16"/>
      </w:rPr>
      <w:fldChar w:fldCharType="begin"/>
    </w:r>
    <w:r>
      <w:rPr>
        <w:sz w:val="16"/>
      </w:rPr>
      <w:instrText xml:space="preserve"> FILENAME \* MERGEFORMAT </w:instrText>
    </w:r>
    <w:r>
      <w:rPr>
        <w:sz w:val="16"/>
      </w:rPr>
      <w:fldChar w:fldCharType="separate"/>
    </w:r>
    <w:r w:rsidR="00A72A78">
      <w:rPr>
        <w:noProof/>
        <w:sz w:val="16"/>
      </w:rPr>
      <w:t>370 - FRC_Bovati_corrected_revision.docx</w:t>
    </w:r>
    <w:r>
      <w:rPr>
        <w:sz w:val="16"/>
      </w:rPr>
      <w:fldChar w:fldCharType="end"/>
    </w:r>
    <w:bookmarkEnd w:id="3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8C449C" w14:textId="77777777" w:rsidR="006A6D9F" w:rsidRDefault="006A6D9F">
      <w:r>
        <w:t>___________________________________________________________________________</w:t>
      </w:r>
    </w:p>
  </w:footnote>
  <w:footnote w:type="continuationSeparator" w:id="0">
    <w:p w14:paraId="2E352986" w14:textId="77777777" w:rsidR="006A6D9F" w:rsidRDefault="006A6D9F">
      <w:r>
        <w:t>___________________________________________________________________________</w:t>
      </w:r>
    </w:p>
  </w:footnote>
  <w:footnote w:type="continuationNotice" w:id="1">
    <w:p w14:paraId="72D89BC0" w14:textId="77777777" w:rsidR="006A6D9F" w:rsidRDefault="006A6D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2" w14:textId="246133C7" w:rsidR="0010538D" w:rsidRDefault="0010538D" w:rsidP="006E6930">
    <w:pPr>
      <w:pStyle w:val="Runninghead"/>
    </w:pPr>
    <w:r>
      <w:tab/>
      <w:t xml:space="preserve">FR21: IAEA-CN-291/370 </w:t>
    </w:r>
    <w:r>
      <w:fldChar w:fldCharType="begin"/>
    </w:r>
    <w:r>
      <w:instrText xml:space="preserve"> DOCPROPERTY "IaeaClassification"  \* MERGEFORMAT </w:instrText>
    </w:r>
    <w:r>
      <w:fldChar w:fldCharType="end"/>
    </w:r>
  </w:p>
  <w:p w14:paraId="433FE0C3" w14:textId="2DAB2131" w:rsidR="0010538D" w:rsidRDefault="0010538D">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5" w14:textId="77401594" w:rsidR="0010538D" w:rsidRPr="006E6930" w:rsidRDefault="0010538D" w:rsidP="006E6930">
    <w:pPr>
      <w:pStyle w:val="Runninghead"/>
    </w:pPr>
    <w:r>
      <w:t>OCTAVIO BOVATI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10538D" w14:paraId="433FE0CE" w14:textId="77777777">
      <w:trPr>
        <w:cantSplit/>
        <w:trHeight w:val="716"/>
      </w:trPr>
      <w:tc>
        <w:tcPr>
          <w:tcW w:w="979" w:type="dxa"/>
          <w:vMerge w:val="restart"/>
        </w:tcPr>
        <w:p w14:paraId="433FE0CA" w14:textId="77777777" w:rsidR="0010538D" w:rsidRDefault="0010538D">
          <w:pPr>
            <w:spacing w:before="180"/>
            <w:ind w:left="17"/>
          </w:pPr>
        </w:p>
      </w:tc>
      <w:tc>
        <w:tcPr>
          <w:tcW w:w="3638" w:type="dxa"/>
          <w:vAlign w:val="bottom"/>
        </w:tcPr>
        <w:p w14:paraId="433FE0CB" w14:textId="77777777" w:rsidR="0010538D" w:rsidRDefault="0010538D">
          <w:pPr>
            <w:spacing w:after="20"/>
          </w:pPr>
        </w:p>
      </w:tc>
      <w:bookmarkStart w:id="30" w:name="DOC_bkmClassification1"/>
      <w:tc>
        <w:tcPr>
          <w:tcW w:w="5702" w:type="dxa"/>
          <w:vMerge w:val="restart"/>
          <w:tcMar>
            <w:right w:w="193" w:type="dxa"/>
          </w:tcMar>
        </w:tcPr>
        <w:p w14:paraId="433FE0CC" w14:textId="274BB6FF" w:rsidR="0010538D" w:rsidRDefault="0010538D">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0"/>
        <w:p w14:paraId="433FE0CD" w14:textId="18C8DDF4" w:rsidR="0010538D" w:rsidRDefault="0010538D">
          <w:pPr>
            <w:pStyle w:val="zyxConfid2Red"/>
          </w:pPr>
          <w:r>
            <w:fldChar w:fldCharType="begin"/>
          </w:r>
          <w:r>
            <w:instrText>DOCPROPERTY "IaeaClassification2"  \* MERGEFORMAT</w:instrText>
          </w:r>
          <w:r>
            <w:fldChar w:fldCharType="end"/>
          </w:r>
        </w:p>
      </w:tc>
    </w:tr>
    <w:tr w:rsidR="0010538D" w14:paraId="433FE0D2" w14:textId="77777777">
      <w:trPr>
        <w:cantSplit/>
        <w:trHeight w:val="167"/>
      </w:trPr>
      <w:tc>
        <w:tcPr>
          <w:tcW w:w="979" w:type="dxa"/>
          <w:vMerge/>
        </w:tcPr>
        <w:p w14:paraId="433FE0CF" w14:textId="77777777" w:rsidR="0010538D" w:rsidRDefault="0010538D">
          <w:pPr>
            <w:spacing w:before="57"/>
          </w:pPr>
        </w:p>
      </w:tc>
      <w:tc>
        <w:tcPr>
          <w:tcW w:w="3638" w:type="dxa"/>
          <w:vAlign w:val="bottom"/>
        </w:tcPr>
        <w:p w14:paraId="433FE0D0" w14:textId="77777777" w:rsidR="0010538D" w:rsidRDefault="0010538D">
          <w:pPr>
            <w:pStyle w:val="Heading9"/>
            <w:spacing w:before="0" w:after="10"/>
          </w:pPr>
        </w:p>
      </w:tc>
      <w:tc>
        <w:tcPr>
          <w:tcW w:w="5702" w:type="dxa"/>
          <w:vMerge/>
          <w:vAlign w:val="bottom"/>
        </w:tcPr>
        <w:p w14:paraId="433FE0D1" w14:textId="77777777" w:rsidR="0010538D" w:rsidRDefault="0010538D">
          <w:pPr>
            <w:pStyle w:val="Heading9"/>
            <w:spacing w:before="0" w:after="10"/>
          </w:pPr>
        </w:p>
      </w:tc>
    </w:tr>
  </w:tbl>
  <w:p w14:paraId="433FE0D3" w14:textId="77777777" w:rsidR="0010538D" w:rsidRDefault="001053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A632A8B"/>
    <w:multiLevelType w:val="hybridMultilevel"/>
    <w:tmpl w:val="A40CF0FC"/>
    <w:lvl w:ilvl="0" w:tplc="F2FC648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7A514C46"/>
    <w:multiLevelType w:val="hybridMultilevel"/>
    <w:tmpl w:val="A10A8E06"/>
    <w:lvl w:ilvl="0" w:tplc="FA10F7F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217D0D"/>
    <w:multiLevelType w:val="hybridMultilevel"/>
    <w:tmpl w:val="7AAEE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1"/>
  </w:num>
  <w:num w:numId="4">
    <w:abstractNumId w:val="11"/>
  </w:num>
  <w:num w:numId="5">
    <w:abstractNumId w:val="11"/>
  </w:num>
  <w:num w:numId="6">
    <w:abstractNumId w:val="5"/>
  </w:num>
  <w:num w:numId="7">
    <w:abstractNumId w:val="9"/>
  </w:num>
  <w:num w:numId="8">
    <w:abstractNumId w:val="12"/>
  </w:num>
  <w:num w:numId="9">
    <w:abstractNumId w:val="1"/>
  </w:num>
  <w:num w:numId="10">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1"/>
  </w:num>
  <w:num w:numId="12">
    <w:abstractNumId w:val="11"/>
  </w:num>
  <w:num w:numId="13">
    <w:abstractNumId w:val="11"/>
  </w:num>
  <w:num w:numId="14">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1"/>
  </w:num>
  <w:num w:numId="16">
    <w:abstractNumId w:val="11"/>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
  </w:num>
  <w:num w:numId="21">
    <w:abstractNumId w:val="11"/>
  </w:num>
  <w:num w:numId="22">
    <w:abstractNumId w:val="3"/>
  </w:num>
  <w:num w:numId="23">
    <w:abstractNumId w:val="0"/>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7"/>
  </w:num>
  <w:num w:numId="31">
    <w:abstractNumId w:val="7"/>
  </w:num>
  <w:num w:numId="32">
    <w:abstractNumId w:val="11"/>
  </w:num>
  <w:num w:numId="33">
    <w:abstractNumId w:val="6"/>
  </w:num>
  <w:num w:numId="34">
    <w:abstractNumId w:val="13"/>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A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CA0"/>
    <w:rsid w:val="000054D1"/>
    <w:rsid w:val="000229AB"/>
    <w:rsid w:val="0002569A"/>
    <w:rsid w:val="00037061"/>
    <w:rsid w:val="00037321"/>
    <w:rsid w:val="000546CF"/>
    <w:rsid w:val="00066DCF"/>
    <w:rsid w:val="0007004C"/>
    <w:rsid w:val="0007009F"/>
    <w:rsid w:val="00084420"/>
    <w:rsid w:val="00093A64"/>
    <w:rsid w:val="000A0299"/>
    <w:rsid w:val="000A2990"/>
    <w:rsid w:val="000C4332"/>
    <w:rsid w:val="000F7E94"/>
    <w:rsid w:val="00104559"/>
    <w:rsid w:val="0010538D"/>
    <w:rsid w:val="001119D6"/>
    <w:rsid w:val="00113C93"/>
    <w:rsid w:val="001308F2"/>
    <w:rsid w:val="001313E8"/>
    <w:rsid w:val="00147D0F"/>
    <w:rsid w:val="00183BC4"/>
    <w:rsid w:val="00192B81"/>
    <w:rsid w:val="00192F64"/>
    <w:rsid w:val="001C58F5"/>
    <w:rsid w:val="001D5CEE"/>
    <w:rsid w:val="001D6F0A"/>
    <w:rsid w:val="001F5CB0"/>
    <w:rsid w:val="002071D9"/>
    <w:rsid w:val="0023113E"/>
    <w:rsid w:val="00256822"/>
    <w:rsid w:val="00260E66"/>
    <w:rsid w:val="0026525A"/>
    <w:rsid w:val="00274790"/>
    <w:rsid w:val="002812B7"/>
    <w:rsid w:val="00285755"/>
    <w:rsid w:val="002913DE"/>
    <w:rsid w:val="002A1F9C"/>
    <w:rsid w:val="002A3EAF"/>
    <w:rsid w:val="002B29C2"/>
    <w:rsid w:val="002C29DB"/>
    <w:rsid w:val="002C4208"/>
    <w:rsid w:val="002D03C7"/>
    <w:rsid w:val="002E0E4B"/>
    <w:rsid w:val="00332DF1"/>
    <w:rsid w:val="003447A1"/>
    <w:rsid w:val="00352DE1"/>
    <w:rsid w:val="003728E6"/>
    <w:rsid w:val="003819C5"/>
    <w:rsid w:val="00381FE6"/>
    <w:rsid w:val="0039546B"/>
    <w:rsid w:val="003A7BDE"/>
    <w:rsid w:val="003B5E0E"/>
    <w:rsid w:val="003D255A"/>
    <w:rsid w:val="00416949"/>
    <w:rsid w:val="004370D8"/>
    <w:rsid w:val="00472C43"/>
    <w:rsid w:val="004742B9"/>
    <w:rsid w:val="00475C82"/>
    <w:rsid w:val="004A33AA"/>
    <w:rsid w:val="004B00F0"/>
    <w:rsid w:val="004C35AB"/>
    <w:rsid w:val="004F1D5B"/>
    <w:rsid w:val="00537496"/>
    <w:rsid w:val="00544ED3"/>
    <w:rsid w:val="00581CE8"/>
    <w:rsid w:val="0058477B"/>
    <w:rsid w:val="0058654F"/>
    <w:rsid w:val="00596ACA"/>
    <w:rsid w:val="005D2947"/>
    <w:rsid w:val="005E39BC"/>
    <w:rsid w:val="005F00A0"/>
    <w:rsid w:val="00647F33"/>
    <w:rsid w:val="0065762C"/>
    <w:rsid w:val="00662532"/>
    <w:rsid w:val="006A6D9F"/>
    <w:rsid w:val="006B2274"/>
    <w:rsid w:val="006E6930"/>
    <w:rsid w:val="00717C6F"/>
    <w:rsid w:val="00740524"/>
    <w:rsid w:val="007442B8"/>
    <w:rsid w:val="007445DA"/>
    <w:rsid w:val="00754CA8"/>
    <w:rsid w:val="007607E5"/>
    <w:rsid w:val="00780282"/>
    <w:rsid w:val="0079723A"/>
    <w:rsid w:val="007B4FD1"/>
    <w:rsid w:val="00802381"/>
    <w:rsid w:val="008103E3"/>
    <w:rsid w:val="0083096A"/>
    <w:rsid w:val="008430C9"/>
    <w:rsid w:val="0086759F"/>
    <w:rsid w:val="00871F40"/>
    <w:rsid w:val="00883848"/>
    <w:rsid w:val="00897ED5"/>
    <w:rsid w:val="008B6BB9"/>
    <w:rsid w:val="008D3F11"/>
    <w:rsid w:val="00911023"/>
    <w:rsid w:val="00911543"/>
    <w:rsid w:val="00917871"/>
    <w:rsid w:val="00921F9F"/>
    <w:rsid w:val="00946F09"/>
    <w:rsid w:val="009519C9"/>
    <w:rsid w:val="0095573A"/>
    <w:rsid w:val="009B7194"/>
    <w:rsid w:val="009D0B86"/>
    <w:rsid w:val="009D701A"/>
    <w:rsid w:val="009E0D5B"/>
    <w:rsid w:val="009E1558"/>
    <w:rsid w:val="009E6914"/>
    <w:rsid w:val="009E7741"/>
    <w:rsid w:val="00A21A16"/>
    <w:rsid w:val="00A233D1"/>
    <w:rsid w:val="00A30C4E"/>
    <w:rsid w:val="00A37DCA"/>
    <w:rsid w:val="00A42898"/>
    <w:rsid w:val="00A4401C"/>
    <w:rsid w:val="00A57919"/>
    <w:rsid w:val="00A72A78"/>
    <w:rsid w:val="00A916C4"/>
    <w:rsid w:val="00AB6ACE"/>
    <w:rsid w:val="00AC5A3A"/>
    <w:rsid w:val="00AC7E51"/>
    <w:rsid w:val="00AD5631"/>
    <w:rsid w:val="00B336E0"/>
    <w:rsid w:val="00B604BE"/>
    <w:rsid w:val="00B70141"/>
    <w:rsid w:val="00B82FA5"/>
    <w:rsid w:val="00B86B82"/>
    <w:rsid w:val="00BD1400"/>
    <w:rsid w:val="00BD605C"/>
    <w:rsid w:val="00BE2A76"/>
    <w:rsid w:val="00BE4E8E"/>
    <w:rsid w:val="00C053C1"/>
    <w:rsid w:val="00C20431"/>
    <w:rsid w:val="00C23E3C"/>
    <w:rsid w:val="00C36585"/>
    <w:rsid w:val="00C53032"/>
    <w:rsid w:val="00C65E60"/>
    <w:rsid w:val="00CA0102"/>
    <w:rsid w:val="00CA460B"/>
    <w:rsid w:val="00CE5A52"/>
    <w:rsid w:val="00CF7AF3"/>
    <w:rsid w:val="00D26ADA"/>
    <w:rsid w:val="00D3236D"/>
    <w:rsid w:val="00D35A78"/>
    <w:rsid w:val="00D36D8D"/>
    <w:rsid w:val="00D555A1"/>
    <w:rsid w:val="00D64DC2"/>
    <w:rsid w:val="00D76F0A"/>
    <w:rsid w:val="00DA46CA"/>
    <w:rsid w:val="00DA7E39"/>
    <w:rsid w:val="00DC3B35"/>
    <w:rsid w:val="00DF21EB"/>
    <w:rsid w:val="00E05551"/>
    <w:rsid w:val="00E15606"/>
    <w:rsid w:val="00E20E70"/>
    <w:rsid w:val="00E25B68"/>
    <w:rsid w:val="00E309BE"/>
    <w:rsid w:val="00E31985"/>
    <w:rsid w:val="00E37E4F"/>
    <w:rsid w:val="00E4439E"/>
    <w:rsid w:val="00E84003"/>
    <w:rsid w:val="00E93F92"/>
    <w:rsid w:val="00EB34B7"/>
    <w:rsid w:val="00EC10FC"/>
    <w:rsid w:val="00ED080F"/>
    <w:rsid w:val="00ED0A99"/>
    <w:rsid w:val="00EE0041"/>
    <w:rsid w:val="00EE29B9"/>
    <w:rsid w:val="00EF0812"/>
    <w:rsid w:val="00EF51AE"/>
    <w:rsid w:val="00F004EE"/>
    <w:rsid w:val="00F37A29"/>
    <w:rsid w:val="00F42E23"/>
    <w:rsid w:val="00F45EEE"/>
    <w:rsid w:val="00F51E9C"/>
    <w:rsid w:val="00F523CA"/>
    <w:rsid w:val="00F5328E"/>
    <w:rsid w:val="00F533EE"/>
    <w:rsid w:val="00F74954"/>
    <w:rsid w:val="00F74A9D"/>
    <w:rsid w:val="00F753D8"/>
    <w:rsid w:val="00F81323"/>
    <w:rsid w:val="00F86F81"/>
    <w:rsid w:val="00FD676C"/>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3FE039"/>
  <w14:defaultImageDpi w14:val="32767"/>
  <w15:docId w15:val="{2060A57D-6FC4-442E-809E-6D842C81B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5">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3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character" w:styleId="PlaceholderText">
    <w:name w:val="Placeholder Text"/>
    <w:basedOn w:val="DefaultParagraphFont"/>
    <w:uiPriority w:val="99"/>
    <w:semiHidden/>
    <w:locked/>
    <w:rsid w:val="007442B8"/>
    <w:rPr>
      <w:color w:val="808080"/>
    </w:rPr>
  </w:style>
  <w:style w:type="character" w:styleId="Hyperlink">
    <w:name w:val="Hyperlink"/>
    <w:basedOn w:val="DefaultParagraphFont"/>
    <w:uiPriority w:val="49"/>
    <w:unhideWhenUsed/>
    <w:locked/>
    <w:rsid w:val="00FD676C"/>
    <w:rPr>
      <w:color w:val="0000FF" w:themeColor="hyperlink"/>
      <w:u w:val="single"/>
    </w:rPr>
  </w:style>
  <w:style w:type="character" w:styleId="UnresolvedMention">
    <w:name w:val="Unresolved Mention"/>
    <w:basedOn w:val="DefaultParagraphFont"/>
    <w:uiPriority w:val="99"/>
    <w:semiHidden/>
    <w:unhideWhenUsed/>
    <w:rsid w:val="00FD676C"/>
    <w:rPr>
      <w:color w:val="605E5C"/>
      <w:shd w:val="clear" w:color="auto" w:fill="E1DFDD"/>
    </w:rPr>
  </w:style>
  <w:style w:type="paragraph" w:styleId="ListParagraph">
    <w:name w:val="List Paragraph"/>
    <w:basedOn w:val="Normal"/>
    <w:uiPriority w:val="34"/>
    <w:qFormat/>
    <w:locked/>
    <w:rsid w:val="00E93F92"/>
    <w:pPr>
      <w:widowControl w:val="0"/>
      <w:overflowPunct/>
      <w:adjustRightInd/>
      <w:ind w:left="840" w:hanging="361"/>
      <w:jc w:val="both"/>
      <w:textAlignment w:val="auto"/>
    </w:pPr>
    <w:rPr>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0019228">
      <w:bodyDiv w:val="1"/>
      <w:marLeft w:val="0"/>
      <w:marRight w:val="0"/>
      <w:marTop w:val="0"/>
      <w:marBottom w:val="0"/>
      <w:divBdr>
        <w:top w:val="none" w:sz="0" w:space="0" w:color="auto"/>
        <w:left w:val="none" w:sz="0" w:space="0" w:color="auto"/>
        <w:bottom w:val="none" w:sz="0" w:space="0" w:color="auto"/>
        <w:right w:val="none" w:sz="0" w:space="0" w:color="auto"/>
      </w:divBdr>
      <w:divsChild>
        <w:div w:id="1584292569">
          <w:marLeft w:val="0"/>
          <w:marRight w:val="0"/>
          <w:marTop w:val="240"/>
          <w:marBottom w:val="0"/>
          <w:divBdr>
            <w:top w:val="none" w:sz="0" w:space="0" w:color="auto"/>
            <w:left w:val="none" w:sz="0" w:space="0" w:color="auto"/>
            <w:bottom w:val="none" w:sz="0" w:space="0" w:color="auto"/>
            <w:right w:val="none" w:sz="0" w:space="0" w:color="auto"/>
          </w:divBdr>
        </w:div>
      </w:divsChild>
    </w:div>
    <w:div w:id="185526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thrlab.tamu.edu/wire-wrapped-fuel-assembly/"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oi.org/10.1016/j.anucene.2020.10802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917764-AEA4-475C-98AC-229A16355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77</TotalTime>
  <Pages>9</Pages>
  <Words>3865</Words>
  <Characters>22031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subject/>
  <dc:creator>Gemma Anna Ruffino</dc:creator>
  <cp:keywords/>
  <dc:description/>
  <cp:lastModifiedBy>Bovati Davalos, Octavio Fernando</cp:lastModifiedBy>
  <cp:revision>19</cp:revision>
  <cp:lastPrinted>2022-03-04T19:11:00Z</cp:lastPrinted>
  <dcterms:created xsi:type="dcterms:W3CDTF">2021-06-01T16:59:00Z</dcterms:created>
  <dcterms:modified xsi:type="dcterms:W3CDTF">2022-03-04T19:11:00Z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