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E5D08" w14:textId="339154B6" w:rsidR="00E20E70" w:rsidRPr="00EE29B9" w:rsidRDefault="005D7338" w:rsidP="005D7338">
      <w:pPr>
        <w:pStyle w:val="Heading1"/>
      </w:pPr>
      <w:r>
        <w:t>Objectives and status of neutronics sub-exercises of the oecd/nea Benchmark for Uncertainty Analysis in Modelling for Design, Operation and Safety Analysis of SFRs</w:t>
      </w:r>
      <w:r w:rsidR="00101CAB">
        <w:rPr>
          <w:rStyle w:val="FootnoteReference"/>
        </w:rPr>
        <w:footnoteReference w:id="2"/>
      </w:r>
    </w:p>
    <w:p w14:paraId="771E5D0B" w14:textId="2CC95426" w:rsidR="00802381" w:rsidRDefault="00802381" w:rsidP="00537496">
      <w:pPr>
        <w:pStyle w:val="Authornameandaffiliation"/>
      </w:pPr>
    </w:p>
    <w:p w14:paraId="4A9D6BAF" w14:textId="09C8E6C4" w:rsidR="00601EB1" w:rsidRPr="00EC6D94" w:rsidRDefault="00601EB1" w:rsidP="00823168">
      <w:pPr>
        <w:pStyle w:val="Authornameandaffiliation"/>
        <w:ind w:left="562"/>
      </w:pPr>
      <w:r w:rsidRPr="00EC6D94">
        <w:t>F. BOSTELMANN</w:t>
      </w:r>
    </w:p>
    <w:p w14:paraId="0A07CD06" w14:textId="213E16D9" w:rsidR="006E0BEE" w:rsidRPr="00EC6D94" w:rsidRDefault="006E0BEE" w:rsidP="00823168">
      <w:pPr>
        <w:pStyle w:val="Authornameandaffiliation"/>
        <w:ind w:left="562"/>
        <w:rPr>
          <w:lang w:val="en-GB"/>
        </w:rPr>
      </w:pPr>
      <w:r w:rsidRPr="00EC6D94">
        <w:rPr>
          <w:lang w:val="en-GB"/>
        </w:rPr>
        <w:t>Oak Ridge National Laboratory, Oak Ridge, TN, USA</w:t>
      </w:r>
    </w:p>
    <w:p w14:paraId="5D00B738" w14:textId="6D48236B" w:rsidR="00601EB1" w:rsidRPr="00EC6D94" w:rsidRDefault="003D163D" w:rsidP="00823168">
      <w:pPr>
        <w:pStyle w:val="Authornameandaffiliation"/>
        <w:ind w:left="562"/>
        <w:rPr>
          <w:lang w:val="en-GB"/>
        </w:rPr>
      </w:pPr>
      <w:hyperlink r:id="rId8" w:history="1">
        <w:r w:rsidR="00601EB1" w:rsidRPr="00EC6D94">
          <w:rPr>
            <w:rStyle w:val="Hyperlink"/>
            <w:lang w:val="en-GB"/>
          </w:rPr>
          <w:t>bostelmannf@ornl.gov</w:t>
        </w:r>
      </w:hyperlink>
    </w:p>
    <w:p w14:paraId="2427CA30" w14:textId="01ECD37A" w:rsidR="00601EB1" w:rsidRPr="00EC6D94" w:rsidRDefault="00601EB1" w:rsidP="00823168">
      <w:pPr>
        <w:pStyle w:val="Authornameandaffiliation"/>
        <w:ind w:left="562"/>
        <w:rPr>
          <w:lang w:val="en-GB"/>
        </w:rPr>
      </w:pPr>
    </w:p>
    <w:p w14:paraId="75799EE6" w14:textId="0BE5C56B" w:rsidR="00601EB1" w:rsidRPr="00EC6D94" w:rsidRDefault="00493016" w:rsidP="00823168">
      <w:pPr>
        <w:pStyle w:val="Authornameandaffiliation"/>
        <w:ind w:left="562"/>
        <w:rPr>
          <w:lang w:val="en-GB"/>
        </w:rPr>
      </w:pPr>
      <w:r w:rsidRPr="00EC6D94">
        <w:rPr>
          <w:lang w:val="en-GB"/>
        </w:rPr>
        <w:t>L. BUIRON</w:t>
      </w:r>
    </w:p>
    <w:p w14:paraId="68511580" w14:textId="74DD3830" w:rsidR="006E0BEE" w:rsidRPr="00EC6D94" w:rsidRDefault="006E0BEE" w:rsidP="00823168">
      <w:pPr>
        <w:pStyle w:val="Authornameandaffiliation"/>
        <w:ind w:left="562"/>
        <w:rPr>
          <w:lang w:val="en-GB"/>
        </w:rPr>
      </w:pPr>
      <w:r w:rsidRPr="00EC6D94">
        <w:rPr>
          <w:lang w:val="en-GB"/>
        </w:rPr>
        <w:t>French Alternative and Atomic Energy Commission (CEA), Saint-Paul-lez-Durance, France</w:t>
      </w:r>
    </w:p>
    <w:p w14:paraId="0EDBD713" w14:textId="36A5BD30" w:rsidR="00C300C1" w:rsidRPr="00EC6D94" w:rsidRDefault="00C300C1" w:rsidP="00823168">
      <w:pPr>
        <w:pStyle w:val="Authornameandaffiliation"/>
        <w:ind w:left="562"/>
        <w:rPr>
          <w:lang w:val="en-GB"/>
        </w:rPr>
      </w:pPr>
    </w:p>
    <w:p w14:paraId="0F57A0F3" w14:textId="1BFF5DFC" w:rsidR="00C300C1" w:rsidRPr="00EC6D94" w:rsidRDefault="00493016" w:rsidP="00823168">
      <w:pPr>
        <w:pStyle w:val="Authornameandaffiliation"/>
        <w:ind w:left="562"/>
        <w:rPr>
          <w:lang w:val="de-DE"/>
        </w:rPr>
      </w:pPr>
      <w:r w:rsidRPr="00EC6D94">
        <w:rPr>
          <w:lang w:val="de-DE"/>
        </w:rPr>
        <w:t>A. AURES, N. BERNER, K. VELKOV, W. ZWERMANN</w:t>
      </w:r>
    </w:p>
    <w:p w14:paraId="09B2C3CB" w14:textId="1FD6AB55" w:rsidR="006E0BEE" w:rsidRPr="00EC6D94" w:rsidRDefault="006E0BEE" w:rsidP="00823168">
      <w:pPr>
        <w:pStyle w:val="Authornameandaffiliation"/>
        <w:ind w:left="562"/>
        <w:rPr>
          <w:lang w:val="de-DE"/>
        </w:rPr>
      </w:pPr>
      <w:r w:rsidRPr="00EC6D94">
        <w:rPr>
          <w:lang w:val="de-DE"/>
        </w:rPr>
        <w:t>Gesellschaft für Anlagen- und Reaktorsicherheit (GRS) gGmbH, Garching, Germany</w:t>
      </w:r>
    </w:p>
    <w:p w14:paraId="1E9CA476" w14:textId="3123ED60" w:rsidR="00C300C1" w:rsidRPr="00EC6D94" w:rsidRDefault="00C300C1" w:rsidP="00823168">
      <w:pPr>
        <w:pStyle w:val="Authornameandaffiliation"/>
        <w:ind w:left="562"/>
        <w:rPr>
          <w:lang w:val="de-DE"/>
        </w:rPr>
      </w:pPr>
    </w:p>
    <w:p w14:paraId="4A5642C2" w14:textId="5F6DF399" w:rsidR="00C300C1" w:rsidRPr="00EC6D94" w:rsidRDefault="00493016" w:rsidP="00823168">
      <w:pPr>
        <w:pStyle w:val="Authornameandaffiliation"/>
        <w:ind w:left="562"/>
      </w:pPr>
      <w:r w:rsidRPr="00EC6D94">
        <w:rPr>
          <w:lang w:val="en-GB"/>
        </w:rPr>
        <w:t>I. TRIVEDI, K. ZENG, J. HOU, K. IVANOV</w:t>
      </w:r>
    </w:p>
    <w:p w14:paraId="2A0DF2A0" w14:textId="3ABD99EE" w:rsidR="006E0BEE" w:rsidRPr="00EC6D94" w:rsidRDefault="006E0BEE" w:rsidP="00823168">
      <w:pPr>
        <w:pStyle w:val="Authornameandaffiliation"/>
        <w:ind w:left="562"/>
        <w:rPr>
          <w:lang w:val="en-GB"/>
        </w:rPr>
      </w:pPr>
      <w:r w:rsidRPr="00EC6D94">
        <w:rPr>
          <w:lang w:val="en-GB"/>
        </w:rPr>
        <w:t>North Carolina State University (NCSU), Raleigh, NC, USA</w:t>
      </w:r>
    </w:p>
    <w:p w14:paraId="050C09B0" w14:textId="48512B32" w:rsidR="00C300C1" w:rsidRPr="00EC6D94" w:rsidRDefault="00C300C1" w:rsidP="00823168">
      <w:pPr>
        <w:pStyle w:val="Authornameandaffiliation"/>
        <w:ind w:left="562"/>
        <w:rPr>
          <w:lang w:val="en-GB"/>
        </w:rPr>
      </w:pPr>
    </w:p>
    <w:p w14:paraId="6CF2F859" w14:textId="2E5B2BA8" w:rsidR="00C300C1" w:rsidRPr="00EC6D94" w:rsidRDefault="00493016" w:rsidP="00823168">
      <w:pPr>
        <w:pStyle w:val="Authornameandaffiliation"/>
        <w:ind w:left="562"/>
        <w:rPr>
          <w:lang w:val="en-GB"/>
        </w:rPr>
      </w:pPr>
      <w:r w:rsidRPr="002B49FB">
        <w:t>N. STAUFF</w:t>
      </w:r>
    </w:p>
    <w:p w14:paraId="7421C095" w14:textId="16C71914" w:rsidR="006E0BEE" w:rsidRPr="00EC6D94" w:rsidRDefault="006E0BEE" w:rsidP="00823168">
      <w:pPr>
        <w:pStyle w:val="Authornameandaffiliation"/>
        <w:ind w:left="562"/>
        <w:rPr>
          <w:lang w:val="en-GB"/>
        </w:rPr>
      </w:pPr>
      <w:r w:rsidRPr="00EC6D94">
        <w:rPr>
          <w:lang w:val="en-GB"/>
        </w:rPr>
        <w:t>Argonne National Laboratory (ANL), Lemont, IL, USA</w:t>
      </w:r>
    </w:p>
    <w:p w14:paraId="54FF2EC4" w14:textId="7F387A1F" w:rsidR="00C300C1" w:rsidRPr="00EC6D94" w:rsidRDefault="00C300C1" w:rsidP="00823168">
      <w:pPr>
        <w:pStyle w:val="Authornameandaffiliation"/>
        <w:ind w:left="562"/>
        <w:rPr>
          <w:lang w:val="en-GB"/>
        </w:rPr>
      </w:pPr>
    </w:p>
    <w:p w14:paraId="34B1E81B" w14:textId="6A3D8484" w:rsidR="00C300C1" w:rsidRPr="002B49FB" w:rsidRDefault="00493016" w:rsidP="00823168">
      <w:pPr>
        <w:pStyle w:val="Authornameandaffiliation"/>
        <w:ind w:left="562"/>
      </w:pPr>
      <w:r w:rsidRPr="002B49FB">
        <w:t>Y. JO, X. DU, D. LEE</w:t>
      </w:r>
    </w:p>
    <w:p w14:paraId="4DE619E0" w14:textId="2512CA56" w:rsidR="006E0BEE" w:rsidRPr="00EC6D94" w:rsidRDefault="006E0BEE" w:rsidP="00823168">
      <w:pPr>
        <w:pStyle w:val="Authornameandaffiliation"/>
        <w:ind w:left="562"/>
        <w:rPr>
          <w:lang w:val="en-GB"/>
        </w:rPr>
      </w:pPr>
      <w:r w:rsidRPr="00EC6D94">
        <w:rPr>
          <w:lang w:val="en-GB"/>
        </w:rPr>
        <w:t>Ulsan National Institute of Science and Technology (UNIST), Ulsan, South Korea</w:t>
      </w:r>
    </w:p>
    <w:p w14:paraId="31F5819E" w14:textId="3FDE238E" w:rsidR="00C300C1" w:rsidRPr="00EC6D94" w:rsidRDefault="00C300C1" w:rsidP="00823168">
      <w:pPr>
        <w:pStyle w:val="Authornameandaffiliation"/>
        <w:ind w:left="562"/>
        <w:rPr>
          <w:lang w:val="en-GB"/>
        </w:rPr>
      </w:pPr>
    </w:p>
    <w:p w14:paraId="4806DFEB" w14:textId="727DBB4A" w:rsidR="00C300C1" w:rsidRPr="00EC6D94" w:rsidRDefault="00493016" w:rsidP="00823168">
      <w:pPr>
        <w:pStyle w:val="Authornameandaffiliation"/>
        <w:ind w:left="562"/>
        <w:rPr>
          <w:lang w:val="de-DE"/>
        </w:rPr>
      </w:pPr>
      <w:r w:rsidRPr="00EC6D94">
        <w:rPr>
          <w:lang w:val="de-DE"/>
        </w:rPr>
        <w:t>Q. LIANG, Y. ZHENG, C. WAN</w:t>
      </w:r>
    </w:p>
    <w:p w14:paraId="0F7B890F" w14:textId="1E72605E" w:rsidR="006E0BEE" w:rsidRPr="00EC6D94" w:rsidRDefault="006E0BEE" w:rsidP="00823168">
      <w:pPr>
        <w:pStyle w:val="Authornameandaffiliation"/>
        <w:ind w:left="562"/>
        <w:rPr>
          <w:lang w:val="en-GB"/>
        </w:rPr>
      </w:pPr>
      <w:r w:rsidRPr="00EC6D94">
        <w:rPr>
          <w:lang w:val="en-GB"/>
        </w:rPr>
        <w:t xml:space="preserve">NECP at Xi'an </w:t>
      </w:r>
      <w:proofErr w:type="spellStart"/>
      <w:r w:rsidRPr="00EC6D94">
        <w:rPr>
          <w:lang w:val="en-GB"/>
        </w:rPr>
        <w:t>Jiaotong</w:t>
      </w:r>
      <w:proofErr w:type="spellEnd"/>
      <w:r w:rsidRPr="00EC6D94">
        <w:rPr>
          <w:lang w:val="en-GB"/>
        </w:rPr>
        <w:t xml:space="preserve"> University, Xi’an, China</w:t>
      </w:r>
    </w:p>
    <w:p w14:paraId="19566D03" w14:textId="22A84B4F" w:rsidR="00C300C1" w:rsidRPr="00EC6D94" w:rsidRDefault="00C300C1" w:rsidP="00823168">
      <w:pPr>
        <w:pStyle w:val="Authornameandaffiliation"/>
        <w:ind w:left="562"/>
        <w:rPr>
          <w:lang w:val="en-GB"/>
        </w:rPr>
      </w:pPr>
    </w:p>
    <w:p w14:paraId="2D5DE593" w14:textId="3EE53B13" w:rsidR="00C300C1" w:rsidRPr="002B49FB" w:rsidRDefault="00493016" w:rsidP="00823168">
      <w:pPr>
        <w:pStyle w:val="Authornameandaffiliation"/>
        <w:ind w:left="562"/>
        <w:rPr>
          <w:lang w:val="de-DE"/>
        </w:rPr>
      </w:pPr>
      <w:r w:rsidRPr="00EC6D94">
        <w:rPr>
          <w:lang w:val="de-DE"/>
        </w:rPr>
        <w:t>E. FRIDMAN</w:t>
      </w:r>
    </w:p>
    <w:p w14:paraId="1145C065" w14:textId="4C3F0E54" w:rsidR="006E0BEE" w:rsidRPr="00EC6D94" w:rsidRDefault="006E0BEE" w:rsidP="00823168">
      <w:pPr>
        <w:pStyle w:val="Authornameandaffiliation"/>
        <w:ind w:left="562"/>
        <w:rPr>
          <w:lang w:val="de-DE"/>
        </w:rPr>
      </w:pPr>
      <w:r w:rsidRPr="00EC6D94">
        <w:rPr>
          <w:lang w:val="de-DE"/>
        </w:rPr>
        <w:t>Helmholtz-Zentrum Dresden-Rossendorf (HZDR), Dresden, Germany</w:t>
      </w:r>
    </w:p>
    <w:p w14:paraId="6A12A1A3" w14:textId="72B7E327" w:rsidR="00C300C1" w:rsidRPr="00EC6D94" w:rsidRDefault="00C300C1" w:rsidP="00823168">
      <w:pPr>
        <w:pStyle w:val="Authornameandaffiliation"/>
        <w:ind w:left="562"/>
        <w:rPr>
          <w:lang w:val="de-DE"/>
        </w:rPr>
      </w:pPr>
    </w:p>
    <w:p w14:paraId="13924E79" w14:textId="64DF49B5" w:rsidR="00C300C1" w:rsidRPr="00EC6D94" w:rsidRDefault="00493016" w:rsidP="00823168">
      <w:pPr>
        <w:pStyle w:val="Authornameandaffiliation"/>
        <w:ind w:left="562"/>
        <w:rPr>
          <w:lang w:val="de-DE"/>
        </w:rPr>
      </w:pPr>
      <w:r w:rsidRPr="00EC6D94">
        <w:rPr>
          <w:lang w:val="de-DE"/>
        </w:rPr>
        <w:t>A. PAUTZ</w:t>
      </w:r>
    </w:p>
    <w:p w14:paraId="3BF2A228" w14:textId="2559EDA6" w:rsidR="006E0BEE" w:rsidRPr="00EC6D94" w:rsidRDefault="006E0BEE" w:rsidP="00823168">
      <w:pPr>
        <w:pStyle w:val="Authornameandaffiliation"/>
        <w:ind w:left="562"/>
        <w:rPr>
          <w:lang w:val="de-DE"/>
        </w:rPr>
      </w:pPr>
      <w:r w:rsidRPr="00EC6D94">
        <w:rPr>
          <w:lang w:val="de-DE"/>
        </w:rPr>
        <w:t xml:space="preserve">École </w:t>
      </w:r>
      <w:r w:rsidR="00977A44" w:rsidRPr="00EC6D94">
        <w:rPr>
          <w:lang w:val="de-DE"/>
        </w:rPr>
        <w:t xml:space="preserve">Polytechnique Fédérale </w:t>
      </w:r>
      <w:r w:rsidRPr="00EC6D94">
        <w:rPr>
          <w:lang w:val="de-DE"/>
        </w:rPr>
        <w:t>de Lausanne (EPFL), Lausanne, Switzerland</w:t>
      </w:r>
    </w:p>
    <w:p w14:paraId="2C1676ED" w14:textId="05895505" w:rsidR="00C300C1" w:rsidRPr="00EC6D94" w:rsidRDefault="00C300C1" w:rsidP="00823168">
      <w:pPr>
        <w:pStyle w:val="Authornameandaffiliation"/>
        <w:ind w:left="562"/>
        <w:rPr>
          <w:lang w:val="de-DE"/>
        </w:rPr>
      </w:pPr>
    </w:p>
    <w:p w14:paraId="008F4469" w14:textId="6C38CEDA" w:rsidR="00C300C1" w:rsidRPr="00EC6D94" w:rsidRDefault="00493016" w:rsidP="00823168">
      <w:pPr>
        <w:pStyle w:val="Authornameandaffiliation"/>
        <w:ind w:left="562"/>
      </w:pPr>
      <w:r w:rsidRPr="00EC6D94">
        <w:t>I. HILL</w:t>
      </w:r>
    </w:p>
    <w:p w14:paraId="02484134" w14:textId="2477287E" w:rsidR="006E0BEE" w:rsidRPr="00EC6D94" w:rsidRDefault="006E0BEE" w:rsidP="00823168">
      <w:pPr>
        <w:pStyle w:val="Authornameandaffiliation"/>
        <w:ind w:left="562"/>
        <w:rPr>
          <w:lang w:val="en-GB"/>
        </w:rPr>
      </w:pPr>
      <w:r w:rsidRPr="00EC6D94">
        <w:rPr>
          <w:lang w:val="en-GB"/>
        </w:rPr>
        <w:t>OECD Nuclear Energy Agency (NEA), Boulogne-Billancourt, France</w:t>
      </w:r>
    </w:p>
    <w:p w14:paraId="20265DBC" w14:textId="77777777" w:rsidR="006E0BEE" w:rsidRPr="004465CA" w:rsidRDefault="006E0BEE" w:rsidP="00537496">
      <w:pPr>
        <w:pStyle w:val="Authornameandaffiliation"/>
      </w:pPr>
    </w:p>
    <w:p w14:paraId="771E5D15" w14:textId="77777777" w:rsidR="00647F33" w:rsidRPr="00647F33" w:rsidRDefault="00647F33" w:rsidP="00537496">
      <w:pPr>
        <w:pStyle w:val="Authornameandaffiliation"/>
        <w:rPr>
          <w:b/>
        </w:rPr>
      </w:pPr>
      <w:r w:rsidRPr="00647F33">
        <w:rPr>
          <w:b/>
        </w:rPr>
        <w:t>Abstract</w:t>
      </w:r>
    </w:p>
    <w:p w14:paraId="771E5D16" w14:textId="77777777" w:rsidR="00647F33" w:rsidRDefault="00647F33" w:rsidP="00537496">
      <w:pPr>
        <w:pStyle w:val="Authornameandaffiliation"/>
      </w:pPr>
    </w:p>
    <w:p w14:paraId="090EC614" w14:textId="498B8B93" w:rsidR="00A91B84" w:rsidRDefault="00896C24" w:rsidP="00A86915">
      <w:pPr>
        <w:pStyle w:val="Abstracttext"/>
        <w:jc w:val="both"/>
      </w:pPr>
      <w:r>
        <w:t>The OECD/NEA Benchmark for Uncertainty Analysis in Mode</w:t>
      </w:r>
      <w:r w:rsidR="00C20A0E">
        <w:t>l</w:t>
      </w:r>
      <w:r>
        <w:t>ling (UAM) for Design, Operation and Safety Analysis of Sodium-cooled Fast Reactors (SFRs) was launched in 2015 to study reactivity feedback coefficients and their uncertainties for a medium-sized 1,000 MWth metallic core and</w:t>
      </w:r>
      <w:r w:rsidR="001A5E46">
        <w:t xml:space="preserve"> a</w:t>
      </w:r>
      <w:r>
        <w:t xml:space="preserve"> large 3,600 MWth oxide core</w:t>
      </w:r>
      <w:r w:rsidR="004F5EA6">
        <w:t xml:space="preserve">. </w:t>
      </w:r>
      <w:r>
        <w:t xml:space="preserve">In addition to investigations of full core </w:t>
      </w:r>
      <w:r w:rsidR="00B63033">
        <w:t>models</w:t>
      </w:r>
      <w:r>
        <w:t>, stand-alone multi-scale neutronics analyses of several sub-exercises on the fuel pin and assembly level</w:t>
      </w:r>
      <w:r w:rsidR="001A5E46">
        <w:t>s</w:t>
      </w:r>
      <w:r>
        <w:t xml:space="preserve"> were identified to be relevant for a systematic assessment of the influence of nuclear data in fast reactor simulations. </w:t>
      </w:r>
      <w:r w:rsidR="001A5E46">
        <w:t>W</w:t>
      </w:r>
      <w:r>
        <w:t xml:space="preserve">hen studying simple models, comparisons between computational results using different methods, models, and applied nuclear data libraries can </w:t>
      </w:r>
      <w:r w:rsidR="001A5E46">
        <w:t xml:space="preserve">reveal </w:t>
      </w:r>
      <w:r>
        <w:t xml:space="preserve">the major drivers of observed differences and </w:t>
      </w:r>
      <w:r w:rsidR="003D78F5">
        <w:t>calculated</w:t>
      </w:r>
      <w:r>
        <w:t xml:space="preserve"> uncertainties.</w:t>
      </w:r>
      <w:r w:rsidR="006A4406">
        <w:t xml:space="preserve"> </w:t>
      </w:r>
      <w:r w:rsidR="00EF702D">
        <w:t xml:space="preserve">For </w:t>
      </w:r>
      <w:r w:rsidR="00CB5298">
        <w:t xml:space="preserve">the </w:t>
      </w:r>
      <w:r w:rsidR="00F5119E">
        <w:t>fuel pin and assembly level</w:t>
      </w:r>
      <w:r w:rsidR="001A5E46">
        <w:t>s</w:t>
      </w:r>
      <w:r w:rsidR="00CB5298">
        <w:t>,</w:t>
      </w:r>
      <w:r>
        <w:t xml:space="preserve"> </w:t>
      </w:r>
      <w:r w:rsidR="003D78F5">
        <w:t xml:space="preserve">calculation of </w:t>
      </w:r>
      <w:r>
        <w:t xml:space="preserve">nominal values and corresponding uncertainties of the </w:t>
      </w:r>
      <w:r w:rsidR="004F5EA6">
        <w:t>multiplication factor</w:t>
      </w:r>
      <w:r>
        <w:t>, reactivity effects, and collapsed cross sections are requested. Up to now, 1</w:t>
      </w:r>
      <w:r w:rsidR="003B7A05">
        <w:t>8</w:t>
      </w:r>
      <w:r>
        <w:t xml:space="preserve"> contributions to these sub-exercises </w:t>
      </w:r>
      <w:r w:rsidR="001A5E46">
        <w:t xml:space="preserve">have been </w:t>
      </w:r>
      <w:r>
        <w:t>received</w:t>
      </w:r>
      <w:r w:rsidR="0097633B">
        <w:t xml:space="preserve"> </w:t>
      </w:r>
      <w:r w:rsidR="0097633B" w:rsidRPr="0097633B">
        <w:t>from 9 international institutions</w:t>
      </w:r>
      <w:r>
        <w:t xml:space="preserve">. The preliminary results </w:t>
      </w:r>
      <w:r w:rsidR="0097633B">
        <w:t xml:space="preserve">for </w:t>
      </w:r>
      <w:r>
        <w:t xml:space="preserve"> nominal </w:t>
      </w:r>
      <w:r w:rsidR="0097633B">
        <w:t xml:space="preserve">metrics values </w:t>
      </w:r>
      <w:r>
        <w:t>f</w:t>
      </w:r>
      <w:r w:rsidR="0097633B">
        <w:t>rom</w:t>
      </w:r>
      <w:r>
        <w:t xml:space="preserve"> calculations that were based on the same nuclear data library</w:t>
      </w:r>
      <w:r w:rsidR="0097633B">
        <w:t xml:space="preserve"> show good agreement</w:t>
      </w:r>
      <w:r>
        <w:t>. A similar conclusion was drawn for the comparison of submitted uncertainties: differences in the applied covariance data dominate the cause of differences between results that were obtained using different methods for the neutron transport calculation and uncertainty quantification.</w:t>
      </w:r>
      <w:r w:rsidR="006311E4">
        <w:t xml:space="preserve"> </w:t>
      </w:r>
      <w:r>
        <w:t>Th</w:t>
      </w:r>
      <w:r w:rsidR="00CE2259">
        <w:t>is</w:t>
      </w:r>
      <w:r>
        <w:t xml:space="preserve"> paper provides an overview of the objective and </w:t>
      </w:r>
      <w:r w:rsidR="001A5E46">
        <w:t xml:space="preserve">describes the </w:t>
      </w:r>
      <w:r>
        <w:t xml:space="preserve">status of the sub-exercises of the standalone neutronics phase </w:t>
      </w:r>
      <w:r w:rsidR="001A5E46">
        <w:t xml:space="preserve">for the </w:t>
      </w:r>
      <w:r>
        <w:t xml:space="preserve">UAM SFR benchmark. Preliminary comparisons between results </w:t>
      </w:r>
      <w:r w:rsidR="0097633B">
        <w:t xml:space="preserve">submitted by participants </w:t>
      </w:r>
      <w:r w:rsidR="00B51883">
        <w:t>are</w:t>
      </w:r>
      <w:r>
        <w:t xml:space="preserve"> presented</w:t>
      </w:r>
      <w:r w:rsidR="00FB113B">
        <w:t xml:space="preserve"> and discussed</w:t>
      </w:r>
      <w:r>
        <w:t>.</w:t>
      </w:r>
      <w:r w:rsidR="00A91B84">
        <w:br w:type="page"/>
      </w:r>
    </w:p>
    <w:p w14:paraId="771E5D18" w14:textId="77777777" w:rsidR="00647F33" w:rsidRDefault="00F523CA" w:rsidP="00537496">
      <w:pPr>
        <w:pStyle w:val="Heading2"/>
        <w:numPr>
          <w:ilvl w:val="1"/>
          <w:numId w:val="10"/>
        </w:numPr>
      </w:pPr>
      <w:r>
        <w:lastRenderedPageBreak/>
        <w:t>INTRODUCTION</w:t>
      </w:r>
    </w:p>
    <w:p w14:paraId="5CC68C26" w14:textId="1A0F2EE2" w:rsidR="00144D25" w:rsidRDefault="00002C51" w:rsidP="00BB0E79">
      <w:pPr>
        <w:pStyle w:val="BodyText"/>
      </w:pPr>
      <w:r>
        <w:t xml:space="preserve">The </w:t>
      </w:r>
      <w:r w:rsidR="008D73DA" w:rsidRPr="008D73DA">
        <w:t xml:space="preserve">Organisation for Economic Co-operation and Development </w:t>
      </w:r>
      <w:r w:rsidR="008D73DA">
        <w:t xml:space="preserve">(OECD) / </w:t>
      </w:r>
      <w:r w:rsidR="008D73DA" w:rsidRPr="008D73DA">
        <w:t>Nuclear Energy Agency</w:t>
      </w:r>
      <w:r w:rsidR="008D73DA">
        <w:t xml:space="preserve"> (</w:t>
      </w:r>
      <w:r>
        <w:t>NEA</w:t>
      </w:r>
      <w:r w:rsidR="008D73DA">
        <w:t>)</w:t>
      </w:r>
      <w:r>
        <w:t xml:space="preserve"> Benchmark for Uncertainty Analysis in Model</w:t>
      </w:r>
      <w:r w:rsidR="003258CB">
        <w:t>l</w:t>
      </w:r>
      <w:r>
        <w:t xml:space="preserve">ing (UAM) for Design, Operation and Safety Analysis of Sodium-cooled Fast Reactors (SFRs) was launched in 2015 to study reactivity feedback coefficients and their uncertainties for a medium-sized 1,000 MWth metallic core and a large 3,600 </w:t>
      </w:r>
      <w:proofErr w:type="spellStart"/>
      <w:r>
        <w:t>MWth</w:t>
      </w:r>
      <w:proofErr w:type="spellEnd"/>
      <w:r>
        <w:t xml:space="preserve"> oxide core</w:t>
      </w:r>
      <w:r w:rsidR="00E41BF0">
        <w:t xml:space="preserve"> </w:t>
      </w:r>
      <w:r w:rsidR="00E41BF0">
        <w:fldChar w:fldCharType="begin"/>
      </w:r>
      <w:r w:rsidR="00E41BF0">
        <w:instrText xml:space="preserve"> REF _Ref58595218 \r \h </w:instrText>
      </w:r>
      <w:r w:rsidR="00E41BF0">
        <w:fldChar w:fldCharType="separate"/>
      </w:r>
      <w:r w:rsidR="00483C1D">
        <w:t>[1]</w:t>
      </w:r>
      <w:r w:rsidR="00E41BF0">
        <w:fldChar w:fldCharType="end"/>
      </w:r>
      <w:r>
        <w:t xml:space="preserve">. In addition to investigations </w:t>
      </w:r>
      <w:r w:rsidR="007564E0">
        <w:t>at</w:t>
      </w:r>
      <w:r>
        <w:t xml:space="preserve"> the full core level, stand-alone multi-scale neutronics analyses of several sub-exercises on the fuel pin and assembly level</w:t>
      </w:r>
      <w:r w:rsidR="001A5E46">
        <w:t>s</w:t>
      </w:r>
      <w:r>
        <w:t xml:space="preserve"> were identified to be relevant for a systematic assessment of the influence of </w:t>
      </w:r>
      <w:r w:rsidR="000B1C1E">
        <w:t>uncertainties</w:t>
      </w:r>
      <w:r>
        <w:t xml:space="preserve"> in fast reactor simulations. </w:t>
      </w:r>
      <w:r w:rsidR="001A5E46">
        <w:t>W</w:t>
      </w:r>
      <w:r>
        <w:t xml:space="preserve">hen studying simple models, comparisons between computational results using different methods, models, and applied nuclear data libraries can </w:t>
      </w:r>
      <w:r w:rsidR="001A5E46">
        <w:t xml:space="preserve">reveal </w:t>
      </w:r>
      <w:r>
        <w:t>the major drivers of observed differences and obtained uncertainties.</w:t>
      </w:r>
      <w:r w:rsidR="00BB0E79">
        <w:t xml:space="preserve"> </w:t>
      </w:r>
      <w:r>
        <w:t xml:space="preserve">The original </w:t>
      </w:r>
      <w:r w:rsidR="007564E0">
        <w:t xml:space="preserve">benchmark </w:t>
      </w:r>
      <w:r>
        <w:t xml:space="preserve">specifications </w:t>
      </w:r>
      <w:r w:rsidR="007564E0">
        <w:t xml:space="preserve">for each of the two reactor designs </w:t>
      </w:r>
      <w:r w:rsidR="008D73DA">
        <w:fldChar w:fldCharType="begin"/>
      </w:r>
      <w:r w:rsidR="008D73DA">
        <w:instrText xml:space="preserve"> REF _Ref58595218 \r \h </w:instrText>
      </w:r>
      <w:r w:rsidR="008D73DA">
        <w:fldChar w:fldCharType="separate"/>
      </w:r>
      <w:r w:rsidR="008D73DA">
        <w:t>[1]</w:t>
      </w:r>
      <w:r w:rsidR="008D73DA">
        <w:fldChar w:fldCharType="end"/>
      </w:r>
      <w:r w:rsidR="008D73DA" w:rsidDel="008D73DA">
        <w:t xml:space="preserve"> </w:t>
      </w:r>
      <w:r>
        <w:t xml:space="preserve">were </w:t>
      </w:r>
      <w:r w:rsidR="00BB0E79">
        <w:t xml:space="preserve">therefore </w:t>
      </w:r>
      <w:r>
        <w:t xml:space="preserve">amended by neutronics sub-exercise specifications covering a fuel pin cell, a fuel assembly, and a super cell that </w:t>
      </w:r>
      <w:r w:rsidR="00730BBD">
        <w:t xml:space="preserve">is a small lattice of assemblies with </w:t>
      </w:r>
      <w:r>
        <w:t xml:space="preserve">a central absorber assembly surrounded by fuel assemblies. </w:t>
      </w:r>
    </w:p>
    <w:p w14:paraId="4C45DB3D" w14:textId="4CF10756" w:rsidR="00075DCA" w:rsidRDefault="00AD5385" w:rsidP="00BB0E79">
      <w:pPr>
        <w:pStyle w:val="BodyText"/>
      </w:pPr>
      <w:r>
        <w:t>Although input uncertainties can arise from multiple sources</w:t>
      </w:r>
      <w:r w:rsidR="001A5E46">
        <w:t>—</w:t>
      </w:r>
      <w:r w:rsidR="007E03D8">
        <w:t xml:space="preserve">such as manufacturing uncertainties and uncertainties associated </w:t>
      </w:r>
      <w:r w:rsidR="007E03D8" w:rsidRPr="007E03D8">
        <w:rPr>
          <w:lang w:val="en-US"/>
        </w:rPr>
        <w:t>with methods and modeling approximations utilized</w:t>
      </w:r>
      <w:r w:rsidR="001A5E46">
        <w:t>—</w:t>
      </w:r>
      <w:r>
        <w:t>the focus of the</w:t>
      </w:r>
      <w:r w:rsidR="001A5E46">
        <w:t>se</w:t>
      </w:r>
      <w:r>
        <w:t xml:space="preserve"> </w:t>
      </w:r>
      <w:r w:rsidR="00AD26E4">
        <w:t>sub-</w:t>
      </w:r>
      <w:r>
        <w:t xml:space="preserve">exercises </w:t>
      </w:r>
      <w:r w:rsidR="00B97D7C">
        <w:t>i</w:t>
      </w:r>
      <w:r>
        <w:t>s the analysis of the impact of nuclear data uncertainties.</w:t>
      </w:r>
      <w:r w:rsidR="007E03D8">
        <w:t xml:space="preserve"> </w:t>
      </w:r>
      <w:r w:rsidR="00075DCA">
        <w:rPr>
          <w:color w:val="000000"/>
        </w:rPr>
        <w:t>Uncertainty analys</w:t>
      </w:r>
      <w:r w:rsidR="00162FEF">
        <w:rPr>
          <w:color w:val="000000"/>
        </w:rPr>
        <w:t>e</w:t>
      </w:r>
      <w:r w:rsidR="00075DCA">
        <w:rPr>
          <w:color w:val="000000"/>
        </w:rPr>
        <w:t xml:space="preserve">s </w:t>
      </w:r>
      <w:r w:rsidR="00707BE7">
        <w:rPr>
          <w:color w:val="000000"/>
        </w:rPr>
        <w:t>are</w:t>
      </w:r>
      <w:r w:rsidR="00075DCA">
        <w:rPr>
          <w:color w:val="000000"/>
        </w:rPr>
        <w:t xml:space="preserve"> </w:t>
      </w:r>
      <w:r w:rsidR="007E03D8">
        <w:rPr>
          <w:color w:val="000000"/>
        </w:rPr>
        <w:t xml:space="preserve">requested </w:t>
      </w:r>
      <w:r w:rsidR="00E41BF0">
        <w:rPr>
          <w:color w:val="000000"/>
        </w:rPr>
        <w:t xml:space="preserve">for several </w:t>
      </w:r>
      <w:r w:rsidR="007E03D8">
        <w:rPr>
          <w:color w:val="000000"/>
        </w:rPr>
        <w:t>output quantities</w:t>
      </w:r>
      <w:r w:rsidR="00E41BF0">
        <w:rPr>
          <w:color w:val="000000"/>
        </w:rPr>
        <w:t xml:space="preserve"> of these models</w:t>
      </w:r>
      <w:r w:rsidR="007E03D8">
        <w:rPr>
          <w:color w:val="000000"/>
        </w:rPr>
        <w:t xml:space="preserve"> </w:t>
      </w:r>
      <w:r w:rsidR="00162FEF">
        <w:rPr>
          <w:color w:val="000000"/>
        </w:rPr>
        <w:t xml:space="preserve">using </w:t>
      </w:r>
      <w:r w:rsidR="007E03D8">
        <w:rPr>
          <w:color w:val="000000"/>
        </w:rPr>
        <w:t>d</w:t>
      </w:r>
      <w:r w:rsidR="00075DCA">
        <w:rPr>
          <w:color w:val="000000"/>
        </w:rPr>
        <w:t>ifferent methods, models</w:t>
      </w:r>
      <w:r w:rsidR="00162FEF">
        <w:rPr>
          <w:color w:val="000000"/>
        </w:rPr>
        <w:t>,</w:t>
      </w:r>
      <w:r w:rsidR="00075DCA">
        <w:rPr>
          <w:color w:val="000000"/>
        </w:rPr>
        <w:t xml:space="preserve"> and nuclear data libraries. </w:t>
      </w:r>
      <w:r w:rsidR="007E03D8">
        <w:rPr>
          <w:color w:val="000000"/>
        </w:rPr>
        <w:t xml:space="preserve">For some of the requested quantities, the identification of input parameters that contribute most to the observed output uncertainty, i.e. a sensitivity analysis, </w:t>
      </w:r>
      <w:r w:rsidR="00AF778A">
        <w:rPr>
          <w:color w:val="000000"/>
        </w:rPr>
        <w:t>is</w:t>
      </w:r>
      <w:r w:rsidR="007E03D8">
        <w:rPr>
          <w:color w:val="000000"/>
        </w:rPr>
        <w:t xml:space="preserve"> requested.</w:t>
      </w:r>
    </w:p>
    <w:p w14:paraId="1C5DA794" w14:textId="7DF9B68B" w:rsidR="00DA7676" w:rsidRDefault="00002C51" w:rsidP="00674A7D">
      <w:pPr>
        <w:pStyle w:val="BodyText"/>
      </w:pPr>
      <w:r>
        <w:t xml:space="preserve">Up to now, </w:t>
      </w:r>
      <w:r w:rsidR="004C6D7E">
        <w:t>9 international institution</w:t>
      </w:r>
      <w:r w:rsidR="001A5E46">
        <w:t>s have</w:t>
      </w:r>
      <w:r w:rsidR="004C6D7E">
        <w:t xml:space="preserve"> contributed </w:t>
      </w:r>
      <w:r>
        <w:t>1</w:t>
      </w:r>
      <w:r w:rsidR="003B7A05">
        <w:t>8</w:t>
      </w:r>
      <w:r w:rsidR="004C6D7E">
        <w:t xml:space="preserve"> sets of sub-exercise results based on a wide range of methods and nuclear data libraries</w:t>
      </w:r>
      <w:r>
        <w:t>.</w:t>
      </w:r>
      <w:r w:rsidR="000B1C1E">
        <w:t xml:space="preserve"> </w:t>
      </w:r>
      <w:r w:rsidR="00954180">
        <w:t>This paper provides a brief description of the sub-exercise specifications, lists the details of the participating institutions, and presents p</w:t>
      </w:r>
      <w:r>
        <w:t>reliminary comparisons between submitted results.</w:t>
      </w:r>
    </w:p>
    <w:p w14:paraId="771E5D1B" w14:textId="57AF66C7" w:rsidR="00E25B68" w:rsidRDefault="00DE4B47" w:rsidP="0026525A">
      <w:pPr>
        <w:pStyle w:val="Heading2"/>
        <w:numPr>
          <w:ilvl w:val="1"/>
          <w:numId w:val="10"/>
        </w:numPr>
      </w:pPr>
      <w:r>
        <w:t>BENCHMARK Description</w:t>
      </w:r>
    </w:p>
    <w:p w14:paraId="60E2E1B6" w14:textId="69B502A3" w:rsidR="00B74647" w:rsidRDefault="00B74647" w:rsidP="00B74647">
      <w:pPr>
        <w:pStyle w:val="BodyText"/>
      </w:pPr>
      <w:r>
        <w:t>The models defined in the sub-exercises are derived from the medium-sized metallic core (MET1000) and the large oxide core (MOX3600) of the UAM SFR specifications</w:t>
      </w:r>
      <w:r w:rsidR="00162FEF">
        <w:t>,</w:t>
      </w:r>
      <w:r w:rsidR="0089357E">
        <w:t xml:space="preserve"> both </w:t>
      </w:r>
      <w:r w:rsidR="00162FEF">
        <w:t xml:space="preserve">of which </w:t>
      </w:r>
      <w:r w:rsidR="0089357E">
        <w:t xml:space="preserve">contain fuel at </w:t>
      </w:r>
      <w:r w:rsidR="00162FEF">
        <w:t>the e</w:t>
      </w:r>
      <w:r w:rsidR="0089357E">
        <w:t xml:space="preserve">nd </w:t>
      </w:r>
      <w:r w:rsidR="00162FEF">
        <w:t>o</w:t>
      </w:r>
      <w:r w:rsidR="0089357E">
        <w:t xml:space="preserve">f </w:t>
      </w:r>
      <w:r w:rsidR="00162FEF">
        <w:t>e</w:t>
      </w:r>
      <w:r w:rsidR="0089357E">
        <w:t xml:space="preserve">quilibrium </w:t>
      </w:r>
      <w:r w:rsidR="00162FEF">
        <w:t>c</w:t>
      </w:r>
      <w:r w:rsidR="0089357E">
        <w:t>ycle</w:t>
      </w:r>
      <w:r w:rsidR="00FB4F9C">
        <w:t xml:space="preserve"> </w:t>
      </w:r>
      <w:r w:rsidR="00FB4F9C">
        <w:fldChar w:fldCharType="begin"/>
      </w:r>
      <w:r w:rsidR="00FB4F9C">
        <w:instrText xml:space="preserve"> REF _Ref58595218 \r \h </w:instrText>
      </w:r>
      <w:r w:rsidR="00FB4F9C">
        <w:fldChar w:fldCharType="separate"/>
      </w:r>
      <w:r w:rsidR="00483C1D">
        <w:t>[1]</w:t>
      </w:r>
      <w:r w:rsidR="00FB4F9C">
        <w:fldChar w:fldCharType="end"/>
      </w:r>
      <w:r>
        <w:t xml:space="preserve">. The sub-exercises follow the </w:t>
      </w:r>
      <w:r w:rsidR="00EB2049">
        <w:t>lines</w:t>
      </w:r>
      <w:r w:rsidR="00162FEF">
        <w:t xml:space="preserve"> </w:t>
      </w:r>
      <w:r>
        <w:t xml:space="preserve">of Phase I </w:t>
      </w:r>
      <w:r w:rsidR="00EB2049">
        <w:t>of</w:t>
      </w:r>
      <w:r w:rsidR="00162FEF">
        <w:t xml:space="preserve"> </w:t>
      </w:r>
      <w:r>
        <w:t xml:space="preserve">the OECD/NEA UAM </w:t>
      </w:r>
      <w:r w:rsidR="00107B9E">
        <w:t>Light Water Reactor (</w:t>
      </w:r>
      <w:r>
        <w:t>LWR</w:t>
      </w:r>
      <w:r w:rsidR="00107B9E">
        <w:t>)</w:t>
      </w:r>
      <w:r>
        <w:t xml:space="preserve"> benchmark </w:t>
      </w:r>
      <w:r w:rsidR="00AD5385">
        <w:fldChar w:fldCharType="begin"/>
      </w:r>
      <w:r w:rsidR="00AD5385">
        <w:instrText xml:space="preserve"> REF _Ref58594744 \r \h </w:instrText>
      </w:r>
      <w:r w:rsidR="00AD5385">
        <w:fldChar w:fldCharType="separate"/>
      </w:r>
      <w:r w:rsidR="00483C1D">
        <w:t>[2]</w:t>
      </w:r>
      <w:r w:rsidR="00AD5385">
        <w:fldChar w:fldCharType="end"/>
      </w:r>
      <w:r w:rsidR="00EB2049">
        <w:t>.</w:t>
      </w:r>
      <w:r w:rsidR="00162FEF">
        <w:t xml:space="preserve"> </w:t>
      </w:r>
      <w:r w:rsidR="00EB2049">
        <w:t>E</w:t>
      </w:r>
      <w:r w:rsidR="00F930BC">
        <w:t xml:space="preserve">ach exercise </w:t>
      </w:r>
      <w:r w:rsidR="00073020">
        <w:t xml:space="preserve">is defined </w:t>
      </w:r>
      <w:r w:rsidR="00F930BC">
        <w:t>for both the metallic and the oxide core type</w:t>
      </w:r>
      <w:r w:rsidR="00162FEF">
        <w:t>s</w:t>
      </w:r>
      <w:r w:rsidR="00F930BC">
        <w:t>.</w:t>
      </w:r>
      <w:r w:rsidR="002115E4">
        <w:t xml:space="preserve"> Figures 1–3 show the </w:t>
      </w:r>
      <w:r w:rsidR="000B6798">
        <w:t>MOX3600</w:t>
      </w:r>
      <w:r w:rsidR="002115E4">
        <w:t xml:space="preserve"> models.</w:t>
      </w:r>
    </w:p>
    <w:p w14:paraId="3123131F" w14:textId="57969AF3" w:rsidR="00637613" w:rsidRDefault="009045FA" w:rsidP="00637613">
      <w:pPr>
        <w:pStyle w:val="Heading3"/>
      </w:pPr>
      <w:r>
        <w:t xml:space="preserve">Exercise I-1: </w:t>
      </w:r>
      <w:r w:rsidR="00C9059D">
        <w:t>Fuel pin cell</w:t>
      </w:r>
    </w:p>
    <w:p w14:paraId="77BBCDC0" w14:textId="67037FEC" w:rsidR="00CA715A" w:rsidRDefault="00CA715A" w:rsidP="00076EBB">
      <w:pPr>
        <w:pStyle w:val="BodyText"/>
      </w:pPr>
      <w:r>
        <w:t>Exercise I-1 describes</w:t>
      </w:r>
      <w:r w:rsidR="00076EBB">
        <w:t xml:space="preserve"> an infinite lattice of</w:t>
      </w:r>
      <w:r>
        <w:t xml:space="preserve"> </w:t>
      </w:r>
      <w:r w:rsidR="00076EBB">
        <w:t>two-dimensional hexagonal fuel pin cells composed of fuel cylinders surrounded by cladding and cooled by sodium (Fig</w:t>
      </w:r>
      <w:r w:rsidR="00D3078F">
        <w:t>ure 1</w:t>
      </w:r>
      <w:r w:rsidR="00076EBB">
        <w:t xml:space="preserve">). </w:t>
      </w:r>
      <w:r w:rsidR="00261893">
        <w:t xml:space="preserve">As </w:t>
      </w:r>
      <w:r>
        <w:t xml:space="preserve">leakage effects </w:t>
      </w:r>
      <w:r w:rsidR="00261893">
        <w:t xml:space="preserve">are not accounted for </w:t>
      </w:r>
      <w:r>
        <w:t xml:space="preserve"> </w:t>
      </w:r>
      <w:r w:rsidR="00261893">
        <w:t xml:space="preserve">through this </w:t>
      </w:r>
      <w:r>
        <w:t>very simple model, the identification of the sources of differences between calculations</w:t>
      </w:r>
      <w:r w:rsidR="00076EBB">
        <w:t xml:space="preserve"> are not hidden by the interference of various effects as might occur for a complicated geometry</w:t>
      </w:r>
      <w:r w:rsidR="00162FEF">
        <w:t>, so in this case, identification</w:t>
      </w:r>
      <w:r>
        <w:t xml:space="preserve"> is </w:t>
      </w:r>
      <w:r w:rsidR="00162FEF">
        <w:t>more straightforward</w:t>
      </w:r>
      <w:r>
        <w:t>. Output quantities of interest are the uncertainties of the eigenvalue</w:t>
      </w:r>
      <w:r w:rsidR="00F46D35">
        <w:t xml:space="preserve"> k</w:t>
      </w:r>
      <w:r w:rsidR="00F46D35" w:rsidRPr="00AD26E4">
        <w:rPr>
          <w:vertAlign w:val="subscript"/>
        </w:rPr>
        <w:t>eff</w:t>
      </w:r>
      <w:r>
        <w:t>, several 1-group microscopic cross sections</w:t>
      </w:r>
      <w:r w:rsidR="00767FE6">
        <w:t xml:space="preserve"> (</w:t>
      </w:r>
      <w:r w:rsidR="00767FE6" w:rsidRPr="00767FE6">
        <w:rPr>
          <w:vertAlign w:val="superscript"/>
        </w:rPr>
        <w:t>23</w:t>
      </w:r>
      <w:r w:rsidR="00767FE6">
        <w:t xml:space="preserve">Na elastic scattering in the coolant, </w:t>
      </w:r>
      <w:r w:rsidR="00767FE6" w:rsidRPr="00767FE6">
        <w:rPr>
          <w:vertAlign w:val="superscript"/>
        </w:rPr>
        <w:t>56</w:t>
      </w:r>
      <w:r w:rsidR="00767FE6">
        <w:t xml:space="preserve">Fe elastic scattering in the structural material, </w:t>
      </w:r>
      <w:r w:rsidR="00767FE6" w:rsidRPr="00767FE6">
        <w:rPr>
          <w:vertAlign w:val="superscript"/>
        </w:rPr>
        <w:t>238</w:t>
      </w:r>
      <w:r w:rsidR="00767FE6">
        <w:t xml:space="preserve">U inelastic scattering in fuel, and fission and neutron capture </w:t>
      </w:r>
      <w:r w:rsidR="00237297">
        <w:t>(</w:t>
      </w:r>
      <w:r w:rsidR="00237297" w:rsidRPr="00DA15C7">
        <w:t>n,</w:t>
      </w:r>
      <w:r w:rsidR="00237297" w:rsidRPr="006C0F68">
        <w:rPr>
          <w:rFonts w:ascii="Symbol" w:hAnsi="Symbol"/>
        </w:rPr>
        <w:t>g</w:t>
      </w:r>
      <w:r w:rsidR="00237297">
        <w:t xml:space="preserve">) </w:t>
      </w:r>
      <w:r w:rsidR="00767FE6">
        <w:t xml:space="preserve">of </w:t>
      </w:r>
      <w:r w:rsidR="00767FE6" w:rsidRPr="00767FE6">
        <w:rPr>
          <w:vertAlign w:val="superscript"/>
        </w:rPr>
        <w:t>238</w:t>
      </w:r>
      <w:r w:rsidR="00767FE6">
        <w:t xml:space="preserve">U and several </w:t>
      </w:r>
      <w:r w:rsidR="00995C78">
        <w:t>plutonium</w:t>
      </w:r>
      <w:r w:rsidR="00767FE6">
        <w:t xml:space="preserve"> isotopes in fuel)</w:t>
      </w:r>
      <w:r>
        <w:t xml:space="preserve">, and 1-group homogenized macroscopic </w:t>
      </w:r>
      <w:r w:rsidR="00EC506D">
        <w:t xml:space="preserve">fuel and absorption </w:t>
      </w:r>
      <w:r>
        <w:t>cross section of the fuel region</w:t>
      </w:r>
      <w:r w:rsidR="00E25894">
        <w:t>.</w:t>
      </w:r>
      <w:r w:rsidR="003D71B8">
        <w:t xml:space="preserve"> </w:t>
      </w:r>
    </w:p>
    <w:p w14:paraId="0C798B43" w14:textId="7650B22E" w:rsidR="00CA715A" w:rsidRDefault="009045FA" w:rsidP="00CA715A">
      <w:pPr>
        <w:pStyle w:val="Heading3"/>
      </w:pPr>
      <w:r>
        <w:t xml:space="preserve">Exercise I-2: </w:t>
      </w:r>
      <w:r w:rsidR="00CA715A">
        <w:t>Fuel assembly</w:t>
      </w:r>
    </w:p>
    <w:p w14:paraId="4AFCA877" w14:textId="4BE5814A" w:rsidR="00CA715A" w:rsidRPr="00CA715A" w:rsidRDefault="00076EBB" w:rsidP="001B2B19">
      <w:pPr>
        <w:pStyle w:val="BodyText"/>
      </w:pPr>
      <w:r>
        <w:t xml:space="preserve">Exercise I-2 describes an infinite lattice of </w:t>
      </w:r>
      <w:r w:rsidR="00CA715A">
        <w:t xml:space="preserve">two-dimensional fuel assemblies </w:t>
      </w:r>
      <w:r>
        <w:t xml:space="preserve">that contain 271 fuel pin cells enclosed in a duct composed of structural material (Figure </w:t>
      </w:r>
      <w:r w:rsidR="00FE3E3D">
        <w:t>2</w:t>
      </w:r>
      <w:r>
        <w:t xml:space="preserve">). The analysis </w:t>
      </w:r>
      <w:r w:rsidR="00F46D35">
        <w:t>at</w:t>
      </w:r>
      <w:r>
        <w:t xml:space="preserve"> the assembly level </w:t>
      </w:r>
      <w:r w:rsidR="00CA715A">
        <w:t>is especially important because the</w:t>
      </w:r>
      <w:r>
        <w:t>se models</w:t>
      </w:r>
      <w:r w:rsidR="00CA715A">
        <w:t xml:space="preserve"> are often used </w:t>
      </w:r>
      <w:r w:rsidR="00162FEF">
        <w:t>to</w:t>
      </w:r>
      <w:r w:rsidR="00CA715A">
        <w:t xml:space="preserve"> generat</w:t>
      </w:r>
      <w:r w:rsidR="00162FEF">
        <w:t>e</w:t>
      </w:r>
      <w:r w:rsidR="00CA715A">
        <w:t xml:space="preserve"> lattice physics parameters for full</w:t>
      </w:r>
      <w:r w:rsidR="00162FEF">
        <w:t>-</w:t>
      </w:r>
      <w:r w:rsidR="00CA715A">
        <w:t>core simulations. Output quantities of interest are the uncertainties of the eigenvalue</w:t>
      </w:r>
      <w:r w:rsidR="00A21BB4">
        <w:t xml:space="preserve"> k</w:t>
      </w:r>
      <w:r w:rsidR="00AD26E4" w:rsidRPr="00AD26E4">
        <w:rPr>
          <w:vertAlign w:val="subscript"/>
        </w:rPr>
        <w:t>eff</w:t>
      </w:r>
      <w:r w:rsidR="00CA715A">
        <w:t>, the Doppler constant K</w:t>
      </w:r>
      <w:r w:rsidR="00CA715A" w:rsidRPr="00A21BB4">
        <w:rPr>
          <w:vertAlign w:val="subscript"/>
        </w:rPr>
        <w:t>D</w:t>
      </w:r>
      <w:r w:rsidR="008C36A0">
        <w:t xml:space="preserve">, </w:t>
      </w:r>
      <w:r w:rsidR="00CA715A">
        <w:t xml:space="preserve">and the sodium void coefficient </w:t>
      </w:r>
      <w:r w:rsidR="00CA715A" w:rsidRPr="00A21BB4">
        <w:rPr>
          <w:rFonts w:ascii="Symbol" w:hAnsi="Symbol"/>
        </w:rPr>
        <w:t>Dr</w:t>
      </w:r>
      <w:r w:rsidR="00CA715A" w:rsidRPr="00A21BB4">
        <w:rPr>
          <w:vertAlign w:val="subscript"/>
        </w:rPr>
        <w:t>Na</w:t>
      </w:r>
      <w:r w:rsidR="00CA715A">
        <w:t xml:space="preserve">. For the Doppler constant, the fuel temperature </w:t>
      </w:r>
      <w:r w:rsidR="00F46D35">
        <w:t xml:space="preserve">for the perturbed state </w:t>
      </w:r>
      <w:r w:rsidR="00CA715A">
        <w:t>is doubled</w:t>
      </w:r>
      <w:r w:rsidR="00BE6722">
        <w:t xml:space="preserve"> </w:t>
      </w:r>
      <w:r w:rsidR="00F46D35">
        <w:t xml:space="preserve">compared to its nominal value, </w:t>
      </w:r>
      <w:r w:rsidR="00BE6722">
        <w:t xml:space="preserve">as commonly </w:t>
      </w:r>
      <w:r w:rsidR="00F46D35">
        <w:t>used</w:t>
      </w:r>
      <w:r w:rsidR="00BE6722">
        <w:t xml:space="preserve"> for </w:t>
      </w:r>
      <w:r w:rsidR="00F46D35">
        <w:t xml:space="preserve">such calculations for </w:t>
      </w:r>
      <w:r w:rsidR="00BE6722">
        <w:t>SFRs</w:t>
      </w:r>
      <w:r w:rsidR="00CA715A">
        <w:t>; for the sodium void worth</w:t>
      </w:r>
      <w:r w:rsidR="00F46D35">
        <w:t xml:space="preserve"> calculation</w:t>
      </w:r>
      <w:r w:rsidR="00CA715A">
        <w:t>, all sodium is removed from the model</w:t>
      </w:r>
      <w:r w:rsidR="00742434">
        <w:t xml:space="preserve"> to simulate a loss of coolant</w:t>
      </w:r>
      <w:r w:rsidR="00385C8D">
        <w:t>.</w:t>
      </w:r>
      <w:r w:rsidR="00B93110">
        <w:t xml:space="preserve"> </w:t>
      </w:r>
      <w:r w:rsidR="00CA715A">
        <w:t>Furthermore, the uncertainties of the following homogenized macroscopic 4-group cross sections are requested</w:t>
      </w:r>
      <w:r w:rsidR="002D42F1">
        <w:t xml:space="preserve"> (see Table 4 for the group structure)</w:t>
      </w:r>
      <w:r w:rsidR="00CA715A">
        <w:t xml:space="preserve">: total cross </w:t>
      </w:r>
      <w:r w:rsidR="00CA715A">
        <w:lastRenderedPageBreak/>
        <w:t xml:space="preserve">section </w:t>
      </w:r>
      <w:r w:rsidR="00CA715A" w:rsidRPr="00B93110">
        <w:rPr>
          <w:rFonts w:ascii="Symbol" w:hAnsi="Symbol"/>
        </w:rPr>
        <w:t>S</w:t>
      </w:r>
      <w:r w:rsidR="00CA715A" w:rsidRPr="00B93110">
        <w:rPr>
          <w:vertAlign w:val="subscript"/>
        </w:rPr>
        <w:t>tot</w:t>
      </w:r>
      <w:r w:rsidR="00CA715A">
        <w:t xml:space="preserve">, absorption cross section </w:t>
      </w:r>
      <w:r w:rsidR="00B93110" w:rsidRPr="00B93110">
        <w:rPr>
          <w:rFonts w:ascii="Symbol" w:hAnsi="Symbol"/>
        </w:rPr>
        <w:t>S</w:t>
      </w:r>
      <w:r w:rsidR="00B93110">
        <w:rPr>
          <w:vertAlign w:val="subscript"/>
        </w:rPr>
        <w:t>abs</w:t>
      </w:r>
      <w:r w:rsidR="00B93110">
        <w:t>,</w:t>
      </w:r>
      <w:r w:rsidR="00CC12E3">
        <w:t xml:space="preserve"> the fission cross section</w:t>
      </w:r>
      <w:r w:rsidR="0052271E">
        <w:t xml:space="preserve"> multiplied </w:t>
      </w:r>
      <w:r w:rsidR="00162FEF">
        <w:t xml:space="preserve">by </w:t>
      </w:r>
      <w:r w:rsidR="0052271E">
        <w:t>the number of neutrons released per fission event</w:t>
      </w:r>
      <w:r w:rsidR="00B93110">
        <w:t xml:space="preserve"> </w:t>
      </w:r>
      <w:r w:rsidR="00B93110" w:rsidRPr="00B93110">
        <w:rPr>
          <w:rFonts w:ascii="Symbol" w:hAnsi="Symbol"/>
        </w:rPr>
        <w:t>nS</w:t>
      </w:r>
      <w:r w:rsidR="00B93110">
        <w:rPr>
          <w:vertAlign w:val="subscript"/>
        </w:rPr>
        <w:t>fis</w:t>
      </w:r>
      <w:r w:rsidR="008C36A0">
        <w:t xml:space="preserve">, </w:t>
      </w:r>
      <w:r w:rsidR="00CA715A">
        <w:t xml:space="preserve">and </w:t>
      </w:r>
      <w:r w:rsidR="00A14042">
        <w:t xml:space="preserve">the </w:t>
      </w:r>
      <w:r w:rsidR="00CA715A">
        <w:t xml:space="preserve">total scattering cross section </w:t>
      </w:r>
      <w:r w:rsidR="00B93110" w:rsidRPr="00B93110">
        <w:rPr>
          <w:rFonts w:ascii="Symbol" w:hAnsi="Symbol"/>
        </w:rPr>
        <w:t>S</w:t>
      </w:r>
      <w:r w:rsidR="00B93110">
        <w:rPr>
          <w:vertAlign w:val="subscript"/>
        </w:rPr>
        <w:t>s</w:t>
      </w:r>
      <w:r w:rsidR="00B93110">
        <w:t xml:space="preserve"> </w:t>
      </w:r>
      <w:r w:rsidR="00CA715A">
        <w:t>(i.e.</w:t>
      </w:r>
      <w:r w:rsidR="008C36A0">
        <w:t>,</w:t>
      </w:r>
      <w:r w:rsidR="00CA715A">
        <w:t xml:space="preserve"> the total scattering from an individual energy group to all other groups).</w:t>
      </w:r>
    </w:p>
    <w:p w14:paraId="59D7B5B8" w14:textId="45C0F3FA" w:rsidR="00CA715A" w:rsidRPr="00EE0041" w:rsidRDefault="00371729" w:rsidP="00CA715A">
      <w:pPr>
        <w:pStyle w:val="Heading3"/>
      </w:pPr>
      <w:r>
        <w:t>Exercise I-</w:t>
      </w:r>
      <w:r w:rsidR="003001E5">
        <w:t>3</w:t>
      </w:r>
      <w:r>
        <w:t xml:space="preserve">: </w:t>
      </w:r>
      <w:r w:rsidR="00CA715A">
        <w:t>Supercell</w:t>
      </w:r>
    </w:p>
    <w:p w14:paraId="16E0D1F6" w14:textId="46F68E0B" w:rsidR="00CA715A" w:rsidRDefault="00076EBB" w:rsidP="00F01A48">
      <w:pPr>
        <w:pStyle w:val="BodyText"/>
      </w:pPr>
      <w:r>
        <w:t>Exercise I-3 describes an infinite lattice of a two-dimensional hexagonal primary control assembly surrounded by fuel assemblies</w:t>
      </w:r>
      <w:r w:rsidR="00FE3E3D">
        <w:t xml:space="preserve"> (Figure 3)</w:t>
      </w:r>
      <w:r>
        <w:t xml:space="preserve">. Such a supercell model is sometimes used </w:t>
      </w:r>
      <w:r w:rsidR="009E7341">
        <w:t>to</w:t>
      </w:r>
      <w:r w:rsidR="00CA715A">
        <w:t xml:space="preserve"> generat</w:t>
      </w:r>
      <w:r w:rsidR="009E7341">
        <w:t>e</w:t>
      </w:r>
      <w:r w:rsidR="00CA715A">
        <w:t xml:space="preserve"> </w:t>
      </w:r>
      <w:r w:rsidR="009E7341">
        <w:t xml:space="preserve">the </w:t>
      </w:r>
      <w:r w:rsidR="00CA715A">
        <w:t>lattice</w:t>
      </w:r>
      <w:r w:rsidR="009E7341">
        <w:t>’s</w:t>
      </w:r>
      <w:r w:rsidR="00CA715A">
        <w:t xml:space="preserve"> physics parameters for non-multiplying assemblies</w:t>
      </w:r>
      <w:r>
        <w:t xml:space="preserve"> in which </w:t>
      </w:r>
      <w:r w:rsidR="00CA715A">
        <w:t xml:space="preserve">fuel assemblies provide a representative neutron flux spectrum. The control assembly </w:t>
      </w:r>
      <w:r w:rsidR="009E7341">
        <w:t>includes</w:t>
      </w:r>
      <w:r w:rsidR="00CA715A">
        <w:t xml:space="preserve"> an outer and an interior duct. The absorber rods are included in the interior duct</w:t>
      </w:r>
      <w:r w:rsidR="009E7341">
        <w:t>,</w:t>
      </w:r>
      <w:r w:rsidR="00CA715A">
        <w:t xml:space="preserve"> and </w:t>
      </w:r>
      <w:r w:rsidR="009E7341">
        <w:t xml:space="preserve">they </w:t>
      </w:r>
      <w:r w:rsidR="00CA715A">
        <w:t>consist of tubes made of structural material</w:t>
      </w:r>
      <w:r w:rsidR="003001E5">
        <w:t>s</w:t>
      </w:r>
      <w:r w:rsidR="00CA715A">
        <w:t xml:space="preserve"> that contain boron carbide pellets. Output quantities of interest are the uncertainties of the eigenvalue, </w:t>
      </w:r>
      <w:r w:rsidR="009E7341">
        <w:t xml:space="preserve">as well as </w:t>
      </w:r>
      <w:r w:rsidR="00CA715A">
        <w:t>the control rod worth</w:t>
      </w:r>
      <w:r w:rsidR="00B2744B" w:rsidRPr="00B2744B">
        <w:rPr>
          <w:rFonts w:ascii="Symbol" w:hAnsi="Symbol"/>
        </w:rPr>
        <w:t xml:space="preserve"> </w:t>
      </w:r>
      <w:r w:rsidR="00B2744B" w:rsidRPr="00A21BB4">
        <w:rPr>
          <w:rFonts w:ascii="Symbol" w:hAnsi="Symbol"/>
        </w:rPr>
        <w:t>D</w:t>
      </w:r>
      <w:r w:rsidR="00B2744B" w:rsidRPr="003F325B">
        <w:rPr>
          <w:rFonts w:ascii="Symbol" w:hAnsi="Symbol"/>
        </w:rPr>
        <w:t>r</w:t>
      </w:r>
      <w:r w:rsidR="00B2744B" w:rsidRPr="003F325B">
        <w:rPr>
          <w:vertAlign w:val="subscript"/>
        </w:rPr>
        <w:t>CR</w:t>
      </w:r>
      <w:r w:rsidR="00CA715A">
        <w:t xml:space="preserve"> in the form of the reactivity difference between the nominal model and a model in which the primary control assembly is removed. </w:t>
      </w:r>
      <w:r w:rsidR="004B79F2">
        <w:t>U</w:t>
      </w:r>
      <w:r w:rsidR="00CA715A">
        <w:t xml:space="preserve">ncertainties of homogenized macroscopic 4-group cross sections </w:t>
      </w:r>
      <w:r w:rsidR="00EB2049">
        <w:t>a</w:t>
      </w:r>
      <w:r w:rsidR="00CA715A">
        <w:t>re requested</w:t>
      </w:r>
      <w:r w:rsidR="009E7341">
        <w:t xml:space="preserve"> </w:t>
      </w:r>
      <w:r w:rsidR="004B79F2">
        <w:t xml:space="preserve">similar to </w:t>
      </w:r>
      <w:r w:rsidR="009E7341">
        <w:t xml:space="preserve">that of </w:t>
      </w:r>
      <w:r w:rsidR="004B79F2">
        <w:t>the fuel assembly level</w:t>
      </w:r>
      <w:r w:rsidR="001B2B19">
        <w:t>.</w:t>
      </w:r>
    </w:p>
    <w:p w14:paraId="1E02086E" w14:textId="77777777" w:rsidR="00FE0A7D" w:rsidRDefault="00FE0A7D" w:rsidP="00F01A48">
      <w:pPr>
        <w:pStyle w:val="BodyText"/>
      </w:pPr>
    </w:p>
    <w:p w14:paraId="66202D75" w14:textId="7B7CC4A1" w:rsidR="00CD5650" w:rsidRDefault="00CD5650" w:rsidP="008536A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311"/>
        <w:gridCol w:w="3006"/>
      </w:tblGrid>
      <w:tr w:rsidR="00CD5650" w14:paraId="05893F37" w14:textId="77777777" w:rsidTr="00063810">
        <w:trPr>
          <w:trHeight w:val="2681"/>
        </w:trPr>
        <w:tc>
          <w:tcPr>
            <w:tcW w:w="2700" w:type="dxa"/>
          </w:tcPr>
          <w:p w14:paraId="54D1B2C3" w14:textId="77777777" w:rsidR="00CD5650" w:rsidRDefault="00CD5650" w:rsidP="009F323E">
            <w:pPr>
              <w:pStyle w:val="BodyText"/>
              <w:ind w:firstLine="0"/>
              <w:jc w:val="left"/>
            </w:pPr>
            <w:r>
              <w:rPr>
                <w:noProof/>
              </w:rPr>
              <w:drawing>
                <wp:inline distT="0" distB="0" distL="0" distR="0" wp14:anchorId="5216D935" wp14:editId="2D45269E">
                  <wp:extent cx="1246140" cy="1453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140" cy="1453830"/>
                          </a:xfrm>
                          <a:prstGeom prst="rect">
                            <a:avLst/>
                          </a:prstGeom>
                        </pic:spPr>
                      </pic:pic>
                    </a:graphicData>
                  </a:graphic>
                </wp:inline>
              </w:drawing>
            </w:r>
          </w:p>
          <w:p w14:paraId="3000D346" w14:textId="4E1E76D2" w:rsidR="00CD5650" w:rsidRDefault="00CD5650" w:rsidP="008536A0">
            <w:pPr>
              <w:pStyle w:val="BodyText"/>
              <w:ind w:firstLine="0"/>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1</w:t>
            </w:r>
            <w:r w:rsidRPr="00802381">
              <w:rPr>
                <w:i/>
              </w:rPr>
              <w:fldChar w:fldCharType="end"/>
            </w:r>
            <w:r>
              <w:rPr>
                <w:i/>
              </w:rPr>
              <w:t xml:space="preserve">. </w:t>
            </w:r>
            <w:r w:rsidR="000B6798">
              <w:rPr>
                <w:i/>
              </w:rPr>
              <w:t xml:space="preserve">MOX3600 </w:t>
            </w:r>
            <w:r>
              <w:rPr>
                <w:i/>
              </w:rPr>
              <w:t>pin cell</w:t>
            </w:r>
            <w:r w:rsidR="00A8209D">
              <w:rPr>
                <w:i/>
              </w:rPr>
              <w:t xml:space="preserve"> </w:t>
            </w:r>
            <w:r w:rsidR="00A8209D">
              <w:rPr>
                <w:i/>
              </w:rPr>
              <w:fldChar w:fldCharType="begin"/>
            </w:r>
            <w:r w:rsidR="00A8209D">
              <w:rPr>
                <w:i/>
              </w:rPr>
              <w:instrText xml:space="preserve"> REF _Ref58595218 \r \h </w:instrText>
            </w:r>
            <w:r w:rsidR="00A8209D">
              <w:rPr>
                <w:i/>
              </w:rPr>
            </w:r>
            <w:r w:rsidR="00A8209D">
              <w:rPr>
                <w:i/>
              </w:rPr>
              <w:fldChar w:fldCharType="separate"/>
            </w:r>
            <w:r w:rsidR="00483C1D">
              <w:rPr>
                <w:i/>
              </w:rPr>
              <w:t>[1]</w:t>
            </w:r>
            <w:r w:rsidR="00A8209D">
              <w:rPr>
                <w:i/>
              </w:rPr>
              <w:fldChar w:fldCharType="end"/>
            </w:r>
            <w:r>
              <w:rPr>
                <w:i/>
              </w:rPr>
              <w:t>.</w:t>
            </w:r>
          </w:p>
        </w:tc>
        <w:tc>
          <w:tcPr>
            <w:tcW w:w="3311" w:type="dxa"/>
          </w:tcPr>
          <w:p w14:paraId="3DA48AF2" w14:textId="77777777" w:rsidR="00CD5650" w:rsidRDefault="00CD5650" w:rsidP="009F323E">
            <w:pPr>
              <w:pStyle w:val="BodyText"/>
              <w:ind w:firstLine="0"/>
              <w:jc w:val="center"/>
            </w:pPr>
            <w:r>
              <w:rPr>
                <w:noProof/>
              </w:rPr>
              <w:drawing>
                <wp:inline distT="0" distB="0" distL="0" distR="0" wp14:anchorId="1D617547" wp14:editId="2E6C467D">
                  <wp:extent cx="1741251" cy="14820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4062" cy="1484480"/>
                          </a:xfrm>
                          <a:prstGeom prst="rect">
                            <a:avLst/>
                          </a:prstGeom>
                        </pic:spPr>
                      </pic:pic>
                    </a:graphicData>
                  </a:graphic>
                </wp:inline>
              </w:drawing>
            </w:r>
          </w:p>
          <w:p w14:paraId="2AB5E8EA" w14:textId="20B7F5A7" w:rsidR="00CD5650" w:rsidRDefault="00CD5650" w:rsidP="00CD5650">
            <w:pPr>
              <w:pStyle w:val="BodyText"/>
              <w:ind w:firstLine="0"/>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2</w:t>
            </w:r>
            <w:r w:rsidRPr="00802381">
              <w:rPr>
                <w:i/>
              </w:rPr>
              <w:fldChar w:fldCharType="end"/>
            </w:r>
            <w:r>
              <w:rPr>
                <w:i/>
              </w:rPr>
              <w:t xml:space="preserve">. </w:t>
            </w:r>
            <w:r w:rsidR="000B6798">
              <w:rPr>
                <w:i/>
              </w:rPr>
              <w:t xml:space="preserve">MOX3600 </w:t>
            </w:r>
            <w:r>
              <w:rPr>
                <w:i/>
              </w:rPr>
              <w:t>assembly</w:t>
            </w:r>
            <w:r w:rsidR="00A8209D">
              <w:rPr>
                <w:i/>
              </w:rPr>
              <w:t xml:space="preserve"> </w:t>
            </w:r>
            <w:r w:rsidR="00A8209D">
              <w:rPr>
                <w:i/>
              </w:rPr>
              <w:fldChar w:fldCharType="begin"/>
            </w:r>
            <w:r w:rsidR="00A8209D">
              <w:rPr>
                <w:i/>
              </w:rPr>
              <w:instrText xml:space="preserve"> REF _Ref58595218 \r \h </w:instrText>
            </w:r>
            <w:r w:rsidR="00A8209D">
              <w:rPr>
                <w:i/>
              </w:rPr>
            </w:r>
            <w:r w:rsidR="00A8209D">
              <w:rPr>
                <w:i/>
              </w:rPr>
              <w:fldChar w:fldCharType="separate"/>
            </w:r>
            <w:r w:rsidR="00483C1D">
              <w:rPr>
                <w:i/>
              </w:rPr>
              <w:t>[1]</w:t>
            </w:r>
            <w:r w:rsidR="00A8209D">
              <w:rPr>
                <w:i/>
              </w:rPr>
              <w:fldChar w:fldCharType="end"/>
            </w:r>
            <w:r>
              <w:rPr>
                <w:i/>
              </w:rPr>
              <w:t>.</w:t>
            </w:r>
          </w:p>
        </w:tc>
        <w:tc>
          <w:tcPr>
            <w:tcW w:w="3006" w:type="dxa"/>
          </w:tcPr>
          <w:p w14:paraId="3FFED874" w14:textId="77777777" w:rsidR="00CD5650" w:rsidRDefault="00CD5650" w:rsidP="009F323E">
            <w:pPr>
              <w:pStyle w:val="BodyText"/>
              <w:ind w:firstLine="0"/>
              <w:jc w:val="right"/>
            </w:pPr>
            <w:r>
              <w:rPr>
                <w:noProof/>
              </w:rPr>
              <w:drawing>
                <wp:inline distT="0" distB="0" distL="0" distR="0" wp14:anchorId="7FDB4634" wp14:editId="62F93711">
                  <wp:extent cx="1764485" cy="15113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485" cy="1511320"/>
                          </a:xfrm>
                          <a:prstGeom prst="rect">
                            <a:avLst/>
                          </a:prstGeom>
                        </pic:spPr>
                      </pic:pic>
                    </a:graphicData>
                  </a:graphic>
                </wp:inline>
              </w:drawing>
            </w:r>
          </w:p>
          <w:p w14:paraId="1FB53399" w14:textId="71F4013C" w:rsidR="00CD5650" w:rsidRDefault="00CD5650" w:rsidP="00CD5650">
            <w:pPr>
              <w:pStyle w:val="BodyText"/>
              <w:ind w:firstLine="0"/>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3</w:t>
            </w:r>
            <w:r w:rsidRPr="00802381">
              <w:rPr>
                <w:i/>
              </w:rPr>
              <w:fldChar w:fldCharType="end"/>
            </w:r>
            <w:r>
              <w:rPr>
                <w:i/>
              </w:rPr>
              <w:t xml:space="preserve">. </w:t>
            </w:r>
            <w:r w:rsidR="000B6798">
              <w:rPr>
                <w:i/>
              </w:rPr>
              <w:t>MOX3600</w:t>
            </w:r>
            <w:r>
              <w:rPr>
                <w:i/>
              </w:rPr>
              <w:t xml:space="preserve"> super cell</w:t>
            </w:r>
            <w:r w:rsidR="00A8209D">
              <w:rPr>
                <w:i/>
              </w:rPr>
              <w:t xml:space="preserve"> </w:t>
            </w:r>
            <w:r w:rsidR="00A8209D">
              <w:rPr>
                <w:i/>
              </w:rPr>
              <w:fldChar w:fldCharType="begin"/>
            </w:r>
            <w:r w:rsidR="00A8209D">
              <w:rPr>
                <w:i/>
              </w:rPr>
              <w:instrText xml:space="preserve"> REF _Ref58595218 \r \h </w:instrText>
            </w:r>
            <w:r w:rsidR="00A8209D">
              <w:rPr>
                <w:i/>
              </w:rPr>
            </w:r>
            <w:r w:rsidR="00A8209D">
              <w:rPr>
                <w:i/>
              </w:rPr>
              <w:fldChar w:fldCharType="separate"/>
            </w:r>
            <w:r w:rsidR="00483C1D">
              <w:rPr>
                <w:i/>
              </w:rPr>
              <w:t>[1]</w:t>
            </w:r>
            <w:r w:rsidR="00A8209D">
              <w:rPr>
                <w:i/>
              </w:rPr>
              <w:fldChar w:fldCharType="end"/>
            </w:r>
            <w:r>
              <w:rPr>
                <w:i/>
              </w:rPr>
              <w:t>.</w:t>
            </w:r>
          </w:p>
        </w:tc>
      </w:tr>
    </w:tbl>
    <w:p w14:paraId="1451AF90" w14:textId="4346460B" w:rsidR="008959DD" w:rsidRDefault="008959DD" w:rsidP="00DC1058">
      <w:pPr>
        <w:pStyle w:val="BodyText"/>
        <w:ind w:firstLine="0"/>
      </w:pPr>
    </w:p>
    <w:p w14:paraId="025DA2FF" w14:textId="77777777" w:rsidR="00E45B9E" w:rsidRDefault="00E45B9E" w:rsidP="00E45B9E">
      <w:pPr>
        <w:pStyle w:val="Heading2"/>
        <w:numPr>
          <w:ilvl w:val="1"/>
          <w:numId w:val="10"/>
        </w:numPr>
      </w:pPr>
      <w:r>
        <w:t>Calculation methodologies</w:t>
      </w:r>
    </w:p>
    <w:p w14:paraId="70C70E33" w14:textId="065B8657" w:rsidR="000E5E78" w:rsidRDefault="00C2402E" w:rsidP="00087904">
      <w:pPr>
        <w:pStyle w:val="BodyText"/>
      </w:pPr>
      <w:r w:rsidRPr="00C2402E">
        <w:t xml:space="preserve">Nine participating institutions </w:t>
      </w:r>
      <w:r w:rsidR="009E7341">
        <w:t xml:space="preserve">have </w:t>
      </w:r>
      <w:r w:rsidRPr="00C2402E">
        <w:t xml:space="preserve">provided results for at least one of the </w:t>
      </w:r>
      <w:r w:rsidR="000E5E78">
        <w:t>exercises or one of the reactor designs</w:t>
      </w:r>
      <w:r w:rsidR="009E7341">
        <w:t>,</w:t>
      </w:r>
      <w:r w:rsidRPr="00C2402E">
        <w:t xml:space="preserve"> and additional participants might contribute in the future. </w:t>
      </w:r>
      <w:r w:rsidR="00E67237">
        <w:t xml:space="preserve">A wide variety of calculation methods were used, as summarized in </w:t>
      </w:r>
      <w:r w:rsidR="000E5E78">
        <w:t xml:space="preserve">Table </w:t>
      </w:r>
      <w:r w:rsidR="00F43A65">
        <w:t>1.</w:t>
      </w:r>
      <w:r w:rsidR="00DC127D">
        <w:t xml:space="preserve"> </w:t>
      </w:r>
      <w:r w:rsidR="00DC127D" w:rsidRPr="00DC127D">
        <w:t xml:space="preserve">Most of the participants used the ENDF/B-VII.1 </w:t>
      </w:r>
      <w:r w:rsidR="00E67237">
        <w:t>cross section</w:t>
      </w:r>
      <w:r w:rsidR="00DC127D" w:rsidRPr="00DC127D">
        <w:t xml:space="preserve"> library </w:t>
      </w:r>
      <w:r w:rsidR="00CD1E7A">
        <w:fldChar w:fldCharType="begin"/>
      </w:r>
      <w:r w:rsidR="00CD1E7A">
        <w:instrText xml:space="preserve"> REF _Ref64302780 \r \h </w:instrText>
      </w:r>
      <w:r w:rsidR="00CD1E7A">
        <w:fldChar w:fldCharType="separate"/>
      </w:r>
      <w:r w:rsidR="00483C1D">
        <w:t>[3]</w:t>
      </w:r>
      <w:r w:rsidR="00CD1E7A">
        <w:fldChar w:fldCharType="end"/>
      </w:r>
      <w:r w:rsidR="00E67237">
        <w:t xml:space="preserve">. Other applied libraries </w:t>
      </w:r>
      <w:r w:rsidR="009E7341">
        <w:t>we</w:t>
      </w:r>
      <w:r w:rsidR="00E67237">
        <w:t>re JEFF 3.1</w:t>
      </w:r>
      <w:r w:rsidR="006F479B">
        <w:t xml:space="preserve"> </w:t>
      </w:r>
      <w:r w:rsidR="006F479B">
        <w:fldChar w:fldCharType="begin"/>
      </w:r>
      <w:r w:rsidR="006F479B">
        <w:instrText xml:space="preserve"> REF _Ref58591472 \r \h </w:instrText>
      </w:r>
      <w:r w:rsidR="006F479B">
        <w:fldChar w:fldCharType="separate"/>
      </w:r>
      <w:r w:rsidR="00483C1D">
        <w:t>[4]</w:t>
      </w:r>
      <w:r w:rsidR="006F479B">
        <w:fldChar w:fldCharType="end"/>
      </w:r>
      <w:r w:rsidR="00E67237">
        <w:t>, JEFF 3.2</w:t>
      </w:r>
      <w:r w:rsidR="00295703">
        <w:t xml:space="preserve"> </w:t>
      </w:r>
      <w:r w:rsidR="00295703">
        <w:fldChar w:fldCharType="begin"/>
      </w:r>
      <w:r w:rsidR="00295703">
        <w:instrText xml:space="preserve"> REF _Ref58592570 \r \h </w:instrText>
      </w:r>
      <w:r w:rsidR="00295703">
        <w:fldChar w:fldCharType="separate"/>
      </w:r>
      <w:r w:rsidR="00483C1D">
        <w:t>[5]</w:t>
      </w:r>
      <w:r w:rsidR="00295703">
        <w:fldChar w:fldCharType="end"/>
      </w:r>
      <w:r w:rsidR="00E67237">
        <w:t>, JEFF 3.3</w:t>
      </w:r>
      <w:r w:rsidR="00C666BA">
        <w:t xml:space="preserve"> </w:t>
      </w:r>
      <w:r w:rsidR="00C666BA">
        <w:fldChar w:fldCharType="begin"/>
      </w:r>
      <w:r w:rsidR="00C666BA">
        <w:instrText xml:space="preserve"> REF _Ref58592473 \r \h </w:instrText>
      </w:r>
      <w:r w:rsidR="00C666BA">
        <w:fldChar w:fldCharType="separate"/>
      </w:r>
      <w:r w:rsidR="00483C1D">
        <w:t>[6]</w:t>
      </w:r>
      <w:r w:rsidR="00C666BA">
        <w:fldChar w:fldCharType="end"/>
      </w:r>
      <w:r w:rsidR="00E67237">
        <w:t>, ENDF/B-VII.0</w:t>
      </w:r>
      <w:r w:rsidR="00643010">
        <w:t xml:space="preserve"> </w:t>
      </w:r>
      <w:r w:rsidR="00643010">
        <w:fldChar w:fldCharType="begin"/>
      </w:r>
      <w:r w:rsidR="00643010">
        <w:instrText xml:space="preserve"> REF _Ref58592328 \r \h </w:instrText>
      </w:r>
      <w:r w:rsidR="00643010">
        <w:fldChar w:fldCharType="separate"/>
      </w:r>
      <w:r w:rsidR="00483C1D">
        <w:t>[7]</w:t>
      </w:r>
      <w:r w:rsidR="00643010">
        <w:fldChar w:fldCharType="end"/>
      </w:r>
      <w:r w:rsidR="00E67237">
        <w:t xml:space="preserve"> and ENDF/B-VIII.0</w:t>
      </w:r>
      <w:r w:rsidR="004D5038">
        <w:t xml:space="preserve"> </w:t>
      </w:r>
      <w:r w:rsidR="004D5038">
        <w:fldChar w:fldCharType="begin"/>
      </w:r>
      <w:r w:rsidR="004D5038">
        <w:instrText xml:space="preserve"> REF _Ref58590937 \r \h </w:instrText>
      </w:r>
      <w:r w:rsidR="004D5038">
        <w:fldChar w:fldCharType="separate"/>
      </w:r>
      <w:r w:rsidR="00483C1D">
        <w:t>[8]</w:t>
      </w:r>
      <w:r w:rsidR="004D5038">
        <w:fldChar w:fldCharType="end"/>
      </w:r>
      <w:r w:rsidR="00E67237">
        <w:t xml:space="preserve">. </w:t>
      </w:r>
      <w:r w:rsidR="00087904">
        <w:t>Nuclear data uncertainty and correlation data were mostly from</w:t>
      </w:r>
      <w:r w:rsidR="00980BE7">
        <w:t xml:space="preserve"> SCALE’s ENDF/B-VII.1-based covariance library </w:t>
      </w:r>
      <w:r w:rsidR="004D5038">
        <w:fldChar w:fldCharType="begin"/>
      </w:r>
      <w:r w:rsidR="004D5038">
        <w:instrText xml:space="preserve"> REF _Ref54173421 \r \h </w:instrText>
      </w:r>
      <w:r w:rsidR="004D5038">
        <w:fldChar w:fldCharType="separate"/>
      </w:r>
      <w:r w:rsidR="00483C1D">
        <w:t>[9]</w:t>
      </w:r>
      <w:r w:rsidR="004D5038">
        <w:fldChar w:fldCharType="end"/>
      </w:r>
      <w:r w:rsidR="004D5038">
        <w:t xml:space="preserve"> </w:t>
      </w:r>
      <w:r w:rsidR="00980BE7">
        <w:t>and the COMMARA 2.0 library</w:t>
      </w:r>
      <w:r w:rsidR="009E7341">
        <w:t>,</w:t>
      </w:r>
      <w:r w:rsidR="004F5EA6">
        <w:t xml:space="preserve"> which is a predecessor of ENDF/B-VII.1</w:t>
      </w:r>
      <w:r w:rsidR="00901F5E">
        <w:t xml:space="preserve"> </w:t>
      </w:r>
      <w:r w:rsidR="00901F5E">
        <w:fldChar w:fldCharType="begin"/>
      </w:r>
      <w:r w:rsidR="00901F5E">
        <w:instrText xml:space="preserve"> REF _Ref58591452 \r \h </w:instrText>
      </w:r>
      <w:r w:rsidR="00901F5E">
        <w:fldChar w:fldCharType="separate"/>
      </w:r>
      <w:r w:rsidR="00483C1D">
        <w:t>[10]</w:t>
      </w:r>
      <w:r w:rsidR="00901F5E">
        <w:fldChar w:fldCharType="end"/>
      </w:r>
      <w:r w:rsidR="00980BE7">
        <w:t xml:space="preserve">. Other applied covariance libraries </w:t>
      </w:r>
      <w:r w:rsidR="009E7341">
        <w:t>we</w:t>
      </w:r>
      <w:r w:rsidR="00980BE7">
        <w:t>re COMAC 1.0, COMAC 2.0</w:t>
      </w:r>
      <w:r w:rsidR="00901F5E">
        <w:t xml:space="preserve"> </w:t>
      </w:r>
      <w:r w:rsidR="00901F5E">
        <w:fldChar w:fldCharType="begin"/>
      </w:r>
      <w:r w:rsidR="00901F5E">
        <w:instrText xml:space="preserve"> REF _Ref58591463 \r \h </w:instrText>
      </w:r>
      <w:r w:rsidR="00901F5E">
        <w:fldChar w:fldCharType="separate"/>
      </w:r>
      <w:r w:rsidR="00483C1D">
        <w:t>[11]</w:t>
      </w:r>
      <w:r w:rsidR="00901F5E">
        <w:fldChar w:fldCharType="end"/>
      </w:r>
      <w:r w:rsidR="00980BE7">
        <w:t>, ENDF/B-VII.1</w:t>
      </w:r>
      <w:r w:rsidR="00CD1E7A">
        <w:t xml:space="preserve"> </w:t>
      </w:r>
      <w:r w:rsidR="00CD1E7A">
        <w:fldChar w:fldCharType="begin"/>
      </w:r>
      <w:r w:rsidR="00CD1E7A">
        <w:instrText xml:space="preserve"> REF _Ref64302780 \r \h </w:instrText>
      </w:r>
      <w:r w:rsidR="00CD1E7A">
        <w:fldChar w:fldCharType="separate"/>
      </w:r>
      <w:r w:rsidR="00483C1D">
        <w:t>[3]</w:t>
      </w:r>
      <w:r w:rsidR="00CD1E7A">
        <w:fldChar w:fldCharType="end"/>
      </w:r>
      <w:r w:rsidR="00980BE7">
        <w:t>, and SCALE’s ENDF/B-VIII.0</w:t>
      </w:r>
      <w:r w:rsidR="000C5753">
        <w:t>–</w:t>
      </w:r>
      <w:r w:rsidR="00980BE7">
        <w:t>based library</w:t>
      </w:r>
      <w:r w:rsidR="00901F5E">
        <w:t xml:space="preserve"> </w:t>
      </w:r>
      <w:r w:rsidR="00901F5E">
        <w:fldChar w:fldCharType="begin"/>
      </w:r>
      <w:r w:rsidR="00901F5E">
        <w:instrText xml:space="preserve"> REF _Ref58590937 \r \h </w:instrText>
      </w:r>
      <w:r w:rsidR="00901F5E">
        <w:fldChar w:fldCharType="separate"/>
      </w:r>
      <w:r w:rsidR="00483C1D">
        <w:t>[8]</w:t>
      </w:r>
      <w:r w:rsidR="00901F5E">
        <w:fldChar w:fldCharType="end"/>
      </w:r>
      <w:r w:rsidR="00980BE7">
        <w:t xml:space="preserve">. </w:t>
      </w:r>
      <w:r w:rsidR="00087904">
        <w:t>Both deterministic and Monte Carlo methods were used for the neutron transport calculations. For uncertainty and sensitivity analyses, participants used a variety of methods based on perturbation theory and random sampling.</w:t>
      </w:r>
    </w:p>
    <w:p w14:paraId="73E014C8" w14:textId="189300BD" w:rsidR="000E5E78" w:rsidRDefault="000E5E78" w:rsidP="004465CA">
      <w:pPr>
        <w:pStyle w:val="BodyText"/>
      </w:pPr>
    </w:p>
    <w:p w14:paraId="0FF3DC8E" w14:textId="4681DB5F" w:rsidR="005A776E" w:rsidRDefault="000E5E78" w:rsidP="000E5E78">
      <w:pPr>
        <w:pStyle w:val="BodyText"/>
        <w:spacing w:before="120" w:after="120" w:line="360" w:lineRule="auto"/>
        <w:ind w:firstLine="0"/>
      </w:pPr>
      <w:r>
        <w:t>TABLE 1.</w:t>
      </w:r>
      <w:r>
        <w:tab/>
        <w:t>Overview of participating institutions and applied codes and methodologies</w:t>
      </w:r>
      <w:r w:rsidR="009E7341">
        <w:t>.</w:t>
      </w:r>
      <w:r w:rsidR="00DC127D">
        <w:rPr>
          <w:rStyle w:val="FootnoteReference"/>
        </w:rPr>
        <w:footnoteReference w:id="3"/>
      </w:r>
    </w:p>
    <w:tbl>
      <w:tblPr>
        <w:tblStyle w:val="PlainTable2"/>
        <w:tblW w:w="5000" w:type="pct"/>
        <w:tblLook w:val="0620" w:firstRow="1" w:lastRow="0" w:firstColumn="0" w:lastColumn="0" w:noHBand="1" w:noVBand="1"/>
      </w:tblPr>
      <w:tblGrid>
        <w:gridCol w:w="1260"/>
        <w:gridCol w:w="3510"/>
        <w:gridCol w:w="4257"/>
      </w:tblGrid>
      <w:tr w:rsidR="000B5AB0" w:rsidRPr="005A776E" w14:paraId="18F99326" w14:textId="77777777" w:rsidTr="00B16047">
        <w:trPr>
          <w:cnfStyle w:val="100000000000" w:firstRow="1" w:lastRow="0" w:firstColumn="0" w:lastColumn="0" w:oddVBand="0" w:evenVBand="0" w:oddHBand="0" w:evenHBand="0" w:firstRowFirstColumn="0" w:firstRowLastColumn="0" w:lastRowFirstColumn="0" w:lastRowLastColumn="0"/>
          <w:trHeight w:val="188"/>
        </w:trPr>
        <w:tc>
          <w:tcPr>
            <w:tcW w:w="698" w:type="pct"/>
            <w:vAlign w:val="center"/>
            <w:hideMark/>
          </w:tcPr>
          <w:p w14:paraId="18E7F9DD" w14:textId="77777777" w:rsidR="000B5AB0" w:rsidRPr="005A776E" w:rsidRDefault="000B5AB0" w:rsidP="008D6B8E">
            <w:pPr>
              <w:pStyle w:val="BodyText"/>
              <w:ind w:firstLine="0"/>
              <w:jc w:val="left"/>
              <w:rPr>
                <w:lang w:val="en-US"/>
              </w:rPr>
            </w:pPr>
            <w:r w:rsidRPr="005A776E">
              <w:rPr>
                <w:lang w:val="en-US"/>
              </w:rPr>
              <w:t>Institution</w:t>
            </w:r>
          </w:p>
        </w:tc>
        <w:tc>
          <w:tcPr>
            <w:tcW w:w="1944" w:type="pct"/>
            <w:vAlign w:val="center"/>
            <w:hideMark/>
          </w:tcPr>
          <w:p w14:paraId="2239D6B4" w14:textId="7F9F8082" w:rsidR="000B5AB0" w:rsidRPr="005A776E" w:rsidRDefault="000B5AB0" w:rsidP="008D6B8E">
            <w:pPr>
              <w:pStyle w:val="BodyText"/>
              <w:ind w:firstLine="0"/>
              <w:jc w:val="left"/>
              <w:rPr>
                <w:lang w:val="en-US"/>
              </w:rPr>
            </w:pPr>
            <w:r w:rsidRPr="005A776E">
              <w:rPr>
                <w:lang w:val="en-US"/>
              </w:rPr>
              <w:t>Neutron transport</w:t>
            </w:r>
            <w:r>
              <w:rPr>
                <w:lang w:val="en-US"/>
              </w:rPr>
              <w:t xml:space="preserve"> code and method</w:t>
            </w:r>
          </w:p>
        </w:tc>
        <w:tc>
          <w:tcPr>
            <w:tcW w:w="2358" w:type="pct"/>
            <w:vAlign w:val="center"/>
            <w:hideMark/>
          </w:tcPr>
          <w:p w14:paraId="1FEE6DDE" w14:textId="224E395B" w:rsidR="000B5AB0" w:rsidRPr="005A776E" w:rsidRDefault="000B5AB0" w:rsidP="008D6B8E">
            <w:pPr>
              <w:pStyle w:val="BodyText"/>
              <w:ind w:firstLine="0"/>
              <w:jc w:val="left"/>
              <w:rPr>
                <w:lang w:val="en-US"/>
              </w:rPr>
            </w:pPr>
            <w:r w:rsidRPr="005A776E">
              <w:rPr>
                <w:lang w:val="en-US"/>
              </w:rPr>
              <w:t>Uncertainty analysis</w:t>
            </w:r>
            <w:r>
              <w:rPr>
                <w:lang w:val="en-US"/>
              </w:rPr>
              <w:t xml:space="preserve"> code and method</w:t>
            </w:r>
          </w:p>
        </w:tc>
      </w:tr>
      <w:tr w:rsidR="000B5AB0" w:rsidRPr="005A776E" w14:paraId="04D931F5" w14:textId="77777777" w:rsidTr="00B16047">
        <w:trPr>
          <w:trHeight w:val="276"/>
        </w:trPr>
        <w:tc>
          <w:tcPr>
            <w:tcW w:w="698" w:type="pct"/>
            <w:vMerge w:val="restart"/>
            <w:vAlign w:val="center"/>
            <w:hideMark/>
          </w:tcPr>
          <w:p w14:paraId="398EE6CE" w14:textId="77777777" w:rsidR="000B5AB0" w:rsidRPr="005A776E" w:rsidRDefault="000B5AB0" w:rsidP="008D6B8E">
            <w:pPr>
              <w:pStyle w:val="BodyText"/>
              <w:ind w:firstLine="0"/>
              <w:jc w:val="left"/>
              <w:rPr>
                <w:lang w:val="en-US"/>
              </w:rPr>
            </w:pPr>
            <w:r w:rsidRPr="005A776E">
              <w:rPr>
                <w:b/>
                <w:bCs/>
                <w:lang w:val="en-US"/>
              </w:rPr>
              <w:t>CEA</w:t>
            </w:r>
          </w:p>
        </w:tc>
        <w:tc>
          <w:tcPr>
            <w:tcW w:w="1944" w:type="pct"/>
            <w:vMerge w:val="restart"/>
            <w:vAlign w:val="center"/>
            <w:hideMark/>
          </w:tcPr>
          <w:p w14:paraId="2983DE1B" w14:textId="4F9AF24B" w:rsidR="000B5AB0" w:rsidRPr="005A776E" w:rsidRDefault="000B5AB0" w:rsidP="008D6B8E">
            <w:pPr>
              <w:pStyle w:val="BodyText"/>
              <w:ind w:firstLine="0"/>
              <w:jc w:val="left"/>
              <w:rPr>
                <w:lang w:val="en-US"/>
              </w:rPr>
            </w:pPr>
            <w:r w:rsidRPr="005A776E">
              <w:rPr>
                <w:lang w:val="en-US"/>
              </w:rPr>
              <w:t>ERANOS</w:t>
            </w:r>
            <w:r>
              <w:rPr>
                <w:lang w:val="en-US"/>
              </w:rPr>
              <w:t xml:space="preserve"> </w:t>
            </w:r>
            <w:r>
              <w:rPr>
                <w:lang w:val="en-US"/>
              </w:rPr>
              <w:fldChar w:fldCharType="begin"/>
            </w:r>
            <w:r>
              <w:rPr>
                <w:lang w:val="en-US"/>
              </w:rPr>
              <w:instrText xml:space="preserve"> REF _Ref58591419 \r \h </w:instrText>
            </w:r>
            <w:r w:rsidR="008D6B8E">
              <w:rPr>
                <w:lang w:val="en-US"/>
              </w:rPr>
              <w:instrText xml:space="preserve"> \* MERGEFORMAT </w:instrText>
            </w:r>
            <w:r>
              <w:rPr>
                <w:lang w:val="en-US"/>
              </w:rPr>
            </w:r>
            <w:r>
              <w:rPr>
                <w:lang w:val="en-US"/>
              </w:rPr>
              <w:fldChar w:fldCharType="separate"/>
            </w:r>
            <w:r w:rsidR="00483C1D">
              <w:rPr>
                <w:lang w:val="en-US"/>
              </w:rPr>
              <w:t>[12]</w:t>
            </w:r>
            <w:r>
              <w:rPr>
                <w:lang w:val="en-US"/>
              </w:rPr>
              <w:fldChar w:fldCharType="end"/>
            </w:r>
            <w:r>
              <w:rPr>
                <w:lang w:val="en-US"/>
              </w:rPr>
              <w:t xml:space="preserve">, </w:t>
            </w:r>
            <w:r w:rsidRPr="005A776E">
              <w:rPr>
                <w:lang w:val="en-US"/>
              </w:rPr>
              <w:t>S</w:t>
            </w:r>
            <w:r w:rsidRPr="005A776E">
              <w:rPr>
                <w:vertAlign w:val="subscript"/>
                <w:lang w:val="en-US"/>
              </w:rPr>
              <w:t>N</w:t>
            </w:r>
            <w:r w:rsidRPr="005A776E">
              <w:rPr>
                <w:lang w:val="en-US"/>
              </w:rPr>
              <w:t xml:space="preserve"> BISTRO (S8)</w:t>
            </w:r>
          </w:p>
        </w:tc>
        <w:tc>
          <w:tcPr>
            <w:tcW w:w="2358" w:type="pct"/>
            <w:vMerge w:val="restart"/>
            <w:vAlign w:val="center"/>
            <w:hideMark/>
          </w:tcPr>
          <w:p w14:paraId="42EC788B" w14:textId="77957FAE" w:rsidR="000B5AB0" w:rsidRPr="005A776E" w:rsidRDefault="00363C81" w:rsidP="008D6B8E">
            <w:pPr>
              <w:pStyle w:val="BodyText"/>
              <w:ind w:firstLine="0"/>
              <w:jc w:val="left"/>
              <w:rPr>
                <w:lang w:val="en-US"/>
              </w:rPr>
            </w:pPr>
            <w:r w:rsidRPr="005A776E">
              <w:rPr>
                <w:lang w:val="en-US"/>
              </w:rPr>
              <w:t>ERANOS</w:t>
            </w:r>
            <w:r>
              <w:rPr>
                <w:lang w:val="en-US"/>
              </w:rPr>
              <w:t xml:space="preserve"> </w:t>
            </w:r>
            <w:r>
              <w:rPr>
                <w:lang w:val="en-US"/>
              </w:rPr>
              <w:fldChar w:fldCharType="begin"/>
            </w:r>
            <w:r>
              <w:rPr>
                <w:lang w:val="en-US"/>
              </w:rPr>
              <w:instrText xml:space="preserve"> REF _Ref58591419 \r \h  \* MERGEFORMAT </w:instrText>
            </w:r>
            <w:r>
              <w:rPr>
                <w:lang w:val="en-US"/>
              </w:rPr>
            </w:r>
            <w:r>
              <w:rPr>
                <w:lang w:val="en-US"/>
              </w:rPr>
              <w:fldChar w:fldCharType="separate"/>
            </w:r>
            <w:r w:rsidR="00483C1D">
              <w:rPr>
                <w:lang w:val="en-US"/>
              </w:rPr>
              <w:t>[12]</w:t>
            </w:r>
            <w:r>
              <w:rPr>
                <w:lang w:val="en-US"/>
              </w:rPr>
              <w:fldChar w:fldCharType="end"/>
            </w:r>
            <w:r>
              <w:rPr>
                <w:lang w:val="en-US"/>
              </w:rPr>
              <w:t>, s</w:t>
            </w:r>
            <w:r w:rsidR="000B5AB0" w:rsidRPr="005A776E">
              <w:rPr>
                <w:lang w:val="en-US"/>
              </w:rPr>
              <w:t>ensitivity calculation (exact perturbation) + sandwich formula</w:t>
            </w:r>
          </w:p>
        </w:tc>
      </w:tr>
      <w:tr w:rsidR="000B5AB0" w:rsidRPr="005A776E" w14:paraId="7CD5811D" w14:textId="77777777" w:rsidTr="00B16047">
        <w:trPr>
          <w:trHeight w:val="276"/>
        </w:trPr>
        <w:tc>
          <w:tcPr>
            <w:tcW w:w="698" w:type="pct"/>
            <w:vMerge/>
            <w:vAlign w:val="center"/>
            <w:hideMark/>
          </w:tcPr>
          <w:p w14:paraId="1B5E4618" w14:textId="77777777" w:rsidR="000B5AB0" w:rsidRPr="005A776E" w:rsidRDefault="000B5AB0" w:rsidP="008D6B8E">
            <w:pPr>
              <w:pStyle w:val="BodyText"/>
              <w:jc w:val="left"/>
              <w:rPr>
                <w:lang w:val="en-US"/>
              </w:rPr>
            </w:pPr>
          </w:p>
        </w:tc>
        <w:tc>
          <w:tcPr>
            <w:tcW w:w="1944" w:type="pct"/>
            <w:vMerge/>
            <w:vAlign w:val="center"/>
            <w:hideMark/>
          </w:tcPr>
          <w:p w14:paraId="21F62412" w14:textId="77777777" w:rsidR="000B5AB0" w:rsidRPr="005A776E" w:rsidRDefault="000B5AB0" w:rsidP="008D6B8E">
            <w:pPr>
              <w:pStyle w:val="BodyText"/>
              <w:jc w:val="left"/>
              <w:rPr>
                <w:lang w:val="en-US"/>
              </w:rPr>
            </w:pPr>
          </w:p>
        </w:tc>
        <w:tc>
          <w:tcPr>
            <w:tcW w:w="2358" w:type="pct"/>
            <w:vMerge/>
            <w:vAlign w:val="center"/>
            <w:hideMark/>
          </w:tcPr>
          <w:p w14:paraId="7AD29CC7" w14:textId="77777777" w:rsidR="000B5AB0" w:rsidRPr="005A776E" w:rsidRDefault="000B5AB0" w:rsidP="008D6B8E">
            <w:pPr>
              <w:pStyle w:val="BodyText"/>
              <w:jc w:val="left"/>
              <w:rPr>
                <w:lang w:val="en-US"/>
              </w:rPr>
            </w:pPr>
          </w:p>
        </w:tc>
      </w:tr>
      <w:tr w:rsidR="000B5AB0" w:rsidRPr="005A776E" w14:paraId="11B1265A" w14:textId="77777777" w:rsidTr="00B16047">
        <w:trPr>
          <w:trHeight w:val="276"/>
        </w:trPr>
        <w:tc>
          <w:tcPr>
            <w:tcW w:w="698" w:type="pct"/>
            <w:vMerge/>
            <w:tcBorders>
              <w:bottom w:val="single" w:sz="4" w:space="0" w:color="A6A6A6" w:themeColor="background1" w:themeShade="A6"/>
            </w:tcBorders>
            <w:vAlign w:val="center"/>
            <w:hideMark/>
          </w:tcPr>
          <w:p w14:paraId="25C73B6F" w14:textId="77777777" w:rsidR="000B5AB0" w:rsidRPr="005A776E" w:rsidRDefault="000B5AB0" w:rsidP="008D6B8E">
            <w:pPr>
              <w:pStyle w:val="BodyText"/>
              <w:jc w:val="left"/>
              <w:rPr>
                <w:lang w:val="en-US"/>
              </w:rPr>
            </w:pPr>
          </w:p>
        </w:tc>
        <w:tc>
          <w:tcPr>
            <w:tcW w:w="1944" w:type="pct"/>
            <w:vMerge/>
            <w:tcBorders>
              <w:bottom w:val="single" w:sz="4" w:space="0" w:color="A6A6A6" w:themeColor="background1" w:themeShade="A6"/>
            </w:tcBorders>
            <w:vAlign w:val="center"/>
            <w:hideMark/>
          </w:tcPr>
          <w:p w14:paraId="67C2793E" w14:textId="77777777" w:rsidR="000B5AB0" w:rsidRPr="005A776E" w:rsidRDefault="000B5AB0" w:rsidP="008D6B8E">
            <w:pPr>
              <w:pStyle w:val="BodyText"/>
              <w:jc w:val="left"/>
              <w:rPr>
                <w:lang w:val="en-US"/>
              </w:rPr>
            </w:pPr>
          </w:p>
        </w:tc>
        <w:tc>
          <w:tcPr>
            <w:tcW w:w="2358" w:type="pct"/>
            <w:vMerge/>
            <w:tcBorders>
              <w:bottom w:val="single" w:sz="4" w:space="0" w:color="A6A6A6" w:themeColor="background1" w:themeShade="A6"/>
            </w:tcBorders>
            <w:vAlign w:val="center"/>
            <w:hideMark/>
          </w:tcPr>
          <w:p w14:paraId="2AB2353D" w14:textId="77777777" w:rsidR="000B5AB0" w:rsidRPr="005A776E" w:rsidRDefault="000B5AB0" w:rsidP="008D6B8E">
            <w:pPr>
              <w:pStyle w:val="BodyText"/>
              <w:jc w:val="left"/>
              <w:rPr>
                <w:lang w:val="en-US"/>
              </w:rPr>
            </w:pPr>
          </w:p>
        </w:tc>
      </w:tr>
      <w:tr w:rsidR="000B5AB0" w:rsidRPr="005A776E" w14:paraId="08C61CB5" w14:textId="77777777" w:rsidTr="00B16047">
        <w:trPr>
          <w:trHeight w:val="20"/>
        </w:trPr>
        <w:tc>
          <w:tcPr>
            <w:tcW w:w="698" w:type="pct"/>
            <w:tcBorders>
              <w:top w:val="single" w:sz="4" w:space="0" w:color="A6A6A6" w:themeColor="background1" w:themeShade="A6"/>
              <w:bottom w:val="single" w:sz="4" w:space="0" w:color="A6A6A6" w:themeColor="background1" w:themeShade="A6"/>
            </w:tcBorders>
            <w:vAlign w:val="center"/>
            <w:hideMark/>
          </w:tcPr>
          <w:p w14:paraId="5418FF38" w14:textId="77777777" w:rsidR="000B5AB0" w:rsidRPr="005A776E" w:rsidRDefault="000B5AB0" w:rsidP="008D6B8E">
            <w:pPr>
              <w:pStyle w:val="BodyText"/>
              <w:ind w:firstLine="0"/>
              <w:jc w:val="left"/>
              <w:rPr>
                <w:lang w:val="en-US"/>
              </w:rPr>
            </w:pPr>
            <w:r w:rsidRPr="005A776E">
              <w:rPr>
                <w:b/>
                <w:bCs/>
                <w:lang w:val="en-US"/>
              </w:rPr>
              <w:t>NCSU</w:t>
            </w:r>
          </w:p>
        </w:tc>
        <w:tc>
          <w:tcPr>
            <w:tcW w:w="1944" w:type="pct"/>
            <w:tcBorders>
              <w:top w:val="single" w:sz="4" w:space="0" w:color="A6A6A6" w:themeColor="background1" w:themeShade="A6"/>
              <w:bottom w:val="single" w:sz="4" w:space="0" w:color="A6A6A6" w:themeColor="background1" w:themeShade="A6"/>
            </w:tcBorders>
            <w:vAlign w:val="center"/>
            <w:hideMark/>
          </w:tcPr>
          <w:p w14:paraId="2F4B4BC9" w14:textId="475308B4" w:rsidR="000B5AB0" w:rsidRPr="005A776E" w:rsidRDefault="000B5AB0" w:rsidP="008D6B8E">
            <w:pPr>
              <w:pStyle w:val="BodyText"/>
              <w:ind w:firstLine="0"/>
              <w:jc w:val="left"/>
              <w:rPr>
                <w:lang w:val="en-US"/>
              </w:rPr>
            </w:pPr>
            <w:r w:rsidRPr="005A776E">
              <w:rPr>
                <w:lang w:val="en-US"/>
              </w:rPr>
              <w:t>Serpent</w:t>
            </w:r>
            <w:r>
              <w:rPr>
                <w:lang w:val="en-US"/>
              </w:rPr>
              <w:t xml:space="preserve"> </w:t>
            </w:r>
            <w:r>
              <w:rPr>
                <w:lang w:val="en-US"/>
              </w:rPr>
              <w:fldChar w:fldCharType="begin"/>
            </w:r>
            <w:r>
              <w:rPr>
                <w:lang w:val="en-US"/>
              </w:rPr>
              <w:instrText xml:space="preserve"> REF _Ref58591403 \r \h </w:instrText>
            </w:r>
            <w:r w:rsidR="008D6B8E">
              <w:rPr>
                <w:lang w:val="en-US"/>
              </w:rPr>
              <w:instrText xml:space="preserve"> \* MERGEFORMAT </w:instrText>
            </w:r>
            <w:r>
              <w:rPr>
                <w:lang w:val="en-US"/>
              </w:rPr>
            </w:r>
            <w:r>
              <w:rPr>
                <w:lang w:val="en-US"/>
              </w:rPr>
              <w:fldChar w:fldCharType="separate"/>
            </w:r>
            <w:r w:rsidR="00483C1D">
              <w:rPr>
                <w:lang w:val="en-US"/>
              </w:rPr>
              <w:t>[13]</w:t>
            </w:r>
            <w:r>
              <w:rPr>
                <w:lang w:val="en-US"/>
              </w:rPr>
              <w:fldChar w:fldCharType="end"/>
            </w:r>
            <w:r>
              <w:rPr>
                <w:lang w:val="en-US"/>
              </w:rPr>
              <w:t xml:space="preserve">, </w:t>
            </w:r>
            <w:r w:rsidRPr="005A776E">
              <w:rPr>
                <w:lang w:val="en-US"/>
              </w:rPr>
              <w:t>CE-Monte Carlo</w:t>
            </w:r>
          </w:p>
        </w:tc>
        <w:tc>
          <w:tcPr>
            <w:tcW w:w="2358" w:type="pct"/>
            <w:tcBorders>
              <w:top w:val="single" w:sz="4" w:space="0" w:color="A6A6A6" w:themeColor="background1" w:themeShade="A6"/>
              <w:bottom w:val="single" w:sz="4" w:space="0" w:color="A6A6A6" w:themeColor="background1" w:themeShade="A6"/>
            </w:tcBorders>
            <w:vAlign w:val="center"/>
            <w:hideMark/>
          </w:tcPr>
          <w:p w14:paraId="76A73C6D" w14:textId="165C9258" w:rsidR="000B5AB0" w:rsidRPr="005A776E" w:rsidRDefault="00672BC6" w:rsidP="008D6B8E">
            <w:pPr>
              <w:pStyle w:val="BodyText"/>
              <w:ind w:firstLine="0"/>
              <w:jc w:val="left"/>
              <w:rPr>
                <w:lang w:val="en-US"/>
              </w:rPr>
            </w:pPr>
            <w:r w:rsidRPr="005A776E">
              <w:rPr>
                <w:lang w:val="en-US"/>
              </w:rPr>
              <w:t>Serpent</w:t>
            </w:r>
            <w:r>
              <w:rPr>
                <w:lang w:val="en-US"/>
              </w:rPr>
              <w:t xml:space="preserve"> </w:t>
            </w:r>
            <w:r>
              <w:rPr>
                <w:lang w:val="en-US"/>
              </w:rPr>
              <w:fldChar w:fldCharType="begin"/>
            </w:r>
            <w:r>
              <w:rPr>
                <w:lang w:val="en-US"/>
              </w:rPr>
              <w:instrText xml:space="preserve"> REF _Ref58591403 \r \h  \* MERGEFORMAT </w:instrText>
            </w:r>
            <w:r>
              <w:rPr>
                <w:lang w:val="en-US"/>
              </w:rPr>
            </w:r>
            <w:r>
              <w:rPr>
                <w:lang w:val="en-US"/>
              </w:rPr>
              <w:fldChar w:fldCharType="separate"/>
            </w:r>
            <w:r w:rsidR="00483C1D">
              <w:rPr>
                <w:lang w:val="en-US"/>
              </w:rPr>
              <w:t>[13]</w:t>
            </w:r>
            <w:r>
              <w:rPr>
                <w:lang w:val="en-US"/>
              </w:rPr>
              <w:fldChar w:fldCharType="end"/>
            </w:r>
            <w:r>
              <w:rPr>
                <w:lang w:val="en-US"/>
              </w:rPr>
              <w:t xml:space="preserve">, </w:t>
            </w:r>
            <w:r w:rsidR="0075228E">
              <w:rPr>
                <w:lang w:val="en-US"/>
              </w:rPr>
              <w:t>p</w:t>
            </w:r>
            <w:r w:rsidR="000B5AB0" w:rsidRPr="005A776E">
              <w:rPr>
                <w:lang w:val="en-US"/>
              </w:rPr>
              <w:t>erturbation theory (sandwich rule)</w:t>
            </w:r>
          </w:p>
        </w:tc>
      </w:tr>
      <w:tr w:rsidR="000B5AB0" w:rsidRPr="005A776E" w14:paraId="005657D0" w14:textId="77777777" w:rsidTr="00B16047">
        <w:trPr>
          <w:trHeight w:val="20"/>
        </w:trPr>
        <w:tc>
          <w:tcPr>
            <w:tcW w:w="698" w:type="pct"/>
            <w:tcBorders>
              <w:top w:val="single" w:sz="4" w:space="0" w:color="A6A6A6" w:themeColor="background1" w:themeShade="A6"/>
              <w:bottom w:val="single" w:sz="4" w:space="0" w:color="A6A6A6" w:themeColor="background1" w:themeShade="A6"/>
            </w:tcBorders>
            <w:vAlign w:val="center"/>
            <w:hideMark/>
          </w:tcPr>
          <w:p w14:paraId="33481004" w14:textId="01A20F4B" w:rsidR="000B5AB0" w:rsidRPr="005A776E" w:rsidRDefault="000B5AB0" w:rsidP="008D6B8E">
            <w:pPr>
              <w:pStyle w:val="BodyText"/>
              <w:ind w:firstLine="0"/>
              <w:jc w:val="left"/>
              <w:rPr>
                <w:lang w:val="en-US"/>
              </w:rPr>
            </w:pPr>
            <w:r w:rsidRPr="005A776E">
              <w:rPr>
                <w:b/>
                <w:bCs/>
                <w:lang w:val="en-US"/>
              </w:rPr>
              <w:t>ANL/</w:t>
            </w:r>
            <w:r>
              <w:rPr>
                <w:b/>
                <w:bCs/>
                <w:lang w:val="en-US"/>
              </w:rPr>
              <w:br/>
            </w:r>
            <w:r w:rsidRPr="005A776E">
              <w:rPr>
                <w:b/>
                <w:bCs/>
                <w:lang w:val="en-US"/>
              </w:rPr>
              <w:t>NCSU</w:t>
            </w:r>
          </w:p>
        </w:tc>
        <w:tc>
          <w:tcPr>
            <w:tcW w:w="1944" w:type="pct"/>
            <w:tcBorders>
              <w:top w:val="single" w:sz="4" w:space="0" w:color="A6A6A6" w:themeColor="background1" w:themeShade="A6"/>
              <w:bottom w:val="single" w:sz="4" w:space="0" w:color="A6A6A6" w:themeColor="background1" w:themeShade="A6"/>
            </w:tcBorders>
            <w:vAlign w:val="center"/>
            <w:hideMark/>
          </w:tcPr>
          <w:p w14:paraId="4F6BBD64" w14:textId="0DE3DE96" w:rsidR="000B5AB0" w:rsidRPr="005A776E" w:rsidRDefault="000B5AB0" w:rsidP="008D6B8E">
            <w:pPr>
              <w:pStyle w:val="BodyText"/>
              <w:ind w:firstLine="0"/>
              <w:jc w:val="left"/>
              <w:rPr>
                <w:lang w:val="en-US"/>
              </w:rPr>
            </w:pPr>
            <w:r w:rsidRPr="005A776E">
              <w:rPr>
                <w:lang w:val="en-US"/>
              </w:rPr>
              <w:t>ARC codes through Workbench/</w:t>
            </w:r>
            <w:proofErr w:type="spellStart"/>
            <w:r w:rsidRPr="005A776E">
              <w:rPr>
                <w:lang w:val="en-US"/>
              </w:rPr>
              <w:t>PyARC</w:t>
            </w:r>
            <w:proofErr w:type="spellEnd"/>
            <w:r w:rsidRPr="005A776E">
              <w:rPr>
                <w:lang w:val="en-US"/>
              </w:rPr>
              <w:t xml:space="preserve"> (MC</w:t>
            </w:r>
            <w:r w:rsidRPr="001F5755">
              <w:rPr>
                <w:vertAlign w:val="superscript"/>
                <w:lang w:val="en-US"/>
              </w:rPr>
              <w:t>2</w:t>
            </w:r>
            <w:r w:rsidRPr="005A776E">
              <w:rPr>
                <w:lang w:val="en-US"/>
              </w:rPr>
              <w:t>-3</w:t>
            </w:r>
            <w:r>
              <w:rPr>
                <w:lang w:val="en-US"/>
              </w:rPr>
              <w:t xml:space="preserve"> </w:t>
            </w:r>
            <w:r>
              <w:rPr>
                <w:lang w:val="en-US"/>
              </w:rPr>
              <w:fldChar w:fldCharType="begin"/>
            </w:r>
            <w:r>
              <w:rPr>
                <w:lang w:val="en-US"/>
              </w:rPr>
              <w:instrText xml:space="preserve"> REF _Ref58591610 \r \h </w:instrText>
            </w:r>
            <w:r w:rsidR="008D6B8E">
              <w:rPr>
                <w:lang w:val="en-US"/>
              </w:rPr>
              <w:instrText xml:space="preserve"> \* MERGEFORMAT </w:instrText>
            </w:r>
            <w:r>
              <w:rPr>
                <w:lang w:val="en-US"/>
              </w:rPr>
            </w:r>
            <w:r>
              <w:rPr>
                <w:lang w:val="en-US"/>
              </w:rPr>
              <w:fldChar w:fldCharType="separate"/>
            </w:r>
            <w:r w:rsidR="00483C1D">
              <w:rPr>
                <w:lang w:val="en-US"/>
              </w:rPr>
              <w:t>[14]</w:t>
            </w:r>
            <w:r>
              <w:rPr>
                <w:lang w:val="en-US"/>
              </w:rPr>
              <w:fldChar w:fldCharType="end"/>
            </w:r>
            <w:r w:rsidRPr="005A776E">
              <w:rPr>
                <w:lang w:val="en-US"/>
              </w:rPr>
              <w:t>, DIF3D/VARIANT</w:t>
            </w:r>
            <w:r>
              <w:rPr>
                <w:lang w:val="en-US"/>
              </w:rPr>
              <w:t xml:space="preserve"> </w:t>
            </w:r>
            <w:r>
              <w:rPr>
                <w:lang w:val="en-US"/>
              </w:rPr>
              <w:fldChar w:fldCharType="begin"/>
            </w:r>
            <w:r>
              <w:rPr>
                <w:lang w:val="en-US"/>
              </w:rPr>
              <w:instrText xml:space="preserve"> REF _Ref58591565 \r \h </w:instrText>
            </w:r>
            <w:r w:rsidR="008D6B8E">
              <w:rPr>
                <w:lang w:val="en-US"/>
              </w:rPr>
              <w:instrText xml:space="preserve"> \* MERGEFORMAT </w:instrText>
            </w:r>
            <w:r>
              <w:rPr>
                <w:lang w:val="en-US"/>
              </w:rPr>
            </w:r>
            <w:r>
              <w:rPr>
                <w:lang w:val="en-US"/>
              </w:rPr>
              <w:fldChar w:fldCharType="separate"/>
            </w:r>
            <w:r w:rsidR="00483C1D">
              <w:rPr>
                <w:lang w:val="en-US"/>
              </w:rPr>
              <w:t>[15]</w:t>
            </w:r>
            <w:r>
              <w:rPr>
                <w:lang w:val="en-US"/>
              </w:rPr>
              <w:fldChar w:fldCharType="end"/>
            </w:r>
            <w:r w:rsidRPr="005A776E">
              <w:rPr>
                <w:lang w:val="en-US"/>
              </w:rPr>
              <w:t>)</w:t>
            </w:r>
          </w:p>
        </w:tc>
        <w:tc>
          <w:tcPr>
            <w:tcW w:w="2358" w:type="pct"/>
            <w:tcBorders>
              <w:top w:val="single" w:sz="4" w:space="0" w:color="A6A6A6" w:themeColor="background1" w:themeShade="A6"/>
              <w:bottom w:val="single" w:sz="4" w:space="0" w:color="A6A6A6" w:themeColor="background1" w:themeShade="A6"/>
            </w:tcBorders>
            <w:vAlign w:val="center"/>
            <w:hideMark/>
          </w:tcPr>
          <w:p w14:paraId="734D878E" w14:textId="772883B9" w:rsidR="000B5AB0" w:rsidRPr="005A776E" w:rsidRDefault="000B5AB0" w:rsidP="008D6B8E">
            <w:pPr>
              <w:pStyle w:val="BodyText"/>
              <w:ind w:firstLine="0"/>
              <w:jc w:val="left"/>
              <w:rPr>
                <w:lang w:val="en-US"/>
              </w:rPr>
            </w:pPr>
            <w:r w:rsidRPr="005A776E">
              <w:rPr>
                <w:lang w:val="en-US"/>
              </w:rPr>
              <w:t>PERSENT</w:t>
            </w:r>
            <w:r>
              <w:rPr>
                <w:lang w:val="en-US"/>
              </w:rPr>
              <w:t xml:space="preserve"> </w:t>
            </w:r>
            <w:r>
              <w:rPr>
                <w:lang w:val="en-US"/>
              </w:rPr>
              <w:fldChar w:fldCharType="begin"/>
            </w:r>
            <w:r>
              <w:rPr>
                <w:lang w:val="en-US"/>
              </w:rPr>
              <w:instrText xml:space="preserve"> REF _Ref58591545 \r \h </w:instrText>
            </w:r>
            <w:r w:rsidR="008D6B8E">
              <w:rPr>
                <w:lang w:val="en-US"/>
              </w:rPr>
              <w:instrText xml:space="preserve"> \* MERGEFORMAT </w:instrText>
            </w:r>
            <w:r>
              <w:rPr>
                <w:lang w:val="en-US"/>
              </w:rPr>
            </w:r>
            <w:r>
              <w:rPr>
                <w:lang w:val="en-US"/>
              </w:rPr>
              <w:fldChar w:fldCharType="separate"/>
            </w:r>
            <w:r w:rsidR="00483C1D">
              <w:rPr>
                <w:lang w:val="en-US"/>
              </w:rPr>
              <w:t>[16]</w:t>
            </w:r>
            <w:r>
              <w:rPr>
                <w:lang w:val="en-US"/>
              </w:rPr>
              <w:fldChar w:fldCharType="end"/>
            </w:r>
            <w:r>
              <w:rPr>
                <w:lang w:val="en-US"/>
              </w:rPr>
              <w:t xml:space="preserve">, </w:t>
            </w:r>
            <w:r w:rsidR="00194C39">
              <w:rPr>
                <w:lang w:val="en-US"/>
              </w:rPr>
              <w:t>g</w:t>
            </w:r>
            <w:r w:rsidRPr="005A776E">
              <w:rPr>
                <w:lang w:val="en-US"/>
              </w:rPr>
              <w:t>eneralized perturbation theory/ direct perturbation</w:t>
            </w:r>
          </w:p>
        </w:tc>
      </w:tr>
      <w:tr w:rsidR="000B5AB0" w:rsidRPr="005A776E" w14:paraId="0565DDFD" w14:textId="77777777" w:rsidTr="00B16047">
        <w:trPr>
          <w:trHeight w:val="20"/>
        </w:trPr>
        <w:tc>
          <w:tcPr>
            <w:tcW w:w="698" w:type="pct"/>
            <w:tcBorders>
              <w:top w:val="single" w:sz="4" w:space="0" w:color="A6A6A6" w:themeColor="background1" w:themeShade="A6"/>
              <w:bottom w:val="single" w:sz="4" w:space="0" w:color="A6A6A6" w:themeColor="background1" w:themeShade="A6"/>
            </w:tcBorders>
            <w:vAlign w:val="center"/>
            <w:hideMark/>
          </w:tcPr>
          <w:p w14:paraId="0B73788B" w14:textId="77777777" w:rsidR="000B5AB0" w:rsidRPr="005A776E" w:rsidRDefault="000B5AB0" w:rsidP="008D6B8E">
            <w:pPr>
              <w:pStyle w:val="BodyText"/>
              <w:ind w:firstLine="0"/>
              <w:jc w:val="left"/>
              <w:rPr>
                <w:lang w:val="en-US"/>
              </w:rPr>
            </w:pPr>
            <w:r w:rsidRPr="005A776E">
              <w:rPr>
                <w:b/>
                <w:bCs/>
                <w:lang w:val="en-US"/>
              </w:rPr>
              <w:lastRenderedPageBreak/>
              <w:t>HZDR</w:t>
            </w:r>
          </w:p>
        </w:tc>
        <w:tc>
          <w:tcPr>
            <w:tcW w:w="1944" w:type="pct"/>
            <w:tcBorders>
              <w:top w:val="single" w:sz="4" w:space="0" w:color="A6A6A6" w:themeColor="background1" w:themeShade="A6"/>
              <w:bottom w:val="single" w:sz="4" w:space="0" w:color="A6A6A6" w:themeColor="background1" w:themeShade="A6"/>
            </w:tcBorders>
            <w:vAlign w:val="center"/>
            <w:hideMark/>
          </w:tcPr>
          <w:p w14:paraId="4869AD4D" w14:textId="3A1A0FED" w:rsidR="000B5AB0" w:rsidRPr="005A776E" w:rsidRDefault="000B5AB0" w:rsidP="008D6B8E">
            <w:pPr>
              <w:pStyle w:val="BodyText"/>
              <w:ind w:firstLine="0"/>
              <w:jc w:val="left"/>
              <w:rPr>
                <w:lang w:val="en-US"/>
              </w:rPr>
            </w:pPr>
            <w:r w:rsidRPr="005A776E">
              <w:rPr>
                <w:lang w:val="en-US"/>
              </w:rPr>
              <w:t>Serpent</w:t>
            </w:r>
            <w:r>
              <w:rPr>
                <w:lang w:val="en-US"/>
              </w:rPr>
              <w:t xml:space="preserve"> </w:t>
            </w:r>
            <w:r>
              <w:rPr>
                <w:lang w:val="en-US"/>
              </w:rPr>
              <w:fldChar w:fldCharType="begin"/>
            </w:r>
            <w:r>
              <w:rPr>
                <w:lang w:val="en-US"/>
              </w:rPr>
              <w:instrText xml:space="preserve"> REF _Ref58591403 \r \h </w:instrText>
            </w:r>
            <w:r w:rsidR="008D6B8E">
              <w:rPr>
                <w:lang w:val="en-US"/>
              </w:rPr>
              <w:instrText xml:space="preserve"> \* MERGEFORMAT </w:instrText>
            </w:r>
            <w:r>
              <w:rPr>
                <w:lang w:val="en-US"/>
              </w:rPr>
            </w:r>
            <w:r>
              <w:rPr>
                <w:lang w:val="en-US"/>
              </w:rPr>
              <w:fldChar w:fldCharType="separate"/>
            </w:r>
            <w:r w:rsidR="00483C1D">
              <w:rPr>
                <w:lang w:val="en-US"/>
              </w:rPr>
              <w:t>[13]</w:t>
            </w:r>
            <w:r>
              <w:rPr>
                <w:lang w:val="en-US"/>
              </w:rPr>
              <w:fldChar w:fldCharType="end"/>
            </w:r>
            <w:r>
              <w:rPr>
                <w:lang w:val="en-US"/>
              </w:rPr>
              <w:t xml:space="preserve">, </w:t>
            </w:r>
            <w:r w:rsidRPr="005A776E">
              <w:rPr>
                <w:lang w:val="en-US"/>
              </w:rPr>
              <w:t>Monte Carlo</w:t>
            </w:r>
          </w:p>
        </w:tc>
        <w:tc>
          <w:tcPr>
            <w:tcW w:w="2358" w:type="pct"/>
            <w:tcBorders>
              <w:top w:val="single" w:sz="4" w:space="0" w:color="A6A6A6" w:themeColor="background1" w:themeShade="A6"/>
              <w:bottom w:val="single" w:sz="4" w:space="0" w:color="A6A6A6" w:themeColor="background1" w:themeShade="A6"/>
            </w:tcBorders>
            <w:vAlign w:val="center"/>
            <w:hideMark/>
          </w:tcPr>
          <w:p w14:paraId="192A4355" w14:textId="339E1571" w:rsidR="000B5AB0" w:rsidRPr="005A776E" w:rsidRDefault="000B5AB0" w:rsidP="008D6B8E">
            <w:pPr>
              <w:pStyle w:val="BodyText"/>
              <w:ind w:firstLine="0"/>
              <w:jc w:val="left"/>
              <w:rPr>
                <w:lang w:val="en-US"/>
              </w:rPr>
            </w:pPr>
            <w:r w:rsidRPr="005A776E">
              <w:rPr>
                <w:lang w:val="en-US"/>
              </w:rPr>
              <w:t>Serpent</w:t>
            </w:r>
            <w:r>
              <w:rPr>
                <w:lang w:val="en-US"/>
              </w:rPr>
              <w:t xml:space="preserve"> </w:t>
            </w:r>
            <w:r>
              <w:rPr>
                <w:lang w:val="en-US"/>
              </w:rPr>
              <w:fldChar w:fldCharType="begin"/>
            </w:r>
            <w:r>
              <w:rPr>
                <w:lang w:val="en-US"/>
              </w:rPr>
              <w:instrText xml:space="preserve"> REF _Ref58591403 \r \h </w:instrText>
            </w:r>
            <w:r w:rsidR="008D6B8E">
              <w:rPr>
                <w:lang w:val="en-US"/>
              </w:rPr>
              <w:instrText xml:space="preserve"> \* MERGEFORMAT </w:instrText>
            </w:r>
            <w:r>
              <w:rPr>
                <w:lang w:val="en-US"/>
              </w:rPr>
            </w:r>
            <w:r>
              <w:rPr>
                <w:lang w:val="en-US"/>
              </w:rPr>
              <w:fldChar w:fldCharType="separate"/>
            </w:r>
            <w:r w:rsidR="00483C1D">
              <w:rPr>
                <w:lang w:val="en-US"/>
              </w:rPr>
              <w:t>[13]</w:t>
            </w:r>
            <w:r>
              <w:rPr>
                <w:lang w:val="en-US"/>
              </w:rPr>
              <w:fldChar w:fldCharType="end"/>
            </w:r>
            <w:r>
              <w:rPr>
                <w:lang w:val="en-US"/>
              </w:rPr>
              <w:t xml:space="preserve">, </w:t>
            </w:r>
            <w:r w:rsidR="00194C39">
              <w:rPr>
                <w:lang w:val="en-US"/>
              </w:rPr>
              <w:t>p</w:t>
            </w:r>
            <w:r w:rsidRPr="005A776E">
              <w:rPr>
                <w:lang w:val="en-US"/>
              </w:rPr>
              <w:t>erturbation theory (sandwich rule)</w:t>
            </w:r>
          </w:p>
        </w:tc>
      </w:tr>
      <w:tr w:rsidR="000B5AB0" w:rsidRPr="005A776E" w14:paraId="6F15E568" w14:textId="77777777" w:rsidTr="00B16047">
        <w:trPr>
          <w:trHeight w:val="20"/>
        </w:trPr>
        <w:tc>
          <w:tcPr>
            <w:tcW w:w="698" w:type="pct"/>
            <w:tcBorders>
              <w:top w:val="single" w:sz="4" w:space="0" w:color="A6A6A6" w:themeColor="background1" w:themeShade="A6"/>
            </w:tcBorders>
            <w:vAlign w:val="center"/>
            <w:hideMark/>
          </w:tcPr>
          <w:p w14:paraId="3001D8AD" w14:textId="1BD3892B" w:rsidR="000B5AB0" w:rsidRPr="005A776E" w:rsidRDefault="000B5AB0" w:rsidP="008D6B8E">
            <w:pPr>
              <w:pStyle w:val="BodyText"/>
              <w:ind w:firstLine="0"/>
              <w:jc w:val="left"/>
              <w:rPr>
                <w:lang w:val="en-US"/>
              </w:rPr>
            </w:pPr>
            <w:r w:rsidRPr="005A776E">
              <w:rPr>
                <w:b/>
                <w:bCs/>
                <w:lang w:val="en-US"/>
              </w:rPr>
              <w:t xml:space="preserve">NECP </w:t>
            </w:r>
          </w:p>
        </w:tc>
        <w:tc>
          <w:tcPr>
            <w:tcW w:w="1944" w:type="pct"/>
            <w:tcBorders>
              <w:top w:val="single" w:sz="4" w:space="0" w:color="A6A6A6" w:themeColor="background1" w:themeShade="A6"/>
            </w:tcBorders>
            <w:vAlign w:val="center"/>
            <w:hideMark/>
          </w:tcPr>
          <w:p w14:paraId="1E794613" w14:textId="46C0937A" w:rsidR="000B5AB0" w:rsidRPr="005A776E" w:rsidRDefault="000B5AB0" w:rsidP="008D6B8E">
            <w:pPr>
              <w:pStyle w:val="BodyText"/>
              <w:ind w:firstLine="0"/>
              <w:jc w:val="left"/>
              <w:rPr>
                <w:lang w:val="en-US"/>
              </w:rPr>
            </w:pPr>
            <w:r w:rsidRPr="005A776E">
              <w:rPr>
                <w:lang w:val="en-US"/>
              </w:rPr>
              <w:t>SARAX</w:t>
            </w:r>
            <w:r>
              <w:rPr>
                <w:lang w:val="en-US"/>
              </w:rPr>
              <w:t xml:space="preserve"> </w:t>
            </w:r>
            <w:r>
              <w:rPr>
                <w:lang w:val="en-US"/>
              </w:rPr>
              <w:fldChar w:fldCharType="begin"/>
            </w:r>
            <w:r>
              <w:rPr>
                <w:lang w:val="en-US"/>
              </w:rPr>
              <w:instrText xml:space="preserve"> REF _Ref58591801 \r \h </w:instrText>
            </w:r>
            <w:r w:rsidR="008D6B8E">
              <w:rPr>
                <w:lang w:val="en-US"/>
              </w:rPr>
              <w:instrText xml:space="preserve"> \* MERGEFORMAT </w:instrText>
            </w:r>
            <w:r>
              <w:rPr>
                <w:lang w:val="en-US"/>
              </w:rPr>
            </w:r>
            <w:r>
              <w:rPr>
                <w:lang w:val="en-US"/>
              </w:rPr>
              <w:fldChar w:fldCharType="separate"/>
            </w:r>
            <w:r w:rsidR="00483C1D">
              <w:rPr>
                <w:lang w:val="en-US"/>
              </w:rPr>
              <w:t>[17]</w:t>
            </w:r>
            <w:r>
              <w:rPr>
                <w:lang w:val="en-US"/>
              </w:rPr>
              <w:fldChar w:fldCharType="end"/>
            </w:r>
            <w:r>
              <w:rPr>
                <w:lang w:val="en-US"/>
              </w:rPr>
              <w:t xml:space="preserve">, </w:t>
            </w:r>
            <w:r w:rsidRPr="005A776E">
              <w:rPr>
                <w:lang w:val="en-US"/>
              </w:rPr>
              <w:t>UFG-collision probability method + 3D Nodal S</w:t>
            </w:r>
            <w:r w:rsidRPr="005A776E">
              <w:rPr>
                <w:vertAlign w:val="subscript"/>
                <w:lang w:val="en-US"/>
              </w:rPr>
              <w:t>N</w:t>
            </w:r>
            <w:r w:rsidRPr="005A776E">
              <w:rPr>
                <w:lang w:val="en-US"/>
              </w:rPr>
              <w:t xml:space="preserve"> method</w:t>
            </w:r>
          </w:p>
        </w:tc>
        <w:tc>
          <w:tcPr>
            <w:tcW w:w="2358" w:type="pct"/>
            <w:tcBorders>
              <w:top w:val="single" w:sz="4" w:space="0" w:color="A6A6A6" w:themeColor="background1" w:themeShade="A6"/>
            </w:tcBorders>
            <w:vAlign w:val="center"/>
            <w:hideMark/>
          </w:tcPr>
          <w:p w14:paraId="2D81FEBA" w14:textId="7AB2E0DE" w:rsidR="000B5AB0" w:rsidRPr="005A776E" w:rsidRDefault="000B5AB0" w:rsidP="008D6B8E">
            <w:pPr>
              <w:pStyle w:val="BodyText"/>
              <w:ind w:firstLine="0"/>
              <w:jc w:val="left"/>
              <w:rPr>
                <w:lang w:val="en-US"/>
              </w:rPr>
            </w:pPr>
            <w:r w:rsidRPr="005A776E">
              <w:rPr>
                <w:lang w:val="en-US"/>
              </w:rPr>
              <w:t>UNICORN</w:t>
            </w:r>
            <w:r>
              <w:rPr>
                <w:lang w:val="en-US"/>
              </w:rPr>
              <w:t xml:space="preserve"> </w:t>
            </w:r>
            <w:r>
              <w:rPr>
                <w:lang w:val="en-US"/>
              </w:rPr>
              <w:fldChar w:fldCharType="begin"/>
            </w:r>
            <w:r>
              <w:rPr>
                <w:lang w:val="en-US"/>
              </w:rPr>
              <w:instrText xml:space="preserve"> REF _Ref58591846 \r \h </w:instrText>
            </w:r>
            <w:r w:rsidR="008D6B8E">
              <w:rPr>
                <w:lang w:val="en-US"/>
              </w:rPr>
              <w:instrText xml:space="preserve"> \* MERGEFORMAT </w:instrText>
            </w:r>
            <w:r>
              <w:rPr>
                <w:lang w:val="en-US"/>
              </w:rPr>
            </w:r>
            <w:r>
              <w:rPr>
                <w:lang w:val="en-US"/>
              </w:rPr>
              <w:fldChar w:fldCharType="separate"/>
            </w:r>
            <w:r w:rsidR="00483C1D">
              <w:rPr>
                <w:lang w:val="en-US"/>
              </w:rPr>
              <w:t>[18]</w:t>
            </w:r>
            <w:r>
              <w:rPr>
                <w:lang w:val="en-US"/>
              </w:rPr>
              <w:fldChar w:fldCharType="end"/>
            </w:r>
            <w:r>
              <w:rPr>
                <w:lang w:val="en-US"/>
              </w:rPr>
              <w:t xml:space="preserve">, </w:t>
            </w:r>
            <w:r w:rsidRPr="005A776E">
              <w:rPr>
                <w:lang w:val="en-US"/>
              </w:rPr>
              <w:t>DNPM + sandwich rule</w:t>
            </w:r>
          </w:p>
        </w:tc>
      </w:tr>
      <w:tr w:rsidR="000B5AB0" w:rsidRPr="005A776E" w14:paraId="56CF0717" w14:textId="77777777" w:rsidTr="00B16047">
        <w:trPr>
          <w:trHeight w:val="20"/>
        </w:trPr>
        <w:tc>
          <w:tcPr>
            <w:tcW w:w="698" w:type="pct"/>
            <w:tcBorders>
              <w:top w:val="single" w:sz="4" w:space="0" w:color="A6A6A6" w:themeColor="background1" w:themeShade="A6"/>
              <w:bottom w:val="single" w:sz="4" w:space="0" w:color="A6A6A6" w:themeColor="background1" w:themeShade="A6"/>
            </w:tcBorders>
            <w:vAlign w:val="center"/>
            <w:hideMark/>
          </w:tcPr>
          <w:p w14:paraId="360EBDB2" w14:textId="77777777" w:rsidR="000B5AB0" w:rsidRPr="005A776E" w:rsidRDefault="000B5AB0" w:rsidP="008D6B8E">
            <w:pPr>
              <w:pStyle w:val="BodyText"/>
              <w:ind w:firstLine="0"/>
              <w:jc w:val="left"/>
              <w:rPr>
                <w:lang w:val="en-US"/>
              </w:rPr>
            </w:pPr>
            <w:r w:rsidRPr="005A776E">
              <w:rPr>
                <w:b/>
                <w:bCs/>
                <w:lang w:val="en-US"/>
              </w:rPr>
              <w:t>UNIST</w:t>
            </w:r>
          </w:p>
        </w:tc>
        <w:tc>
          <w:tcPr>
            <w:tcW w:w="1944" w:type="pct"/>
            <w:tcBorders>
              <w:top w:val="single" w:sz="4" w:space="0" w:color="A6A6A6" w:themeColor="background1" w:themeShade="A6"/>
              <w:bottom w:val="single" w:sz="4" w:space="0" w:color="A6A6A6" w:themeColor="background1" w:themeShade="A6"/>
            </w:tcBorders>
            <w:vAlign w:val="center"/>
            <w:hideMark/>
          </w:tcPr>
          <w:p w14:paraId="7F5DE49E" w14:textId="5B681916" w:rsidR="000B5AB0" w:rsidRPr="005A776E" w:rsidRDefault="000B5AB0" w:rsidP="008D6B8E">
            <w:pPr>
              <w:pStyle w:val="BodyText"/>
              <w:ind w:firstLine="0"/>
              <w:jc w:val="left"/>
              <w:rPr>
                <w:lang w:val="en-US"/>
              </w:rPr>
            </w:pPr>
            <w:r w:rsidRPr="005A776E">
              <w:rPr>
                <w:lang w:val="en-US"/>
              </w:rPr>
              <w:t>MCS</w:t>
            </w:r>
            <w:r>
              <w:rPr>
                <w:lang w:val="en-US"/>
              </w:rPr>
              <w:t xml:space="preserve"> </w:t>
            </w:r>
            <w:r>
              <w:rPr>
                <w:lang w:val="en-US"/>
              </w:rPr>
              <w:fldChar w:fldCharType="begin"/>
            </w:r>
            <w:r>
              <w:rPr>
                <w:lang w:val="en-US"/>
              </w:rPr>
              <w:instrText xml:space="preserve"> REF _Ref58592837 \r \h </w:instrText>
            </w:r>
            <w:r w:rsidR="008D6B8E">
              <w:rPr>
                <w:lang w:val="en-US"/>
              </w:rPr>
              <w:instrText xml:space="preserve"> \* MERGEFORMAT </w:instrText>
            </w:r>
            <w:r>
              <w:rPr>
                <w:lang w:val="en-US"/>
              </w:rPr>
            </w:r>
            <w:r>
              <w:rPr>
                <w:lang w:val="en-US"/>
              </w:rPr>
              <w:fldChar w:fldCharType="separate"/>
            </w:r>
            <w:r w:rsidR="00483C1D">
              <w:rPr>
                <w:lang w:val="en-US"/>
              </w:rPr>
              <w:t>[19]</w:t>
            </w:r>
            <w:r>
              <w:rPr>
                <w:lang w:val="en-US"/>
              </w:rPr>
              <w:fldChar w:fldCharType="end"/>
            </w:r>
            <w:r>
              <w:rPr>
                <w:lang w:val="en-US"/>
              </w:rPr>
              <w:t>,</w:t>
            </w:r>
            <w:r w:rsidR="00AB5B8F">
              <w:rPr>
                <w:lang w:val="en-US"/>
              </w:rPr>
              <w:t xml:space="preserve"> </w:t>
            </w:r>
            <w:r>
              <w:rPr>
                <w:lang w:val="en-US"/>
              </w:rPr>
              <w:t>Monte Carlo</w:t>
            </w:r>
          </w:p>
        </w:tc>
        <w:tc>
          <w:tcPr>
            <w:tcW w:w="2358" w:type="pct"/>
            <w:tcBorders>
              <w:top w:val="single" w:sz="4" w:space="0" w:color="A6A6A6" w:themeColor="background1" w:themeShade="A6"/>
              <w:bottom w:val="single" w:sz="4" w:space="0" w:color="A6A6A6" w:themeColor="background1" w:themeShade="A6"/>
            </w:tcBorders>
            <w:vAlign w:val="center"/>
            <w:hideMark/>
          </w:tcPr>
          <w:p w14:paraId="50187F0D" w14:textId="1E0054CD" w:rsidR="000B5AB0" w:rsidRPr="005A776E" w:rsidRDefault="000B5AB0" w:rsidP="008D6B8E">
            <w:pPr>
              <w:pStyle w:val="BodyText"/>
              <w:ind w:firstLine="0"/>
              <w:jc w:val="left"/>
              <w:rPr>
                <w:lang w:val="en-US"/>
              </w:rPr>
            </w:pPr>
            <w:r w:rsidRPr="005A776E">
              <w:rPr>
                <w:lang w:val="en-US"/>
              </w:rPr>
              <w:t>MCS</w:t>
            </w:r>
            <w:r>
              <w:rPr>
                <w:lang w:val="en-US"/>
              </w:rPr>
              <w:t xml:space="preserve"> </w:t>
            </w:r>
            <w:r>
              <w:rPr>
                <w:lang w:val="en-US"/>
              </w:rPr>
              <w:fldChar w:fldCharType="begin"/>
            </w:r>
            <w:r>
              <w:rPr>
                <w:lang w:val="en-US"/>
              </w:rPr>
              <w:instrText xml:space="preserve"> REF _Ref58592837 \r \h </w:instrText>
            </w:r>
            <w:r w:rsidR="008D6B8E">
              <w:rPr>
                <w:lang w:val="en-US"/>
              </w:rPr>
              <w:instrText xml:space="preserve"> \* MERGEFORMAT </w:instrText>
            </w:r>
            <w:r>
              <w:rPr>
                <w:lang w:val="en-US"/>
              </w:rPr>
            </w:r>
            <w:r>
              <w:rPr>
                <w:lang w:val="en-US"/>
              </w:rPr>
              <w:fldChar w:fldCharType="separate"/>
            </w:r>
            <w:r w:rsidR="00483C1D">
              <w:rPr>
                <w:lang w:val="en-US"/>
              </w:rPr>
              <w:t>[19]</w:t>
            </w:r>
            <w:r>
              <w:rPr>
                <w:lang w:val="en-US"/>
              </w:rPr>
              <w:fldChar w:fldCharType="end"/>
            </w:r>
            <w:r>
              <w:rPr>
                <w:lang w:val="en-US"/>
              </w:rPr>
              <w:t xml:space="preserve">, </w:t>
            </w:r>
            <w:r w:rsidR="00194C39">
              <w:rPr>
                <w:lang w:val="en-US"/>
              </w:rPr>
              <w:t>g</w:t>
            </w:r>
            <w:r w:rsidRPr="005A776E">
              <w:rPr>
                <w:lang w:val="en-US"/>
              </w:rPr>
              <w:t>eneralized perturbation theory</w:t>
            </w:r>
          </w:p>
        </w:tc>
      </w:tr>
      <w:tr w:rsidR="000B5AB0" w:rsidRPr="005A776E" w14:paraId="2C57C7F7" w14:textId="77777777" w:rsidTr="00B16047">
        <w:trPr>
          <w:trHeight w:val="20"/>
        </w:trPr>
        <w:tc>
          <w:tcPr>
            <w:tcW w:w="698" w:type="pct"/>
            <w:vMerge w:val="restart"/>
            <w:tcBorders>
              <w:top w:val="single" w:sz="4" w:space="0" w:color="A6A6A6" w:themeColor="background1" w:themeShade="A6"/>
            </w:tcBorders>
            <w:vAlign w:val="center"/>
            <w:hideMark/>
          </w:tcPr>
          <w:p w14:paraId="5F4FD060" w14:textId="1FBA1726" w:rsidR="000B5AB0" w:rsidRPr="005A776E" w:rsidRDefault="000B5AB0" w:rsidP="008D6B8E">
            <w:pPr>
              <w:pStyle w:val="BodyText"/>
              <w:ind w:firstLine="0"/>
              <w:jc w:val="left"/>
              <w:rPr>
                <w:lang w:val="en-US"/>
              </w:rPr>
            </w:pPr>
            <w:r w:rsidRPr="005A776E">
              <w:rPr>
                <w:b/>
                <w:bCs/>
                <w:lang w:val="en-US"/>
              </w:rPr>
              <w:t>GRS/</w:t>
            </w:r>
            <w:r>
              <w:rPr>
                <w:b/>
                <w:bCs/>
                <w:lang w:val="en-US"/>
              </w:rPr>
              <w:br/>
            </w:r>
            <w:r w:rsidRPr="005A776E">
              <w:rPr>
                <w:b/>
                <w:bCs/>
                <w:lang w:val="en-US"/>
              </w:rPr>
              <w:t>ORNL/</w:t>
            </w:r>
            <w:r>
              <w:rPr>
                <w:b/>
                <w:bCs/>
                <w:lang w:val="en-US"/>
              </w:rPr>
              <w:br/>
            </w:r>
            <w:r w:rsidRPr="005A776E">
              <w:rPr>
                <w:b/>
                <w:bCs/>
                <w:lang w:val="en-US"/>
              </w:rPr>
              <w:t>EPFL</w:t>
            </w:r>
          </w:p>
        </w:tc>
        <w:tc>
          <w:tcPr>
            <w:tcW w:w="1944" w:type="pct"/>
            <w:vMerge w:val="restart"/>
            <w:tcBorders>
              <w:top w:val="single" w:sz="4" w:space="0" w:color="A6A6A6" w:themeColor="background1" w:themeShade="A6"/>
            </w:tcBorders>
            <w:vAlign w:val="center"/>
            <w:hideMark/>
          </w:tcPr>
          <w:p w14:paraId="642B8E03" w14:textId="652A62EC" w:rsidR="000B5AB0" w:rsidRPr="005A776E" w:rsidRDefault="00F038C3" w:rsidP="008D6B8E">
            <w:pPr>
              <w:pStyle w:val="BodyText"/>
              <w:ind w:firstLine="0"/>
              <w:jc w:val="left"/>
              <w:rPr>
                <w:lang w:val="en-US"/>
              </w:rPr>
            </w:pPr>
            <w:r w:rsidRPr="005A776E">
              <w:rPr>
                <w:lang w:val="en-US"/>
              </w:rPr>
              <w:t>SCALE/NEWT</w:t>
            </w:r>
            <w:r>
              <w:rPr>
                <w:lang w:val="en-US"/>
              </w:rPr>
              <w:t xml:space="preserve"> </w:t>
            </w:r>
            <w:r>
              <w:rPr>
                <w:lang w:val="en-US"/>
              </w:rPr>
              <w:fldChar w:fldCharType="begin"/>
            </w:r>
            <w:r>
              <w:rPr>
                <w:lang w:val="en-US"/>
              </w:rPr>
              <w:instrText xml:space="preserve"> REF _Ref54173421 \r \h  \* MERGEFORMAT </w:instrText>
            </w:r>
            <w:r>
              <w:rPr>
                <w:lang w:val="en-US"/>
              </w:rPr>
            </w:r>
            <w:r>
              <w:rPr>
                <w:lang w:val="en-US"/>
              </w:rPr>
              <w:fldChar w:fldCharType="separate"/>
            </w:r>
            <w:r w:rsidR="00483C1D">
              <w:rPr>
                <w:lang w:val="en-US"/>
              </w:rPr>
              <w:t>[9]</w:t>
            </w:r>
            <w:r>
              <w:rPr>
                <w:lang w:val="en-US"/>
              </w:rPr>
              <w:fldChar w:fldCharType="end"/>
            </w:r>
            <w:r>
              <w:rPr>
                <w:lang w:val="en-US"/>
              </w:rPr>
              <w:t>, 2D deterministic</w:t>
            </w:r>
            <w:r w:rsidR="00AB5B8F">
              <w:rPr>
                <w:lang w:val="en-US"/>
              </w:rPr>
              <w:t xml:space="preserve"> S</w:t>
            </w:r>
            <w:r w:rsidR="00AB5B8F" w:rsidRPr="00AB5B8F">
              <w:rPr>
                <w:vertAlign w:val="subscript"/>
                <w:lang w:val="en-US"/>
              </w:rPr>
              <w:t>N</w:t>
            </w:r>
          </w:p>
        </w:tc>
        <w:tc>
          <w:tcPr>
            <w:tcW w:w="2358" w:type="pct"/>
            <w:tcBorders>
              <w:top w:val="single" w:sz="4" w:space="0" w:color="A6A6A6" w:themeColor="background1" w:themeShade="A6"/>
            </w:tcBorders>
            <w:vAlign w:val="center"/>
            <w:hideMark/>
          </w:tcPr>
          <w:p w14:paraId="75F3FDAD" w14:textId="7A6EE633" w:rsidR="000B5AB0" w:rsidRPr="005A776E" w:rsidRDefault="000B5AB0" w:rsidP="008D6B8E">
            <w:pPr>
              <w:pStyle w:val="BodyText"/>
              <w:ind w:firstLine="0"/>
              <w:jc w:val="left"/>
              <w:rPr>
                <w:lang w:val="en-US"/>
              </w:rPr>
            </w:pPr>
            <w:r>
              <w:rPr>
                <w:lang w:val="en-US"/>
              </w:rPr>
              <w:t>SCALE/</w:t>
            </w:r>
            <w:r w:rsidRPr="005A776E">
              <w:rPr>
                <w:lang w:val="en-US"/>
              </w:rPr>
              <w:t>TSUNAMI</w:t>
            </w:r>
            <w:r>
              <w:rPr>
                <w:lang w:val="en-US"/>
              </w:rPr>
              <w:t xml:space="preserve"> </w:t>
            </w:r>
            <w:r>
              <w:rPr>
                <w:lang w:val="en-US"/>
              </w:rPr>
              <w:fldChar w:fldCharType="begin"/>
            </w:r>
            <w:r>
              <w:rPr>
                <w:lang w:val="en-US"/>
              </w:rPr>
              <w:instrText xml:space="preserve"> REF _Ref54173507 \r \h </w:instrText>
            </w:r>
            <w:r w:rsidR="008D6B8E">
              <w:rPr>
                <w:lang w:val="en-US"/>
              </w:rPr>
              <w:instrText xml:space="preserve"> \* MERGEFORMAT </w:instrText>
            </w:r>
            <w:r>
              <w:rPr>
                <w:lang w:val="en-US"/>
              </w:rPr>
            </w:r>
            <w:r>
              <w:rPr>
                <w:lang w:val="en-US"/>
              </w:rPr>
              <w:fldChar w:fldCharType="separate"/>
            </w:r>
            <w:r w:rsidR="00483C1D">
              <w:rPr>
                <w:lang w:val="en-US"/>
              </w:rPr>
              <w:t>[20]</w:t>
            </w:r>
            <w:r>
              <w:rPr>
                <w:lang w:val="en-US"/>
              </w:rPr>
              <w:fldChar w:fldCharType="end"/>
            </w:r>
            <w:r>
              <w:rPr>
                <w:lang w:val="en-US"/>
              </w:rPr>
              <w:t xml:space="preserve">, </w:t>
            </w:r>
            <w:r w:rsidR="00194C39">
              <w:rPr>
                <w:lang w:val="en-US"/>
              </w:rPr>
              <w:t>p</w:t>
            </w:r>
            <w:r w:rsidRPr="005A776E">
              <w:rPr>
                <w:lang w:val="en-US"/>
              </w:rPr>
              <w:t>erturbation theory (sandwich rule)</w:t>
            </w:r>
          </w:p>
        </w:tc>
      </w:tr>
      <w:tr w:rsidR="000B5AB0" w:rsidRPr="005A776E" w14:paraId="1290D24A" w14:textId="77777777" w:rsidTr="00B16047">
        <w:trPr>
          <w:trHeight w:val="20"/>
        </w:trPr>
        <w:tc>
          <w:tcPr>
            <w:tcW w:w="698" w:type="pct"/>
            <w:vMerge/>
            <w:vAlign w:val="center"/>
            <w:hideMark/>
          </w:tcPr>
          <w:p w14:paraId="3E9F1AC8" w14:textId="77777777" w:rsidR="000B5AB0" w:rsidRPr="005A776E" w:rsidRDefault="000B5AB0" w:rsidP="008D6B8E">
            <w:pPr>
              <w:pStyle w:val="BodyText"/>
              <w:jc w:val="left"/>
              <w:rPr>
                <w:lang w:val="en-US"/>
              </w:rPr>
            </w:pPr>
          </w:p>
        </w:tc>
        <w:tc>
          <w:tcPr>
            <w:tcW w:w="1944" w:type="pct"/>
            <w:vMerge/>
            <w:vAlign w:val="center"/>
            <w:hideMark/>
          </w:tcPr>
          <w:p w14:paraId="113F3FDF" w14:textId="77777777" w:rsidR="000B5AB0" w:rsidRPr="005A776E" w:rsidRDefault="000B5AB0" w:rsidP="008D6B8E">
            <w:pPr>
              <w:pStyle w:val="BodyText"/>
              <w:jc w:val="left"/>
              <w:rPr>
                <w:lang w:val="en-US"/>
              </w:rPr>
            </w:pPr>
          </w:p>
        </w:tc>
        <w:tc>
          <w:tcPr>
            <w:tcW w:w="2358" w:type="pct"/>
            <w:vAlign w:val="center"/>
            <w:hideMark/>
          </w:tcPr>
          <w:p w14:paraId="42820F46" w14:textId="1D6DDB45" w:rsidR="000B5AB0" w:rsidRPr="005A776E" w:rsidRDefault="000B5AB0" w:rsidP="008D6B8E">
            <w:pPr>
              <w:pStyle w:val="BodyText"/>
              <w:ind w:firstLine="0"/>
              <w:jc w:val="left"/>
              <w:rPr>
                <w:lang w:val="en-US"/>
              </w:rPr>
            </w:pPr>
            <w:r w:rsidRPr="005A776E">
              <w:rPr>
                <w:lang w:val="en-US"/>
              </w:rPr>
              <w:t>XSUSA</w:t>
            </w:r>
            <w:r>
              <w:rPr>
                <w:lang w:val="en-US"/>
              </w:rPr>
              <w:t xml:space="preserve"> </w:t>
            </w:r>
            <w:r>
              <w:rPr>
                <w:lang w:val="en-US"/>
              </w:rPr>
              <w:fldChar w:fldCharType="begin"/>
            </w:r>
            <w:r>
              <w:rPr>
                <w:lang w:val="en-US"/>
              </w:rPr>
              <w:instrText xml:space="preserve"> REF _Ref58591262 \r \h </w:instrText>
            </w:r>
            <w:r w:rsidR="008D6B8E">
              <w:rPr>
                <w:lang w:val="en-US"/>
              </w:rPr>
              <w:instrText xml:space="preserve"> \* MERGEFORMAT </w:instrText>
            </w:r>
            <w:r>
              <w:rPr>
                <w:lang w:val="en-US"/>
              </w:rPr>
            </w:r>
            <w:r>
              <w:rPr>
                <w:lang w:val="en-US"/>
              </w:rPr>
              <w:fldChar w:fldCharType="separate"/>
            </w:r>
            <w:r w:rsidR="00483C1D">
              <w:rPr>
                <w:lang w:val="en-US"/>
              </w:rPr>
              <w:t>[21]</w:t>
            </w:r>
            <w:r>
              <w:rPr>
                <w:lang w:val="en-US"/>
              </w:rPr>
              <w:fldChar w:fldCharType="end"/>
            </w:r>
            <w:r>
              <w:rPr>
                <w:lang w:val="en-US"/>
              </w:rPr>
              <w:t xml:space="preserve">, </w:t>
            </w:r>
            <w:r w:rsidR="00AB5B8F">
              <w:rPr>
                <w:lang w:val="en-US"/>
              </w:rPr>
              <w:t>r</w:t>
            </w:r>
            <w:r w:rsidRPr="005A776E">
              <w:rPr>
                <w:lang w:val="en-US"/>
              </w:rPr>
              <w:t>andom sampling</w:t>
            </w:r>
          </w:p>
        </w:tc>
      </w:tr>
      <w:tr w:rsidR="000B5AB0" w:rsidRPr="005A776E" w14:paraId="1D4956D7" w14:textId="77777777" w:rsidTr="00B16047">
        <w:trPr>
          <w:trHeight w:val="20"/>
        </w:trPr>
        <w:tc>
          <w:tcPr>
            <w:tcW w:w="698" w:type="pct"/>
            <w:vMerge/>
            <w:tcBorders>
              <w:bottom w:val="single" w:sz="4" w:space="0" w:color="A6A6A6" w:themeColor="background1" w:themeShade="A6"/>
            </w:tcBorders>
            <w:vAlign w:val="center"/>
            <w:hideMark/>
          </w:tcPr>
          <w:p w14:paraId="58E01CE6" w14:textId="77777777" w:rsidR="000B5AB0" w:rsidRPr="005A776E" w:rsidRDefault="000B5AB0" w:rsidP="008D6B8E">
            <w:pPr>
              <w:pStyle w:val="BodyText"/>
              <w:jc w:val="left"/>
              <w:rPr>
                <w:lang w:val="en-US"/>
              </w:rPr>
            </w:pPr>
          </w:p>
        </w:tc>
        <w:tc>
          <w:tcPr>
            <w:tcW w:w="1944" w:type="pct"/>
            <w:vMerge/>
            <w:tcBorders>
              <w:bottom w:val="single" w:sz="4" w:space="0" w:color="A6A6A6" w:themeColor="background1" w:themeShade="A6"/>
            </w:tcBorders>
            <w:vAlign w:val="center"/>
            <w:hideMark/>
          </w:tcPr>
          <w:p w14:paraId="2495D9E0" w14:textId="77777777" w:rsidR="000B5AB0" w:rsidRPr="005A776E" w:rsidRDefault="000B5AB0" w:rsidP="008D6B8E">
            <w:pPr>
              <w:pStyle w:val="BodyText"/>
              <w:jc w:val="left"/>
              <w:rPr>
                <w:lang w:val="en-US"/>
              </w:rPr>
            </w:pPr>
          </w:p>
        </w:tc>
        <w:tc>
          <w:tcPr>
            <w:tcW w:w="2358" w:type="pct"/>
            <w:tcBorders>
              <w:bottom w:val="single" w:sz="4" w:space="0" w:color="A6A6A6" w:themeColor="background1" w:themeShade="A6"/>
            </w:tcBorders>
            <w:vAlign w:val="center"/>
            <w:hideMark/>
          </w:tcPr>
          <w:p w14:paraId="23D42983" w14:textId="7D16AB2F" w:rsidR="000B5AB0" w:rsidRPr="005A776E" w:rsidRDefault="000B5AB0" w:rsidP="008D6B8E">
            <w:pPr>
              <w:pStyle w:val="BodyText"/>
              <w:ind w:firstLine="0"/>
              <w:jc w:val="left"/>
              <w:rPr>
                <w:lang w:val="en-US"/>
              </w:rPr>
            </w:pPr>
            <w:r>
              <w:rPr>
                <w:lang w:val="en-US"/>
              </w:rPr>
              <w:t>SCALE/</w:t>
            </w:r>
            <w:r w:rsidRPr="005A776E">
              <w:rPr>
                <w:lang w:val="en-US"/>
              </w:rPr>
              <w:t>Sampler</w:t>
            </w:r>
            <w:r w:rsidR="005C3DC8">
              <w:rPr>
                <w:lang w:val="en-US"/>
              </w:rPr>
              <w:t xml:space="preserve"> </w:t>
            </w:r>
            <w:r w:rsidR="005C3DC8">
              <w:rPr>
                <w:lang w:val="en-US"/>
              </w:rPr>
              <w:fldChar w:fldCharType="begin"/>
            </w:r>
            <w:r w:rsidR="005C3DC8">
              <w:rPr>
                <w:lang w:val="en-US"/>
              </w:rPr>
              <w:instrText xml:space="preserve"> REF _Ref64303296 \r \h </w:instrText>
            </w:r>
            <w:r w:rsidR="005C3DC8">
              <w:rPr>
                <w:lang w:val="en-US"/>
              </w:rPr>
            </w:r>
            <w:r w:rsidR="005C3DC8">
              <w:rPr>
                <w:lang w:val="en-US"/>
              </w:rPr>
              <w:fldChar w:fldCharType="separate"/>
            </w:r>
            <w:r w:rsidR="00483C1D">
              <w:rPr>
                <w:lang w:val="en-US"/>
              </w:rPr>
              <w:t>[22]</w:t>
            </w:r>
            <w:r w:rsidR="005C3DC8">
              <w:rPr>
                <w:lang w:val="en-US"/>
              </w:rPr>
              <w:fldChar w:fldCharType="end"/>
            </w:r>
            <w:r>
              <w:rPr>
                <w:lang w:val="en-US"/>
              </w:rPr>
              <w:t xml:space="preserve">, </w:t>
            </w:r>
            <w:r w:rsidR="00AB5B8F">
              <w:rPr>
                <w:lang w:val="en-US"/>
              </w:rPr>
              <w:t>r</w:t>
            </w:r>
            <w:r w:rsidRPr="005A776E">
              <w:rPr>
                <w:lang w:val="en-US"/>
              </w:rPr>
              <w:t>andom sampling</w:t>
            </w:r>
          </w:p>
        </w:tc>
      </w:tr>
      <w:tr w:rsidR="000B5AB0" w:rsidRPr="005A776E" w14:paraId="5EE9D92D" w14:textId="77777777" w:rsidTr="00B16047">
        <w:trPr>
          <w:trHeight w:val="20"/>
        </w:trPr>
        <w:tc>
          <w:tcPr>
            <w:tcW w:w="698" w:type="pct"/>
            <w:vMerge w:val="restart"/>
            <w:tcBorders>
              <w:top w:val="single" w:sz="4" w:space="0" w:color="A6A6A6" w:themeColor="background1" w:themeShade="A6"/>
            </w:tcBorders>
            <w:vAlign w:val="center"/>
          </w:tcPr>
          <w:p w14:paraId="281CC441" w14:textId="6D4CD325" w:rsidR="000B5AB0" w:rsidRPr="005A776E" w:rsidRDefault="000B5AB0" w:rsidP="008D6B8E">
            <w:pPr>
              <w:pStyle w:val="BodyText"/>
              <w:ind w:firstLine="0"/>
              <w:jc w:val="left"/>
              <w:rPr>
                <w:lang w:val="en-US"/>
              </w:rPr>
            </w:pPr>
            <w:r w:rsidRPr="005A776E">
              <w:rPr>
                <w:b/>
                <w:bCs/>
                <w:lang w:val="en-US"/>
              </w:rPr>
              <w:t>GRS</w:t>
            </w:r>
          </w:p>
        </w:tc>
        <w:tc>
          <w:tcPr>
            <w:tcW w:w="1944" w:type="pct"/>
            <w:tcBorders>
              <w:top w:val="single" w:sz="4" w:space="0" w:color="A6A6A6" w:themeColor="background1" w:themeShade="A6"/>
            </w:tcBorders>
            <w:vAlign w:val="center"/>
          </w:tcPr>
          <w:p w14:paraId="43631A2F" w14:textId="73D30E8A" w:rsidR="000B5AB0" w:rsidRPr="005A776E" w:rsidRDefault="000B5AB0" w:rsidP="008D6B8E">
            <w:pPr>
              <w:pStyle w:val="BodyText"/>
              <w:ind w:firstLine="0"/>
              <w:jc w:val="left"/>
              <w:rPr>
                <w:lang w:val="en-US"/>
              </w:rPr>
            </w:pPr>
            <w:r>
              <w:rPr>
                <w:lang w:val="en-US"/>
              </w:rPr>
              <w:t xml:space="preserve">MCNP </w:t>
            </w:r>
            <w:r>
              <w:rPr>
                <w:lang w:val="en-US"/>
              </w:rPr>
              <w:fldChar w:fldCharType="begin"/>
            </w:r>
            <w:r>
              <w:rPr>
                <w:lang w:val="en-US"/>
              </w:rPr>
              <w:instrText xml:space="preserve"> REF _Ref58591908 \r \h </w:instrText>
            </w:r>
            <w:r w:rsidR="008D6B8E">
              <w:rPr>
                <w:lang w:val="en-US"/>
              </w:rPr>
              <w:instrText xml:space="preserve"> \* MERGEFORMAT </w:instrText>
            </w:r>
            <w:r>
              <w:rPr>
                <w:lang w:val="en-US"/>
              </w:rPr>
            </w:r>
            <w:r>
              <w:rPr>
                <w:lang w:val="en-US"/>
              </w:rPr>
              <w:fldChar w:fldCharType="separate"/>
            </w:r>
            <w:r w:rsidR="00483C1D">
              <w:rPr>
                <w:lang w:val="en-US"/>
              </w:rPr>
              <w:t>[23]</w:t>
            </w:r>
            <w:r>
              <w:rPr>
                <w:lang w:val="en-US"/>
              </w:rPr>
              <w:fldChar w:fldCharType="end"/>
            </w:r>
            <w:r>
              <w:rPr>
                <w:lang w:val="en-US"/>
              </w:rPr>
              <w:t xml:space="preserve">, </w:t>
            </w:r>
            <w:r w:rsidRPr="005A776E">
              <w:rPr>
                <w:lang w:val="en-US"/>
              </w:rPr>
              <w:t>CE-Monte Carlo</w:t>
            </w:r>
          </w:p>
        </w:tc>
        <w:tc>
          <w:tcPr>
            <w:tcW w:w="2358" w:type="pct"/>
            <w:tcBorders>
              <w:top w:val="single" w:sz="4" w:space="0" w:color="A6A6A6" w:themeColor="background1" w:themeShade="A6"/>
            </w:tcBorders>
            <w:vAlign w:val="center"/>
          </w:tcPr>
          <w:p w14:paraId="4BF05B42" w14:textId="11744491" w:rsidR="000B5AB0" w:rsidRPr="005A776E" w:rsidRDefault="000B5AB0" w:rsidP="008D6B8E">
            <w:pPr>
              <w:pStyle w:val="BodyText"/>
              <w:ind w:firstLine="0"/>
              <w:jc w:val="left"/>
              <w:rPr>
                <w:lang w:val="en-US"/>
              </w:rPr>
            </w:pPr>
            <w:r>
              <w:rPr>
                <w:lang w:val="en-US"/>
              </w:rPr>
              <w:t>–</w:t>
            </w:r>
          </w:p>
        </w:tc>
      </w:tr>
      <w:tr w:rsidR="000B5AB0" w:rsidRPr="005A776E" w14:paraId="32E09246" w14:textId="77777777" w:rsidTr="00B16047">
        <w:trPr>
          <w:trHeight w:val="20"/>
        </w:trPr>
        <w:tc>
          <w:tcPr>
            <w:tcW w:w="698" w:type="pct"/>
            <w:vMerge/>
            <w:tcBorders>
              <w:bottom w:val="single" w:sz="4" w:space="0" w:color="A6A6A6" w:themeColor="background1" w:themeShade="A6"/>
            </w:tcBorders>
            <w:vAlign w:val="center"/>
            <w:hideMark/>
          </w:tcPr>
          <w:p w14:paraId="21953E30" w14:textId="21F273AF" w:rsidR="000B5AB0" w:rsidRPr="005A776E" w:rsidRDefault="000B5AB0" w:rsidP="008D6B8E">
            <w:pPr>
              <w:pStyle w:val="BodyText"/>
              <w:ind w:firstLine="0"/>
              <w:jc w:val="left"/>
              <w:rPr>
                <w:lang w:val="en-US"/>
              </w:rPr>
            </w:pPr>
          </w:p>
        </w:tc>
        <w:tc>
          <w:tcPr>
            <w:tcW w:w="1944" w:type="pct"/>
            <w:tcBorders>
              <w:bottom w:val="single" w:sz="4" w:space="0" w:color="A6A6A6" w:themeColor="background1" w:themeShade="A6"/>
            </w:tcBorders>
            <w:vAlign w:val="center"/>
            <w:hideMark/>
          </w:tcPr>
          <w:p w14:paraId="22BD8ED1" w14:textId="27C62521" w:rsidR="000B5AB0" w:rsidRPr="005A776E" w:rsidRDefault="000B5AB0" w:rsidP="008D6B8E">
            <w:pPr>
              <w:pStyle w:val="BodyText"/>
              <w:ind w:firstLine="0"/>
              <w:jc w:val="left"/>
              <w:rPr>
                <w:lang w:val="en-US"/>
              </w:rPr>
            </w:pPr>
            <w:r w:rsidRPr="005A776E">
              <w:rPr>
                <w:lang w:val="en-US"/>
              </w:rPr>
              <w:t>SCALE/NEWT</w:t>
            </w:r>
            <w:r>
              <w:rPr>
                <w:lang w:val="en-US"/>
              </w:rPr>
              <w:t xml:space="preserve"> </w:t>
            </w:r>
            <w:r>
              <w:rPr>
                <w:lang w:val="en-US"/>
              </w:rPr>
              <w:fldChar w:fldCharType="begin"/>
            </w:r>
            <w:r>
              <w:rPr>
                <w:lang w:val="en-US"/>
              </w:rPr>
              <w:instrText xml:space="preserve"> REF _Ref54173421 \r \h </w:instrText>
            </w:r>
            <w:r w:rsidR="008D6B8E">
              <w:rPr>
                <w:lang w:val="en-US"/>
              </w:rPr>
              <w:instrText xml:space="preserve"> \* MERGEFORMAT </w:instrText>
            </w:r>
            <w:r>
              <w:rPr>
                <w:lang w:val="en-US"/>
              </w:rPr>
            </w:r>
            <w:r>
              <w:rPr>
                <w:lang w:val="en-US"/>
              </w:rPr>
              <w:fldChar w:fldCharType="separate"/>
            </w:r>
            <w:r w:rsidR="00483C1D">
              <w:rPr>
                <w:lang w:val="en-US"/>
              </w:rPr>
              <w:t>[9]</w:t>
            </w:r>
            <w:r>
              <w:rPr>
                <w:lang w:val="en-US"/>
              </w:rPr>
              <w:fldChar w:fldCharType="end"/>
            </w:r>
            <w:r w:rsidR="00F038C3">
              <w:rPr>
                <w:lang w:val="en-US"/>
              </w:rPr>
              <w:t>, 2D deterministic</w:t>
            </w:r>
            <w:r w:rsidR="00AB5B8F">
              <w:rPr>
                <w:lang w:val="en-US"/>
              </w:rPr>
              <w:t xml:space="preserve"> S</w:t>
            </w:r>
            <w:r w:rsidR="00AB5B8F" w:rsidRPr="00AB5B8F">
              <w:rPr>
                <w:vertAlign w:val="subscript"/>
                <w:lang w:val="en-US"/>
              </w:rPr>
              <w:t>N</w:t>
            </w:r>
          </w:p>
        </w:tc>
        <w:tc>
          <w:tcPr>
            <w:tcW w:w="2358" w:type="pct"/>
            <w:tcBorders>
              <w:bottom w:val="single" w:sz="4" w:space="0" w:color="A6A6A6" w:themeColor="background1" w:themeShade="A6"/>
            </w:tcBorders>
            <w:vAlign w:val="center"/>
            <w:hideMark/>
          </w:tcPr>
          <w:p w14:paraId="5D1CBF37" w14:textId="31B83011" w:rsidR="000B5AB0" w:rsidRPr="005A776E" w:rsidRDefault="000B5AB0" w:rsidP="008D6B8E">
            <w:pPr>
              <w:pStyle w:val="BodyText"/>
              <w:ind w:firstLine="0"/>
              <w:jc w:val="left"/>
              <w:rPr>
                <w:lang w:val="en-US"/>
              </w:rPr>
            </w:pPr>
            <w:r w:rsidRPr="005A776E">
              <w:rPr>
                <w:lang w:val="en-US"/>
              </w:rPr>
              <w:t>XSUSA</w:t>
            </w:r>
            <w:r>
              <w:rPr>
                <w:lang w:val="en-US"/>
              </w:rPr>
              <w:t xml:space="preserve">-LR </w:t>
            </w:r>
            <w:r>
              <w:rPr>
                <w:lang w:val="en-US"/>
              </w:rPr>
              <w:fldChar w:fldCharType="begin"/>
            </w:r>
            <w:r>
              <w:rPr>
                <w:lang w:val="en-US"/>
              </w:rPr>
              <w:instrText xml:space="preserve"> REF _Ref58591187 \r \h </w:instrText>
            </w:r>
            <w:r w:rsidR="008D6B8E">
              <w:rPr>
                <w:lang w:val="en-US"/>
              </w:rPr>
              <w:instrText xml:space="preserve"> \* MERGEFORMAT </w:instrText>
            </w:r>
            <w:r>
              <w:rPr>
                <w:lang w:val="en-US"/>
              </w:rPr>
            </w:r>
            <w:r>
              <w:rPr>
                <w:lang w:val="en-US"/>
              </w:rPr>
              <w:fldChar w:fldCharType="separate"/>
            </w:r>
            <w:r w:rsidR="00483C1D">
              <w:rPr>
                <w:lang w:val="en-US"/>
              </w:rPr>
              <w:t>[24]</w:t>
            </w:r>
            <w:r>
              <w:rPr>
                <w:lang w:val="en-US"/>
              </w:rPr>
              <w:fldChar w:fldCharType="end"/>
            </w:r>
            <w:r>
              <w:rPr>
                <w:lang w:val="en-US"/>
              </w:rPr>
              <w:t xml:space="preserve">, </w:t>
            </w:r>
            <w:r w:rsidR="00AB5B8F">
              <w:rPr>
                <w:lang w:val="en-US"/>
              </w:rPr>
              <w:t>r</w:t>
            </w:r>
            <w:r w:rsidRPr="005A776E">
              <w:rPr>
                <w:lang w:val="en-US"/>
              </w:rPr>
              <w:t>andom sampling</w:t>
            </w:r>
          </w:p>
        </w:tc>
      </w:tr>
      <w:tr w:rsidR="000B5AB0" w:rsidRPr="005A776E" w14:paraId="2AAD2A4E" w14:textId="77777777" w:rsidTr="00B16047">
        <w:trPr>
          <w:trHeight w:val="20"/>
        </w:trPr>
        <w:tc>
          <w:tcPr>
            <w:tcW w:w="698" w:type="pct"/>
            <w:vMerge w:val="restart"/>
            <w:tcBorders>
              <w:top w:val="single" w:sz="4" w:space="0" w:color="A6A6A6" w:themeColor="background1" w:themeShade="A6"/>
            </w:tcBorders>
            <w:vAlign w:val="center"/>
            <w:hideMark/>
          </w:tcPr>
          <w:p w14:paraId="6C58537B" w14:textId="77777777" w:rsidR="000B5AB0" w:rsidRPr="005A776E" w:rsidRDefault="000B5AB0" w:rsidP="008D6B8E">
            <w:pPr>
              <w:pStyle w:val="BodyText"/>
              <w:ind w:firstLine="0"/>
              <w:jc w:val="left"/>
              <w:rPr>
                <w:lang w:val="en-US"/>
              </w:rPr>
            </w:pPr>
            <w:r w:rsidRPr="005A776E">
              <w:rPr>
                <w:b/>
                <w:bCs/>
                <w:lang w:val="en-US"/>
              </w:rPr>
              <w:t>ORNL</w:t>
            </w:r>
          </w:p>
        </w:tc>
        <w:tc>
          <w:tcPr>
            <w:tcW w:w="1944" w:type="pct"/>
            <w:vMerge w:val="restart"/>
            <w:tcBorders>
              <w:top w:val="single" w:sz="4" w:space="0" w:color="A6A6A6" w:themeColor="background1" w:themeShade="A6"/>
            </w:tcBorders>
            <w:vAlign w:val="center"/>
            <w:hideMark/>
          </w:tcPr>
          <w:p w14:paraId="7FB082EA" w14:textId="0A05D519" w:rsidR="000B5AB0" w:rsidRPr="005A776E" w:rsidRDefault="00F038C3" w:rsidP="008D6B8E">
            <w:pPr>
              <w:pStyle w:val="BodyText"/>
              <w:ind w:firstLine="0"/>
              <w:jc w:val="left"/>
              <w:rPr>
                <w:lang w:val="en-US"/>
              </w:rPr>
            </w:pPr>
            <w:r w:rsidRPr="005A776E">
              <w:rPr>
                <w:lang w:val="en-US"/>
              </w:rPr>
              <w:t>SCALE/NEWT</w:t>
            </w:r>
            <w:r>
              <w:rPr>
                <w:lang w:val="en-US"/>
              </w:rPr>
              <w:t xml:space="preserve"> </w:t>
            </w:r>
            <w:r>
              <w:rPr>
                <w:lang w:val="en-US"/>
              </w:rPr>
              <w:fldChar w:fldCharType="begin"/>
            </w:r>
            <w:r>
              <w:rPr>
                <w:lang w:val="en-US"/>
              </w:rPr>
              <w:instrText xml:space="preserve"> REF _Ref54173421 \r \h  \* MERGEFORMAT </w:instrText>
            </w:r>
            <w:r>
              <w:rPr>
                <w:lang w:val="en-US"/>
              </w:rPr>
            </w:r>
            <w:r>
              <w:rPr>
                <w:lang w:val="en-US"/>
              </w:rPr>
              <w:fldChar w:fldCharType="separate"/>
            </w:r>
            <w:r w:rsidR="00483C1D">
              <w:rPr>
                <w:lang w:val="en-US"/>
              </w:rPr>
              <w:t>[9]</w:t>
            </w:r>
            <w:r>
              <w:rPr>
                <w:lang w:val="en-US"/>
              </w:rPr>
              <w:fldChar w:fldCharType="end"/>
            </w:r>
            <w:r>
              <w:rPr>
                <w:lang w:val="en-US"/>
              </w:rPr>
              <w:t>, 2D deterministic</w:t>
            </w:r>
            <w:r w:rsidR="00AB5B8F">
              <w:rPr>
                <w:lang w:val="en-US"/>
              </w:rPr>
              <w:t xml:space="preserve"> S</w:t>
            </w:r>
            <w:r w:rsidR="00AB5B8F" w:rsidRPr="00AB5B8F">
              <w:rPr>
                <w:vertAlign w:val="subscript"/>
                <w:lang w:val="en-US"/>
              </w:rPr>
              <w:t>N</w:t>
            </w:r>
          </w:p>
        </w:tc>
        <w:tc>
          <w:tcPr>
            <w:tcW w:w="2358" w:type="pct"/>
            <w:tcBorders>
              <w:top w:val="single" w:sz="4" w:space="0" w:color="A6A6A6" w:themeColor="background1" w:themeShade="A6"/>
            </w:tcBorders>
            <w:vAlign w:val="center"/>
            <w:hideMark/>
          </w:tcPr>
          <w:p w14:paraId="319B3781" w14:textId="7BCE1BBA" w:rsidR="000B5AB0" w:rsidRPr="005A776E" w:rsidRDefault="000B5AB0" w:rsidP="008D6B8E">
            <w:pPr>
              <w:pStyle w:val="BodyText"/>
              <w:ind w:firstLine="0"/>
              <w:jc w:val="left"/>
              <w:rPr>
                <w:lang w:val="en-US"/>
              </w:rPr>
            </w:pPr>
            <w:r>
              <w:rPr>
                <w:lang w:val="en-US"/>
              </w:rPr>
              <w:t>SCALE/</w:t>
            </w:r>
            <w:r w:rsidRPr="005A776E">
              <w:rPr>
                <w:lang w:val="en-US"/>
              </w:rPr>
              <w:t>TSUNAMI</w:t>
            </w:r>
            <w:r>
              <w:rPr>
                <w:lang w:val="en-US"/>
              </w:rPr>
              <w:t xml:space="preserve"> </w:t>
            </w:r>
            <w:r>
              <w:rPr>
                <w:lang w:val="en-US"/>
              </w:rPr>
              <w:fldChar w:fldCharType="begin"/>
            </w:r>
            <w:r>
              <w:rPr>
                <w:lang w:val="en-US"/>
              </w:rPr>
              <w:instrText xml:space="preserve"> REF _Ref54173507 \r \h </w:instrText>
            </w:r>
            <w:r w:rsidR="008D6B8E">
              <w:rPr>
                <w:lang w:val="en-US"/>
              </w:rPr>
              <w:instrText xml:space="preserve"> \* MERGEFORMAT </w:instrText>
            </w:r>
            <w:r>
              <w:rPr>
                <w:lang w:val="en-US"/>
              </w:rPr>
            </w:r>
            <w:r>
              <w:rPr>
                <w:lang w:val="en-US"/>
              </w:rPr>
              <w:fldChar w:fldCharType="separate"/>
            </w:r>
            <w:r w:rsidR="00483C1D">
              <w:rPr>
                <w:lang w:val="en-US"/>
              </w:rPr>
              <w:t>[20]</w:t>
            </w:r>
            <w:r>
              <w:rPr>
                <w:lang w:val="en-US"/>
              </w:rPr>
              <w:fldChar w:fldCharType="end"/>
            </w:r>
            <w:r>
              <w:rPr>
                <w:lang w:val="en-US"/>
              </w:rPr>
              <w:t>, p</w:t>
            </w:r>
            <w:r w:rsidRPr="005A776E">
              <w:rPr>
                <w:lang w:val="en-US"/>
              </w:rPr>
              <w:t>erturbation theory (sandwich rule)</w:t>
            </w:r>
          </w:p>
        </w:tc>
      </w:tr>
      <w:tr w:rsidR="000B5AB0" w:rsidRPr="005A776E" w14:paraId="50808C8E" w14:textId="77777777" w:rsidTr="00B16047">
        <w:trPr>
          <w:trHeight w:val="20"/>
        </w:trPr>
        <w:tc>
          <w:tcPr>
            <w:tcW w:w="698" w:type="pct"/>
            <w:vMerge/>
            <w:vAlign w:val="center"/>
            <w:hideMark/>
          </w:tcPr>
          <w:p w14:paraId="503CAF07" w14:textId="77777777" w:rsidR="000B5AB0" w:rsidRPr="005A776E" w:rsidRDefault="000B5AB0" w:rsidP="008D6B8E">
            <w:pPr>
              <w:pStyle w:val="BodyText"/>
              <w:jc w:val="left"/>
              <w:rPr>
                <w:lang w:val="en-US"/>
              </w:rPr>
            </w:pPr>
          </w:p>
        </w:tc>
        <w:tc>
          <w:tcPr>
            <w:tcW w:w="1944" w:type="pct"/>
            <w:vMerge/>
            <w:vAlign w:val="center"/>
            <w:hideMark/>
          </w:tcPr>
          <w:p w14:paraId="59D5D7E5" w14:textId="77777777" w:rsidR="000B5AB0" w:rsidRPr="005A776E" w:rsidRDefault="000B5AB0" w:rsidP="008D6B8E">
            <w:pPr>
              <w:pStyle w:val="BodyText"/>
              <w:jc w:val="left"/>
              <w:rPr>
                <w:lang w:val="en-US"/>
              </w:rPr>
            </w:pPr>
          </w:p>
        </w:tc>
        <w:tc>
          <w:tcPr>
            <w:tcW w:w="2358" w:type="pct"/>
            <w:vAlign w:val="center"/>
            <w:hideMark/>
          </w:tcPr>
          <w:p w14:paraId="7BC85C0E" w14:textId="0F14B5D1" w:rsidR="000B5AB0" w:rsidRPr="005A776E" w:rsidRDefault="000B5AB0" w:rsidP="008D6B8E">
            <w:pPr>
              <w:pStyle w:val="BodyText"/>
              <w:ind w:firstLine="0"/>
              <w:jc w:val="left"/>
              <w:rPr>
                <w:lang w:val="en-US"/>
              </w:rPr>
            </w:pPr>
            <w:r>
              <w:rPr>
                <w:lang w:val="en-US"/>
              </w:rPr>
              <w:t>SCALE/</w:t>
            </w:r>
            <w:r w:rsidRPr="005A776E">
              <w:rPr>
                <w:lang w:val="en-US"/>
              </w:rPr>
              <w:t>Sampler</w:t>
            </w:r>
            <w:r w:rsidR="005C3DC8">
              <w:rPr>
                <w:lang w:val="en-US"/>
              </w:rPr>
              <w:t xml:space="preserve"> </w:t>
            </w:r>
            <w:r w:rsidR="005C3DC8">
              <w:rPr>
                <w:lang w:val="en-US"/>
              </w:rPr>
              <w:fldChar w:fldCharType="begin"/>
            </w:r>
            <w:r w:rsidR="005C3DC8">
              <w:rPr>
                <w:lang w:val="en-US"/>
              </w:rPr>
              <w:instrText xml:space="preserve"> REF _Ref64303296 \r \h </w:instrText>
            </w:r>
            <w:r w:rsidR="005C3DC8">
              <w:rPr>
                <w:lang w:val="en-US"/>
              </w:rPr>
            </w:r>
            <w:r w:rsidR="005C3DC8">
              <w:rPr>
                <w:lang w:val="en-US"/>
              </w:rPr>
              <w:fldChar w:fldCharType="separate"/>
            </w:r>
            <w:r w:rsidR="00483C1D">
              <w:rPr>
                <w:lang w:val="en-US"/>
              </w:rPr>
              <w:t>[22]</w:t>
            </w:r>
            <w:r w:rsidR="005C3DC8">
              <w:rPr>
                <w:lang w:val="en-US"/>
              </w:rPr>
              <w:fldChar w:fldCharType="end"/>
            </w:r>
            <w:r>
              <w:rPr>
                <w:lang w:val="en-US"/>
              </w:rPr>
              <w:t>, r</w:t>
            </w:r>
            <w:r w:rsidRPr="005A776E">
              <w:rPr>
                <w:lang w:val="en-US"/>
              </w:rPr>
              <w:t>andom sampling</w:t>
            </w:r>
          </w:p>
        </w:tc>
      </w:tr>
    </w:tbl>
    <w:p w14:paraId="660619A4" w14:textId="1312832B" w:rsidR="005A776E" w:rsidRDefault="005A776E" w:rsidP="00C77C18">
      <w:pPr>
        <w:pStyle w:val="BodyText"/>
        <w:ind w:firstLine="0"/>
      </w:pPr>
    </w:p>
    <w:p w14:paraId="4C7BF151" w14:textId="77777777" w:rsidR="000F3940" w:rsidRDefault="000F3940" w:rsidP="000F3940">
      <w:pPr>
        <w:pStyle w:val="Heading2"/>
      </w:pPr>
      <w:r>
        <w:t>Preliminary results</w:t>
      </w:r>
    </w:p>
    <w:p w14:paraId="32A3955E" w14:textId="1E98FBA8" w:rsidR="00C81139" w:rsidRDefault="009E7341" w:rsidP="004913A9">
      <w:pPr>
        <w:pStyle w:val="BodyText"/>
      </w:pPr>
      <w:r>
        <w:t>T</w:t>
      </w:r>
      <w:r w:rsidR="003E7016">
        <w:t>he major differences between participants</w:t>
      </w:r>
      <w:r>
        <w:t>’</w:t>
      </w:r>
      <w:r w:rsidR="003E7016">
        <w:t xml:space="preserve"> results </w:t>
      </w:r>
      <w:r>
        <w:t>were</w:t>
      </w:r>
      <w:r w:rsidR="003E7016">
        <w:t xml:space="preserve"> caused by the application of different nuclear data libraries. Therefore, t</w:t>
      </w:r>
      <w:r w:rsidR="00446A1E">
        <w:t xml:space="preserve">he </w:t>
      </w:r>
      <w:r w:rsidR="00FA000E">
        <w:t xml:space="preserve">presented </w:t>
      </w:r>
      <w:r w:rsidR="00446A1E">
        <w:t xml:space="preserve">results here are distinguished </w:t>
      </w:r>
      <w:r>
        <w:t>according</w:t>
      </w:r>
      <w:r w:rsidR="00446A1E">
        <w:t xml:space="preserve"> to the applied </w:t>
      </w:r>
      <w:r w:rsidR="004913A9">
        <w:t xml:space="preserve">cross section library for the nominal values and the applied covariance library for the uncertainty results. The uncertainty results labelled </w:t>
      </w:r>
      <w:r w:rsidR="004913A9" w:rsidRPr="00FA000E">
        <w:rPr>
          <w:i/>
          <w:iCs/>
        </w:rPr>
        <w:t>ENDF/B-VII.1</w:t>
      </w:r>
      <w:r w:rsidR="004913A9" w:rsidRPr="00FA000E">
        <w:rPr>
          <w:b/>
          <w:bCs/>
          <w:i/>
          <w:iCs/>
        </w:rPr>
        <w:t>+</w:t>
      </w:r>
      <w:r w:rsidR="004913A9">
        <w:t xml:space="preserve"> refer to SCALE’s ENDF/B-VII.1</w:t>
      </w:r>
      <w:r>
        <w:t>–</w:t>
      </w:r>
      <w:r w:rsidR="004913A9">
        <w:t xml:space="preserve">based </w:t>
      </w:r>
      <w:r w:rsidR="0075228E">
        <w:t xml:space="preserve">covariance </w:t>
      </w:r>
      <w:r w:rsidR="004913A9">
        <w:t>library</w:t>
      </w:r>
      <w:r w:rsidR="0075228E">
        <w:t xml:space="preserve"> This library</w:t>
      </w:r>
      <w:r w:rsidR="004913A9">
        <w:t xml:space="preserve"> is </w:t>
      </w:r>
      <w:r w:rsidR="00C81139">
        <w:t>mainly based on ENDF/B-VII.1 data,</w:t>
      </w:r>
      <w:r w:rsidR="004913A9">
        <w:t xml:space="preserve"> but </w:t>
      </w:r>
      <w:r>
        <w:t xml:space="preserve">it </w:t>
      </w:r>
      <w:r w:rsidR="004913A9">
        <w:t xml:space="preserve">also contains additional data to fill </w:t>
      </w:r>
      <w:r>
        <w:t xml:space="preserve">in </w:t>
      </w:r>
      <w:r w:rsidR="004913A9">
        <w:t xml:space="preserve">gaps </w:t>
      </w:r>
      <w:r w:rsidR="00144D25">
        <w:t xml:space="preserve">such as missing fission spectrum uncertainties </w:t>
      </w:r>
      <w:r w:rsidR="004913A9">
        <w:fldChar w:fldCharType="begin"/>
      </w:r>
      <w:r w:rsidR="004913A9">
        <w:instrText xml:space="preserve"> REF _Ref54173421 \r \h </w:instrText>
      </w:r>
      <w:r w:rsidR="004913A9">
        <w:fldChar w:fldCharType="separate"/>
      </w:r>
      <w:r w:rsidR="00483C1D">
        <w:t>[9]</w:t>
      </w:r>
      <w:r w:rsidR="004913A9">
        <w:fldChar w:fldCharType="end"/>
      </w:r>
      <w:r w:rsidR="0075228E">
        <w:t>;</w:t>
      </w:r>
      <w:r w:rsidR="004913A9">
        <w:t xml:space="preserve"> </w:t>
      </w:r>
      <w:r w:rsidR="0075228E">
        <w:t>f</w:t>
      </w:r>
      <w:r w:rsidR="004913A9">
        <w:t xml:space="preserve">urthermore, data for </w:t>
      </w:r>
      <w:r w:rsidR="004913A9" w:rsidRPr="004913A9">
        <w:rPr>
          <w:vertAlign w:val="superscript"/>
        </w:rPr>
        <w:t>1</w:t>
      </w:r>
      <w:r w:rsidR="004913A9">
        <w:t xml:space="preserve">H, </w:t>
      </w:r>
      <w:r w:rsidR="004913A9" w:rsidRPr="004913A9">
        <w:rPr>
          <w:vertAlign w:val="superscript"/>
        </w:rPr>
        <w:t>235</w:t>
      </w:r>
      <w:r w:rsidR="004913A9">
        <w:t xml:space="preserve">U and </w:t>
      </w:r>
      <w:r w:rsidR="004913A9" w:rsidRPr="004913A9">
        <w:rPr>
          <w:vertAlign w:val="superscript"/>
        </w:rPr>
        <w:t>239</w:t>
      </w:r>
      <w:r w:rsidR="004913A9">
        <w:t>Pu w</w:t>
      </w:r>
      <w:r>
        <w:t>ere</w:t>
      </w:r>
      <w:r w:rsidR="004913A9">
        <w:t xml:space="preserve"> taken from a pre-release of ENDF/B-VIII.0. Correspondingly, </w:t>
      </w:r>
      <w:r w:rsidR="004913A9" w:rsidRPr="00FA000E">
        <w:rPr>
          <w:i/>
          <w:iCs/>
        </w:rPr>
        <w:t>ENDF/B-VIII.0</w:t>
      </w:r>
      <w:r w:rsidR="00FA000E" w:rsidRPr="00FA000E">
        <w:rPr>
          <w:b/>
          <w:bCs/>
          <w:i/>
          <w:iCs/>
        </w:rPr>
        <w:t>+</w:t>
      </w:r>
      <w:r w:rsidR="004913A9">
        <w:t xml:space="preserve"> refers to SCALE’s ENDF/B-VIII.0</w:t>
      </w:r>
      <w:r w:rsidR="00443BA3">
        <w:t>–based</w:t>
      </w:r>
      <w:r w:rsidR="004913A9">
        <w:t xml:space="preserve"> </w:t>
      </w:r>
      <w:r w:rsidR="0075228E">
        <w:t xml:space="preserve">covariance </w:t>
      </w:r>
      <w:r w:rsidR="00443BA3">
        <w:t>library that contains the same additional data as the ENDF/B-VII.1</w:t>
      </w:r>
      <w:r>
        <w:t>–</w:t>
      </w:r>
      <w:r w:rsidR="00443BA3">
        <w:t>based library</w:t>
      </w:r>
      <w:r w:rsidR="0026279E">
        <w:t xml:space="preserve"> to fill in missing data</w:t>
      </w:r>
      <w:r w:rsidR="00443BA3">
        <w:t>.</w:t>
      </w:r>
      <w:r w:rsidR="00FA000E">
        <w:t xml:space="preserve"> </w:t>
      </w:r>
    </w:p>
    <w:p w14:paraId="2AF81FF2" w14:textId="2692CB41" w:rsidR="00FA000E" w:rsidRDefault="00FA000E" w:rsidP="004913A9">
      <w:pPr>
        <w:pStyle w:val="BodyText"/>
      </w:pPr>
      <w:r>
        <w:t>Table</w:t>
      </w:r>
      <w:r w:rsidR="00EB2049">
        <w:t>s</w:t>
      </w:r>
      <w:r>
        <w:t xml:space="preserve"> 1</w:t>
      </w:r>
      <w:r w:rsidR="00EB2049">
        <w:t>–</w:t>
      </w:r>
      <w:r>
        <w:t xml:space="preserve">3 provide the average nominal values and average uncertainties </w:t>
      </w:r>
      <w:r w:rsidR="005E28DC">
        <w:t xml:space="preserve">(arithmetic mean) </w:t>
      </w:r>
      <w:r>
        <w:t>determined from all contributed results. In the calculation of the average nominal results,</w:t>
      </w:r>
      <w:r w:rsidR="00565B1C">
        <w:t xml:space="preserve"> multiple results with the same transport code based on the same library were only considered once. </w:t>
      </w:r>
      <w:r w:rsidR="009E7341">
        <w:t>M</w:t>
      </w:r>
      <w:r w:rsidR="00565B1C">
        <w:t xml:space="preserve">any contributed results </w:t>
      </w:r>
      <w:r w:rsidR="009E7341">
        <w:t>we</w:t>
      </w:r>
      <w:r w:rsidR="00565B1C">
        <w:t>re based on transport codes, uncertainty analysis codes</w:t>
      </w:r>
      <w:r w:rsidR="009E7341">
        <w:t>,</w:t>
      </w:r>
      <w:r w:rsidR="00565B1C">
        <w:t xml:space="preserve"> and libraries of SCALE, </w:t>
      </w:r>
      <w:r w:rsidR="009E7341">
        <w:t>so</w:t>
      </w:r>
      <w:r w:rsidR="00565B1C">
        <w:t xml:space="preserve"> the average results are </w:t>
      </w:r>
      <w:r w:rsidR="009E7341">
        <w:t xml:space="preserve">biased </w:t>
      </w:r>
      <w:r w:rsidR="00565B1C">
        <w:t xml:space="preserve">to some extent. </w:t>
      </w:r>
      <w:r w:rsidR="000B6798">
        <w:t xml:space="preserve">Given the </w:t>
      </w:r>
      <w:r w:rsidR="009E7341">
        <w:t xml:space="preserve">page </w:t>
      </w:r>
      <w:r w:rsidR="000B6798">
        <w:t xml:space="preserve">limit, </w:t>
      </w:r>
      <w:r w:rsidR="00ED6F01">
        <w:t xml:space="preserve">detailed results are only provided </w:t>
      </w:r>
      <w:r w:rsidR="000B6798">
        <w:t>for the MOX3600</w:t>
      </w:r>
      <w:r w:rsidR="00AA512A">
        <w:t xml:space="preserve"> models </w:t>
      </w:r>
      <w:r w:rsidR="0005730E">
        <w:t>(</w:t>
      </w:r>
      <w:r w:rsidR="00ED6F01">
        <w:t xml:space="preserve">see figures </w:t>
      </w:r>
      <w:r w:rsidR="009E7341">
        <w:t xml:space="preserve">provided </w:t>
      </w:r>
      <w:r w:rsidR="00AA512A">
        <w:t>in the Appendix</w:t>
      </w:r>
      <w:r w:rsidR="0005730E">
        <w:t>)</w:t>
      </w:r>
      <w:r w:rsidR="00AA512A">
        <w:t>.</w:t>
      </w:r>
    </w:p>
    <w:p w14:paraId="045985B7" w14:textId="77777777" w:rsidR="00C57940" w:rsidRDefault="00C57940" w:rsidP="00C57940">
      <w:pPr>
        <w:pStyle w:val="Heading3"/>
      </w:pPr>
      <w:r>
        <w:t>Exercise I-1: Fuel pin cell</w:t>
      </w:r>
    </w:p>
    <w:p w14:paraId="6C2CED6A" w14:textId="1831B6FF" w:rsidR="00897E46" w:rsidRDefault="00A909C1" w:rsidP="00897E46">
      <w:pPr>
        <w:pStyle w:val="BodyText"/>
      </w:pPr>
      <w:r>
        <w:t>Table 1 presents the average results for both the MET1000 and the MOX3600 fuel pin</w:t>
      </w:r>
      <w:r w:rsidR="009E7341">
        <w:t>s</w:t>
      </w:r>
      <w:r>
        <w:t xml:space="preserve">. </w:t>
      </w:r>
      <w:r w:rsidR="009E7341">
        <w:t>T</w:t>
      </w:r>
      <w:r>
        <w:t xml:space="preserve">he eigenvalue uncertainties of 1.40 and 1.53% are clearly above </w:t>
      </w:r>
      <w:r w:rsidR="000C5753">
        <w:t xml:space="preserve">the </w:t>
      </w:r>
      <w:r w:rsidR="00EB2049">
        <w:t>typical</w:t>
      </w:r>
      <w:r w:rsidR="000C5753">
        <w:t xml:space="preserve"> </w:t>
      </w:r>
      <w:r w:rsidR="00351122">
        <w:t xml:space="preserve">LWR </w:t>
      </w:r>
      <w:r>
        <w:t xml:space="preserve">eigenvalue uncertainties </w:t>
      </w:r>
      <w:r w:rsidR="00351122">
        <w:t xml:space="preserve">of </w:t>
      </w:r>
      <w:r w:rsidR="00EB2049">
        <w:t>~</w:t>
      </w:r>
      <w:r w:rsidR="00351122">
        <w:t>0.5%</w:t>
      </w:r>
      <w:r w:rsidR="002D4356">
        <w:t xml:space="preserve"> </w:t>
      </w:r>
      <w:r w:rsidR="002D4356">
        <w:fldChar w:fldCharType="begin"/>
      </w:r>
      <w:r w:rsidR="002D4356">
        <w:instrText xml:space="preserve"> REF _Ref63181463 \r \h </w:instrText>
      </w:r>
      <w:r w:rsidR="002D4356">
        <w:fldChar w:fldCharType="separate"/>
      </w:r>
      <w:r w:rsidR="00483C1D">
        <w:t>[25]</w:t>
      </w:r>
      <w:r w:rsidR="002D4356">
        <w:fldChar w:fldCharType="end"/>
      </w:r>
      <w:r>
        <w:t>.</w:t>
      </w:r>
      <w:r w:rsidR="00256E90">
        <w:t xml:space="preserve"> </w:t>
      </w:r>
      <w:r w:rsidR="00351122">
        <w:t>While one of the major contributor</w:t>
      </w:r>
      <w:r w:rsidR="00764EE6">
        <w:t>s</w:t>
      </w:r>
      <w:r w:rsidR="00351122">
        <w:t xml:space="preserve"> of LWR eigenvalue uncertainty i</w:t>
      </w:r>
      <w:r w:rsidR="00F4494E">
        <w:t>s</w:t>
      </w:r>
      <w:r w:rsidR="00351122">
        <w:t xml:space="preserve"> the neutron multiplicity of </w:t>
      </w:r>
      <w:r w:rsidR="00351122" w:rsidRPr="00351122">
        <w:rPr>
          <w:vertAlign w:val="superscript"/>
        </w:rPr>
        <w:t>235</w:t>
      </w:r>
      <w:r w:rsidR="00351122">
        <w:t xml:space="preserve">U, </w:t>
      </w:r>
      <w:r w:rsidR="00997BA0">
        <w:t xml:space="preserve">the uncertainty of </w:t>
      </w:r>
      <w:r w:rsidR="000C5753">
        <w:t xml:space="preserve">the </w:t>
      </w:r>
      <w:r w:rsidR="00997BA0">
        <w:t>fast</w:t>
      </w:r>
      <w:r w:rsidR="000C5753">
        <w:t>-</w:t>
      </w:r>
      <w:r w:rsidR="00997BA0">
        <w:t xml:space="preserve">spectrum SFR system is mostly driven by inelastic scattering of </w:t>
      </w:r>
      <w:r w:rsidR="00997BA0" w:rsidRPr="00997BA0">
        <w:rPr>
          <w:vertAlign w:val="superscript"/>
        </w:rPr>
        <w:t>238</w:t>
      </w:r>
      <w:r w:rsidR="00997BA0">
        <w:t>U</w:t>
      </w:r>
      <w:r w:rsidR="000C5753">
        <w:t>,</w:t>
      </w:r>
      <w:r w:rsidR="00997BA0">
        <w:t xml:space="preserve"> which shows a large uncertainty in the fast energy range.</w:t>
      </w:r>
      <w:r w:rsidR="005404BA">
        <w:t xml:space="preserve"> </w:t>
      </w:r>
      <w:r w:rsidR="000C5753">
        <w:t>T</w:t>
      </w:r>
      <w:r w:rsidR="005404BA">
        <w:t xml:space="preserve">he differences in the uncertainty of this cross section </w:t>
      </w:r>
      <w:r w:rsidR="00266337">
        <w:t>for</w:t>
      </w:r>
      <w:r w:rsidR="000C5753">
        <w:t xml:space="preserve"> </w:t>
      </w:r>
      <w:r w:rsidR="005404BA">
        <w:t xml:space="preserve">the different covariance libraries </w:t>
      </w:r>
      <w:r w:rsidR="000C5753">
        <w:t xml:space="preserve">result in </w:t>
      </w:r>
      <w:r w:rsidR="005404BA">
        <w:t xml:space="preserve">different eigenvalue uncertainties </w:t>
      </w:r>
      <w:r w:rsidR="00266337">
        <w:t xml:space="preserve">as </w:t>
      </w:r>
      <w:r w:rsidR="005404BA">
        <w:t xml:space="preserve">shown </w:t>
      </w:r>
      <w:r w:rsidR="005404BA" w:rsidRPr="00D61603">
        <w:t>in</w:t>
      </w:r>
      <w:r w:rsidR="00A24B08">
        <w:t xml:space="preserve"> Figure </w:t>
      </w:r>
      <w:r w:rsidR="00483C1D">
        <w:t>5</w:t>
      </w:r>
      <w:r w:rsidR="005404BA" w:rsidRPr="00D61603">
        <w:t>. Since</w:t>
      </w:r>
      <w:r w:rsidR="005404BA">
        <w:t xml:space="preserve"> the major driver </w:t>
      </w:r>
      <w:r w:rsidR="000C5753">
        <w:t>of</w:t>
      </w:r>
      <w:r w:rsidR="005404BA">
        <w:t xml:space="preserve"> </w:t>
      </w:r>
      <w:r w:rsidR="00E90E93">
        <w:t xml:space="preserve">the investigated </w:t>
      </w:r>
      <w:r w:rsidR="005404BA">
        <w:t>1-group microscopic cross section uncertaint</w:t>
      </w:r>
      <w:r w:rsidR="00E90E93">
        <w:t>ies</w:t>
      </w:r>
      <w:r w:rsidR="005404BA">
        <w:t xml:space="preserve"> is in </w:t>
      </w:r>
      <w:r w:rsidR="00BE4C70">
        <w:t>most</w:t>
      </w:r>
      <w:r w:rsidR="005404BA">
        <w:t xml:space="preserve"> cases the reaction itself</w:t>
      </w:r>
      <w:r w:rsidR="00D61603">
        <w:t xml:space="preserve"> and</w:t>
      </w:r>
      <w:r w:rsidR="000C5753">
        <w:t xml:space="preserve"> </w:t>
      </w:r>
      <w:r w:rsidR="00697F49">
        <w:t xml:space="preserve">a major contribution originates from </w:t>
      </w:r>
      <w:r w:rsidR="00D61603" w:rsidRPr="00997BA0">
        <w:rPr>
          <w:vertAlign w:val="superscript"/>
        </w:rPr>
        <w:t>238</w:t>
      </w:r>
      <w:r w:rsidR="00D61603">
        <w:t>U inelastic scatterin</w:t>
      </w:r>
      <w:r w:rsidR="00D74325">
        <w:t xml:space="preserve">g (for example, the major contributors to the 1-group microscopic </w:t>
      </w:r>
      <w:r w:rsidR="00C14CAD">
        <w:rPr>
          <w:vertAlign w:val="superscript"/>
        </w:rPr>
        <w:t>56</w:t>
      </w:r>
      <w:r w:rsidR="00C14CAD">
        <w:t>Fe</w:t>
      </w:r>
      <w:r w:rsidR="00D74325">
        <w:t xml:space="preserve"> </w:t>
      </w:r>
      <w:r w:rsidR="00C14CAD">
        <w:t>elastic scattering</w:t>
      </w:r>
      <w:r w:rsidR="00D74325">
        <w:t xml:space="preserve"> reaction are </w:t>
      </w:r>
      <w:r w:rsidR="00C14CAD">
        <w:rPr>
          <w:vertAlign w:val="superscript"/>
        </w:rPr>
        <w:t>56</w:t>
      </w:r>
      <w:r w:rsidR="00C14CAD">
        <w:t>Fe elastic scattering</w:t>
      </w:r>
      <w:r w:rsidR="00D74325">
        <w:t xml:space="preserve"> and </w:t>
      </w:r>
      <w:r w:rsidR="00D74325" w:rsidRPr="00997BA0">
        <w:rPr>
          <w:vertAlign w:val="superscript"/>
        </w:rPr>
        <w:t>238</w:t>
      </w:r>
      <w:r w:rsidR="00D74325">
        <w:t>U inelastic scattering)</w:t>
      </w:r>
      <w:r w:rsidR="005404BA">
        <w:t xml:space="preserve">, differences in the uncertainties between the covariance libraries for the particular reaction </w:t>
      </w:r>
      <w:r w:rsidR="00B22C0D">
        <w:t xml:space="preserve">and </w:t>
      </w:r>
      <w:r w:rsidR="00B22C0D" w:rsidRPr="00997BA0">
        <w:rPr>
          <w:vertAlign w:val="superscript"/>
        </w:rPr>
        <w:t>238</w:t>
      </w:r>
      <w:r w:rsidR="00B22C0D">
        <w:t xml:space="preserve">U inelastic scattering </w:t>
      </w:r>
      <w:r w:rsidR="005404BA">
        <w:t>dominate the observed output uncertainty differences.</w:t>
      </w:r>
      <w:r w:rsidR="001D12C3">
        <w:t xml:space="preserve"> T</w:t>
      </w:r>
      <w:r w:rsidR="00984F88">
        <w:t xml:space="preserve">he large uncertainty of the 1-group microscopic cross section of the </w:t>
      </w:r>
      <w:r w:rsidR="00984F88" w:rsidRPr="00984F88">
        <w:rPr>
          <w:vertAlign w:val="superscript"/>
        </w:rPr>
        <w:t>241</w:t>
      </w:r>
      <w:r w:rsidR="00984F88">
        <w:t xml:space="preserve">Pu capture reaction is mainly caused by the uncertainty of this reaction itself in the fast energy range. </w:t>
      </w:r>
      <w:r w:rsidR="00FF44F2">
        <w:t>While the COMMARA and ENDF/B-VII.1 results are in good agreement</w:t>
      </w:r>
      <w:r w:rsidR="0026279E">
        <w:t xml:space="preserve"> as expected since much of the covariance data between the two libraries is consistent</w:t>
      </w:r>
      <w:r w:rsidR="00FF44F2">
        <w:t xml:space="preserve">, the COMAC and ENDF/B-VIII.0 </w:t>
      </w:r>
      <w:r w:rsidR="000C5753">
        <w:t xml:space="preserve">results </w:t>
      </w:r>
      <w:r w:rsidR="00FF44F2">
        <w:t>show clear differences.</w:t>
      </w:r>
      <w:r w:rsidR="00483C1D">
        <w:t xml:space="preserve"> As an example, the </w:t>
      </w:r>
      <w:r w:rsidR="00483C1D" w:rsidRPr="00483C1D">
        <w:rPr>
          <w:vertAlign w:val="superscript"/>
        </w:rPr>
        <w:t>238</w:t>
      </w:r>
      <w:r w:rsidR="00483C1D">
        <w:t>U inelastic scattering uncertainty is compared between the different covariance libraries in Figure 4.</w:t>
      </w:r>
    </w:p>
    <w:p w14:paraId="706318F9" w14:textId="04FC4E19" w:rsidR="007163D7" w:rsidRDefault="007163D7" w:rsidP="00897E46">
      <w:pPr>
        <w:pStyle w:val="BodyText"/>
      </w:pPr>
    </w:p>
    <w:p w14:paraId="5E4CCF86" w14:textId="43C23B98" w:rsidR="00873A59" w:rsidRDefault="00873A59" w:rsidP="00897E46">
      <w:pPr>
        <w:pStyle w:val="BodyText"/>
      </w:pPr>
    </w:p>
    <w:p w14:paraId="0D750FFC" w14:textId="5EF30140" w:rsidR="00873A59" w:rsidRDefault="00873A59" w:rsidP="00897E46">
      <w:pPr>
        <w:pStyle w:val="BodyText"/>
      </w:pPr>
    </w:p>
    <w:p w14:paraId="2B83D1C3" w14:textId="7B12F3B0" w:rsidR="00873A59" w:rsidRDefault="00873A59" w:rsidP="00897E46">
      <w:pPr>
        <w:pStyle w:val="BodyText"/>
      </w:pPr>
    </w:p>
    <w:p w14:paraId="211B9C94" w14:textId="77777777" w:rsidR="00873A59" w:rsidRDefault="00873A59" w:rsidP="00897E46">
      <w:pPr>
        <w:pStyle w:val="BodyText"/>
      </w:pPr>
    </w:p>
    <w:p w14:paraId="129CEA08" w14:textId="3809533D" w:rsidR="00897E46" w:rsidRDefault="00897E46" w:rsidP="00355EA4">
      <w:pPr>
        <w:pStyle w:val="BodyText"/>
        <w:spacing w:before="120" w:after="120" w:line="276" w:lineRule="auto"/>
        <w:ind w:firstLine="0"/>
      </w:pPr>
      <w:r>
        <w:t>TABLE 1.</w:t>
      </w:r>
      <w:r>
        <w:tab/>
      </w:r>
      <w:r w:rsidR="00AC181F">
        <w:t>Average fuel p</w:t>
      </w:r>
      <w:r>
        <w:t>in cell results</w:t>
      </w:r>
      <w:r w:rsidR="004D3142">
        <w:t>: Nominal values and uncertainties due to nuclear data.</w:t>
      </w:r>
      <w:r w:rsidR="00113E24" w:rsidRPr="00113E24">
        <w:t xml:space="preserve"> </w:t>
      </w:r>
      <w:r w:rsidR="00113E24">
        <w:t xml:space="preserve">Microscopic cross sections are provided in </w:t>
      </w:r>
      <w:r w:rsidR="00AE770E">
        <w:t>barn</w:t>
      </w:r>
      <w:r w:rsidR="00113E24">
        <w:t>, macroscopic cross sections in cm</w:t>
      </w:r>
      <w:r w:rsidR="00113E24" w:rsidRPr="00287A79">
        <w:rPr>
          <w:vertAlign w:val="superscript"/>
        </w:rPr>
        <w:t>-1</w:t>
      </w:r>
      <w:r w:rsidR="00113E24">
        <w:t>.</w:t>
      </w:r>
    </w:p>
    <w:tbl>
      <w:tblPr>
        <w:tblStyle w:val="PlainTable2"/>
        <w:tblW w:w="0" w:type="auto"/>
        <w:jc w:val="center"/>
        <w:tblLook w:val="04A0" w:firstRow="1" w:lastRow="0" w:firstColumn="1" w:lastColumn="0" w:noHBand="0" w:noVBand="1"/>
      </w:tblPr>
      <w:tblGrid>
        <w:gridCol w:w="1432"/>
        <w:gridCol w:w="1662"/>
        <w:gridCol w:w="1001"/>
        <w:gridCol w:w="1238"/>
        <w:gridCol w:w="1001"/>
        <w:gridCol w:w="1238"/>
      </w:tblGrid>
      <w:tr w:rsidR="00F21147" w:rsidRPr="00DA15C7" w14:paraId="67A754AB" w14:textId="77777777" w:rsidTr="009A635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Align w:val="center"/>
          </w:tcPr>
          <w:p w14:paraId="3F649C9D" w14:textId="77777777" w:rsidR="00F21147" w:rsidRPr="00DA15C7" w:rsidRDefault="00F21147" w:rsidP="00AC181F">
            <w:pPr>
              <w:pStyle w:val="BodyText"/>
              <w:ind w:firstLine="0"/>
              <w:jc w:val="left"/>
            </w:pPr>
          </w:p>
        </w:tc>
        <w:tc>
          <w:tcPr>
            <w:tcW w:w="0" w:type="auto"/>
            <w:noWrap/>
            <w:vAlign w:val="center"/>
          </w:tcPr>
          <w:p w14:paraId="782E0A9C" w14:textId="11AD460A" w:rsidR="00F21147" w:rsidRPr="00DA15C7" w:rsidRDefault="00F21147" w:rsidP="00AC181F">
            <w:pPr>
              <w:pStyle w:val="BodyText"/>
              <w:ind w:firstLine="0"/>
              <w:jc w:val="left"/>
              <w:cnfStyle w:val="100000000000" w:firstRow="1" w:lastRow="0" w:firstColumn="0" w:lastColumn="0" w:oddVBand="0" w:evenVBand="0" w:oddHBand="0" w:evenHBand="0" w:firstRowFirstColumn="0" w:firstRowLastColumn="0" w:lastRowFirstColumn="0" w:lastRowLastColumn="0"/>
            </w:pPr>
          </w:p>
        </w:tc>
        <w:tc>
          <w:tcPr>
            <w:tcW w:w="0" w:type="auto"/>
            <w:gridSpan w:val="2"/>
            <w:noWrap/>
            <w:vAlign w:val="center"/>
          </w:tcPr>
          <w:p w14:paraId="29F4222A" w14:textId="7C3DE440" w:rsidR="00F21147" w:rsidRPr="00DA15C7" w:rsidRDefault="00F21147" w:rsidP="00AC181F">
            <w:pPr>
              <w:pStyle w:val="BodyText"/>
              <w:ind w:firstLine="0"/>
              <w:jc w:val="left"/>
              <w:cnfStyle w:val="100000000000" w:firstRow="1" w:lastRow="0" w:firstColumn="0" w:lastColumn="0" w:oddVBand="0" w:evenVBand="0" w:oddHBand="0" w:evenHBand="0" w:firstRowFirstColumn="0" w:firstRowLastColumn="0" w:lastRowFirstColumn="0" w:lastRowLastColumn="0"/>
            </w:pPr>
            <w:r w:rsidRPr="00DA15C7">
              <w:t>MET1000</w:t>
            </w:r>
          </w:p>
        </w:tc>
        <w:tc>
          <w:tcPr>
            <w:tcW w:w="0" w:type="auto"/>
            <w:gridSpan w:val="2"/>
            <w:vAlign w:val="center"/>
          </w:tcPr>
          <w:p w14:paraId="53405FC8" w14:textId="368AC94F" w:rsidR="00F21147" w:rsidRPr="00DA15C7" w:rsidRDefault="00F21147" w:rsidP="00AC181F">
            <w:pPr>
              <w:pStyle w:val="BodyText"/>
              <w:ind w:firstLine="0"/>
              <w:jc w:val="left"/>
              <w:cnfStyle w:val="100000000000" w:firstRow="1" w:lastRow="0" w:firstColumn="0" w:lastColumn="0" w:oddVBand="0" w:evenVBand="0" w:oddHBand="0" w:evenHBand="0" w:firstRowFirstColumn="0" w:firstRowLastColumn="0" w:lastRowFirstColumn="0" w:lastRowLastColumn="0"/>
            </w:pPr>
            <w:r w:rsidRPr="00DA15C7">
              <w:t>MOX3600</w:t>
            </w:r>
          </w:p>
        </w:tc>
      </w:tr>
      <w:tr w:rsidR="00F21147" w:rsidRPr="00DA15C7" w14:paraId="287E9B7A" w14:textId="77777777" w:rsidTr="009A63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Align w:val="center"/>
          </w:tcPr>
          <w:p w14:paraId="4E2BE66B" w14:textId="77777777" w:rsidR="00F21147" w:rsidRPr="00DA15C7" w:rsidRDefault="00F21147" w:rsidP="00AC181F">
            <w:pPr>
              <w:pStyle w:val="BodyText"/>
              <w:ind w:firstLine="0"/>
              <w:jc w:val="left"/>
            </w:pPr>
          </w:p>
        </w:tc>
        <w:tc>
          <w:tcPr>
            <w:tcW w:w="0" w:type="auto"/>
            <w:noWrap/>
            <w:vAlign w:val="center"/>
          </w:tcPr>
          <w:p w14:paraId="28CAE563" w14:textId="11D9089B" w:rsidR="00F21147" w:rsidRPr="00DA15C7" w:rsidRDefault="00F21147" w:rsidP="00AC181F">
            <w:pPr>
              <w:pStyle w:val="BodyText"/>
              <w:ind w:firstLine="0"/>
              <w:jc w:val="left"/>
              <w:cnfStyle w:val="000000100000" w:firstRow="0" w:lastRow="0" w:firstColumn="0" w:lastColumn="0" w:oddVBand="0" w:evenVBand="0" w:oddHBand="1" w:evenHBand="0" w:firstRowFirstColumn="0" w:firstRowLastColumn="0" w:lastRowFirstColumn="0" w:lastRowLastColumn="0"/>
              <w:rPr>
                <w:b/>
                <w:bCs/>
              </w:rPr>
            </w:pPr>
            <w:r w:rsidRPr="00DA15C7">
              <w:rPr>
                <w:b/>
                <w:bCs/>
              </w:rPr>
              <w:t>Output</w:t>
            </w:r>
          </w:p>
        </w:tc>
        <w:tc>
          <w:tcPr>
            <w:tcW w:w="0" w:type="auto"/>
            <w:noWrap/>
            <w:vAlign w:val="center"/>
          </w:tcPr>
          <w:p w14:paraId="0ACECE73" w14:textId="77777777" w:rsidR="00F21147" w:rsidRPr="00DA15C7" w:rsidRDefault="00F21147" w:rsidP="00AC181F">
            <w:pPr>
              <w:pStyle w:val="BodyText"/>
              <w:ind w:firstLine="0"/>
              <w:jc w:val="left"/>
              <w:cnfStyle w:val="000000100000" w:firstRow="0" w:lastRow="0" w:firstColumn="0" w:lastColumn="0" w:oddVBand="0" w:evenVBand="0" w:oddHBand="1" w:evenHBand="0" w:firstRowFirstColumn="0" w:firstRowLastColumn="0" w:lastRowFirstColumn="0" w:lastRowLastColumn="0"/>
              <w:rPr>
                <w:b/>
                <w:bCs/>
              </w:rPr>
            </w:pPr>
            <w:r w:rsidRPr="00DA15C7">
              <w:rPr>
                <w:b/>
                <w:bCs/>
              </w:rPr>
              <w:t>Nominal</w:t>
            </w:r>
          </w:p>
        </w:tc>
        <w:tc>
          <w:tcPr>
            <w:tcW w:w="0" w:type="auto"/>
            <w:noWrap/>
            <w:vAlign w:val="center"/>
          </w:tcPr>
          <w:p w14:paraId="3AD2D031" w14:textId="77777777" w:rsidR="00F21147" w:rsidRPr="00DA15C7" w:rsidRDefault="00F21147" w:rsidP="00AC181F">
            <w:pPr>
              <w:pStyle w:val="BodyText"/>
              <w:ind w:firstLine="0"/>
              <w:jc w:val="left"/>
              <w:cnfStyle w:val="000000100000" w:firstRow="0" w:lastRow="0" w:firstColumn="0" w:lastColumn="0" w:oddVBand="0" w:evenVBand="0" w:oddHBand="1" w:evenHBand="0" w:firstRowFirstColumn="0" w:firstRowLastColumn="0" w:lastRowFirstColumn="0" w:lastRowLastColumn="0"/>
              <w:rPr>
                <w:b/>
                <w:bCs/>
              </w:rPr>
            </w:pPr>
            <w:r w:rsidRPr="00DA15C7">
              <w:rPr>
                <w:b/>
                <w:bCs/>
              </w:rPr>
              <w:t>Uncertainty</w:t>
            </w:r>
          </w:p>
        </w:tc>
        <w:tc>
          <w:tcPr>
            <w:tcW w:w="0" w:type="auto"/>
            <w:vAlign w:val="center"/>
          </w:tcPr>
          <w:p w14:paraId="4489CD67" w14:textId="77777777" w:rsidR="00F21147" w:rsidRPr="00DA15C7" w:rsidRDefault="00F21147" w:rsidP="00AC181F">
            <w:pPr>
              <w:pStyle w:val="BodyText"/>
              <w:ind w:firstLine="0"/>
              <w:jc w:val="left"/>
              <w:cnfStyle w:val="000000100000" w:firstRow="0" w:lastRow="0" w:firstColumn="0" w:lastColumn="0" w:oddVBand="0" w:evenVBand="0" w:oddHBand="1" w:evenHBand="0" w:firstRowFirstColumn="0" w:firstRowLastColumn="0" w:lastRowFirstColumn="0" w:lastRowLastColumn="0"/>
              <w:rPr>
                <w:b/>
                <w:bCs/>
              </w:rPr>
            </w:pPr>
            <w:r w:rsidRPr="00DA15C7">
              <w:rPr>
                <w:b/>
                <w:bCs/>
              </w:rPr>
              <w:t>Nominal</w:t>
            </w:r>
          </w:p>
        </w:tc>
        <w:tc>
          <w:tcPr>
            <w:tcW w:w="0" w:type="auto"/>
            <w:vAlign w:val="center"/>
          </w:tcPr>
          <w:p w14:paraId="7599CDF1" w14:textId="77777777" w:rsidR="00F21147" w:rsidRPr="00DA15C7" w:rsidRDefault="00F21147" w:rsidP="00AC181F">
            <w:pPr>
              <w:pStyle w:val="BodyText"/>
              <w:ind w:firstLine="0"/>
              <w:jc w:val="left"/>
              <w:cnfStyle w:val="000000100000" w:firstRow="0" w:lastRow="0" w:firstColumn="0" w:lastColumn="0" w:oddVBand="0" w:evenVBand="0" w:oddHBand="1" w:evenHBand="0" w:firstRowFirstColumn="0" w:firstRowLastColumn="0" w:lastRowFirstColumn="0" w:lastRowLastColumn="0"/>
              <w:rPr>
                <w:b/>
                <w:bCs/>
              </w:rPr>
            </w:pPr>
            <w:r w:rsidRPr="00DA15C7">
              <w:rPr>
                <w:b/>
                <w:bCs/>
              </w:rPr>
              <w:t>Uncertainty</w:t>
            </w:r>
          </w:p>
        </w:tc>
      </w:tr>
      <w:tr w:rsidR="00F21147" w:rsidRPr="00DA15C7" w14:paraId="6222AA65" w14:textId="77777777" w:rsidTr="009A6350">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Align w:val="center"/>
          </w:tcPr>
          <w:p w14:paraId="221BA06B" w14:textId="5DDB487E" w:rsidR="00F21147" w:rsidRPr="00DA15C7" w:rsidRDefault="00A909C1" w:rsidP="00AC181F">
            <w:pPr>
              <w:pStyle w:val="BodyText"/>
              <w:ind w:firstLine="0"/>
              <w:jc w:val="left"/>
            </w:pPr>
            <w:r w:rsidRPr="00DA15C7">
              <w:t>k</w:t>
            </w:r>
            <w:r w:rsidR="00AD26E4" w:rsidRPr="00DA15C7">
              <w:rPr>
                <w:vertAlign w:val="subscript"/>
              </w:rPr>
              <w:t>eff</w:t>
            </w:r>
          </w:p>
        </w:tc>
        <w:tc>
          <w:tcPr>
            <w:tcW w:w="0" w:type="auto"/>
            <w:noWrap/>
            <w:vAlign w:val="center"/>
            <w:hideMark/>
          </w:tcPr>
          <w:p w14:paraId="1C1F53CA" w14:textId="034169D0" w:rsidR="00F21147" w:rsidRPr="00DA15C7" w:rsidRDefault="005E6014" w:rsidP="00AC181F">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Eigenvalue</w:t>
            </w:r>
          </w:p>
        </w:tc>
        <w:tc>
          <w:tcPr>
            <w:tcW w:w="0" w:type="auto"/>
            <w:noWrap/>
            <w:vAlign w:val="center"/>
            <w:hideMark/>
          </w:tcPr>
          <w:p w14:paraId="78DE3642" w14:textId="4187D700" w:rsidR="00F21147" w:rsidRPr="00DA15C7" w:rsidRDefault="002133D1" w:rsidP="00AC181F">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1.36293</w:t>
            </w:r>
          </w:p>
        </w:tc>
        <w:tc>
          <w:tcPr>
            <w:tcW w:w="0" w:type="auto"/>
            <w:noWrap/>
            <w:vAlign w:val="center"/>
            <w:hideMark/>
          </w:tcPr>
          <w:p w14:paraId="7FD485EC" w14:textId="77777777" w:rsidR="00F21147" w:rsidRPr="00DA15C7" w:rsidRDefault="00F21147" w:rsidP="00AC181F">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1.40%</w:t>
            </w:r>
          </w:p>
        </w:tc>
        <w:tc>
          <w:tcPr>
            <w:tcW w:w="0" w:type="auto"/>
            <w:vAlign w:val="center"/>
          </w:tcPr>
          <w:p w14:paraId="1722A9FF" w14:textId="77777777" w:rsidR="00F21147" w:rsidRPr="00DA15C7" w:rsidRDefault="00F21147" w:rsidP="00AC181F">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1.19293</w:t>
            </w:r>
          </w:p>
        </w:tc>
        <w:tc>
          <w:tcPr>
            <w:tcW w:w="0" w:type="auto"/>
            <w:vAlign w:val="center"/>
          </w:tcPr>
          <w:p w14:paraId="27E04779" w14:textId="77777777" w:rsidR="00F21147" w:rsidRPr="00DA15C7" w:rsidRDefault="00F21147" w:rsidP="00AC181F">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1.53%</w:t>
            </w:r>
          </w:p>
        </w:tc>
      </w:tr>
      <w:tr w:rsidR="00DA15C7" w:rsidRPr="00DA15C7" w14:paraId="2301B7A1"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restart"/>
            <w:vAlign w:val="center"/>
          </w:tcPr>
          <w:p w14:paraId="4A3C7AB6" w14:textId="31AC8BBB" w:rsidR="00DA15C7" w:rsidRPr="00DA15C7" w:rsidRDefault="00DA15C7" w:rsidP="00DA15C7">
            <w:pPr>
              <w:pStyle w:val="BodyText"/>
              <w:ind w:firstLine="0"/>
              <w:jc w:val="left"/>
            </w:pPr>
            <w:r w:rsidRPr="00DA15C7">
              <w:t>1-group microscopic cross section</w:t>
            </w:r>
          </w:p>
        </w:tc>
        <w:tc>
          <w:tcPr>
            <w:tcW w:w="0" w:type="auto"/>
            <w:noWrap/>
            <w:vAlign w:val="center"/>
            <w:hideMark/>
          </w:tcPr>
          <w:p w14:paraId="66EFE2CB" w14:textId="1C71195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Coolant, Na23 el.</w:t>
            </w:r>
          </w:p>
        </w:tc>
        <w:tc>
          <w:tcPr>
            <w:tcW w:w="0" w:type="auto"/>
            <w:noWrap/>
            <w:vAlign w:val="bottom"/>
            <w:hideMark/>
          </w:tcPr>
          <w:p w14:paraId="1BDC7A7D" w14:textId="5A45919F"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4.01E+00</w:t>
            </w:r>
          </w:p>
        </w:tc>
        <w:tc>
          <w:tcPr>
            <w:tcW w:w="0" w:type="auto"/>
            <w:noWrap/>
            <w:vAlign w:val="center"/>
            <w:hideMark/>
          </w:tcPr>
          <w:p w14:paraId="7453C0BC"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5.66%</w:t>
            </w:r>
          </w:p>
        </w:tc>
        <w:tc>
          <w:tcPr>
            <w:tcW w:w="0" w:type="auto"/>
            <w:vAlign w:val="center"/>
          </w:tcPr>
          <w:p w14:paraId="4C15D665"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4.81E+00</w:t>
            </w:r>
          </w:p>
        </w:tc>
        <w:tc>
          <w:tcPr>
            <w:tcW w:w="0" w:type="auto"/>
            <w:vAlign w:val="center"/>
          </w:tcPr>
          <w:p w14:paraId="7CCEC252"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4.82%</w:t>
            </w:r>
          </w:p>
        </w:tc>
      </w:tr>
      <w:tr w:rsidR="00DA15C7" w:rsidRPr="00DA15C7" w14:paraId="7DA03873"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6539DB29" w14:textId="77777777" w:rsidR="00DA15C7" w:rsidRPr="00DA15C7" w:rsidRDefault="00DA15C7" w:rsidP="00DA15C7">
            <w:pPr>
              <w:pStyle w:val="BodyText"/>
              <w:ind w:firstLine="0"/>
              <w:jc w:val="left"/>
            </w:pPr>
          </w:p>
        </w:tc>
        <w:tc>
          <w:tcPr>
            <w:tcW w:w="0" w:type="auto"/>
            <w:noWrap/>
            <w:vAlign w:val="center"/>
            <w:hideMark/>
          </w:tcPr>
          <w:p w14:paraId="13EE6E70" w14:textId="7123C5E5"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Cladding, </w:t>
            </w:r>
            <w:r w:rsidR="000C5753" w:rsidRPr="000C5753">
              <w:rPr>
                <w:vertAlign w:val="superscript"/>
              </w:rPr>
              <w:t>56</w:t>
            </w:r>
            <w:r w:rsidRPr="00DA15C7">
              <w:t>Fe el.</w:t>
            </w:r>
          </w:p>
        </w:tc>
        <w:tc>
          <w:tcPr>
            <w:tcW w:w="0" w:type="auto"/>
            <w:noWrap/>
            <w:vAlign w:val="bottom"/>
            <w:hideMark/>
          </w:tcPr>
          <w:p w14:paraId="3D0F7516" w14:textId="56C7A0FC"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3.52E+00</w:t>
            </w:r>
          </w:p>
        </w:tc>
        <w:tc>
          <w:tcPr>
            <w:tcW w:w="0" w:type="auto"/>
            <w:noWrap/>
            <w:vAlign w:val="center"/>
            <w:hideMark/>
          </w:tcPr>
          <w:p w14:paraId="150BA1E4"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5.90%</w:t>
            </w:r>
          </w:p>
        </w:tc>
        <w:tc>
          <w:tcPr>
            <w:tcW w:w="0" w:type="auto"/>
            <w:vAlign w:val="center"/>
          </w:tcPr>
          <w:p w14:paraId="7A4E5395"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4.19E+00</w:t>
            </w:r>
          </w:p>
        </w:tc>
        <w:tc>
          <w:tcPr>
            <w:tcW w:w="0" w:type="auto"/>
            <w:vAlign w:val="center"/>
          </w:tcPr>
          <w:p w14:paraId="29E97E54"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5.53%</w:t>
            </w:r>
          </w:p>
        </w:tc>
      </w:tr>
      <w:tr w:rsidR="00DA15C7" w:rsidRPr="00DA15C7" w14:paraId="616FFA31"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5E6E16F3" w14:textId="77777777" w:rsidR="00DA15C7" w:rsidRPr="00DA15C7" w:rsidRDefault="00DA15C7" w:rsidP="00DA15C7">
            <w:pPr>
              <w:pStyle w:val="BodyText"/>
              <w:ind w:firstLine="0"/>
              <w:jc w:val="left"/>
            </w:pPr>
          </w:p>
        </w:tc>
        <w:tc>
          <w:tcPr>
            <w:tcW w:w="0" w:type="auto"/>
            <w:noWrap/>
            <w:vAlign w:val="center"/>
            <w:hideMark/>
          </w:tcPr>
          <w:p w14:paraId="06A28F1D" w14:textId="046BDD9A"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0C5753">
              <w:rPr>
                <w:vertAlign w:val="superscript"/>
              </w:rPr>
              <w:t>238</w:t>
            </w:r>
            <w:r w:rsidRPr="00DA15C7">
              <w:t>U inel.</w:t>
            </w:r>
          </w:p>
        </w:tc>
        <w:tc>
          <w:tcPr>
            <w:tcW w:w="0" w:type="auto"/>
            <w:noWrap/>
            <w:vAlign w:val="bottom"/>
            <w:hideMark/>
          </w:tcPr>
          <w:p w14:paraId="2558FE6A" w14:textId="64C0241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1.05E+00</w:t>
            </w:r>
          </w:p>
        </w:tc>
        <w:tc>
          <w:tcPr>
            <w:tcW w:w="0" w:type="auto"/>
            <w:noWrap/>
            <w:vAlign w:val="center"/>
            <w:hideMark/>
          </w:tcPr>
          <w:p w14:paraId="6224E8CB"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5.70%</w:t>
            </w:r>
          </w:p>
        </w:tc>
        <w:tc>
          <w:tcPr>
            <w:tcW w:w="0" w:type="auto"/>
            <w:vAlign w:val="center"/>
          </w:tcPr>
          <w:p w14:paraId="3D03AE1B"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9.28E-01</w:t>
            </w:r>
          </w:p>
        </w:tc>
        <w:tc>
          <w:tcPr>
            <w:tcW w:w="0" w:type="auto"/>
            <w:vAlign w:val="center"/>
          </w:tcPr>
          <w:p w14:paraId="513B0D09"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5.76%</w:t>
            </w:r>
          </w:p>
        </w:tc>
      </w:tr>
      <w:tr w:rsidR="00DA15C7" w:rsidRPr="00DA15C7" w14:paraId="7D60F404"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256DD484" w14:textId="77777777" w:rsidR="00DA15C7" w:rsidRPr="00DA15C7" w:rsidRDefault="00DA15C7" w:rsidP="00DA15C7">
            <w:pPr>
              <w:pStyle w:val="BodyText"/>
              <w:ind w:firstLine="0"/>
              <w:jc w:val="left"/>
            </w:pPr>
          </w:p>
        </w:tc>
        <w:tc>
          <w:tcPr>
            <w:tcW w:w="0" w:type="auto"/>
            <w:noWrap/>
            <w:vAlign w:val="center"/>
            <w:hideMark/>
          </w:tcPr>
          <w:p w14:paraId="1FDE2788" w14:textId="392116B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Fuel, </w:t>
            </w:r>
            <w:r w:rsidR="000C5753" w:rsidRPr="0044188E">
              <w:rPr>
                <w:vertAlign w:val="superscript"/>
              </w:rPr>
              <w:t>238</w:t>
            </w:r>
            <w:r w:rsidRPr="00DA15C7">
              <w:t>U fission</w:t>
            </w:r>
          </w:p>
        </w:tc>
        <w:tc>
          <w:tcPr>
            <w:tcW w:w="0" w:type="auto"/>
            <w:noWrap/>
            <w:vAlign w:val="bottom"/>
            <w:hideMark/>
          </w:tcPr>
          <w:p w14:paraId="289F5E4E" w14:textId="2FFCAA34"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3.40E-02</w:t>
            </w:r>
          </w:p>
        </w:tc>
        <w:tc>
          <w:tcPr>
            <w:tcW w:w="0" w:type="auto"/>
            <w:noWrap/>
            <w:vAlign w:val="center"/>
            <w:hideMark/>
          </w:tcPr>
          <w:p w14:paraId="04F19E45"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7.07%</w:t>
            </w:r>
          </w:p>
        </w:tc>
        <w:tc>
          <w:tcPr>
            <w:tcW w:w="0" w:type="auto"/>
            <w:vAlign w:val="center"/>
          </w:tcPr>
          <w:p w14:paraId="44517EEE"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4.21E-02</w:t>
            </w:r>
          </w:p>
        </w:tc>
        <w:tc>
          <w:tcPr>
            <w:tcW w:w="0" w:type="auto"/>
            <w:vAlign w:val="center"/>
          </w:tcPr>
          <w:p w14:paraId="057F3D57"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7.13%</w:t>
            </w:r>
          </w:p>
        </w:tc>
      </w:tr>
      <w:tr w:rsidR="00DA15C7" w:rsidRPr="00DA15C7" w14:paraId="5AA96BD5"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6D69EAF1" w14:textId="77777777" w:rsidR="00DA15C7" w:rsidRPr="00DA15C7" w:rsidRDefault="00DA15C7" w:rsidP="00DA15C7">
            <w:pPr>
              <w:pStyle w:val="BodyText"/>
              <w:ind w:firstLine="0"/>
              <w:jc w:val="left"/>
            </w:pPr>
          </w:p>
        </w:tc>
        <w:tc>
          <w:tcPr>
            <w:tcW w:w="0" w:type="auto"/>
            <w:noWrap/>
            <w:vAlign w:val="center"/>
            <w:hideMark/>
          </w:tcPr>
          <w:p w14:paraId="0B7E2D40" w14:textId="4571460B"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44188E">
              <w:rPr>
                <w:vertAlign w:val="superscript"/>
              </w:rPr>
              <w:t>23</w:t>
            </w:r>
            <w:r w:rsidR="000C5753">
              <w:rPr>
                <w:vertAlign w:val="superscript"/>
              </w:rPr>
              <w:t>9</w:t>
            </w:r>
            <w:r w:rsidRPr="00DA15C7">
              <w:t>Pu fission</w:t>
            </w:r>
          </w:p>
        </w:tc>
        <w:tc>
          <w:tcPr>
            <w:tcW w:w="0" w:type="auto"/>
            <w:noWrap/>
            <w:vAlign w:val="bottom"/>
            <w:hideMark/>
          </w:tcPr>
          <w:p w14:paraId="029AA408" w14:textId="0D545796"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1.62E+00</w:t>
            </w:r>
          </w:p>
        </w:tc>
        <w:tc>
          <w:tcPr>
            <w:tcW w:w="0" w:type="auto"/>
            <w:noWrap/>
            <w:vAlign w:val="center"/>
            <w:hideMark/>
          </w:tcPr>
          <w:p w14:paraId="019367BB"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0.59%</w:t>
            </w:r>
          </w:p>
        </w:tc>
        <w:tc>
          <w:tcPr>
            <w:tcW w:w="0" w:type="auto"/>
            <w:vAlign w:val="center"/>
          </w:tcPr>
          <w:p w14:paraId="0EFF137B"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1.75E+00</w:t>
            </w:r>
          </w:p>
        </w:tc>
        <w:tc>
          <w:tcPr>
            <w:tcW w:w="0" w:type="auto"/>
            <w:vAlign w:val="center"/>
          </w:tcPr>
          <w:p w14:paraId="6A9B160A"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0.60%</w:t>
            </w:r>
          </w:p>
        </w:tc>
      </w:tr>
      <w:tr w:rsidR="00DA15C7" w:rsidRPr="00DA15C7" w14:paraId="74AC6DC2"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71FB7D48" w14:textId="77777777" w:rsidR="00DA15C7" w:rsidRPr="00DA15C7" w:rsidRDefault="00DA15C7" w:rsidP="00DA15C7">
            <w:pPr>
              <w:pStyle w:val="BodyText"/>
              <w:ind w:firstLine="0"/>
              <w:jc w:val="left"/>
            </w:pPr>
          </w:p>
        </w:tc>
        <w:tc>
          <w:tcPr>
            <w:tcW w:w="0" w:type="auto"/>
            <w:noWrap/>
            <w:vAlign w:val="center"/>
            <w:hideMark/>
          </w:tcPr>
          <w:p w14:paraId="309AB381" w14:textId="2598EC7D"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40</w:t>
            </w:r>
            <w:r w:rsidRPr="00DA15C7">
              <w:t>Pu fission</w:t>
            </w:r>
          </w:p>
        </w:tc>
        <w:tc>
          <w:tcPr>
            <w:tcW w:w="0" w:type="auto"/>
            <w:noWrap/>
            <w:vAlign w:val="bottom"/>
            <w:hideMark/>
          </w:tcPr>
          <w:p w14:paraId="39E52FA2" w14:textId="53A4C911"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3.48E-01</w:t>
            </w:r>
          </w:p>
        </w:tc>
        <w:tc>
          <w:tcPr>
            <w:tcW w:w="0" w:type="auto"/>
            <w:noWrap/>
            <w:vAlign w:val="center"/>
            <w:hideMark/>
          </w:tcPr>
          <w:p w14:paraId="2861368A"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3.90%</w:t>
            </w:r>
          </w:p>
        </w:tc>
        <w:tc>
          <w:tcPr>
            <w:tcW w:w="0" w:type="auto"/>
            <w:vAlign w:val="center"/>
          </w:tcPr>
          <w:p w14:paraId="34761A0F"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3.58E-01</w:t>
            </w:r>
          </w:p>
        </w:tc>
        <w:tc>
          <w:tcPr>
            <w:tcW w:w="0" w:type="auto"/>
            <w:vAlign w:val="center"/>
          </w:tcPr>
          <w:p w14:paraId="31D287B1"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3.98%</w:t>
            </w:r>
          </w:p>
        </w:tc>
      </w:tr>
      <w:tr w:rsidR="00DA15C7" w:rsidRPr="00DA15C7" w14:paraId="5BE1DBAF"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660652ED" w14:textId="77777777" w:rsidR="00DA15C7" w:rsidRPr="00DA15C7" w:rsidRDefault="00DA15C7" w:rsidP="00DA15C7">
            <w:pPr>
              <w:pStyle w:val="BodyText"/>
              <w:ind w:firstLine="0"/>
              <w:jc w:val="left"/>
            </w:pPr>
          </w:p>
        </w:tc>
        <w:tc>
          <w:tcPr>
            <w:tcW w:w="0" w:type="auto"/>
            <w:noWrap/>
            <w:vAlign w:val="center"/>
            <w:hideMark/>
          </w:tcPr>
          <w:p w14:paraId="15FBB13A" w14:textId="76B53EBD"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41</w:t>
            </w:r>
            <w:r w:rsidRPr="00DA15C7">
              <w:t>Pu fission</w:t>
            </w:r>
          </w:p>
        </w:tc>
        <w:tc>
          <w:tcPr>
            <w:tcW w:w="0" w:type="auto"/>
            <w:noWrap/>
            <w:vAlign w:val="bottom"/>
            <w:hideMark/>
          </w:tcPr>
          <w:p w14:paraId="73CABA62" w14:textId="06D4F001"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2.10E+00</w:t>
            </w:r>
          </w:p>
        </w:tc>
        <w:tc>
          <w:tcPr>
            <w:tcW w:w="0" w:type="auto"/>
            <w:noWrap/>
            <w:vAlign w:val="center"/>
            <w:hideMark/>
          </w:tcPr>
          <w:p w14:paraId="435D4A45"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1.02%</w:t>
            </w:r>
          </w:p>
        </w:tc>
        <w:tc>
          <w:tcPr>
            <w:tcW w:w="0" w:type="auto"/>
            <w:vAlign w:val="center"/>
          </w:tcPr>
          <w:p w14:paraId="6CF71EE4"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2.47E+00</w:t>
            </w:r>
          </w:p>
        </w:tc>
        <w:tc>
          <w:tcPr>
            <w:tcW w:w="0" w:type="auto"/>
            <w:vAlign w:val="center"/>
          </w:tcPr>
          <w:p w14:paraId="5F690B42"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1.07%</w:t>
            </w:r>
          </w:p>
        </w:tc>
      </w:tr>
      <w:tr w:rsidR="00DA15C7" w:rsidRPr="00DA15C7" w14:paraId="06B384BB"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1E448606" w14:textId="77777777" w:rsidR="00DA15C7" w:rsidRPr="00DA15C7" w:rsidRDefault="00DA15C7" w:rsidP="00DA15C7">
            <w:pPr>
              <w:pStyle w:val="BodyText"/>
              <w:ind w:firstLine="0"/>
              <w:jc w:val="left"/>
            </w:pPr>
          </w:p>
        </w:tc>
        <w:tc>
          <w:tcPr>
            <w:tcW w:w="0" w:type="auto"/>
            <w:noWrap/>
            <w:vAlign w:val="center"/>
            <w:hideMark/>
          </w:tcPr>
          <w:p w14:paraId="02B5BA52" w14:textId="2234D5DE"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42</w:t>
            </w:r>
            <w:r w:rsidRPr="00DA15C7">
              <w:t>Pu fission</w:t>
            </w:r>
          </w:p>
        </w:tc>
        <w:tc>
          <w:tcPr>
            <w:tcW w:w="0" w:type="auto"/>
            <w:noWrap/>
            <w:vAlign w:val="bottom"/>
            <w:hideMark/>
          </w:tcPr>
          <w:p w14:paraId="10B984EE" w14:textId="7B17BBA2"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2.45E-01</w:t>
            </w:r>
          </w:p>
        </w:tc>
        <w:tc>
          <w:tcPr>
            <w:tcW w:w="0" w:type="auto"/>
            <w:noWrap/>
            <w:vAlign w:val="center"/>
            <w:hideMark/>
          </w:tcPr>
          <w:p w14:paraId="382D473A"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5.15%</w:t>
            </w:r>
          </w:p>
        </w:tc>
        <w:tc>
          <w:tcPr>
            <w:tcW w:w="0" w:type="auto"/>
            <w:vAlign w:val="center"/>
          </w:tcPr>
          <w:p w14:paraId="3C123F5B"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2.50E-01</w:t>
            </w:r>
          </w:p>
        </w:tc>
        <w:tc>
          <w:tcPr>
            <w:tcW w:w="0" w:type="auto"/>
            <w:vAlign w:val="center"/>
          </w:tcPr>
          <w:p w14:paraId="2315643F"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5.26%</w:t>
            </w:r>
          </w:p>
        </w:tc>
      </w:tr>
      <w:tr w:rsidR="00DA15C7" w:rsidRPr="00DA15C7" w14:paraId="1DD632D1"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4B5F08FC" w14:textId="77777777" w:rsidR="00DA15C7" w:rsidRPr="00DA15C7" w:rsidRDefault="00DA15C7" w:rsidP="00DA15C7">
            <w:pPr>
              <w:pStyle w:val="BodyText"/>
              <w:ind w:firstLine="0"/>
              <w:jc w:val="left"/>
            </w:pPr>
          </w:p>
        </w:tc>
        <w:tc>
          <w:tcPr>
            <w:tcW w:w="0" w:type="auto"/>
            <w:noWrap/>
            <w:vAlign w:val="center"/>
            <w:hideMark/>
          </w:tcPr>
          <w:p w14:paraId="2FF7A41F" w14:textId="18534FA4"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38</w:t>
            </w:r>
            <w:r w:rsidRPr="00DA15C7">
              <w:t>U n,</w:t>
            </w:r>
            <w:r w:rsidRPr="006C0F68">
              <w:rPr>
                <w:rFonts w:ascii="Symbol" w:hAnsi="Symbol"/>
              </w:rPr>
              <w:t>g</w:t>
            </w:r>
          </w:p>
        </w:tc>
        <w:tc>
          <w:tcPr>
            <w:tcW w:w="0" w:type="auto"/>
            <w:noWrap/>
            <w:vAlign w:val="bottom"/>
            <w:hideMark/>
          </w:tcPr>
          <w:p w14:paraId="4A5FF6DA" w14:textId="3058C2E3"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2.08E-01</w:t>
            </w:r>
          </w:p>
        </w:tc>
        <w:tc>
          <w:tcPr>
            <w:tcW w:w="0" w:type="auto"/>
            <w:noWrap/>
            <w:vAlign w:val="center"/>
            <w:hideMark/>
          </w:tcPr>
          <w:p w14:paraId="5E8DEEDF"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1.81%</w:t>
            </w:r>
          </w:p>
        </w:tc>
        <w:tc>
          <w:tcPr>
            <w:tcW w:w="0" w:type="auto"/>
            <w:vAlign w:val="center"/>
          </w:tcPr>
          <w:p w14:paraId="0611CD83"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2.78E-01</w:t>
            </w:r>
          </w:p>
        </w:tc>
        <w:tc>
          <w:tcPr>
            <w:tcW w:w="0" w:type="auto"/>
            <w:vAlign w:val="center"/>
          </w:tcPr>
          <w:p w14:paraId="7405CEAA"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1.70%</w:t>
            </w:r>
          </w:p>
        </w:tc>
      </w:tr>
      <w:tr w:rsidR="00DA15C7" w:rsidRPr="00DA15C7" w14:paraId="53CB40FF"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4D3B252E" w14:textId="77777777" w:rsidR="00DA15C7" w:rsidRPr="00DA15C7" w:rsidRDefault="00DA15C7" w:rsidP="00DA15C7">
            <w:pPr>
              <w:pStyle w:val="BodyText"/>
              <w:ind w:firstLine="0"/>
              <w:jc w:val="left"/>
            </w:pPr>
          </w:p>
        </w:tc>
        <w:tc>
          <w:tcPr>
            <w:tcW w:w="0" w:type="auto"/>
            <w:noWrap/>
            <w:vAlign w:val="center"/>
            <w:hideMark/>
          </w:tcPr>
          <w:p w14:paraId="3D68347F" w14:textId="154844AA"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39</w:t>
            </w:r>
            <w:r w:rsidRPr="00DA15C7">
              <w:t>Pu n,</w:t>
            </w:r>
            <w:r w:rsidR="006C0F68" w:rsidRPr="006C0F68">
              <w:rPr>
                <w:rFonts w:ascii="Symbol" w:hAnsi="Symbol"/>
              </w:rPr>
              <w:t>g</w:t>
            </w:r>
          </w:p>
        </w:tc>
        <w:tc>
          <w:tcPr>
            <w:tcW w:w="0" w:type="auto"/>
            <w:noWrap/>
            <w:vAlign w:val="bottom"/>
            <w:hideMark/>
          </w:tcPr>
          <w:p w14:paraId="61B2CB4B" w14:textId="268E0D18"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2.95E-01</w:t>
            </w:r>
          </w:p>
        </w:tc>
        <w:tc>
          <w:tcPr>
            <w:tcW w:w="0" w:type="auto"/>
            <w:noWrap/>
            <w:vAlign w:val="center"/>
            <w:hideMark/>
          </w:tcPr>
          <w:p w14:paraId="232DF050"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6.61%</w:t>
            </w:r>
          </w:p>
        </w:tc>
        <w:tc>
          <w:tcPr>
            <w:tcW w:w="0" w:type="auto"/>
            <w:vAlign w:val="center"/>
          </w:tcPr>
          <w:p w14:paraId="3468EE67"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4.77E-01</w:t>
            </w:r>
          </w:p>
        </w:tc>
        <w:tc>
          <w:tcPr>
            <w:tcW w:w="0" w:type="auto"/>
            <w:vAlign w:val="center"/>
          </w:tcPr>
          <w:p w14:paraId="388EA7E1"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5.77%</w:t>
            </w:r>
          </w:p>
        </w:tc>
      </w:tr>
      <w:tr w:rsidR="00DA15C7" w:rsidRPr="00DA15C7" w14:paraId="42907BD0"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4A9BCADD" w14:textId="77777777" w:rsidR="00DA15C7" w:rsidRPr="00DA15C7" w:rsidRDefault="00DA15C7" w:rsidP="00DA15C7">
            <w:pPr>
              <w:pStyle w:val="BodyText"/>
              <w:ind w:firstLine="0"/>
              <w:jc w:val="left"/>
            </w:pPr>
          </w:p>
        </w:tc>
        <w:tc>
          <w:tcPr>
            <w:tcW w:w="0" w:type="auto"/>
            <w:noWrap/>
            <w:vAlign w:val="center"/>
            <w:hideMark/>
          </w:tcPr>
          <w:p w14:paraId="378963CF" w14:textId="107EDC4B"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40</w:t>
            </w:r>
            <w:r w:rsidRPr="00DA15C7">
              <w:t>Pu n,</w:t>
            </w:r>
            <w:r w:rsidR="006C0F68" w:rsidRPr="006C0F68">
              <w:rPr>
                <w:rFonts w:ascii="Symbol" w:hAnsi="Symbol"/>
              </w:rPr>
              <w:t>g</w:t>
            </w:r>
          </w:p>
        </w:tc>
        <w:tc>
          <w:tcPr>
            <w:tcW w:w="0" w:type="auto"/>
            <w:noWrap/>
            <w:vAlign w:val="bottom"/>
            <w:hideMark/>
          </w:tcPr>
          <w:p w14:paraId="2CC6C8A1" w14:textId="35D32508"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3.62E-01</w:t>
            </w:r>
          </w:p>
        </w:tc>
        <w:tc>
          <w:tcPr>
            <w:tcW w:w="0" w:type="auto"/>
            <w:noWrap/>
            <w:vAlign w:val="center"/>
            <w:hideMark/>
          </w:tcPr>
          <w:p w14:paraId="610B8674"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4.24%</w:t>
            </w:r>
          </w:p>
        </w:tc>
        <w:tc>
          <w:tcPr>
            <w:tcW w:w="0" w:type="auto"/>
            <w:vAlign w:val="center"/>
          </w:tcPr>
          <w:p w14:paraId="1231F24D"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4.95E-01</w:t>
            </w:r>
          </w:p>
        </w:tc>
        <w:tc>
          <w:tcPr>
            <w:tcW w:w="0" w:type="auto"/>
            <w:vAlign w:val="center"/>
          </w:tcPr>
          <w:p w14:paraId="21292581"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3.55%</w:t>
            </w:r>
          </w:p>
        </w:tc>
      </w:tr>
      <w:tr w:rsidR="00DA15C7" w:rsidRPr="00DA15C7" w14:paraId="4A6556EA"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1F21AB9B" w14:textId="77777777" w:rsidR="00DA15C7" w:rsidRPr="00DA15C7" w:rsidRDefault="00DA15C7" w:rsidP="00DA15C7">
            <w:pPr>
              <w:pStyle w:val="BodyText"/>
              <w:ind w:firstLine="0"/>
              <w:jc w:val="left"/>
            </w:pPr>
          </w:p>
        </w:tc>
        <w:tc>
          <w:tcPr>
            <w:tcW w:w="0" w:type="auto"/>
            <w:noWrap/>
            <w:vAlign w:val="center"/>
            <w:hideMark/>
          </w:tcPr>
          <w:p w14:paraId="3BEAAC03" w14:textId="5494AE33"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41</w:t>
            </w:r>
            <w:r w:rsidRPr="00DA15C7">
              <w:t xml:space="preserve">Pu </w:t>
            </w:r>
            <w:r w:rsidR="006C0F68" w:rsidRPr="00DA15C7">
              <w:t>n,</w:t>
            </w:r>
            <w:r w:rsidR="006C0F68" w:rsidRPr="006C0F68">
              <w:rPr>
                <w:rFonts w:ascii="Symbol" w:hAnsi="Symbol"/>
              </w:rPr>
              <w:t>g</w:t>
            </w:r>
          </w:p>
        </w:tc>
        <w:tc>
          <w:tcPr>
            <w:tcW w:w="0" w:type="auto"/>
            <w:noWrap/>
            <w:vAlign w:val="bottom"/>
            <w:hideMark/>
          </w:tcPr>
          <w:p w14:paraId="34D5B393" w14:textId="4486C12C"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3.22E-01</w:t>
            </w:r>
          </w:p>
        </w:tc>
        <w:tc>
          <w:tcPr>
            <w:tcW w:w="0" w:type="auto"/>
            <w:noWrap/>
            <w:vAlign w:val="center"/>
            <w:hideMark/>
          </w:tcPr>
          <w:p w14:paraId="0556E8FF"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17.89%</w:t>
            </w:r>
          </w:p>
        </w:tc>
        <w:tc>
          <w:tcPr>
            <w:tcW w:w="0" w:type="auto"/>
            <w:vAlign w:val="center"/>
          </w:tcPr>
          <w:p w14:paraId="723522E6"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4.39E-01</w:t>
            </w:r>
          </w:p>
        </w:tc>
        <w:tc>
          <w:tcPr>
            <w:tcW w:w="0" w:type="auto"/>
            <w:vAlign w:val="center"/>
          </w:tcPr>
          <w:p w14:paraId="7B88CE75"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12.56%</w:t>
            </w:r>
          </w:p>
        </w:tc>
      </w:tr>
      <w:tr w:rsidR="00DA15C7" w:rsidRPr="00DA15C7" w14:paraId="72F3F4A7" w14:textId="77777777" w:rsidTr="001A5E4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30087631" w14:textId="77777777" w:rsidR="00DA15C7" w:rsidRPr="00DA15C7" w:rsidRDefault="00DA15C7" w:rsidP="00DA15C7">
            <w:pPr>
              <w:pStyle w:val="BodyText"/>
              <w:ind w:firstLine="0"/>
              <w:jc w:val="left"/>
            </w:pPr>
          </w:p>
        </w:tc>
        <w:tc>
          <w:tcPr>
            <w:tcW w:w="0" w:type="auto"/>
            <w:noWrap/>
            <w:vAlign w:val="center"/>
            <w:hideMark/>
          </w:tcPr>
          <w:p w14:paraId="2CC424F4" w14:textId="7B568D1C"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 xml:space="preserve">Fuel, </w:t>
            </w:r>
            <w:r w:rsidR="000C5753" w:rsidRPr="0044188E">
              <w:rPr>
                <w:vertAlign w:val="superscript"/>
              </w:rPr>
              <w:t>2</w:t>
            </w:r>
            <w:r w:rsidR="000C5753">
              <w:rPr>
                <w:vertAlign w:val="superscript"/>
              </w:rPr>
              <w:t>42</w:t>
            </w:r>
            <w:r w:rsidRPr="00DA15C7">
              <w:t xml:space="preserve">Pu </w:t>
            </w:r>
            <w:r w:rsidR="006C0F68" w:rsidRPr="00DA15C7">
              <w:t>n,</w:t>
            </w:r>
            <w:r w:rsidR="006C0F68" w:rsidRPr="006C0F68">
              <w:rPr>
                <w:rFonts w:ascii="Symbol" w:hAnsi="Symbol"/>
              </w:rPr>
              <w:t>g</w:t>
            </w:r>
          </w:p>
        </w:tc>
        <w:tc>
          <w:tcPr>
            <w:tcW w:w="0" w:type="auto"/>
            <w:noWrap/>
            <w:vAlign w:val="bottom"/>
            <w:hideMark/>
          </w:tcPr>
          <w:p w14:paraId="7BCA653A" w14:textId="1CB4BB91"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2.98E-01</w:t>
            </w:r>
          </w:p>
        </w:tc>
        <w:tc>
          <w:tcPr>
            <w:tcW w:w="0" w:type="auto"/>
            <w:noWrap/>
            <w:vAlign w:val="center"/>
            <w:hideMark/>
          </w:tcPr>
          <w:p w14:paraId="1E9A51F1"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4.38%</w:t>
            </w:r>
          </w:p>
        </w:tc>
        <w:tc>
          <w:tcPr>
            <w:tcW w:w="0" w:type="auto"/>
            <w:vAlign w:val="center"/>
          </w:tcPr>
          <w:p w14:paraId="2146455F"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4.34E-01</w:t>
            </w:r>
          </w:p>
        </w:tc>
        <w:tc>
          <w:tcPr>
            <w:tcW w:w="0" w:type="auto"/>
            <w:vAlign w:val="center"/>
          </w:tcPr>
          <w:p w14:paraId="1FE0178B"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4.48%</w:t>
            </w:r>
          </w:p>
        </w:tc>
      </w:tr>
      <w:tr w:rsidR="00DA15C7" w:rsidRPr="00DA15C7" w14:paraId="69CE55C0" w14:textId="77777777" w:rsidTr="001A5E46">
        <w:trPr>
          <w:trHeight w:val="20"/>
          <w:jc w:val="center"/>
        </w:trPr>
        <w:tc>
          <w:tcPr>
            <w:cnfStyle w:val="001000000000" w:firstRow="0" w:lastRow="0" w:firstColumn="1" w:lastColumn="0" w:oddVBand="0" w:evenVBand="0" w:oddHBand="0" w:evenHBand="0" w:firstRowFirstColumn="0" w:firstRowLastColumn="0" w:lastRowFirstColumn="0" w:lastRowLastColumn="0"/>
            <w:tcW w:w="1432" w:type="dxa"/>
            <w:vMerge w:val="restart"/>
            <w:vAlign w:val="center"/>
          </w:tcPr>
          <w:p w14:paraId="6C7906CE" w14:textId="763C942E" w:rsidR="00DA15C7" w:rsidRPr="00DA15C7" w:rsidRDefault="00DA15C7" w:rsidP="00DA15C7">
            <w:pPr>
              <w:pStyle w:val="BodyText"/>
              <w:ind w:firstLine="0"/>
              <w:jc w:val="left"/>
            </w:pPr>
            <w:r w:rsidRPr="00DA15C7">
              <w:t>1-group macroscopic cross section</w:t>
            </w:r>
          </w:p>
        </w:tc>
        <w:tc>
          <w:tcPr>
            <w:tcW w:w="0" w:type="auto"/>
            <w:noWrap/>
            <w:vAlign w:val="center"/>
            <w:hideMark/>
          </w:tcPr>
          <w:p w14:paraId="13FD9D9C" w14:textId="038B0EFA"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Fuel, fission</w:t>
            </w:r>
          </w:p>
        </w:tc>
        <w:tc>
          <w:tcPr>
            <w:tcW w:w="0" w:type="auto"/>
            <w:noWrap/>
            <w:vAlign w:val="bottom"/>
            <w:hideMark/>
          </w:tcPr>
          <w:p w14:paraId="039435BA" w14:textId="1311B97D"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5.31E-03</w:t>
            </w:r>
          </w:p>
        </w:tc>
        <w:tc>
          <w:tcPr>
            <w:tcW w:w="0" w:type="auto"/>
            <w:noWrap/>
            <w:vAlign w:val="center"/>
            <w:hideMark/>
          </w:tcPr>
          <w:p w14:paraId="67DDE20E"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t>1.47%</w:t>
            </w:r>
          </w:p>
        </w:tc>
        <w:tc>
          <w:tcPr>
            <w:tcW w:w="0" w:type="auto"/>
            <w:vAlign w:val="center"/>
          </w:tcPr>
          <w:p w14:paraId="463629D9"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5.22E-03</w:t>
            </w:r>
          </w:p>
        </w:tc>
        <w:tc>
          <w:tcPr>
            <w:tcW w:w="0" w:type="auto"/>
            <w:vAlign w:val="center"/>
          </w:tcPr>
          <w:p w14:paraId="26F03FDA" w14:textId="77777777" w:rsidR="00DA15C7" w:rsidRPr="00DA15C7" w:rsidRDefault="00DA15C7" w:rsidP="00DA15C7">
            <w:pPr>
              <w:pStyle w:val="BodyText"/>
              <w:ind w:firstLine="0"/>
              <w:jc w:val="left"/>
              <w:cnfStyle w:val="000000000000" w:firstRow="0" w:lastRow="0" w:firstColumn="0" w:lastColumn="0" w:oddVBand="0" w:evenVBand="0" w:oddHBand="0" w:evenHBand="0" w:firstRowFirstColumn="0" w:firstRowLastColumn="0" w:lastRowFirstColumn="0" w:lastRowLastColumn="0"/>
            </w:pPr>
            <w:r w:rsidRPr="00DA15C7">
              <w:rPr>
                <w:color w:val="000000"/>
              </w:rPr>
              <w:t>1.47%</w:t>
            </w:r>
          </w:p>
        </w:tc>
      </w:tr>
      <w:tr w:rsidR="00DA15C7" w:rsidRPr="00DA15C7" w14:paraId="1E685B70" w14:textId="77777777" w:rsidTr="000E16D7">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432" w:type="dxa"/>
            <w:vMerge/>
            <w:vAlign w:val="center"/>
          </w:tcPr>
          <w:p w14:paraId="7997E0E1" w14:textId="77777777" w:rsidR="00DA15C7" w:rsidRPr="00DA15C7" w:rsidRDefault="00DA15C7" w:rsidP="00DA15C7">
            <w:pPr>
              <w:pStyle w:val="BodyText"/>
              <w:ind w:firstLine="0"/>
              <w:jc w:val="left"/>
            </w:pPr>
          </w:p>
        </w:tc>
        <w:tc>
          <w:tcPr>
            <w:tcW w:w="0" w:type="auto"/>
            <w:noWrap/>
            <w:vAlign w:val="center"/>
            <w:hideMark/>
          </w:tcPr>
          <w:p w14:paraId="2BBC9280" w14:textId="29FFDBE4" w:rsidR="00DA15C7" w:rsidRPr="00DA15C7" w:rsidRDefault="00DA15C7" w:rsidP="000E16D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Fuel, absorption</w:t>
            </w:r>
          </w:p>
        </w:tc>
        <w:tc>
          <w:tcPr>
            <w:tcW w:w="0" w:type="auto"/>
            <w:noWrap/>
            <w:vAlign w:val="center"/>
            <w:hideMark/>
          </w:tcPr>
          <w:p w14:paraId="7C4CF39D" w14:textId="3405BD4E" w:rsidR="00DA15C7" w:rsidRPr="00DA15C7" w:rsidRDefault="00DA15C7" w:rsidP="000E16D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1.12E-02</w:t>
            </w:r>
          </w:p>
        </w:tc>
        <w:tc>
          <w:tcPr>
            <w:tcW w:w="0" w:type="auto"/>
            <w:noWrap/>
            <w:vAlign w:val="center"/>
            <w:hideMark/>
          </w:tcPr>
          <w:p w14:paraId="2F2ADA4D"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t>0.95%</w:t>
            </w:r>
          </w:p>
        </w:tc>
        <w:tc>
          <w:tcPr>
            <w:tcW w:w="0" w:type="auto"/>
            <w:vAlign w:val="center"/>
          </w:tcPr>
          <w:p w14:paraId="1A059703"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1.26E-02</w:t>
            </w:r>
          </w:p>
        </w:tc>
        <w:tc>
          <w:tcPr>
            <w:tcW w:w="0" w:type="auto"/>
            <w:vAlign w:val="center"/>
          </w:tcPr>
          <w:p w14:paraId="637F1C2A" w14:textId="77777777" w:rsidR="00DA15C7" w:rsidRPr="00DA15C7" w:rsidRDefault="00DA15C7" w:rsidP="00DA15C7">
            <w:pPr>
              <w:pStyle w:val="BodyText"/>
              <w:ind w:firstLine="0"/>
              <w:jc w:val="left"/>
              <w:cnfStyle w:val="000000100000" w:firstRow="0" w:lastRow="0" w:firstColumn="0" w:lastColumn="0" w:oddVBand="0" w:evenVBand="0" w:oddHBand="1" w:evenHBand="0" w:firstRowFirstColumn="0" w:firstRowLastColumn="0" w:lastRowFirstColumn="0" w:lastRowLastColumn="0"/>
            </w:pPr>
            <w:r w:rsidRPr="00DA15C7">
              <w:rPr>
                <w:color w:val="000000"/>
              </w:rPr>
              <w:t>0.86%</w:t>
            </w:r>
          </w:p>
        </w:tc>
      </w:tr>
    </w:tbl>
    <w:p w14:paraId="3E3A0860" w14:textId="151A0852" w:rsidR="00CE2F48" w:rsidRDefault="00CE2F48" w:rsidP="004465CA">
      <w:pPr>
        <w:pStyle w:val="BodyText"/>
      </w:pPr>
    </w:p>
    <w:p w14:paraId="22BDFAD9" w14:textId="6D4D0E20" w:rsidR="00980A63" w:rsidRDefault="00980A63" w:rsidP="004465CA">
      <w:pPr>
        <w:pStyle w:val="BodyText"/>
      </w:pPr>
    </w:p>
    <w:p w14:paraId="4023E3C7" w14:textId="050A0763" w:rsidR="00980A63" w:rsidRDefault="00980A63" w:rsidP="00FB7D12">
      <w:pPr>
        <w:pStyle w:val="BodyText"/>
        <w:jc w:val="center"/>
      </w:pPr>
      <w:r>
        <w:rPr>
          <w:noProof/>
        </w:rPr>
        <w:drawing>
          <wp:inline distT="0" distB="0" distL="0" distR="0" wp14:anchorId="7510D3E7" wp14:editId="0B5E2F0C">
            <wp:extent cx="2934393" cy="2218267"/>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4053" cy="2225570"/>
                    </a:xfrm>
                    <a:prstGeom prst="rect">
                      <a:avLst/>
                    </a:prstGeom>
                  </pic:spPr>
                </pic:pic>
              </a:graphicData>
            </a:graphic>
          </wp:inline>
        </w:drawing>
      </w:r>
    </w:p>
    <w:p w14:paraId="6CCA1D48" w14:textId="60DFD942" w:rsidR="00980A63" w:rsidRDefault="00980A63" w:rsidP="00FB7D12">
      <w:pPr>
        <w:pStyle w:val="BodyText"/>
        <w:jc w:val="cente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4</w:t>
      </w:r>
      <w:r w:rsidRPr="00802381">
        <w:rPr>
          <w:i/>
        </w:rPr>
        <w:fldChar w:fldCharType="end"/>
      </w:r>
      <w:r>
        <w:rPr>
          <w:i/>
        </w:rPr>
        <w:t xml:space="preserve">. Uncertainty of </w:t>
      </w:r>
      <w:r w:rsidRPr="00980A63">
        <w:rPr>
          <w:i/>
          <w:vertAlign w:val="superscript"/>
        </w:rPr>
        <w:t>238</w:t>
      </w:r>
      <w:r>
        <w:rPr>
          <w:i/>
        </w:rPr>
        <w:t>U inelastic scattering compared between different covariance libraries.</w:t>
      </w:r>
    </w:p>
    <w:p w14:paraId="1B63323C" w14:textId="77777777" w:rsidR="00CE2F48" w:rsidRDefault="00CE2F48" w:rsidP="00DF0986">
      <w:pPr>
        <w:pStyle w:val="Heading3"/>
        <w:numPr>
          <w:ilvl w:val="2"/>
          <w:numId w:val="37"/>
        </w:numPr>
      </w:pPr>
      <w:r>
        <w:t>Exercise I-2: Fuel assembly</w:t>
      </w:r>
    </w:p>
    <w:p w14:paraId="2B2DE97D" w14:textId="046EEFFB" w:rsidR="00CE2F48" w:rsidRDefault="00BB04F6" w:rsidP="00455DD6">
      <w:pPr>
        <w:pStyle w:val="BodyText"/>
      </w:pPr>
      <w:r>
        <w:t xml:space="preserve">Table </w:t>
      </w:r>
      <w:r w:rsidR="002838BE">
        <w:t>2</w:t>
      </w:r>
      <w:r>
        <w:t xml:space="preserve"> presents the average results for the MET1000 and MOX3600 fuel </w:t>
      </w:r>
      <w:r w:rsidR="00575C4C">
        <w:t>assembl</w:t>
      </w:r>
      <w:r w:rsidR="000C5753">
        <w:t>ies</w:t>
      </w:r>
      <w:r>
        <w:t xml:space="preserve">. </w:t>
      </w:r>
      <w:r w:rsidR="007D49A5">
        <w:t>The same observation</w:t>
      </w:r>
      <w:r w:rsidR="000C5753">
        <w:t>s were made</w:t>
      </w:r>
      <w:r w:rsidR="007D49A5">
        <w:t xml:space="preserve"> re</w:t>
      </w:r>
      <w:r w:rsidR="000C5753">
        <w:t>garding</w:t>
      </w:r>
      <w:r w:rsidR="007D49A5">
        <w:t xml:space="preserve"> the eigenvalue uncertainty and the different output uncertainties when using different covariance libraries </w:t>
      </w:r>
      <w:r w:rsidR="000C5753">
        <w:t xml:space="preserve">that were made </w:t>
      </w:r>
      <w:r w:rsidR="007D49A5">
        <w:t xml:space="preserve">for the fuel pins. For the macroscopic absorption cross sections, the uncertainty of neutron capture in </w:t>
      </w:r>
      <w:r w:rsidR="007D49A5" w:rsidRPr="007D49A5">
        <w:rPr>
          <w:vertAlign w:val="superscript"/>
        </w:rPr>
        <w:t>238</w:t>
      </w:r>
      <w:r w:rsidR="007D49A5">
        <w:t xml:space="preserve">U and </w:t>
      </w:r>
      <w:r w:rsidR="000C5753">
        <w:t xml:space="preserve">in </w:t>
      </w:r>
      <w:r w:rsidR="007D49A5">
        <w:t>several Pu isotopes plays an increased role</w:t>
      </w:r>
      <w:r w:rsidR="00455DD6">
        <w:t xml:space="preserve">; for the macroscopic fission cross sections, naturally the uncertainty of </w:t>
      </w:r>
      <w:r w:rsidR="00455DD6" w:rsidRPr="00455DD6">
        <w:rPr>
          <w:vertAlign w:val="superscript"/>
        </w:rPr>
        <w:t>239</w:t>
      </w:r>
      <w:r w:rsidR="00455DD6">
        <w:t>Pu provides a major contribution to the output uncertainty</w:t>
      </w:r>
      <w:r w:rsidR="000C5753">
        <w:t>,</w:t>
      </w:r>
      <w:r w:rsidR="00455DD6">
        <w:t xml:space="preserve"> and for the scattering cross sections, elastic scattering in </w:t>
      </w:r>
      <w:r w:rsidR="00455DD6" w:rsidRPr="00455DD6">
        <w:rPr>
          <w:vertAlign w:val="superscript"/>
        </w:rPr>
        <w:t>23</w:t>
      </w:r>
      <w:r w:rsidR="00455DD6">
        <w:t xml:space="preserve">Na (coolant), </w:t>
      </w:r>
      <w:r w:rsidR="00455DD6" w:rsidRPr="00455DD6">
        <w:rPr>
          <w:vertAlign w:val="superscript"/>
        </w:rPr>
        <w:t>56</w:t>
      </w:r>
      <w:r w:rsidR="00455DD6">
        <w:t>Fe (structure)</w:t>
      </w:r>
      <w:r w:rsidR="000C5753">
        <w:t>,</w:t>
      </w:r>
      <w:r w:rsidR="00455DD6">
        <w:t xml:space="preserve"> and </w:t>
      </w:r>
      <w:r w:rsidR="00455DD6" w:rsidRPr="004424D4">
        <w:rPr>
          <w:vertAlign w:val="superscript"/>
        </w:rPr>
        <w:t>238</w:t>
      </w:r>
      <w:r w:rsidR="00455DD6">
        <w:t>U play an import role.</w:t>
      </w:r>
      <w:r w:rsidR="004424D4">
        <w:t xml:space="preserve"> The Doppler </w:t>
      </w:r>
      <w:r w:rsidR="008D73DA">
        <w:t>constant</w:t>
      </w:r>
      <w:r w:rsidR="00266337">
        <w:t xml:space="preserve"> </w:t>
      </w:r>
      <w:r w:rsidR="004424D4">
        <w:t xml:space="preserve">uncertainty is driven by </w:t>
      </w:r>
      <w:r w:rsidR="004424D4" w:rsidRPr="007D49A5">
        <w:rPr>
          <w:vertAlign w:val="superscript"/>
        </w:rPr>
        <w:t>238</w:t>
      </w:r>
      <w:r w:rsidR="004424D4">
        <w:t xml:space="preserve">U inelastic scattering and not by </w:t>
      </w:r>
      <w:r w:rsidR="004424D4" w:rsidRPr="007D49A5">
        <w:rPr>
          <w:vertAlign w:val="superscript"/>
        </w:rPr>
        <w:t>238</w:t>
      </w:r>
      <w:r w:rsidR="004424D4">
        <w:t>U neutron capture</w:t>
      </w:r>
      <w:r w:rsidR="000C5753">
        <w:t>,</w:t>
      </w:r>
      <w:r w:rsidR="004424D4">
        <w:t xml:space="preserve"> as in thermal spectrum systems. The uncertainty of the sodium void coefficient is naturally driven by scattering on </w:t>
      </w:r>
      <w:r w:rsidR="004424D4" w:rsidRPr="004424D4">
        <w:rPr>
          <w:vertAlign w:val="superscript"/>
        </w:rPr>
        <w:t>23</w:t>
      </w:r>
      <w:r w:rsidR="004424D4">
        <w:t>Na.</w:t>
      </w:r>
    </w:p>
    <w:p w14:paraId="15376A85" w14:textId="77777777" w:rsidR="00897E46" w:rsidRDefault="00897E46" w:rsidP="00897E46">
      <w:pPr>
        <w:pStyle w:val="BodyText"/>
      </w:pPr>
    </w:p>
    <w:tbl>
      <w:tblPr>
        <w:tblStyle w:val="TableGrid"/>
        <w:tblW w:w="8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2250"/>
      </w:tblGrid>
      <w:tr w:rsidR="009365ED" w14:paraId="7F978AD4" w14:textId="77777777" w:rsidTr="007E36D9">
        <w:tc>
          <w:tcPr>
            <w:tcW w:w="5935" w:type="dxa"/>
          </w:tcPr>
          <w:p w14:paraId="27F6407F" w14:textId="77777777" w:rsidR="009365ED" w:rsidRDefault="009365ED" w:rsidP="007E36D9">
            <w:pPr>
              <w:pStyle w:val="BodyText"/>
              <w:spacing w:after="120" w:line="276" w:lineRule="auto"/>
              <w:ind w:right="339" w:firstLine="0"/>
            </w:pPr>
            <w:r>
              <w:lastRenderedPageBreak/>
              <w:t>TABLE 2.</w:t>
            </w:r>
            <w:r>
              <w:tab/>
              <w:t>Average fuel assembly results: Nominal values and uncertainties due to nuclear data. Reactivity coefficients are provided in pcm, macroscopic cross sections in cm</w:t>
            </w:r>
            <w:r w:rsidRPr="00287A79">
              <w:rPr>
                <w:vertAlign w:val="superscript"/>
              </w:rPr>
              <w:t>-1</w:t>
            </w:r>
            <w:r>
              <w:t>.</w:t>
            </w:r>
          </w:p>
          <w:tbl>
            <w:tblPr>
              <w:tblStyle w:val="PlainTable2"/>
              <w:tblW w:w="0" w:type="auto"/>
              <w:tblLayout w:type="fixed"/>
              <w:tblLook w:val="04A0" w:firstRow="1" w:lastRow="0" w:firstColumn="1" w:lastColumn="0" w:noHBand="0" w:noVBand="1"/>
            </w:tblPr>
            <w:tblGrid>
              <w:gridCol w:w="884"/>
              <w:gridCol w:w="856"/>
              <w:gridCol w:w="134"/>
              <w:gridCol w:w="1260"/>
              <w:gridCol w:w="346"/>
              <w:gridCol w:w="696"/>
              <w:gridCol w:w="1298"/>
            </w:tblGrid>
            <w:tr w:rsidR="002D42F1" w:rsidRPr="00503178" w14:paraId="07C58746" w14:textId="77777777" w:rsidTr="00CB77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gridSpan w:val="2"/>
                  <w:noWrap/>
                  <w:vAlign w:val="center"/>
                </w:tcPr>
                <w:p w14:paraId="2D1516D0" w14:textId="77777777" w:rsidR="009365ED" w:rsidRPr="00503178" w:rsidRDefault="009365ED" w:rsidP="009365ED">
                  <w:pPr>
                    <w:pStyle w:val="BodyText"/>
                    <w:ind w:firstLine="0"/>
                    <w:jc w:val="left"/>
                  </w:pPr>
                </w:p>
              </w:tc>
              <w:tc>
                <w:tcPr>
                  <w:tcW w:w="1740" w:type="dxa"/>
                  <w:gridSpan w:val="3"/>
                  <w:noWrap/>
                  <w:vAlign w:val="center"/>
                </w:tcPr>
                <w:p w14:paraId="1D18F8C4" w14:textId="77777777" w:rsidR="009365ED" w:rsidRPr="00503178" w:rsidRDefault="009365ED" w:rsidP="009365ED">
                  <w:pPr>
                    <w:pStyle w:val="BodyText"/>
                    <w:ind w:firstLine="0"/>
                    <w:jc w:val="center"/>
                    <w:cnfStyle w:val="100000000000" w:firstRow="1" w:lastRow="0" w:firstColumn="0" w:lastColumn="0" w:oddVBand="0" w:evenVBand="0" w:oddHBand="0" w:evenHBand="0" w:firstRowFirstColumn="0" w:firstRowLastColumn="0" w:lastRowFirstColumn="0" w:lastRowLastColumn="0"/>
                  </w:pPr>
                  <w:r>
                    <w:t>MET1000</w:t>
                  </w:r>
                </w:p>
              </w:tc>
              <w:tc>
                <w:tcPr>
                  <w:tcW w:w="1994" w:type="dxa"/>
                  <w:gridSpan w:val="2"/>
                  <w:vAlign w:val="center"/>
                </w:tcPr>
                <w:p w14:paraId="620C2A74" w14:textId="77777777" w:rsidR="009365ED" w:rsidRPr="00503178" w:rsidRDefault="009365ED" w:rsidP="009365ED">
                  <w:pPr>
                    <w:pStyle w:val="BodyText"/>
                    <w:ind w:firstLine="0"/>
                    <w:jc w:val="center"/>
                    <w:cnfStyle w:val="100000000000" w:firstRow="1" w:lastRow="0" w:firstColumn="0" w:lastColumn="0" w:oddVBand="0" w:evenVBand="0" w:oddHBand="0" w:evenHBand="0" w:firstRowFirstColumn="0" w:firstRowLastColumn="0" w:lastRowFirstColumn="0" w:lastRowLastColumn="0"/>
                  </w:pPr>
                  <w:r>
                    <w:t>MOX3600</w:t>
                  </w:r>
                </w:p>
              </w:tc>
            </w:tr>
            <w:tr w:rsidR="009365ED" w:rsidRPr="00503178" w14:paraId="79EF38C7"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center"/>
                </w:tcPr>
                <w:p w14:paraId="3FE347D2" w14:textId="77777777" w:rsidR="009365ED" w:rsidRPr="00503178" w:rsidRDefault="009365ED" w:rsidP="009365ED">
                  <w:pPr>
                    <w:pStyle w:val="BodyText"/>
                    <w:ind w:firstLine="0"/>
                    <w:jc w:val="left"/>
                  </w:pPr>
                  <w:r w:rsidRPr="00503178">
                    <w:t>Output</w:t>
                  </w:r>
                </w:p>
              </w:tc>
              <w:tc>
                <w:tcPr>
                  <w:tcW w:w="990" w:type="dxa"/>
                  <w:gridSpan w:val="2"/>
                  <w:noWrap/>
                  <w:vAlign w:val="center"/>
                </w:tcPr>
                <w:p w14:paraId="0D471065" w14:textId="77777777" w:rsidR="009365ED" w:rsidRPr="00FD258B"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Nominal</w:t>
                  </w:r>
                </w:p>
              </w:tc>
              <w:tc>
                <w:tcPr>
                  <w:tcW w:w="1260" w:type="dxa"/>
                  <w:noWrap/>
                  <w:vAlign w:val="center"/>
                </w:tcPr>
                <w:p w14:paraId="7A4CA2A4" w14:textId="77777777" w:rsidR="009365ED" w:rsidRPr="00FD258B"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Uncertainty</w:t>
                  </w:r>
                </w:p>
              </w:tc>
              <w:tc>
                <w:tcPr>
                  <w:tcW w:w="1042" w:type="dxa"/>
                  <w:gridSpan w:val="2"/>
                  <w:vAlign w:val="center"/>
                </w:tcPr>
                <w:p w14:paraId="6908775E" w14:textId="77777777" w:rsidR="009365ED" w:rsidRPr="00FD258B"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Nominal</w:t>
                  </w:r>
                </w:p>
              </w:tc>
              <w:tc>
                <w:tcPr>
                  <w:tcW w:w="1298" w:type="dxa"/>
                  <w:vAlign w:val="center"/>
                </w:tcPr>
                <w:p w14:paraId="04D852DA" w14:textId="77777777" w:rsidR="009365ED" w:rsidRPr="00FD258B"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Uncertainty</w:t>
                  </w:r>
                </w:p>
              </w:tc>
            </w:tr>
            <w:tr w:rsidR="009365ED" w:rsidRPr="00503178" w14:paraId="7BA3F9C4"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69622459" w14:textId="77777777" w:rsidR="009365ED" w:rsidRPr="00503178" w:rsidRDefault="009365ED" w:rsidP="009365ED">
                  <w:pPr>
                    <w:pStyle w:val="BodyText"/>
                    <w:ind w:firstLine="0"/>
                    <w:jc w:val="left"/>
                  </w:pPr>
                  <w:r>
                    <w:t>k</w:t>
                  </w:r>
                  <w:r w:rsidRPr="00AD26E4">
                    <w:rPr>
                      <w:vertAlign w:val="subscript"/>
                    </w:rPr>
                    <w:t>eff</w:t>
                  </w:r>
                </w:p>
              </w:tc>
              <w:tc>
                <w:tcPr>
                  <w:tcW w:w="990" w:type="dxa"/>
                  <w:gridSpan w:val="2"/>
                  <w:noWrap/>
                  <w:vAlign w:val="bottom"/>
                  <w:hideMark/>
                </w:tcPr>
                <w:p w14:paraId="7519667C"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1.2825</w:t>
                  </w:r>
                </w:p>
              </w:tc>
              <w:tc>
                <w:tcPr>
                  <w:tcW w:w="1260" w:type="dxa"/>
                  <w:noWrap/>
                  <w:vAlign w:val="bottom"/>
                  <w:hideMark/>
                </w:tcPr>
                <w:p w14:paraId="6A7DA26C"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1.30%</w:t>
                  </w:r>
                </w:p>
              </w:tc>
              <w:tc>
                <w:tcPr>
                  <w:tcW w:w="1042" w:type="dxa"/>
                  <w:gridSpan w:val="2"/>
                  <w:vAlign w:val="bottom"/>
                </w:tcPr>
                <w:p w14:paraId="70CD0157"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1.1455</w:t>
                  </w:r>
                </w:p>
              </w:tc>
              <w:tc>
                <w:tcPr>
                  <w:tcW w:w="1298" w:type="dxa"/>
                  <w:vAlign w:val="bottom"/>
                </w:tcPr>
                <w:p w14:paraId="03B96D5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1.39%</w:t>
                  </w:r>
                </w:p>
              </w:tc>
            </w:tr>
            <w:tr w:rsidR="009365ED" w:rsidRPr="00503178" w14:paraId="731E70BE"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5CB1D4A1" w14:textId="77777777" w:rsidR="009365ED" w:rsidRPr="00503178" w:rsidRDefault="009365ED" w:rsidP="009365ED">
                  <w:pPr>
                    <w:pStyle w:val="BodyText"/>
                    <w:ind w:firstLine="0"/>
                    <w:jc w:val="left"/>
                  </w:pPr>
                  <w:r w:rsidRPr="00B93110">
                    <w:rPr>
                      <w:rFonts w:ascii="Symbol" w:hAnsi="Symbol"/>
                    </w:rPr>
                    <w:t>S</w:t>
                  </w:r>
                  <w:r w:rsidRPr="00B93110">
                    <w:rPr>
                      <w:vertAlign w:val="subscript"/>
                    </w:rPr>
                    <w:t>tot</w:t>
                  </w:r>
                  <w:r w:rsidRPr="00035970">
                    <w:t>, 1</w:t>
                  </w:r>
                </w:p>
              </w:tc>
              <w:tc>
                <w:tcPr>
                  <w:tcW w:w="990" w:type="dxa"/>
                  <w:gridSpan w:val="2"/>
                  <w:noWrap/>
                  <w:vAlign w:val="bottom"/>
                  <w:hideMark/>
                </w:tcPr>
                <w:p w14:paraId="2D370B37"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1.73E-01</w:t>
                  </w:r>
                </w:p>
              </w:tc>
              <w:tc>
                <w:tcPr>
                  <w:tcW w:w="1260" w:type="dxa"/>
                  <w:noWrap/>
                  <w:vAlign w:val="bottom"/>
                  <w:hideMark/>
                </w:tcPr>
                <w:p w14:paraId="33B617F2"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1.46%</w:t>
                  </w:r>
                </w:p>
              </w:tc>
              <w:tc>
                <w:tcPr>
                  <w:tcW w:w="1042" w:type="dxa"/>
                  <w:gridSpan w:val="2"/>
                  <w:vAlign w:val="bottom"/>
                </w:tcPr>
                <w:p w14:paraId="6BC16605"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1.99E-01</w:t>
                  </w:r>
                </w:p>
              </w:tc>
              <w:tc>
                <w:tcPr>
                  <w:tcW w:w="1298" w:type="dxa"/>
                  <w:vAlign w:val="bottom"/>
                </w:tcPr>
                <w:p w14:paraId="7573B61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1.12%</w:t>
                  </w:r>
                </w:p>
              </w:tc>
            </w:tr>
            <w:tr w:rsidR="009365ED" w:rsidRPr="00503178" w14:paraId="524EA5D4"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71D80CC0" w14:textId="77777777" w:rsidR="009365ED" w:rsidRPr="00503178" w:rsidRDefault="009365ED" w:rsidP="009365ED">
                  <w:pPr>
                    <w:pStyle w:val="BodyText"/>
                    <w:ind w:firstLine="0"/>
                    <w:jc w:val="left"/>
                  </w:pPr>
                  <w:r w:rsidRPr="00D55307">
                    <w:rPr>
                      <w:rFonts w:ascii="Symbol" w:hAnsi="Symbol"/>
                    </w:rPr>
                    <w:t>S</w:t>
                  </w:r>
                  <w:r w:rsidRPr="00D55307">
                    <w:rPr>
                      <w:vertAlign w:val="subscript"/>
                    </w:rPr>
                    <w:t>tot</w:t>
                  </w:r>
                  <w:r w:rsidRPr="00D55307">
                    <w:t xml:space="preserve">, </w:t>
                  </w:r>
                  <w:r>
                    <w:t>2</w:t>
                  </w:r>
                </w:p>
              </w:tc>
              <w:tc>
                <w:tcPr>
                  <w:tcW w:w="990" w:type="dxa"/>
                  <w:gridSpan w:val="2"/>
                  <w:noWrap/>
                  <w:vAlign w:val="bottom"/>
                  <w:hideMark/>
                </w:tcPr>
                <w:p w14:paraId="086E18F7"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2.17E-01</w:t>
                  </w:r>
                </w:p>
              </w:tc>
              <w:tc>
                <w:tcPr>
                  <w:tcW w:w="1260" w:type="dxa"/>
                  <w:noWrap/>
                  <w:vAlign w:val="bottom"/>
                  <w:hideMark/>
                </w:tcPr>
                <w:p w14:paraId="02C06EE9"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1.97%</w:t>
                  </w:r>
                </w:p>
              </w:tc>
              <w:tc>
                <w:tcPr>
                  <w:tcW w:w="1042" w:type="dxa"/>
                  <w:gridSpan w:val="2"/>
                  <w:vAlign w:val="bottom"/>
                </w:tcPr>
                <w:p w14:paraId="2B6B9672"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2.68E-01</w:t>
                  </w:r>
                </w:p>
              </w:tc>
              <w:tc>
                <w:tcPr>
                  <w:tcW w:w="1298" w:type="dxa"/>
                  <w:vAlign w:val="bottom"/>
                </w:tcPr>
                <w:p w14:paraId="597756E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1.32%</w:t>
                  </w:r>
                </w:p>
              </w:tc>
            </w:tr>
            <w:tr w:rsidR="009365ED" w:rsidRPr="00503178" w14:paraId="4E965712"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2E3C86CA" w14:textId="77777777" w:rsidR="009365ED" w:rsidRPr="00503178" w:rsidRDefault="009365ED" w:rsidP="009365ED">
                  <w:pPr>
                    <w:pStyle w:val="BodyText"/>
                    <w:ind w:firstLine="0"/>
                    <w:jc w:val="left"/>
                  </w:pPr>
                  <w:r w:rsidRPr="00D55307">
                    <w:rPr>
                      <w:rFonts w:ascii="Symbol" w:hAnsi="Symbol"/>
                    </w:rPr>
                    <w:t>S</w:t>
                  </w:r>
                  <w:r w:rsidRPr="00D55307">
                    <w:rPr>
                      <w:vertAlign w:val="subscript"/>
                    </w:rPr>
                    <w:t>tot</w:t>
                  </w:r>
                  <w:r w:rsidRPr="00D55307">
                    <w:t xml:space="preserve">, </w:t>
                  </w:r>
                  <w:r>
                    <w:t>3</w:t>
                  </w:r>
                </w:p>
              </w:tc>
              <w:tc>
                <w:tcPr>
                  <w:tcW w:w="990" w:type="dxa"/>
                  <w:gridSpan w:val="2"/>
                  <w:noWrap/>
                  <w:vAlign w:val="bottom"/>
                  <w:hideMark/>
                </w:tcPr>
                <w:p w14:paraId="630BC5E1"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2.79E-01</w:t>
                  </w:r>
                </w:p>
              </w:tc>
              <w:tc>
                <w:tcPr>
                  <w:tcW w:w="1260" w:type="dxa"/>
                  <w:noWrap/>
                  <w:vAlign w:val="bottom"/>
                  <w:hideMark/>
                </w:tcPr>
                <w:p w14:paraId="55B3220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2.05%</w:t>
                  </w:r>
                </w:p>
              </w:tc>
              <w:tc>
                <w:tcPr>
                  <w:tcW w:w="1042" w:type="dxa"/>
                  <w:gridSpan w:val="2"/>
                  <w:vAlign w:val="bottom"/>
                </w:tcPr>
                <w:p w14:paraId="542E3A58"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3.26E-01</w:t>
                  </w:r>
                </w:p>
              </w:tc>
              <w:tc>
                <w:tcPr>
                  <w:tcW w:w="1298" w:type="dxa"/>
                  <w:vAlign w:val="bottom"/>
                </w:tcPr>
                <w:p w14:paraId="0C8111D9"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1.57%</w:t>
                  </w:r>
                </w:p>
              </w:tc>
            </w:tr>
            <w:tr w:rsidR="009365ED" w:rsidRPr="00503178" w14:paraId="4AC3CFD1"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789731F1" w14:textId="77777777" w:rsidR="009365ED" w:rsidRPr="00503178" w:rsidRDefault="009365ED" w:rsidP="009365ED">
                  <w:pPr>
                    <w:pStyle w:val="BodyText"/>
                    <w:ind w:firstLine="0"/>
                    <w:jc w:val="left"/>
                  </w:pPr>
                  <w:r w:rsidRPr="00D55307">
                    <w:rPr>
                      <w:rFonts w:ascii="Symbol" w:hAnsi="Symbol"/>
                    </w:rPr>
                    <w:t>S</w:t>
                  </w:r>
                  <w:r w:rsidRPr="00D55307">
                    <w:rPr>
                      <w:vertAlign w:val="subscript"/>
                    </w:rPr>
                    <w:t>tot</w:t>
                  </w:r>
                  <w:r w:rsidRPr="00D55307">
                    <w:t xml:space="preserve">, </w:t>
                  </w:r>
                  <w:r>
                    <w:t>4</w:t>
                  </w:r>
                </w:p>
              </w:tc>
              <w:tc>
                <w:tcPr>
                  <w:tcW w:w="990" w:type="dxa"/>
                  <w:gridSpan w:val="2"/>
                  <w:noWrap/>
                  <w:vAlign w:val="bottom"/>
                  <w:hideMark/>
                </w:tcPr>
                <w:p w14:paraId="5B63D3A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3.98E-01</w:t>
                  </w:r>
                </w:p>
              </w:tc>
              <w:tc>
                <w:tcPr>
                  <w:tcW w:w="1260" w:type="dxa"/>
                  <w:noWrap/>
                  <w:vAlign w:val="bottom"/>
                  <w:hideMark/>
                </w:tcPr>
                <w:p w14:paraId="1FBC67B2"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1.76%</w:t>
                  </w:r>
                </w:p>
              </w:tc>
              <w:tc>
                <w:tcPr>
                  <w:tcW w:w="1042" w:type="dxa"/>
                  <w:gridSpan w:val="2"/>
                  <w:vAlign w:val="bottom"/>
                </w:tcPr>
                <w:p w14:paraId="19E2D4F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4.42E-01</w:t>
                  </w:r>
                </w:p>
              </w:tc>
              <w:tc>
                <w:tcPr>
                  <w:tcW w:w="1298" w:type="dxa"/>
                  <w:vAlign w:val="bottom"/>
                </w:tcPr>
                <w:p w14:paraId="2E1084CF"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1.21%</w:t>
                  </w:r>
                </w:p>
              </w:tc>
            </w:tr>
            <w:tr w:rsidR="009365ED" w:rsidRPr="00503178" w14:paraId="04207D96"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55085DDD" w14:textId="77777777" w:rsidR="009365ED" w:rsidRPr="00503178" w:rsidRDefault="009365ED" w:rsidP="009365ED">
                  <w:pPr>
                    <w:pStyle w:val="BodyText"/>
                    <w:ind w:firstLine="0"/>
                    <w:jc w:val="left"/>
                  </w:pPr>
                  <w:r w:rsidRPr="00B93110">
                    <w:rPr>
                      <w:rFonts w:ascii="Symbol" w:hAnsi="Symbol"/>
                    </w:rPr>
                    <w:t>S</w:t>
                  </w:r>
                  <w:r>
                    <w:rPr>
                      <w:vertAlign w:val="subscript"/>
                    </w:rPr>
                    <w:t>abs</w:t>
                  </w:r>
                  <w:r w:rsidRPr="00D640FE">
                    <w:t>, 1</w:t>
                  </w:r>
                </w:p>
              </w:tc>
              <w:tc>
                <w:tcPr>
                  <w:tcW w:w="990" w:type="dxa"/>
                  <w:gridSpan w:val="2"/>
                  <w:noWrap/>
                  <w:vAlign w:val="bottom"/>
                  <w:hideMark/>
                </w:tcPr>
                <w:p w14:paraId="3D05D86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5.83E-03</w:t>
                  </w:r>
                </w:p>
              </w:tc>
              <w:tc>
                <w:tcPr>
                  <w:tcW w:w="1260" w:type="dxa"/>
                  <w:noWrap/>
                  <w:vAlign w:val="bottom"/>
                  <w:hideMark/>
                </w:tcPr>
                <w:p w14:paraId="244CB214"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0.70%</w:t>
                  </w:r>
                </w:p>
              </w:tc>
              <w:tc>
                <w:tcPr>
                  <w:tcW w:w="1042" w:type="dxa"/>
                  <w:gridSpan w:val="2"/>
                  <w:vAlign w:val="bottom"/>
                </w:tcPr>
                <w:p w14:paraId="2D5872FF"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6.50E-03</w:t>
                  </w:r>
                </w:p>
              </w:tc>
              <w:tc>
                <w:tcPr>
                  <w:tcW w:w="1298" w:type="dxa"/>
                  <w:vAlign w:val="bottom"/>
                </w:tcPr>
                <w:p w14:paraId="35407049"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0.74%</w:t>
                  </w:r>
                </w:p>
              </w:tc>
            </w:tr>
            <w:tr w:rsidR="009365ED" w:rsidRPr="00503178" w14:paraId="04B218E1"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6D7E8788" w14:textId="77777777" w:rsidR="009365ED" w:rsidRPr="00503178" w:rsidRDefault="009365ED" w:rsidP="009365ED">
                  <w:pPr>
                    <w:pStyle w:val="BodyText"/>
                    <w:ind w:firstLine="0"/>
                    <w:jc w:val="left"/>
                  </w:pPr>
                  <w:r w:rsidRPr="008D62D0">
                    <w:rPr>
                      <w:rFonts w:ascii="Symbol" w:hAnsi="Symbol"/>
                    </w:rPr>
                    <w:t>S</w:t>
                  </w:r>
                  <w:r w:rsidRPr="008D62D0">
                    <w:rPr>
                      <w:vertAlign w:val="subscript"/>
                    </w:rPr>
                    <w:t>abs</w:t>
                  </w:r>
                  <w:r w:rsidRPr="008D62D0">
                    <w:t xml:space="preserve">, </w:t>
                  </w:r>
                  <w:r>
                    <w:t>2</w:t>
                  </w:r>
                </w:p>
              </w:tc>
              <w:tc>
                <w:tcPr>
                  <w:tcW w:w="990" w:type="dxa"/>
                  <w:gridSpan w:val="2"/>
                  <w:noWrap/>
                  <w:vAlign w:val="bottom"/>
                  <w:hideMark/>
                </w:tcPr>
                <w:p w14:paraId="2A225469"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3.14E-03</w:t>
                  </w:r>
                </w:p>
              </w:tc>
              <w:tc>
                <w:tcPr>
                  <w:tcW w:w="1260" w:type="dxa"/>
                  <w:noWrap/>
                  <w:vAlign w:val="bottom"/>
                  <w:hideMark/>
                </w:tcPr>
                <w:p w14:paraId="020CF81F"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0.94%</w:t>
                  </w:r>
                </w:p>
              </w:tc>
              <w:tc>
                <w:tcPr>
                  <w:tcW w:w="1042" w:type="dxa"/>
                  <w:gridSpan w:val="2"/>
                  <w:vAlign w:val="bottom"/>
                </w:tcPr>
                <w:p w14:paraId="469764A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3.29E-03</w:t>
                  </w:r>
                </w:p>
              </w:tc>
              <w:tc>
                <w:tcPr>
                  <w:tcW w:w="1298" w:type="dxa"/>
                  <w:vAlign w:val="bottom"/>
                </w:tcPr>
                <w:p w14:paraId="38FE0928"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0.94%</w:t>
                  </w:r>
                </w:p>
              </w:tc>
            </w:tr>
            <w:tr w:rsidR="009365ED" w:rsidRPr="00503178" w14:paraId="7695ED20"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3F711EF2" w14:textId="77777777" w:rsidR="009365ED" w:rsidRPr="00503178" w:rsidRDefault="009365ED" w:rsidP="009365ED">
                  <w:pPr>
                    <w:pStyle w:val="BodyText"/>
                    <w:ind w:firstLine="0"/>
                    <w:jc w:val="left"/>
                  </w:pPr>
                  <w:r w:rsidRPr="008D62D0">
                    <w:rPr>
                      <w:rFonts w:ascii="Symbol" w:hAnsi="Symbol"/>
                    </w:rPr>
                    <w:t>S</w:t>
                  </w:r>
                  <w:r w:rsidRPr="008D62D0">
                    <w:rPr>
                      <w:vertAlign w:val="subscript"/>
                    </w:rPr>
                    <w:t>abs</w:t>
                  </w:r>
                  <w:r w:rsidRPr="008D62D0">
                    <w:t xml:space="preserve">, </w:t>
                  </w:r>
                  <w:r>
                    <w:t>3</w:t>
                  </w:r>
                </w:p>
              </w:tc>
              <w:tc>
                <w:tcPr>
                  <w:tcW w:w="990" w:type="dxa"/>
                  <w:gridSpan w:val="2"/>
                  <w:noWrap/>
                  <w:vAlign w:val="bottom"/>
                  <w:hideMark/>
                </w:tcPr>
                <w:p w14:paraId="71BCEE05"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5.40E-03</w:t>
                  </w:r>
                </w:p>
              </w:tc>
              <w:tc>
                <w:tcPr>
                  <w:tcW w:w="1260" w:type="dxa"/>
                  <w:noWrap/>
                  <w:vAlign w:val="bottom"/>
                  <w:hideMark/>
                </w:tcPr>
                <w:p w14:paraId="78043A49"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0.95%</w:t>
                  </w:r>
                </w:p>
              </w:tc>
              <w:tc>
                <w:tcPr>
                  <w:tcW w:w="1042" w:type="dxa"/>
                  <w:gridSpan w:val="2"/>
                  <w:vAlign w:val="bottom"/>
                </w:tcPr>
                <w:p w14:paraId="553D081E"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5.85E-03</w:t>
                  </w:r>
                </w:p>
              </w:tc>
              <w:tc>
                <w:tcPr>
                  <w:tcW w:w="1298" w:type="dxa"/>
                  <w:vAlign w:val="bottom"/>
                </w:tcPr>
                <w:p w14:paraId="216D3BA5"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0.96%</w:t>
                  </w:r>
                </w:p>
              </w:tc>
            </w:tr>
            <w:tr w:rsidR="009365ED" w:rsidRPr="00503178" w14:paraId="0C2408B7"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70B6C9B3" w14:textId="77777777" w:rsidR="009365ED" w:rsidRPr="00503178" w:rsidRDefault="009365ED" w:rsidP="009365ED">
                  <w:pPr>
                    <w:pStyle w:val="BodyText"/>
                    <w:ind w:firstLine="0"/>
                    <w:jc w:val="left"/>
                  </w:pPr>
                  <w:r w:rsidRPr="008D62D0">
                    <w:rPr>
                      <w:rFonts w:ascii="Symbol" w:hAnsi="Symbol"/>
                    </w:rPr>
                    <w:t>S</w:t>
                  </w:r>
                  <w:r w:rsidRPr="008D62D0">
                    <w:rPr>
                      <w:vertAlign w:val="subscript"/>
                    </w:rPr>
                    <w:t>abs</w:t>
                  </w:r>
                  <w:r w:rsidRPr="008D62D0">
                    <w:t xml:space="preserve">, </w:t>
                  </w:r>
                  <w:r>
                    <w:t>4</w:t>
                  </w:r>
                </w:p>
              </w:tc>
              <w:tc>
                <w:tcPr>
                  <w:tcW w:w="990" w:type="dxa"/>
                  <w:gridSpan w:val="2"/>
                  <w:noWrap/>
                  <w:vAlign w:val="bottom"/>
                  <w:hideMark/>
                </w:tcPr>
                <w:p w14:paraId="2F64D994"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1.24E-02</w:t>
                  </w:r>
                </w:p>
              </w:tc>
              <w:tc>
                <w:tcPr>
                  <w:tcW w:w="1260" w:type="dxa"/>
                  <w:noWrap/>
                  <w:vAlign w:val="bottom"/>
                  <w:hideMark/>
                </w:tcPr>
                <w:p w14:paraId="4AFBDEDA"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1.29%</w:t>
                  </w:r>
                </w:p>
              </w:tc>
              <w:tc>
                <w:tcPr>
                  <w:tcW w:w="1042" w:type="dxa"/>
                  <w:gridSpan w:val="2"/>
                  <w:vAlign w:val="bottom"/>
                </w:tcPr>
                <w:p w14:paraId="3BA1341A"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1.49E-02</w:t>
                  </w:r>
                </w:p>
              </w:tc>
              <w:tc>
                <w:tcPr>
                  <w:tcW w:w="1298" w:type="dxa"/>
                  <w:vAlign w:val="bottom"/>
                </w:tcPr>
                <w:p w14:paraId="32589A4B"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1.14%</w:t>
                  </w:r>
                </w:p>
              </w:tc>
            </w:tr>
            <w:tr w:rsidR="009365ED" w:rsidRPr="00503178" w14:paraId="7BC00A9E"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5D6F034F" w14:textId="77777777" w:rsidR="009365ED" w:rsidRPr="00503178" w:rsidRDefault="009365ED" w:rsidP="009365ED">
                  <w:pPr>
                    <w:pStyle w:val="BodyText"/>
                    <w:ind w:firstLine="0"/>
                    <w:jc w:val="left"/>
                  </w:pPr>
                  <w:r w:rsidRPr="00B93110">
                    <w:rPr>
                      <w:rFonts w:ascii="Symbol" w:hAnsi="Symbol"/>
                    </w:rPr>
                    <w:t>nS</w:t>
                  </w:r>
                  <w:proofErr w:type="spellStart"/>
                  <w:r>
                    <w:rPr>
                      <w:vertAlign w:val="subscript"/>
                    </w:rPr>
                    <w:t>fis</w:t>
                  </w:r>
                  <w:proofErr w:type="spellEnd"/>
                  <w:r w:rsidRPr="005965AC">
                    <w:t>, 1</w:t>
                  </w:r>
                </w:p>
              </w:tc>
              <w:tc>
                <w:tcPr>
                  <w:tcW w:w="990" w:type="dxa"/>
                  <w:gridSpan w:val="2"/>
                  <w:noWrap/>
                  <w:vAlign w:val="bottom"/>
                  <w:hideMark/>
                </w:tcPr>
                <w:p w14:paraId="06DEDBB3"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1.50E-02</w:t>
                  </w:r>
                </w:p>
              </w:tc>
              <w:tc>
                <w:tcPr>
                  <w:tcW w:w="1260" w:type="dxa"/>
                  <w:noWrap/>
                  <w:vAlign w:val="bottom"/>
                  <w:hideMark/>
                </w:tcPr>
                <w:p w14:paraId="2E9F0804"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1.05%</w:t>
                  </w:r>
                </w:p>
              </w:tc>
              <w:tc>
                <w:tcPr>
                  <w:tcW w:w="1042" w:type="dxa"/>
                  <w:gridSpan w:val="2"/>
                  <w:vAlign w:val="bottom"/>
                </w:tcPr>
                <w:p w14:paraId="26035ED1"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1.66E-02</w:t>
                  </w:r>
                </w:p>
              </w:tc>
              <w:tc>
                <w:tcPr>
                  <w:tcW w:w="1298" w:type="dxa"/>
                  <w:vAlign w:val="bottom"/>
                </w:tcPr>
                <w:p w14:paraId="6A5937D6"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1.00%</w:t>
                  </w:r>
                </w:p>
              </w:tc>
            </w:tr>
            <w:tr w:rsidR="009365ED" w:rsidRPr="00503178" w14:paraId="7CF07E75"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11645599" w14:textId="77777777" w:rsidR="009365ED" w:rsidRPr="00503178" w:rsidRDefault="009365ED" w:rsidP="009365ED">
                  <w:pPr>
                    <w:pStyle w:val="BodyText"/>
                    <w:ind w:firstLine="0"/>
                    <w:jc w:val="left"/>
                  </w:pPr>
                  <w:r w:rsidRPr="000D6A47">
                    <w:rPr>
                      <w:rFonts w:ascii="Symbol" w:hAnsi="Symbol"/>
                    </w:rPr>
                    <w:t>nS</w:t>
                  </w:r>
                  <w:proofErr w:type="spellStart"/>
                  <w:r w:rsidRPr="000D6A47">
                    <w:rPr>
                      <w:vertAlign w:val="subscript"/>
                    </w:rPr>
                    <w:t>fis</w:t>
                  </w:r>
                  <w:proofErr w:type="spellEnd"/>
                  <w:r w:rsidRPr="000D6A47">
                    <w:t xml:space="preserve">, </w:t>
                  </w:r>
                  <w:r>
                    <w:t>2</w:t>
                  </w:r>
                </w:p>
              </w:tc>
              <w:tc>
                <w:tcPr>
                  <w:tcW w:w="990" w:type="dxa"/>
                  <w:gridSpan w:val="2"/>
                  <w:noWrap/>
                  <w:vAlign w:val="bottom"/>
                  <w:hideMark/>
                </w:tcPr>
                <w:p w14:paraId="51348E58"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4.82E-03</w:t>
                  </w:r>
                </w:p>
              </w:tc>
              <w:tc>
                <w:tcPr>
                  <w:tcW w:w="1260" w:type="dxa"/>
                  <w:noWrap/>
                  <w:vAlign w:val="bottom"/>
                  <w:hideMark/>
                </w:tcPr>
                <w:p w14:paraId="6845B5E9"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0.61%</w:t>
                  </w:r>
                </w:p>
              </w:tc>
              <w:tc>
                <w:tcPr>
                  <w:tcW w:w="1042" w:type="dxa"/>
                  <w:gridSpan w:val="2"/>
                  <w:vAlign w:val="bottom"/>
                </w:tcPr>
                <w:p w14:paraId="556093B8"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5.11E-03</w:t>
                  </w:r>
                </w:p>
              </w:tc>
              <w:tc>
                <w:tcPr>
                  <w:tcW w:w="1298" w:type="dxa"/>
                  <w:vAlign w:val="bottom"/>
                </w:tcPr>
                <w:p w14:paraId="750FDF2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0.57%</w:t>
                  </w:r>
                </w:p>
              </w:tc>
            </w:tr>
            <w:tr w:rsidR="009365ED" w:rsidRPr="00503178" w14:paraId="6074FF45"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31303DA0" w14:textId="77777777" w:rsidR="009365ED" w:rsidRPr="00503178" w:rsidRDefault="009365ED" w:rsidP="009365ED">
                  <w:pPr>
                    <w:pStyle w:val="BodyText"/>
                    <w:ind w:firstLine="0"/>
                    <w:jc w:val="left"/>
                  </w:pPr>
                  <w:r w:rsidRPr="000D6A47">
                    <w:rPr>
                      <w:rFonts w:ascii="Symbol" w:hAnsi="Symbol"/>
                    </w:rPr>
                    <w:t>nS</w:t>
                  </w:r>
                  <w:proofErr w:type="spellStart"/>
                  <w:r w:rsidRPr="000D6A47">
                    <w:rPr>
                      <w:vertAlign w:val="subscript"/>
                    </w:rPr>
                    <w:t>fis</w:t>
                  </w:r>
                  <w:proofErr w:type="spellEnd"/>
                  <w:r w:rsidRPr="000D6A47">
                    <w:t xml:space="preserve">, </w:t>
                  </w:r>
                  <w:r>
                    <w:t>3</w:t>
                  </w:r>
                </w:p>
              </w:tc>
              <w:tc>
                <w:tcPr>
                  <w:tcW w:w="990" w:type="dxa"/>
                  <w:gridSpan w:val="2"/>
                  <w:noWrap/>
                  <w:vAlign w:val="bottom"/>
                  <w:hideMark/>
                </w:tcPr>
                <w:p w14:paraId="22B8E4F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4.70E-03</w:t>
                  </w:r>
                </w:p>
              </w:tc>
              <w:tc>
                <w:tcPr>
                  <w:tcW w:w="1260" w:type="dxa"/>
                  <w:noWrap/>
                  <w:vAlign w:val="bottom"/>
                  <w:hideMark/>
                </w:tcPr>
                <w:p w14:paraId="2A358ACA"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0.61%</w:t>
                  </w:r>
                </w:p>
              </w:tc>
              <w:tc>
                <w:tcPr>
                  <w:tcW w:w="1042" w:type="dxa"/>
                  <w:gridSpan w:val="2"/>
                  <w:vAlign w:val="bottom"/>
                </w:tcPr>
                <w:p w14:paraId="631A28CB"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5.00E-03</w:t>
                  </w:r>
                </w:p>
              </w:tc>
              <w:tc>
                <w:tcPr>
                  <w:tcW w:w="1298" w:type="dxa"/>
                  <w:vAlign w:val="bottom"/>
                </w:tcPr>
                <w:p w14:paraId="7D9BE389"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0.59%</w:t>
                  </w:r>
                </w:p>
              </w:tc>
            </w:tr>
            <w:tr w:rsidR="009365ED" w:rsidRPr="00503178" w14:paraId="3E808216"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hideMark/>
                </w:tcPr>
                <w:p w14:paraId="0371E7B1" w14:textId="77777777" w:rsidR="009365ED" w:rsidRPr="00503178" w:rsidRDefault="009365ED" w:rsidP="009365ED">
                  <w:pPr>
                    <w:pStyle w:val="BodyText"/>
                    <w:ind w:firstLine="0"/>
                    <w:jc w:val="left"/>
                  </w:pPr>
                  <w:r w:rsidRPr="000D6A47">
                    <w:rPr>
                      <w:rFonts w:ascii="Symbol" w:hAnsi="Symbol"/>
                    </w:rPr>
                    <w:t>nS</w:t>
                  </w:r>
                  <w:proofErr w:type="spellStart"/>
                  <w:r w:rsidRPr="000D6A47">
                    <w:rPr>
                      <w:vertAlign w:val="subscript"/>
                    </w:rPr>
                    <w:t>fis</w:t>
                  </w:r>
                  <w:proofErr w:type="spellEnd"/>
                  <w:r w:rsidRPr="000D6A47">
                    <w:t xml:space="preserve">, </w:t>
                  </w:r>
                  <w:r>
                    <w:t>4</w:t>
                  </w:r>
                </w:p>
              </w:tc>
              <w:tc>
                <w:tcPr>
                  <w:tcW w:w="990" w:type="dxa"/>
                  <w:gridSpan w:val="2"/>
                  <w:noWrap/>
                  <w:vAlign w:val="bottom"/>
                  <w:hideMark/>
                </w:tcPr>
                <w:p w14:paraId="43D21AD0"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7.75E-03</w:t>
                  </w:r>
                </w:p>
              </w:tc>
              <w:tc>
                <w:tcPr>
                  <w:tcW w:w="1260" w:type="dxa"/>
                  <w:noWrap/>
                  <w:vAlign w:val="bottom"/>
                  <w:hideMark/>
                </w:tcPr>
                <w:p w14:paraId="6E5B692A"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1.19%</w:t>
                  </w:r>
                </w:p>
              </w:tc>
              <w:tc>
                <w:tcPr>
                  <w:tcW w:w="1042" w:type="dxa"/>
                  <w:gridSpan w:val="2"/>
                  <w:vAlign w:val="bottom"/>
                </w:tcPr>
                <w:p w14:paraId="43DE54A9"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9.33E-03</w:t>
                  </w:r>
                </w:p>
              </w:tc>
              <w:tc>
                <w:tcPr>
                  <w:tcW w:w="1298" w:type="dxa"/>
                  <w:vAlign w:val="bottom"/>
                </w:tcPr>
                <w:p w14:paraId="4362C08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1.02%</w:t>
                  </w:r>
                </w:p>
              </w:tc>
            </w:tr>
            <w:tr w:rsidR="009365ED" w:rsidRPr="00503178" w14:paraId="603807A4"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630B62AD" w14:textId="77777777" w:rsidR="009365ED" w:rsidRPr="00503178" w:rsidRDefault="009365ED" w:rsidP="009365ED">
                  <w:pPr>
                    <w:pStyle w:val="BodyText"/>
                    <w:ind w:firstLine="0"/>
                    <w:jc w:val="left"/>
                  </w:pPr>
                  <w:r w:rsidRPr="00B93110">
                    <w:rPr>
                      <w:rFonts w:ascii="Symbol" w:hAnsi="Symbol"/>
                    </w:rPr>
                    <w:t>S</w:t>
                  </w:r>
                  <w:r>
                    <w:rPr>
                      <w:vertAlign w:val="subscript"/>
                    </w:rPr>
                    <w:t>s</w:t>
                  </w:r>
                  <w:r w:rsidRPr="00BD0E7B">
                    <w:t>, 1</w:t>
                  </w:r>
                </w:p>
              </w:tc>
              <w:tc>
                <w:tcPr>
                  <w:tcW w:w="990" w:type="dxa"/>
                  <w:gridSpan w:val="2"/>
                  <w:noWrap/>
                  <w:vAlign w:val="bottom"/>
                  <w:hideMark/>
                </w:tcPr>
                <w:p w14:paraId="46D57B23"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1.67E-01</w:t>
                  </w:r>
                </w:p>
              </w:tc>
              <w:tc>
                <w:tcPr>
                  <w:tcW w:w="1260" w:type="dxa"/>
                  <w:noWrap/>
                  <w:vAlign w:val="bottom"/>
                  <w:hideMark/>
                </w:tcPr>
                <w:p w14:paraId="06E1C3F6"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1.59%</w:t>
                  </w:r>
                </w:p>
              </w:tc>
              <w:tc>
                <w:tcPr>
                  <w:tcW w:w="1042" w:type="dxa"/>
                  <w:gridSpan w:val="2"/>
                  <w:vAlign w:val="bottom"/>
                </w:tcPr>
                <w:p w14:paraId="1E276A78"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1.94E-01</w:t>
                  </w:r>
                </w:p>
              </w:tc>
              <w:tc>
                <w:tcPr>
                  <w:tcW w:w="1298" w:type="dxa"/>
                  <w:vAlign w:val="bottom"/>
                </w:tcPr>
                <w:p w14:paraId="692C369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1.26%</w:t>
                  </w:r>
                </w:p>
              </w:tc>
            </w:tr>
            <w:tr w:rsidR="009365ED" w:rsidRPr="00503178" w14:paraId="3B3CBE31"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6089F9EA" w14:textId="77777777" w:rsidR="009365ED" w:rsidRPr="00503178" w:rsidRDefault="009365ED" w:rsidP="009365ED">
                  <w:pPr>
                    <w:pStyle w:val="BodyText"/>
                    <w:ind w:firstLine="0"/>
                    <w:jc w:val="left"/>
                  </w:pPr>
                  <w:r w:rsidRPr="00B93110">
                    <w:rPr>
                      <w:rFonts w:ascii="Symbol" w:hAnsi="Symbol"/>
                    </w:rPr>
                    <w:t>S</w:t>
                  </w:r>
                  <w:r>
                    <w:rPr>
                      <w:vertAlign w:val="subscript"/>
                    </w:rPr>
                    <w:t>s</w:t>
                  </w:r>
                  <w:r w:rsidRPr="00BD0E7B">
                    <w:t xml:space="preserve">, </w:t>
                  </w:r>
                  <w:r>
                    <w:t>2</w:t>
                  </w:r>
                </w:p>
              </w:tc>
              <w:tc>
                <w:tcPr>
                  <w:tcW w:w="990" w:type="dxa"/>
                  <w:gridSpan w:val="2"/>
                  <w:noWrap/>
                  <w:vAlign w:val="bottom"/>
                  <w:hideMark/>
                </w:tcPr>
                <w:p w14:paraId="28456FF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2.17E-01</w:t>
                  </w:r>
                </w:p>
              </w:tc>
              <w:tc>
                <w:tcPr>
                  <w:tcW w:w="1260" w:type="dxa"/>
                  <w:noWrap/>
                  <w:vAlign w:val="bottom"/>
                  <w:hideMark/>
                </w:tcPr>
                <w:p w14:paraId="0AE4DDB4"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1.99%</w:t>
                  </w:r>
                </w:p>
              </w:tc>
              <w:tc>
                <w:tcPr>
                  <w:tcW w:w="1042" w:type="dxa"/>
                  <w:gridSpan w:val="2"/>
                  <w:vAlign w:val="bottom"/>
                </w:tcPr>
                <w:p w14:paraId="0919F1C0"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2.68E-01</w:t>
                  </w:r>
                </w:p>
              </w:tc>
              <w:tc>
                <w:tcPr>
                  <w:tcW w:w="1298" w:type="dxa"/>
                  <w:vAlign w:val="bottom"/>
                </w:tcPr>
                <w:p w14:paraId="435BFE6F"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1.33%</w:t>
                  </w:r>
                </w:p>
              </w:tc>
            </w:tr>
            <w:tr w:rsidR="009365ED" w:rsidRPr="00503178" w14:paraId="2F0A562A"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hideMark/>
                </w:tcPr>
                <w:p w14:paraId="24593DC9" w14:textId="77777777" w:rsidR="009365ED" w:rsidRPr="00503178" w:rsidRDefault="009365ED" w:rsidP="009365ED">
                  <w:pPr>
                    <w:pStyle w:val="BodyText"/>
                    <w:ind w:firstLine="0"/>
                    <w:jc w:val="left"/>
                  </w:pPr>
                  <w:r w:rsidRPr="00B93110">
                    <w:rPr>
                      <w:rFonts w:ascii="Symbol" w:hAnsi="Symbol"/>
                    </w:rPr>
                    <w:t>S</w:t>
                  </w:r>
                  <w:r>
                    <w:rPr>
                      <w:vertAlign w:val="subscript"/>
                    </w:rPr>
                    <w:t>s</w:t>
                  </w:r>
                  <w:r w:rsidRPr="00BD0E7B">
                    <w:t xml:space="preserve">, </w:t>
                  </w:r>
                  <w:r>
                    <w:t>3</w:t>
                  </w:r>
                </w:p>
              </w:tc>
              <w:tc>
                <w:tcPr>
                  <w:tcW w:w="990" w:type="dxa"/>
                  <w:gridSpan w:val="2"/>
                  <w:noWrap/>
                  <w:vAlign w:val="bottom"/>
                  <w:hideMark/>
                </w:tcPr>
                <w:p w14:paraId="0EA415A6"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2.80E-01</w:t>
                  </w:r>
                </w:p>
              </w:tc>
              <w:tc>
                <w:tcPr>
                  <w:tcW w:w="1260" w:type="dxa"/>
                  <w:noWrap/>
                  <w:vAlign w:val="bottom"/>
                  <w:hideMark/>
                </w:tcPr>
                <w:p w14:paraId="47DF3BAC"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2.09%</w:t>
                  </w:r>
                </w:p>
              </w:tc>
              <w:tc>
                <w:tcPr>
                  <w:tcW w:w="1042" w:type="dxa"/>
                  <w:gridSpan w:val="2"/>
                  <w:vAlign w:val="bottom"/>
                </w:tcPr>
                <w:p w14:paraId="5A01226E"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3.26E-01</w:t>
                  </w:r>
                </w:p>
              </w:tc>
              <w:tc>
                <w:tcPr>
                  <w:tcW w:w="1298" w:type="dxa"/>
                  <w:vAlign w:val="bottom"/>
                </w:tcPr>
                <w:p w14:paraId="7892B3D8"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1.60%</w:t>
                  </w:r>
                </w:p>
              </w:tc>
            </w:tr>
            <w:tr w:rsidR="009365ED" w:rsidRPr="00503178" w14:paraId="014DBFF7"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tcPr>
                <w:p w14:paraId="3A9843ED" w14:textId="77777777" w:rsidR="009365ED" w:rsidRPr="00503178" w:rsidRDefault="009365ED" w:rsidP="009365ED">
                  <w:pPr>
                    <w:pStyle w:val="BodyText"/>
                    <w:ind w:firstLine="0"/>
                    <w:jc w:val="left"/>
                  </w:pPr>
                  <w:r w:rsidRPr="00B93110">
                    <w:rPr>
                      <w:rFonts w:ascii="Symbol" w:hAnsi="Symbol"/>
                    </w:rPr>
                    <w:t>S</w:t>
                  </w:r>
                  <w:r>
                    <w:rPr>
                      <w:vertAlign w:val="subscript"/>
                    </w:rPr>
                    <w:t>s</w:t>
                  </w:r>
                  <w:r w:rsidRPr="00BD0E7B">
                    <w:t xml:space="preserve">, </w:t>
                  </w:r>
                  <w:r>
                    <w:t>4</w:t>
                  </w:r>
                </w:p>
              </w:tc>
              <w:tc>
                <w:tcPr>
                  <w:tcW w:w="990" w:type="dxa"/>
                  <w:gridSpan w:val="2"/>
                  <w:noWrap/>
                  <w:vAlign w:val="bottom"/>
                </w:tcPr>
                <w:p w14:paraId="7E72BD8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3.98E-01</w:t>
                  </w:r>
                </w:p>
              </w:tc>
              <w:tc>
                <w:tcPr>
                  <w:tcW w:w="1260" w:type="dxa"/>
                  <w:noWrap/>
                  <w:vAlign w:val="bottom"/>
                </w:tcPr>
                <w:p w14:paraId="12DEBDF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1.62%</w:t>
                  </w:r>
                </w:p>
              </w:tc>
              <w:tc>
                <w:tcPr>
                  <w:tcW w:w="1042" w:type="dxa"/>
                  <w:gridSpan w:val="2"/>
                  <w:vAlign w:val="bottom"/>
                </w:tcPr>
                <w:p w14:paraId="062B5ED1"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4.37E-01</w:t>
                  </w:r>
                </w:p>
              </w:tc>
              <w:tc>
                <w:tcPr>
                  <w:tcW w:w="1298" w:type="dxa"/>
                  <w:vAlign w:val="bottom"/>
                </w:tcPr>
                <w:p w14:paraId="48E12B7A"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1.11%</w:t>
                  </w:r>
                </w:p>
              </w:tc>
            </w:tr>
            <w:tr w:rsidR="009365ED" w:rsidRPr="00503178" w14:paraId="517C14F5" w14:textId="77777777" w:rsidTr="00CB77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tcPr>
                <w:p w14:paraId="1ECA15A3" w14:textId="77777777" w:rsidR="009365ED" w:rsidRPr="00503178" w:rsidRDefault="009365ED" w:rsidP="009365ED">
                  <w:pPr>
                    <w:pStyle w:val="BodyText"/>
                    <w:ind w:firstLine="0"/>
                    <w:jc w:val="left"/>
                  </w:pPr>
                  <w:r>
                    <w:rPr>
                      <w:color w:val="000000"/>
                    </w:rPr>
                    <w:t>K</w:t>
                  </w:r>
                  <w:r w:rsidRPr="000C013B">
                    <w:rPr>
                      <w:color w:val="000000"/>
                      <w:vertAlign w:val="subscript"/>
                    </w:rPr>
                    <w:t>D</w:t>
                  </w:r>
                </w:p>
              </w:tc>
              <w:tc>
                <w:tcPr>
                  <w:tcW w:w="990" w:type="dxa"/>
                  <w:gridSpan w:val="2"/>
                  <w:noWrap/>
                  <w:vAlign w:val="bottom"/>
                </w:tcPr>
                <w:p w14:paraId="49ACDCD1"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503178">
                    <w:rPr>
                      <w:color w:val="000000"/>
                    </w:rPr>
                    <w:t>-339</w:t>
                  </w:r>
                </w:p>
              </w:tc>
              <w:tc>
                <w:tcPr>
                  <w:tcW w:w="1260" w:type="dxa"/>
                  <w:noWrap/>
                  <w:vAlign w:val="bottom"/>
                </w:tcPr>
                <w:p w14:paraId="07A011A9"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5.81%</w:t>
                  </w:r>
                </w:p>
              </w:tc>
              <w:tc>
                <w:tcPr>
                  <w:tcW w:w="1042" w:type="dxa"/>
                  <w:gridSpan w:val="2"/>
                  <w:vAlign w:val="bottom"/>
                </w:tcPr>
                <w:p w14:paraId="22D24661"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503178">
                    <w:rPr>
                      <w:color w:val="000000"/>
                    </w:rPr>
                    <w:t>-772</w:t>
                  </w:r>
                </w:p>
              </w:tc>
              <w:tc>
                <w:tcPr>
                  <w:tcW w:w="1298" w:type="dxa"/>
                  <w:vAlign w:val="bottom"/>
                </w:tcPr>
                <w:p w14:paraId="77E2C3BD" w14:textId="77777777"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503178">
                    <w:rPr>
                      <w:color w:val="000000"/>
                    </w:rPr>
                    <w:t>4.94%</w:t>
                  </w:r>
                </w:p>
              </w:tc>
            </w:tr>
            <w:tr w:rsidR="009365ED" w:rsidRPr="00503178" w14:paraId="3B2A43BC" w14:textId="77777777" w:rsidTr="00CB7768">
              <w:trPr>
                <w:trHeight w:val="20"/>
              </w:trPr>
              <w:tc>
                <w:tcPr>
                  <w:cnfStyle w:val="001000000000" w:firstRow="0" w:lastRow="0" w:firstColumn="1" w:lastColumn="0" w:oddVBand="0" w:evenVBand="0" w:oddHBand="0" w:evenHBand="0" w:firstRowFirstColumn="0" w:firstRowLastColumn="0" w:lastRowFirstColumn="0" w:lastRowLastColumn="0"/>
                  <w:tcW w:w="884" w:type="dxa"/>
                  <w:noWrap/>
                  <w:vAlign w:val="bottom"/>
                </w:tcPr>
                <w:p w14:paraId="203CD90B" w14:textId="77777777" w:rsidR="009365ED" w:rsidRPr="00503178" w:rsidRDefault="009365ED" w:rsidP="009365ED">
                  <w:pPr>
                    <w:pStyle w:val="BodyText"/>
                    <w:ind w:firstLine="0"/>
                    <w:jc w:val="left"/>
                  </w:pPr>
                  <w:r w:rsidRPr="00A21BB4">
                    <w:rPr>
                      <w:rFonts w:ascii="Symbol" w:hAnsi="Symbol"/>
                    </w:rPr>
                    <w:t>Dr</w:t>
                  </w:r>
                  <w:r w:rsidRPr="00A21BB4">
                    <w:rPr>
                      <w:vertAlign w:val="subscript"/>
                    </w:rPr>
                    <w:t>Na</w:t>
                  </w:r>
                </w:p>
              </w:tc>
              <w:tc>
                <w:tcPr>
                  <w:tcW w:w="990" w:type="dxa"/>
                  <w:gridSpan w:val="2"/>
                  <w:noWrap/>
                  <w:vAlign w:val="bottom"/>
                </w:tcPr>
                <w:p w14:paraId="595F2CE6"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5953</w:t>
                  </w:r>
                </w:p>
              </w:tc>
              <w:tc>
                <w:tcPr>
                  <w:tcW w:w="1260" w:type="dxa"/>
                  <w:noWrap/>
                  <w:vAlign w:val="bottom"/>
                </w:tcPr>
                <w:p w14:paraId="334A4C59"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4.44%</w:t>
                  </w:r>
                </w:p>
              </w:tc>
              <w:tc>
                <w:tcPr>
                  <w:tcW w:w="1042" w:type="dxa"/>
                  <w:gridSpan w:val="2"/>
                  <w:vAlign w:val="bottom"/>
                </w:tcPr>
                <w:p w14:paraId="445FAF2D"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3017</w:t>
                  </w:r>
                </w:p>
              </w:tc>
              <w:tc>
                <w:tcPr>
                  <w:tcW w:w="1298" w:type="dxa"/>
                  <w:vAlign w:val="bottom"/>
                </w:tcPr>
                <w:p w14:paraId="25D017B5" w14:textId="77777777"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503178">
                    <w:rPr>
                      <w:color w:val="000000"/>
                    </w:rPr>
                    <w:t>5.00%</w:t>
                  </w:r>
                </w:p>
              </w:tc>
            </w:tr>
          </w:tbl>
          <w:p w14:paraId="70C685EC" w14:textId="77777777" w:rsidR="009365ED" w:rsidRDefault="009365ED" w:rsidP="00897E46">
            <w:pPr>
              <w:pStyle w:val="BodyText"/>
              <w:spacing w:before="120" w:after="120" w:line="360" w:lineRule="auto"/>
              <w:ind w:firstLine="0"/>
            </w:pPr>
          </w:p>
        </w:tc>
        <w:tc>
          <w:tcPr>
            <w:tcW w:w="2250" w:type="dxa"/>
          </w:tcPr>
          <w:p w14:paraId="22AA9302" w14:textId="388BC8C5" w:rsidR="009365ED" w:rsidRDefault="009365ED" w:rsidP="009365ED">
            <w:pPr>
              <w:pStyle w:val="BodyText"/>
              <w:spacing w:after="120" w:line="276" w:lineRule="auto"/>
              <w:ind w:firstLine="0"/>
            </w:pPr>
            <w:r>
              <w:t xml:space="preserve">TABLE </w:t>
            </w:r>
            <w:r w:rsidR="002D42F1">
              <w:t>3</w:t>
            </w:r>
            <w:r>
              <w:t>.</w:t>
            </w:r>
            <w:r>
              <w:tab/>
            </w:r>
            <w:r w:rsidR="002D42F1">
              <w:t>4-group structure.</w:t>
            </w:r>
          </w:p>
          <w:tbl>
            <w:tblPr>
              <w:tblStyle w:val="PlainTable2"/>
              <w:tblW w:w="0" w:type="auto"/>
              <w:tblLayout w:type="fixed"/>
              <w:tblLook w:val="04A0" w:firstRow="1" w:lastRow="0" w:firstColumn="1" w:lastColumn="0" w:noHBand="0" w:noVBand="1"/>
            </w:tblPr>
            <w:tblGrid>
              <w:gridCol w:w="837"/>
              <w:gridCol w:w="1377"/>
            </w:tblGrid>
            <w:tr w:rsidR="009365ED" w:rsidRPr="00503178" w14:paraId="460F6E58" w14:textId="77777777" w:rsidTr="004F52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7" w:type="dxa"/>
                  <w:noWrap/>
                  <w:vAlign w:val="center"/>
                </w:tcPr>
                <w:p w14:paraId="39E54B8B" w14:textId="193A0840" w:rsidR="009365ED" w:rsidRPr="00503178" w:rsidRDefault="009365ED" w:rsidP="009365ED">
                  <w:pPr>
                    <w:pStyle w:val="BodyText"/>
                    <w:ind w:firstLine="0"/>
                    <w:jc w:val="left"/>
                  </w:pPr>
                  <w:r>
                    <w:t>Group</w:t>
                  </w:r>
                </w:p>
              </w:tc>
              <w:tc>
                <w:tcPr>
                  <w:tcW w:w="1377" w:type="dxa"/>
                  <w:noWrap/>
                  <w:vAlign w:val="center"/>
                </w:tcPr>
                <w:p w14:paraId="2C8FE1A6" w14:textId="1305C0CE" w:rsidR="009365ED" w:rsidRPr="00FD258B" w:rsidRDefault="009365ED" w:rsidP="009365ED">
                  <w:pPr>
                    <w:pStyle w:val="BodyText"/>
                    <w:ind w:firstLine="0"/>
                    <w:jc w:val="center"/>
                    <w:cnfStyle w:val="100000000000" w:firstRow="1" w:lastRow="0" w:firstColumn="0" w:lastColumn="0" w:oddVBand="0" w:evenVBand="0" w:oddHBand="0" w:evenHBand="0" w:firstRowFirstColumn="0" w:firstRowLastColumn="0" w:lastRowFirstColumn="0" w:lastRowLastColumn="0"/>
                    <w:rPr>
                      <w:b w:val="0"/>
                      <w:bCs w:val="0"/>
                    </w:rPr>
                  </w:pPr>
                  <w:r>
                    <w:t>Upper Energy (eV)</w:t>
                  </w:r>
                </w:p>
              </w:tc>
            </w:tr>
            <w:tr w:rsidR="009365ED" w:rsidRPr="00503178" w14:paraId="43BA084D" w14:textId="77777777" w:rsidTr="004F52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7" w:type="dxa"/>
                  <w:noWrap/>
                  <w:vAlign w:val="bottom"/>
                  <w:hideMark/>
                </w:tcPr>
                <w:p w14:paraId="59091037" w14:textId="44A5878F" w:rsidR="009365ED" w:rsidRPr="002D42F1" w:rsidRDefault="009365ED" w:rsidP="009365ED">
                  <w:pPr>
                    <w:pStyle w:val="BodyText"/>
                    <w:ind w:firstLine="0"/>
                    <w:jc w:val="left"/>
                    <w:rPr>
                      <w:b w:val="0"/>
                      <w:bCs w:val="0"/>
                    </w:rPr>
                  </w:pPr>
                  <w:r w:rsidRPr="002D42F1">
                    <w:rPr>
                      <w:b w:val="0"/>
                      <w:bCs w:val="0"/>
                    </w:rPr>
                    <w:t>1</w:t>
                  </w:r>
                </w:p>
              </w:tc>
              <w:tc>
                <w:tcPr>
                  <w:tcW w:w="1377" w:type="dxa"/>
                  <w:noWrap/>
                  <w:vAlign w:val="bottom"/>
                  <w:hideMark/>
                </w:tcPr>
                <w:p w14:paraId="4BBFFD8C" w14:textId="3A87AEF5"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pPr>
                  <w:r>
                    <w:t>20 MeV</w:t>
                  </w:r>
                </w:p>
              </w:tc>
            </w:tr>
            <w:tr w:rsidR="009365ED" w:rsidRPr="00503178" w14:paraId="386A0A0F" w14:textId="77777777" w:rsidTr="004F523E">
              <w:trPr>
                <w:trHeight w:val="20"/>
              </w:trPr>
              <w:tc>
                <w:tcPr>
                  <w:cnfStyle w:val="001000000000" w:firstRow="0" w:lastRow="0" w:firstColumn="1" w:lastColumn="0" w:oddVBand="0" w:evenVBand="0" w:oddHBand="0" w:evenHBand="0" w:firstRowFirstColumn="0" w:firstRowLastColumn="0" w:lastRowFirstColumn="0" w:lastRowLastColumn="0"/>
                  <w:tcW w:w="837" w:type="dxa"/>
                  <w:noWrap/>
                  <w:vAlign w:val="bottom"/>
                  <w:hideMark/>
                </w:tcPr>
                <w:p w14:paraId="52DD5507" w14:textId="6015C933" w:rsidR="009365ED" w:rsidRPr="002D42F1" w:rsidRDefault="009365ED" w:rsidP="009365ED">
                  <w:pPr>
                    <w:pStyle w:val="BodyText"/>
                    <w:ind w:firstLine="0"/>
                    <w:jc w:val="left"/>
                    <w:rPr>
                      <w:b w:val="0"/>
                      <w:bCs w:val="0"/>
                    </w:rPr>
                  </w:pPr>
                  <w:r w:rsidRPr="002D42F1">
                    <w:rPr>
                      <w:rFonts w:ascii="Symbol" w:hAnsi="Symbol"/>
                      <w:b w:val="0"/>
                      <w:bCs w:val="0"/>
                    </w:rPr>
                    <w:t>2</w:t>
                  </w:r>
                </w:p>
              </w:tc>
              <w:tc>
                <w:tcPr>
                  <w:tcW w:w="1377" w:type="dxa"/>
                  <w:noWrap/>
                  <w:vAlign w:val="bottom"/>
                  <w:hideMark/>
                </w:tcPr>
                <w:p w14:paraId="1013CC55" w14:textId="63A5A67C"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pPr>
                  <w:r>
                    <w:rPr>
                      <w:color w:val="000000"/>
                    </w:rPr>
                    <w:t>820 keV</w:t>
                  </w:r>
                </w:p>
              </w:tc>
            </w:tr>
            <w:tr w:rsidR="009365ED" w:rsidRPr="00503178" w14:paraId="4EEEF3C4" w14:textId="77777777" w:rsidTr="004F52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7" w:type="dxa"/>
                  <w:noWrap/>
                  <w:vAlign w:val="bottom"/>
                </w:tcPr>
                <w:p w14:paraId="22A6164E" w14:textId="400A97B8" w:rsidR="009365ED" w:rsidRPr="002D42F1" w:rsidRDefault="009365ED" w:rsidP="009365ED">
                  <w:pPr>
                    <w:pStyle w:val="BodyText"/>
                    <w:ind w:firstLine="0"/>
                    <w:jc w:val="left"/>
                    <w:rPr>
                      <w:rFonts w:ascii="Symbol" w:hAnsi="Symbol"/>
                      <w:b w:val="0"/>
                      <w:bCs w:val="0"/>
                    </w:rPr>
                  </w:pPr>
                  <w:r w:rsidRPr="002D42F1">
                    <w:rPr>
                      <w:rFonts w:ascii="Symbol" w:hAnsi="Symbol"/>
                      <w:b w:val="0"/>
                      <w:bCs w:val="0"/>
                    </w:rPr>
                    <w:t>3</w:t>
                  </w:r>
                </w:p>
              </w:tc>
              <w:tc>
                <w:tcPr>
                  <w:tcW w:w="1377" w:type="dxa"/>
                  <w:noWrap/>
                  <w:vAlign w:val="bottom"/>
                </w:tcPr>
                <w:p w14:paraId="58B2658F" w14:textId="2F493094" w:rsidR="009365ED" w:rsidRPr="00503178" w:rsidRDefault="009365ED" w:rsidP="009365ED">
                  <w:pPr>
                    <w:pStyle w:val="BodyText"/>
                    <w:ind w:firstLin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110 keV</w:t>
                  </w:r>
                </w:p>
              </w:tc>
            </w:tr>
            <w:tr w:rsidR="009365ED" w:rsidRPr="00503178" w14:paraId="7C179383" w14:textId="77777777" w:rsidTr="004F523E">
              <w:trPr>
                <w:trHeight w:val="20"/>
              </w:trPr>
              <w:tc>
                <w:tcPr>
                  <w:cnfStyle w:val="001000000000" w:firstRow="0" w:lastRow="0" w:firstColumn="1" w:lastColumn="0" w:oddVBand="0" w:evenVBand="0" w:oddHBand="0" w:evenHBand="0" w:firstRowFirstColumn="0" w:firstRowLastColumn="0" w:lastRowFirstColumn="0" w:lastRowLastColumn="0"/>
                  <w:tcW w:w="837" w:type="dxa"/>
                  <w:noWrap/>
                  <w:vAlign w:val="bottom"/>
                </w:tcPr>
                <w:p w14:paraId="69AE53F6" w14:textId="2F82FA55" w:rsidR="009365ED" w:rsidRPr="002D42F1" w:rsidRDefault="009365ED" w:rsidP="009365ED">
                  <w:pPr>
                    <w:pStyle w:val="BodyText"/>
                    <w:ind w:firstLine="0"/>
                    <w:jc w:val="left"/>
                    <w:rPr>
                      <w:rFonts w:ascii="Symbol" w:hAnsi="Symbol"/>
                      <w:b w:val="0"/>
                      <w:bCs w:val="0"/>
                    </w:rPr>
                  </w:pPr>
                  <w:r w:rsidRPr="002D42F1">
                    <w:rPr>
                      <w:rFonts w:ascii="Symbol" w:hAnsi="Symbol"/>
                      <w:b w:val="0"/>
                      <w:bCs w:val="0"/>
                    </w:rPr>
                    <w:t>4</w:t>
                  </w:r>
                </w:p>
              </w:tc>
              <w:tc>
                <w:tcPr>
                  <w:tcW w:w="1377" w:type="dxa"/>
                  <w:noWrap/>
                  <w:vAlign w:val="bottom"/>
                </w:tcPr>
                <w:p w14:paraId="5FD7FD26" w14:textId="56B03232" w:rsidR="009365ED" w:rsidRPr="00503178" w:rsidRDefault="009365ED" w:rsidP="009365ED">
                  <w:pPr>
                    <w:pStyle w:val="BodyText"/>
                    <w:ind w:firstLin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 keV</w:t>
                  </w:r>
                </w:p>
              </w:tc>
            </w:tr>
          </w:tbl>
          <w:p w14:paraId="0B0CA80C" w14:textId="77777777" w:rsidR="009365ED" w:rsidRDefault="009365ED" w:rsidP="009365ED">
            <w:pPr>
              <w:pStyle w:val="BodyText"/>
              <w:spacing w:before="120" w:after="120" w:line="360" w:lineRule="auto"/>
              <w:ind w:left="27" w:firstLine="0"/>
            </w:pPr>
          </w:p>
        </w:tc>
      </w:tr>
    </w:tbl>
    <w:p w14:paraId="35805412" w14:textId="4A93736E" w:rsidR="00CE2F48" w:rsidRPr="00EE0041" w:rsidRDefault="00CE2F48" w:rsidP="00CE2F48">
      <w:pPr>
        <w:pStyle w:val="Heading3"/>
      </w:pPr>
      <w:r>
        <w:t>Exercise I-</w:t>
      </w:r>
      <w:r w:rsidR="00FF6049">
        <w:t>3</w:t>
      </w:r>
      <w:r>
        <w:t>: Supercell</w:t>
      </w:r>
    </w:p>
    <w:p w14:paraId="35D2BA10" w14:textId="56F3F01B" w:rsidR="006E4F0B" w:rsidRDefault="006E4F0B" w:rsidP="006E4F0B">
      <w:pPr>
        <w:pStyle w:val="BodyText"/>
      </w:pPr>
      <w:r>
        <w:t xml:space="preserve">Table </w:t>
      </w:r>
      <w:r w:rsidR="004F523E">
        <w:t>4</w:t>
      </w:r>
      <w:r>
        <w:t xml:space="preserve"> presents the average results for the MET1000 and MOX3600 </w:t>
      </w:r>
      <w:r w:rsidR="00830555">
        <w:t>supercell</w:t>
      </w:r>
      <w:r w:rsidR="000C5753">
        <w:t>s</w:t>
      </w:r>
      <w:r>
        <w:t xml:space="preserve">. </w:t>
      </w:r>
      <w:r w:rsidR="00830555">
        <w:t>Similar</w:t>
      </w:r>
      <w:r>
        <w:t xml:space="preserve"> observation</w:t>
      </w:r>
      <w:r w:rsidR="00830555">
        <w:t>s</w:t>
      </w:r>
      <w:r>
        <w:t xml:space="preserve"> </w:t>
      </w:r>
      <w:r w:rsidR="000C5753">
        <w:t>were made</w:t>
      </w:r>
      <w:r w:rsidR="00830555">
        <w:t xml:space="preserve"> for the fuel assembly</w:t>
      </w:r>
      <w:r>
        <w:t xml:space="preserve">. </w:t>
      </w:r>
      <w:r w:rsidR="00830555">
        <w:t xml:space="preserve">The uncertainty of the control rod worth is driven by </w:t>
      </w:r>
      <w:r w:rsidR="00830555" w:rsidRPr="00830555">
        <w:rPr>
          <w:vertAlign w:val="superscript"/>
        </w:rPr>
        <w:t>238</w:t>
      </w:r>
      <w:r w:rsidR="00830555">
        <w:t xml:space="preserve">U inelastic scattering, not as </w:t>
      </w:r>
      <w:r w:rsidR="000C5753">
        <w:t xml:space="preserve">may have been </w:t>
      </w:r>
      <w:r w:rsidR="00830555">
        <w:t xml:space="preserve">expected by the reactions of the absorber material. Other relevant reactions for this uncertainty are </w:t>
      </w:r>
      <w:r w:rsidR="00A00649">
        <w:t xml:space="preserve">the </w:t>
      </w:r>
      <w:r w:rsidR="00830555">
        <w:t xml:space="preserve">scattering in </w:t>
      </w:r>
      <w:r w:rsidR="00830555" w:rsidRPr="00830555">
        <w:rPr>
          <w:vertAlign w:val="superscript"/>
        </w:rPr>
        <w:t>56</w:t>
      </w:r>
      <w:r w:rsidR="00830555">
        <w:t xml:space="preserve">Fe and </w:t>
      </w:r>
      <w:r w:rsidR="00830555" w:rsidRPr="00830555">
        <w:rPr>
          <w:vertAlign w:val="superscript"/>
        </w:rPr>
        <w:t>23</w:t>
      </w:r>
      <w:r w:rsidR="00830555">
        <w:t xml:space="preserve">Na. </w:t>
      </w:r>
    </w:p>
    <w:p w14:paraId="692E4832" w14:textId="4F45F10F" w:rsidR="002B49FB" w:rsidRDefault="002B49FB" w:rsidP="004465CA">
      <w:pPr>
        <w:pStyle w:val="BodyText"/>
        <w:ind w:firstLine="0"/>
      </w:pPr>
    </w:p>
    <w:p w14:paraId="0A834B1A" w14:textId="618B0121" w:rsidR="002B49FB" w:rsidRDefault="002B49FB" w:rsidP="00355EA4">
      <w:pPr>
        <w:pStyle w:val="BodyText"/>
        <w:spacing w:before="120" w:after="120" w:line="276" w:lineRule="auto"/>
        <w:ind w:firstLine="0"/>
      </w:pPr>
      <w:r>
        <w:t xml:space="preserve">TABLE </w:t>
      </w:r>
      <w:r w:rsidR="004F523E">
        <w:t>4</w:t>
      </w:r>
      <w:r>
        <w:t>.</w:t>
      </w:r>
      <w:r>
        <w:tab/>
      </w:r>
      <w:r w:rsidR="004D3142">
        <w:t>Average supercell results: Nominal values and uncertainties due to nuclear data.</w:t>
      </w:r>
      <w:r w:rsidR="006B3FC0" w:rsidRPr="006B3FC0">
        <w:t xml:space="preserve"> </w:t>
      </w:r>
      <w:r w:rsidR="006B3FC0">
        <w:t>Reactivity coefficients are provided in pcm, macroscopic cross sections in cm</w:t>
      </w:r>
      <w:r w:rsidR="006B3FC0" w:rsidRPr="00287A79">
        <w:rPr>
          <w:vertAlign w:val="superscript"/>
        </w:rPr>
        <w:t>-1</w:t>
      </w:r>
      <w:r w:rsidR="006B3FC0">
        <w:t>.</w:t>
      </w:r>
    </w:p>
    <w:tbl>
      <w:tblPr>
        <w:tblStyle w:val="PlainTable2"/>
        <w:tblW w:w="0" w:type="auto"/>
        <w:jc w:val="center"/>
        <w:tblLook w:val="04A0" w:firstRow="1" w:lastRow="0" w:firstColumn="1" w:lastColumn="0" w:noHBand="0" w:noVBand="1"/>
      </w:tblPr>
      <w:tblGrid>
        <w:gridCol w:w="839"/>
        <w:gridCol w:w="955"/>
        <w:gridCol w:w="1238"/>
        <w:gridCol w:w="955"/>
        <w:gridCol w:w="1238"/>
      </w:tblGrid>
      <w:tr w:rsidR="003A2E69" w:rsidRPr="00503178" w14:paraId="574A79CC" w14:textId="77777777" w:rsidTr="00C47066">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EBC2BCD" w14:textId="77777777" w:rsidR="003A2E69" w:rsidRPr="00503178" w:rsidRDefault="003A2E69" w:rsidP="003A2E69">
            <w:pPr>
              <w:pStyle w:val="BodyText"/>
              <w:ind w:firstLine="0"/>
              <w:jc w:val="left"/>
            </w:pPr>
          </w:p>
        </w:tc>
        <w:tc>
          <w:tcPr>
            <w:tcW w:w="0" w:type="auto"/>
            <w:gridSpan w:val="2"/>
            <w:noWrap/>
            <w:vAlign w:val="center"/>
          </w:tcPr>
          <w:p w14:paraId="01EAD4B3" w14:textId="468303CB" w:rsidR="003A2E69" w:rsidRPr="00503178" w:rsidRDefault="003A2E69" w:rsidP="003A2E69">
            <w:pPr>
              <w:pStyle w:val="BodyText"/>
              <w:ind w:firstLine="0"/>
              <w:jc w:val="center"/>
              <w:cnfStyle w:val="100000000000" w:firstRow="1" w:lastRow="0" w:firstColumn="0" w:lastColumn="0" w:oddVBand="0" w:evenVBand="0" w:oddHBand="0" w:evenHBand="0" w:firstRowFirstColumn="0" w:firstRowLastColumn="0" w:lastRowFirstColumn="0" w:lastRowLastColumn="0"/>
            </w:pPr>
            <w:r>
              <w:t>MET1000</w:t>
            </w:r>
          </w:p>
        </w:tc>
        <w:tc>
          <w:tcPr>
            <w:tcW w:w="0" w:type="auto"/>
            <w:gridSpan w:val="2"/>
            <w:vAlign w:val="center"/>
          </w:tcPr>
          <w:p w14:paraId="60A93B08" w14:textId="26BF6B89" w:rsidR="003A2E69" w:rsidRPr="00503178" w:rsidRDefault="003A2E69" w:rsidP="003A2E69">
            <w:pPr>
              <w:pStyle w:val="BodyText"/>
              <w:ind w:firstLine="0"/>
              <w:jc w:val="center"/>
              <w:cnfStyle w:val="100000000000" w:firstRow="1" w:lastRow="0" w:firstColumn="0" w:lastColumn="0" w:oddVBand="0" w:evenVBand="0" w:oddHBand="0" w:evenHBand="0" w:firstRowFirstColumn="0" w:firstRowLastColumn="0" w:lastRowFirstColumn="0" w:lastRowLastColumn="0"/>
            </w:pPr>
            <w:r>
              <w:t>MOX3600</w:t>
            </w:r>
          </w:p>
        </w:tc>
      </w:tr>
      <w:tr w:rsidR="002B49FB" w:rsidRPr="00503178" w14:paraId="1ACE13B0"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206E359" w14:textId="77777777" w:rsidR="002B49FB" w:rsidRPr="00503178" w:rsidRDefault="002B49FB" w:rsidP="00E67237">
            <w:pPr>
              <w:pStyle w:val="BodyText"/>
              <w:ind w:firstLine="0"/>
              <w:jc w:val="left"/>
            </w:pPr>
            <w:r w:rsidRPr="00503178">
              <w:t>Output</w:t>
            </w:r>
          </w:p>
        </w:tc>
        <w:tc>
          <w:tcPr>
            <w:tcW w:w="0" w:type="auto"/>
            <w:noWrap/>
            <w:vAlign w:val="center"/>
          </w:tcPr>
          <w:p w14:paraId="1D4CA1B4" w14:textId="77777777" w:rsidR="002B49FB" w:rsidRPr="00FD258B"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Nominal</w:t>
            </w:r>
          </w:p>
        </w:tc>
        <w:tc>
          <w:tcPr>
            <w:tcW w:w="0" w:type="auto"/>
            <w:noWrap/>
            <w:vAlign w:val="center"/>
          </w:tcPr>
          <w:p w14:paraId="1FE43E19" w14:textId="77777777" w:rsidR="002B49FB" w:rsidRPr="00FD258B"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Uncertainty</w:t>
            </w:r>
          </w:p>
        </w:tc>
        <w:tc>
          <w:tcPr>
            <w:tcW w:w="0" w:type="auto"/>
            <w:vAlign w:val="center"/>
          </w:tcPr>
          <w:p w14:paraId="122F1868" w14:textId="77777777" w:rsidR="002B49FB" w:rsidRPr="00FD258B"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Nominal</w:t>
            </w:r>
          </w:p>
        </w:tc>
        <w:tc>
          <w:tcPr>
            <w:tcW w:w="0" w:type="auto"/>
            <w:vAlign w:val="center"/>
          </w:tcPr>
          <w:p w14:paraId="33C800A9" w14:textId="77777777" w:rsidR="002B49FB" w:rsidRPr="00FD258B"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rPr>
                <w:b/>
                <w:bCs/>
              </w:rPr>
            </w:pPr>
            <w:r w:rsidRPr="00FD258B">
              <w:rPr>
                <w:b/>
                <w:bCs/>
              </w:rPr>
              <w:t>Uncertainty</w:t>
            </w:r>
          </w:p>
        </w:tc>
      </w:tr>
      <w:tr w:rsidR="002B49FB" w:rsidRPr="00503178" w14:paraId="2C3E3E70"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ED5F491" w14:textId="01638D94" w:rsidR="002B49FB" w:rsidRPr="00503178" w:rsidRDefault="00AD26E4" w:rsidP="002B49FB">
            <w:pPr>
              <w:pStyle w:val="BodyText"/>
              <w:ind w:firstLine="0"/>
              <w:jc w:val="left"/>
            </w:pPr>
            <w:r>
              <w:t>k</w:t>
            </w:r>
            <w:r w:rsidRPr="00AD26E4">
              <w:rPr>
                <w:vertAlign w:val="subscript"/>
              </w:rPr>
              <w:t>eff</w:t>
            </w:r>
          </w:p>
        </w:tc>
        <w:tc>
          <w:tcPr>
            <w:tcW w:w="0" w:type="auto"/>
            <w:noWrap/>
            <w:vAlign w:val="bottom"/>
          </w:tcPr>
          <w:p w14:paraId="21145045" w14:textId="2C292DE3" w:rsidR="002B49FB" w:rsidRPr="00503178" w:rsidRDefault="002B49FB" w:rsidP="003A2E69">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1.0871</w:t>
            </w:r>
          </w:p>
        </w:tc>
        <w:tc>
          <w:tcPr>
            <w:tcW w:w="0" w:type="auto"/>
            <w:noWrap/>
            <w:vAlign w:val="bottom"/>
          </w:tcPr>
          <w:p w14:paraId="235828A1" w14:textId="5F776338" w:rsidR="002B49FB" w:rsidRPr="00503178" w:rsidRDefault="002B49FB" w:rsidP="003A2E69">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1.44%</w:t>
            </w:r>
          </w:p>
        </w:tc>
        <w:tc>
          <w:tcPr>
            <w:tcW w:w="0" w:type="auto"/>
            <w:vAlign w:val="bottom"/>
          </w:tcPr>
          <w:p w14:paraId="081B7FDC" w14:textId="5DB3679B" w:rsidR="002B49FB" w:rsidRPr="00503178" w:rsidRDefault="002B49FB" w:rsidP="003A2E69">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1.0768</w:t>
            </w:r>
          </w:p>
        </w:tc>
        <w:tc>
          <w:tcPr>
            <w:tcW w:w="0" w:type="auto"/>
            <w:vAlign w:val="bottom"/>
          </w:tcPr>
          <w:p w14:paraId="2204C675" w14:textId="2350718F" w:rsidR="002B49FB" w:rsidRPr="00503178" w:rsidRDefault="002B49FB" w:rsidP="003A2E69">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1.47%</w:t>
            </w:r>
          </w:p>
        </w:tc>
      </w:tr>
      <w:tr w:rsidR="006774CD" w:rsidRPr="00503178" w14:paraId="1B219C55"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AEE108C" w14:textId="615E4C1F" w:rsidR="006774CD" w:rsidRPr="00503178" w:rsidRDefault="006774CD" w:rsidP="006774CD">
            <w:pPr>
              <w:pStyle w:val="BodyText"/>
              <w:ind w:firstLine="0"/>
              <w:jc w:val="left"/>
            </w:pPr>
            <w:r w:rsidRPr="00B93110">
              <w:rPr>
                <w:rFonts w:ascii="Symbol" w:hAnsi="Symbol"/>
              </w:rPr>
              <w:t>S</w:t>
            </w:r>
            <w:r w:rsidRPr="00B93110">
              <w:rPr>
                <w:vertAlign w:val="subscript"/>
              </w:rPr>
              <w:t>tot</w:t>
            </w:r>
            <w:r w:rsidRPr="00035970">
              <w:t>, 1</w:t>
            </w:r>
          </w:p>
        </w:tc>
        <w:tc>
          <w:tcPr>
            <w:tcW w:w="0" w:type="auto"/>
            <w:noWrap/>
            <w:vAlign w:val="bottom"/>
          </w:tcPr>
          <w:p w14:paraId="49FDBE19" w14:textId="42D22F5D"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1.46E-01</w:t>
            </w:r>
          </w:p>
        </w:tc>
        <w:tc>
          <w:tcPr>
            <w:tcW w:w="0" w:type="auto"/>
            <w:noWrap/>
            <w:vAlign w:val="bottom"/>
          </w:tcPr>
          <w:p w14:paraId="2672AD02" w14:textId="789AA153"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1.66%</w:t>
            </w:r>
          </w:p>
        </w:tc>
        <w:tc>
          <w:tcPr>
            <w:tcW w:w="0" w:type="auto"/>
            <w:vAlign w:val="bottom"/>
          </w:tcPr>
          <w:p w14:paraId="1863FD18" w14:textId="469A7C60"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1.53E-01</w:t>
            </w:r>
          </w:p>
        </w:tc>
        <w:tc>
          <w:tcPr>
            <w:tcW w:w="0" w:type="auto"/>
            <w:vAlign w:val="bottom"/>
          </w:tcPr>
          <w:p w14:paraId="4EF1539D" w14:textId="60213C36"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1.72%</w:t>
            </w:r>
          </w:p>
        </w:tc>
      </w:tr>
      <w:tr w:rsidR="006774CD" w:rsidRPr="00503178" w14:paraId="6F98D7B1"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772ABD" w14:textId="5211D317" w:rsidR="006774CD" w:rsidRPr="00503178" w:rsidRDefault="006774CD" w:rsidP="006774CD">
            <w:pPr>
              <w:pStyle w:val="BodyText"/>
              <w:ind w:firstLine="0"/>
              <w:jc w:val="left"/>
            </w:pPr>
            <w:r w:rsidRPr="00D55307">
              <w:rPr>
                <w:rFonts w:ascii="Symbol" w:hAnsi="Symbol"/>
              </w:rPr>
              <w:t>S</w:t>
            </w:r>
            <w:r w:rsidRPr="00D55307">
              <w:rPr>
                <w:vertAlign w:val="subscript"/>
              </w:rPr>
              <w:t>tot</w:t>
            </w:r>
            <w:r w:rsidRPr="00D55307">
              <w:t xml:space="preserve">, </w:t>
            </w:r>
            <w:r>
              <w:t>2</w:t>
            </w:r>
          </w:p>
        </w:tc>
        <w:tc>
          <w:tcPr>
            <w:tcW w:w="0" w:type="auto"/>
            <w:noWrap/>
            <w:vAlign w:val="bottom"/>
          </w:tcPr>
          <w:p w14:paraId="3DAF87E6" w14:textId="146FD639"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2.02E-01</w:t>
            </w:r>
          </w:p>
        </w:tc>
        <w:tc>
          <w:tcPr>
            <w:tcW w:w="0" w:type="auto"/>
            <w:noWrap/>
            <w:vAlign w:val="bottom"/>
          </w:tcPr>
          <w:p w14:paraId="11FD6A7C" w14:textId="5F2BE350"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1.98%</w:t>
            </w:r>
          </w:p>
        </w:tc>
        <w:tc>
          <w:tcPr>
            <w:tcW w:w="0" w:type="auto"/>
            <w:vAlign w:val="bottom"/>
          </w:tcPr>
          <w:p w14:paraId="41EAC80D" w14:textId="2FA24B43"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2.12E-01</w:t>
            </w:r>
          </w:p>
        </w:tc>
        <w:tc>
          <w:tcPr>
            <w:tcW w:w="0" w:type="auto"/>
            <w:vAlign w:val="bottom"/>
          </w:tcPr>
          <w:p w14:paraId="67096C9E" w14:textId="760FC578"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1.92%</w:t>
            </w:r>
          </w:p>
        </w:tc>
      </w:tr>
      <w:tr w:rsidR="006774CD" w:rsidRPr="00503178" w14:paraId="02D26ABE"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78986" w14:textId="6027A12E" w:rsidR="006774CD" w:rsidRPr="00503178" w:rsidRDefault="006774CD" w:rsidP="006774CD">
            <w:pPr>
              <w:pStyle w:val="BodyText"/>
              <w:ind w:firstLine="0"/>
              <w:jc w:val="left"/>
            </w:pPr>
            <w:r w:rsidRPr="00D55307">
              <w:rPr>
                <w:rFonts w:ascii="Symbol" w:hAnsi="Symbol"/>
              </w:rPr>
              <w:t>S</w:t>
            </w:r>
            <w:r w:rsidRPr="00D55307">
              <w:rPr>
                <w:vertAlign w:val="subscript"/>
              </w:rPr>
              <w:t>tot</w:t>
            </w:r>
            <w:r w:rsidRPr="00D55307">
              <w:t xml:space="preserve">, </w:t>
            </w:r>
            <w:r>
              <w:t>3</w:t>
            </w:r>
          </w:p>
        </w:tc>
        <w:tc>
          <w:tcPr>
            <w:tcW w:w="0" w:type="auto"/>
            <w:noWrap/>
            <w:vAlign w:val="bottom"/>
          </w:tcPr>
          <w:p w14:paraId="3183CCFF" w14:textId="2179F2D2"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2.70E-01</w:t>
            </w:r>
          </w:p>
        </w:tc>
        <w:tc>
          <w:tcPr>
            <w:tcW w:w="0" w:type="auto"/>
            <w:noWrap/>
            <w:vAlign w:val="bottom"/>
          </w:tcPr>
          <w:p w14:paraId="285C1B05" w14:textId="31BC5F23"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1.85%</w:t>
            </w:r>
          </w:p>
        </w:tc>
        <w:tc>
          <w:tcPr>
            <w:tcW w:w="0" w:type="auto"/>
            <w:vAlign w:val="bottom"/>
          </w:tcPr>
          <w:p w14:paraId="7085541F" w14:textId="002E21C2"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2.85E-01</w:t>
            </w:r>
          </w:p>
        </w:tc>
        <w:tc>
          <w:tcPr>
            <w:tcW w:w="0" w:type="auto"/>
            <w:vAlign w:val="bottom"/>
          </w:tcPr>
          <w:p w14:paraId="45F92A23" w14:textId="56179556"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1.83%</w:t>
            </w:r>
          </w:p>
        </w:tc>
      </w:tr>
      <w:tr w:rsidR="006774CD" w:rsidRPr="00503178" w14:paraId="5DBD8FB9"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55AF52" w14:textId="42D4FB5B" w:rsidR="006774CD" w:rsidRPr="00503178" w:rsidRDefault="006774CD" w:rsidP="006774CD">
            <w:pPr>
              <w:pStyle w:val="BodyText"/>
              <w:ind w:firstLine="0"/>
              <w:jc w:val="left"/>
            </w:pPr>
            <w:r w:rsidRPr="00D55307">
              <w:rPr>
                <w:rFonts w:ascii="Symbol" w:hAnsi="Symbol"/>
              </w:rPr>
              <w:t>S</w:t>
            </w:r>
            <w:r w:rsidRPr="00D55307">
              <w:rPr>
                <w:vertAlign w:val="subscript"/>
              </w:rPr>
              <w:t>tot</w:t>
            </w:r>
            <w:r w:rsidRPr="00D55307">
              <w:t xml:space="preserve">, </w:t>
            </w:r>
            <w:r>
              <w:t>4</w:t>
            </w:r>
          </w:p>
        </w:tc>
        <w:tc>
          <w:tcPr>
            <w:tcW w:w="0" w:type="auto"/>
            <w:noWrap/>
            <w:vAlign w:val="bottom"/>
          </w:tcPr>
          <w:p w14:paraId="3B33D4C1" w14:textId="5E6518E9"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4.08E-01</w:t>
            </w:r>
          </w:p>
        </w:tc>
        <w:tc>
          <w:tcPr>
            <w:tcW w:w="0" w:type="auto"/>
            <w:noWrap/>
            <w:vAlign w:val="bottom"/>
          </w:tcPr>
          <w:p w14:paraId="4E75B32C" w14:textId="229A8AD9"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1.55%</w:t>
            </w:r>
          </w:p>
        </w:tc>
        <w:tc>
          <w:tcPr>
            <w:tcW w:w="0" w:type="auto"/>
            <w:vAlign w:val="bottom"/>
          </w:tcPr>
          <w:p w14:paraId="14678EA1" w14:textId="04D1CFD8"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3.75E-01</w:t>
            </w:r>
          </w:p>
        </w:tc>
        <w:tc>
          <w:tcPr>
            <w:tcW w:w="0" w:type="auto"/>
            <w:vAlign w:val="bottom"/>
          </w:tcPr>
          <w:p w14:paraId="63D782B0" w14:textId="61C8F11C"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1.45%</w:t>
            </w:r>
          </w:p>
        </w:tc>
      </w:tr>
      <w:tr w:rsidR="006774CD" w:rsidRPr="00503178" w14:paraId="5104004A"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4C3F9ABA" w14:textId="5D9BE9C7" w:rsidR="006774CD" w:rsidRPr="00503178" w:rsidRDefault="006774CD" w:rsidP="006774CD">
            <w:pPr>
              <w:pStyle w:val="BodyText"/>
              <w:ind w:firstLine="0"/>
              <w:jc w:val="left"/>
            </w:pPr>
            <w:r w:rsidRPr="00B93110">
              <w:rPr>
                <w:rFonts w:ascii="Symbol" w:hAnsi="Symbol"/>
              </w:rPr>
              <w:t>S</w:t>
            </w:r>
            <w:r>
              <w:rPr>
                <w:vertAlign w:val="subscript"/>
              </w:rPr>
              <w:t>abs</w:t>
            </w:r>
            <w:r w:rsidRPr="00D640FE">
              <w:t>, 1</w:t>
            </w:r>
          </w:p>
        </w:tc>
        <w:tc>
          <w:tcPr>
            <w:tcW w:w="0" w:type="auto"/>
            <w:noWrap/>
            <w:vAlign w:val="bottom"/>
          </w:tcPr>
          <w:p w14:paraId="3F1FA856" w14:textId="67798C71"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1.54E-03</w:t>
            </w:r>
          </w:p>
        </w:tc>
        <w:tc>
          <w:tcPr>
            <w:tcW w:w="0" w:type="auto"/>
            <w:noWrap/>
            <w:vAlign w:val="bottom"/>
          </w:tcPr>
          <w:p w14:paraId="3C89D21F" w14:textId="1DCD651A"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1.10%</w:t>
            </w:r>
          </w:p>
        </w:tc>
        <w:tc>
          <w:tcPr>
            <w:tcW w:w="0" w:type="auto"/>
            <w:vAlign w:val="bottom"/>
          </w:tcPr>
          <w:p w14:paraId="0E4EB1CD" w14:textId="001F4613"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1.89E-03</w:t>
            </w:r>
          </w:p>
        </w:tc>
        <w:tc>
          <w:tcPr>
            <w:tcW w:w="0" w:type="auto"/>
            <w:vAlign w:val="bottom"/>
          </w:tcPr>
          <w:p w14:paraId="7C07C456" w14:textId="74D6BC73"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1.05%</w:t>
            </w:r>
          </w:p>
        </w:tc>
      </w:tr>
      <w:tr w:rsidR="006774CD" w:rsidRPr="00503178" w14:paraId="6F408876"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8C0A33" w14:textId="42274467" w:rsidR="006774CD" w:rsidRPr="00503178" w:rsidRDefault="006774CD" w:rsidP="006774CD">
            <w:pPr>
              <w:pStyle w:val="BodyText"/>
              <w:ind w:firstLine="0"/>
              <w:jc w:val="left"/>
            </w:pPr>
            <w:r w:rsidRPr="008D62D0">
              <w:rPr>
                <w:rFonts w:ascii="Symbol" w:hAnsi="Symbol"/>
              </w:rPr>
              <w:t>S</w:t>
            </w:r>
            <w:r w:rsidRPr="008D62D0">
              <w:rPr>
                <w:vertAlign w:val="subscript"/>
              </w:rPr>
              <w:t>abs</w:t>
            </w:r>
            <w:r w:rsidRPr="008D62D0">
              <w:t xml:space="preserve">, </w:t>
            </w:r>
            <w:r>
              <w:t>2</w:t>
            </w:r>
          </w:p>
        </w:tc>
        <w:tc>
          <w:tcPr>
            <w:tcW w:w="0" w:type="auto"/>
            <w:noWrap/>
            <w:vAlign w:val="bottom"/>
          </w:tcPr>
          <w:p w14:paraId="14700EE9" w14:textId="3D0DB72C"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4.97E-03</w:t>
            </w:r>
          </w:p>
        </w:tc>
        <w:tc>
          <w:tcPr>
            <w:tcW w:w="0" w:type="auto"/>
            <w:noWrap/>
            <w:vAlign w:val="bottom"/>
          </w:tcPr>
          <w:p w14:paraId="29F8C5F4" w14:textId="6BAC47BF"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0.70%</w:t>
            </w:r>
          </w:p>
        </w:tc>
        <w:tc>
          <w:tcPr>
            <w:tcW w:w="0" w:type="auto"/>
            <w:vAlign w:val="bottom"/>
          </w:tcPr>
          <w:p w14:paraId="47CEFC27" w14:textId="4ACFF605"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5.72E-03</w:t>
            </w:r>
          </w:p>
        </w:tc>
        <w:tc>
          <w:tcPr>
            <w:tcW w:w="0" w:type="auto"/>
            <w:vAlign w:val="bottom"/>
          </w:tcPr>
          <w:p w14:paraId="6AAC4E30" w14:textId="6D087C97"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0.69%</w:t>
            </w:r>
          </w:p>
        </w:tc>
      </w:tr>
      <w:tr w:rsidR="006774CD" w:rsidRPr="00503178" w14:paraId="700EA054"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00ED4" w14:textId="4E787E76" w:rsidR="006774CD" w:rsidRPr="00503178" w:rsidRDefault="006774CD" w:rsidP="006774CD">
            <w:pPr>
              <w:pStyle w:val="BodyText"/>
              <w:ind w:firstLine="0"/>
              <w:jc w:val="left"/>
            </w:pPr>
            <w:r w:rsidRPr="008D62D0">
              <w:rPr>
                <w:rFonts w:ascii="Symbol" w:hAnsi="Symbol"/>
              </w:rPr>
              <w:t>S</w:t>
            </w:r>
            <w:r w:rsidRPr="008D62D0">
              <w:rPr>
                <w:vertAlign w:val="subscript"/>
              </w:rPr>
              <w:t>abs</w:t>
            </w:r>
            <w:r w:rsidRPr="008D62D0">
              <w:t xml:space="preserve">, </w:t>
            </w:r>
            <w:r>
              <w:t>3</w:t>
            </w:r>
          </w:p>
        </w:tc>
        <w:tc>
          <w:tcPr>
            <w:tcW w:w="0" w:type="auto"/>
            <w:noWrap/>
            <w:vAlign w:val="bottom"/>
          </w:tcPr>
          <w:p w14:paraId="7805AD82" w14:textId="5238F0F2"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1.30E-02</w:t>
            </w:r>
          </w:p>
        </w:tc>
        <w:tc>
          <w:tcPr>
            <w:tcW w:w="0" w:type="auto"/>
            <w:noWrap/>
            <w:vAlign w:val="bottom"/>
          </w:tcPr>
          <w:p w14:paraId="0CDE53E8" w14:textId="4B495828"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0.31%</w:t>
            </w:r>
          </w:p>
        </w:tc>
        <w:tc>
          <w:tcPr>
            <w:tcW w:w="0" w:type="auto"/>
            <w:vAlign w:val="bottom"/>
          </w:tcPr>
          <w:p w14:paraId="4845B28A" w14:textId="271DEA70"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1.48E-02</w:t>
            </w:r>
          </w:p>
        </w:tc>
        <w:tc>
          <w:tcPr>
            <w:tcW w:w="0" w:type="auto"/>
            <w:vAlign w:val="bottom"/>
          </w:tcPr>
          <w:p w14:paraId="34DF2802" w14:textId="79A08D96"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0.33%</w:t>
            </w:r>
          </w:p>
        </w:tc>
      </w:tr>
      <w:tr w:rsidR="006774CD" w:rsidRPr="00503178" w14:paraId="72529742"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299AEB" w14:textId="1371AC03" w:rsidR="006774CD" w:rsidRPr="00503178" w:rsidRDefault="006774CD" w:rsidP="006774CD">
            <w:pPr>
              <w:pStyle w:val="BodyText"/>
              <w:ind w:firstLine="0"/>
              <w:jc w:val="left"/>
            </w:pPr>
            <w:r w:rsidRPr="008D62D0">
              <w:rPr>
                <w:rFonts w:ascii="Symbol" w:hAnsi="Symbol"/>
              </w:rPr>
              <w:t>S</w:t>
            </w:r>
            <w:r w:rsidRPr="008D62D0">
              <w:rPr>
                <w:vertAlign w:val="subscript"/>
              </w:rPr>
              <w:t>abs</w:t>
            </w:r>
            <w:r w:rsidRPr="008D62D0">
              <w:t xml:space="preserve">, </w:t>
            </w:r>
            <w:r>
              <w:t>4</w:t>
            </w:r>
          </w:p>
        </w:tc>
        <w:tc>
          <w:tcPr>
            <w:tcW w:w="0" w:type="auto"/>
            <w:noWrap/>
            <w:vAlign w:val="bottom"/>
          </w:tcPr>
          <w:p w14:paraId="6329127E" w14:textId="6D804535"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3.45E-02</w:t>
            </w:r>
          </w:p>
        </w:tc>
        <w:tc>
          <w:tcPr>
            <w:tcW w:w="0" w:type="auto"/>
            <w:noWrap/>
            <w:vAlign w:val="bottom"/>
          </w:tcPr>
          <w:p w14:paraId="39B765FB" w14:textId="57C7D46A"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0.36%</w:t>
            </w:r>
          </w:p>
        </w:tc>
        <w:tc>
          <w:tcPr>
            <w:tcW w:w="0" w:type="auto"/>
            <w:vAlign w:val="bottom"/>
          </w:tcPr>
          <w:p w14:paraId="4BD031D6" w14:textId="41B79CE2"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3.70E-02</w:t>
            </w:r>
          </w:p>
        </w:tc>
        <w:tc>
          <w:tcPr>
            <w:tcW w:w="0" w:type="auto"/>
            <w:vAlign w:val="bottom"/>
          </w:tcPr>
          <w:p w14:paraId="0D14CEEA" w14:textId="1F64A084"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0.36%</w:t>
            </w:r>
          </w:p>
        </w:tc>
      </w:tr>
      <w:tr w:rsidR="006774CD" w:rsidRPr="00503178" w14:paraId="5FF96F15"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581BE47" w14:textId="74AD985E" w:rsidR="006774CD" w:rsidRPr="00503178" w:rsidRDefault="006774CD" w:rsidP="006774CD">
            <w:pPr>
              <w:pStyle w:val="BodyText"/>
              <w:ind w:firstLine="0"/>
              <w:jc w:val="left"/>
            </w:pPr>
            <w:r w:rsidRPr="00B93110">
              <w:rPr>
                <w:rFonts w:ascii="Symbol" w:hAnsi="Symbol"/>
              </w:rPr>
              <w:t>S</w:t>
            </w:r>
            <w:r>
              <w:rPr>
                <w:vertAlign w:val="subscript"/>
              </w:rPr>
              <w:t>s</w:t>
            </w:r>
            <w:r w:rsidRPr="00BD0E7B">
              <w:t>, 1</w:t>
            </w:r>
          </w:p>
        </w:tc>
        <w:tc>
          <w:tcPr>
            <w:tcW w:w="0" w:type="auto"/>
            <w:noWrap/>
            <w:vAlign w:val="bottom"/>
          </w:tcPr>
          <w:p w14:paraId="3D6D9B03" w14:textId="6CEC0587"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1.45E-01</w:t>
            </w:r>
          </w:p>
        </w:tc>
        <w:tc>
          <w:tcPr>
            <w:tcW w:w="0" w:type="auto"/>
            <w:noWrap/>
            <w:vAlign w:val="bottom"/>
          </w:tcPr>
          <w:p w14:paraId="30E0872D" w14:textId="282CD734"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1.67%</w:t>
            </w:r>
          </w:p>
        </w:tc>
        <w:tc>
          <w:tcPr>
            <w:tcW w:w="0" w:type="auto"/>
            <w:vAlign w:val="bottom"/>
          </w:tcPr>
          <w:p w14:paraId="30AE8EF5" w14:textId="3C0A6DE8"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1.45E-01</w:t>
            </w:r>
          </w:p>
        </w:tc>
        <w:tc>
          <w:tcPr>
            <w:tcW w:w="0" w:type="auto"/>
            <w:vAlign w:val="bottom"/>
          </w:tcPr>
          <w:p w14:paraId="33AF1D07" w14:textId="726EA684"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1.74%</w:t>
            </w:r>
          </w:p>
        </w:tc>
      </w:tr>
      <w:tr w:rsidR="006774CD" w:rsidRPr="00503178" w14:paraId="4291D867"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7F2754CA" w14:textId="2307EF11" w:rsidR="006774CD" w:rsidRPr="00503178" w:rsidRDefault="006774CD" w:rsidP="006774CD">
            <w:pPr>
              <w:pStyle w:val="BodyText"/>
              <w:ind w:firstLine="0"/>
              <w:jc w:val="left"/>
            </w:pPr>
            <w:r w:rsidRPr="00B93110">
              <w:rPr>
                <w:rFonts w:ascii="Symbol" w:hAnsi="Symbol"/>
              </w:rPr>
              <w:t>S</w:t>
            </w:r>
            <w:r>
              <w:rPr>
                <w:vertAlign w:val="subscript"/>
              </w:rPr>
              <w:t>s</w:t>
            </w:r>
            <w:r w:rsidRPr="00BD0E7B">
              <w:t xml:space="preserve">, </w:t>
            </w:r>
            <w:r>
              <w:t>2</w:t>
            </w:r>
          </w:p>
        </w:tc>
        <w:tc>
          <w:tcPr>
            <w:tcW w:w="0" w:type="auto"/>
            <w:noWrap/>
            <w:vAlign w:val="bottom"/>
          </w:tcPr>
          <w:p w14:paraId="22ECB342" w14:textId="359CEEE0"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1.97E-01</w:t>
            </w:r>
          </w:p>
        </w:tc>
        <w:tc>
          <w:tcPr>
            <w:tcW w:w="0" w:type="auto"/>
            <w:noWrap/>
            <w:vAlign w:val="bottom"/>
          </w:tcPr>
          <w:p w14:paraId="6DA5B7C7" w14:textId="5B48A08F"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2.03%</w:t>
            </w:r>
          </w:p>
        </w:tc>
        <w:tc>
          <w:tcPr>
            <w:tcW w:w="0" w:type="auto"/>
            <w:vAlign w:val="bottom"/>
          </w:tcPr>
          <w:p w14:paraId="09882E1B" w14:textId="77273505"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1.99E-01</w:t>
            </w:r>
          </w:p>
        </w:tc>
        <w:tc>
          <w:tcPr>
            <w:tcW w:w="0" w:type="auto"/>
            <w:vAlign w:val="bottom"/>
          </w:tcPr>
          <w:p w14:paraId="485D68FF" w14:textId="19F7097F"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1.97%</w:t>
            </w:r>
          </w:p>
        </w:tc>
      </w:tr>
      <w:tr w:rsidR="006774CD" w:rsidRPr="00503178" w14:paraId="60418C01"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7027B21E" w14:textId="64B3D46D" w:rsidR="006774CD" w:rsidRPr="00503178" w:rsidRDefault="006774CD" w:rsidP="006774CD">
            <w:pPr>
              <w:pStyle w:val="BodyText"/>
              <w:ind w:firstLine="0"/>
              <w:jc w:val="left"/>
            </w:pPr>
            <w:r w:rsidRPr="00B93110">
              <w:rPr>
                <w:rFonts w:ascii="Symbol" w:hAnsi="Symbol"/>
              </w:rPr>
              <w:t>S</w:t>
            </w:r>
            <w:r>
              <w:rPr>
                <w:vertAlign w:val="subscript"/>
              </w:rPr>
              <w:t>s</w:t>
            </w:r>
            <w:r w:rsidRPr="00BD0E7B">
              <w:t xml:space="preserve">, </w:t>
            </w:r>
            <w:r>
              <w:t>3</w:t>
            </w:r>
          </w:p>
        </w:tc>
        <w:tc>
          <w:tcPr>
            <w:tcW w:w="0" w:type="auto"/>
            <w:noWrap/>
            <w:vAlign w:val="bottom"/>
          </w:tcPr>
          <w:p w14:paraId="3DE92CC6" w14:textId="6084D154"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2.57E-01</w:t>
            </w:r>
          </w:p>
        </w:tc>
        <w:tc>
          <w:tcPr>
            <w:tcW w:w="0" w:type="auto"/>
            <w:noWrap/>
            <w:vAlign w:val="bottom"/>
          </w:tcPr>
          <w:p w14:paraId="356775C8" w14:textId="0C447069"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1.94%</w:t>
            </w:r>
          </w:p>
        </w:tc>
        <w:tc>
          <w:tcPr>
            <w:tcW w:w="0" w:type="auto"/>
            <w:vAlign w:val="bottom"/>
          </w:tcPr>
          <w:p w14:paraId="5D1E48EE" w14:textId="3629F58E"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2.56E-01</w:t>
            </w:r>
          </w:p>
        </w:tc>
        <w:tc>
          <w:tcPr>
            <w:tcW w:w="0" w:type="auto"/>
            <w:vAlign w:val="bottom"/>
          </w:tcPr>
          <w:p w14:paraId="6DE0B30B" w14:textId="35340436" w:rsidR="006774CD" w:rsidRPr="00503178" w:rsidRDefault="006774CD" w:rsidP="006774CD">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1.93%</w:t>
            </w:r>
          </w:p>
        </w:tc>
      </w:tr>
      <w:tr w:rsidR="006774CD" w:rsidRPr="00503178" w14:paraId="118CDDCE" w14:textId="77777777" w:rsidTr="00C47066">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4DA4E87D" w14:textId="4F4F5FD9" w:rsidR="006774CD" w:rsidRPr="00503178" w:rsidRDefault="006774CD" w:rsidP="006774CD">
            <w:pPr>
              <w:pStyle w:val="BodyText"/>
              <w:ind w:firstLine="0"/>
              <w:jc w:val="left"/>
            </w:pPr>
            <w:r w:rsidRPr="00B93110">
              <w:rPr>
                <w:rFonts w:ascii="Symbol" w:hAnsi="Symbol"/>
              </w:rPr>
              <w:t>S</w:t>
            </w:r>
            <w:r>
              <w:rPr>
                <w:vertAlign w:val="subscript"/>
              </w:rPr>
              <w:t>s</w:t>
            </w:r>
            <w:r w:rsidRPr="00BD0E7B">
              <w:t xml:space="preserve">, </w:t>
            </w:r>
            <w:r>
              <w:t>4</w:t>
            </w:r>
          </w:p>
        </w:tc>
        <w:tc>
          <w:tcPr>
            <w:tcW w:w="0" w:type="auto"/>
            <w:noWrap/>
            <w:vAlign w:val="bottom"/>
          </w:tcPr>
          <w:p w14:paraId="4A77F35A" w14:textId="625F6811"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3.74E-01</w:t>
            </w:r>
          </w:p>
        </w:tc>
        <w:tc>
          <w:tcPr>
            <w:tcW w:w="0" w:type="auto"/>
            <w:noWrap/>
            <w:vAlign w:val="bottom"/>
          </w:tcPr>
          <w:p w14:paraId="76BFABC5" w14:textId="3899132F"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1.69%</w:t>
            </w:r>
          </w:p>
        </w:tc>
        <w:tc>
          <w:tcPr>
            <w:tcW w:w="0" w:type="auto"/>
            <w:vAlign w:val="bottom"/>
          </w:tcPr>
          <w:p w14:paraId="322D89DF" w14:textId="02BE226E"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3.64E-01</w:t>
            </w:r>
          </w:p>
        </w:tc>
        <w:tc>
          <w:tcPr>
            <w:tcW w:w="0" w:type="auto"/>
            <w:vAlign w:val="bottom"/>
          </w:tcPr>
          <w:p w14:paraId="180EF9AB" w14:textId="27925280" w:rsidR="006774CD" w:rsidRPr="00503178" w:rsidRDefault="006774CD" w:rsidP="006774CD">
            <w:pPr>
              <w:pStyle w:val="BodyText"/>
              <w:ind w:firstLine="0"/>
              <w:jc w:val="center"/>
              <w:cnfStyle w:val="000000000000" w:firstRow="0" w:lastRow="0" w:firstColumn="0" w:lastColumn="0" w:oddVBand="0" w:evenVBand="0" w:oddHBand="0" w:evenHBand="0" w:firstRowFirstColumn="0" w:firstRowLastColumn="0" w:lastRowFirstColumn="0" w:lastRowLastColumn="0"/>
            </w:pPr>
            <w:r w:rsidRPr="00503178">
              <w:rPr>
                <w:color w:val="000000"/>
              </w:rPr>
              <w:t>1.61%</w:t>
            </w:r>
          </w:p>
        </w:tc>
      </w:tr>
      <w:tr w:rsidR="002B49FB" w:rsidRPr="00503178" w14:paraId="78FC5AE5" w14:textId="77777777" w:rsidTr="00C470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425E2A7" w14:textId="6B75E8E1" w:rsidR="002B49FB" w:rsidRPr="00503178" w:rsidRDefault="00B2744B" w:rsidP="002B49FB">
            <w:pPr>
              <w:pStyle w:val="BodyText"/>
              <w:ind w:firstLine="0"/>
              <w:jc w:val="left"/>
            </w:pPr>
            <w:r w:rsidRPr="00A21BB4">
              <w:rPr>
                <w:rFonts w:ascii="Symbol" w:hAnsi="Symbol"/>
              </w:rPr>
              <w:t>D</w:t>
            </w:r>
            <w:r w:rsidR="003F325B" w:rsidRPr="003F325B">
              <w:rPr>
                <w:rFonts w:ascii="Symbol" w:hAnsi="Symbol"/>
              </w:rPr>
              <w:t>r</w:t>
            </w:r>
            <w:r w:rsidR="003F325B" w:rsidRPr="003F325B">
              <w:rPr>
                <w:vertAlign w:val="subscript"/>
              </w:rPr>
              <w:t>CR</w:t>
            </w:r>
          </w:p>
        </w:tc>
        <w:tc>
          <w:tcPr>
            <w:tcW w:w="0" w:type="auto"/>
            <w:noWrap/>
            <w:vAlign w:val="bottom"/>
          </w:tcPr>
          <w:p w14:paraId="1C751110" w14:textId="28D4FF33" w:rsidR="002B49FB" w:rsidRPr="00503178"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12</w:t>
            </w:r>
            <w:r w:rsidR="00427818">
              <w:rPr>
                <w:color w:val="000000"/>
              </w:rPr>
              <w:t>,</w:t>
            </w:r>
            <w:r w:rsidRPr="00503178">
              <w:rPr>
                <w:color w:val="000000"/>
              </w:rPr>
              <w:t>429</w:t>
            </w:r>
          </w:p>
        </w:tc>
        <w:tc>
          <w:tcPr>
            <w:tcW w:w="0" w:type="auto"/>
            <w:noWrap/>
            <w:vAlign w:val="bottom"/>
          </w:tcPr>
          <w:p w14:paraId="521C57F8" w14:textId="21199CD0" w:rsidR="002B49FB" w:rsidRPr="00503178" w:rsidRDefault="006774CD"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pPr>
            <w:r>
              <w:t>2.57%</w:t>
            </w:r>
          </w:p>
        </w:tc>
        <w:tc>
          <w:tcPr>
            <w:tcW w:w="0" w:type="auto"/>
            <w:vAlign w:val="bottom"/>
          </w:tcPr>
          <w:p w14:paraId="2467B809" w14:textId="0E4F1AED" w:rsidR="002B49FB" w:rsidRPr="00503178"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4</w:t>
            </w:r>
            <w:r w:rsidR="00427818">
              <w:rPr>
                <w:color w:val="000000"/>
              </w:rPr>
              <w:t>,</w:t>
            </w:r>
            <w:r w:rsidRPr="00503178">
              <w:rPr>
                <w:color w:val="000000"/>
              </w:rPr>
              <w:t>995</w:t>
            </w:r>
          </w:p>
        </w:tc>
        <w:tc>
          <w:tcPr>
            <w:tcW w:w="0" w:type="auto"/>
            <w:vAlign w:val="bottom"/>
          </w:tcPr>
          <w:p w14:paraId="3A0BFD2C" w14:textId="3373CBE5" w:rsidR="002B49FB" w:rsidRPr="00503178" w:rsidRDefault="002B49FB" w:rsidP="003A2E69">
            <w:pPr>
              <w:pStyle w:val="BodyText"/>
              <w:ind w:firstLine="0"/>
              <w:jc w:val="center"/>
              <w:cnfStyle w:val="000000100000" w:firstRow="0" w:lastRow="0" w:firstColumn="0" w:lastColumn="0" w:oddVBand="0" w:evenVBand="0" w:oddHBand="1" w:evenHBand="0" w:firstRowFirstColumn="0" w:firstRowLastColumn="0" w:lastRowFirstColumn="0" w:lastRowLastColumn="0"/>
            </w:pPr>
            <w:r w:rsidRPr="00503178">
              <w:rPr>
                <w:color w:val="000000"/>
              </w:rPr>
              <w:t>2.40%</w:t>
            </w:r>
          </w:p>
        </w:tc>
      </w:tr>
    </w:tbl>
    <w:p w14:paraId="771E5D27" w14:textId="0661DE1D" w:rsidR="00E20E70" w:rsidRDefault="00F13FEA" w:rsidP="00537496">
      <w:pPr>
        <w:pStyle w:val="Heading2"/>
      </w:pPr>
      <w:r>
        <w:t xml:space="preserve">Summary and </w:t>
      </w:r>
      <w:r w:rsidR="00747C2D">
        <w:t xml:space="preserve">PRELIMINARY </w:t>
      </w:r>
      <w:r>
        <w:t>Conclusions</w:t>
      </w:r>
    </w:p>
    <w:p w14:paraId="0543E969" w14:textId="4592A0A3" w:rsidR="00CE2259" w:rsidRDefault="00CE2259" w:rsidP="00CE2259">
      <w:pPr>
        <w:pStyle w:val="BodyText"/>
      </w:pPr>
      <w:r>
        <w:lastRenderedPageBreak/>
        <w:t>A</w:t>
      </w:r>
      <w:r w:rsidR="00FB113B">
        <w:t xml:space="preserve">n overview of the objective and </w:t>
      </w:r>
      <w:r w:rsidR="00A00649">
        <w:t xml:space="preserve">the </w:t>
      </w:r>
      <w:r>
        <w:t>specifications</w:t>
      </w:r>
      <w:r w:rsidR="00FB113B">
        <w:t xml:space="preserve"> </w:t>
      </w:r>
      <w:r w:rsidR="00A00649">
        <w:t xml:space="preserve">from </w:t>
      </w:r>
      <w:r w:rsidR="00FB113B">
        <w:t xml:space="preserve">the sub-exercises </w:t>
      </w:r>
      <w:r w:rsidR="00A00649">
        <w:t xml:space="preserve">for </w:t>
      </w:r>
      <w:r w:rsidR="00FB113B">
        <w:t>the standalone neutronics phase of the UAM SFR benchmark</w:t>
      </w:r>
      <w:r>
        <w:t xml:space="preserve"> </w:t>
      </w:r>
      <w:r w:rsidR="00EB2049">
        <w:t>we</w:t>
      </w:r>
      <w:r w:rsidR="00A00649">
        <w:t xml:space="preserve">re </w:t>
      </w:r>
      <w:r>
        <w:t>provided</w:t>
      </w:r>
      <w:r w:rsidR="00FB113B">
        <w:t xml:space="preserve">. </w:t>
      </w:r>
      <w:r>
        <w:t xml:space="preserve">The sub-exercises include fuel pin and assembly level </w:t>
      </w:r>
      <w:r w:rsidR="00A00649">
        <w:t xml:space="preserve">exercises </w:t>
      </w:r>
      <w:r>
        <w:t xml:space="preserve">to allow </w:t>
      </w:r>
      <w:r w:rsidR="00A00649">
        <w:t xml:space="preserve">for </w:t>
      </w:r>
      <w:r>
        <w:t xml:space="preserve">a </w:t>
      </w:r>
      <w:r w:rsidR="00A00649">
        <w:t xml:space="preserve">straightforward </w:t>
      </w:r>
      <w:r>
        <w:t xml:space="preserve">identification of the drivers </w:t>
      </w:r>
      <w:r w:rsidR="00A00649">
        <w:t xml:space="preserve">causing the </w:t>
      </w:r>
      <w:r>
        <w:t>differences between results obtained using different methods, models, and applied nuclear data libraries. The analysis cover</w:t>
      </w:r>
      <w:r w:rsidR="00EB2049">
        <w:t>s</w:t>
      </w:r>
      <w:r>
        <w:t xml:space="preserve"> nominal values and corresponding uncertainties of the eigenvalue, reactivity </w:t>
      </w:r>
      <w:r w:rsidR="00266337">
        <w:t>coefficients</w:t>
      </w:r>
      <w:r>
        <w:t xml:space="preserve">, and collapsed cross sections on the different levels of </w:t>
      </w:r>
      <w:r w:rsidR="00266337">
        <w:t>modelling</w:t>
      </w:r>
      <w:r>
        <w:t>.</w:t>
      </w:r>
    </w:p>
    <w:p w14:paraId="3B6E2A3C" w14:textId="29B21DDF" w:rsidR="00A9572E" w:rsidRDefault="00427818" w:rsidP="00A9572E">
      <w:pPr>
        <w:pStyle w:val="BodyText"/>
      </w:pPr>
      <w:r>
        <w:t>Based on the</w:t>
      </w:r>
      <w:r w:rsidR="00CE2259">
        <w:t xml:space="preserve"> 18 contributions to these sub-exercises from 9 international institutions, the results </w:t>
      </w:r>
      <w:r w:rsidR="00EB2049">
        <w:t>we</w:t>
      </w:r>
      <w:r w:rsidR="00A00649">
        <w:t xml:space="preserve">re </w:t>
      </w:r>
      <w:r w:rsidR="00CE2259">
        <w:t>discussed</w:t>
      </w:r>
      <w:r w:rsidR="00A00649">
        <w:t>,</w:t>
      </w:r>
      <w:r w:rsidR="00CE2259">
        <w:t xml:space="preserve"> and preliminary conclusions </w:t>
      </w:r>
      <w:r w:rsidR="00EB2049">
        <w:t>we</w:t>
      </w:r>
      <w:r w:rsidR="00A00649">
        <w:t xml:space="preserve">re </w:t>
      </w:r>
      <w:r w:rsidR="00CE2259">
        <w:t>drawn. G</w:t>
      </w:r>
      <w:r w:rsidR="00B31CAC">
        <w:t xml:space="preserve">ood agreement </w:t>
      </w:r>
      <w:r w:rsidR="00CE2259">
        <w:t xml:space="preserve">was found </w:t>
      </w:r>
      <w:r w:rsidR="00B31CAC">
        <w:t>in the calculated nominal results for calculations based on the same nuclear data library. A similar conclusion was drawn for the comparison of submitted uncertainties: differences in the applied covariance data dominate the cause of differences between results obtained using different methods for the neutron transport calculation and uncertainty quantification.</w:t>
      </w:r>
      <w:r w:rsidR="00202586">
        <w:t xml:space="preserve"> </w:t>
      </w:r>
      <w:r w:rsidR="00A00649">
        <w:t xml:space="preserve">In particular, </w:t>
      </w:r>
      <w:r w:rsidR="00A9572E">
        <w:t xml:space="preserve">the uncertainties in </w:t>
      </w:r>
      <w:r w:rsidR="00A9572E" w:rsidRPr="0054618B">
        <w:rPr>
          <w:vertAlign w:val="superscript"/>
        </w:rPr>
        <w:t>238</w:t>
      </w:r>
      <w:r w:rsidR="00A9572E">
        <w:t xml:space="preserve">U inelastic scattering were driving the uncertainties of many of the investigated output quantities. Other relevant reactions were </w:t>
      </w:r>
      <w:r w:rsidR="00A9572E" w:rsidRPr="0054618B">
        <w:rPr>
          <w:vertAlign w:val="superscript"/>
        </w:rPr>
        <w:t>239</w:t>
      </w:r>
      <w:r w:rsidR="00A9572E">
        <w:t xml:space="preserve">Pu fission and </w:t>
      </w:r>
      <w:r w:rsidR="00A00649">
        <w:t xml:space="preserve">the </w:t>
      </w:r>
      <w:r w:rsidR="00A9572E">
        <w:t xml:space="preserve">scattering reactions of </w:t>
      </w:r>
      <w:r w:rsidR="00A9572E" w:rsidRPr="0054618B">
        <w:rPr>
          <w:vertAlign w:val="superscript"/>
        </w:rPr>
        <w:t>56</w:t>
      </w:r>
      <w:r w:rsidR="00A9572E">
        <w:t xml:space="preserve">Fe in the structure and </w:t>
      </w:r>
      <w:r w:rsidR="00A9572E" w:rsidRPr="0054618B">
        <w:rPr>
          <w:vertAlign w:val="superscript"/>
        </w:rPr>
        <w:t>23</w:t>
      </w:r>
      <w:r w:rsidR="00A9572E">
        <w:t>Na in the coolant, originating in the combination of a significant sensitivity of the output quantities and a significant uncertainty of these reactions.</w:t>
      </w:r>
    </w:p>
    <w:p w14:paraId="6C0049BF" w14:textId="25296422" w:rsidR="00B31CAC" w:rsidRDefault="00A00649" w:rsidP="00CE2259">
      <w:pPr>
        <w:pStyle w:val="BodyText"/>
      </w:pPr>
      <w:r>
        <w:t>Particular d</w:t>
      </w:r>
      <w:r w:rsidR="00202586">
        <w:t xml:space="preserve">ifferences </w:t>
      </w:r>
      <w:r w:rsidR="00A9572E">
        <w:t xml:space="preserve">between results </w:t>
      </w:r>
      <w:r w:rsidR="00202586">
        <w:t xml:space="preserve">were </w:t>
      </w:r>
      <w:r w:rsidR="00A9572E">
        <w:t>observed</w:t>
      </w:r>
      <w:r w:rsidR="00202586">
        <w:t xml:space="preserve"> when using the COMAC or ENDF/B-VIII.0 covariance library compared to COMMARA and ENDF/B-VII.1</w:t>
      </w:r>
      <w:r>
        <w:t xml:space="preserve"> libraries</w:t>
      </w:r>
      <w:r w:rsidR="00202586">
        <w:t xml:space="preserve">. </w:t>
      </w:r>
      <w:r>
        <w:t>T</w:t>
      </w:r>
      <w:r w:rsidR="00202586">
        <w:t xml:space="preserve">he uncertainties were in good agreement in many cases, </w:t>
      </w:r>
      <w:r>
        <w:t xml:space="preserve">but </w:t>
      </w:r>
      <w:r w:rsidR="00202586">
        <w:t xml:space="preserve">the ranking of the top contributors to the uncertainties showed </w:t>
      </w:r>
      <w:r>
        <w:t xml:space="preserve">significant </w:t>
      </w:r>
      <w:r w:rsidR="00202586">
        <w:t>differences</w:t>
      </w:r>
      <w:r w:rsidR="00F65BB5">
        <w:t xml:space="preserve"> </w:t>
      </w:r>
      <w:r>
        <w:t xml:space="preserve">in </w:t>
      </w:r>
      <w:r w:rsidR="00F65BB5">
        <w:t>some cases</w:t>
      </w:r>
      <w:r w:rsidR="00202586">
        <w:t>. A more in-depth study with respect to the approach for the calculation of top contributors</w:t>
      </w:r>
      <w:r>
        <w:t>,</w:t>
      </w:r>
      <w:r w:rsidR="00202586">
        <w:t xml:space="preserve"> as well as uncertainty comparisons between the library</w:t>
      </w:r>
      <w:r>
        <w:t>,</w:t>
      </w:r>
      <w:r w:rsidR="00202586">
        <w:t xml:space="preserve"> </w:t>
      </w:r>
      <w:r>
        <w:t xml:space="preserve">are </w:t>
      </w:r>
      <w:r w:rsidR="00202586">
        <w:t xml:space="preserve">needed to improve </w:t>
      </w:r>
      <w:r w:rsidR="00266337">
        <w:t xml:space="preserve">the </w:t>
      </w:r>
      <w:r w:rsidR="00202586">
        <w:t xml:space="preserve">understanding </w:t>
      </w:r>
      <w:r w:rsidR="00266337">
        <w:t xml:space="preserve">of </w:t>
      </w:r>
      <w:r w:rsidR="00202586">
        <w:t>these differences.</w:t>
      </w:r>
    </w:p>
    <w:p w14:paraId="771E5D61" w14:textId="1BF1DA75" w:rsidR="00285755" w:rsidRDefault="00285755" w:rsidP="00537496">
      <w:pPr>
        <w:pStyle w:val="Otherunnumberedheadings"/>
      </w:pPr>
      <w:r w:rsidRPr="00285755">
        <w:t>ACKNOWLEDGMENTS</w:t>
      </w:r>
    </w:p>
    <w:p w14:paraId="771E5D62" w14:textId="3FF33ACD" w:rsidR="00D26ADA" w:rsidRDefault="00FC4B3F" w:rsidP="00537496">
      <w:pPr>
        <w:pStyle w:val="BodyText"/>
      </w:pPr>
      <w:r w:rsidRPr="00FC4B3F">
        <w:t>Th</w:t>
      </w:r>
      <w:r w:rsidR="00A00649">
        <w:t>e</w:t>
      </w:r>
      <w:r w:rsidRPr="00FC4B3F">
        <w:t xml:space="preserve"> </w:t>
      </w:r>
      <w:r w:rsidR="00A00649">
        <w:t>Oak Ridge National Laboratory (</w:t>
      </w:r>
      <w:r>
        <w:t>ORNL</w:t>
      </w:r>
      <w:r w:rsidR="00A00649">
        <w:t>)</w:t>
      </w:r>
      <w:r>
        <w:t xml:space="preserve"> </w:t>
      </w:r>
      <w:r w:rsidR="00A00649">
        <w:t xml:space="preserve">portion </w:t>
      </w:r>
      <w:r>
        <w:t xml:space="preserve">of this </w:t>
      </w:r>
      <w:r w:rsidRPr="00FC4B3F">
        <w:t>work was sponsored by the US Nuclear Regulatory Commission</w:t>
      </w:r>
      <w:r>
        <w:t>.</w:t>
      </w:r>
      <w:r w:rsidR="00CB7C19">
        <w:t xml:space="preserve"> </w:t>
      </w:r>
      <w:r w:rsidR="00CB7C19" w:rsidRPr="00CB7C19">
        <w:t xml:space="preserve">The GRS contribution </w:t>
      </w:r>
      <w:r w:rsidR="005B7470">
        <w:t>wa</w:t>
      </w:r>
      <w:r w:rsidR="00CB7C19" w:rsidRPr="00CB7C19">
        <w:t>s supported by the German Federal Ministry for Economic Affairs and Energy.</w:t>
      </w:r>
      <w:r w:rsidR="00D73F4B">
        <w:t xml:space="preserve"> </w:t>
      </w:r>
      <w:r w:rsidR="00D73F4B" w:rsidRPr="00CB7C19">
        <w:t>Argonne National Laboratory</w:t>
      </w:r>
      <w:r w:rsidR="00A00649">
        <w:t>’</w:t>
      </w:r>
      <w:r w:rsidR="00D73F4B" w:rsidRPr="00CB7C19">
        <w:t xml:space="preserve">s work was supported by </w:t>
      </w:r>
      <w:r w:rsidR="00A00649">
        <w:t xml:space="preserve">the </w:t>
      </w:r>
      <w:r w:rsidR="00D73F4B" w:rsidRPr="00CB7C19">
        <w:t>US Department of Energy (DOE) under Contract number DE-AC02-06CH11357.</w:t>
      </w:r>
    </w:p>
    <w:p w14:paraId="771E5D63" w14:textId="77777777" w:rsidR="00D26ADA" w:rsidRPr="00285755" w:rsidRDefault="00D26ADA" w:rsidP="00537496">
      <w:pPr>
        <w:pStyle w:val="Otherunnumberedheadings"/>
      </w:pPr>
      <w:r>
        <w:t>References</w:t>
      </w:r>
    </w:p>
    <w:p w14:paraId="57D81A9B" w14:textId="77777777" w:rsidR="00B87E37" w:rsidRPr="00A8393E" w:rsidRDefault="00B87E37" w:rsidP="00B87E37">
      <w:pPr>
        <w:pStyle w:val="Referencelist"/>
        <w:rPr>
          <w:sz w:val="20"/>
          <w:szCs w:val="20"/>
        </w:rPr>
      </w:pPr>
      <w:bookmarkStart w:id="0" w:name="_Ref54173461"/>
      <w:bookmarkStart w:id="1" w:name="_Ref58595218"/>
      <w:bookmarkStart w:id="2" w:name="_Ref46222746"/>
      <w:bookmarkStart w:id="3" w:name="_Ref46222738"/>
      <w:r w:rsidRPr="00A8393E">
        <w:rPr>
          <w:sz w:val="20"/>
          <w:szCs w:val="20"/>
        </w:rPr>
        <w:t xml:space="preserve">L. Buiron et al., </w:t>
      </w:r>
      <w:r w:rsidRPr="002A5341">
        <w:rPr>
          <w:i/>
          <w:iCs/>
          <w:sz w:val="20"/>
          <w:szCs w:val="20"/>
        </w:rPr>
        <w:t>Benchmark for Uncertainty Analysis in Modelling (UAM) for Design, Operation and Safety Analysis of SFRs, Core Definitions, Version 1.6. OECD/NEA</w:t>
      </w:r>
      <w:r w:rsidRPr="00A8393E">
        <w:rPr>
          <w:sz w:val="20"/>
          <w:szCs w:val="20"/>
        </w:rPr>
        <w:t xml:space="preserve"> (2019).</w:t>
      </w:r>
      <w:bookmarkEnd w:id="0"/>
      <w:r w:rsidRPr="00A8393E">
        <w:rPr>
          <w:sz w:val="20"/>
          <w:szCs w:val="20"/>
        </w:rPr>
        <w:t xml:space="preserve"> Available to benchmark participants.</w:t>
      </w:r>
      <w:bookmarkEnd w:id="1"/>
    </w:p>
    <w:p w14:paraId="3F2BED23" w14:textId="77777777" w:rsidR="00B87E37" w:rsidRPr="00A8393E" w:rsidRDefault="00B87E37" w:rsidP="00B87E37">
      <w:pPr>
        <w:pStyle w:val="Referencelist"/>
        <w:rPr>
          <w:sz w:val="20"/>
          <w:szCs w:val="20"/>
        </w:rPr>
      </w:pPr>
      <w:bookmarkStart w:id="4" w:name="_Ref54173454"/>
      <w:bookmarkStart w:id="5" w:name="_Ref58594744"/>
      <w:bookmarkStart w:id="6" w:name="_Ref46224337"/>
      <w:r w:rsidRPr="00A8393E">
        <w:rPr>
          <w:sz w:val="20"/>
          <w:szCs w:val="20"/>
        </w:rPr>
        <w:t xml:space="preserve">K. Ivanov et al., </w:t>
      </w:r>
      <w:r w:rsidRPr="002A5341">
        <w:rPr>
          <w:i/>
          <w:iCs/>
          <w:sz w:val="20"/>
          <w:szCs w:val="20"/>
        </w:rPr>
        <w:t>Benchmark for Uncertainty Analysis in Modelling (UAM) for Design, Operation and Safety Analysis of LWRs, Volume I: Specification and Support Data for the Neutronics Cases (Phase I).</w:t>
      </w:r>
      <w:r w:rsidRPr="00A8393E">
        <w:rPr>
          <w:sz w:val="20"/>
          <w:szCs w:val="20"/>
        </w:rPr>
        <w:t xml:space="preserve"> NEA/NSC/DOC(2013)7 (2016).</w:t>
      </w:r>
      <w:bookmarkEnd w:id="4"/>
      <w:r w:rsidRPr="00A8393E">
        <w:rPr>
          <w:sz w:val="20"/>
          <w:szCs w:val="20"/>
        </w:rPr>
        <w:t xml:space="preserve"> Available to benchmark participants.</w:t>
      </w:r>
      <w:bookmarkEnd w:id="5"/>
    </w:p>
    <w:p w14:paraId="46612684" w14:textId="3952991F" w:rsidR="00C55288" w:rsidRDefault="00C55288" w:rsidP="00C55288">
      <w:pPr>
        <w:pStyle w:val="Referencelist"/>
        <w:rPr>
          <w:sz w:val="20"/>
          <w:szCs w:val="20"/>
        </w:rPr>
      </w:pPr>
      <w:bookmarkStart w:id="7" w:name="_Ref64302780"/>
      <w:bookmarkEnd w:id="6"/>
      <w:r w:rsidRPr="00A8393E">
        <w:rPr>
          <w:sz w:val="20"/>
          <w:szCs w:val="20"/>
        </w:rPr>
        <w:t xml:space="preserve">M. Chadwick et al., “ENDF/B-VII.1 Nuclear Data for Science and Technology: Cross Sections, Covariances, Fission Product Yields and Decay Data,” </w:t>
      </w:r>
      <w:r w:rsidRPr="00A8393E">
        <w:rPr>
          <w:i/>
          <w:iCs/>
          <w:sz w:val="20"/>
          <w:szCs w:val="20"/>
        </w:rPr>
        <w:t>Nucl. Data Sheets</w:t>
      </w:r>
      <w:r w:rsidR="00387880">
        <w:rPr>
          <w:i/>
          <w:iCs/>
          <w:sz w:val="20"/>
          <w:szCs w:val="20"/>
        </w:rPr>
        <w:t>,</w:t>
      </w:r>
      <w:r w:rsidRPr="00A8393E">
        <w:rPr>
          <w:sz w:val="20"/>
          <w:szCs w:val="20"/>
        </w:rPr>
        <w:t xml:space="preserve"> </w:t>
      </w:r>
      <w:r w:rsidRPr="00A8393E">
        <w:rPr>
          <w:b/>
          <w:bCs/>
          <w:sz w:val="20"/>
          <w:szCs w:val="20"/>
        </w:rPr>
        <w:t>112</w:t>
      </w:r>
      <w:r w:rsidRPr="00A8393E">
        <w:rPr>
          <w:sz w:val="20"/>
          <w:szCs w:val="20"/>
        </w:rPr>
        <w:t>(12), pp. 2887–2996 (2011).</w:t>
      </w:r>
      <w:bookmarkEnd w:id="2"/>
      <w:bookmarkEnd w:id="7"/>
    </w:p>
    <w:p w14:paraId="48321AFA" w14:textId="77777777" w:rsidR="00CD1E7A" w:rsidRPr="00A8393E" w:rsidRDefault="00CD1E7A" w:rsidP="00CD1E7A">
      <w:pPr>
        <w:pStyle w:val="Referencelist"/>
        <w:rPr>
          <w:sz w:val="20"/>
          <w:szCs w:val="20"/>
          <w:lang w:val="en-US"/>
        </w:rPr>
      </w:pPr>
      <w:bookmarkStart w:id="8" w:name="_Ref58591472"/>
      <w:r w:rsidRPr="00A8393E">
        <w:rPr>
          <w:sz w:val="20"/>
          <w:szCs w:val="20"/>
          <w:lang w:val="en-US"/>
        </w:rPr>
        <w:t>A. Koning et al</w:t>
      </w:r>
      <w:r>
        <w:rPr>
          <w:sz w:val="20"/>
          <w:szCs w:val="20"/>
          <w:lang w:val="en-US"/>
        </w:rPr>
        <w:t>.</w:t>
      </w:r>
      <w:r w:rsidRPr="00A8393E">
        <w:rPr>
          <w:sz w:val="20"/>
          <w:szCs w:val="20"/>
          <w:lang w:val="en-US"/>
        </w:rPr>
        <w:t>, “The JEFF-3.1 Nuclear Data Library,” Nuclear Energy Agency Data Bank, OECD, JEFF Report 21, NEA N° 6190 (2006).</w:t>
      </w:r>
      <w:bookmarkEnd w:id="8"/>
    </w:p>
    <w:p w14:paraId="099B9F20" w14:textId="48832BB7" w:rsidR="00CD1E7A" w:rsidRPr="00A8393E" w:rsidRDefault="00CD1E7A" w:rsidP="00CD1E7A">
      <w:pPr>
        <w:pStyle w:val="Referencelist"/>
        <w:rPr>
          <w:sz w:val="20"/>
          <w:szCs w:val="20"/>
          <w:lang w:val="en-US"/>
        </w:rPr>
      </w:pPr>
      <w:bookmarkStart w:id="9" w:name="_Ref58592570"/>
      <w:r w:rsidRPr="00A8393E">
        <w:rPr>
          <w:sz w:val="20"/>
          <w:szCs w:val="20"/>
        </w:rPr>
        <w:t>JEFF-3.2 evaluated data library</w:t>
      </w:r>
      <w:r w:rsidR="00727A83">
        <w:rPr>
          <w:sz w:val="20"/>
          <w:szCs w:val="20"/>
        </w:rPr>
        <w:t xml:space="preserve"> (2021)</w:t>
      </w:r>
      <w:r w:rsidRPr="00A8393E">
        <w:rPr>
          <w:sz w:val="20"/>
          <w:szCs w:val="20"/>
        </w:rPr>
        <w:t>. </w:t>
      </w:r>
      <w:hyperlink r:id="rId13" w:tgtFrame="_blank" w:history="1">
        <w:r w:rsidRPr="00A8393E">
          <w:rPr>
            <w:rStyle w:val="Hyperlink"/>
            <w:sz w:val="20"/>
            <w:szCs w:val="20"/>
          </w:rPr>
          <w:t>https://www.oecd-nea.org/dbforms/data/eva/evatapes/jeff_32/</w:t>
        </w:r>
      </w:hyperlink>
      <w:r w:rsidRPr="00A8393E">
        <w:rPr>
          <w:sz w:val="20"/>
          <w:szCs w:val="20"/>
        </w:rPr>
        <w:t>.</w:t>
      </w:r>
      <w:bookmarkEnd w:id="9"/>
    </w:p>
    <w:p w14:paraId="1C7672FD" w14:textId="7D2AB63A" w:rsidR="00CD1E7A" w:rsidRPr="00A8393E" w:rsidRDefault="00CD1E7A" w:rsidP="00CD1E7A">
      <w:pPr>
        <w:pStyle w:val="Referencelist"/>
        <w:rPr>
          <w:sz w:val="20"/>
          <w:szCs w:val="20"/>
          <w:lang w:val="en-US"/>
        </w:rPr>
      </w:pPr>
      <w:bookmarkStart w:id="10" w:name="_Ref58592473"/>
      <w:r w:rsidRPr="00A8393E">
        <w:rPr>
          <w:sz w:val="20"/>
          <w:szCs w:val="20"/>
          <w:lang w:val="en-US"/>
        </w:rPr>
        <w:t xml:space="preserve">A. </w:t>
      </w:r>
      <w:r w:rsidR="009C76EB">
        <w:rPr>
          <w:sz w:val="20"/>
          <w:szCs w:val="20"/>
          <w:lang w:val="en-US"/>
        </w:rPr>
        <w:t xml:space="preserve">J. M. </w:t>
      </w:r>
      <w:proofErr w:type="spellStart"/>
      <w:r w:rsidRPr="00A8393E">
        <w:rPr>
          <w:sz w:val="20"/>
          <w:szCs w:val="20"/>
        </w:rPr>
        <w:t>Plompen</w:t>
      </w:r>
      <w:proofErr w:type="spellEnd"/>
      <w:r w:rsidRPr="00A8393E">
        <w:rPr>
          <w:sz w:val="20"/>
          <w:szCs w:val="20"/>
        </w:rPr>
        <w:t xml:space="preserve"> et al.</w:t>
      </w:r>
      <w:r>
        <w:rPr>
          <w:sz w:val="20"/>
          <w:szCs w:val="20"/>
        </w:rPr>
        <w:t>,</w:t>
      </w:r>
      <w:r w:rsidRPr="00A8393E">
        <w:rPr>
          <w:sz w:val="20"/>
          <w:szCs w:val="20"/>
        </w:rPr>
        <w:t xml:space="preserve"> The joint evaluated fission and fusion nuclear data library, JEFF-3.3. EPJ</w:t>
      </w:r>
      <w:r>
        <w:rPr>
          <w:sz w:val="20"/>
          <w:szCs w:val="20"/>
        </w:rPr>
        <w:t>.</w:t>
      </w:r>
      <w:r w:rsidRPr="00A8393E">
        <w:rPr>
          <w:sz w:val="20"/>
          <w:szCs w:val="20"/>
        </w:rPr>
        <w:t xml:space="preserve"> A, 56, </w:t>
      </w:r>
      <w:r>
        <w:rPr>
          <w:sz w:val="20"/>
          <w:szCs w:val="20"/>
        </w:rPr>
        <w:t>pp. </w:t>
      </w:r>
      <w:r w:rsidRPr="00A8393E">
        <w:rPr>
          <w:sz w:val="20"/>
          <w:szCs w:val="20"/>
        </w:rPr>
        <w:t>1–108</w:t>
      </w:r>
      <w:r>
        <w:rPr>
          <w:sz w:val="20"/>
          <w:szCs w:val="20"/>
        </w:rPr>
        <w:t xml:space="preserve"> (2020)</w:t>
      </w:r>
      <w:r w:rsidRPr="00A8393E">
        <w:rPr>
          <w:sz w:val="20"/>
          <w:szCs w:val="20"/>
        </w:rPr>
        <w:t>.</w:t>
      </w:r>
      <w:bookmarkEnd w:id="10"/>
      <w:r w:rsidRPr="00A8393E">
        <w:rPr>
          <w:sz w:val="20"/>
          <w:szCs w:val="20"/>
        </w:rPr>
        <w:t xml:space="preserve"> </w:t>
      </w:r>
    </w:p>
    <w:p w14:paraId="58B9D55A" w14:textId="2F5C315B" w:rsidR="00CD1E7A" w:rsidRPr="00A8393E" w:rsidRDefault="00CD1E7A" w:rsidP="00CD1E7A">
      <w:pPr>
        <w:pStyle w:val="Referencelist"/>
        <w:rPr>
          <w:sz w:val="20"/>
          <w:szCs w:val="20"/>
          <w:lang w:val="en-US"/>
        </w:rPr>
      </w:pPr>
      <w:bookmarkStart w:id="11" w:name="_Ref58592328"/>
      <w:r w:rsidRPr="00EB2049">
        <w:rPr>
          <w:sz w:val="20"/>
          <w:szCs w:val="20"/>
          <w:lang w:val="en-US"/>
        </w:rPr>
        <w:t>M. B. Chadwick, et al.</w:t>
      </w:r>
      <w:r>
        <w:rPr>
          <w:sz w:val="20"/>
          <w:szCs w:val="20"/>
        </w:rPr>
        <w:t>,</w:t>
      </w:r>
      <w:r w:rsidRPr="00A8393E">
        <w:rPr>
          <w:sz w:val="20"/>
          <w:szCs w:val="20"/>
        </w:rPr>
        <w:t xml:space="preserve"> </w:t>
      </w:r>
      <w:r>
        <w:rPr>
          <w:sz w:val="20"/>
          <w:szCs w:val="20"/>
        </w:rPr>
        <w:t>“</w:t>
      </w:r>
      <w:r w:rsidRPr="00A8393E">
        <w:rPr>
          <w:sz w:val="20"/>
          <w:szCs w:val="20"/>
        </w:rPr>
        <w:t>ENDF/B-VII.0: Next Generation Evaluated Nuclear Data Library for Nuclear Science and Technology</w:t>
      </w:r>
      <w:r w:rsidR="00CF2213">
        <w:rPr>
          <w:sz w:val="20"/>
          <w:szCs w:val="20"/>
        </w:rPr>
        <w:t>,</w:t>
      </w:r>
      <w:r>
        <w:rPr>
          <w:sz w:val="20"/>
          <w:szCs w:val="20"/>
        </w:rPr>
        <w:t>”</w:t>
      </w:r>
      <w:r w:rsidRPr="00A8393E">
        <w:rPr>
          <w:sz w:val="20"/>
          <w:szCs w:val="20"/>
        </w:rPr>
        <w:t xml:space="preserve"> </w:t>
      </w:r>
      <w:proofErr w:type="spellStart"/>
      <w:r w:rsidRPr="00EB2049">
        <w:rPr>
          <w:i/>
          <w:iCs/>
          <w:sz w:val="20"/>
          <w:szCs w:val="20"/>
        </w:rPr>
        <w:t>Nucl</w:t>
      </w:r>
      <w:proofErr w:type="spellEnd"/>
      <w:r>
        <w:rPr>
          <w:i/>
          <w:iCs/>
          <w:sz w:val="20"/>
          <w:szCs w:val="20"/>
        </w:rPr>
        <w:t>.</w:t>
      </w:r>
      <w:r w:rsidRPr="00977A44">
        <w:rPr>
          <w:i/>
          <w:iCs/>
          <w:sz w:val="20"/>
          <w:szCs w:val="20"/>
        </w:rPr>
        <w:t xml:space="preserve"> Data Sheets</w:t>
      </w:r>
      <w:r w:rsidRPr="00A8393E">
        <w:rPr>
          <w:sz w:val="20"/>
          <w:szCs w:val="20"/>
        </w:rPr>
        <w:t xml:space="preserve">, </w:t>
      </w:r>
      <w:r w:rsidRPr="00977A44">
        <w:rPr>
          <w:b/>
          <w:bCs/>
          <w:sz w:val="20"/>
          <w:szCs w:val="20"/>
        </w:rPr>
        <w:t>107</w:t>
      </w:r>
      <w:r w:rsidRPr="00A8393E">
        <w:rPr>
          <w:sz w:val="20"/>
          <w:szCs w:val="20"/>
        </w:rPr>
        <w:t xml:space="preserve">(12), </w:t>
      </w:r>
      <w:r>
        <w:rPr>
          <w:sz w:val="20"/>
          <w:szCs w:val="20"/>
        </w:rPr>
        <w:t xml:space="preserve">pp. </w:t>
      </w:r>
      <w:r w:rsidRPr="00A8393E">
        <w:rPr>
          <w:sz w:val="20"/>
          <w:szCs w:val="20"/>
        </w:rPr>
        <w:t>2931–3060</w:t>
      </w:r>
      <w:r>
        <w:rPr>
          <w:sz w:val="20"/>
          <w:szCs w:val="20"/>
        </w:rPr>
        <w:t xml:space="preserve"> (2006)</w:t>
      </w:r>
      <w:r w:rsidRPr="00A8393E">
        <w:rPr>
          <w:sz w:val="20"/>
          <w:szCs w:val="20"/>
        </w:rPr>
        <w:t>.</w:t>
      </w:r>
      <w:bookmarkEnd w:id="11"/>
    </w:p>
    <w:p w14:paraId="7DE46480" w14:textId="35F95585" w:rsidR="00E1746C" w:rsidRDefault="00E1746C" w:rsidP="00E1746C">
      <w:pPr>
        <w:pStyle w:val="Referencelist"/>
        <w:rPr>
          <w:sz w:val="20"/>
          <w:szCs w:val="20"/>
        </w:rPr>
      </w:pPr>
      <w:bookmarkStart w:id="12" w:name="_Ref58590937"/>
      <w:r w:rsidRPr="00A8393E">
        <w:rPr>
          <w:sz w:val="20"/>
          <w:szCs w:val="20"/>
        </w:rPr>
        <w:t>D. Brown et al., “ENDF/B-VIII.0: The 8</w:t>
      </w:r>
      <w:r w:rsidRPr="00A8393E">
        <w:rPr>
          <w:sz w:val="20"/>
          <w:szCs w:val="20"/>
          <w:vertAlign w:val="superscript"/>
        </w:rPr>
        <w:t>th</w:t>
      </w:r>
      <w:r w:rsidRPr="00A8393E">
        <w:rPr>
          <w:sz w:val="20"/>
          <w:szCs w:val="20"/>
        </w:rPr>
        <w:t xml:space="preserve"> Major Release of the Nuclear Reaction Data Library with CIELO-project Cross Sections, New Standards and Thermal Scattering Data,” </w:t>
      </w:r>
      <w:r w:rsidRPr="00A8393E">
        <w:rPr>
          <w:i/>
          <w:iCs/>
          <w:sz w:val="20"/>
          <w:szCs w:val="20"/>
        </w:rPr>
        <w:t>Nucl. Data Sheets</w:t>
      </w:r>
      <w:r w:rsidR="00387880">
        <w:rPr>
          <w:i/>
          <w:iCs/>
          <w:sz w:val="20"/>
          <w:szCs w:val="20"/>
        </w:rPr>
        <w:t>,</w:t>
      </w:r>
      <w:r w:rsidRPr="00A8393E">
        <w:rPr>
          <w:sz w:val="20"/>
          <w:szCs w:val="20"/>
        </w:rPr>
        <w:t xml:space="preserve"> </w:t>
      </w:r>
      <w:r w:rsidRPr="00A8393E">
        <w:rPr>
          <w:b/>
          <w:bCs/>
          <w:sz w:val="20"/>
          <w:szCs w:val="20"/>
        </w:rPr>
        <w:t>148</w:t>
      </w:r>
      <w:r w:rsidRPr="00A8393E">
        <w:rPr>
          <w:sz w:val="20"/>
          <w:szCs w:val="20"/>
        </w:rPr>
        <w:t>, pp. 1–142 (2018).</w:t>
      </w:r>
      <w:bookmarkEnd w:id="3"/>
      <w:bookmarkEnd w:id="12"/>
    </w:p>
    <w:p w14:paraId="6D707F5C" w14:textId="3AFE1010" w:rsidR="00E1746C" w:rsidRPr="00CD1E7A" w:rsidRDefault="00E1746C" w:rsidP="00E1746C">
      <w:pPr>
        <w:pStyle w:val="Referencelist"/>
        <w:rPr>
          <w:rStyle w:val="Hyperlink"/>
          <w:color w:val="auto"/>
          <w:sz w:val="20"/>
          <w:szCs w:val="20"/>
          <w:u w:val="none"/>
        </w:rPr>
      </w:pPr>
      <w:bookmarkStart w:id="13" w:name="_Ref54173421"/>
      <w:r w:rsidRPr="00A8393E">
        <w:rPr>
          <w:sz w:val="20"/>
          <w:szCs w:val="20"/>
        </w:rPr>
        <w:t xml:space="preserve">W. A. Wieselquist, R. A. Lefebvre, and M. A. Jessee, Eds, </w:t>
      </w:r>
      <w:r w:rsidRPr="00A8393E">
        <w:rPr>
          <w:i/>
          <w:iCs/>
          <w:sz w:val="20"/>
          <w:szCs w:val="20"/>
        </w:rPr>
        <w:t>SCALE Code System</w:t>
      </w:r>
      <w:r w:rsidRPr="00A8393E">
        <w:rPr>
          <w:sz w:val="20"/>
          <w:szCs w:val="20"/>
        </w:rPr>
        <w:t xml:space="preserve">, ORNL/TM-2005/39, Version 6.2.4, Oak Ridge National Laboratory, Oak Ridge, Tennessee (2020). Available from Radiation Safety Information Computational Center as CCC-834. </w:t>
      </w:r>
      <w:hyperlink r:id="rId14" w:history="1">
        <w:r w:rsidRPr="00A8393E">
          <w:rPr>
            <w:rStyle w:val="Hyperlink"/>
            <w:sz w:val="20"/>
            <w:szCs w:val="20"/>
          </w:rPr>
          <w:t>https://www.ornl.gov/file/scale-62-manual/display</w:t>
        </w:r>
      </w:hyperlink>
      <w:bookmarkEnd w:id="13"/>
    </w:p>
    <w:p w14:paraId="4C4B7817" w14:textId="29C90966" w:rsidR="00CD1E7A" w:rsidRDefault="00CD1E7A" w:rsidP="00CD1E7A">
      <w:pPr>
        <w:pStyle w:val="Referencelist"/>
        <w:rPr>
          <w:sz w:val="20"/>
          <w:szCs w:val="20"/>
          <w:lang w:val="en-US"/>
        </w:rPr>
      </w:pPr>
      <w:bookmarkStart w:id="14" w:name="_Ref58591452"/>
      <w:r w:rsidRPr="00A8393E">
        <w:rPr>
          <w:sz w:val="20"/>
          <w:szCs w:val="20"/>
          <w:lang w:val="en-US"/>
        </w:rPr>
        <w:lastRenderedPageBreak/>
        <w:t>M. Herman et al</w:t>
      </w:r>
      <w:r>
        <w:rPr>
          <w:sz w:val="20"/>
          <w:szCs w:val="20"/>
          <w:lang w:val="en-US"/>
        </w:rPr>
        <w:t>.</w:t>
      </w:r>
      <w:r w:rsidRPr="00A8393E">
        <w:rPr>
          <w:sz w:val="20"/>
          <w:szCs w:val="20"/>
          <w:lang w:val="en-US"/>
        </w:rPr>
        <w:t>, “COMMARA-2.0 Neutron Cross Section Covariance Library,” BNL-94830-2011 (2011).</w:t>
      </w:r>
      <w:bookmarkEnd w:id="14"/>
    </w:p>
    <w:p w14:paraId="5E0F52AF" w14:textId="77777777" w:rsidR="00EC092B" w:rsidRPr="00A8393E" w:rsidRDefault="00EC092B" w:rsidP="00EC092B">
      <w:pPr>
        <w:pStyle w:val="Referencelist"/>
        <w:rPr>
          <w:sz w:val="20"/>
          <w:szCs w:val="20"/>
          <w:lang w:val="en-US"/>
        </w:rPr>
      </w:pPr>
      <w:bookmarkStart w:id="15" w:name="_Ref58591463"/>
      <w:r w:rsidRPr="00A8393E">
        <w:rPr>
          <w:sz w:val="20"/>
          <w:szCs w:val="20"/>
          <w:lang w:val="en-US"/>
        </w:rPr>
        <w:t>P. Archier et al</w:t>
      </w:r>
      <w:r>
        <w:rPr>
          <w:sz w:val="20"/>
          <w:szCs w:val="20"/>
          <w:lang w:val="en-US"/>
        </w:rPr>
        <w:t>.</w:t>
      </w:r>
      <w:r w:rsidRPr="00A8393E">
        <w:rPr>
          <w:sz w:val="20"/>
          <w:szCs w:val="20"/>
          <w:lang w:val="en-US"/>
        </w:rPr>
        <w:t>, “COMAC: Nuclear Data Covariance Matrices Library for Reactor Applications</w:t>
      </w:r>
      <w:r>
        <w:rPr>
          <w:sz w:val="20"/>
          <w:szCs w:val="20"/>
          <w:lang w:val="en-US"/>
        </w:rPr>
        <w:t>,</w:t>
      </w:r>
      <w:r w:rsidRPr="00A8393E">
        <w:rPr>
          <w:sz w:val="20"/>
          <w:szCs w:val="20"/>
          <w:lang w:val="en-US"/>
        </w:rPr>
        <w:t xml:space="preserve">” </w:t>
      </w:r>
      <w:r w:rsidRPr="002A5341">
        <w:rPr>
          <w:i/>
          <w:iCs/>
          <w:sz w:val="20"/>
          <w:szCs w:val="20"/>
          <w:lang w:val="en-US"/>
        </w:rPr>
        <w:t>Proceedings of PHYSOR 2014</w:t>
      </w:r>
      <w:r w:rsidRPr="00A8393E">
        <w:rPr>
          <w:sz w:val="20"/>
          <w:szCs w:val="20"/>
          <w:lang w:val="en-US"/>
        </w:rPr>
        <w:t>, Kyoto, Japan (2014).</w:t>
      </w:r>
      <w:bookmarkEnd w:id="15"/>
    </w:p>
    <w:p w14:paraId="416BF6DE" w14:textId="41244439" w:rsidR="00241B4B" w:rsidRPr="00A8393E" w:rsidRDefault="00241B4B" w:rsidP="00A55CDD">
      <w:pPr>
        <w:pStyle w:val="Referencelist"/>
        <w:rPr>
          <w:sz w:val="20"/>
          <w:szCs w:val="20"/>
          <w:lang w:val="en-US"/>
        </w:rPr>
      </w:pPr>
      <w:bookmarkStart w:id="16" w:name="_Ref58591419"/>
      <w:r w:rsidRPr="00A8393E">
        <w:rPr>
          <w:sz w:val="20"/>
          <w:szCs w:val="20"/>
          <w:lang w:val="en-US"/>
        </w:rPr>
        <w:t xml:space="preserve">G. </w:t>
      </w:r>
      <w:r w:rsidR="005339D0" w:rsidRPr="00A8393E">
        <w:rPr>
          <w:sz w:val="20"/>
          <w:szCs w:val="20"/>
          <w:lang w:val="en-US"/>
        </w:rPr>
        <w:t xml:space="preserve">Rimpault </w:t>
      </w:r>
      <w:r w:rsidRPr="00A8393E">
        <w:rPr>
          <w:sz w:val="20"/>
          <w:szCs w:val="20"/>
          <w:lang w:val="en-US"/>
        </w:rPr>
        <w:t xml:space="preserve">et al., “The ERANOS Code and Data System for Fast Reactor Neutronic Analyses,” </w:t>
      </w:r>
      <w:r w:rsidRPr="002A5341">
        <w:rPr>
          <w:i/>
          <w:iCs/>
          <w:sz w:val="20"/>
          <w:szCs w:val="20"/>
          <w:lang w:val="en-US"/>
        </w:rPr>
        <w:t>Proc. Int. Conf. PHYSOR 2002</w:t>
      </w:r>
      <w:r w:rsidRPr="00A8393E">
        <w:rPr>
          <w:sz w:val="20"/>
          <w:szCs w:val="20"/>
          <w:lang w:val="en-US"/>
        </w:rPr>
        <w:t>, Seoul, Korea, October 7</w:t>
      </w:r>
      <w:r w:rsidR="005339D0">
        <w:rPr>
          <w:sz w:val="20"/>
          <w:szCs w:val="20"/>
          <w:lang w:val="en-US"/>
        </w:rPr>
        <w:t>–</w:t>
      </w:r>
      <w:r w:rsidRPr="00A8393E">
        <w:rPr>
          <w:sz w:val="20"/>
          <w:szCs w:val="20"/>
          <w:lang w:val="en-US"/>
        </w:rPr>
        <w:t>10 (2002).</w:t>
      </w:r>
      <w:bookmarkEnd w:id="16"/>
    </w:p>
    <w:p w14:paraId="607F8C62" w14:textId="602D77F4" w:rsidR="008D7076" w:rsidRDefault="008D7076" w:rsidP="00A55CDD">
      <w:pPr>
        <w:pStyle w:val="Referencelist"/>
        <w:rPr>
          <w:sz w:val="20"/>
          <w:szCs w:val="20"/>
          <w:lang w:val="en-US"/>
        </w:rPr>
      </w:pPr>
      <w:bookmarkStart w:id="17" w:name="_Ref58591403"/>
      <w:r w:rsidRPr="00A8393E">
        <w:rPr>
          <w:sz w:val="20"/>
          <w:szCs w:val="20"/>
          <w:lang w:val="en-US"/>
        </w:rPr>
        <w:t xml:space="preserve">J. </w:t>
      </w:r>
      <w:r w:rsidR="005339D0" w:rsidRPr="00A8393E">
        <w:rPr>
          <w:sz w:val="20"/>
          <w:szCs w:val="20"/>
          <w:lang w:val="en-US"/>
        </w:rPr>
        <w:t>Leppanen</w:t>
      </w:r>
      <w:r w:rsidRPr="00A8393E">
        <w:rPr>
          <w:sz w:val="20"/>
          <w:szCs w:val="20"/>
          <w:lang w:val="en-US"/>
        </w:rPr>
        <w:t xml:space="preserve">, </w:t>
      </w:r>
      <w:r w:rsidR="005339D0">
        <w:rPr>
          <w:sz w:val="20"/>
          <w:szCs w:val="20"/>
          <w:lang w:val="en-US"/>
        </w:rPr>
        <w:t>“</w:t>
      </w:r>
      <w:r w:rsidRPr="00A8393E">
        <w:rPr>
          <w:sz w:val="20"/>
          <w:szCs w:val="20"/>
          <w:lang w:val="en-US"/>
        </w:rPr>
        <w:t>Serpent: a Continuous-energy Monte Carlo Reactor Physics Burnup Calculation Code</w:t>
      </w:r>
      <w:r w:rsidR="00CF2213">
        <w:rPr>
          <w:sz w:val="20"/>
          <w:szCs w:val="20"/>
          <w:lang w:val="en-US"/>
        </w:rPr>
        <w:t>,</w:t>
      </w:r>
      <w:r w:rsidR="005339D0">
        <w:rPr>
          <w:sz w:val="20"/>
          <w:szCs w:val="20"/>
          <w:lang w:val="en-US"/>
        </w:rPr>
        <w:t>”</w:t>
      </w:r>
      <w:r w:rsidRPr="00A8393E">
        <w:rPr>
          <w:sz w:val="20"/>
          <w:szCs w:val="20"/>
          <w:lang w:val="en-US"/>
        </w:rPr>
        <w:t xml:space="preserve"> User’s Manual, VTT Technical Research Centre of Finland, Espoo, Finland (2012).</w:t>
      </w:r>
      <w:bookmarkEnd w:id="17"/>
    </w:p>
    <w:p w14:paraId="14D20834" w14:textId="0D0C330B" w:rsidR="00EC092B" w:rsidRPr="00A8393E" w:rsidRDefault="00EC092B" w:rsidP="00EC092B">
      <w:pPr>
        <w:pStyle w:val="Referencelist"/>
        <w:rPr>
          <w:sz w:val="20"/>
          <w:szCs w:val="20"/>
          <w:lang w:val="en-US"/>
        </w:rPr>
      </w:pPr>
      <w:bookmarkStart w:id="18" w:name="_Ref58591610"/>
      <w:r w:rsidRPr="00A8393E">
        <w:rPr>
          <w:sz w:val="20"/>
          <w:szCs w:val="20"/>
          <w:lang w:val="en-US" w:eastAsia="en-GB"/>
        </w:rPr>
        <w:t xml:space="preserve">C. Lee, and W. S. Yang. </w:t>
      </w:r>
      <w:r>
        <w:rPr>
          <w:sz w:val="20"/>
          <w:szCs w:val="20"/>
          <w:lang w:val="en-US" w:eastAsia="en-GB"/>
        </w:rPr>
        <w:t>“</w:t>
      </w:r>
      <w:r w:rsidRPr="00A8393E">
        <w:rPr>
          <w:sz w:val="20"/>
          <w:szCs w:val="20"/>
          <w:lang w:val="en-US" w:eastAsia="en-GB"/>
        </w:rPr>
        <w:t>MC</w:t>
      </w:r>
      <w:r w:rsidRPr="0006336C">
        <w:rPr>
          <w:sz w:val="20"/>
          <w:szCs w:val="20"/>
          <w:vertAlign w:val="superscript"/>
          <w:lang w:val="en-US" w:eastAsia="en-GB"/>
        </w:rPr>
        <w:t>2</w:t>
      </w:r>
      <w:r w:rsidRPr="00A8393E">
        <w:rPr>
          <w:sz w:val="20"/>
          <w:szCs w:val="20"/>
          <w:lang w:val="en-US" w:eastAsia="en-GB"/>
        </w:rPr>
        <w:t>-3: Multigroup Cross Section Generation Code for Fast</w:t>
      </w:r>
      <w:r w:rsidRPr="00A8393E">
        <w:rPr>
          <w:sz w:val="20"/>
          <w:szCs w:val="20"/>
          <w:lang w:val="en-US"/>
        </w:rPr>
        <w:t xml:space="preserve"> </w:t>
      </w:r>
      <w:r w:rsidRPr="00A8393E">
        <w:rPr>
          <w:sz w:val="20"/>
          <w:szCs w:val="20"/>
          <w:lang w:val="en-US" w:eastAsia="en-GB"/>
        </w:rPr>
        <w:t>Reactor Analysis</w:t>
      </w:r>
      <w:r w:rsidR="00CF2213">
        <w:rPr>
          <w:sz w:val="20"/>
          <w:szCs w:val="20"/>
          <w:lang w:val="en-US" w:eastAsia="en-GB"/>
        </w:rPr>
        <w:t>,</w:t>
      </w:r>
      <w:r>
        <w:rPr>
          <w:sz w:val="20"/>
          <w:szCs w:val="20"/>
          <w:lang w:val="en-US" w:eastAsia="en-GB"/>
        </w:rPr>
        <w:t>”</w:t>
      </w:r>
      <w:r w:rsidRPr="00A8393E">
        <w:rPr>
          <w:sz w:val="20"/>
          <w:szCs w:val="20"/>
          <w:lang w:val="en-US" w:eastAsia="en-GB"/>
        </w:rPr>
        <w:t xml:space="preserve"> </w:t>
      </w:r>
      <w:proofErr w:type="spellStart"/>
      <w:r w:rsidRPr="002A5341">
        <w:rPr>
          <w:i/>
          <w:iCs/>
          <w:sz w:val="20"/>
          <w:szCs w:val="20"/>
          <w:lang w:val="en-US" w:eastAsia="en-GB"/>
        </w:rPr>
        <w:t>Nucl</w:t>
      </w:r>
      <w:proofErr w:type="spellEnd"/>
      <w:r w:rsidRPr="002A5341">
        <w:rPr>
          <w:i/>
          <w:iCs/>
          <w:sz w:val="20"/>
          <w:szCs w:val="20"/>
          <w:lang w:val="en-US" w:eastAsia="en-GB"/>
        </w:rPr>
        <w:t>. Sci. Eng.</w:t>
      </w:r>
      <w:r w:rsidRPr="00A8393E">
        <w:rPr>
          <w:sz w:val="20"/>
          <w:szCs w:val="20"/>
          <w:lang w:val="en-US" w:eastAsia="en-GB"/>
        </w:rPr>
        <w:t xml:space="preserve">, </w:t>
      </w:r>
      <w:r w:rsidRPr="002A5341">
        <w:rPr>
          <w:b/>
          <w:bCs/>
          <w:sz w:val="20"/>
          <w:szCs w:val="20"/>
          <w:lang w:val="en-US" w:eastAsia="en-GB"/>
        </w:rPr>
        <w:t>187</w:t>
      </w:r>
      <w:r w:rsidRPr="00A8393E">
        <w:rPr>
          <w:sz w:val="20"/>
          <w:szCs w:val="20"/>
          <w:lang w:val="en-US" w:eastAsia="en-GB"/>
        </w:rPr>
        <w:t xml:space="preserve">(3):268–290 </w:t>
      </w:r>
      <w:r>
        <w:rPr>
          <w:sz w:val="20"/>
          <w:szCs w:val="20"/>
          <w:lang w:val="en-US" w:eastAsia="en-GB"/>
        </w:rPr>
        <w:t>(</w:t>
      </w:r>
      <w:r w:rsidRPr="00A8393E">
        <w:rPr>
          <w:sz w:val="20"/>
          <w:szCs w:val="20"/>
          <w:lang w:val="en-US" w:eastAsia="en-GB"/>
        </w:rPr>
        <w:t>2017</w:t>
      </w:r>
      <w:bookmarkEnd w:id="18"/>
      <w:r>
        <w:rPr>
          <w:sz w:val="20"/>
          <w:szCs w:val="20"/>
          <w:lang w:val="en-US" w:eastAsia="en-GB"/>
        </w:rPr>
        <w:t>)</w:t>
      </w:r>
      <w:r w:rsidRPr="00A8393E">
        <w:rPr>
          <w:sz w:val="20"/>
          <w:szCs w:val="20"/>
          <w:lang w:val="en-US" w:eastAsia="en-GB"/>
        </w:rPr>
        <w:t>.</w:t>
      </w:r>
    </w:p>
    <w:p w14:paraId="3DA7C9F9" w14:textId="1EDB202B" w:rsidR="00EC092B" w:rsidRDefault="00EC092B" w:rsidP="00EC092B">
      <w:pPr>
        <w:pStyle w:val="Referencelist"/>
        <w:rPr>
          <w:sz w:val="20"/>
          <w:szCs w:val="20"/>
          <w:lang w:val="en-US"/>
        </w:rPr>
      </w:pPr>
      <w:bookmarkStart w:id="19" w:name="_Ref58591565"/>
      <w:r w:rsidRPr="00A8393E">
        <w:rPr>
          <w:sz w:val="20"/>
          <w:szCs w:val="20"/>
          <w:lang w:val="en-US"/>
        </w:rPr>
        <w:t xml:space="preserve">M. A. Smith, W. S. Yang, A. Mohamed, E. E. Lewis, “Perturbation and Sensitivity Tool Based on the VARIANT Option of DIF3D,” </w:t>
      </w:r>
      <w:r w:rsidRPr="002A5341">
        <w:rPr>
          <w:i/>
          <w:iCs/>
          <w:sz w:val="20"/>
          <w:szCs w:val="20"/>
          <w:lang w:val="en-US"/>
        </w:rPr>
        <w:t>American Nuclear Society Transactions</w:t>
      </w:r>
      <w:r w:rsidRPr="00A8393E">
        <w:rPr>
          <w:sz w:val="20"/>
          <w:szCs w:val="20"/>
          <w:lang w:val="en-US"/>
        </w:rPr>
        <w:t xml:space="preserve"> </w:t>
      </w:r>
      <w:r w:rsidRPr="00A8393E">
        <w:rPr>
          <w:b/>
          <w:bCs/>
          <w:sz w:val="20"/>
          <w:szCs w:val="20"/>
          <w:lang w:val="en-US"/>
        </w:rPr>
        <w:t>107</w:t>
      </w:r>
      <w:r w:rsidRPr="00A8393E">
        <w:rPr>
          <w:sz w:val="20"/>
          <w:szCs w:val="20"/>
          <w:lang w:val="en-US"/>
        </w:rPr>
        <w:t>, San Diego, CA, Nov. 11</w:t>
      </w:r>
      <w:r>
        <w:rPr>
          <w:sz w:val="20"/>
          <w:szCs w:val="20"/>
          <w:lang w:val="en-US"/>
        </w:rPr>
        <w:t>–</w:t>
      </w:r>
      <w:r w:rsidRPr="00A8393E">
        <w:rPr>
          <w:sz w:val="20"/>
          <w:szCs w:val="20"/>
          <w:lang w:val="en-US"/>
        </w:rPr>
        <w:t>15 (2012).</w:t>
      </w:r>
      <w:bookmarkEnd w:id="19"/>
    </w:p>
    <w:p w14:paraId="13CB1641" w14:textId="176E17A1" w:rsidR="00EC092B" w:rsidRDefault="00EC092B" w:rsidP="00EC092B">
      <w:pPr>
        <w:pStyle w:val="Referencelist"/>
        <w:rPr>
          <w:sz w:val="20"/>
          <w:szCs w:val="20"/>
          <w:lang w:val="en-US"/>
        </w:rPr>
      </w:pPr>
      <w:bookmarkStart w:id="20" w:name="_Ref58591545"/>
      <w:r w:rsidRPr="00A8393E">
        <w:rPr>
          <w:sz w:val="20"/>
          <w:szCs w:val="20"/>
          <w:lang w:val="en-US"/>
        </w:rPr>
        <w:t xml:space="preserve">G. </w:t>
      </w:r>
      <w:proofErr w:type="spellStart"/>
      <w:r w:rsidRPr="00A8393E">
        <w:rPr>
          <w:sz w:val="20"/>
          <w:szCs w:val="20"/>
          <w:lang w:val="en-US"/>
        </w:rPr>
        <w:t>Aliberti</w:t>
      </w:r>
      <w:proofErr w:type="spellEnd"/>
      <w:r w:rsidRPr="00A8393E">
        <w:rPr>
          <w:sz w:val="20"/>
          <w:szCs w:val="20"/>
          <w:lang w:val="en-US"/>
        </w:rPr>
        <w:t xml:space="preserve"> and M. Smith, “PERSENT: Need of a Deterministic Code for Sensitivity Analysis in 3D Geometry and Transport Theory,” </w:t>
      </w:r>
      <w:r w:rsidRPr="002A5341">
        <w:rPr>
          <w:i/>
          <w:iCs/>
          <w:sz w:val="20"/>
          <w:szCs w:val="20"/>
          <w:lang w:val="en-US"/>
        </w:rPr>
        <w:t>Proceedings of PHYSOR2014</w:t>
      </w:r>
      <w:r w:rsidRPr="00A8393E">
        <w:rPr>
          <w:sz w:val="20"/>
          <w:szCs w:val="20"/>
          <w:lang w:val="en-US"/>
        </w:rPr>
        <w:t>, Kyoto, Japan (2014).</w:t>
      </w:r>
      <w:bookmarkEnd w:id="20"/>
    </w:p>
    <w:p w14:paraId="3A5C2567" w14:textId="77777777" w:rsidR="00EC092B" w:rsidRPr="00A8393E" w:rsidRDefault="00EC092B" w:rsidP="00EC092B">
      <w:pPr>
        <w:pStyle w:val="Referencelist"/>
        <w:rPr>
          <w:sz w:val="20"/>
          <w:szCs w:val="20"/>
          <w:lang w:val="en-US"/>
        </w:rPr>
      </w:pPr>
      <w:bookmarkStart w:id="21" w:name="_Ref58591801"/>
      <w:proofErr w:type="spellStart"/>
      <w:r w:rsidRPr="00A8393E">
        <w:rPr>
          <w:sz w:val="20"/>
          <w:szCs w:val="20"/>
          <w:lang w:val="en-US"/>
        </w:rPr>
        <w:t>Youqi</w:t>
      </w:r>
      <w:proofErr w:type="spellEnd"/>
      <w:r w:rsidRPr="00A8393E">
        <w:rPr>
          <w:sz w:val="20"/>
          <w:szCs w:val="20"/>
          <w:lang w:val="en-US"/>
        </w:rPr>
        <w:t xml:space="preserve"> Zheng, Liang </w:t>
      </w:r>
      <w:proofErr w:type="spellStart"/>
      <w:r w:rsidRPr="00A8393E">
        <w:rPr>
          <w:sz w:val="20"/>
          <w:szCs w:val="20"/>
          <w:lang w:val="en-US"/>
        </w:rPr>
        <w:t>Qiao</w:t>
      </w:r>
      <w:proofErr w:type="spellEnd"/>
      <w:r w:rsidRPr="00A8393E">
        <w:rPr>
          <w:sz w:val="20"/>
          <w:szCs w:val="20"/>
          <w:lang w:val="en-US"/>
        </w:rPr>
        <w:t xml:space="preserve">, </w:t>
      </w:r>
      <w:proofErr w:type="spellStart"/>
      <w:r w:rsidRPr="00A8393E">
        <w:rPr>
          <w:sz w:val="20"/>
          <w:szCs w:val="20"/>
          <w:lang w:val="en-US"/>
        </w:rPr>
        <w:t>Zi</w:t>
      </w:r>
      <w:r>
        <w:rPr>
          <w:sz w:val="20"/>
          <w:szCs w:val="20"/>
          <w:lang w:val="en-US"/>
        </w:rPr>
        <w:t>’</w:t>
      </w:r>
      <w:r w:rsidRPr="00A8393E">
        <w:rPr>
          <w:sz w:val="20"/>
          <w:szCs w:val="20"/>
          <w:lang w:val="en-US"/>
        </w:rPr>
        <w:t>an</w:t>
      </w:r>
      <w:proofErr w:type="spellEnd"/>
      <w:r w:rsidRPr="00A8393E">
        <w:rPr>
          <w:sz w:val="20"/>
          <w:szCs w:val="20"/>
          <w:lang w:val="en-US"/>
        </w:rPr>
        <w:t xml:space="preserve"> </w:t>
      </w:r>
      <w:proofErr w:type="spellStart"/>
      <w:r w:rsidRPr="00A8393E">
        <w:rPr>
          <w:sz w:val="20"/>
          <w:szCs w:val="20"/>
          <w:lang w:val="en-US"/>
        </w:rPr>
        <w:t>Zhai</w:t>
      </w:r>
      <w:proofErr w:type="spellEnd"/>
      <w:r w:rsidRPr="00A8393E">
        <w:rPr>
          <w:sz w:val="20"/>
          <w:szCs w:val="20"/>
          <w:lang w:val="en-US"/>
        </w:rPr>
        <w:t xml:space="preserve">, </w:t>
      </w:r>
      <w:proofErr w:type="spellStart"/>
      <w:r w:rsidRPr="00A8393E">
        <w:rPr>
          <w:sz w:val="20"/>
          <w:szCs w:val="20"/>
          <w:lang w:val="en-US"/>
        </w:rPr>
        <w:t>Xianan</w:t>
      </w:r>
      <w:proofErr w:type="spellEnd"/>
      <w:r w:rsidRPr="00A8393E">
        <w:rPr>
          <w:sz w:val="20"/>
          <w:szCs w:val="20"/>
          <w:lang w:val="en-US"/>
        </w:rPr>
        <w:t xml:space="preserve"> Du, </w:t>
      </w:r>
      <w:proofErr w:type="spellStart"/>
      <w:r w:rsidRPr="00A8393E">
        <w:rPr>
          <w:sz w:val="20"/>
          <w:szCs w:val="20"/>
          <w:lang w:val="en-US"/>
        </w:rPr>
        <w:t>Zhitao</w:t>
      </w:r>
      <w:proofErr w:type="spellEnd"/>
      <w:r w:rsidRPr="00A8393E">
        <w:rPr>
          <w:sz w:val="20"/>
          <w:szCs w:val="20"/>
          <w:lang w:val="en-US"/>
        </w:rPr>
        <w:t xml:space="preserve"> Xu, </w:t>
      </w:r>
      <w:r>
        <w:rPr>
          <w:sz w:val="20"/>
          <w:szCs w:val="20"/>
          <w:lang w:val="en-US"/>
        </w:rPr>
        <w:t>“</w:t>
      </w:r>
      <w:r w:rsidRPr="00A8393E">
        <w:rPr>
          <w:sz w:val="20"/>
          <w:szCs w:val="20"/>
          <w:lang w:val="en-US"/>
        </w:rPr>
        <w:t>SARAX: A New Code for Fast Reactor Analysis Part II: Verification, Validation and Uncertainty Quantification,</w:t>
      </w:r>
      <w:r>
        <w:rPr>
          <w:sz w:val="20"/>
          <w:szCs w:val="20"/>
          <w:lang w:val="en-US"/>
        </w:rPr>
        <w:t>”</w:t>
      </w:r>
      <w:r w:rsidRPr="00A8393E">
        <w:rPr>
          <w:sz w:val="20"/>
          <w:szCs w:val="20"/>
          <w:lang w:val="en-US"/>
        </w:rPr>
        <w:t xml:space="preserve"> </w:t>
      </w:r>
      <w:r w:rsidRPr="00EB2049">
        <w:rPr>
          <w:i/>
          <w:iCs/>
          <w:sz w:val="20"/>
          <w:szCs w:val="20"/>
          <w:lang w:val="en-US"/>
        </w:rPr>
        <w:t>Nucl</w:t>
      </w:r>
      <w:r>
        <w:rPr>
          <w:i/>
          <w:iCs/>
          <w:sz w:val="20"/>
          <w:szCs w:val="20"/>
          <w:lang w:val="en-US"/>
        </w:rPr>
        <w:t>.</w:t>
      </w:r>
      <w:r w:rsidRPr="00970C71">
        <w:rPr>
          <w:i/>
          <w:iCs/>
          <w:sz w:val="20"/>
          <w:szCs w:val="20"/>
          <w:lang w:val="en-US"/>
        </w:rPr>
        <w:t xml:space="preserve"> Eng</w:t>
      </w:r>
      <w:r>
        <w:rPr>
          <w:i/>
          <w:iCs/>
          <w:sz w:val="20"/>
          <w:szCs w:val="20"/>
          <w:lang w:val="en-US"/>
        </w:rPr>
        <w:t>.</w:t>
      </w:r>
      <w:r w:rsidRPr="00970C71">
        <w:rPr>
          <w:i/>
          <w:iCs/>
          <w:sz w:val="20"/>
          <w:szCs w:val="20"/>
          <w:lang w:val="en-US"/>
        </w:rPr>
        <w:t xml:space="preserve"> Des</w:t>
      </w:r>
      <w:r>
        <w:rPr>
          <w:i/>
          <w:iCs/>
          <w:sz w:val="20"/>
          <w:szCs w:val="20"/>
          <w:lang w:val="en-US"/>
        </w:rPr>
        <w:t>.</w:t>
      </w:r>
      <w:r w:rsidRPr="00A8393E">
        <w:rPr>
          <w:sz w:val="20"/>
          <w:szCs w:val="20"/>
          <w:lang w:val="en-US"/>
        </w:rPr>
        <w:t xml:space="preserve">, </w:t>
      </w:r>
      <w:r w:rsidRPr="00A8393E">
        <w:rPr>
          <w:b/>
          <w:bCs/>
          <w:sz w:val="20"/>
          <w:szCs w:val="20"/>
          <w:lang w:val="en-US"/>
        </w:rPr>
        <w:t>331</w:t>
      </w:r>
      <w:r w:rsidRPr="00A8393E">
        <w:rPr>
          <w:sz w:val="20"/>
          <w:szCs w:val="20"/>
          <w:lang w:val="en-US"/>
        </w:rPr>
        <w:t xml:space="preserve">, pp. 41–53 </w:t>
      </w:r>
      <w:r>
        <w:rPr>
          <w:sz w:val="20"/>
          <w:szCs w:val="20"/>
          <w:lang w:val="en-US"/>
        </w:rPr>
        <w:t>(</w:t>
      </w:r>
      <w:r w:rsidRPr="00A8393E">
        <w:rPr>
          <w:sz w:val="20"/>
          <w:szCs w:val="20"/>
          <w:lang w:val="en-US"/>
        </w:rPr>
        <w:t>2018</w:t>
      </w:r>
      <w:r>
        <w:rPr>
          <w:sz w:val="20"/>
          <w:szCs w:val="20"/>
          <w:lang w:val="en-US"/>
        </w:rPr>
        <w:t>)</w:t>
      </w:r>
      <w:r w:rsidRPr="00A8393E">
        <w:rPr>
          <w:sz w:val="20"/>
          <w:szCs w:val="20"/>
          <w:lang w:val="en-US"/>
        </w:rPr>
        <w:t>.</w:t>
      </w:r>
      <w:bookmarkEnd w:id="21"/>
    </w:p>
    <w:p w14:paraId="7C13B934" w14:textId="00BF9D9E" w:rsidR="00EC092B" w:rsidRDefault="00EC092B" w:rsidP="00EC092B">
      <w:pPr>
        <w:pStyle w:val="Referencelist"/>
        <w:rPr>
          <w:sz w:val="20"/>
          <w:szCs w:val="20"/>
          <w:lang w:val="en-US"/>
        </w:rPr>
      </w:pPr>
      <w:bookmarkStart w:id="22" w:name="_Ref58591846"/>
      <w:r>
        <w:rPr>
          <w:sz w:val="20"/>
          <w:szCs w:val="20"/>
          <w:lang w:val="en-US"/>
        </w:rPr>
        <w:t xml:space="preserve">C. </w:t>
      </w:r>
      <w:r w:rsidRPr="00A8393E">
        <w:rPr>
          <w:sz w:val="20"/>
          <w:szCs w:val="20"/>
          <w:lang w:val="en-US"/>
        </w:rPr>
        <w:t xml:space="preserve">Wan et al., </w:t>
      </w:r>
      <w:r>
        <w:rPr>
          <w:sz w:val="20"/>
          <w:szCs w:val="20"/>
          <w:lang w:val="en-US"/>
        </w:rPr>
        <w:t>“</w:t>
      </w:r>
      <w:r w:rsidRPr="00A8393E">
        <w:rPr>
          <w:sz w:val="20"/>
          <w:szCs w:val="20"/>
          <w:lang w:val="en-US"/>
        </w:rPr>
        <w:t>Code Development for Eigenvalue Total Sensitivity Analysis and Total Uncertainty Analysis</w:t>
      </w:r>
      <w:r w:rsidR="00CF2213">
        <w:rPr>
          <w:sz w:val="20"/>
          <w:szCs w:val="20"/>
          <w:lang w:val="en-US"/>
        </w:rPr>
        <w:t>,</w:t>
      </w:r>
      <w:r>
        <w:rPr>
          <w:sz w:val="20"/>
          <w:szCs w:val="20"/>
          <w:lang w:val="en-US"/>
        </w:rPr>
        <w:t>”</w:t>
      </w:r>
      <w:r w:rsidRPr="00A8393E">
        <w:rPr>
          <w:sz w:val="20"/>
          <w:szCs w:val="20"/>
          <w:lang w:val="en-US"/>
        </w:rPr>
        <w:t xml:space="preserve"> </w:t>
      </w:r>
      <w:r w:rsidRPr="00970C71">
        <w:rPr>
          <w:i/>
          <w:iCs/>
          <w:sz w:val="20"/>
          <w:szCs w:val="20"/>
          <w:lang w:val="en-US"/>
        </w:rPr>
        <w:t>Ann. Nucl. Energy</w:t>
      </w:r>
      <w:r w:rsidRPr="00A8393E">
        <w:rPr>
          <w:sz w:val="20"/>
          <w:szCs w:val="20"/>
          <w:lang w:val="en-US"/>
        </w:rPr>
        <w:t xml:space="preserve"> </w:t>
      </w:r>
      <w:r w:rsidRPr="00A8393E">
        <w:rPr>
          <w:b/>
          <w:bCs/>
          <w:sz w:val="20"/>
          <w:szCs w:val="20"/>
          <w:lang w:val="en-US"/>
        </w:rPr>
        <w:t>85</w:t>
      </w:r>
      <w:r w:rsidRPr="00A8393E">
        <w:rPr>
          <w:sz w:val="20"/>
          <w:szCs w:val="20"/>
          <w:lang w:val="en-US"/>
        </w:rPr>
        <w:t xml:space="preserve">, </w:t>
      </w:r>
      <w:r>
        <w:rPr>
          <w:sz w:val="20"/>
          <w:szCs w:val="20"/>
          <w:lang w:val="en-US"/>
        </w:rPr>
        <w:t xml:space="preserve">pp. </w:t>
      </w:r>
      <w:r w:rsidRPr="00A8393E">
        <w:rPr>
          <w:sz w:val="20"/>
          <w:szCs w:val="20"/>
          <w:lang w:val="en-US"/>
        </w:rPr>
        <w:t>788–797</w:t>
      </w:r>
      <w:r>
        <w:rPr>
          <w:sz w:val="20"/>
          <w:szCs w:val="20"/>
          <w:lang w:val="en-US"/>
        </w:rPr>
        <w:t xml:space="preserve"> (2015)</w:t>
      </w:r>
      <w:r w:rsidRPr="00A8393E">
        <w:rPr>
          <w:sz w:val="20"/>
          <w:szCs w:val="20"/>
          <w:lang w:val="en-US"/>
        </w:rPr>
        <w:t>.</w:t>
      </w:r>
      <w:bookmarkEnd w:id="22"/>
    </w:p>
    <w:p w14:paraId="3D9DDE62" w14:textId="77777777" w:rsidR="00EC092B" w:rsidRPr="008468B6" w:rsidRDefault="00EC092B" w:rsidP="00EC092B">
      <w:pPr>
        <w:pStyle w:val="Referencelist"/>
        <w:rPr>
          <w:sz w:val="20"/>
          <w:szCs w:val="20"/>
        </w:rPr>
      </w:pPr>
      <w:bookmarkStart w:id="23" w:name="_Ref58592837"/>
      <w:r w:rsidRPr="008468B6">
        <w:rPr>
          <w:sz w:val="20"/>
          <w:szCs w:val="20"/>
          <w:lang w:val="en-US"/>
        </w:rPr>
        <w:t>H</w:t>
      </w:r>
      <w:r>
        <w:rPr>
          <w:sz w:val="20"/>
          <w:szCs w:val="20"/>
          <w:lang w:val="en-US"/>
        </w:rPr>
        <w:t>.</w:t>
      </w:r>
      <w:r w:rsidRPr="008468B6">
        <w:rPr>
          <w:sz w:val="20"/>
          <w:szCs w:val="20"/>
          <w:lang w:val="en-US"/>
        </w:rPr>
        <w:t xml:space="preserve"> Lee et al., </w:t>
      </w:r>
      <w:r>
        <w:rPr>
          <w:sz w:val="20"/>
          <w:szCs w:val="20"/>
          <w:lang w:val="en-US"/>
        </w:rPr>
        <w:t>“</w:t>
      </w:r>
      <w:r w:rsidRPr="008468B6">
        <w:rPr>
          <w:sz w:val="20"/>
          <w:szCs w:val="20"/>
          <w:lang w:val="en-US"/>
        </w:rPr>
        <w:t>MCS – A Monte Carlo Particle Transport Code for Large-Scale Power Reactor Analysis,</w:t>
      </w:r>
      <w:r>
        <w:rPr>
          <w:sz w:val="20"/>
          <w:szCs w:val="20"/>
          <w:lang w:val="en-US"/>
        </w:rPr>
        <w:t>”</w:t>
      </w:r>
      <w:r w:rsidRPr="008468B6">
        <w:rPr>
          <w:sz w:val="20"/>
          <w:szCs w:val="20"/>
          <w:lang w:val="en-US"/>
        </w:rPr>
        <w:t xml:space="preserve"> </w:t>
      </w:r>
      <w:r w:rsidRPr="00977A44">
        <w:rPr>
          <w:i/>
          <w:iCs/>
          <w:sz w:val="20"/>
          <w:szCs w:val="20"/>
        </w:rPr>
        <w:t>EPJ A</w:t>
      </w:r>
      <w:r w:rsidRPr="008468B6">
        <w:rPr>
          <w:sz w:val="20"/>
          <w:szCs w:val="20"/>
          <w:lang w:val="en-US"/>
        </w:rPr>
        <w:t xml:space="preserve">, </w:t>
      </w:r>
      <w:r w:rsidRPr="008468B6">
        <w:rPr>
          <w:b/>
          <w:bCs/>
          <w:sz w:val="20"/>
          <w:szCs w:val="20"/>
          <w:lang w:val="en-US"/>
        </w:rPr>
        <w:t>139</w:t>
      </w:r>
      <w:r w:rsidRPr="008468B6">
        <w:rPr>
          <w:sz w:val="20"/>
          <w:szCs w:val="20"/>
          <w:lang w:val="en-US"/>
        </w:rPr>
        <w:t>, 107276</w:t>
      </w:r>
      <w:bookmarkEnd w:id="23"/>
      <w:r w:rsidRPr="008468B6">
        <w:rPr>
          <w:sz w:val="20"/>
          <w:szCs w:val="20"/>
          <w:lang w:val="en-US"/>
        </w:rPr>
        <w:t xml:space="preserve"> </w:t>
      </w:r>
      <w:r>
        <w:rPr>
          <w:sz w:val="20"/>
          <w:szCs w:val="20"/>
          <w:lang w:val="en-US"/>
        </w:rPr>
        <w:t>(</w:t>
      </w:r>
      <w:r w:rsidRPr="008468B6">
        <w:rPr>
          <w:sz w:val="20"/>
          <w:szCs w:val="20"/>
          <w:lang w:val="en-US"/>
        </w:rPr>
        <w:t>2020</w:t>
      </w:r>
      <w:r>
        <w:rPr>
          <w:sz w:val="20"/>
          <w:szCs w:val="20"/>
          <w:lang w:val="en-US"/>
        </w:rPr>
        <w:t>)</w:t>
      </w:r>
      <w:r w:rsidRPr="008468B6">
        <w:rPr>
          <w:sz w:val="20"/>
          <w:szCs w:val="20"/>
          <w:lang w:val="en-US"/>
        </w:rPr>
        <w:t>.</w:t>
      </w:r>
    </w:p>
    <w:p w14:paraId="5052C919" w14:textId="6BD5C915" w:rsidR="00380348" w:rsidRDefault="00380348" w:rsidP="00380348">
      <w:pPr>
        <w:pStyle w:val="Referencelist"/>
        <w:rPr>
          <w:sz w:val="20"/>
          <w:szCs w:val="20"/>
        </w:rPr>
      </w:pPr>
      <w:bookmarkStart w:id="24" w:name="_Ref46225194"/>
      <w:bookmarkStart w:id="25" w:name="_Ref54173507"/>
      <w:r w:rsidRPr="00A8393E">
        <w:rPr>
          <w:sz w:val="20"/>
          <w:szCs w:val="20"/>
        </w:rPr>
        <w:t xml:space="preserve">B. L. Broadhead et al., “Sensitivity- and Uncertainty-Based Criticality Safety Validation Techniques,” </w:t>
      </w:r>
      <w:r w:rsidRPr="00A8393E">
        <w:rPr>
          <w:i/>
          <w:iCs/>
          <w:sz w:val="20"/>
          <w:szCs w:val="20"/>
        </w:rPr>
        <w:t>Nucl. Sci. Eng.</w:t>
      </w:r>
      <w:r w:rsidRPr="00A8393E">
        <w:rPr>
          <w:sz w:val="20"/>
          <w:szCs w:val="20"/>
        </w:rPr>
        <w:t xml:space="preserve"> </w:t>
      </w:r>
      <w:r w:rsidRPr="00A8393E">
        <w:rPr>
          <w:b/>
          <w:bCs/>
          <w:sz w:val="20"/>
          <w:szCs w:val="20"/>
        </w:rPr>
        <w:t>146</w:t>
      </w:r>
      <w:r w:rsidRPr="00A8393E">
        <w:rPr>
          <w:sz w:val="20"/>
          <w:szCs w:val="20"/>
        </w:rPr>
        <w:t>, pp. 340–366 (2004).</w:t>
      </w:r>
      <w:bookmarkEnd w:id="24"/>
      <w:bookmarkEnd w:id="25"/>
    </w:p>
    <w:p w14:paraId="1CAC5297" w14:textId="663473F5" w:rsidR="00380348" w:rsidRPr="00A8393E" w:rsidRDefault="00380348" w:rsidP="00380348">
      <w:pPr>
        <w:pStyle w:val="Referencelist"/>
        <w:rPr>
          <w:sz w:val="20"/>
          <w:szCs w:val="20"/>
          <w:lang w:val="en-US"/>
        </w:rPr>
      </w:pPr>
      <w:bookmarkStart w:id="26" w:name="_Ref58591262"/>
      <w:r w:rsidRPr="00A8393E">
        <w:rPr>
          <w:sz w:val="20"/>
          <w:szCs w:val="20"/>
          <w:lang w:val="en-US" w:eastAsia="en-GB"/>
        </w:rPr>
        <w:t xml:space="preserve">F. Bostelmann et al. </w:t>
      </w:r>
      <w:r>
        <w:rPr>
          <w:sz w:val="20"/>
          <w:szCs w:val="20"/>
          <w:lang w:val="en-US" w:eastAsia="en-GB"/>
        </w:rPr>
        <w:t>“</w:t>
      </w:r>
      <w:r w:rsidRPr="00A8393E">
        <w:rPr>
          <w:sz w:val="20"/>
          <w:szCs w:val="20"/>
          <w:lang w:val="en-US" w:eastAsia="en-GB"/>
        </w:rPr>
        <w:t>Sampling-Based Nuclear Data Uncertainty Analysis in Criticality</w:t>
      </w:r>
      <w:r w:rsidRPr="00A8393E">
        <w:rPr>
          <w:sz w:val="20"/>
          <w:szCs w:val="20"/>
          <w:lang w:val="en-US"/>
        </w:rPr>
        <w:t xml:space="preserve"> </w:t>
      </w:r>
      <w:r w:rsidRPr="00A8393E">
        <w:rPr>
          <w:sz w:val="20"/>
          <w:szCs w:val="20"/>
          <w:lang w:val="en-US" w:eastAsia="en-GB"/>
        </w:rPr>
        <w:t>and Depletion Calculations</w:t>
      </w:r>
      <w:r w:rsidR="00CF2213">
        <w:rPr>
          <w:sz w:val="20"/>
          <w:szCs w:val="20"/>
          <w:lang w:val="en-US" w:eastAsia="en-GB"/>
        </w:rPr>
        <w:t>,</w:t>
      </w:r>
      <w:r>
        <w:rPr>
          <w:sz w:val="20"/>
          <w:szCs w:val="20"/>
          <w:lang w:val="en-US" w:eastAsia="en-GB"/>
        </w:rPr>
        <w:t>”</w:t>
      </w:r>
      <w:r w:rsidRPr="00A8393E">
        <w:rPr>
          <w:sz w:val="20"/>
          <w:szCs w:val="20"/>
          <w:lang w:val="en-US" w:eastAsia="en-GB"/>
        </w:rPr>
        <w:t xml:space="preserve"> </w:t>
      </w:r>
      <w:r w:rsidR="009C76EB">
        <w:rPr>
          <w:sz w:val="20"/>
          <w:szCs w:val="20"/>
          <w:lang w:val="en-US" w:eastAsia="en-GB"/>
        </w:rPr>
        <w:t>Proc. of ANS</w:t>
      </w:r>
      <w:r w:rsidRPr="00A8393E">
        <w:rPr>
          <w:sz w:val="20"/>
          <w:szCs w:val="20"/>
          <w:lang w:val="en-US" w:eastAsia="en-GB"/>
        </w:rPr>
        <w:t xml:space="preserve"> </w:t>
      </w:r>
      <w:r w:rsidRPr="002A5341">
        <w:rPr>
          <w:i/>
          <w:iCs/>
          <w:sz w:val="20"/>
          <w:szCs w:val="20"/>
          <w:lang w:val="en-US" w:eastAsia="en-GB"/>
        </w:rPr>
        <w:t>MC2015</w:t>
      </w:r>
      <w:r w:rsidRPr="00A8393E">
        <w:rPr>
          <w:sz w:val="20"/>
          <w:szCs w:val="20"/>
          <w:lang w:val="en-US" w:eastAsia="en-GB"/>
        </w:rPr>
        <w:t xml:space="preserve">, Nashville, TN, April 19–23 </w:t>
      </w:r>
      <w:r>
        <w:rPr>
          <w:sz w:val="20"/>
          <w:szCs w:val="20"/>
          <w:lang w:val="en-US" w:eastAsia="en-GB"/>
        </w:rPr>
        <w:t>(</w:t>
      </w:r>
      <w:r w:rsidRPr="00A8393E">
        <w:rPr>
          <w:sz w:val="20"/>
          <w:szCs w:val="20"/>
          <w:lang w:val="en-US" w:eastAsia="en-GB"/>
        </w:rPr>
        <w:t>2015</w:t>
      </w:r>
      <w:r>
        <w:rPr>
          <w:sz w:val="20"/>
          <w:szCs w:val="20"/>
          <w:lang w:val="en-US" w:eastAsia="en-GB"/>
        </w:rPr>
        <w:t>)</w:t>
      </w:r>
      <w:r w:rsidRPr="00A8393E">
        <w:rPr>
          <w:sz w:val="20"/>
          <w:szCs w:val="20"/>
          <w:lang w:val="en-US" w:eastAsia="en-GB"/>
        </w:rPr>
        <w:t>.</w:t>
      </w:r>
      <w:bookmarkEnd w:id="26"/>
    </w:p>
    <w:p w14:paraId="1F03F724" w14:textId="1CD1C182" w:rsidR="00380348" w:rsidRPr="00A8393E" w:rsidRDefault="00380348" w:rsidP="00380348">
      <w:pPr>
        <w:pStyle w:val="Referencelist"/>
        <w:rPr>
          <w:sz w:val="20"/>
          <w:szCs w:val="20"/>
        </w:rPr>
      </w:pPr>
      <w:bookmarkStart w:id="27" w:name="_Ref64303296"/>
      <w:r w:rsidRPr="00A8393E">
        <w:rPr>
          <w:sz w:val="20"/>
          <w:szCs w:val="20"/>
        </w:rPr>
        <w:t>M. L. Williams</w:t>
      </w:r>
      <w:r w:rsidR="001E6107">
        <w:rPr>
          <w:sz w:val="20"/>
          <w:szCs w:val="20"/>
        </w:rPr>
        <w:t>,</w:t>
      </w:r>
      <w:r w:rsidRPr="00A8393E">
        <w:rPr>
          <w:sz w:val="20"/>
          <w:szCs w:val="20"/>
        </w:rPr>
        <w:t xml:space="preserve"> et al.</w:t>
      </w:r>
      <w:r w:rsidR="001E6107">
        <w:rPr>
          <w:sz w:val="20"/>
          <w:szCs w:val="20"/>
        </w:rPr>
        <w:t>,</w:t>
      </w:r>
      <w:r w:rsidRPr="00A8393E">
        <w:rPr>
          <w:sz w:val="20"/>
          <w:szCs w:val="20"/>
        </w:rPr>
        <w:t xml:space="preserve"> </w:t>
      </w:r>
      <w:r w:rsidR="00387880">
        <w:rPr>
          <w:sz w:val="20"/>
          <w:szCs w:val="20"/>
        </w:rPr>
        <w:t>“</w:t>
      </w:r>
      <w:r w:rsidRPr="00A8393E">
        <w:rPr>
          <w:sz w:val="20"/>
          <w:szCs w:val="20"/>
        </w:rPr>
        <w:t>A Statistical Sampling Method for Uncertainty Analysis with SCALE and XSUSA</w:t>
      </w:r>
      <w:r w:rsidR="00CF2213">
        <w:rPr>
          <w:sz w:val="20"/>
          <w:szCs w:val="20"/>
        </w:rPr>
        <w:t>,</w:t>
      </w:r>
      <w:r w:rsidR="00387880">
        <w:rPr>
          <w:sz w:val="20"/>
          <w:szCs w:val="20"/>
        </w:rPr>
        <w:t>”</w:t>
      </w:r>
      <w:r w:rsidRPr="00A8393E">
        <w:rPr>
          <w:sz w:val="20"/>
          <w:szCs w:val="20"/>
        </w:rPr>
        <w:t xml:space="preserve"> </w:t>
      </w:r>
      <w:proofErr w:type="spellStart"/>
      <w:r w:rsidRPr="002A5341">
        <w:rPr>
          <w:i/>
          <w:iCs/>
          <w:sz w:val="20"/>
          <w:szCs w:val="20"/>
        </w:rPr>
        <w:t>Nucl</w:t>
      </w:r>
      <w:proofErr w:type="spellEnd"/>
      <w:r w:rsidRPr="002A5341">
        <w:rPr>
          <w:i/>
          <w:iCs/>
          <w:sz w:val="20"/>
          <w:szCs w:val="20"/>
        </w:rPr>
        <w:t xml:space="preserve"> Technol</w:t>
      </w:r>
      <w:r>
        <w:rPr>
          <w:i/>
          <w:iCs/>
          <w:sz w:val="20"/>
          <w:szCs w:val="20"/>
        </w:rPr>
        <w:t>.</w:t>
      </w:r>
      <w:r w:rsidRPr="00A8393E">
        <w:rPr>
          <w:sz w:val="20"/>
          <w:szCs w:val="20"/>
        </w:rPr>
        <w:t xml:space="preserve">, </w:t>
      </w:r>
      <w:r w:rsidRPr="00A8393E">
        <w:rPr>
          <w:b/>
          <w:bCs/>
          <w:sz w:val="20"/>
          <w:szCs w:val="20"/>
        </w:rPr>
        <w:t>183</w:t>
      </w:r>
      <w:r w:rsidRPr="00A8393E">
        <w:rPr>
          <w:sz w:val="20"/>
          <w:szCs w:val="20"/>
        </w:rPr>
        <w:t>, pp. 515–526</w:t>
      </w:r>
      <w:r>
        <w:rPr>
          <w:sz w:val="20"/>
          <w:szCs w:val="20"/>
        </w:rPr>
        <w:t xml:space="preserve"> (2013)</w:t>
      </w:r>
      <w:r w:rsidRPr="00A8393E">
        <w:rPr>
          <w:sz w:val="20"/>
          <w:szCs w:val="20"/>
        </w:rPr>
        <w:t>.</w:t>
      </w:r>
      <w:bookmarkEnd w:id="27"/>
    </w:p>
    <w:p w14:paraId="463EC166" w14:textId="5526536B" w:rsidR="00380348" w:rsidRPr="00380348" w:rsidRDefault="00380348" w:rsidP="00380348">
      <w:pPr>
        <w:pStyle w:val="Referencelist"/>
        <w:rPr>
          <w:sz w:val="20"/>
          <w:szCs w:val="20"/>
          <w:lang w:val="en-US"/>
        </w:rPr>
      </w:pPr>
      <w:bookmarkStart w:id="28" w:name="_Ref58591908"/>
      <w:r w:rsidRPr="00A8393E">
        <w:rPr>
          <w:sz w:val="20"/>
          <w:szCs w:val="20"/>
          <w:shd w:val="clear" w:color="auto" w:fill="FFFFFF"/>
        </w:rPr>
        <w:t xml:space="preserve">T. </w:t>
      </w:r>
      <w:proofErr w:type="spellStart"/>
      <w:r w:rsidRPr="00A8393E">
        <w:rPr>
          <w:sz w:val="20"/>
          <w:szCs w:val="20"/>
          <w:shd w:val="clear" w:color="auto" w:fill="FFFFFF"/>
        </w:rPr>
        <w:t>Goorley</w:t>
      </w:r>
      <w:proofErr w:type="spellEnd"/>
      <w:r w:rsidRPr="00A8393E">
        <w:rPr>
          <w:sz w:val="20"/>
          <w:szCs w:val="20"/>
          <w:shd w:val="clear" w:color="auto" w:fill="FFFFFF"/>
        </w:rPr>
        <w:t xml:space="preserve"> et al., </w:t>
      </w:r>
      <w:r>
        <w:rPr>
          <w:sz w:val="20"/>
          <w:szCs w:val="20"/>
          <w:shd w:val="clear" w:color="auto" w:fill="FFFFFF"/>
        </w:rPr>
        <w:t>“</w:t>
      </w:r>
      <w:r w:rsidRPr="00A8393E">
        <w:rPr>
          <w:sz w:val="20"/>
          <w:szCs w:val="20"/>
          <w:shd w:val="clear" w:color="auto" w:fill="FFFFFF"/>
        </w:rPr>
        <w:t>Initial MCNP6 Release Overview</w:t>
      </w:r>
      <w:r>
        <w:rPr>
          <w:sz w:val="20"/>
          <w:szCs w:val="20"/>
          <w:shd w:val="clear" w:color="auto" w:fill="FFFFFF"/>
        </w:rPr>
        <w:t>,”</w:t>
      </w:r>
      <w:r w:rsidRPr="00A8393E">
        <w:rPr>
          <w:sz w:val="20"/>
          <w:szCs w:val="20"/>
          <w:shd w:val="clear" w:color="auto" w:fill="FFFFFF"/>
        </w:rPr>
        <w:t xml:space="preserve"> </w:t>
      </w:r>
      <w:r w:rsidRPr="00970C71">
        <w:rPr>
          <w:i/>
          <w:iCs/>
          <w:sz w:val="20"/>
          <w:szCs w:val="20"/>
          <w:shd w:val="clear" w:color="auto" w:fill="FFFFFF"/>
        </w:rPr>
        <w:t>Nucl. Technol.</w:t>
      </w:r>
      <w:r w:rsidRPr="00A8393E">
        <w:rPr>
          <w:sz w:val="20"/>
          <w:szCs w:val="20"/>
          <w:shd w:val="clear" w:color="auto" w:fill="FFFFFF"/>
        </w:rPr>
        <w:t>, </w:t>
      </w:r>
      <w:r w:rsidRPr="00A8393E">
        <w:rPr>
          <w:b/>
          <w:bCs/>
          <w:sz w:val="20"/>
          <w:szCs w:val="20"/>
          <w:shd w:val="clear" w:color="auto" w:fill="FFFFFF"/>
        </w:rPr>
        <w:t>180</w:t>
      </w:r>
      <w:r w:rsidRPr="00A8393E">
        <w:rPr>
          <w:sz w:val="20"/>
          <w:szCs w:val="20"/>
          <w:shd w:val="clear" w:color="auto" w:fill="FFFFFF"/>
        </w:rPr>
        <w:t>, pp</w:t>
      </w:r>
      <w:r>
        <w:rPr>
          <w:sz w:val="20"/>
          <w:szCs w:val="20"/>
          <w:shd w:val="clear" w:color="auto" w:fill="FFFFFF"/>
        </w:rPr>
        <w:t>.</w:t>
      </w:r>
      <w:r w:rsidRPr="00A8393E">
        <w:rPr>
          <w:sz w:val="20"/>
          <w:szCs w:val="20"/>
          <w:shd w:val="clear" w:color="auto" w:fill="FFFFFF"/>
        </w:rPr>
        <w:t xml:space="preserve"> 298-315 (2012).</w:t>
      </w:r>
      <w:bookmarkEnd w:id="28"/>
    </w:p>
    <w:p w14:paraId="4F57209D" w14:textId="2215739E" w:rsidR="00380348" w:rsidRDefault="00380348" w:rsidP="00380348">
      <w:pPr>
        <w:pStyle w:val="Referencelist"/>
        <w:rPr>
          <w:sz w:val="20"/>
          <w:szCs w:val="20"/>
          <w:lang w:val="en-US"/>
        </w:rPr>
      </w:pPr>
      <w:bookmarkStart w:id="29" w:name="_Ref58591187"/>
      <w:r w:rsidRPr="008D73DA">
        <w:rPr>
          <w:sz w:val="20"/>
          <w:szCs w:val="20"/>
          <w:lang w:val="en-US"/>
        </w:rPr>
        <w:t xml:space="preserve">W. </w:t>
      </w:r>
      <w:proofErr w:type="spellStart"/>
      <w:r w:rsidRPr="008D73DA">
        <w:rPr>
          <w:sz w:val="20"/>
          <w:szCs w:val="20"/>
          <w:lang w:val="en-US"/>
        </w:rPr>
        <w:t>Zwermann</w:t>
      </w:r>
      <w:proofErr w:type="spellEnd"/>
      <w:r w:rsidRPr="008D73DA">
        <w:rPr>
          <w:sz w:val="20"/>
          <w:szCs w:val="20"/>
          <w:lang w:val="en-US"/>
        </w:rPr>
        <w:t xml:space="preserve">, N. Berner, A. </w:t>
      </w:r>
      <w:proofErr w:type="spellStart"/>
      <w:r w:rsidRPr="008D73DA">
        <w:rPr>
          <w:sz w:val="20"/>
          <w:szCs w:val="20"/>
          <w:lang w:val="en-US"/>
        </w:rPr>
        <w:t>Aures</w:t>
      </w:r>
      <w:proofErr w:type="spellEnd"/>
      <w:r w:rsidRPr="008D73DA">
        <w:rPr>
          <w:sz w:val="20"/>
          <w:szCs w:val="20"/>
          <w:lang w:val="en-US"/>
        </w:rPr>
        <w:t xml:space="preserve">, K. </w:t>
      </w:r>
      <w:proofErr w:type="spellStart"/>
      <w:r w:rsidRPr="008D73DA">
        <w:rPr>
          <w:sz w:val="20"/>
          <w:szCs w:val="20"/>
          <w:lang w:val="en-US"/>
        </w:rPr>
        <w:t>Velkov</w:t>
      </w:r>
      <w:proofErr w:type="spellEnd"/>
      <w:r w:rsidR="00387880" w:rsidRPr="008D73DA">
        <w:rPr>
          <w:sz w:val="20"/>
          <w:szCs w:val="20"/>
          <w:lang w:val="en-US"/>
        </w:rPr>
        <w:t>,</w:t>
      </w:r>
      <w:r w:rsidRPr="008D73DA">
        <w:rPr>
          <w:sz w:val="20"/>
          <w:szCs w:val="20"/>
          <w:lang w:val="en-US"/>
        </w:rPr>
        <w:t xml:space="preserve"> </w:t>
      </w:r>
      <w:r w:rsidRPr="00A8393E">
        <w:rPr>
          <w:sz w:val="20"/>
          <w:szCs w:val="20"/>
        </w:rPr>
        <w:t>“</w:t>
      </w:r>
      <w:r w:rsidRPr="00A8393E">
        <w:rPr>
          <w:sz w:val="20"/>
          <w:szCs w:val="20"/>
          <w:lang w:val="en-US"/>
        </w:rPr>
        <w:t xml:space="preserve">Sensitivity and Uncertainty Analysis for the UAM-SFR Sub-Exercises with Linear Regression from Random Sampling,” </w:t>
      </w:r>
      <w:r w:rsidRPr="002A5341">
        <w:rPr>
          <w:i/>
          <w:iCs/>
          <w:sz w:val="20"/>
          <w:szCs w:val="20"/>
          <w:lang w:val="en-US"/>
        </w:rPr>
        <w:t>Ann. Nucl. Energ</w:t>
      </w:r>
      <w:r w:rsidR="00387880">
        <w:rPr>
          <w:i/>
          <w:iCs/>
          <w:sz w:val="20"/>
          <w:szCs w:val="20"/>
          <w:lang w:val="en-US"/>
        </w:rPr>
        <w:t>y</w:t>
      </w:r>
      <w:r w:rsidRPr="00A8393E">
        <w:rPr>
          <w:sz w:val="20"/>
          <w:szCs w:val="20"/>
          <w:lang w:val="en-US"/>
        </w:rPr>
        <w:t xml:space="preserve">, </w:t>
      </w:r>
      <w:r w:rsidRPr="00A8393E">
        <w:rPr>
          <w:b/>
          <w:bCs/>
          <w:sz w:val="20"/>
          <w:szCs w:val="20"/>
          <w:lang w:val="en-US"/>
        </w:rPr>
        <w:t>149</w:t>
      </w:r>
      <w:r w:rsidRPr="00A8393E">
        <w:rPr>
          <w:sz w:val="20"/>
          <w:szCs w:val="20"/>
          <w:lang w:val="en-US"/>
        </w:rPr>
        <w:t>, 107832</w:t>
      </w:r>
      <w:r>
        <w:rPr>
          <w:sz w:val="20"/>
          <w:szCs w:val="20"/>
          <w:lang w:val="en-US"/>
        </w:rPr>
        <w:t xml:space="preserve"> (2020)</w:t>
      </w:r>
      <w:r w:rsidRPr="00A8393E">
        <w:rPr>
          <w:sz w:val="20"/>
          <w:szCs w:val="20"/>
          <w:lang w:val="en-US"/>
        </w:rPr>
        <w:t>.</w:t>
      </w:r>
      <w:bookmarkEnd w:id="29"/>
    </w:p>
    <w:p w14:paraId="3B9B93E6" w14:textId="3D417356" w:rsidR="005C3DC8" w:rsidRDefault="005C3DC8" w:rsidP="005C3DC8">
      <w:pPr>
        <w:pStyle w:val="Referencelist"/>
        <w:rPr>
          <w:sz w:val="20"/>
          <w:szCs w:val="20"/>
        </w:rPr>
      </w:pPr>
      <w:bookmarkStart w:id="30" w:name="_Ref63181463"/>
      <w:r>
        <w:rPr>
          <w:sz w:val="20"/>
          <w:szCs w:val="20"/>
        </w:rPr>
        <w:t xml:space="preserve">D. </w:t>
      </w:r>
      <w:r w:rsidRPr="008468B6">
        <w:rPr>
          <w:sz w:val="20"/>
          <w:szCs w:val="20"/>
        </w:rPr>
        <w:t xml:space="preserve">Rochman </w:t>
      </w:r>
      <w:r>
        <w:rPr>
          <w:sz w:val="20"/>
          <w:szCs w:val="20"/>
        </w:rPr>
        <w:t>et al.,</w:t>
      </w:r>
      <w:r w:rsidRPr="008468B6">
        <w:rPr>
          <w:sz w:val="20"/>
          <w:szCs w:val="20"/>
        </w:rPr>
        <w:t xml:space="preserve"> </w:t>
      </w:r>
      <w:r>
        <w:rPr>
          <w:sz w:val="20"/>
          <w:szCs w:val="20"/>
        </w:rPr>
        <w:t>“</w:t>
      </w:r>
      <w:r w:rsidRPr="008468B6">
        <w:rPr>
          <w:sz w:val="20"/>
          <w:szCs w:val="20"/>
        </w:rPr>
        <w:t>Nuclear Data Uncertainties for Typical LWR Fuel Assemblies and a Simple Reactor Core</w:t>
      </w:r>
      <w:r w:rsidR="00CF2213">
        <w:rPr>
          <w:sz w:val="20"/>
          <w:szCs w:val="20"/>
        </w:rPr>
        <w:t>,</w:t>
      </w:r>
      <w:r>
        <w:rPr>
          <w:sz w:val="20"/>
          <w:szCs w:val="20"/>
        </w:rPr>
        <w:t>”</w:t>
      </w:r>
      <w:r w:rsidRPr="008468B6">
        <w:rPr>
          <w:sz w:val="20"/>
          <w:szCs w:val="20"/>
        </w:rPr>
        <w:t xml:space="preserve"> </w:t>
      </w:r>
      <w:proofErr w:type="spellStart"/>
      <w:r w:rsidRPr="002A5341">
        <w:rPr>
          <w:i/>
          <w:iCs/>
          <w:sz w:val="20"/>
          <w:szCs w:val="20"/>
        </w:rPr>
        <w:t>Nucl</w:t>
      </w:r>
      <w:proofErr w:type="spellEnd"/>
      <w:r w:rsidRPr="002A5341">
        <w:rPr>
          <w:i/>
          <w:iCs/>
          <w:sz w:val="20"/>
          <w:szCs w:val="20"/>
        </w:rPr>
        <w:t>. Data Sheets</w:t>
      </w:r>
      <w:r w:rsidRPr="008468B6">
        <w:rPr>
          <w:sz w:val="20"/>
          <w:szCs w:val="20"/>
        </w:rPr>
        <w:t xml:space="preserve">, </w:t>
      </w:r>
      <w:r w:rsidRPr="002F31DC">
        <w:rPr>
          <w:b/>
          <w:bCs/>
          <w:sz w:val="20"/>
          <w:szCs w:val="20"/>
        </w:rPr>
        <w:t>139</w:t>
      </w:r>
      <w:r w:rsidRPr="008468B6">
        <w:rPr>
          <w:sz w:val="20"/>
          <w:szCs w:val="20"/>
        </w:rPr>
        <w:t xml:space="preserve">, </w:t>
      </w:r>
      <w:r>
        <w:rPr>
          <w:sz w:val="20"/>
          <w:szCs w:val="20"/>
        </w:rPr>
        <w:t xml:space="preserve">pp. </w:t>
      </w:r>
      <w:r w:rsidRPr="008468B6">
        <w:rPr>
          <w:sz w:val="20"/>
          <w:szCs w:val="20"/>
        </w:rPr>
        <w:t>1–76</w:t>
      </w:r>
      <w:r>
        <w:rPr>
          <w:sz w:val="20"/>
          <w:szCs w:val="20"/>
        </w:rPr>
        <w:t xml:space="preserve"> (2017)</w:t>
      </w:r>
      <w:r w:rsidRPr="008468B6">
        <w:rPr>
          <w:sz w:val="20"/>
          <w:szCs w:val="20"/>
        </w:rPr>
        <w:t>.</w:t>
      </w:r>
      <w:bookmarkEnd w:id="30"/>
    </w:p>
    <w:p w14:paraId="3A5B01D8" w14:textId="77777777" w:rsidR="00380348" w:rsidRPr="00A8393E" w:rsidRDefault="00380348" w:rsidP="00E0287C">
      <w:pPr>
        <w:pStyle w:val="Referencelist"/>
        <w:numPr>
          <w:ilvl w:val="0"/>
          <w:numId w:val="0"/>
        </w:numPr>
        <w:ind w:left="360"/>
        <w:rPr>
          <w:sz w:val="20"/>
          <w:szCs w:val="20"/>
          <w:lang w:val="en-US"/>
        </w:rPr>
      </w:pPr>
    </w:p>
    <w:p w14:paraId="7342FA7A" w14:textId="73801729" w:rsidR="005A652C" w:rsidRDefault="005A652C"/>
    <w:p w14:paraId="5B44341F" w14:textId="753E5642" w:rsidR="005D0B9E" w:rsidRDefault="005D0B9E" w:rsidP="005D0B9E">
      <w:pPr>
        <w:pStyle w:val="Otherunnumberedheadings"/>
      </w:pPr>
      <w:r>
        <w:t>APPENDIX</w:t>
      </w:r>
    </w:p>
    <w:p w14:paraId="2A7492E3" w14:textId="07038CF0" w:rsidR="00827199" w:rsidRDefault="00827199" w:rsidP="00827199">
      <w:pPr>
        <w:pStyle w:val="BodyText"/>
        <w:ind w:firstLine="0"/>
      </w:pPr>
      <w:r>
        <w:t xml:space="preserve">Besides the eigenvalue </w:t>
      </w:r>
      <w:r>
        <w:t>k</w:t>
      </w:r>
      <w:r w:rsidRPr="00AD26E4">
        <w:rPr>
          <w:vertAlign w:val="subscript"/>
        </w:rPr>
        <w:t>eff</w:t>
      </w:r>
      <w:r w:rsidRPr="00827199">
        <w:t>,</w:t>
      </w:r>
      <w:r>
        <w:t xml:space="preserve"> the Doppler constant, sodium void worth and control rod worth, results are compared for </w:t>
      </w:r>
      <w:r>
        <w:t>collapsed 1-group microscopic or macroscopic cross section</w:t>
      </w:r>
      <w:r>
        <w:t>s</w:t>
      </w:r>
      <w:r>
        <w:t>.</w:t>
      </w:r>
      <w:r>
        <w:t xml:space="preserve"> The labels of the</w:t>
      </w:r>
      <w:r w:rsidR="00E70268">
        <w:t>se cross sections</w:t>
      </w:r>
      <w:r>
        <w:t xml:space="preserve"> specify material</w:t>
      </w:r>
      <w:r w:rsidR="004434B2">
        <w:t xml:space="preserve"> (if not averaged over the geometry), </w:t>
      </w:r>
      <w:r>
        <w:t>type</w:t>
      </w:r>
      <w:r w:rsidR="004434B2">
        <w:t xml:space="preserve"> (</w:t>
      </w:r>
      <w:r w:rsidR="004434B2">
        <w:t>microscopic “mic” or macroscopic “mac”</w:t>
      </w:r>
      <w:r w:rsidR="004434B2">
        <w:t xml:space="preserve">), </w:t>
      </w:r>
      <w:r>
        <w:t>reaction</w:t>
      </w:r>
      <w:r w:rsidR="004434B2">
        <w:t xml:space="preserve">, </w:t>
      </w:r>
      <w:r>
        <w:t>nuclide</w:t>
      </w:r>
      <w:r w:rsidR="004434B2">
        <w:t xml:space="preserve"> (for microscopic cross sections).</w:t>
      </w:r>
    </w:p>
    <w:p w14:paraId="699B88B0" w14:textId="77777777" w:rsidR="00E70268" w:rsidRPr="00827199" w:rsidRDefault="00E70268" w:rsidP="00827199">
      <w:pPr>
        <w:pStyle w:val="BodyText"/>
        <w:ind w:firstLine="0"/>
      </w:pPr>
    </w:p>
    <w:p w14:paraId="4F6ABC5B" w14:textId="77777777" w:rsidR="004F3F0D" w:rsidRDefault="00CF15E4">
      <w:r>
        <w:rPr>
          <w:noProof/>
        </w:rPr>
        <w:lastRenderedPageBreak/>
        <w:drawing>
          <wp:inline distT="0" distB="0" distL="0" distR="0" wp14:anchorId="08A42F3F" wp14:editId="013B5F89">
            <wp:extent cx="5276176" cy="246888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176" cy="2468880"/>
                    </a:xfrm>
                    <a:prstGeom prst="rect">
                      <a:avLst/>
                    </a:prstGeom>
                  </pic:spPr>
                </pic:pic>
              </a:graphicData>
            </a:graphic>
          </wp:inline>
        </w:drawing>
      </w:r>
    </w:p>
    <w:p w14:paraId="4CC8C886" w14:textId="13ACBAEF" w:rsidR="004F3F0D" w:rsidRPr="00802381" w:rsidRDefault="004F3F0D" w:rsidP="00FD6D8A">
      <w:pPr>
        <w:pStyle w:val="Caption"/>
        <w:spacing w:before="120" w:after="120" w:line="360" w:lineRule="auto"/>
        <w:jc w:val="center"/>
        <w:rPr>
          <w:i/>
          <w:sz w:val="20"/>
        </w:rPr>
      </w:pPr>
      <w:bookmarkStart w:id="31" w:name="_Ref63181026"/>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5</w:t>
      </w:r>
      <w:r w:rsidRPr="00802381">
        <w:rPr>
          <w:i/>
        </w:rPr>
        <w:fldChar w:fldCharType="end"/>
      </w:r>
      <w:bookmarkEnd w:id="31"/>
      <w:r>
        <w:rPr>
          <w:i/>
        </w:rPr>
        <w:t>. MOX3600 pin cell: Uncertainty analysis results.</w:t>
      </w:r>
    </w:p>
    <w:p w14:paraId="16060602" w14:textId="77777777" w:rsidR="004F3F0D" w:rsidRDefault="00CF15E4">
      <w:r>
        <w:rPr>
          <w:noProof/>
        </w:rPr>
        <w:drawing>
          <wp:inline distT="0" distB="0" distL="0" distR="0" wp14:anchorId="28AE6E2B" wp14:editId="0DBA77E2">
            <wp:extent cx="5339924" cy="2377440"/>
            <wp:effectExtent l="0" t="0" r="0" b="0"/>
            <wp:docPr id="16" name="Picture 16"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riting implement, stationary, penc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9924" cy="2377440"/>
                    </a:xfrm>
                    <a:prstGeom prst="rect">
                      <a:avLst/>
                    </a:prstGeom>
                  </pic:spPr>
                </pic:pic>
              </a:graphicData>
            </a:graphic>
          </wp:inline>
        </w:drawing>
      </w:r>
    </w:p>
    <w:p w14:paraId="00214715" w14:textId="2329343C" w:rsidR="004F3F0D" w:rsidRPr="00802381" w:rsidRDefault="004F3F0D" w:rsidP="00FD6D8A">
      <w:pPr>
        <w:pStyle w:val="Caption"/>
        <w:spacing w:before="120" w:after="120" w:line="360" w:lineRule="auto"/>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6</w:t>
      </w:r>
      <w:r w:rsidRPr="00802381">
        <w:rPr>
          <w:i/>
        </w:rPr>
        <w:fldChar w:fldCharType="end"/>
      </w:r>
      <w:r>
        <w:rPr>
          <w:i/>
        </w:rPr>
        <w:t>. MOX3600 fuel assembly: Uncertainty analysis results.</w:t>
      </w:r>
    </w:p>
    <w:p w14:paraId="7AD1B538" w14:textId="4DC191DF" w:rsidR="00CF15E4" w:rsidRDefault="00CF15E4">
      <w:r>
        <w:rPr>
          <w:noProof/>
        </w:rPr>
        <w:drawing>
          <wp:inline distT="0" distB="0" distL="0" distR="0" wp14:anchorId="0A889755" wp14:editId="035BD404">
            <wp:extent cx="5411992" cy="2468880"/>
            <wp:effectExtent l="0" t="0" r="0" b="0"/>
            <wp:docPr id="17" name="Picture 17" descr="A picture containing text,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riting implement, stationa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1992" cy="2468880"/>
                    </a:xfrm>
                    <a:prstGeom prst="rect">
                      <a:avLst/>
                    </a:prstGeom>
                  </pic:spPr>
                </pic:pic>
              </a:graphicData>
            </a:graphic>
          </wp:inline>
        </w:drawing>
      </w:r>
    </w:p>
    <w:p w14:paraId="69974E28" w14:textId="7F3D5DA2" w:rsidR="00CF15E4" w:rsidRPr="00444585" w:rsidRDefault="00CF15E4" w:rsidP="00FD6D8A">
      <w:pPr>
        <w:pStyle w:val="Caption"/>
        <w:spacing w:before="120" w:after="120" w:line="360" w:lineRule="auto"/>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7</w:t>
      </w:r>
      <w:r w:rsidRPr="00802381">
        <w:rPr>
          <w:i/>
        </w:rPr>
        <w:fldChar w:fldCharType="end"/>
      </w:r>
      <w:r>
        <w:rPr>
          <w:i/>
        </w:rPr>
        <w:t xml:space="preserve">. </w:t>
      </w:r>
      <w:r w:rsidR="00756A52">
        <w:rPr>
          <w:i/>
        </w:rPr>
        <w:t>MOX3600</w:t>
      </w:r>
      <w:r w:rsidR="004F3F0D">
        <w:rPr>
          <w:i/>
        </w:rPr>
        <w:t xml:space="preserve"> supercell</w:t>
      </w:r>
      <w:r>
        <w:rPr>
          <w:i/>
        </w:rPr>
        <w:t>: Uncertainty analysis results.</w:t>
      </w:r>
    </w:p>
    <w:p w14:paraId="18032F22" w14:textId="1844F3BD" w:rsidR="00AB4867" w:rsidRDefault="00CF15E4" w:rsidP="00660111">
      <w:r>
        <w:br w:type="page"/>
      </w:r>
      <w:r>
        <w:rPr>
          <w:noProof/>
        </w:rPr>
        <w:lastRenderedPageBreak/>
        <w:drawing>
          <wp:inline distT="0" distB="0" distL="0" distR="0" wp14:anchorId="54AA2BEA" wp14:editId="5F195A2F">
            <wp:extent cx="5394960" cy="2573468"/>
            <wp:effectExtent l="0" t="0" r="2540" b="508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4960" cy="2573468"/>
                    </a:xfrm>
                    <a:prstGeom prst="rect">
                      <a:avLst/>
                    </a:prstGeom>
                  </pic:spPr>
                </pic:pic>
              </a:graphicData>
            </a:graphic>
          </wp:inline>
        </w:drawing>
      </w:r>
    </w:p>
    <w:p w14:paraId="4D33FCCC" w14:textId="0BF6DC15" w:rsidR="00AB4867" w:rsidRPr="00756A52" w:rsidRDefault="00AB4867" w:rsidP="00FD6D8A">
      <w:pPr>
        <w:pStyle w:val="Caption"/>
        <w:spacing w:before="120" w:after="120" w:line="360" w:lineRule="auto"/>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8</w:t>
      </w:r>
      <w:r w:rsidRPr="00802381">
        <w:rPr>
          <w:i/>
        </w:rPr>
        <w:fldChar w:fldCharType="end"/>
      </w:r>
      <w:r>
        <w:rPr>
          <w:i/>
        </w:rPr>
        <w:t>. MOX3600</w:t>
      </w:r>
      <w:r w:rsidR="008B6ED1">
        <w:rPr>
          <w:i/>
        </w:rPr>
        <w:t xml:space="preserve"> pin cell</w:t>
      </w:r>
      <w:r>
        <w:rPr>
          <w:i/>
        </w:rPr>
        <w:t>: Relative difference of individual uncertainty results to corresponding mean value.</w:t>
      </w:r>
    </w:p>
    <w:p w14:paraId="1F01E71F" w14:textId="1DCE8CFB" w:rsidR="00AB4867" w:rsidRDefault="00CF15E4" w:rsidP="005A652C">
      <w:pPr>
        <w:pStyle w:val="BodyText"/>
        <w:ind w:firstLine="0"/>
      </w:pPr>
      <w:r>
        <w:rPr>
          <w:noProof/>
        </w:rPr>
        <w:drawing>
          <wp:inline distT="0" distB="0" distL="0" distR="0" wp14:anchorId="12F9E5E4" wp14:editId="23FAA3D8">
            <wp:extent cx="5394960" cy="2811929"/>
            <wp:effectExtent l="0" t="0" r="254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4960" cy="2811929"/>
                    </a:xfrm>
                    <a:prstGeom prst="rect">
                      <a:avLst/>
                    </a:prstGeom>
                  </pic:spPr>
                </pic:pic>
              </a:graphicData>
            </a:graphic>
          </wp:inline>
        </w:drawing>
      </w:r>
    </w:p>
    <w:p w14:paraId="270C4C0E" w14:textId="3D811814" w:rsidR="00AB4867" w:rsidRPr="00756A52" w:rsidRDefault="00AB4867" w:rsidP="00FD6D8A">
      <w:pPr>
        <w:pStyle w:val="Caption"/>
        <w:spacing w:before="120" w:after="120" w:line="360" w:lineRule="auto"/>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9</w:t>
      </w:r>
      <w:r w:rsidRPr="00802381">
        <w:rPr>
          <w:i/>
        </w:rPr>
        <w:fldChar w:fldCharType="end"/>
      </w:r>
      <w:r>
        <w:rPr>
          <w:i/>
        </w:rPr>
        <w:t>. MOX3600</w:t>
      </w:r>
      <w:r w:rsidR="008B6ED1">
        <w:rPr>
          <w:i/>
        </w:rPr>
        <w:t xml:space="preserve"> fuel assembly</w:t>
      </w:r>
      <w:r>
        <w:rPr>
          <w:i/>
        </w:rPr>
        <w:t>: Relative difference of individual uncertainty results to corresponding mean value.</w:t>
      </w:r>
    </w:p>
    <w:p w14:paraId="41F7CAB8" w14:textId="3E6E0D52" w:rsidR="005A652C" w:rsidRDefault="00CF15E4" w:rsidP="005A652C">
      <w:pPr>
        <w:pStyle w:val="BodyText"/>
        <w:ind w:firstLine="0"/>
      </w:pPr>
      <w:r>
        <w:rPr>
          <w:noProof/>
        </w:rPr>
        <w:drawing>
          <wp:inline distT="0" distB="0" distL="0" distR="0" wp14:anchorId="52F907A9" wp14:editId="5E75CC01">
            <wp:extent cx="5394960" cy="2484418"/>
            <wp:effectExtent l="0" t="0" r="2540" b="5080"/>
            <wp:docPr id="20" name="Picture 2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4960" cy="2484418"/>
                    </a:xfrm>
                    <a:prstGeom prst="rect">
                      <a:avLst/>
                    </a:prstGeom>
                  </pic:spPr>
                </pic:pic>
              </a:graphicData>
            </a:graphic>
          </wp:inline>
        </w:drawing>
      </w:r>
    </w:p>
    <w:p w14:paraId="5EF4E005" w14:textId="7E83C7DF" w:rsidR="005A652C" w:rsidRPr="00756A52" w:rsidRDefault="005A652C" w:rsidP="00FD6D8A">
      <w:pPr>
        <w:pStyle w:val="Caption"/>
        <w:spacing w:before="120" w:after="120" w:line="360" w:lineRule="auto"/>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83C1D">
        <w:rPr>
          <w:i/>
          <w:noProof/>
        </w:rPr>
        <w:t>10</w:t>
      </w:r>
      <w:r w:rsidRPr="00802381">
        <w:rPr>
          <w:i/>
        </w:rPr>
        <w:fldChar w:fldCharType="end"/>
      </w:r>
      <w:r>
        <w:rPr>
          <w:i/>
        </w:rPr>
        <w:t xml:space="preserve">. </w:t>
      </w:r>
      <w:r w:rsidR="00756A52">
        <w:rPr>
          <w:i/>
        </w:rPr>
        <w:t>MOX3600</w:t>
      </w:r>
      <w:r w:rsidR="008B6ED1">
        <w:rPr>
          <w:i/>
        </w:rPr>
        <w:t xml:space="preserve"> supercell</w:t>
      </w:r>
      <w:r>
        <w:rPr>
          <w:i/>
        </w:rPr>
        <w:t>: Relative difference of individual uncertainty results to corresponding mean value.</w:t>
      </w:r>
    </w:p>
    <w:sectPr w:rsidR="005A652C" w:rsidRPr="00756A52" w:rsidSect="0026525A">
      <w:headerReference w:type="even" r:id="rId21"/>
      <w:headerReference w:type="default" r:id="rId22"/>
      <w:footerReference w:type="even" r:id="rId23"/>
      <w:footerReference w:type="default" r:id="rId24"/>
      <w:headerReference w:type="first" r:id="rId25"/>
      <w:footerReference w:type="first" r:id="rId26"/>
      <w:footnotePr>
        <w:numFmt w:val="chicago"/>
      </w:footnotePr>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A793A" w14:textId="77777777" w:rsidR="003D163D" w:rsidRDefault="003D163D">
      <w:r>
        <w:separator/>
      </w:r>
    </w:p>
  </w:endnote>
  <w:endnote w:type="continuationSeparator" w:id="0">
    <w:p w14:paraId="460BF71D" w14:textId="77777777" w:rsidR="003D163D" w:rsidRDefault="003D1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5D92" w14:textId="77777777" w:rsidR="00B63033" w:rsidRDefault="00B63033">
    <w:pPr>
      <w:pStyle w:val="zyxClassification1"/>
    </w:pPr>
    <w:r>
      <w:fldChar w:fldCharType="begin"/>
    </w:r>
    <w:r>
      <w:instrText xml:space="preserve"> DOCPROPERTY "IaeaClassification"  \* MERGEFORMAT </w:instrText>
    </w:r>
    <w:r>
      <w:fldChar w:fldCharType="end"/>
    </w:r>
  </w:p>
  <w:p w14:paraId="771E5D93" w14:textId="77777777" w:rsidR="00B63033" w:rsidRDefault="00B6303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5D94" w14:textId="77777777" w:rsidR="00B63033" w:rsidRDefault="00B63033">
    <w:pPr>
      <w:pStyle w:val="zyxClassification1"/>
    </w:pPr>
    <w:r>
      <w:fldChar w:fldCharType="begin"/>
    </w:r>
    <w:r>
      <w:instrText xml:space="preserve"> DOCPROPERTY "IaeaClassification"  \* MERGEFORMAT </w:instrText>
    </w:r>
    <w:r>
      <w:fldChar w:fldCharType="end"/>
    </w:r>
  </w:p>
  <w:p w14:paraId="771E5D95" w14:textId="77777777" w:rsidR="00B63033" w:rsidRPr="00037321" w:rsidRDefault="00B6303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B63033" w14:paraId="771E5DA4" w14:textId="77777777">
      <w:trPr>
        <w:cantSplit/>
      </w:trPr>
      <w:tc>
        <w:tcPr>
          <w:tcW w:w="4644" w:type="dxa"/>
        </w:tcPr>
        <w:p w14:paraId="771E5DA0" w14:textId="77777777" w:rsidR="00B63033" w:rsidRDefault="00B6303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77777777" w:rsidR="00B63033" w:rsidRDefault="00B6303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3" w:name="DOC_bkmClassification2"/>
      <w:tc>
        <w:tcPr>
          <w:tcW w:w="5670" w:type="dxa"/>
          <w:tcMar>
            <w:right w:w="249" w:type="dxa"/>
          </w:tcMar>
        </w:tcPr>
        <w:p w14:paraId="771E5DA2" w14:textId="77777777" w:rsidR="00B63033" w:rsidRDefault="00B6303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3"/>
        <w:p w14:paraId="771E5DA3" w14:textId="77777777" w:rsidR="00B63033" w:rsidRDefault="00B6303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4" w:name="DOC_bkmFileName"/>
  <w:p w14:paraId="771E5DA5" w14:textId="77777777" w:rsidR="00B63033" w:rsidRDefault="00B63033">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F4801" w14:textId="77777777" w:rsidR="003D163D" w:rsidRDefault="003D163D">
      <w:r>
        <w:t>___________________________________________________________________________</w:t>
      </w:r>
    </w:p>
  </w:footnote>
  <w:footnote w:type="continuationSeparator" w:id="0">
    <w:p w14:paraId="02121930" w14:textId="77777777" w:rsidR="003D163D" w:rsidRDefault="003D163D">
      <w:r>
        <w:t>___________________________________________________________________________</w:t>
      </w:r>
    </w:p>
  </w:footnote>
  <w:footnote w:type="continuationNotice" w:id="1">
    <w:p w14:paraId="06403677" w14:textId="77777777" w:rsidR="003D163D" w:rsidRDefault="003D163D"/>
  </w:footnote>
  <w:footnote w:id="2">
    <w:p w14:paraId="696B8BE7" w14:textId="35BB6A24" w:rsidR="00101CAB" w:rsidRPr="00055544" w:rsidRDefault="00101CAB" w:rsidP="00AA24F0">
      <w:pPr>
        <w:pStyle w:val="FootnoteText"/>
        <w:ind w:left="0"/>
        <w:rPr>
          <w:sz w:val="16"/>
          <w:szCs w:val="18"/>
        </w:rPr>
      </w:pPr>
      <w:r w:rsidRPr="00055544">
        <w:rPr>
          <w:rStyle w:val="FootnoteReference"/>
          <w:sz w:val="16"/>
          <w:szCs w:val="18"/>
        </w:rPr>
        <w:footnoteRef/>
      </w:r>
      <w:r w:rsidRPr="00055544">
        <w:rPr>
          <w:sz w:val="16"/>
          <w:szCs w:val="18"/>
        </w:rPr>
        <w:t>This manuscript has been authored by UT-Battelle, LLC, under contract DE-AC05-00OR22725 with the US Department of Energy (DOE).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 DOE will provide public access to these results of federally sponsored research in accordance with the DOE Public Access Plan (http://energy.gov/downloads/doe-public-access-plan).</w:t>
      </w:r>
    </w:p>
  </w:footnote>
  <w:footnote w:id="3">
    <w:p w14:paraId="034A2373" w14:textId="1AB669E7" w:rsidR="00B63033" w:rsidRPr="00DC127D" w:rsidRDefault="00B63033">
      <w:pPr>
        <w:pStyle w:val="FootnoteText"/>
        <w:rPr>
          <w:lang w:val="en-US"/>
        </w:rPr>
      </w:pPr>
      <w:r>
        <w:rPr>
          <w:rStyle w:val="FootnoteReference"/>
        </w:rPr>
        <w:footnoteRef/>
      </w:r>
      <w:r>
        <w:t xml:space="preserve"> </w:t>
      </w:r>
      <w:r>
        <w:rPr>
          <w:lang w:val="en-US"/>
        </w:rPr>
        <w:t>See author affiliations for details on institutions.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5D8E" w14:textId="08D1477D" w:rsidR="00B63033" w:rsidRDefault="00B63033" w:rsidP="00896C24">
    <w:pPr>
      <w:pStyle w:val="Runninghead"/>
    </w:pPr>
    <w:r>
      <w:tab/>
      <w:t>IAEA-CN-291/272</w:t>
    </w:r>
    <w:r>
      <w:tab/>
    </w:r>
    <w:r>
      <w:fldChar w:fldCharType="begin"/>
    </w:r>
    <w:r>
      <w:instrText xml:space="preserve"> DOCPROPERTY "IaeaClassification"  \* MERGEFORMAT </w:instrText>
    </w:r>
    <w:r>
      <w:fldChar w:fldCharType="end"/>
    </w:r>
  </w:p>
  <w:p w14:paraId="771E5D8F" w14:textId="77777777" w:rsidR="00B63033" w:rsidRDefault="00B6303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5D90" w14:textId="4D921BF7" w:rsidR="00B63033" w:rsidRDefault="00B63033" w:rsidP="00B82FA5">
    <w:pPr>
      <w:pStyle w:val="Runninghead"/>
    </w:pPr>
    <w:r>
      <w:t>F. BOSTELMANN,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B63033" w14:paraId="771E5D9A" w14:textId="77777777">
      <w:trPr>
        <w:cantSplit/>
        <w:trHeight w:val="716"/>
      </w:trPr>
      <w:tc>
        <w:tcPr>
          <w:tcW w:w="979" w:type="dxa"/>
          <w:vMerge w:val="restart"/>
        </w:tcPr>
        <w:p w14:paraId="771E5D96" w14:textId="77777777" w:rsidR="00B63033" w:rsidRDefault="00B63033">
          <w:pPr>
            <w:spacing w:before="180"/>
            <w:ind w:left="17"/>
          </w:pPr>
        </w:p>
      </w:tc>
      <w:tc>
        <w:tcPr>
          <w:tcW w:w="3638" w:type="dxa"/>
          <w:vAlign w:val="bottom"/>
        </w:tcPr>
        <w:p w14:paraId="771E5D97" w14:textId="77777777" w:rsidR="00B63033" w:rsidRDefault="00B63033">
          <w:pPr>
            <w:spacing w:after="20"/>
          </w:pPr>
        </w:p>
      </w:tc>
      <w:bookmarkStart w:id="32" w:name="DOC_bkmClassification1"/>
      <w:tc>
        <w:tcPr>
          <w:tcW w:w="5702" w:type="dxa"/>
          <w:vMerge w:val="restart"/>
          <w:tcMar>
            <w:right w:w="193" w:type="dxa"/>
          </w:tcMar>
        </w:tcPr>
        <w:p w14:paraId="771E5D98" w14:textId="77777777" w:rsidR="00B63033" w:rsidRDefault="00B6303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2"/>
        <w:p w14:paraId="771E5D99" w14:textId="77777777" w:rsidR="00B63033" w:rsidRDefault="00B63033">
          <w:pPr>
            <w:pStyle w:val="zyxConfid2Red"/>
          </w:pPr>
          <w:r>
            <w:fldChar w:fldCharType="begin"/>
          </w:r>
          <w:r>
            <w:instrText>DOCPROPERTY "IaeaClassification2"  \* MERGEFORMAT</w:instrText>
          </w:r>
          <w:r>
            <w:fldChar w:fldCharType="end"/>
          </w:r>
        </w:p>
      </w:tc>
    </w:tr>
    <w:tr w:rsidR="00B63033" w14:paraId="771E5D9E" w14:textId="77777777">
      <w:trPr>
        <w:cantSplit/>
        <w:trHeight w:val="167"/>
      </w:trPr>
      <w:tc>
        <w:tcPr>
          <w:tcW w:w="979" w:type="dxa"/>
          <w:vMerge/>
        </w:tcPr>
        <w:p w14:paraId="771E5D9B" w14:textId="77777777" w:rsidR="00B63033" w:rsidRDefault="00B63033">
          <w:pPr>
            <w:spacing w:before="57"/>
          </w:pPr>
        </w:p>
      </w:tc>
      <w:tc>
        <w:tcPr>
          <w:tcW w:w="3638" w:type="dxa"/>
          <w:vAlign w:val="bottom"/>
        </w:tcPr>
        <w:p w14:paraId="771E5D9C" w14:textId="77777777" w:rsidR="00B63033" w:rsidRDefault="00B63033">
          <w:pPr>
            <w:pStyle w:val="Heading9"/>
            <w:spacing w:before="0" w:after="10"/>
          </w:pPr>
        </w:p>
      </w:tc>
      <w:tc>
        <w:tcPr>
          <w:tcW w:w="5702" w:type="dxa"/>
          <w:vMerge/>
          <w:vAlign w:val="bottom"/>
        </w:tcPr>
        <w:p w14:paraId="771E5D9D" w14:textId="77777777" w:rsidR="00B63033" w:rsidRDefault="00B63033">
          <w:pPr>
            <w:pStyle w:val="Heading9"/>
            <w:spacing w:before="0" w:after="10"/>
          </w:pPr>
        </w:p>
      </w:tc>
    </w:tr>
  </w:tbl>
  <w:p w14:paraId="771E5D9F" w14:textId="77777777" w:rsidR="00B63033" w:rsidRDefault="00B630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280A6668"/>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900020"/>
    <w:multiLevelType w:val="multilevel"/>
    <w:tmpl w:val="7F5C48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7"/>
  </w:num>
  <w:num w:numId="34">
    <w:abstractNumId w:val="6"/>
    <w:lvlOverride w:ilvl="0">
      <w:startOverride w:val="1"/>
    </w:lvlOverride>
  </w:num>
  <w:num w:numId="35">
    <w:abstractNumId w:val="6"/>
    <w:lvlOverride w:ilvl="0">
      <w:startOverride w:val="1"/>
    </w:lvlOverride>
  </w:num>
  <w:num w:numId="36">
    <w:abstractNumId w:val="6"/>
    <w:lvlOverride w:ilvl="0">
      <w:startOverride w:val="13"/>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C51"/>
    <w:rsid w:val="0001364D"/>
    <w:rsid w:val="000229AB"/>
    <w:rsid w:val="0002569A"/>
    <w:rsid w:val="00035970"/>
    <w:rsid w:val="00037321"/>
    <w:rsid w:val="00040758"/>
    <w:rsid w:val="00055544"/>
    <w:rsid w:val="0005730E"/>
    <w:rsid w:val="0006267D"/>
    <w:rsid w:val="0006336C"/>
    <w:rsid w:val="00063810"/>
    <w:rsid w:val="00073020"/>
    <w:rsid w:val="00075DCA"/>
    <w:rsid w:val="00076EBB"/>
    <w:rsid w:val="00087904"/>
    <w:rsid w:val="000A0299"/>
    <w:rsid w:val="000B1C1E"/>
    <w:rsid w:val="000B5AB0"/>
    <w:rsid w:val="000B6798"/>
    <w:rsid w:val="000C013B"/>
    <w:rsid w:val="000C5753"/>
    <w:rsid w:val="000D01EA"/>
    <w:rsid w:val="000D0482"/>
    <w:rsid w:val="000E0B91"/>
    <w:rsid w:val="000E16D7"/>
    <w:rsid w:val="000E5E76"/>
    <w:rsid w:val="000E5E78"/>
    <w:rsid w:val="000F19A5"/>
    <w:rsid w:val="000F3940"/>
    <w:rsid w:val="000F664A"/>
    <w:rsid w:val="000F7E94"/>
    <w:rsid w:val="00101CAB"/>
    <w:rsid w:val="00107B9E"/>
    <w:rsid w:val="001119D6"/>
    <w:rsid w:val="00113E24"/>
    <w:rsid w:val="00116C7F"/>
    <w:rsid w:val="00120B31"/>
    <w:rsid w:val="001308F2"/>
    <w:rsid w:val="001313E8"/>
    <w:rsid w:val="001341E1"/>
    <w:rsid w:val="00137CE1"/>
    <w:rsid w:val="00141501"/>
    <w:rsid w:val="00144D25"/>
    <w:rsid w:val="00150B05"/>
    <w:rsid w:val="00162FEF"/>
    <w:rsid w:val="00163FF7"/>
    <w:rsid w:val="00180B4B"/>
    <w:rsid w:val="00194C39"/>
    <w:rsid w:val="00195DC6"/>
    <w:rsid w:val="001A5E46"/>
    <w:rsid w:val="001B2A98"/>
    <w:rsid w:val="001B2B19"/>
    <w:rsid w:val="001B500A"/>
    <w:rsid w:val="001C58F5"/>
    <w:rsid w:val="001C751D"/>
    <w:rsid w:val="001D12C3"/>
    <w:rsid w:val="001D27F0"/>
    <w:rsid w:val="001D5CEE"/>
    <w:rsid w:val="001D63E3"/>
    <w:rsid w:val="001E6107"/>
    <w:rsid w:val="001F06C8"/>
    <w:rsid w:val="001F5755"/>
    <w:rsid w:val="00202586"/>
    <w:rsid w:val="002071D9"/>
    <w:rsid w:val="002115E4"/>
    <w:rsid w:val="0021170C"/>
    <w:rsid w:val="002133D1"/>
    <w:rsid w:val="00217ED6"/>
    <w:rsid w:val="00237297"/>
    <w:rsid w:val="00241B4B"/>
    <w:rsid w:val="00256822"/>
    <w:rsid w:val="00256E90"/>
    <w:rsid w:val="00261893"/>
    <w:rsid w:val="0026279E"/>
    <w:rsid w:val="002636AC"/>
    <w:rsid w:val="0026525A"/>
    <w:rsid w:val="00266337"/>
    <w:rsid w:val="00274790"/>
    <w:rsid w:val="002838BE"/>
    <w:rsid w:val="00285755"/>
    <w:rsid w:val="00287A79"/>
    <w:rsid w:val="00290F45"/>
    <w:rsid w:val="00292BAF"/>
    <w:rsid w:val="00295703"/>
    <w:rsid w:val="002A1F9C"/>
    <w:rsid w:val="002A42A7"/>
    <w:rsid w:val="002A5341"/>
    <w:rsid w:val="002B29C2"/>
    <w:rsid w:val="002B2DEC"/>
    <w:rsid w:val="002B49FB"/>
    <w:rsid w:val="002C4208"/>
    <w:rsid w:val="002D42F1"/>
    <w:rsid w:val="002D4356"/>
    <w:rsid w:val="002F1F6A"/>
    <w:rsid w:val="002F31DC"/>
    <w:rsid w:val="003001E5"/>
    <w:rsid w:val="00303ABA"/>
    <w:rsid w:val="00310413"/>
    <w:rsid w:val="00317E73"/>
    <w:rsid w:val="003258CB"/>
    <w:rsid w:val="00340EFA"/>
    <w:rsid w:val="00344A94"/>
    <w:rsid w:val="00351122"/>
    <w:rsid w:val="00352DE1"/>
    <w:rsid w:val="00355EA4"/>
    <w:rsid w:val="003569EC"/>
    <w:rsid w:val="00363C81"/>
    <w:rsid w:val="0037018B"/>
    <w:rsid w:val="00371729"/>
    <w:rsid w:val="003728E6"/>
    <w:rsid w:val="00375706"/>
    <w:rsid w:val="00380348"/>
    <w:rsid w:val="00383A01"/>
    <w:rsid w:val="003857BE"/>
    <w:rsid w:val="00385C8D"/>
    <w:rsid w:val="00387248"/>
    <w:rsid w:val="00387880"/>
    <w:rsid w:val="00394ED6"/>
    <w:rsid w:val="003A1C99"/>
    <w:rsid w:val="003A268E"/>
    <w:rsid w:val="003A2E69"/>
    <w:rsid w:val="003B5E0E"/>
    <w:rsid w:val="003B7A05"/>
    <w:rsid w:val="003D163D"/>
    <w:rsid w:val="003D2318"/>
    <w:rsid w:val="003D255A"/>
    <w:rsid w:val="003D71B8"/>
    <w:rsid w:val="003D78F5"/>
    <w:rsid w:val="003E7016"/>
    <w:rsid w:val="003F325B"/>
    <w:rsid w:val="003F7994"/>
    <w:rsid w:val="004079A3"/>
    <w:rsid w:val="00416949"/>
    <w:rsid w:val="00427818"/>
    <w:rsid w:val="004370D8"/>
    <w:rsid w:val="004424D4"/>
    <w:rsid w:val="004434B2"/>
    <w:rsid w:val="00443BA3"/>
    <w:rsid w:val="00444585"/>
    <w:rsid w:val="004465CA"/>
    <w:rsid w:val="00446A1E"/>
    <w:rsid w:val="00455DD6"/>
    <w:rsid w:val="004560D7"/>
    <w:rsid w:val="0045653A"/>
    <w:rsid w:val="00460358"/>
    <w:rsid w:val="00472C43"/>
    <w:rsid w:val="00476D10"/>
    <w:rsid w:val="004773E9"/>
    <w:rsid w:val="00483C1D"/>
    <w:rsid w:val="004913A9"/>
    <w:rsid w:val="00493016"/>
    <w:rsid w:val="00493915"/>
    <w:rsid w:val="004951C8"/>
    <w:rsid w:val="00497338"/>
    <w:rsid w:val="004A0F65"/>
    <w:rsid w:val="004B0D22"/>
    <w:rsid w:val="004B79F2"/>
    <w:rsid w:val="004C6543"/>
    <w:rsid w:val="004C6D7E"/>
    <w:rsid w:val="004D2451"/>
    <w:rsid w:val="004D3142"/>
    <w:rsid w:val="004D5038"/>
    <w:rsid w:val="004D7245"/>
    <w:rsid w:val="004F00AC"/>
    <w:rsid w:val="004F3F0D"/>
    <w:rsid w:val="004F523E"/>
    <w:rsid w:val="004F5EA6"/>
    <w:rsid w:val="004F705C"/>
    <w:rsid w:val="00503178"/>
    <w:rsid w:val="005205CF"/>
    <w:rsid w:val="0052271E"/>
    <w:rsid w:val="005339D0"/>
    <w:rsid w:val="00537496"/>
    <w:rsid w:val="005404BA"/>
    <w:rsid w:val="00544ED3"/>
    <w:rsid w:val="0054618B"/>
    <w:rsid w:val="00551042"/>
    <w:rsid w:val="00565B1C"/>
    <w:rsid w:val="0057126F"/>
    <w:rsid w:val="00574D68"/>
    <w:rsid w:val="00575C4C"/>
    <w:rsid w:val="0058477B"/>
    <w:rsid w:val="00585068"/>
    <w:rsid w:val="0058654F"/>
    <w:rsid w:val="005965AC"/>
    <w:rsid w:val="00596ACA"/>
    <w:rsid w:val="005A652C"/>
    <w:rsid w:val="005A776E"/>
    <w:rsid w:val="005B2B41"/>
    <w:rsid w:val="005B7470"/>
    <w:rsid w:val="005C3DC8"/>
    <w:rsid w:val="005D0B9E"/>
    <w:rsid w:val="005D405E"/>
    <w:rsid w:val="005D7338"/>
    <w:rsid w:val="005E013A"/>
    <w:rsid w:val="005E28DC"/>
    <w:rsid w:val="005E39BC"/>
    <w:rsid w:val="005E6014"/>
    <w:rsid w:val="005F00A0"/>
    <w:rsid w:val="00601EB1"/>
    <w:rsid w:val="00602DBD"/>
    <w:rsid w:val="00610749"/>
    <w:rsid w:val="006204FB"/>
    <w:rsid w:val="006311E4"/>
    <w:rsid w:val="00635596"/>
    <w:rsid w:val="00636DAC"/>
    <w:rsid w:val="00637613"/>
    <w:rsid w:val="00643010"/>
    <w:rsid w:val="00644AE5"/>
    <w:rsid w:val="00645CC3"/>
    <w:rsid w:val="00647F33"/>
    <w:rsid w:val="00660111"/>
    <w:rsid w:val="00662532"/>
    <w:rsid w:val="0066753C"/>
    <w:rsid w:val="00672BC6"/>
    <w:rsid w:val="00674A7D"/>
    <w:rsid w:val="006774CD"/>
    <w:rsid w:val="0068399A"/>
    <w:rsid w:val="00697F49"/>
    <w:rsid w:val="006A4406"/>
    <w:rsid w:val="006B1E92"/>
    <w:rsid w:val="006B2274"/>
    <w:rsid w:val="006B3FC0"/>
    <w:rsid w:val="006C0F68"/>
    <w:rsid w:val="006D10FC"/>
    <w:rsid w:val="006E0BEE"/>
    <w:rsid w:val="006E4F0B"/>
    <w:rsid w:val="006F479B"/>
    <w:rsid w:val="006F6134"/>
    <w:rsid w:val="00707BE7"/>
    <w:rsid w:val="007133B2"/>
    <w:rsid w:val="007163D7"/>
    <w:rsid w:val="00717C6F"/>
    <w:rsid w:val="00721698"/>
    <w:rsid w:val="00727A83"/>
    <w:rsid w:val="00730BBD"/>
    <w:rsid w:val="00742434"/>
    <w:rsid w:val="007445DA"/>
    <w:rsid w:val="00746F85"/>
    <w:rsid w:val="00747C2D"/>
    <w:rsid w:val="0075228E"/>
    <w:rsid w:val="007564E0"/>
    <w:rsid w:val="00756A52"/>
    <w:rsid w:val="00764EE6"/>
    <w:rsid w:val="00767FE6"/>
    <w:rsid w:val="007A5A0E"/>
    <w:rsid w:val="007B4FD1"/>
    <w:rsid w:val="007D49A5"/>
    <w:rsid w:val="007E03D8"/>
    <w:rsid w:val="007E36D9"/>
    <w:rsid w:val="007E5537"/>
    <w:rsid w:val="00802381"/>
    <w:rsid w:val="008036FA"/>
    <w:rsid w:val="008043F4"/>
    <w:rsid w:val="00805DD6"/>
    <w:rsid w:val="008153AE"/>
    <w:rsid w:val="008176A8"/>
    <w:rsid w:val="00823168"/>
    <w:rsid w:val="008235B9"/>
    <w:rsid w:val="00827199"/>
    <w:rsid w:val="00830555"/>
    <w:rsid w:val="00844451"/>
    <w:rsid w:val="008468B6"/>
    <w:rsid w:val="008536A0"/>
    <w:rsid w:val="00873A59"/>
    <w:rsid w:val="00883848"/>
    <w:rsid w:val="008859BF"/>
    <w:rsid w:val="0089357E"/>
    <w:rsid w:val="008959DD"/>
    <w:rsid w:val="00896C24"/>
    <w:rsid w:val="00897E46"/>
    <w:rsid w:val="00897ED5"/>
    <w:rsid w:val="008B2A86"/>
    <w:rsid w:val="008B6BB9"/>
    <w:rsid w:val="008B6ED1"/>
    <w:rsid w:val="008C11C0"/>
    <w:rsid w:val="008C36A0"/>
    <w:rsid w:val="008D6B8E"/>
    <w:rsid w:val="008D7076"/>
    <w:rsid w:val="008D73DA"/>
    <w:rsid w:val="00901F5E"/>
    <w:rsid w:val="0090260B"/>
    <w:rsid w:val="009045FA"/>
    <w:rsid w:val="00907DDB"/>
    <w:rsid w:val="00911543"/>
    <w:rsid w:val="00936313"/>
    <w:rsid w:val="009365ED"/>
    <w:rsid w:val="009519C9"/>
    <w:rsid w:val="00954180"/>
    <w:rsid w:val="00954D40"/>
    <w:rsid w:val="00970C71"/>
    <w:rsid w:val="0097633B"/>
    <w:rsid w:val="00977A44"/>
    <w:rsid w:val="00980A63"/>
    <w:rsid w:val="00980B9B"/>
    <w:rsid w:val="00980BE7"/>
    <w:rsid w:val="00982AEC"/>
    <w:rsid w:val="00984F88"/>
    <w:rsid w:val="00995C78"/>
    <w:rsid w:val="00997BA0"/>
    <w:rsid w:val="00997CF7"/>
    <w:rsid w:val="009A57D6"/>
    <w:rsid w:val="009A604E"/>
    <w:rsid w:val="009A6350"/>
    <w:rsid w:val="009B0D2D"/>
    <w:rsid w:val="009B6491"/>
    <w:rsid w:val="009B6AC7"/>
    <w:rsid w:val="009C4581"/>
    <w:rsid w:val="009C76EB"/>
    <w:rsid w:val="009D0B86"/>
    <w:rsid w:val="009D331F"/>
    <w:rsid w:val="009E0D5B"/>
    <w:rsid w:val="009E1558"/>
    <w:rsid w:val="009E2C8C"/>
    <w:rsid w:val="009E5066"/>
    <w:rsid w:val="009E7341"/>
    <w:rsid w:val="009F323E"/>
    <w:rsid w:val="00A00649"/>
    <w:rsid w:val="00A14042"/>
    <w:rsid w:val="00A21BB4"/>
    <w:rsid w:val="00A24B08"/>
    <w:rsid w:val="00A277EC"/>
    <w:rsid w:val="00A42898"/>
    <w:rsid w:val="00A55CDD"/>
    <w:rsid w:val="00A76B00"/>
    <w:rsid w:val="00A8209D"/>
    <w:rsid w:val="00A83923"/>
    <w:rsid w:val="00A8393E"/>
    <w:rsid w:val="00A86915"/>
    <w:rsid w:val="00A909C1"/>
    <w:rsid w:val="00A91B84"/>
    <w:rsid w:val="00A9572E"/>
    <w:rsid w:val="00AA24F0"/>
    <w:rsid w:val="00AA4039"/>
    <w:rsid w:val="00AA512A"/>
    <w:rsid w:val="00AB4867"/>
    <w:rsid w:val="00AB5B8F"/>
    <w:rsid w:val="00AB6ACE"/>
    <w:rsid w:val="00AC181F"/>
    <w:rsid w:val="00AC5A3A"/>
    <w:rsid w:val="00AC62EA"/>
    <w:rsid w:val="00AD26E4"/>
    <w:rsid w:val="00AD5385"/>
    <w:rsid w:val="00AE770E"/>
    <w:rsid w:val="00AF778A"/>
    <w:rsid w:val="00B072A4"/>
    <w:rsid w:val="00B11365"/>
    <w:rsid w:val="00B16047"/>
    <w:rsid w:val="00B22C0D"/>
    <w:rsid w:val="00B2744B"/>
    <w:rsid w:val="00B31CAC"/>
    <w:rsid w:val="00B35E21"/>
    <w:rsid w:val="00B3768A"/>
    <w:rsid w:val="00B438DF"/>
    <w:rsid w:val="00B51883"/>
    <w:rsid w:val="00B53281"/>
    <w:rsid w:val="00B63033"/>
    <w:rsid w:val="00B74647"/>
    <w:rsid w:val="00B82FA5"/>
    <w:rsid w:val="00B8689B"/>
    <w:rsid w:val="00B87E37"/>
    <w:rsid w:val="00B91D68"/>
    <w:rsid w:val="00B93110"/>
    <w:rsid w:val="00B97D7C"/>
    <w:rsid w:val="00BA10B9"/>
    <w:rsid w:val="00BB04F6"/>
    <w:rsid w:val="00BB0E79"/>
    <w:rsid w:val="00BC22A5"/>
    <w:rsid w:val="00BD0D19"/>
    <w:rsid w:val="00BD0E7B"/>
    <w:rsid w:val="00BD1400"/>
    <w:rsid w:val="00BD605C"/>
    <w:rsid w:val="00BD787D"/>
    <w:rsid w:val="00BD7954"/>
    <w:rsid w:val="00BE1C79"/>
    <w:rsid w:val="00BE2A76"/>
    <w:rsid w:val="00BE4C70"/>
    <w:rsid w:val="00BE6722"/>
    <w:rsid w:val="00BF23EE"/>
    <w:rsid w:val="00C01014"/>
    <w:rsid w:val="00C01774"/>
    <w:rsid w:val="00C14CAD"/>
    <w:rsid w:val="00C205B6"/>
    <w:rsid w:val="00C20A0E"/>
    <w:rsid w:val="00C23EF4"/>
    <w:rsid w:val="00C2402E"/>
    <w:rsid w:val="00C300C1"/>
    <w:rsid w:val="00C359C9"/>
    <w:rsid w:val="00C3715B"/>
    <w:rsid w:val="00C47066"/>
    <w:rsid w:val="00C52D29"/>
    <w:rsid w:val="00C55288"/>
    <w:rsid w:val="00C57940"/>
    <w:rsid w:val="00C6556F"/>
    <w:rsid w:val="00C65E60"/>
    <w:rsid w:val="00C666BA"/>
    <w:rsid w:val="00C75F81"/>
    <w:rsid w:val="00C77C18"/>
    <w:rsid w:val="00C80830"/>
    <w:rsid w:val="00C81139"/>
    <w:rsid w:val="00C86C4D"/>
    <w:rsid w:val="00C9059D"/>
    <w:rsid w:val="00CA715A"/>
    <w:rsid w:val="00CB5298"/>
    <w:rsid w:val="00CB6A1D"/>
    <w:rsid w:val="00CB7768"/>
    <w:rsid w:val="00CB7C19"/>
    <w:rsid w:val="00CC12E3"/>
    <w:rsid w:val="00CD1E7A"/>
    <w:rsid w:val="00CD5650"/>
    <w:rsid w:val="00CE2259"/>
    <w:rsid w:val="00CE2F48"/>
    <w:rsid w:val="00CE5A52"/>
    <w:rsid w:val="00CF15E4"/>
    <w:rsid w:val="00CF2213"/>
    <w:rsid w:val="00CF3514"/>
    <w:rsid w:val="00CF4CC4"/>
    <w:rsid w:val="00CF7AF3"/>
    <w:rsid w:val="00CF7EFA"/>
    <w:rsid w:val="00D03861"/>
    <w:rsid w:val="00D13D7C"/>
    <w:rsid w:val="00D26ADA"/>
    <w:rsid w:val="00D3078F"/>
    <w:rsid w:val="00D35317"/>
    <w:rsid w:val="00D35A78"/>
    <w:rsid w:val="00D52C52"/>
    <w:rsid w:val="00D555A1"/>
    <w:rsid w:val="00D61603"/>
    <w:rsid w:val="00D640FE"/>
    <w:rsid w:val="00D64DC2"/>
    <w:rsid w:val="00D73F4B"/>
    <w:rsid w:val="00D74325"/>
    <w:rsid w:val="00D77A2F"/>
    <w:rsid w:val="00D81D0E"/>
    <w:rsid w:val="00D9349F"/>
    <w:rsid w:val="00DA0AC5"/>
    <w:rsid w:val="00DA15C7"/>
    <w:rsid w:val="00DA46CA"/>
    <w:rsid w:val="00DA7676"/>
    <w:rsid w:val="00DC1058"/>
    <w:rsid w:val="00DC127D"/>
    <w:rsid w:val="00DE0DFA"/>
    <w:rsid w:val="00DE4B47"/>
    <w:rsid w:val="00DF0986"/>
    <w:rsid w:val="00DF21EB"/>
    <w:rsid w:val="00DF5EEF"/>
    <w:rsid w:val="00E0287C"/>
    <w:rsid w:val="00E1746C"/>
    <w:rsid w:val="00E20E70"/>
    <w:rsid w:val="00E25894"/>
    <w:rsid w:val="00E25B68"/>
    <w:rsid w:val="00E41BF0"/>
    <w:rsid w:val="00E45B9E"/>
    <w:rsid w:val="00E5033B"/>
    <w:rsid w:val="00E60811"/>
    <w:rsid w:val="00E67237"/>
    <w:rsid w:val="00E70268"/>
    <w:rsid w:val="00E749ED"/>
    <w:rsid w:val="00E84003"/>
    <w:rsid w:val="00E90E93"/>
    <w:rsid w:val="00EB2049"/>
    <w:rsid w:val="00EC092B"/>
    <w:rsid w:val="00EC10FC"/>
    <w:rsid w:val="00EC506D"/>
    <w:rsid w:val="00EC6D94"/>
    <w:rsid w:val="00ED6F01"/>
    <w:rsid w:val="00EE0041"/>
    <w:rsid w:val="00EE173B"/>
    <w:rsid w:val="00EE29B9"/>
    <w:rsid w:val="00EF702D"/>
    <w:rsid w:val="00F004EE"/>
    <w:rsid w:val="00F01A48"/>
    <w:rsid w:val="00F038C3"/>
    <w:rsid w:val="00F13FEA"/>
    <w:rsid w:val="00F14697"/>
    <w:rsid w:val="00F21147"/>
    <w:rsid w:val="00F2642A"/>
    <w:rsid w:val="00F4232B"/>
    <w:rsid w:val="00F42E23"/>
    <w:rsid w:val="00F431A3"/>
    <w:rsid w:val="00F43A65"/>
    <w:rsid w:val="00F4494E"/>
    <w:rsid w:val="00F45EEE"/>
    <w:rsid w:val="00F46D35"/>
    <w:rsid w:val="00F5119E"/>
    <w:rsid w:val="00F51E9C"/>
    <w:rsid w:val="00F523CA"/>
    <w:rsid w:val="00F5428E"/>
    <w:rsid w:val="00F61731"/>
    <w:rsid w:val="00F65BB5"/>
    <w:rsid w:val="00F74A9D"/>
    <w:rsid w:val="00F930BC"/>
    <w:rsid w:val="00F94442"/>
    <w:rsid w:val="00FA000E"/>
    <w:rsid w:val="00FB113B"/>
    <w:rsid w:val="00FB4F9C"/>
    <w:rsid w:val="00FB7D12"/>
    <w:rsid w:val="00FC19F6"/>
    <w:rsid w:val="00FC4B3F"/>
    <w:rsid w:val="00FC73C1"/>
    <w:rsid w:val="00FD0E25"/>
    <w:rsid w:val="00FD258B"/>
    <w:rsid w:val="00FD41E1"/>
    <w:rsid w:val="00FD6D8A"/>
    <w:rsid w:val="00FE0A7D"/>
    <w:rsid w:val="00FE3E3D"/>
    <w:rsid w:val="00FF386F"/>
    <w:rsid w:val="00FF44F2"/>
    <w:rsid w:val="00FF6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E5D05"/>
  <w15:docId w15:val="{E83AA728-FD74-47FE-84B9-3F304C53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qFormat="1"/>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72"/>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qFormat/>
    <w:rsid w:val="001F5755"/>
    <w:rPr>
      <w:sz w:val="24"/>
      <w:szCs w:val="24"/>
      <w:lang w:val="en-US" w:eastAsia="en-US"/>
    </w:rPr>
  </w:style>
  <w:style w:type="paragraph" w:styleId="Heading1">
    <w:name w:val="heading 1"/>
    <w:aliases w:val="Paper title"/>
    <w:next w:val="Subtitle"/>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Heading5">
    <w:name w:val="heading 5"/>
    <w:basedOn w:val="Normal"/>
    <w:next w:val="Normal"/>
    <w:uiPriority w:val="19"/>
    <w:locked/>
    <w:pPr>
      <w:spacing w:before="240" w:after="60"/>
      <w:outlineLvl w:val="4"/>
    </w:pPr>
    <w:rPr>
      <w:b/>
      <w:bCs/>
      <w:i/>
      <w:iCs/>
      <w:sz w:val="26"/>
      <w:szCs w:val="26"/>
    </w:rPr>
  </w:style>
  <w:style w:type="paragraph" w:styleId="Heading6">
    <w:name w:val="heading 6"/>
    <w:basedOn w:val="Normal"/>
    <w:next w:val="Normal"/>
    <w:uiPriority w:val="19"/>
    <w:locked/>
    <w:pPr>
      <w:spacing w:before="240" w:after="60"/>
      <w:outlineLvl w:val="5"/>
    </w:pPr>
    <w:rPr>
      <w:b/>
      <w:bCs/>
      <w:szCs w:val="22"/>
    </w:rPr>
  </w:style>
  <w:style w:type="paragraph" w:styleId="Heading7">
    <w:name w:val="heading 7"/>
    <w:basedOn w:val="Normal"/>
    <w:next w:val="Normal"/>
    <w:uiPriority w:val="19"/>
    <w:locked/>
    <w:pPr>
      <w:spacing w:before="240" w:after="60"/>
      <w:outlineLvl w:val="6"/>
    </w:pPr>
  </w:style>
  <w:style w:type="paragraph" w:styleId="Heading8">
    <w:name w:val="heading 8"/>
    <w:basedOn w:val="Normal"/>
    <w:next w:val="Normal"/>
    <w:uiPriority w:val="19"/>
    <w:locked/>
    <w:pPr>
      <w:spacing w:before="240" w:after="60"/>
      <w:outlineLvl w:val="7"/>
    </w:pPr>
    <w:rPr>
      <w:i/>
      <w:iCs/>
    </w:rPr>
  </w:style>
  <w:style w:type="paragraph" w:styleId="Heading9">
    <w:name w:val="heading 9"/>
    <w:basedOn w:val="Normal"/>
    <w:next w:val="Normal"/>
    <w:uiPriority w:val="19"/>
    <w:locke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rPr>
      <w:sz w:val="2"/>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spacing w:before="240" w:after="20"/>
      <w:ind w:left="142"/>
      <w:suppressOverlap/>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spacing w:line="220" w:lineRule="exact"/>
      <w:ind w:left="142"/>
      <w:suppressOverlap/>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601EB1"/>
    <w:rPr>
      <w:color w:val="0000FF" w:themeColor="hyperlink"/>
      <w:u w:val="single"/>
    </w:rPr>
  </w:style>
  <w:style w:type="character" w:styleId="UnresolvedMention">
    <w:name w:val="Unresolved Mention"/>
    <w:basedOn w:val="DefaultParagraphFont"/>
    <w:uiPriority w:val="99"/>
    <w:semiHidden/>
    <w:unhideWhenUsed/>
    <w:rsid w:val="00601EB1"/>
    <w:rPr>
      <w:color w:val="605E5C"/>
      <w:shd w:val="clear" w:color="auto" w:fill="E1DFDD"/>
    </w:rPr>
  </w:style>
  <w:style w:type="paragraph" w:styleId="BodyText3">
    <w:name w:val="Body Text 3"/>
    <w:basedOn w:val="Normal"/>
    <w:link w:val="BodyText3Char"/>
    <w:uiPriority w:val="49"/>
    <w:semiHidden/>
    <w:unhideWhenUsed/>
    <w:locked/>
    <w:rsid w:val="00E1746C"/>
    <w:pPr>
      <w:spacing w:after="120"/>
    </w:pPr>
    <w:rPr>
      <w:sz w:val="16"/>
      <w:szCs w:val="16"/>
    </w:rPr>
  </w:style>
  <w:style w:type="character" w:customStyle="1" w:styleId="BodyText3Char">
    <w:name w:val="Body Text 3 Char"/>
    <w:basedOn w:val="DefaultParagraphFont"/>
    <w:link w:val="BodyText3"/>
    <w:uiPriority w:val="49"/>
    <w:semiHidden/>
    <w:rsid w:val="00E1746C"/>
    <w:rPr>
      <w:sz w:val="16"/>
      <w:szCs w:val="16"/>
      <w:lang w:eastAsia="en-US"/>
    </w:rPr>
  </w:style>
  <w:style w:type="paragraph" w:styleId="ListParagraph">
    <w:name w:val="List Paragraph"/>
    <w:basedOn w:val="Normal"/>
    <w:uiPriority w:val="72"/>
    <w:locked/>
    <w:rsid w:val="00E1746C"/>
    <w:pPr>
      <w:ind w:left="720"/>
      <w:contextualSpacing/>
    </w:pPr>
    <w:rPr>
      <w:rFonts w:eastAsia="SimSun"/>
    </w:rPr>
  </w:style>
  <w:style w:type="table" w:styleId="PlainTable3">
    <w:name w:val="Plain Table 3"/>
    <w:basedOn w:val="TableNormal"/>
    <w:uiPriority w:val="43"/>
    <w:rsid w:val="00BD78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D78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BD78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D78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locked/>
    <w:rsid w:val="00805DD6"/>
    <w:pPr>
      <w:spacing w:before="100" w:beforeAutospacing="1" w:after="100" w:afterAutospacing="1"/>
    </w:pPr>
  </w:style>
  <w:style w:type="paragraph" w:customStyle="1" w:styleId="Frontpage">
    <w:name w:val="Front page"/>
    <w:link w:val="FrontpageChar"/>
    <w:autoRedefine/>
    <w:qFormat/>
    <w:rsid w:val="008468B6"/>
    <w:pPr>
      <w:jc w:val="center"/>
    </w:pPr>
    <w:rPr>
      <w:rFonts w:eastAsiaTheme="minorEastAsia" w:cstheme="minorBidi"/>
      <w:sz w:val="24"/>
      <w:szCs w:val="22"/>
      <w:lang w:val="en-US" w:eastAsia="zh-CN"/>
    </w:rPr>
  </w:style>
  <w:style w:type="character" w:customStyle="1" w:styleId="FrontpageChar">
    <w:name w:val="Front page Char"/>
    <w:basedOn w:val="DefaultParagraphFont"/>
    <w:link w:val="Frontpage"/>
    <w:rsid w:val="008468B6"/>
    <w:rPr>
      <w:rFonts w:eastAsiaTheme="minorEastAsia" w:cstheme="minorBidi"/>
      <w:sz w:val="24"/>
      <w:szCs w:val="22"/>
      <w:lang w:val="en-US" w:eastAsia="zh-CN"/>
    </w:rPr>
  </w:style>
  <w:style w:type="character" w:styleId="CommentReference">
    <w:name w:val="annotation reference"/>
    <w:basedOn w:val="DefaultParagraphFont"/>
    <w:uiPriority w:val="49"/>
    <w:semiHidden/>
    <w:unhideWhenUsed/>
    <w:locked/>
    <w:rsid w:val="00BE1C79"/>
    <w:rPr>
      <w:sz w:val="16"/>
      <w:szCs w:val="16"/>
    </w:rPr>
  </w:style>
  <w:style w:type="paragraph" w:styleId="CommentText">
    <w:name w:val="annotation text"/>
    <w:basedOn w:val="Normal"/>
    <w:link w:val="CommentTextChar"/>
    <w:uiPriority w:val="49"/>
    <w:semiHidden/>
    <w:unhideWhenUsed/>
    <w:locked/>
    <w:rsid w:val="00BE1C79"/>
    <w:rPr>
      <w:sz w:val="20"/>
      <w:szCs w:val="20"/>
    </w:rPr>
  </w:style>
  <w:style w:type="character" w:customStyle="1" w:styleId="CommentTextChar">
    <w:name w:val="Comment Text Char"/>
    <w:basedOn w:val="DefaultParagraphFont"/>
    <w:link w:val="CommentText"/>
    <w:uiPriority w:val="49"/>
    <w:semiHidden/>
    <w:rsid w:val="00BE1C79"/>
    <w:rPr>
      <w:lang w:val="en-US" w:eastAsia="en-US"/>
    </w:rPr>
  </w:style>
  <w:style w:type="paragraph" w:styleId="CommentSubject">
    <w:name w:val="annotation subject"/>
    <w:basedOn w:val="CommentText"/>
    <w:next w:val="CommentText"/>
    <w:link w:val="CommentSubjectChar"/>
    <w:uiPriority w:val="49"/>
    <w:semiHidden/>
    <w:unhideWhenUsed/>
    <w:locked/>
    <w:rsid w:val="00BE1C79"/>
    <w:rPr>
      <w:b/>
      <w:bCs/>
    </w:rPr>
  </w:style>
  <w:style w:type="character" w:customStyle="1" w:styleId="CommentSubjectChar">
    <w:name w:val="Comment Subject Char"/>
    <w:basedOn w:val="CommentTextChar"/>
    <w:link w:val="CommentSubject"/>
    <w:uiPriority w:val="49"/>
    <w:semiHidden/>
    <w:rsid w:val="00BE1C79"/>
    <w:rPr>
      <w:b/>
      <w:bCs/>
      <w:lang w:val="en-US" w:eastAsia="en-US"/>
    </w:rPr>
  </w:style>
  <w:style w:type="character" w:styleId="FollowedHyperlink">
    <w:name w:val="FollowedHyperlink"/>
    <w:basedOn w:val="DefaultParagraphFont"/>
    <w:uiPriority w:val="49"/>
    <w:semiHidden/>
    <w:unhideWhenUsed/>
    <w:locked/>
    <w:rsid w:val="005D0B9E"/>
    <w:rPr>
      <w:color w:val="800080" w:themeColor="followedHyperlink"/>
      <w:u w:val="single"/>
    </w:rPr>
  </w:style>
  <w:style w:type="paragraph" w:styleId="Revision">
    <w:name w:val="Revision"/>
    <w:hidden/>
    <w:uiPriority w:val="99"/>
    <w:semiHidden/>
    <w:rsid w:val="007564E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692043">
      <w:bodyDiv w:val="1"/>
      <w:marLeft w:val="0"/>
      <w:marRight w:val="0"/>
      <w:marTop w:val="0"/>
      <w:marBottom w:val="0"/>
      <w:divBdr>
        <w:top w:val="none" w:sz="0" w:space="0" w:color="auto"/>
        <w:left w:val="none" w:sz="0" w:space="0" w:color="auto"/>
        <w:bottom w:val="none" w:sz="0" w:space="0" w:color="auto"/>
        <w:right w:val="none" w:sz="0" w:space="0" w:color="auto"/>
      </w:divBdr>
    </w:div>
    <w:div w:id="489954827">
      <w:bodyDiv w:val="1"/>
      <w:marLeft w:val="0"/>
      <w:marRight w:val="0"/>
      <w:marTop w:val="0"/>
      <w:marBottom w:val="0"/>
      <w:divBdr>
        <w:top w:val="none" w:sz="0" w:space="0" w:color="auto"/>
        <w:left w:val="none" w:sz="0" w:space="0" w:color="auto"/>
        <w:bottom w:val="none" w:sz="0" w:space="0" w:color="auto"/>
        <w:right w:val="none" w:sz="0" w:space="0" w:color="auto"/>
      </w:divBdr>
    </w:div>
    <w:div w:id="499346349">
      <w:bodyDiv w:val="1"/>
      <w:marLeft w:val="0"/>
      <w:marRight w:val="0"/>
      <w:marTop w:val="0"/>
      <w:marBottom w:val="0"/>
      <w:divBdr>
        <w:top w:val="none" w:sz="0" w:space="0" w:color="auto"/>
        <w:left w:val="none" w:sz="0" w:space="0" w:color="auto"/>
        <w:bottom w:val="none" w:sz="0" w:space="0" w:color="auto"/>
        <w:right w:val="none" w:sz="0" w:space="0" w:color="auto"/>
      </w:divBdr>
    </w:div>
    <w:div w:id="695817099">
      <w:bodyDiv w:val="1"/>
      <w:marLeft w:val="0"/>
      <w:marRight w:val="0"/>
      <w:marTop w:val="0"/>
      <w:marBottom w:val="0"/>
      <w:divBdr>
        <w:top w:val="none" w:sz="0" w:space="0" w:color="auto"/>
        <w:left w:val="none" w:sz="0" w:space="0" w:color="auto"/>
        <w:bottom w:val="none" w:sz="0" w:space="0" w:color="auto"/>
        <w:right w:val="none" w:sz="0" w:space="0" w:color="auto"/>
      </w:divBdr>
    </w:div>
    <w:div w:id="865171651">
      <w:bodyDiv w:val="1"/>
      <w:marLeft w:val="0"/>
      <w:marRight w:val="0"/>
      <w:marTop w:val="0"/>
      <w:marBottom w:val="0"/>
      <w:divBdr>
        <w:top w:val="none" w:sz="0" w:space="0" w:color="auto"/>
        <w:left w:val="none" w:sz="0" w:space="0" w:color="auto"/>
        <w:bottom w:val="none" w:sz="0" w:space="0" w:color="auto"/>
        <w:right w:val="none" w:sz="0" w:space="0" w:color="auto"/>
      </w:divBdr>
    </w:div>
    <w:div w:id="928349844">
      <w:bodyDiv w:val="1"/>
      <w:marLeft w:val="0"/>
      <w:marRight w:val="0"/>
      <w:marTop w:val="0"/>
      <w:marBottom w:val="0"/>
      <w:divBdr>
        <w:top w:val="none" w:sz="0" w:space="0" w:color="auto"/>
        <w:left w:val="none" w:sz="0" w:space="0" w:color="auto"/>
        <w:bottom w:val="none" w:sz="0" w:space="0" w:color="auto"/>
        <w:right w:val="none" w:sz="0" w:space="0" w:color="auto"/>
      </w:divBdr>
    </w:div>
    <w:div w:id="959413151">
      <w:bodyDiv w:val="1"/>
      <w:marLeft w:val="0"/>
      <w:marRight w:val="0"/>
      <w:marTop w:val="0"/>
      <w:marBottom w:val="0"/>
      <w:divBdr>
        <w:top w:val="none" w:sz="0" w:space="0" w:color="auto"/>
        <w:left w:val="none" w:sz="0" w:space="0" w:color="auto"/>
        <w:bottom w:val="none" w:sz="0" w:space="0" w:color="auto"/>
        <w:right w:val="none" w:sz="0" w:space="0" w:color="auto"/>
      </w:divBdr>
    </w:div>
    <w:div w:id="996344589">
      <w:bodyDiv w:val="1"/>
      <w:marLeft w:val="0"/>
      <w:marRight w:val="0"/>
      <w:marTop w:val="0"/>
      <w:marBottom w:val="0"/>
      <w:divBdr>
        <w:top w:val="none" w:sz="0" w:space="0" w:color="auto"/>
        <w:left w:val="none" w:sz="0" w:space="0" w:color="auto"/>
        <w:bottom w:val="none" w:sz="0" w:space="0" w:color="auto"/>
        <w:right w:val="none" w:sz="0" w:space="0" w:color="auto"/>
      </w:divBdr>
    </w:div>
    <w:div w:id="1018655294">
      <w:bodyDiv w:val="1"/>
      <w:marLeft w:val="0"/>
      <w:marRight w:val="0"/>
      <w:marTop w:val="0"/>
      <w:marBottom w:val="0"/>
      <w:divBdr>
        <w:top w:val="none" w:sz="0" w:space="0" w:color="auto"/>
        <w:left w:val="none" w:sz="0" w:space="0" w:color="auto"/>
        <w:bottom w:val="none" w:sz="0" w:space="0" w:color="auto"/>
        <w:right w:val="none" w:sz="0" w:space="0" w:color="auto"/>
      </w:divBdr>
    </w:div>
    <w:div w:id="1261378739">
      <w:bodyDiv w:val="1"/>
      <w:marLeft w:val="0"/>
      <w:marRight w:val="0"/>
      <w:marTop w:val="0"/>
      <w:marBottom w:val="0"/>
      <w:divBdr>
        <w:top w:val="none" w:sz="0" w:space="0" w:color="auto"/>
        <w:left w:val="none" w:sz="0" w:space="0" w:color="auto"/>
        <w:bottom w:val="none" w:sz="0" w:space="0" w:color="auto"/>
        <w:right w:val="none" w:sz="0" w:space="0" w:color="auto"/>
      </w:divBdr>
    </w:div>
    <w:div w:id="1640382739">
      <w:bodyDiv w:val="1"/>
      <w:marLeft w:val="0"/>
      <w:marRight w:val="0"/>
      <w:marTop w:val="0"/>
      <w:marBottom w:val="0"/>
      <w:divBdr>
        <w:top w:val="none" w:sz="0" w:space="0" w:color="auto"/>
        <w:left w:val="none" w:sz="0" w:space="0" w:color="auto"/>
        <w:bottom w:val="none" w:sz="0" w:space="0" w:color="auto"/>
        <w:right w:val="none" w:sz="0" w:space="0" w:color="auto"/>
      </w:divBdr>
    </w:div>
    <w:div w:id="1807158384">
      <w:bodyDiv w:val="1"/>
      <w:marLeft w:val="0"/>
      <w:marRight w:val="0"/>
      <w:marTop w:val="0"/>
      <w:marBottom w:val="0"/>
      <w:divBdr>
        <w:top w:val="none" w:sz="0" w:space="0" w:color="auto"/>
        <w:left w:val="none" w:sz="0" w:space="0" w:color="auto"/>
        <w:bottom w:val="none" w:sz="0" w:space="0" w:color="auto"/>
        <w:right w:val="none" w:sz="0" w:space="0" w:color="auto"/>
      </w:divBdr>
    </w:div>
    <w:div w:id="1808083158">
      <w:bodyDiv w:val="1"/>
      <w:marLeft w:val="0"/>
      <w:marRight w:val="0"/>
      <w:marTop w:val="0"/>
      <w:marBottom w:val="0"/>
      <w:divBdr>
        <w:top w:val="none" w:sz="0" w:space="0" w:color="auto"/>
        <w:left w:val="none" w:sz="0" w:space="0" w:color="auto"/>
        <w:bottom w:val="none" w:sz="0" w:space="0" w:color="auto"/>
        <w:right w:val="none" w:sz="0" w:space="0" w:color="auto"/>
      </w:divBdr>
    </w:div>
    <w:div w:id="1821649578">
      <w:bodyDiv w:val="1"/>
      <w:marLeft w:val="0"/>
      <w:marRight w:val="0"/>
      <w:marTop w:val="0"/>
      <w:marBottom w:val="0"/>
      <w:divBdr>
        <w:top w:val="none" w:sz="0" w:space="0" w:color="auto"/>
        <w:left w:val="none" w:sz="0" w:space="0" w:color="auto"/>
        <w:bottom w:val="none" w:sz="0" w:space="0" w:color="auto"/>
        <w:right w:val="none" w:sz="0" w:space="0" w:color="auto"/>
      </w:divBdr>
    </w:div>
    <w:div w:id="189963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stelmannf@ornl.gov" TargetMode="External"/><Relationship Id="rId13" Type="http://schemas.openxmlformats.org/officeDocument/2006/relationships/hyperlink" Target="https://www.oecd-nea.org/dbforms/data/eva/evatapes/jeff_32/"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rnl.gov/file/scale-62-manual/display"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C32D366-CAF6-4E46-B50D-1F37429A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25</TotalTime>
  <Pages>10</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Bostelmann, Rike</dc:creator>
  <cp:keywords/>
  <dc:description/>
  <cp:lastModifiedBy>Bostelmann, Rike</cp:lastModifiedBy>
  <cp:revision>14</cp:revision>
  <cp:lastPrinted>2015-12-01T10:27:00Z</cp:lastPrinted>
  <dcterms:created xsi:type="dcterms:W3CDTF">2022-03-19T17:55:00Z</dcterms:created>
  <dcterms:modified xsi:type="dcterms:W3CDTF">2022-03-19T18:27:00Z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