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717E015" w14:textId="77777777" w:rsidR="003B5E0E" w:rsidRPr="003B5E0E" w:rsidRDefault="007F43FE" w:rsidP="007F43FE">
      <w:pPr>
        <w:pStyle w:val="Subtitle"/>
      </w:pPr>
      <w:bookmarkStart w:id="0" w:name="_Hlk96576308"/>
      <w:bookmarkEnd w:id="0"/>
      <w:r w:rsidRPr="007F43FE">
        <w:rPr>
          <w:rFonts w:ascii="Times New Roman Bold" w:hAnsi="Times New Roman Bold" w:cs="Times New Roman"/>
          <w:i w:val="0"/>
          <w:caps/>
          <w:szCs w:val="20"/>
        </w:rPr>
        <w:t>MECHANISMS ENGINEERING TEST LOOP (METL) FACILITY</w:t>
      </w:r>
    </w:p>
    <w:p w14:paraId="29FC52CF" w14:textId="77777777" w:rsidR="00802381" w:rsidRDefault="00802381" w:rsidP="00537496">
      <w:pPr>
        <w:pStyle w:val="Authornameandaffiliation"/>
      </w:pPr>
    </w:p>
    <w:p w14:paraId="5001861F" w14:textId="77777777" w:rsidR="007F43FE" w:rsidRDefault="007F43FE" w:rsidP="007F43FE">
      <w:pPr>
        <w:pStyle w:val="Authornameandaffiliation"/>
      </w:pPr>
      <w:r w:rsidRPr="0024684E">
        <w:t>C.W. Grandy</w:t>
      </w:r>
    </w:p>
    <w:p w14:paraId="65833292" w14:textId="77777777" w:rsidR="007F43FE" w:rsidRDefault="007F43FE" w:rsidP="007F43FE">
      <w:pPr>
        <w:pStyle w:val="Authornameandaffiliation"/>
      </w:pPr>
      <w:r w:rsidRPr="005F6233">
        <w:rPr>
          <w:vertAlign w:val="superscript"/>
        </w:rPr>
        <w:footnoteReference w:id="2"/>
      </w:r>
      <w:r w:rsidRPr="0024684E">
        <w:t>Argonne National Laboratory (ANL)</w:t>
      </w:r>
    </w:p>
    <w:p w14:paraId="7537E6AC" w14:textId="77777777" w:rsidR="007F43FE" w:rsidRPr="00580328" w:rsidRDefault="007F43FE" w:rsidP="007F43FE">
      <w:pPr>
        <w:pStyle w:val="Authornameandaffiliation"/>
        <w:rPr>
          <w:lang w:val="es-ES"/>
        </w:rPr>
      </w:pPr>
      <w:r w:rsidRPr="00580328">
        <w:rPr>
          <w:lang w:val="es-ES"/>
        </w:rPr>
        <w:t>Lemont, USA</w:t>
      </w:r>
    </w:p>
    <w:p w14:paraId="7C995A4E" w14:textId="77777777" w:rsidR="007F43FE" w:rsidRPr="00580328" w:rsidRDefault="007F43FE" w:rsidP="007F43FE">
      <w:pPr>
        <w:pStyle w:val="Authornameandaffiliation"/>
        <w:rPr>
          <w:lang w:val="es-ES"/>
        </w:rPr>
      </w:pPr>
      <w:r w:rsidRPr="00580328">
        <w:rPr>
          <w:lang w:val="es-ES"/>
        </w:rPr>
        <w:t xml:space="preserve">E-mail: </w:t>
      </w:r>
      <w:hyperlink r:id="rId11" w:history="1">
        <w:r w:rsidRPr="00580328">
          <w:rPr>
            <w:rStyle w:val="Hyperlink"/>
            <w:sz w:val="20"/>
            <w:lang w:val="es-ES"/>
          </w:rPr>
          <w:t>cgrandy@anl.gov</w:t>
        </w:r>
      </w:hyperlink>
    </w:p>
    <w:p w14:paraId="222A4C10" w14:textId="77777777" w:rsidR="007F43FE" w:rsidRPr="00580328" w:rsidRDefault="007F43FE" w:rsidP="007F43FE">
      <w:pPr>
        <w:pStyle w:val="Authornameandaffiliation"/>
        <w:rPr>
          <w:lang w:val="es-ES"/>
        </w:rPr>
      </w:pPr>
    </w:p>
    <w:p w14:paraId="4BB4C0AD" w14:textId="77777777" w:rsidR="007F43FE" w:rsidRDefault="007F43FE" w:rsidP="007F43FE">
      <w:pPr>
        <w:pStyle w:val="Authornameandaffiliation"/>
      </w:pPr>
      <w:r w:rsidRPr="0024684E">
        <w:t>D.W. Kultgen</w:t>
      </w:r>
    </w:p>
    <w:p w14:paraId="705095E5" w14:textId="77777777" w:rsidR="007F43FE" w:rsidRDefault="007F43FE" w:rsidP="007F43FE">
      <w:pPr>
        <w:pStyle w:val="Authornameandaffiliation"/>
      </w:pPr>
      <w:r>
        <w:t>Argonne National Laboratory</w:t>
      </w:r>
    </w:p>
    <w:p w14:paraId="5E93655B" w14:textId="77777777" w:rsidR="007F43FE" w:rsidRDefault="007F43FE" w:rsidP="007F43FE">
      <w:pPr>
        <w:pStyle w:val="Authornameandaffiliation"/>
      </w:pPr>
      <w:r>
        <w:t>Lemont, USA</w:t>
      </w:r>
    </w:p>
    <w:p w14:paraId="57A434F1" w14:textId="77777777" w:rsidR="007F43FE" w:rsidRDefault="007F43FE" w:rsidP="007F43FE">
      <w:pPr>
        <w:pStyle w:val="Authornameandaffiliation"/>
      </w:pPr>
    </w:p>
    <w:p w14:paraId="518FD612" w14:textId="77777777" w:rsidR="007F43FE" w:rsidRDefault="007F43FE" w:rsidP="007F43FE">
      <w:pPr>
        <w:pStyle w:val="Authornameandaffiliation"/>
      </w:pPr>
      <w:r w:rsidRPr="0024684E">
        <w:t xml:space="preserve">E. </w:t>
      </w:r>
      <w:r w:rsidR="00747B25">
        <w:t xml:space="preserve">F. </w:t>
      </w:r>
      <w:r w:rsidRPr="0024684E">
        <w:t>Kent</w:t>
      </w:r>
    </w:p>
    <w:p w14:paraId="1614462F" w14:textId="77777777" w:rsidR="007F43FE" w:rsidRDefault="007F43FE" w:rsidP="007F43FE">
      <w:pPr>
        <w:pStyle w:val="Authornameandaffiliation"/>
      </w:pPr>
      <w:r>
        <w:t>Argonne National Laboratory</w:t>
      </w:r>
    </w:p>
    <w:p w14:paraId="22D54428" w14:textId="77777777" w:rsidR="007F43FE" w:rsidRDefault="007F43FE" w:rsidP="007F43FE">
      <w:pPr>
        <w:pStyle w:val="Authornameandaffiliation"/>
      </w:pPr>
      <w:r>
        <w:t>Lemont, USA</w:t>
      </w:r>
    </w:p>
    <w:p w14:paraId="6AA46628" w14:textId="77777777" w:rsidR="007F43FE" w:rsidRDefault="007F43FE" w:rsidP="007F43FE">
      <w:pPr>
        <w:pStyle w:val="Authornameandaffiliation"/>
      </w:pPr>
    </w:p>
    <w:p w14:paraId="3FEFEC24" w14:textId="77777777" w:rsidR="007F43FE" w:rsidRDefault="007F43FE" w:rsidP="007F43FE">
      <w:pPr>
        <w:pStyle w:val="Authornameandaffiliation"/>
      </w:pPr>
      <w:r w:rsidRPr="0024684E">
        <w:t>M.T. Weathered</w:t>
      </w:r>
    </w:p>
    <w:p w14:paraId="7242F239" w14:textId="77777777" w:rsidR="007F43FE" w:rsidRDefault="007F43FE" w:rsidP="007F43FE">
      <w:pPr>
        <w:pStyle w:val="Authornameandaffiliation"/>
      </w:pPr>
      <w:r>
        <w:t>Argonne National Laboratory</w:t>
      </w:r>
    </w:p>
    <w:p w14:paraId="0D536A0C" w14:textId="77777777" w:rsidR="007F43FE" w:rsidRPr="0024684E" w:rsidRDefault="007F43FE" w:rsidP="007F43FE">
      <w:pPr>
        <w:pStyle w:val="Authornameandaffiliation"/>
      </w:pPr>
      <w:r>
        <w:t>Lemont, USA</w:t>
      </w:r>
    </w:p>
    <w:p w14:paraId="54181338" w14:textId="77777777" w:rsidR="007F43FE" w:rsidRDefault="007F43FE" w:rsidP="00537496">
      <w:pPr>
        <w:pStyle w:val="Authornameandaffiliation"/>
      </w:pPr>
    </w:p>
    <w:p w14:paraId="3AA62269" w14:textId="77777777" w:rsidR="00647F33" w:rsidRPr="00647F33" w:rsidRDefault="00647F33" w:rsidP="00537496">
      <w:pPr>
        <w:pStyle w:val="Authornameandaffiliation"/>
        <w:rPr>
          <w:b/>
        </w:rPr>
      </w:pPr>
      <w:r w:rsidRPr="00647F33">
        <w:rPr>
          <w:b/>
        </w:rPr>
        <w:t>Abstract</w:t>
      </w:r>
    </w:p>
    <w:p w14:paraId="1282F289" w14:textId="77777777" w:rsidR="00647F33" w:rsidRDefault="00647F33" w:rsidP="00537496">
      <w:pPr>
        <w:pStyle w:val="Authornameandaffiliation"/>
      </w:pPr>
    </w:p>
    <w:p w14:paraId="449F23D2" w14:textId="18854F03" w:rsidR="006E4FB7" w:rsidRPr="006E4FB7" w:rsidRDefault="006E4FB7" w:rsidP="006E4FB7">
      <w:pPr>
        <w:pStyle w:val="Abstracttext"/>
      </w:pPr>
      <w:bookmarkStart w:id="1" w:name="_Hlk64387581"/>
      <w:r w:rsidRPr="006E4FB7">
        <w:t>The purpose of th</w:t>
      </w:r>
      <w:r w:rsidR="00152588">
        <w:t>e</w:t>
      </w:r>
      <w:r w:rsidRPr="006E4FB7">
        <w:t xml:space="preserve"> paper is to present the Mechanisms Engineering Test Loop (METL) facility installed at U.S. DOE’s Argonne National Laboratory located outside of Chicago, Illinois. The METL facility is a multipurpose intermediate-scale 750-gallon (2839l) sodium test facility used for the testing of liquid metal systems and components in prototypic reactor-grade sodium conditions. Some examples of technologies that can be tested in METL include</w:t>
      </w:r>
      <w:r w:rsidR="001104EA">
        <w:t>s</w:t>
      </w:r>
      <w:r w:rsidRPr="006E4FB7">
        <w:t xml:space="preserve"> components for advanced fuel handling systems, advanced sensors and instrumentation, in-service inspection and repair technologies, thermal hydraulic testing in a prototypic environment, components for reactivity control, and health monitoring technologies for liquid metal reactor applications. </w:t>
      </w:r>
    </w:p>
    <w:p w14:paraId="282E1604" w14:textId="3E5C7F44" w:rsidR="006E4FB7" w:rsidRPr="006E4FB7" w:rsidRDefault="006E4FB7" w:rsidP="006E4FB7">
      <w:pPr>
        <w:pStyle w:val="Abstracttext"/>
      </w:pPr>
      <w:r w:rsidRPr="006E4FB7">
        <w:t xml:space="preserve">The METL facility consists of two 18-inch (45.7-cm) test vessels, two 28-inch (71.1-cm) test vessels, an expansion tank, a dump tank, a purification loop, and a plugging loop. METL has a main piping loop that includes an electromagnetic pump and flow meter. This main loop provides flowing sodium to the four test vessels. The test vessels can be connected to the main loop in parallel </w:t>
      </w:r>
      <w:r w:rsidR="00A86A29" w:rsidRPr="006E4FB7">
        <w:t>operation,</w:t>
      </w:r>
      <w:r w:rsidRPr="006E4FB7">
        <w:t xml:space="preserve"> or a test vessel can be isolated from the main loop with its own sodium environment. Each test vessel can be drained independently to the dump tank without affecting the other on-going test</w:t>
      </w:r>
      <w:r w:rsidR="00070AAB">
        <w:t>s</w:t>
      </w:r>
      <w:r w:rsidRPr="006E4FB7">
        <w:t xml:space="preserve">. The facility has a maximum operating temperature of 1000°F (537.7°C) with the larger test vessels capable of obtaining 1200°F (648.8°C). </w:t>
      </w:r>
      <w:r w:rsidR="004056E8">
        <w:t>The facility dump tank was filled with reactor grade sodium</w:t>
      </w:r>
      <w:r w:rsidRPr="006E4FB7">
        <w:t xml:space="preserve"> in April 2018. Sodium piping, purification, plugging loop and expansion tank was filled </w:t>
      </w:r>
      <w:r w:rsidR="001104EA" w:rsidRPr="006E4FB7">
        <w:t>on</w:t>
      </w:r>
      <w:r w:rsidRPr="006E4FB7">
        <w:t xml:space="preserve"> September 19, 2018. The facility has been in an operational state for over two and a half years. Th</w:t>
      </w:r>
      <w:r w:rsidR="00070AAB">
        <w:t>e</w:t>
      </w:r>
      <w:r w:rsidRPr="006E4FB7">
        <w:t xml:space="preserve"> paper discusses the overall design philosophy of the facility, the testing that has been performed in the facility, and the approaches used for inserting test articles (experiments) into and removing test articles from the facility.</w:t>
      </w:r>
    </w:p>
    <w:bookmarkEnd w:id="1"/>
    <w:p w14:paraId="0B0F726B" w14:textId="77777777" w:rsidR="00647F33" w:rsidRDefault="00F523CA" w:rsidP="00537496">
      <w:pPr>
        <w:pStyle w:val="Heading2"/>
        <w:numPr>
          <w:ilvl w:val="1"/>
          <w:numId w:val="10"/>
        </w:numPr>
      </w:pPr>
      <w:r>
        <w:t>INTRODUCTION</w:t>
      </w:r>
    </w:p>
    <w:p w14:paraId="6AA539FA" w14:textId="77777777" w:rsidR="006E4FB7" w:rsidRPr="00403632" w:rsidRDefault="006E4FB7" w:rsidP="00403632">
      <w:pPr>
        <w:pStyle w:val="BodyText"/>
      </w:pPr>
      <w:r w:rsidRPr="00403632">
        <w:t xml:space="preserve">The Mechanisms Engineering Test Loop (METL) facility [1] is a multipurpose intermediate-scale sodium test facility located at Argonne National Laboratory with the capability to test small to intermediate-scale components and systems in a prototypic environment </w:t>
      </w:r>
      <w:proofErr w:type="gramStart"/>
      <w:r w:rsidRPr="00403632">
        <w:t>in order to</w:t>
      </w:r>
      <w:proofErr w:type="gramEnd"/>
      <w:r w:rsidRPr="00403632">
        <w:t xml:space="preserve"> develop advanced liquid metal technologies. Testing advanced systems and components in a prototypic environment is essential for the future of advanced fast reactors as it provides invaluable performance data and reduces the risk of equipment failures during plant operations. </w:t>
      </w:r>
    </w:p>
    <w:p w14:paraId="5FAE141E" w14:textId="77777777" w:rsidR="006E4FB7" w:rsidRDefault="006E4FB7" w:rsidP="006E4FB7">
      <w:pPr>
        <w:pStyle w:val="BodyText"/>
      </w:pPr>
      <w:r>
        <w:t>Some examples of technologies that can be tested in METL include:</w:t>
      </w:r>
    </w:p>
    <w:p w14:paraId="3446BD1C" w14:textId="50886CC1" w:rsidR="006E4FB7" w:rsidRDefault="006E4FB7" w:rsidP="006E4FB7">
      <w:pPr>
        <w:pStyle w:val="ListNumbered"/>
      </w:pPr>
      <w:r>
        <w:t xml:space="preserve">Components of an advanced fuel handling system – Fuel handling systems are used for the insertion and removal of core assemblies located within the reactor vessel. Undoubtedly, these components are essential to the successful operation of fast reactors. For liquid metal applications, fuel handling systems </w:t>
      </w:r>
      <w:r>
        <w:lastRenderedPageBreak/>
        <w:t xml:space="preserve">need to work inside the primary vessel and typically penetrate through the cover gas of the primary system. As a result, fuel handling systems must address issues associated with ‘sodium-frost’ </w:t>
      </w:r>
      <w:r w:rsidR="00A86A29">
        <w:t>build-up</w:t>
      </w:r>
      <w:r>
        <w:t>.</w:t>
      </w:r>
    </w:p>
    <w:p w14:paraId="18D19877" w14:textId="77777777" w:rsidR="006E4FB7" w:rsidRDefault="006E4FB7" w:rsidP="006E4FB7">
      <w:pPr>
        <w:pStyle w:val="ListNumbered"/>
      </w:pPr>
      <w:r>
        <w:t>Mechanisms for self-actuated control and shutdown systems – These components have been conceived by various designers to provide added defense-in-depth for reducing the consequences of beyond-design-basis accidents. These self-actuated control and shutdown mechanisms include devices such as curie-point magnets and fusible linkages.</w:t>
      </w:r>
    </w:p>
    <w:p w14:paraId="3BD2D709" w14:textId="77777777" w:rsidR="006E4FB7" w:rsidRDefault="006E4FB7" w:rsidP="006E4FB7">
      <w:pPr>
        <w:pStyle w:val="ListNumbered"/>
      </w:pPr>
      <w:r>
        <w:t xml:space="preserve">Advanced sensors and instrumentation – Advanced fast reactors contain sensors and instrumentation for monitoring the condition of the plant. This category includes but is not limited to, sensors for the rapid detection of hydrogen presence in sodium (which is indicative of a leak), the detection of impurities in the coolant (i.e., improvement of plugging meters or oxygen sensors), alternative methods for leak detection, improved sensors for level measurement </w:t>
      </w:r>
      <w:r w:rsidRPr="009004D1">
        <w:t>and</w:t>
      </w:r>
      <w:r>
        <w:t xml:space="preserve"> other advanced sensors or instrumentation that improve the overall performance of advanced reactor systems.</w:t>
      </w:r>
    </w:p>
    <w:p w14:paraId="22904AE4" w14:textId="77777777" w:rsidR="006E4FB7" w:rsidRDefault="006E4FB7" w:rsidP="006E4FB7">
      <w:pPr>
        <w:pStyle w:val="ListNumbered"/>
      </w:pPr>
      <w:r>
        <w:t>In-service inspection and repair technologies – These systems include visualization sensors (e.g., under-sodium view</w:t>
      </w:r>
      <w:r w:rsidR="004056E8">
        <w:t>ing</w:t>
      </w:r>
      <w:r>
        <w:t xml:space="preserve"> sensors) for immersed coolant applications and technologies for the welding and repair of structures in contact with the primary coolant. In addition, technologies for monitoring the health of piping and vessel systems for advanced reactors can be demonstrated at the METL facility.</w:t>
      </w:r>
    </w:p>
    <w:p w14:paraId="1495BF68" w14:textId="5EC0E648" w:rsidR="006E4FB7" w:rsidRDefault="006E4FB7" w:rsidP="006E4FB7">
      <w:pPr>
        <w:pStyle w:val="ListNumbered"/>
      </w:pPr>
      <w:r>
        <w:t xml:space="preserve">Thermal hydraulic testing in prototypic sodium environment – A thermal hydraulic test loop could be used to acquire distributed temperature data in the cold and hot pools of a </w:t>
      </w:r>
      <w:r w:rsidR="00A86A29">
        <w:t>small-scale</w:t>
      </w:r>
      <w:r>
        <w:t xml:space="preserve"> sodium fast reactor during simulated nominal and protected/unprotected loss of flow accidents. This testing could </w:t>
      </w:r>
      <w:r w:rsidR="004056E8">
        <w:t xml:space="preserve">include simulation of the core and hot pool regions (for a pool-type reactor) </w:t>
      </w:r>
      <w:proofErr w:type="gramStart"/>
      <w:r w:rsidR="004056E8">
        <w:t>in order to</w:t>
      </w:r>
      <w:proofErr w:type="gramEnd"/>
      <w:r w:rsidR="004056E8">
        <w:t xml:space="preserve"> parametrically investigate the effect of the </w:t>
      </w:r>
      <w:r>
        <w:t>IHX/core outlet height difference and its effect on thermal stratification of sodium in the hot pool. Ultimately this data will be used for validating CFD and systems level code</w:t>
      </w:r>
      <w:r w:rsidR="004056E8">
        <w:t>s</w:t>
      </w:r>
      <w:r>
        <w:t>.</w:t>
      </w:r>
    </w:p>
    <w:p w14:paraId="696BE43F" w14:textId="77777777" w:rsidR="00474A61" w:rsidRDefault="00474A61" w:rsidP="006E4FB7">
      <w:pPr>
        <w:pStyle w:val="BodyText"/>
      </w:pPr>
    </w:p>
    <w:p w14:paraId="4FDCC38F" w14:textId="76745EF5" w:rsidR="006E4FB7" w:rsidRDefault="006E4FB7" w:rsidP="006E4FB7">
      <w:pPr>
        <w:pStyle w:val="BodyText"/>
      </w:pPr>
      <w:r>
        <w:t xml:space="preserve">In addition, METL provides development opportunities for younger scientists, engineers, and designers who will ultimately lead the advancement of liquid metal technologies in the U.S. </w:t>
      </w:r>
      <w:r w:rsidR="004056E8">
        <w:t>H</w:t>
      </w:r>
      <w:r>
        <w:t>ands-on experience with METL, both successes and perceived failures, will ultimately lead to better liquid metal technologies that can support the commercialization of advanced reactors. The following section provides an overview of the METL facility design.</w:t>
      </w:r>
    </w:p>
    <w:p w14:paraId="6347296D" w14:textId="77777777" w:rsidR="006E4FB7" w:rsidRPr="006E4FB7" w:rsidRDefault="006E4FB7" w:rsidP="006E4FB7">
      <w:pPr>
        <w:pStyle w:val="Heading2"/>
        <w:numPr>
          <w:ilvl w:val="1"/>
          <w:numId w:val="10"/>
        </w:numPr>
      </w:pPr>
      <w:r w:rsidRPr="00C34313">
        <w:t>METL FACILITY DESIGN OVERVIEW</w:t>
      </w:r>
    </w:p>
    <w:p w14:paraId="3C0D2AB1" w14:textId="77777777" w:rsidR="005F6233" w:rsidRDefault="005F6233" w:rsidP="006E4FB7">
      <w:pPr>
        <w:pStyle w:val="BodyText"/>
      </w:pPr>
      <w:r w:rsidRPr="00C47942">
        <w:t>The design philosophy</w:t>
      </w:r>
      <w:r>
        <w:t xml:space="preserve"> behind</w:t>
      </w:r>
      <w:r w:rsidRPr="00C47942">
        <w:t xml:space="preserve"> METL was to allow for at least </w:t>
      </w:r>
      <w:r>
        <w:t>four</w:t>
      </w:r>
      <w:r w:rsidRPr="00C47942">
        <w:t xml:space="preserve"> independent experiments (immersed in sodium) occurring simultaneously while the system is </w:t>
      </w:r>
      <w:r>
        <w:t xml:space="preserve">in </w:t>
      </w:r>
      <w:r w:rsidRPr="00C47942">
        <w:t xml:space="preserve">operation. These experiments can have their own independent sodium environment </w:t>
      </w:r>
      <w:r>
        <w:t xml:space="preserve">during testing. Any experiment </w:t>
      </w:r>
      <w:r w:rsidRPr="00C47942">
        <w:t>can be remove</w:t>
      </w:r>
      <w:r>
        <w:t>d</w:t>
      </w:r>
      <w:r w:rsidRPr="00C47942">
        <w:t xml:space="preserve"> and inserted into their respective test vessel </w:t>
      </w:r>
      <w:r>
        <w:t xml:space="preserve">without impacting the operations of the </w:t>
      </w:r>
      <w:r w:rsidRPr="00C47942">
        <w:t>other experim</w:t>
      </w:r>
      <w:r>
        <w:t>ents</w:t>
      </w:r>
      <w:r w:rsidRPr="00C47942">
        <w:t>.</w:t>
      </w:r>
    </w:p>
    <w:p w14:paraId="602B97F3" w14:textId="58E56E0E" w:rsidR="006E4FB7" w:rsidRDefault="004056E8" w:rsidP="006E4FB7">
      <w:pPr>
        <w:pStyle w:val="BodyText"/>
      </w:pPr>
      <w:r>
        <w:t>Th</w:t>
      </w:r>
      <w:r w:rsidR="006E4FB7" w:rsidRPr="006E4FB7">
        <w:t>e design of the METL facility [1] consists of four test vessels connected in parallel to a main sodium loop</w:t>
      </w:r>
      <w:r>
        <w:t xml:space="preserve"> (</w:t>
      </w:r>
      <w:r>
        <w:fldChar w:fldCharType="begin"/>
      </w:r>
      <w:r>
        <w:instrText xml:space="preserve"> REF _Ref63748417 \h </w:instrText>
      </w:r>
      <w:r>
        <w:fldChar w:fldCharType="separate"/>
      </w:r>
      <w:r w:rsidR="00191B91" w:rsidRPr="0024684E">
        <w:t xml:space="preserve">FIG. </w:t>
      </w:r>
      <w:r w:rsidR="00191B91">
        <w:rPr>
          <w:noProof/>
        </w:rPr>
        <w:t>1</w:t>
      </w:r>
      <w:r>
        <w:fldChar w:fldCharType="end"/>
      </w:r>
      <w:r>
        <w:t>)</w:t>
      </w:r>
      <w:r w:rsidR="006E4FB7" w:rsidRPr="006E4FB7">
        <w:t xml:space="preserve">. The different vessels share an expansion tank, purification system, several electromagnetic (EM) pumps and flowmeters, and a dump tank. This flexible, consolidated design minimizes infrastructure requirements and allows for multiple experiments to be operated simultaneous in one facility. </w:t>
      </w:r>
      <w:r w:rsidR="006E4FB7" w:rsidRPr="00C47942">
        <w:t xml:space="preserve">The facility </w:t>
      </w:r>
      <w:r w:rsidR="006E4FB7">
        <w:t>design</w:t>
      </w:r>
      <w:r w:rsidR="006E4FB7" w:rsidRPr="00C47942">
        <w:t xml:space="preserve"> was divided into </w:t>
      </w:r>
      <w:r w:rsidR="006E4FB7">
        <w:t xml:space="preserve">two phases. </w:t>
      </w:r>
      <w:r w:rsidR="006E4FB7" w:rsidRPr="00C47942">
        <w:t>Phase 1 construction include</w:t>
      </w:r>
      <w:r w:rsidR="006E4FB7">
        <w:t>d</w:t>
      </w:r>
      <w:r w:rsidR="006E4FB7" w:rsidRPr="00C47942">
        <w:t xml:space="preserve"> two 18</w:t>
      </w:r>
      <w:r w:rsidR="006E4FB7">
        <w:t>-</w:t>
      </w:r>
      <w:r w:rsidR="006E4FB7" w:rsidRPr="00C47942">
        <w:t>inch</w:t>
      </w:r>
      <w:r w:rsidR="00C11281">
        <w:t xml:space="preserve"> (45.7-cm) </w:t>
      </w:r>
      <w:r w:rsidR="006E4FB7" w:rsidRPr="00C47942">
        <w:t>test vessels and two 2</w:t>
      </w:r>
      <w:r w:rsidR="006E4FB7">
        <w:t>8-</w:t>
      </w:r>
      <w:r w:rsidR="006E4FB7" w:rsidRPr="00C47942">
        <w:t xml:space="preserve">inch </w:t>
      </w:r>
      <w:r w:rsidR="00C11281">
        <w:t xml:space="preserve">(71-cm) </w:t>
      </w:r>
      <w:r w:rsidR="006E4FB7" w:rsidRPr="00C47942">
        <w:t xml:space="preserve">test vessels connected to the main piping loop. </w:t>
      </w:r>
      <w:r w:rsidR="006E4FB7">
        <w:t xml:space="preserve">The future </w:t>
      </w:r>
      <w:r w:rsidR="006E4FB7" w:rsidRPr="00C47942">
        <w:t>Phase 2 design allow</w:t>
      </w:r>
      <w:r w:rsidR="006E4FB7">
        <w:t>s</w:t>
      </w:r>
      <w:r w:rsidR="006E4FB7" w:rsidRPr="00C47942">
        <w:t xml:space="preserve"> for four additional 18-inch test vessels installed on the mezzanine. The </w:t>
      </w:r>
      <w:r w:rsidR="006E4FB7">
        <w:t>METL facility</w:t>
      </w:r>
      <w:r w:rsidR="006E4FB7" w:rsidRPr="00C47942">
        <w:t xml:space="preserve"> is designed to handle both static and flowing sodium which permits each test vessel to be configured to suit </w:t>
      </w:r>
      <w:r>
        <w:t xml:space="preserve">the requirements for </w:t>
      </w:r>
      <w:r w:rsidR="006E4FB7">
        <w:t>a particular experiment</w:t>
      </w:r>
      <w:r w:rsidR="005F6233">
        <w:t>.</w:t>
      </w:r>
    </w:p>
    <w:p w14:paraId="03712258" w14:textId="77777777" w:rsidR="006E4FB7" w:rsidRDefault="00AE7523" w:rsidP="006E4FB7">
      <w:pPr>
        <w:pStyle w:val="BodyText"/>
      </w:pPr>
      <w:r>
        <w:t xml:space="preserve">METL has an installed purification and diagnostic system. The purification system uses a </w:t>
      </w:r>
      <w:r w:rsidR="006E4FB7" w:rsidRPr="00C47942">
        <w:t>mesh-filled counter flow cold trap</w:t>
      </w:r>
      <w:r>
        <w:t xml:space="preserve"> that is cooled by air</w:t>
      </w:r>
      <w:r w:rsidR="006E4FB7" w:rsidRPr="00C47942">
        <w:t xml:space="preserve">. </w:t>
      </w:r>
      <w:r>
        <w:t xml:space="preserve">There is a sodium-to-sodium heat exchanger (economizer) located upstream of the cold trap. </w:t>
      </w:r>
      <w:r w:rsidR="006E4FB7" w:rsidRPr="00C47942">
        <w:t xml:space="preserve">The </w:t>
      </w:r>
      <w:r w:rsidR="006E4FB7">
        <w:t xml:space="preserve">internal </w:t>
      </w:r>
      <w:r w:rsidR="006E4FB7" w:rsidRPr="00C47942">
        <w:t xml:space="preserve">design of the cold trap is based upon the mesh-filled Experimental Breeder Reactor-II’s cold trap design. Impurity levels can be continuously monitored using </w:t>
      </w:r>
      <w:r w:rsidR="006E4FB7">
        <w:t xml:space="preserve">an installed </w:t>
      </w:r>
      <w:r w:rsidR="006E4FB7" w:rsidRPr="00C47942">
        <w:t>plugging meter</w:t>
      </w:r>
      <w:r w:rsidR="006E4FB7">
        <w:t xml:space="preserve"> which is designed as a separate piping circuit from the purification system.</w:t>
      </w:r>
    </w:p>
    <w:p w14:paraId="263F2E03" w14:textId="765DBBE3" w:rsidR="006E4FB7" w:rsidRDefault="006E4FB7" w:rsidP="006E4FB7">
      <w:pPr>
        <w:pStyle w:val="BodyText"/>
      </w:pPr>
      <w:r w:rsidRPr="00C47942">
        <w:t xml:space="preserve">All piping, test vessels, and tanks are equipped with </w:t>
      </w:r>
      <w:r>
        <w:t xml:space="preserve">electrical heaters </w:t>
      </w:r>
      <w:r w:rsidRPr="00C47942">
        <w:t>and insulation that maintain</w:t>
      </w:r>
      <w:r>
        <w:t>s</w:t>
      </w:r>
      <w:r w:rsidRPr="00C47942">
        <w:t xml:space="preserve"> the sodium temperatures in a range from room temperature to a </w:t>
      </w:r>
      <w:r w:rsidR="008557A5">
        <w:t>maximum</w:t>
      </w:r>
      <w:r w:rsidRPr="00C47942">
        <w:t xml:space="preserve"> of 1000°F</w:t>
      </w:r>
      <w:r w:rsidR="00230121">
        <w:t xml:space="preserve"> (537.8 °C)</w:t>
      </w:r>
      <w:r w:rsidRPr="00C47942">
        <w:t xml:space="preserve">. </w:t>
      </w:r>
      <w:r>
        <w:t xml:space="preserve">Two mineral-insulated cable heaters are installed on each piping run but only one is used for heating at a time with the other an installed spare. The vessels are heated with electric radiant band heaters. </w:t>
      </w:r>
      <w:r w:rsidRPr="00C47942">
        <w:t>The large 28” test vessel</w:t>
      </w:r>
      <w:r>
        <w:t>s</w:t>
      </w:r>
      <w:r w:rsidRPr="00C47942">
        <w:t xml:space="preserve"> are designed to contain static sodium up to 1200°F </w:t>
      </w:r>
      <w:r w:rsidR="00230121">
        <w:t xml:space="preserve">(648.9°C) </w:t>
      </w:r>
      <w:r w:rsidRPr="00C47942">
        <w:t>(</w:t>
      </w:r>
      <w:r w:rsidR="008557A5">
        <w:fldChar w:fldCharType="begin"/>
      </w:r>
      <w:r w:rsidR="008557A5">
        <w:instrText xml:space="preserve"> REF _Ref64195082 \h </w:instrText>
      </w:r>
      <w:r w:rsidR="008557A5">
        <w:fldChar w:fldCharType="separate"/>
      </w:r>
      <w:r w:rsidR="008557A5" w:rsidRPr="00C47942">
        <w:t>F</w:t>
      </w:r>
      <w:r w:rsidR="008557A5">
        <w:t>IG.</w:t>
      </w:r>
      <w:r w:rsidR="008557A5" w:rsidRPr="00C47942">
        <w:t xml:space="preserve"> </w:t>
      </w:r>
      <w:r w:rsidR="008557A5">
        <w:rPr>
          <w:noProof/>
        </w:rPr>
        <w:t>3</w:t>
      </w:r>
      <w:r w:rsidR="008557A5">
        <w:fldChar w:fldCharType="end"/>
      </w:r>
      <w:r w:rsidR="008557A5">
        <w:t xml:space="preserve"> – Right)</w:t>
      </w:r>
      <w:r w:rsidRPr="00C47942">
        <w:t>)</w:t>
      </w:r>
      <w:r>
        <w:t xml:space="preserve"> and are constructed from 304H stainless steel</w:t>
      </w:r>
      <w:r w:rsidRPr="00C47942">
        <w:t xml:space="preserve">. </w:t>
      </w:r>
      <w:r w:rsidRPr="00C47942">
        <w:lastRenderedPageBreak/>
        <w:t xml:space="preserve">The temperature for each individual vessel, tank, or component </w:t>
      </w:r>
      <w:r>
        <w:t>is</w:t>
      </w:r>
      <w:r w:rsidRPr="00C47942">
        <w:t xml:space="preserve"> adjusted by -controlled heaters to suit </w:t>
      </w:r>
      <w:r>
        <w:t xml:space="preserve">the </w:t>
      </w:r>
      <w:proofErr w:type="gramStart"/>
      <w:r>
        <w:t>particular needs</w:t>
      </w:r>
      <w:proofErr w:type="gramEnd"/>
      <w:r>
        <w:t xml:space="preserve"> of a test.</w:t>
      </w:r>
    </w:p>
    <w:p w14:paraId="60D4EABA" w14:textId="7F6829BB" w:rsidR="006E4FB7" w:rsidRDefault="006E4FB7" w:rsidP="006E4FB7">
      <w:pPr>
        <w:pStyle w:val="BodyText"/>
      </w:pPr>
      <w:r w:rsidRPr="006E4FB7">
        <w:t>The density of sodium changes from ~920</w:t>
      </w:r>
      <w:r w:rsidR="00152588">
        <w:t xml:space="preserve"> </w:t>
      </w:r>
      <w:r w:rsidRPr="006E4FB7">
        <w:t xml:space="preserve">kg/m³ </w:t>
      </w:r>
      <w:r w:rsidR="00950B36">
        <w:t>(57.44 lb/ft</w:t>
      </w:r>
      <w:r w:rsidR="00950B36" w:rsidRPr="00950B36">
        <w:rPr>
          <w:vertAlign w:val="superscript"/>
        </w:rPr>
        <w:t>3</w:t>
      </w:r>
      <w:r w:rsidR="00950B36">
        <w:t xml:space="preserve">) </w:t>
      </w:r>
      <w:r w:rsidRPr="006E4FB7">
        <w:t>to ~825</w:t>
      </w:r>
      <w:r w:rsidR="00152588">
        <w:t xml:space="preserve"> </w:t>
      </w:r>
      <w:r w:rsidRPr="006E4FB7">
        <w:t xml:space="preserve">kg/m³ </w:t>
      </w:r>
      <w:r w:rsidR="00950B36">
        <w:t>(51.5 lb/ft</w:t>
      </w:r>
      <w:r w:rsidR="00950B36" w:rsidRPr="00950B36">
        <w:rPr>
          <w:vertAlign w:val="superscript"/>
        </w:rPr>
        <w:t>3</w:t>
      </w:r>
      <w:r w:rsidR="00950B36">
        <w:t xml:space="preserve">) </w:t>
      </w:r>
      <w:r w:rsidRPr="006E4FB7">
        <w:t xml:space="preserve">when heated from 208°F </w:t>
      </w:r>
      <w:r w:rsidR="00230121">
        <w:t>(97.8</w:t>
      </w:r>
      <w:r w:rsidR="00152588">
        <w:t>°C</w:t>
      </w:r>
      <w:r w:rsidR="00230121">
        <w:t xml:space="preserve">) </w:t>
      </w:r>
      <w:r w:rsidRPr="006E4FB7">
        <w:t>to 1000°F</w:t>
      </w:r>
      <w:r w:rsidR="00230121">
        <w:t xml:space="preserve"> (537.8°C)</w:t>
      </w:r>
      <w:r w:rsidRPr="006E4FB7">
        <w:t xml:space="preserve">. The additional volume is compensated for by an expansion tank that is connected to the main loop and is always on-line. </w:t>
      </w:r>
    </w:p>
    <w:p w14:paraId="08D8E613" w14:textId="77777777" w:rsidR="00B93638" w:rsidRPr="006E4FB7" w:rsidRDefault="00B93638" w:rsidP="006E4FB7">
      <w:pPr>
        <w:pStyle w:val="BodyText"/>
      </w:pPr>
    </w:p>
    <w:p w14:paraId="0D8108C2" w14:textId="77777777" w:rsidR="006E4FB7" w:rsidRPr="00C47942" w:rsidRDefault="005B6591" w:rsidP="006E4FB7">
      <w:pPr>
        <w:pStyle w:val="Textkrper1"/>
        <w:keepNext/>
        <w:spacing w:before="120"/>
        <w:rPr>
          <w:rFonts w:ascii="Times New Roman" w:hAnsi="Times New Roman"/>
        </w:rPr>
      </w:pPr>
      <w:r>
        <w:rPr>
          <w:rFonts w:ascii="Times New Roman" w:hAnsi="Times New Roman"/>
          <w:noProof/>
          <w:lang w:val="en-US"/>
        </w:rPr>
        <w:drawing>
          <wp:inline distT="0" distB="0" distL="0" distR="0" wp14:anchorId="21E37658" wp14:editId="2E3FD4B4">
            <wp:extent cx="5948202" cy="3768918"/>
            <wp:effectExtent l="0" t="0" r="0" b="317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METL_CAD_Model_with_Labels.png"/>
                    <pic:cNvPicPr/>
                  </pic:nvPicPr>
                  <pic:blipFill>
                    <a:blip r:embed="rId12" cstate="print">
                      <a:extLst>
                        <a:ext uri="{28A0092B-C50C-407E-A947-70E740481C1C}">
                          <a14:useLocalDpi xmlns:a14="http://schemas.microsoft.com/office/drawing/2010/main" val="0"/>
                        </a:ext>
                      </a:extLst>
                    </a:blip>
                    <a:stretch>
                      <a:fillRect/>
                    </a:stretch>
                  </pic:blipFill>
                  <pic:spPr bwMode="auto">
                    <a:xfrm>
                      <a:off x="0" y="0"/>
                      <a:ext cx="5952702" cy="3771769"/>
                    </a:xfrm>
                    <a:prstGeom prst="rect">
                      <a:avLst/>
                    </a:prstGeom>
                    <a:ln>
                      <a:noFill/>
                    </a:ln>
                    <a:extLst>
                      <a:ext uri="{53640926-AAD7-44D8-BBD7-CCE9431645EC}">
                        <a14:shadowObscured xmlns:a14="http://schemas.microsoft.com/office/drawing/2010/main"/>
                      </a:ext>
                    </a:extLst>
                  </pic:spPr>
                </pic:pic>
              </a:graphicData>
            </a:graphic>
          </wp:inline>
        </w:drawing>
      </w:r>
    </w:p>
    <w:p w14:paraId="2A39B8D2" w14:textId="77777777" w:rsidR="006E4FB7" w:rsidRPr="0024684E" w:rsidRDefault="006E4FB7" w:rsidP="007F43FE">
      <w:pPr>
        <w:pStyle w:val="Figurecaption"/>
      </w:pPr>
      <w:bookmarkStart w:id="2" w:name="_Ref63748417"/>
      <w:r w:rsidRPr="0024684E">
        <w:t xml:space="preserve">FIG. </w:t>
      </w:r>
      <w:fldSimple w:instr=" SEQ Figure \* ARABIC ">
        <w:r w:rsidR="00191B91">
          <w:rPr>
            <w:noProof/>
          </w:rPr>
          <w:t>1</w:t>
        </w:r>
      </w:fldSimple>
      <w:bookmarkEnd w:id="2"/>
      <w:r w:rsidRPr="0024684E">
        <w:t xml:space="preserve">. A 3D model of METL after Phase I </w:t>
      </w:r>
      <w:r w:rsidR="005B6591">
        <w:t>construction</w:t>
      </w:r>
    </w:p>
    <w:p w14:paraId="03740890" w14:textId="77777777" w:rsidR="006E4FB7" w:rsidRDefault="006E4FB7" w:rsidP="006E4FB7">
      <w:pPr>
        <w:pStyle w:val="BodyText"/>
        <w:rPr>
          <w:lang w:val="en-US"/>
        </w:rPr>
      </w:pPr>
    </w:p>
    <w:p w14:paraId="15793F9A" w14:textId="58D843EC" w:rsidR="006E4FB7" w:rsidRPr="003F554E" w:rsidRDefault="006E4FB7" w:rsidP="00474A61">
      <w:pPr>
        <w:pStyle w:val="BodyText"/>
      </w:pPr>
      <w:r w:rsidRPr="003F554E">
        <w:t xml:space="preserve">As shown in </w:t>
      </w:r>
      <w:r w:rsidRPr="003F554E">
        <w:fldChar w:fldCharType="begin"/>
      </w:r>
      <w:r w:rsidRPr="003F554E">
        <w:instrText xml:space="preserve"> REF _Ref64194747 \h  \* MERGEFORMAT </w:instrText>
      </w:r>
      <w:r w:rsidRPr="003F554E">
        <w:fldChar w:fldCharType="separate"/>
      </w:r>
      <w:r w:rsidR="00191B91" w:rsidRPr="00474A61">
        <w:t>FIG.</w:t>
      </w:r>
      <w:r w:rsidR="00191B91" w:rsidRPr="003F554E">
        <w:t xml:space="preserve"> 2</w:t>
      </w:r>
      <w:r w:rsidRPr="003F554E">
        <w:fldChar w:fldCharType="end"/>
      </w:r>
      <w:r w:rsidRPr="003F554E">
        <w:t xml:space="preserve">, each test vessel is configured identically with dedicated lines for sodium supply, return, overflow, and drainage. Additionally, all test vessels are connected to an argon supply line (for argon cover gas) and a vent line that is connected to a vapor trap. </w:t>
      </w:r>
      <w:r w:rsidR="005F6233" w:rsidRPr="003F554E">
        <w:t>T</w:t>
      </w:r>
      <w:r w:rsidRPr="003F554E">
        <w:t xml:space="preserve">he maximum </w:t>
      </w:r>
      <w:r w:rsidR="005F6233" w:rsidRPr="003F554E">
        <w:t xml:space="preserve">sodium </w:t>
      </w:r>
      <w:r w:rsidRPr="003F554E">
        <w:t xml:space="preserve">flowrate </w:t>
      </w:r>
      <w:r w:rsidR="005F6233" w:rsidRPr="003F554E">
        <w:t>through</w:t>
      </w:r>
      <w:r w:rsidRPr="003F554E">
        <w:t xml:space="preserve"> a vessel </w:t>
      </w:r>
      <w:r w:rsidR="004056E8" w:rsidRPr="003F554E">
        <w:t>is</w:t>
      </w:r>
      <w:r w:rsidRPr="003F554E">
        <w:t xml:space="preserve"> approximately 10gpm</w:t>
      </w:r>
      <w:r w:rsidR="00C11281">
        <w:t xml:space="preserve"> (37.85L/m)</w:t>
      </w:r>
      <w:r w:rsidRPr="003F554E">
        <w:t xml:space="preserve">. The sodium overflow line is used to control the sodium levels in the test vessels. A sodium drain from a </w:t>
      </w:r>
      <w:r w:rsidR="004056E8" w:rsidRPr="003F554E">
        <w:t xml:space="preserve">given </w:t>
      </w:r>
      <w:r w:rsidRPr="003F554E">
        <w:t xml:space="preserve">test vessel is carried out independently </w:t>
      </w:r>
      <w:r w:rsidR="004056E8" w:rsidRPr="003F554E">
        <w:t>by opening the vessel’s dump valve.</w:t>
      </w:r>
      <w:r w:rsidR="00AE7523" w:rsidRPr="003F554E">
        <w:t xml:space="preserve"> All vessels have their own dedicated argon gas supply, argon gas vent, sodium vapor trap, sodium filter, and pressure relief valve.</w:t>
      </w:r>
    </w:p>
    <w:p w14:paraId="6789AEC4" w14:textId="6504A8EF" w:rsidR="006E4FB7" w:rsidRPr="003F554E" w:rsidRDefault="006E4FB7" w:rsidP="00474A61">
      <w:pPr>
        <w:pStyle w:val="BodyText"/>
      </w:pPr>
      <w:r w:rsidRPr="003F554E">
        <w:t>The large carbon steel catch pan (~1000gal</w:t>
      </w:r>
      <w:r w:rsidR="00230121">
        <w:t xml:space="preserve"> / 3,785L</w:t>
      </w:r>
      <w:r w:rsidRPr="003F554E">
        <w:t>) located under the mezzanine is designed to collect sodium in the event of a sodium leak. The catch pan maintains a metal barrier between the spilled sodium and the underlying concrete</w:t>
      </w:r>
      <w:r w:rsidR="004056E8" w:rsidRPr="003F554E">
        <w:t xml:space="preserve"> floor</w:t>
      </w:r>
      <w:r w:rsidRPr="003F554E">
        <w:t>.</w:t>
      </w:r>
      <w:r w:rsidR="00AE7523" w:rsidRPr="003F554E">
        <w:t xml:space="preserve"> In case of a leak, the B308 building houses a 30,000 cfm </w:t>
      </w:r>
      <w:r w:rsidR="00950B36">
        <w:t xml:space="preserve">(849,480 </w:t>
      </w:r>
      <w:r w:rsidR="00152588">
        <w:t>L</w:t>
      </w:r>
      <w:r w:rsidR="00950B36">
        <w:t xml:space="preserve">/m) </w:t>
      </w:r>
      <w:r w:rsidR="00AE7523" w:rsidRPr="003F554E">
        <w:t>air wet scrubbing unit for smoke control and to remove sodium aerosols from the air.</w:t>
      </w:r>
    </w:p>
    <w:p w14:paraId="28027B68" w14:textId="0881A41C" w:rsidR="006E4FB7" w:rsidRPr="003F554E" w:rsidRDefault="006E4FB7">
      <w:pPr>
        <w:pStyle w:val="BodyText"/>
      </w:pPr>
      <w:r w:rsidRPr="003F554E">
        <w:t xml:space="preserve">The piping system is made from 316/316L dual certified stainless steel and was designed and constructed to B31.3 ASME piping code. The METL piping system was designed for an ASME B31.3 class M high hazard fluid. </w:t>
      </w:r>
      <w:proofErr w:type="gramStart"/>
      <w:r w:rsidRPr="003F554E">
        <w:t>In order to</w:t>
      </w:r>
      <w:proofErr w:type="gramEnd"/>
      <w:r w:rsidRPr="003F554E">
        <w:t xml:space="preserve"> minimize sodium leaks, the facility is 100% welded construction with the exception of the few mechanical Grayloc connections for the main loop electromagnetic pump and for the pressure transducer diaphragms. Although a class M fluid requires 20% of the welds be radiographed, </w:t>
      </w:r>
      <w:proofErr w:type="gramStart"/>
      <w:r w:rsidRPr="003F554E">
        <w:t>all of</w:t>
      </w:r>
      <w:proofErr w:type="gramEnd"/>
      <w:r w:rsidRPr="003F554E">
        <w:t xml:space="preserve"> the welds for METL were radiographed as is custom for large-scaled liquid metal facilities in the U.S. </w:t>
      </w:r>
      <w:r w:rsidR="004056E8" w:rsidRPr="003F554E">
        <w:t>All piping is Schedule 40; t</w:t>
      </w:r>
      <w:r w:rsidRPr="003F554E">
        <w:t>he main loop piping size is 1.5inch</w:t>
      </w:r>
      <w:r w:rsidR="00230121">
        <w:t xml:space="preserve"> (38.1mm)</w:t>
      </w:r>
      <w:r w:rsidR="004056E8" w:rsidRPr="003F554E">
        <w:t xml:space="preserve">, while </w:t>
      </w:r>
      <w:r w:rsidRPr="003F554E">
        <w:t>the smaller branch lines are ¾ inch</w:t>
      </w:r>
      <w:r w:rsidR="00230121">
        <w:t xml:space="preserve"> (19.05mm)</w:t>
      </w:r>
      <w:r w:rsidRPr="003F554E">
        <w:t xml:space="preserve">. There are three electromagnetic pumps and three electromagnetic flow meters that </w:t>
      </w:r>
      <w:r w:rsidR="004056E8" w:rsidRPr="003F554E">
        <w:t xml:space="preserve">control and monitor </w:t>
      </w:r>
      <w:r w:rsidRPr="003F554E">
        <w:t>flow in the main loop, the purification loop, and the diagnostic loop</w:t>
      </w:r>
      <w:r w:rsidR="004056E8" w:rsidRPr="003F554E">
        <w:t>, respectively</w:t>
      </w:r>
      <w:r w:rsidRPr="003F554E">
        <w:t xml:space="preserve">. The overflow lines are at the same elevation for </w:t>
      </w:r>
      <w:proofErr w:type="gramStart"/>
      <w:r w:rsidRPr="003F554E">
        <w:t>all of</w:t>
      </w:r>
      <w:proofErr w:type="gramEnd"/>
      <w:r w:rsidRPr="003F554E">
        <w:t xml:space="preserve"> the </w:t>
      </w:r>
      <w:r w:rsidR="00B11D70" w:rsidRPr="003F554E">
        <w:lastRenderedPageBreak/>
        <w:t xml:space="preserve">test </w:t>
      </w:r>
      <w:r w:rsidRPr="003F554E">
        <w:t xml:space="preserve">vessels </w:t>
      </w:r>
      <w:r w:rsidR="004056E8" w:rsidRPr="003F554E">
        <w:t>so that the sodium elevation is maintained</w:t>
      </w:r>
      <w:r w:rsidRPr="003F554E">
        <w:t xml:space="preserve"> when they hold sodium. The expansion tank is the only vessel without an overflow line, but it is roughly twice as tall as the other vessels. </w:t>
      </w:r>
    </w:p>
    <w:p w14:paraId="02451555" w14:textId="77777777" w:rsidR="006E4FB7" w:rsidRDefault="006E4FB7" w:rsidP="006E4FB7">
      <w:pPr>
        <w:keepNext/>
        <w:jc w:val="center"/>
        <w:rPr>
          <w:noProof/>
          <w:sz w:val="20"/>
          <w:lang w:val="en-US"/>
        </w:rPr>
      </w:pPr>
    </w:p>
    <w:p w14:paraId="2F501B79" w14:textId="77777777" w:rsidR="00B22254" w:rsidRDefault="00B22254" w:rsidP="006E4FB7">
      <w:pPr>
        <w:keepNext/>
        <w:jc w:val="center"/>
        <w:rPr>
          <w:noProof/>
          <w:sz w:val="20"/>
          <w:lang w:val="en-US"/>
        </w:rPr>
      </w:pPr>
      <w:r w:rsidRPr="00B22254">
        <w:rPr>
          <w:noProof/>
          <w:lang w:val="en-US"/>
        </w:rPr>
        <w:drawing>
          <wp:inline distT="0" distB="0" distL="0" distR="0" wp14:anchorId="61CFC2D9" wp14:editId="7A72E747">
            <wp:extent cx="2143983" cy="3408883"/>
            <wp:effectExtent l="0" t="0" r="8890" b="127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155953" cy="3427915"/>
                    </a:xfrm>
                    <a:prstGeom prst="rect">
                      <a:avLst/>
                    </a:prstGeom>
                  </pic:spPr>
                </pic:pic>
              </a:graphicData>
            </a:graphic>
          </wp:inline>
        </w:drawing>
      </w:r>
    </w:p>
    <w:p w14:paraId="2F3AB046" w14:textId="77777777" w:rsidR="00B22254" w:rsidRDefault="00B22254" w:rsidP="006E4FB7">
      <w:pPr>
        <w:keepNext/>
        <w:jc w:val="center"/>
        <w:rPr>
          <w:noProof/>
          <w:sz w:val="20"/>
          <w:lang w:val="en-US"/>
        </w:rPr>
      </w:pPr>
    </w:p>
    <w:p w14:paraId="79894A90" w14:textId="77777777" w:rsidR="00B22254" w:rsidRPr="00C47942" w:rsidRDefault="00B22254" w:rsidP="006E4FB7">
      <w:pPr>
        <w:keepNext/>
        <w:jc w:val="center"/>
        <w:rPr>
          <w:sz w:val="20"/>
        </w:rPr>
      </w:pPr>
    </w:p>
    <w:p w14:paraId="22FE6E0D" w14:textId="77777777" w:rsidR="006E4FB7" w:rsidRPr="00C47942" w:rsidRDefault="006E4FB7" w:rsidP="006E4FB7">
      <w:pPr>
        <w:pStyle w:val="Figurecaption"/>
      </w:pPr>
      <w:bookmarkStart w:id="3" w:name="_Ref64194747"/>
      <w:r w:rsidRPr="00C47942">
        <w:t>F</w:t>
      </w:r>
      <w:r>
        <w:t>IG.</w:t>
      </w:r>
      <w:r w:rsidRPr="00C47942">
        <w:t xml:space="preserve"> </w:t>
      </w:r>
      <w:fldSimple w:instr=" SEQ Figure \* ARABIC ">
        <w:r w:rsidR="00191B91">
          <w:rPr>
            <w:noProof/>
          </w:rPr>
          <w:t>2</w:t>
        </w:r>
      </w:fldSimple>
      <w:bookmarkEnd w:id="3"/>
      <w:r>
        <w:t>.</w:t>
      </w:r>
      <w:r w:rsidRPr="0024684E">
        <w:t xml:space="preserve"> A depiction of the various test vessel connections and their orientation</w:t>
      </w:r>
    </w:p>
    <w:p w14:paraId="15D0A664" w14:textId="77777777" w:rsidR="006E4FB7" w:rsidRPr="00C47942" w:rsidRDefault="006E4FB7" w:rsidP="006E4FB7">
      <w:pPr>
        <w:rPr>
          <w:sz w:val="20"/>
        </w:rPr>
      </w:pPr>
    </w:p>
    <w:p w14:paraId="1866190D" w14:textId="3B867930" w:rsidR="006E4FB7" w:rsidRPr="00333231" w:rsidRDefault="00333231" w:rsidP="006E4FB7">
      <w:pPr>
        <w:keepNext/>
        <w:rPr>
          <w:sz w:val="20"/>
        </w:rPr>
      </w:pPr>
      <w:r>
        <w:rPr>
          <w:noProof/>
          <w:sz w:val="20"/>
        </w:rPr>
        <w:drawing>
          <wp:inline distT="0" distB="0" distL="0" distR="0" wp14:anchorId="30E40659" wp14:editId="5CC48BB0">
            <wp:extent cx="5732145" cy="3536315"/>
            <wp:effectExtent l="0" t="0" r="0" b="6985"/>
            <wp:docPr id="7" name="Picture 7"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Diagram, schematic&#10;&#10;Description automatically generated"/>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732145" cy="3536315"/>
                    </a:xfrm>
                    <a:prstGeom prst="rect">
                      <a:avLst/>
                    </a:prstGeom>
                  </pic:spPr>
                </pic:pic>
              </a:graphicData>
            </a:graphic>
          </wp:inline>
        </w:drawing>
      </w:r>
    </w:p>
    <w:p w14:paraId="1FDBBC2D" w14:textId="2C843E65" w:rsidR="006E4FB7" w:rsidRPr="00C47942" w:rsidRDefault="006E4FB7" w:rsidP="006E4FB7">
      <w:pPr>
        <w:pStyle w:val="Figurecaption"/>
        <w:rPr>
          <w:lang w:val="en-US"/>
        </w:rPr>
      </w:pPr>
      <w:bookmarkStart w:id="4" w:name="_Ref64195082"/>
      <w:r w:rsidRPr="00C47942">
        <w:t>F</w:t>
      </w:r>
      <w:r>
        <w:t>IG.</w:t>
      </w:r>
      <w:r w:rsidRPr="00C47942">
        <w:t xml:space="preserve"> </w:t>
      </w:r>
      <w:fldSimple w:instr=" SEQ Figure \* ARABIC ">
        <w:r w:rsidR="00191B91">
          <w:rPr>
            <w:noProof/>
          </w:rPr>
          <w:t>3</w:t>
        </w:r>
      </w:fldSimple>
      <w:bookmarkEnd w:id="4"/>
      <w:r>
        <w:t xml:space="preserve">. </w:t>
      </w:r>
      <w:r w:rsidRPr="0024684E">
        <w:t xml:space="preserve">18-inch </w:t>
      </w:r>
      <w:r w:rsidR="00230121" w:rsidRPr="006E4FB7">
        <w:t>(45.7-cm)</w:t>
      </w:r>
      <w:r w:rsidR="00230121">
        <w:t xml:space="preserve"> </w:t>
      </w:r>
      <w:r w:rsidRPr="0024684E">
        <w:t>Test Vessel (left) and 28-inch</w:t>
      </w:r>
      <w:r w:rsidR="00230121" w:rsidRPr="006E4FB7">
        <w:t xml:space="preserve"> (71.1-cm)</w:t>
      </w:r>
      <w:r w:rsidR="00230121">
        <w:t xml:space="preserve"> </w:t>
      </w:r>
      <w:r w:rsidRPr="0024684E">
        <w:t>Test Vessel (right)</w:t>
      </w:r>
    </w:p>
    <w:p w14:paraId="4BCECF05" w14:textId="77777777" w:rsidR="00D077D6" w:rsidRDefault="00D077D6">
      <w:pPr>
        <w:overflowPunct/>
        <w:autoSpaceDE/>
        <w:autoSpaceDN/>
        <w:adjustRightInd/>
        <w:textAlignment w:val="auto"/>
        <w:rPr>
          <w:caps/>
          <w:sz w:val="20"/>
        </w:rPr>
      </w:pPr>
      <w:r>
        <w:br w:type="page"/>
      </w:r>
    </w:p>
    <w:p w14:paraId="57E8CBA5" w14:textId="77777777" w:rsidR="006E4FB7" w:rsidRPr="006E4FB7" w:rsidRDefault="006E4FB7" w:rsidP="006E4FB7">
      <w:pPr>
        <w:pStyle w:val="Heading2"/>
      </w:pPr>
      <w:r w:rsidRPr="006E4FB7">
        <w:lastRenderedPageBreak/>
        <w:t>TEST ARTICLE PREPARATION, INSERTION, AND REMOVAL</w:t>
      </w:r>
    </w:p>
    <w:p w14:paraId="18D94C6A" w14:textId="7F1CE6CC" w:rsidR="006E4FB7" w:rsidRDefault="00B11D70" w:rsidP="006E4FB7">
      <w:pPr>
        <w:pStyle w:val="BodyText"/>
      </w:pPr>
      <w:r>
        <w:t>METL test articles are designed to fit on modified flanges which can be inserted into a vessel and bolted to the test vessel (</w:t>
      </w:r>
      <w:r>
        <w:fldChar w:fldCharType="begin"/>
      </w:r>
      <w:r>
        <w:instrText xml:space="preserve"> REF _Ref64195082 \h </w:instrText>
      </w:r>
      <w:r>
        <w:fldChar w:fldCharType="separate"/>
      </w:r>
      <w:r w:rsidRPr="00C47942">
        <w:t>F</w:t>
      </w:r>
      <w:r>
        <w:t>IG.</w:t>
      </w:r>
      <w:r w:rsidRPr="00C47942">
        <w:t xml:space="preserve"> </w:t>
      </w:r>
      <w:r>
        <w:rPr>
          <w:noProof/>
        </w:rPr>
        <w:t>3</w:t>
      </w:r>
      <w:r>
        <w:fldChar w:fldCharType="end"/>
      </w:r>
      <w:r>
        <w:t>). One of the first test articles designed in this way is the Gear Test Assembly</w:t>
      </w:r>
      <w:r w:rsidR="00FF0D91">
        <w:t xml:space="preserve"> (GTA)</w:t>
      </w:r>
      <w:r>
        <w:t xml:space="preserve"> [2-3].</w:t>
      </w:r>
      <w:r w:rsidR="006E4FB7" w:rsidRPr="00C47942">
        <w:t xml:space="preserve"> </w:t>
      </w:r>
      <w:r w:rsidR="006E4FB7">
        <w:t xml:space="preserve">Before the GTA was inserted into METL, it underwent a design review, dry assembly, dry testing, and commissioning to ensure that </w:t>
      </w:r>
      <w:r w:rsidR="00A458B8">
        <w:t xml:space="preserve">the design </w:t>
      </w:r>
      <w:r>
        <w:t>was</w:t>
      </w:r>
      <w:r w:rsidR="00A458B8">
        <w:t xml:space="preserve"> sound, it </w:t>
      </w:r>
      <w:r>
        <w:t>was</w:t>
      </w:r>
      <w:r w:rsidR="00A458B8">
        <w:t xml:space="preserve"> </w:t>
      </w:r>
      <w:r w:rsidR="006E4FB7">
        <w:t xml:space="preserve">compatible with the METL’s sodium environment, and </w:t>
      </w:r>
      <w:r w:rsidR="00A458B8">
        <w:t xml:space="preserve">it </w:t>
      </w:r>
      <w:r w:rsidR="006E4FB7">
        <w:t>interface</w:t>
      </w:r>
      <w:r>
        <w:t>d and sealed</w:t>
      </w:r>
      <w:r w:rsidR="006E4FB7">
        <w:t xml:space="preserve"> properly with one of the test vessels. </w:t>
      </w:r>
    </w:p>
    <w:p w14:paraId="63553F52" w14:textId="159C5833" w:rsidR="006E4FB7" w:rsidRDefault="006E4FB7" w:rsidP="006E4FB7">
      <w:pPr>
        <w:pStyle w:val="BodyText"/>
      </w:pPr>
      <w:r>
        <w:t>To support the assembly and testing of a test article before insertion into METL, t</w:t>
      </w:r>
      <w:r w:rsidRPr="00C47942">
        <w:t>he METL team</w:t>
      </w:r>
      <w:r>
        <w:t>,</w:t>
      </w:r>
      <w:r w:rsidRPr="00C47942">
        <w:t xml:space="preserve"> working with </w:t>
      </w:r>
      <w:r w:rsidR="00D062AC">
        <w:t>the</w:t>
      </w:r>
      <w:r w:rsidRPr="00C47942">
        <w:t xml:space="preserve"> Argonne engineering group</w:t>
      </w:r>
      <w:r>
        <w:t>,</w:t>
      </w:r>
      <w:r w:rsidRPr="00C47942">
        <w:t xml:space="preserve"> designed a</w:t>
      </w:r>
      <w:r w:rsidR="005F6233">
        <w:t>n A-frame</w:t>
      </w:r>
      <w:r w:rsidRPr="00C47942">
        <w:t xml:space="preserve"> test stand that allows for the </w:t>
      </w:r>
      <w:r>
        <w:t>efficient</w:t>
      </w:r>
      <w:r w:rsidRPr="00C47942">
        <w:t xml:space="preserve"> assembly and disassembly of a </w:t>
      </w:r>
      <w:r>
        <w:t xml:space="preserve">METL </w:t>
      </w:r>
      <w:r w:rsidRPr="00C47942">
        <w:t xml:space="preserve">test article. </w:t>
      </w:r>
      <w:r w:rsidR="00070AAB">
        <w:t>This paper</w:t>
      </w:r>
      <w:r w:rsidR="005F6233">
        <w:t xml:space="preserve"> shows GTA bolted into the yellow A-frame test stand.</w:t>
      </w:r>
      <w:r w:rsidRPr="00C47942">
        <w:t xml:space="preserve"> </w:t>
      </w:r>
      <w:r>
        <w:t>B</w:t>
      </w:r>
      <w:r w:rsidRPr="00C47942">
        <w:t xml:space="preserve">olting the test article to the A-frame allows for the complete rotation </w:t>
      </w:r>
      <w:r w:rsidR="00A458B8">
        <w:t xml:space="preserve">(360 degrees) </w:t>
      </w:r>
      <w:r w:rsidRPr="00C47942">
        <w:t>of the test article facilitat</w:t>
      </w:r>
      <w:r>
        <w:t>ing</w:t>
      </w:r>
      <w:r w:rsidRPr="00C47942">
        <w:t xml:space="preserve"> the assembly and removal of components that are attached to </w:t>
      </w:r>
      <w:r>
        <w:t xml:space="preserve">the </w:t>
      </w:r>
      <w:r w:rsidRPr="00C47942">
        <w:t xml:space="preserve">flange. </w:t>
      </w:r>
      <w:r w:rsidR="00A458B8">
        <w:t xml:space="preserve">Thus, the </w:t>
      </w:r>
      <w:r w:rsidRPr="00C47942">
        <w:t xml:space="preserve">test article can be </w:t>
      </w:r>
      <w:r w:rsidR="00A458B8">
        <w:t xml:space="preserve">fully </w:t>
      </w:r>
      <w:r w:rsidRPr="00C47942">
        <w:t xml:space="preserve">rotated </w:t>
      </w:r>
      <w:r w:rsidR="00A458B8">
        <w:t xml:space="preserve">as </w:t>
      </w:r>
      <w:r w:rsidRPr="00C47942">
        <w:t>needed for installation</w:t>
      </w:r>
      <w:r>
        <w:t xml:space="preserve"> </w:t>
      </w:r>
      <w:r w:rsidR="00A458B8">
        <w:t>of</w:t>
      </w:r>
      <w:r>
        <w:t xml:space="preserve"> heavy components that </w:t>
      </w:r>
      <w:r w:rsidR="00A458B8">
        <w:t xml:space="preserve">may </w:t>
      </w:r>
      <w:r>
        <w:t xml:space="preserve">need to </w:t>
      </w:r>
      <w:r w:rsidR="00A458B8">
        <w:t xml:space="preserve">be lifted with a </w:t>
      </w:r>
      <w:r>
        <w:t>crane.</w:t>
      </w:r>
      <w:r w:rsidRPr="00C47942">
        <w:t xml:space="preserve"> </w:t>
      </w:r>
      <w:r>
        <w:t>The A-frame is also designed to allow for the transportation of a test article from one building where it may have undergone assembly and testing to another building where METL is located on the Argonne site.</w:t>
      </w:r>
    </w:p>
    <w:p w14:paraId="586B0B33" w14:textId="77777777" w:rsidR="006E4FB7" w:rsidRDefault="005F6233" w:rsidP="006E4FB7">
      <w:pPr>
        <w:pStyle w:val="BodyText"/>
      </w:pPr>
      <w:r>
        <w:t>E</w:t>
      </w:r>
      <w:r w:rsidR="006E4FB7">
        <w:t xml:space="preserve">ach test article undergoes rigorous testing, qualification, and review before authorization is given for insertion of the test article into the METL facility. A test vessel is assigned to that test article to ensure that there is sufficient space on the mezzanine for support equipment such as </w:t>
      </w:r>
      <w:r w:rsidR="00A458B8">
        <w:t>instrumentation and control (</w:t>
      </w:r>
      <w:r w:rsidR="006E4FB7">
        <w:t>I&amp;C</w:t>
      </w:r>
      <w:r w:rsidR="00A458B8">
        <w:t>)</w:t>
      </w:r>
      <w:r w:rsidR="006E4FB7">
        <w:t>, motor controllers, etc.</w:t>
      </w:r>
    </w:p>
    <w:p w14:paraId="1D997846" w14:textId="2D7536A8" w:rsidR="00D077D6" w:rsidRPr="00C47942" w:rsidRDefault="00D077D6" w:rsidP="006E4FB7">
      <w:pPr>
        <w:pStyle w:val="BodyText"/>
      </w:pPr>
      <w:r>
        <w:t xml:space="preserve">After qualification of a test article, authorization is given for the experiment to be inserted into a METL test vessel and filled with sodium. </w:t>
      </w:r>
      <w:r w:rsidRPr="00C47942">
        <w:t xml:space="preserve">Test articles are </w:t>
      </w:r>
      <w:r>
        <w:t xml:space="preserve">removed from the test stand using the </w:t>
      </w:r>
      <w:r w:rsidR="00B642A8">
        <w:t>building’s</w:t>
      </w:r>
      <w:r>
        <w:t xml:space="preserve"> overhead bridge crane and </w:t>
      </w:r>
      <w:r w:rsidRPr="00C47942">
        <w:t>i</w:t>
      </w:r>
      <w:r>
        <w:t xml:space="preserve">nserted into a test vessel. </w:t>
      </w:r>
      <w:r w:rsidRPr="00786196">
        <w:fldChar w:fldCharType="begin"/>
      </w:r>
      <w:r w:rsidRPr="00786196">
        <w:instrText xml:space="preserve"> REF _Ref64195452 \h </w:instrText>
      </w:r>
      <w:r>
        <w:instrText xml:space="preserve"> \* MERGEFORMAT </w:instrText>
      </w:r>
      <w:r w:rsidRPr="00786196">
        <w:fldChar w:fldCharType="separate"/>
      </w:r>
      <w:r w:rsidRPr="00C47942">
        <w:t>F</w:t>
      </w:r>
      <w:r>
        <w:t>IG.</w:t>
      </w:r>
      <w:r>
        <w:rPr>
          <w:noProof/>
        </w:rPr>
        <w:t xml:space="preserve"> 5</w:t>
      </w:r>
      <w:r w:rsidRPr="00786196">
        <w:fldChar w:fldCharType="end"/>
      </w:r>
      <w:r w:rsidRPr="00C47942">
        <w:t xml:space="preserve"> shows the </w:t>
      </w:r>
      <w:r w:rsidR="00FF0D91">
        <w:t>GTA</w:t>
      </w:r>
      <w:r w:rsidRPr="00C47942">
        <w:t xml:space="preserve"> </w:t>
      </w:r>
      <w:r>
        <w:t xml:space="preserve">[7] </w:t>
      </w:r>
      <w:r w:rsidRPr="00C47942">
        <w:t xml:space="preserve">being inserted into the Test Vessel 1 for the very first time (before the vessel had seen sodium service). </w:t>
      </w:r>
      <w:r>
        <w:t>The sodium in the test vessel is then purified with the installed METL cold trap. After sodium purification, the vessel is either kept connected to the main loop or is isolated depending upon the experimental test plan. For example, for the GTA test, after insertion into Test Vessel 1 and sodium purification, the vessel was isolated from the main loop and testing was conducted in this condition</w:t>
      </w:r>
    </w:p>
    <w:p w14:paraId="23A7D99E" w14:textId="77777777" w:rsidR="006E4FB7" w:rsidRPr="00C47942" w:rsidRDefault="006E4FB7" w:rsidP="006E4FB7">
      <w:pPr>
        <w:rPr>
          <w:sz w:val="20"/>
        </w:rPr>
      </w:pPr>
    </w:p>
    <w:p w14:paraId="7954411C" w14:textId="77777777" w:rsidR="006E4FB7" w:rsidRPr="00C47942" w:rsidRDefault="006E4FB7" w:rsidP="006E4FB7">
      <w:pPr>
        <w:keepNext/>
        <w:jc w:val="center"/>
        <w:rPr>
          <w:sz w:val="20"/>
        </w:rPr>
      </w:pPr>
      <w:r w:rsidRPr="00C47942">
        <w:rPr>
          <w:noProof/>
          <w:sz w:val="20"/>
          <w:lang w:val="en-US"/>
        </w:rPr>
        <w:drawing>
          <wp:inline distT="0" distB="0" distL="0" distR="0" wp14:anchorId="1C99CE5F" wp14:editId="538EDDF7">
            <wp:extent cx="3645486" cy="2972134"/>
            <wp:effectExtent l="0" t="6350" r="6350" b="6350"/>
            <wp:docPr id="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rot="5400000">
                      <a:off x="0" y="0"/>
                      <a:ext cx="3670139" cy="2992233"/>
                    </a:xfrm>
                    <a:prstGeom prst="rect">
                      <a:avLst/>
                    </a:prstGeom>
                  </pic:spPr>
                </pic:pic>
              </a:graphicData>
            </a:graphic>
          </wp:inline>
        </w:drawing>
      </w:r>
    </w:p>
    <w:p w14:paraId="3052D0A6" w14:textId="3EBB91FF" w:rsidR="006E4FB7" w:rsidRPr="0024684E" w:rsidRDefault="006E4FB7" w:rsidP="00D077D6">
      <w:pPr>
        <w:pStyle w:val="FIG-LONG"/>
      </w:pPr>
      <w:bookmarkStart w:id="5" w:name="_Ref64195277"/>
      <w:r w:rsidRPr="00C47942">
        <w:t>F</w:t>
      </w:r>
      <w:r>
        <w:t>IG.</w:t>
      </w:r>
      <w:r w:rsidRPr="00C47942">
        <w:t xml:space="preserve"> </w:t>
      </w:r>
      <w:fldSimple w:instr=" SEQ Figure \* ARABIC ">
        <w:r w:rsidR="00191B91">
          <w:rPr>
            <w:noProof/>
          </w:rPr>
          <w:t>4</w:t>
        </w:r>
      </w:fldSimple>
      <w:bookmarkEnd w:id="5"/>
      <w:r>
        <w:t xml:space="preserve">. </w:t>
      </w:r>
      <w:r w:rsidRPr="0024684E">
        <w:t>G</w:t>
      </w:r>
      <w:r w:rsidR="00FF0D91">
        <w:t>TA</w:t>
      </w:r>
      <w:r w:rsidRPr="0024684E">
        <w:t xml:space="preserve"> installed on the 18-inch test stand (notice the flange in the middle of the test article)</w:t>
      </w:r>
    </w:p>
    <w:p w14:paraId="256A8397" w14:textId="77777777" w:rsidR="00A34522" w:rsidRDefault="00A34522" w:rsidP="006E4FB7">
      <w:pPr>
        <w:pStyle w:val="BodyText"/>
      </w:pPr>
    </w:p>
    <w:p w14:paraId="7A5C5865" w14:textId="77777777" w:rsidR="00A34522" w:rsidRDefault="00A34522" w:rsidP="006E4FB7">
      <w:pPr>
        <w:pStyle w:val="BodyText"/>
      </w:pPr>
    </w:p>
    <w:p w14:paraId="07FE16AE" w14:textId="77777777" w:rsidR="00A34522" w:rsidRDefault="00A34522" w:rsidP="006E4FB7">
      <w:pPr>
        <w:pStyle w:val="BodyText"/>
      </w:pPr>
    </w:p>
    <w:p w14:paraId="6E34A842" w14:textId="653358F7" w:rsidR="00A34522" w:rsidRPr="00474A61" w:rsidRDefault="00A34522" w:rsidP="00A34522">
      <w:pPr>
        <w:pStyle w:val="FIG-LONG"/>
      </w:pPr>
      <w:bookmarkStart w:id="6" w:name="_Ref64195452"/>
      <w:r w:rsidRPr="00C47942">
        <w:rPr>
          <w:noProof/>
          <w:sz w:val="20"/>
          <w:lang w:val="en-US"/>
        </w:rPr>
        <w:lastRenderedPageBreak/>
        <w:drawing>
          <wp:anchor distT="0" distB="0" distL="114300" distR="114300" simplePos="0" relativeHeight="251658240" behindDoc="0" locked="0" layoutInCell="1" allowOverlap="1" wp14:anchorId="4EBF7D00" wp14:editId="463D608E">
            <wp:simplePos x="0" y="0"/>
            <wp:positionH relativeFrom="column">
              <wp:posOffset>1373505</wp:posOffset>
            </wp:positionH>
            <wp:positionV relativeFrom="paragraph">
              <wp:posOffset>400050</wp:posOffset>
            </wp:positionV>
            <wp:extent cx="3198495" cy="2398395"/>
            <wp:effectExtent l="0" t="0" r="1905" b="1905"/>
            <wp:wrapTopAndBottom/>
            <wp:docPr id="4" name="Content Placeholder 7" descr="A picture containing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Content Placeholder 7" descr="A picture containing indoor&#10;&#10;Description automatically generated"/>
                    <pic:cNvPicPr>
                      <a:picLocks noChangeAspect="1"/>
                    </pic:cNvPicPr>
                  </pic:nvPicPr>
                  <pic:blipFill>
                    <a:blip r:embed="rId16" cstate="email">
                      <a:extLst>
                        <a:ext uri="{28A0092B-C50C-407E-A947-70E740481C1C}">
                          <a14:useLocalDpi xmlns:a14="http://schemas.microsoft.com/office/drawing/2010/main" val="0"/>
                        </a:ext>
                      </a:extLst>
                    </a:blip>
                    <a:stretch>
                      <a:fillRect/>
                    </a:stretch>
                  </pic:blipFill>
                  <pic:spPr bwMode="auto">
                    <a:xfrm rot="5400000">
                      <a:off x="0" y="0"/>
                      <a:ext cx="3198495" cy="2398395"/>
                    </a:xfrm>
                    <a:prstGeom prst="rect">
                      <a:avLst/>
                    </a:prstGeom>
                    <a:noFill/>
                    <a:ln w="9525">
                      <a:noFill/>
                      <a:miter lim="800000"/>
                      <a:headEnd/>
                      <a:tailEnd/>
                    </a:ln>
                    <a:effectLst/>
                  </pic:spPr>
                </pic:pic>
              </a:graphicData>
            </a:graphic>
            <wp14:sizeRelH relativeFrom="page">
              <wp14:pctWidth>0</wp14:pctWidth>
            </wp14:sizeRelH>
            <wp14:sizeRelV relativeFrom="page">
              <wp14:pctHeight>0</wp14:pctHeight>
            </wp14:sizeRelV>
          </wp:anchor>
        </w:drawing>
      </w:r>
      <w:r w:rsidRPr="00474A61">
        <w:t xml:space="preserve">FIG. </w:t>
      </w:r>
      <w:fldSimple w:instr=" SEQ Figure \* ARABIC ">
        <w:r w:rsidRPr="003F554E">
          <w:t>5</w:t>
        </w:r>
      </w:fldSimple>
      <w:bookmarkEnd w:id="6"/>
      <w:r w:rsidRPr="00474A61">
        <w:t>. G</w:t>
      </w:r>
      <w:r>
        <w:t>TA</w:t>
      </w:r>
      <w:r w:rsidRPr="00474A61">
        <w:t xml:space="preserve"> being inserted into Test Vessel 1 for first time (without sodium in the vessel)</w:t>
      </w:r>
    </w:p>
    <w:p w14:paraId="7F810F90" w14:textId="4D2A2752" w:rsidR="00A34522" w:rsidRDefault="00A34522" w:rsidP="006E4FB7">
      <w:pPr>
        <w:pStyle w:val="BodyText"/>
      </w:pPr>
    </w:p>
    <w:p w14:paraId="1DFF9C13" w14:textId="2F56EC60" w:rsidR="007C5291" w:rsidRDefault="006E4FB7" w:rsidP="006E4FB7">
      <w:pPr>
        <w:pStyle w:val="BodyText"/>
      </w:pPr>
      <w:r>
        <w:t xml:space="preserve">After completion of the experiment, </w:t>
      </w:r>
      <w:r w:rsidR="00C16B6D">
        <w:t>preparations are made to remove the test article from the vessel. First, the vessel is drained and allowed to cool to ambient temperature.</w:t>
      </w:r>
      <w:r>
        <w:t xml:space="preserve"> Preparations are them made to remove the test article from the vessel for subsequent cleaning using moist carbon dioxide that converts the sodium residual to sodium bicarbonate. </w:t>
      </w:r>
    </w:p>
    <w:p w14:paraId="72134916" w14:textId="1EE0FF0D" w:rsidR="007C5291" w:rsidRDefault="007C5291" w:rsidP="006E4FB7">
      <w:pPr>
        <w:pStyle w:val="BodyText"/>
      </w:pPr>
      <w:r>
        <w:t xml:space="preserve">A carbonation system was developed to deliver humidified carbon dioxide to a test article that contains residual sodium. The humidified carbon dioxide reacts with the residual sodium at ambient temperatures to form sodium bicarbonate. The process is </w:t>
      </w:r>
      <w:r w:rsidR="00B642A8">
        <w:t>slow,</w:t>
      </w:r>
      <w:r>
        <w:t xml:space="preserve"> but it is complete. Once a test article has been subjected to cleaning for about 1-2 weeks, it is removed and </w:t>
      </w:r>
      <w:r w:rsidR="00B642A8">
        <w:t>disassembled,</w:t>
      </w:r>
      <w:r>
        <w:t xml:space="preserve"> and the parts are cleaned with ethanol.</w:t>
      </w:r>
    </w:p>
    <w:p w14:paraId="68E7B611" w14:textId="5DA5F6FB" w:rsidR="006E4FB7" w:rsidRDefault="006E4FB7" w:rsidP="006E4FB7">
      <w:pPr>
        <w:pStyle w:val="BodyText"/>
      </w:pPr>
      <w:proofErr w:type="gramStart"/>
      <w:r w:rsidRPr="00C47942">
        <w:t>In order to</w:t>
      </w:r>
      <w:proofErr w:type="gramEnd"/>
      <w:r w:rsidRPr="00C47942">
        <w:t xml:space="preserve"> remove (or insert) a test article </w:t>
      </w:r>
      <w:r>
        <w:t xml:space="preserve">from (into) </w:t>
      </w:r>
      <w:r w:rsidRPr="00C47942">
        <w:t xml:space="preserve">a vessel that had seen sodium service, the METL team developed a system called the </w:t>
      </w:r>
      <w:r w:rsidR="00D062AC">
        <w:t>f</w:t>
      </w:r>
      <w:r w:rsidRPr="00C47942">
        <w:t>lexicask system</w:t>
      </w:r>
      <w:r>
        <w:t xml:space="preserve"> [4]. This </w:t>
      </w:r>
      <w:r w:rsidR="00D062AC">
        <w:t>f</w:t>
      </w:r>
      <w:r>
        <w:t>lexicask system</w:t>
      </w:r>
      <w:r w:rsidRPr="00C47942">
        <w:t xml:space="preserve"> maintains an argon environment around a test vessel and a test article during the insertion and removal of a test article from t</w:t>
      </w:r>
      <w:r>
        <w:t>he vessel. The next section discusses this flexicask system.</w:t>
      </w:r>
      <w:r w:rsidRPr="00C47942">
        <w:t xml:space="preserve"> </w:t>
      </w:r>
    </w:p>
    <w:p w14:paraId="1C40ABBB" w14:textId="77777777" w:rsidR="00D077D6" w:rsidRPr="006E4FB7" w:rsidRDefault="00D077D6" w:rsidP="00D077D6">
      <w:pPr>
        <w:pStyle w:val="Heading3"/>
      </w:pPr>
      <w:r>
        <w:t xml:space="preserve">Test Article Removal via the </w:t>
      </w:r>
      <w:r w:rsidRPr="006E4FB7">
        <w:t>Flexicask System</w:t>
      </w:r>
    </w:p>
    <w:p w14:paraId="7808DA94" w14:textId="77777777" w:rsidR="00D077D6" w:rsidRPr="00C47942" w:rsidRDefault="00D077D6" w:rsidP="00D077D6">
      <w:pPr>
        <w:pStyle w:val="BodyText"/>
        <w:rPr>
          <w:lang w:val="en-US"/>
        </w:rPr>
      </w:pPr>
      <w:r w:rsidRPr="00C47942">
        <w:rPr>
          <w:lang w:val="en-US"/>
        </w:rPr>
        <w:t xml:space="preserve">During the design development of the METL facility, the engineers had to </w:t>
      </w:r>
      <w:r>
        <w:rPr>
          <w:lang w:val="en-US"/>
        </w:rPr>
        <w:t xml:space="preserve">address contamination and resulting impurities which </w:t>
      </w:r>
      <w:r w:rsidRPr="00C47942">
        <w:rPr>
          <w:lang w:val="en-US"/>
        </w:rPr>
        <w:t xml:space="preserve">may migrate into a test vessel during the </w:t>
      </w:r>
      <w:r>
        <w:rPr>
          <w:lang w:val="en-US"/>
        </w:rPr>
        <w:t xml:space="preserve">insertion and </w:t>
      </w:r>
      <w:r w:rsidRPr="00C47942">
        <w:rPr>
          <w:lang w:val="en-US"/>
        </w:rPr>
        <w:t xml:space="preserve">removal </w:t>
      </w:r>
      <w:r>
        <w:rPr>
          <w:lang w:val="en-US"/>
        </w:rPr>
        <w:t xml:space="preserve">of a test article. Each test vessel was designed with a rest plate located beneath the vessel flange that is designed </w:t>
      </w:r>
      <w:r w:rsidRPr="00C47942">
        <w:rPr>
          <w:lang w:val="en-US"/>
        </w:rPr>
        <w:t xml:space="preserve">to interface with </w:t>
      </w:r>
      <w:r>
        <w:rPr>
          <w:lang w:val="en-US"/>
        </w:rPr>
        <w:t>the f</w:t>
      </w:r>
      <w:r w:rsidRPr="00C47942">
        <w:rPr>
          <w:lang w:val="en-US"/>
        </w:rPr>
        <w:t>lexicask system for the remov</w:t>
      </w:r>
      <w:r>
        <w:rPr>
          <w:lang w:val="en-US"/>
        </w:rPr>
        <w:t>al and insert of test articles.</w:t>
      </w:r>
    </w:p>
    <w:p w14:paraId="06B66212" w14:textId="37423529" w:rsidR="00D077D6" w:rsidRDefault="00D077D6" w:rsidP="00D077D6">
      <w:pPr>
        <w:pStyle w:val="BodyText"/>
        <w:rPr>
          <w:lang w:val="en-US"/>
        </w:rPr>
      </w:pPr>
      <w:r w:rsidRPr="00C47942">
        <w:rPr>
          <w:lang w:val="en-US"/>
        </w:rPr>
        <w:t xml:space="preserve">The </w:t>
      </w:r>
      <w:r w:rsidR="00D062AC">
        <w:rPr>
          <w:lang w:val="en-US"/>
        </w:rPr>
        <w:t>f</w:t>
      </w:r>
      <w:r w:rsidRPr="00C47942">
        <w:rPr>
          <w:lang w:val="en-US"/>
        </w:rPr>
        <w:t>lexicask system consists of the following components:</w:t>
      </w:r>
      <w:r>
        <w:rPr>
          <w:lang w:val="en-US"/>
        </w:rPr>
        <w:t xml:space="preserve"> t</w:t>
      </w:r>
      <w:r w:rsidRPr="00C47942">
        <w:rPr>
          <w:lang w:val="en-US"/>
        </w:rPr>
        <w:t>op support assembly</w:t>
      </w:r>
      <w:r>
        <w:rPr>
          <w:lang w:val="en-US"/>
        </w:rPr>
        <w:t>, a d</w:t>
      </w:r>
      <w:r w:rsidRPr="00C47942">
        <w:rPr>
          <w:lang w:val="en-US"/>
        </w:rPr>
        <w:t>uct</w:t>
      </w:r>
      <w:r>
        <w:rPr>
          <w:lang w:val="en-US"/>
        </w:rPr>
        <w:t>, an u</w:t>
      </w:r>
      <w:r w:rsidRPr="00C47942">
        <w:rPr>
          <w:lang w:val="en-US"/>
        </w:rPr>
        <w:t xml:space="preserve">pper </w:t>
      </w:r>
      <w:r>
        <w:rPr>
          <w:lang w:val="en-US"/>
        </w:rPr>
        <w:t>g</w:t>
      </w:r>
      <w:r w:rsidRPr="00C47942">
        <w:rPr>
          <w:lang w:val="en-US"/>
        </w:rPr>
        <w:t xml:space="preserve">ate </w:t>
      </w:r>
      <w:r>
        <w:rPr>
          <w:lang w:val="en-US"/>
        </w:rPr>
        <w:t>a</w:t>
      </w:r>
      <w:r w:rsidRPr="00C47942">
        <w:rPr>
          <w:lang w:val="en-US"/>
        </w:rPr>
        <w:t>ssembly</w:t>
      </w:r>
      <w:r>
        <w:rPr>
          <w:lang w:val="en-US"/>
        </w:rPr>
        <w:t>, a vessel s</w:t>
      </w:r>
      <w:r w:rsidRPr="00C47942">
        <w:rPr>
          <w:lang w:val="en-US"/>
        </w:rPr>
        <w:t xml:space="preserve">eal </w:t>
      </w:r>
      <w:r>
        <w:rPr>
          <w:lang w:val="en-US"/>
        </w:rPr>
        <w:t>p</w:t>
      </w:r>
      <w:r w:rsidRPr="00C47942">
        <w:rPr>
          <w:lang w:val="en-US"/>
        </w:rPr>
        <w:t>late</w:t>
      </w:r>
      <w:r>
        <w:rPr>
          <w:lang w:val="en-US"/>
        </w:rPr>
        <w:t>, l</w:t>
      </w:r>
      <w:r w:rsidRPr="00C47942">
        <w:rPr>
          <w:lang w:val="en-US"/>
        </w:rPr>
        <w:t xml:space="preserve">ower </w:t>
      </w:r>
      <w:r>
        <w:rPr>
          <w:lang w:val="en-US"/>
        </w:rPr>
        <w:t>g</w:t>
      </w:r>
      <w:r w:rsidRPr="00C47942">
        <w:rPr>
          <w:lang w:val="en-US"/>
        </w:rPr>
        <w:t xml:space="preserve">ate </w:t>
      </w:r>
      <w:r>
        <w:rPr>
          <w:lang w:val="en-US"/>
        </w:rPr>
        <w:t>a</w:t>
      </w:r>
      <w:r w:rsidRPr="00C47942">
        <w:rPr>
          <w:lang w:val="en-US"/>
        </w:rPr>
        <w:t>ssembly</w:t>
      </w:r>
      <w:r>
        <w:rPr>
          <w:lang w:val="en-US"/>
        </w:rPr>
        <w:t>, c</w:t>
      </w:r>
      <w:r w:rsidRPr="00C47942">
        <w:rPr>
          <w:lang w:val="en-US"/>
        </w:rPr>
        <w:t xml:space="preserve">hain </w:t>
      </w:r>
      <w:r>
        <w:rPr>
          <w:lang w:val="en-US"/>
        </w:rPr>
        <w:t>l</w:t>
      </w:r>
      <w:r w:rsidRPr="00C47942">
        <w:rPr>
          <w:lang w:val="en-US"/>
        </w:rPr>
        <w:t>anyard</w:t>
      </w:r>
      <w:r>
        <w:rPr>
          <w:lang w:val="en-US"/>
        </w:rPr>
        <w:t>, h</w:t>
      </w:r>
      <w:r w:rsidRPr="00C47942">
        <w:rPr>
          <w:lang w:val="en-US"/>
        </w:rPr>
        <w:t>oist rings with platen</w:t>
      </w:r>
      <w:r>
        <w:rPr>
          <w:lang w:val="en-US"/>
        </w:rPr>
        <w:t>, and m</w:t>
      </w:r>
      <w:r w:rsidRPr="00C47942">
        <w:rPr>
          <w:lang w:val="en-US"/>
        </w:rPr>
        <w:t>iscellaneous fittings</w:t>
      </w:r>
      <w:r>
        <w:rPr>
          <w:lang w:val="en-US"/>
        </w:rPr>
        <w:t xml:space="preserve">. </w:t>
      </w:r>
      <w:r w:rsidRPr="00C47942">
        <w:rPr>
          <w:lang w:val="en-US"/>
        </w:rPr>
        <w:t xml:space="preserve">The top support assembly is used to lift the overall </w:t>
      </w:r>
      <w:r w:rsidR="00D062AC">
        <w:rPr>
          <w:lang w:val="en-US"/>
        </w:rPr>
        <w:t>f</w:t>
      </w:r>
      <w:r w:rsidRPr="00C47942">
        <w:rPr>
          <w:lang w:val="en-US"/>
        </w:rPr>
        <w:t xml:space="preserve">lexicask assembly (via a crane) when it does not include a test article. </w:t>
      </w:r>
    </w:p>
    <w:p w14:paraId="1DDCFB39" w14:textId="77777777" w:rsidR="00D077D6" w:rsidRPr="00C47942" w:rsidRDefault="00D077D6" w:rsidP="006E4FB7">
      <w:pPr>
        <w:pStyle w:val="BodyText"/>
      </w:pPr>
    </w:p>
    <w:p w14:paraId="419E7367" w14:textId="22A42062" w:rsidR="006E4FB7" w:rsidRPr="00C47942" w:rsidRDefault="006E4FB7" w:rsidP="006E4FB7">
      <w:pPr>
        <w:keepNext/>
        <w:jc w:val="center"/>
        <w:rPr>
          <w:sz w:val="20"/>
        </w:rPr>
      </w:pPr>
    </w:p>
    <w:p w14:paraId="73B94EB3" w14:textId="77777777" w:rsidR="006E4FB7" w:rsidRPr="00C47942" w:rsidRDefault="006E4FB7" w:rsidP="006E4FB7">
      <w:pPr>
        <w:rPr>
          <w:sz w:val="20"/>
        </w:rPr>
      </w:pPr>
    </w:p>
    <w:p w14:paraId="270D1659" w14:textId="77777777" w:rsidR="006E4FB7" w:rsidRPr="00C47942" w:rsidRDefault="006E4FB7" w:rsidP="006E4FB7">
      <w:pPr>
        <w:keepNext/>
        <w:jc w:val="center"/>
        <w:rPr>
          <w:sz w:val="20"/>
        </w:rPr>
      </w:pPr>
      <w:r w:rsidRPr="00C47942">
        <w:rPr>
          <w:noProof/>
          <w:sz w:val="20"/>
          <w:lang w:val="en-US"/>
        </w:rPr>
        <w:lastRenderedPageBreak/>
        <w:drawing>
          <wp:inline distT="0" distB="0" distL="0" distR="0" wp14:anchorId="2D90026E" wp14:editId="08B9F355">
            <wp:extent cx="3269411" cy="3269411"/>
            <wp:effectExtent l="0" t="0" r="7620" b="762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3286750" cy="3286750"/>
                    </a:xfrm>
                    <a:prstGeom prst="rect">
                      <a:avLst/>
                    </a:prstGeom>
                  </pic:spPr>
                </pic:pic>
              </a:graphicData>
            </a:graphic>
          </wp:inline>
        </w:drawing>
      </w:r>
    </w:p>
    <w:p w14:paraId="3C1F2EC5" w14:textId="77777777" w:rsidR="006E4FB7" w:rsidRPr="009C0E13" w:rsidRDefault="006E4FB7" w:rsidP="00474A61">
      <w:pPr>
        <w:pStyle w:val="FIG-LONG"/>
      </w:pPr>
      <w:bookmarkStart w:id="7" w:name="_Ref64447461"/>
      <w:r>
        <w:t>FIG.</w:t>
      </w:r>
      <w:r w:rsidRPr="00C47942">
        <w:t xml:space="preserve"> </w:t>
      </w:r>
      <w:fldSimple w:instr=" SEQ Figure \* ARABIC ">
        <w:r w:rsidR="00191B91">
          <w:rPr>
            <w:noProof/>
          </w:rPr>
          <w:t>6</w:t>
        </w:r>
      </w:fldSimple>
      <w:bookmarkEnd w:id="7"/>
      <w:r>
        <w:t>.</w:t>
      </w:r>
      <w:r w:rsidRPr="00C47942">
        <w:t xml:space="preserve"> </w:t>
      </w:r>
      <w:r w:rsidRPr="009C0E13">
        <w:t>CAD Model of Flexicask System – shown with test article located at METL Test Vessel 2</w:t>
      </w:r>
    </w:p>
    <w:p w14:paraId="13521EA0" w14:textId="7D8AAB98" w:rsidR="00C16B6D" w:rsidRPr="00C47942" w:rsidRDefault="00C16B6D" w:rsidP="00C16B6D">
      <w:pPr>
        <w:pStyle w:val="BodyText"/>
        <w:rPr>
          <w:lang w:val="en-US"/>
        </w:rPr>
      </w:pPr>
      <w:r>
        <w:rPr>
          <w:lang w:val="en-US"/>
        </w:rPr>
        <w:fldChar w:fldCharType="begin"/>
      </w:r>
      <w:r>
        <w:rPr>
          <w:lang w:val="en-US"/>
        </w:rPr>
        <w:instrText xml:space="preserve"> REF _Ref64447461 \h </w:instrText>
      </w:r>
      <w:r>
        <w:rPr>
          <w:lang w:val="en-US"/>
        </w:rPr>
      </w:r>
      <w:r>
        <w:rPr>
          <w:lang w:val="en-US"/>
        </w:rPr>
        <w:fldChar w:fldCharType="separate"/>
      </w:r>
      <w:r w:rsidR="00191B91">
        <w:t>FIG.</w:t>
      </w:r>
      <w:r w:rsidR="00191B91" w:rsidRPr="00C47942">
        <w:t xml:space="preserve"> </w:t>
      </w:r>
      <w:r w:rsidR="00191B91">
        <w:rPr>
          <w:noProof/>
        </w:rPr>
        <w:t>6</w:t>
      </w:r>
      <w:r>
        <w:rPr>
          <w:lang w:val="en-US"/>
        </w:rPr>
        <w:fldChar w:fldCharType="end"/>
      </w:r>
      <w:r>
        <w:rPr>
          <w:lang w:val="en-US"/>
        </w:rPr>
        <w:t xml:space="preserve"> </w:t>
      </w:r>
      <w:r w:rsidRPr="00C47942">
        <w:rPr>
          <w:lang w:val="en-US"/>
        </w:rPr>
        <w:t xml:space="preserve">shows the </w:t>
      </w:r>
      <w:r w:rsidR="00230121">
        <w:rPr>
          <w:lang w:val="en-US"/>
        </w:rPr>
        <w:t xml:space="preserve">initial </w:t>
      </w:r>
      <w:r w:rsidRPr="00C47942">
        <w:rPr>
          <w:lang w:val="en-US"/>
        </w:rPr>
        <w:t xml:space="preserve">design of the </w:t>
      </w:r>
      <w:r w:rsidR="00D062AC">
        <w:rPr>
          <w:lang w:val="en-US"/>
        </w:rPr>
        <w:t>f</w:t>
      </w:r>
      <w:r w:rsidRPr="00C47942">
        <w:rPr>
          <w:lang w:val="en-US"/>
        </w:rPr>
        <w:t xml:space="preserve">lexicask prototype that was </w:t>
      </w:r>
      <w:r>
        <w:rPr>
          <w:lang w:val="en-US"/>
        </w:rPr>
        <w:t>designed</w:t>
      </w:r>
      <w:r w:rsidRPr="00C47942">
        <w:rPr>
          <w:lang w:val="en-US"/>
        </w:rPr>
        <w:t xml:space="preserve">, fabricated, and tested. The </w:t>
      </w:r>
      <w:r w:rsidR="00D062AC">
        <w:rPr>
          <w:lang w:val="en-US"/>
        </w:rPr>
        <w:t>f</w:t>
      </w:r>
      <w:r w:rsidRPr="00C47942">
        <w:rPr>
          <w:lang w:val="en-US"/>
        </w:rPr>
        <w:t>lexicask mates and seals to a “</w:t>
      </w:r>
      <w:r>
        <w:rPr>
          <w:lang w:val="en-US"/>
        </w:rPr>
        <w:t>rest plate</w:t>
      </w:r>
      <w:r w:rsidRPr="00C47942">
        <w:rPr>
          <w:lang w:val="en-US"/>
        </w:rPr>
        <w:t xml:space="preserve">” that is welded to each of the </w:t>
      </w:r>
      <w:r w:rsidR="00950B36">
        <w:rPr>
          <w:lang w:val="en-US"/>
        </w:rPr>
        <w:t xml:space="preserve">test </w:t>
      </w:r>
      <w:r w:rsidRPr="00C47942">
        <w:rPr>
          <w:lang w:val="en-US"/>
        </w:rPr>
        <w:t>vessels and is located right below the tes</w:t>
      </w:r>
      <w:r>
        <w:rPr>
          <w:lang w:val="en-US"/>
        </w:rPr>
        <w:t>t vessel flange. An elastomeric gasket is used to seal the flexicask transition piece to the vessel’s rest plate.</w:t>
      </w:r>
    </w:p>
    <w:p w14:paraId="17820416" w14:textId="0D2E9C0C" w:rsidR="00D077D6" w:rsidRPr="00C47942" w:rsidRDefault="006E4FB7" w:rsidP="006E4FB7">
      <w:pPr>
        <w:pStyle w:val="BodyText"/>
        <w:rPr>
          <w:lang w:val="en-US"/>
        </w:rPr>
      </w:pPr>
      <w:r w:rsidRPr="00C47942">
        <w:rPr>
          <w:lang w:val="en-US"/>
        </w:rPr>
        <w:t xml:space="preserve">The </w:t>
      </w:r>
      <w:r w:rsidR="00D062AC">
        <w:rPr>
          <w:lang w:val="en-US"/>
        </w:rPr>
        <w:t>f</w:t>
      </w:r>
      <w:r w:rsidRPr="00C47942">
        <w:rPr>
          <w:lang w:val="en-US"/>
        </w:rPr>
        <w:t xml:space="preserve">lexicask interfaces with a test vessel at the test vessel support ring. Originally, this support ring was larger in diameter but would have caused excessive force on the test vessel during heat-up and so the design was changed to a smaller diameter support ring which could easily fit under the test vessel insulation. In addition, physical space was required around the vessels to ensure that the </w:t>
      </w:r>
      <w:r w:rsidR="00D062AC">
        <w:rPr>
          <w:lang w:val="en-US"/>
        </w:rPr>
        <w:t>f</w:t>
      </w:r>
      <w:r w:rsidRPr="00C47942">
        <w:rPr>
          <w:lang w:val="en-US"/>
        </w:rPr>
        <w:t>lexicask system would not interfere with or damage the argon inert gas supply and vents lines that are located around the vessels</w:t>
      </w:r>
      <w:r w:rsidRPr="00C47942">
        <w:rPr>
          <w:vertAlign w:val="superscript"/>
          <w:lang w:val="en-US"/>
        </w:rPr>
        <w:footnoteReference w:id="3"/>
      </w:r>
      <w:r w:rsidRPr="00C47942">
        <w:rPr>
          <w:lang w:val="en-US"/>
        </w:rPr>
        <w:t>.</w:t>
      </w:r>
    </w:p>
    <w:p w14:paraId="71E36F92" w14:textId="38747582" w:rsidR="00D077D6" w:rsidRDefault="00176F93" w:rsidP="00D077D6">
      <w:pPr>
        <w:pStyle w:val="BodyText"/>
      </w:pPr>
      <w:r w:rsidRPr="00A458B8">
        <w:fldChar w:fldCharType="begin"/>
      </w:r>
      <w:r w:rsidRPr="00A458B8">
        <w:instrText xml:space="preserve"> REF _Ref399001188 \h  \* MERGEFORMAT </w:instrText>
      </w:r>
      <w:r w:rsidRPr="00A458B8">
        <w:fldChar w:fldCharType="separate"/>
      </w:r>
      <w:r w:rsidRPr="00C47942">
        <w:t>F</w:t>
      </w:r>
      <w:r>
        <w:t>IG.</w:t>
      </w:r>
      <w:r w:rsidRPr="00C47942">
        <w:t xml:space="preserve"> </w:t>
      </w:r>
      <w:r>
        <w:t>7</w:t>
      </w:r>
      <w:r w:rsidRPr="00A458B8">
        <w:fldChar w:fldCharType="end"/>
      </w:r>
      <w:r>
        <w:t xml:space="preserve"> provides a depiction of the </w:t>
      </w:r>
      <w:r w:rsidR="00D062AC">
        <w:t>f</w:t>
      </w:r>
      <w:r w:rsidRPr="00C47942">
        <w:t xml:space="preserve">lexicask system </w:t>
      </w:r>
      <w:r>
        <w:t>operational sequence</w:t>
      </w:r>
      <w:r w:rsidRPr="00C47942">
        <w:t xml:space="preserve">. The </w:t>
      </w:r>
      <w:r>
        <w:t xml:space="preserve">atmosphere </w:t>
      </w:r>
      <w:r w:rsidRPr="00C47942">
        <w:t xml:space="preserve">within the </w:t>
      </w:r>
      <w:r w:rsidR="00D062AC">
        <w:t>f</w:t>
      </w:r>
      <w:r w:rsidRPr="00C47942">
        <w:t xml:space="preserve">lexicask is kept inerted using a constant argon purge. The </w:t>
      </w:r>
      <w:r w:rsidR="00D062AC">
        <w:t>f</w:t>
      </w:r>
      <w:r w:rsidRPr="00C47942">
        <w:t>lexicask system operate</w:t>
      </w:r>
      <w:r>
        <w:t>s</w:t>
      </w:r>
      <w:r w:rsidRPr="00C47942">
        <w:t xml:space="preserve"> using the pre-existing crane in the </w:t>
      </w:r>
      <w:r w:rsidR="00B642A8" w:rsidRPr="00C47942">
        <w:t>building</w:t>
      </w:r>
      <w:r w:rsidRPr="00C47942">
        <w:t xml:space="preserve"> 308 high bay, as shown in </w:t>
      </w:r>
      <w:r w:rsidRPr="00B11D70">
        <w:fldChar w:fldCharType="begin"/>
      </w:r>
      <w:r w:rsidRPr="00B11D70">
        <w:instrText xml:space="preserve"> REF _Ref66881148 \h </w:instrText>
      </w:r>
      <w:r>
        <w:instrText xml:space="preserve"> \* MERGEFORMAT </w:instrText>
      </w:r>
      <w:r w:rsidRPr="00B11D70">
        <w:fldChar w:fldCharType="separate"/>
      </w:r>
      <w:r>
        <w:t xml:space="preserve">FIG. </w:t>
      </w:r>
      <w:r>
        <w:rPr>
          <w:noProof/>
        </w:rPr>
        <w:t>8</w:t>
      </w:r>
      <w:r w:rsidRPr="00B11D70">
        <w:fldChar w:fldCharType="end"/>
      </w:r>
      <w:r>
        <w:t xml:space="preserve">.  </w:t>
      </w:r>
      <w:r w:rsidR="00D077D6" w:rsidRPr="00C47942">
        <w:t>The following are the general steps for the removal of a component from METL test vessel</w:t>
      </w:r>
      <w:r>
        <w:t xml:space="preserve"> (</w:t>
      </w:r>
      <w:r>
        <w:fldChar w:fldCharType="begin"/>
      </w:r>
      <w:r>
        <w:instrText xml:space="preserve"> REF _Ref399001188 \h </w:instrText>
      </w:r>
      <w:r>
        <w:fldChar w:fldCharType="separate"/>
      </w:r>
      <w:r w:rsidRPr="00C47942">
        <w:t>F</w:t>
      </w:r>
      <w:r>
        <w:t>IG.</w:t>
      </w:r>
      <w:r w:rsidRPr="00C47942">
        <w:t xml:space="preserve"> </w:t>
      </w:r>
      <w:r>
        <w:rPr>
          <w:noProof/>
        </w:rPr>
        <w:t>7</w:t>
      </w:r>
      <w:r>
        <w:fldChar w:fldCharType="end"/>
      </w:r>
      <w:r>
        <w:t>)</w:t>
      </w:r>
      <w:r>
        <w:rPr>
          <w:rStyle w:val="FootnoteReference"/>
        </w:rPr>
        <w:footnoteReference w:id="4"/>
      </w:r>
      <w:r w:rsidR="00D077D6" w:rsidRPr="00C47942">
        <w:t>:</w:t>
      </w:r>
    </w:p>
    <w:p w14:paraId="3D3C1AFE" w14:textId="77777777" w:rsidR="00D077D6" w:rsidRPr="00C47942" w:rsidRDefault="00D077D6" w:rsidP="00D077D6">
      <w:pPr>
        <w:pStyle w:val="BodyText"/>
      </w:pPr>
    </w:p>
    <w:p w14:paraId="45E44BEE" w14:textId="77777777" w:rsidR="00D077D6" w:rsidRDefault="00D077D6" w:rsidP="00D077D6">
      <w:pPr>
        <w:pStyle w:val="ListParagraph"/>
        <w:numPr>
          <w:ilvl w:val="0"/>
          <w:numId w:val="34"/>
        </w:numPr>
        <w:suppressAutoHyphens w:val="0"/>
        <w:overflowPunct/>
        <w:autoSpaceDE/>
        <w:autoSpaceDN/>
        <w:adjustRightInd/>
        <w:spacing w:after="200" w:line="276" w:lineRule="auto"/>
        <w:textAlignment w:val="auto"/>
        <w:rPr>
          <w:rFonts w:ascii="Times New Roman" w:hAnsi="Times New Roman"/>
          <w:sz w:val="20"/>
        </w:rPr>
      </w:pPr>
      <w:r w:rsidRPr="009C0E13">
        <w:rPr>
          <w:rFonts w:ascii="Times New Roman" w:hAnsi="Times New Roman"/>
          <w:sz w:val="20"/>
        </w:rPr>
        <w:t xml:space="preserve">The support plate is attached to the test article for lifting using the designed lifting points. This plate may be unique (with specific hole patterns) aligned to the lifting points of the test article. </w:t>
      </w:r>
    </w:p>
    <w:p w14:paraId="6241B224" w14:textId="0FA2E8E1" w:rsidR="00D077D6" w:rsidRDefault="00D077D6" w:rsidP="00D077D6">
      <w:pPr>
        <w:pStyle w:val="ListParagraph"/>
        <w:numPr>
          <w:ilvl w:val="0"/>
          <w:numId w:val="34"/>
        </w:numPr>
        <w:suppressAutoHyphens w:val="0"/>
        <w:overflowPunct/>
        <w:autoSpaceDE/>
        <w:autoSpaceDN/>
        <w:adjustRightInd/>
        <w:spacing w:after="200" w:line="276" w:lineRule="auto"/>
        <w:textAlignment w:val="auto"/>
        <w:rPr>
          <w:rFonts w:ascii="Times New Roman" w:hAnsi="Times New Roman"/>
          <w:sz w:val="20"/>
        </w:rPr>
      </w:pPr>
      <w:r w:rsidRPr="009C0E13">
        <w:rPr>
          <w:rFonts w:ascii="Times New Roman" w:hAnsi="Times New Roman"/>
          <w:sz w:val="20"/>
        </w:rPr>
        <w:t xml:space="preserve">The </w:t>
      </w:r>
      <w:r w:rsidR="00D062AC">
        <w:rPr>
          <w:rFonts w:ascii="Times New Roman" w:hAnsi="Times New Roman"/>
          <w:sz w:val="20"/>
        </w:rPr>
        <w:t>f</w:t>
      </w:r>
      <w:r w:rsidRPr="009C0E13">
        <w:rPr>
          <w:rFonts w:ascii="Times New Roman" w:hAnsi="Times New Roman"/>
          <w:sz w:val="20"/>
        </w:rPr>
        <w:t>lexicask is lowered over the test article with the sliding gates removed. In this condition, the bolts that hold the test article flange to the</w:t>
      </w:r>
      <w:r>
        <w:rPr>
          <w:rFonts w:ascii="Times New Roman" w:hAnsi="Times New Roman"/>
          <w:sz w:val="20"/>
        </w:rPr>
        <w:t xml:space="preserve"> test vessel have been removed.</w:t>
      </w:r>
    </w:p>
    <w:p w14:paraId="0D5BF043" w14:textId="77777777" w:rsidR="00D077D6" w:rsidRDefault="00D077D6" w:rsidP="00D077D6">
      <w:pPr>
        <w:pStyle w:val="ListParagraph"/>
        <w:numPr>
          <w:ilvl w:val="0"/>
          <w:numId w:val="34"/>
        </w:numPr>
        <w:suppressAutoHyphens w:val="0"/>
        <w:overflowPunct/>
        <w:autoSpaceDE/>
        <w:autoSpaceDN/>
        <w:adjustRightInd/>
        <w:spacing w:after="200" w:line="276" w:lineRule="auto"/>
        <w:textAlignment w:val="auto"/>
        <w:rPr>
          <w:rFonts w:ascii="Times New Roman" w:hAnsi="Times New Roman"/>
          <w:sz w:val="20"/>
        </w:rPr>
      </w:pPr>
      <w:r w:rsidRPr="009C0E13">
        <w:rPr>
          <w:rFonts w:ascii="Times New Roman" w:hAnsi="Times New Roman"/>
          <w:sz w:val="20"/>
        </w:rPr>
        <w:t>The test article support flange is fastened to the cask top ring</w:t>
      </w:r>
    </w:p>
    <w:p w14:paraId="1B1D045F" w14:textId="04180A3E" w:rsidR="00D077D6" w:rsidRDefault="00D077D6" w:rsidP="00D077D6">
      <w:pPr>
        <w:pStyle w:val="ListParagraph"/>
        <w:numPr>
          <w:ilvl w:val="0"/>
          <w:numId w:val="34"/>
        </w:numPr>
        <w:suppressAutoHyphens w:val="0"/>
        <w:overflowPunct/>
        <w:autoSpaceDE/>
        <w:autoSpaceDN/>
        <w:adjustRightInd/>
        <w:spacing w:after="200" w:line="276" w:lineRule="auto"/>
        <w:textAlignment w:val="auto"/>
        <w:rPr>
          <w:rFonts w:ascii="Times New Roman" w:hAnsi="Times New Roman"/>
          <w:sz w:val="20"/>
        </w:rPr>
      </w:pPr>
      <w:r w:rsidRPr="009C0E13">
        <w:rPr>
          <w:rFonts w:ascii="Times New Roman" w:hAnsi="Times New Roman"/>
          <w:sz w:val="20"/>
        </w:rPr>
        <w:t xml:space="preserve">The crane is removed from the cask support ring and attached to the test article lifting points that are bolted through the top support plate to the test article. The </w:t>
      </w:r>
      <w:r w:rsidR="00D062AC">
        <w:rPr>
          <w:rFonts w:ascii="Times New Roman" w:hAnsi="Times New Roman"/>
          <w:sz w:val="20"/>
        </w:rPr>
        <w:t>f</w:t>
      </w:r>
      <w:r w:rsidRPr="009C0E13">
        <w:rPr>
          <w:rFonts w:ascii="Times New Roman" w:hAnsi="Times New Roman"/>
          <w:sz w:val="20"/>
        </w:rPr>
        <w:t>lexicask is sealed to the test vessel support ring.</w:t>
      </w:r>
    </w:p>
    <w:p w14:paraId="433D75AC" w14:textId="202886E2" w:rsidR="00D077D6" w:rsidRDefault="00D077D6" w:rsidP="00D077D6">
      <w:pPr>
        <w:pStyle w:val="ListParagraph"/>
        <w:numPr>
          <w:ilvl w:val="0"/>
          <w:numId w:val="34"/>
        </w:numPr>
        <w:suppressAutoHyphens w:val="0"/>
        <w:overflowPunct/>
        <w:autoSpaceDE/>
        <w:autoSpaceDN/>
        <w:adjustRightInd/>
        <w:spacing w:after="200" w:line="276" w:lineRule="auto"/>
        <w:textAlignment w:val="auto"/>
        <w:rPr>
          <w:rFonts w:ascii="Times New Roman" w:hAnsi="Times New Roman"/>
          <w:sz w:val="20"/>
        </w:rPr>
      </w:pPr>
      <w:r w:rsidRPr="009C0E13">
        <w:rPr>
          <w:rFonts w:ascii="Times New Roman" w:hAnsi="Times New Roman"/>
          <w:sz w:val="20"/>
        </w:rPr>
        <w:t xml:space="preserve">The test article is lifted into the </w:t>
      </w:r>
      <w:r w:rsidR="00D062AC">
        <w:rPr>
          <w:rFonts w:ascii="Times New Roman" w:hAnsi="Times New Roman"/>
          <w:sz w:val="20"/>
        </w:rPr>
        <w:t>f</w:t>
      </w:r>
      <w:r w:rsidRPr="009C0E13">
        <w:rPr>
          <w:rFonts w:ascii="Times New Roman" w:hAnsi="Times New Roman"/>
          <w:sz w:val="20"/>
        </w:rPr>
        <w:t xml:space="preserve">lexicask shroud and gates are installed and closed. </w:t>
      </w:r>
      <w:r>
        <w:rPr>
          <w:rFonts w:ascii="Times New Roman" w:hAnsi="Times New Roman"/>
          <w:sz w:val="20"/>
        </w:rPr>
        <w:t xml:space="preserve">  </w:t>
      </w:r>
    </w:p>
    <w:p w14:paraId="27D81410" w14:textId="0CCDFA5A" w:rsidR="00D077D6" w:rsidRPr="009C0E13" w:rsidRDefault="00D077D6" w:rsidP="00D077D6">
      <w:pPr>
        <w:pStyle w:val="ListParagraph"/>
        <w:numPr>
          <w:ilvl w:val="0"/>
          <w:numId w:val="34"/>
        </w:numPr>
        <w:suppressAutoHyphens w:val="0"/>
        <w:overflowPunct/>
        <w:autoSpaceDE/>
        <w:autoSpaceDN/>
        <w:adjustRightInd/>
        <w:spacing w:after="200" w:line="276" w:lineRule="auto"/>
        <w:textAlignment w:val="auto"/>
        <w:rPr>
          <w:rFonts w:ascii="Times New Roman" w:hAnsi="Times New Roman"/>
          <w:sz w:val="20"/>
        </w:rPr>
      </w:pPr>
      <w:r w:rsidRPr="009C0E13">
        <w:rPr>
          <w:rFonts w:ascii="Times New Roman" w:hAnsi="Times New Roman"/>
          <w:sz w:val="20"/>
        </w:rPr>
        <w:t xml:space="preserve">The eyebolts holding the two gates together are loosened and moved to the open position to separate the two gates. The two gates are separated with the top gate sealing the </w:t>
      </w:r>
      <w:r w:rsidR="00D062AC">
        <w:rPr>
          <w:rFonts w:ascii="Times New Roman" w:hAnsi="Times New Roman"/>
          <w:sz w:val="20"/>
        </w:rPr>
        <w:t>f</w:t>
      </w:r>
      <w:r w:rsidRPr="009C0E13">
        <w:rPr>
          <w:rFonts w:ascii="Times New Roman" w:hAnsi="Times New Roman"/>
          <w:sz w:val="20"/>
        </w:rPr>
        <w:t xml:space="preserve">lexicask and test article from the air atmosphere and the bottom gate sealing the test vessel. The steps are repeated in reverse order for inserting a test article into a test vessel. </w:t>
      </w:r>
    </w:p>
    <w:p w14:paraId="2A56B6C7" w14:textId="1BA38618" w:rsidR="00D077D6" w:rsidRPr="00C47942" w:rsidRDefault="00D077D6">
      <w:pPr>
        <w:pStyle w:val="BodyText"/>
      </w:pPr>
      <w:r>
        <w:lastRenderedPageBreak/>
        <w:t xml:space="preserve">During the commissioning of the flexicask system, some </w:t>
      </w:r>
      <w:r w:rsidRPr="00C47942">
        <w:t xml:space="preserve">minor modifications </w:t>
      </w:r>
      <w:r>
        <w:t>and improvements were required.</w:t>
      </w:r>
      <w:r w:rsidR="00A34522">
        <w:t xml:space="preserve"> </w:t>
      </w:r>
      <w:r w:rsidRPr="00C47942">
        <w:t xml:space="preserve">These alterations were performed by Argonne’s Central Shops and the </w:t>
      </w:r>
      <w:r w:rsidR="00D062AC">
        <w:t>f</w:t>
      </w:r>
      <w:r w:rsidRPr="00C47942">
        <w:t xml:space="preserve">lexicask assembly </w:t>
      </w:r>
      <w:r>
        <w:t xml:space="preserve">commissioning </w:t>
      </w:r>
      <w:r w:rsidRPr="00C47942">
        <w:t xml:space="preserve">was completed. Initial tests to measure the </w:t>
      </w:r>
      <w:r w:rsidR="00D062AC">
        <w:t>f</w:t>
      </w:r>
      <w:r w:rsidRPr="00C47942">
        <w:t>lexicask’s ability to retain argon gas during differen</w:t>
      </w:r>
      <w:r>
        <w:t>t scenarios were also conducted and showed that the flexicask system maintained the atmosphere inside the flexicask to less that 10</w:t>
      </w:r>
      <w:r w:rsidRPr="00024D87">
        <w:t>ppm</w:t>
      </w:r>
      <w:r>
        <w:t xml:space="preserve"> oxygen.</w:t>
      </w:r>
    </w:p>
    <w:p w14:paraId="5BAEC4F6" w14:textId="77777777" w:rsidR="006E4FB7" w:rsidRPr="00C47942" w:rsidRDefault="006E4FB7" w:rsidP="006E4FB7">
      <w:pPr>
        <w:rPr>
          <w:sz w:val="20"/>
        </w:rPr>
      </w:pPr>
    </w:p>
    <w:p w14:paraId="5AC6F4F2" w14:textId="77777777" w:rsidR="006E4FB7" w:rsidRPr="00C47942" w:rsidRDefault="006E4FB7" w:rsidP="006E4FB7">
      <w:pPr>
        <w:keepNext/>
        <w:ind w:firstLine="720"/>
        <w:jc w:val="center"/>
        <w:rPr>
          <w:sz w:val="20"/>
        </w:rPr>
      </w:pPr>
      <w:r w:rsidRPr="00C47942">
        <w:rPr>
          <w:noProof/>
          <w:sz w:val="20"/>
          <w:lang w:val="en-US"/>
        </w:rPr>
        <w:drawing>
          <wp:inline distT="0" distB="0" distL="0" distR="0" wp14:anchorId="1AD7A58E" wp14:editId="30235B25">
            <wp:extent cx="5429250" cy="3334033"/>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456867" cy="3350992"/>
                    </a:xfrm>
                    <a:prstGeom prst="rect">
                      <a:avLst/>
                    </a:prstGeom>
                  </pic:spPr>
                </pic:pic>
              </a:graphicData>
            </a:graphic>
          </wp:inline>
        </w:drawing>
      </w:r>
    </w:p>
    <w:p w14:paraId="1DAFD11E" w14:textId="457CE099" w:rsidR="006E4FB7" w:rsidRPr="00C47942" w:rsidRDefault="006E4FB7" w:rsidP="006E4FB7">
      <w:pPr>
        <w:pStyle w:val="Figurecaption"/>
      </w:pPr>
      <w:bookmarkStart w:id="8" w:name="_Ref399001188"/>
      <w:bookmarkStart w:id="9" w:name="_Toc34228667"/>
      <w:r w:rsidRPr="00C47942">
        <w:t>F</w:t>
      </w:r>
      <w:r w:rsidR="00A458B8">
        <w:t>IG.</w:t>
      </w:r>
      <w:r w:rsidRPr="00C47942">
        <w:t xml:space="preserve"> </w:t>
      </w:r>
      <w:fldSimple w:instr=" SEQ Figure \* ARABIC ">
        <w:r w:rsidR="00990BE2">
          <w:rPr>
            <w:noProof/>
          </w:rPr>
          <w:t>7</w:t>
        </w:r>
      </w:fldSimple>
      <w:bookmarkEnd w:id="8"/>
      <w:r w:rsidR="00A458B8">
        <w:rPr>
          <w:noProof/>
        </w:rPr>
        <w:t>.</w:t>
      </w:r>
      <w:r w:rsidRPr="00C47942">
        <w:t xml:space="preserve"> A 3D model depicting of </w:t>
      </w:r>
      <w:r w:rsidR="00D062AC">
        <w:t>f</w:t>
      </w:r>
      <w:r w:rsidRPr="00C47942">
        <w:t>lexicask operation.</w:t>
      </w:r>
      <w:bookmarkEnd w:id="9"/>
    </w:p>
    <w:p w14:paraId="7CF62045" w14:textId="77777777" w:rsidR="006E4FB7" w:rsidRDefault="006E4FB7" w:rsidP="006E4FB7">
      <w:pPr>
        <w:pStyle w:val="BodyText"/>
        <w:keepNext/>
        <w:jc w:val="center"/>
      </w:pPr>
    </w:p>
    <w:p w14:paraId="0940F600" w14:textId="77777777" w:rsidR="006E4FB7" w:rsidRDefault="006E4FB7" w:rsidP="006E4FB7">
      <w:pPr>
        <w:pStyle w:val="BodyText"/>
        <w:keepNext/>
        <w:jc w:val="center"/>
      </w:pPr>
      <w:r w:rsidRPr="00C47942">
        <w:rPr>
          <w:noProof/>
          <w:lang w:val="en-US"/>
        </w:rPr>
        <w:drawing>
          <wp:inline distT="0" distB="0" distL="0" distR="0" wp14:anchorId="67C1D157" wp14:editId="1188E893">
            <wp:extent cx="2381250" cy="3175000"/>
            <wp:effectExtent l="0" t="0" r="0" b="635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384414" cy="3179218"/>
                    </a:xfrm>
                    <a:prstGeom prst="rect">
                      <a:avLst/>
                    </a:prstGeom>
                  </pic:spPr>
                </pic:pic>
              </a:graphicData>
            </a:graphic>
          </wp:inline>
        </w:drawing>
      </w:r>
    </w:p>
    <w:p w14:paraId="1C2A0617" w14:textId="55B0E6C1" w:rsidR="006E4FB7" w:rsidRDefault="006E4FB7" w:rsidP="00D077D6">
      <w:pPr>
        <w:pStyle w:val="FIG-LONG"/>
      </w:pPr>
      <w:bookmarkStart w:id="10" w:name="_Ref66881148"/>
      <w:r>
        <w:t xml:space="preserve">FIG. </w:t>
      </w:r>
      <w:fldSimple w:instr=" SEQ Figure \* ARABIC ">
        <w:r w:rsidR="00990BE2">
          <w:rPr>
            <w:noProof/>
          </w:rPr>
          <w:t>8</w:t>
        </w:r>
      </w:fldSimple>
      <w:bookmarkEnd w:id="10"/>
      <w:r>
        <w:t xml:space="preserve">. </w:t>
      </w:r>
      <w:r w:rsidRPr="009C0E13">
        <w:t>Flexicask System with GTA installed interfacing with the vessel used for reacting residual sodium with moist carbon dioxide.</w:t>
      </w:r>
    </w:p>
    <w:p w14:paraId="7E914B55" w14:textId="2703F830" w:rsidR="00A34522" w:rsidRDefault="00A34522" w:rsidP="00A34522"/>
    <w:p w14:paraId="5E550A19" w14:textId="7F7157EA" w:rsidR="00A34522" w:rsidRDefault="00A34522" w:rsidP="00A34522"/>
    <w:p w14:paraId="3A46AF5C" w14:textId="77777777" w:rsidR="00A34522" w:rsidRPr="00A34522" w:rsidRDefault="00A34522" w:rsidP="00A34522"/>
    <w:p w14:paraId="13385AA7" w14:textId="77777777" w:rsidR="006E4FB7" w:rsidRPr="006E4FB7" w:rsidRDefault="006E4FB7" w:rsidP="006E4FB7">
      <w:pPr>
        <w:pStyle w:val="Heading2"/>
      </w:pPr>
      <w:r w:rsidRPr="006E4FB7">
        <w:lastRenderedPageBreak/>
        <w:t>METL OPERATIONS AND TESTING PLANS</w:t>
      </w:r>
    </w:p>
    <w:p w14:paraId="73FA7847" w14:textId="15F52931" w:rsidR="005600E5" w:rsidRPr="00474A61" w:rsidRDefault="005600E5" w:rsidP="00474A61">
      <w:pPr>
        <w:pStyle w:val="BodyText"/>
      </w:pPr>
      <w:r w:rsidRPr="00474A61">
        <w:t>Commissioning of the METL facility was completed in early 2018 [5].  The facility was initially heated to ~</w:t>
      </w:r>
      <w:r w:rsidRPr="00FF0D91">
        <w:t>1000</w:t>
      </w:r>
      <w:r w:rsidR="00FF0D91" w:rsidRPr="00FF0D91">
        <w:t>°F</w:t>
      </w:r>
      <w:r w:rsidRPr="00474A61">
        <w:t xml:space="preserve"> </w:t>
      </w:r>
      <w:r w:rsidR="00FF0D91">
        <w:t xml:space="preserve">(537.8°C) </w:t>
      </w:r>
      <w:r w:rsidRPr="00474A61">
        <w:t xml:space="preserve">under vacuum to bake off any residual contaminants within the loop and test vessels.  Some minor adjustments to METL piping hanger systems were performed to accommodate the relatively large expansion of the piping system (approximately 4 inches </w:t>
      </w:r>
      <w:r w:rsidR="00950B36">
        <w:t xml:space="preserve">(10.16cm) </w:t>
      </w:r>
      <w:r w:rsidR="00C16B6D" w:rsidRPr="00474A61">
        <w:t>in some locations)</w:t>
      </w:r>
      <w:r w:rsidRPr="00474A61">
        <w:t xml:space="preserve">. Following system bakeout and hanger adjustments, the dump tank was reheated in April 2018 and 15 55-gallon </w:t>
      </w:r>
      <w:r w:rsidR="00950B36">
        <w:t xml:space="preserve">(208L) </w:t>
      </w:r>
      <w:r w:rsidRPr="00474A61">
        <w:t xml:space="preserve">drums of sodium were transferred into the METL dump tank. This process took about two weeks with 50 gallons </w:t>
      </w:r>
      <w:r w:rsidR="00950B36">
        <w:t xml:space="preserve">(189.3L) </w:t>
      </w:r>
      <w:r w:rsidRPr="00474A61">
        <w:t>transferred from a shipping drum each day.  Filling of all system components (i.e., piping, purification, diagnostic, and expansion tank systems) was completed on September 19, 2018. The system underwent about two weeks of purification through the cold trap and then was placed on hot standby until the first test article (the GTA) was installed in Test Vessel 1 and subsequently tested.</w:t>
      </w:r>
    </w:p>
    <w:p w14:paraId="6AE54429" w14:textId="5CBE4A84" w:rsidR="005600E5" w:rsidRPr="00474A61" w:rsidRDefault="005600E5">
      <w:pPr>
        <w:pStyle w:val="BodyText"/>
      </w:pPr>
      <w:r w:rsidRPr="00474A61">
        <w:t xml:space="preserve">Since September of 2018, METL has successfully operated for approximately three years. Two experiments have been successfully performed in </w:t>
      </w:r>
      <w:r w:rsidR="00B642A8" w:rsidRPr="00474A61">
        <w:t>METL,</w:t>
      </w:r>
      <w:r w:rsidRPr="00474A61">
        <w:t xml:space="preserve"> i.e., gear testing in sodium for an advanced fuel handling system, and the testing of an inductive level sensor. Facility personnel have supported these two test programs.  In addition, the facility has undergone various sodium purification campaigns and draining and filling of test vessels. As of February 2021, the two large test vessels have not been filled with sodium.</w:t>
      </w:r>
    </w:p>
    <w:p w14:paraId="7874C935" w14:textId="2C47A435" w:rsidR="007F43FE" w:rsidRPr="00474A61" w:rsidRDefault="005600E5">
      <w:pPr>
        <w:pStyle w:val="BodyText"/>
      </w:pPr>
      <w:r w:rsidRPr="00474A61">
        <w:t xml:space="preserve">A third test article that has been designed and is undergoing </w:t>
      </w:r>
      <w:r w:rsidR="00B642A8" w:rsidRPr="00474A61">
        <w:t>commissioning,</w:t>
      </w:r>
      <w:r w:rsidRPr="00474A61">
        <w:t xml:space="preserve"> i.e., the Thermal Hydraulic Experimental Test Article (THETA) [6]. THETA is a </w:t>
      </w:r>
      <w:r w:rsidR="00B642A8" w:rsidRPr="00474A61">
        <w:t>38-kW</w:t>
      </w:r>
      <w:r w:rsidRPr="00474A61">
        <w:t xml:space="preserve"> test vehicle that will be used to perform thermal-hydraulic testing in support of code validation efforts. THETA has been assembled in a 28-inch </w:t>
      </w:r>
      <w:r w:rsidR="00950B36">
        <w:t>(71.1cm) t</w:t>
      </w:r>
      <w:r w:rsidRPr="00474A61">
        <w:t>est stand and has been tested in water. It is currently undergoing reassembly and will be installed in Test Vessel 4; see companion paper [</w:t>
      </w:r>
      <w:r w:rsidR="00B21BF9" w:rsidRPr="00474A61">
        <w:t>7</w:t>
      </w:r>
      <w:r w:rsidRPr="00474A61">
        <w:t>] for addition</w:t>
      </w:r>
      <w:r w:rsidR="008557A5" w:rsidRPr="00474A61">
        <w:t>al</w:t>
      </w:r>
      <w:r w:rsidRPr="00474A61">
        <w:t xml:space="preserve"> details on this test article. The fourth test article is a full-scale fuel handling gripper for use in an advanced fuel transfer machine design that will support advanced reactors such as the GEH Prism Reactor, the Versatile Test Reactor, </w:t>
      </w:r>
      <w:r w:rsidR="000D2A4E" w:rsidRPr="00474A61">
        <w:t xml:space="preserve">the Advanced Reactor Concepts-100, </w:t>
      </w:r>
      <w:r w:rsidRPr="00474A61">
        <w:t>and the Advanced Fast Reactor-100.</w:t>
      </w:r>
    </w:p>
    <w:p w14:paraId="3358013F" w14:textId="77777777" w:rsidR="006E4FB7" w:rsidRPr="006E4FB7" w:rsidRDefault="006E4FB7" w:rsidP="006E4FB7">
      <w:pPr>
        <w:pStyle w:val="Heading2"/>
      </w:pPr>
      <w:r w:rsidRPr="006E4FB7">
        <w:t>CONCLUSIONS</w:t>
      </w:r>
    </w:p>
    <w:p w14:paraId="5234A5A1" w14:textId="5DB65C50" w:rsidR="006E4FB7" w:rsidRPr="007F43FE" w:rsidRDefault="006E4FB7" w:rsidP="007F43FE">
      <w:pPr>
        <w:pStyle w:val="BodyText"/>
      </w:pPr>
      <w:r w:rsidRPr="007F43FE">
        <w:t xml:space="preserve">This paper documents the design, operations and testing that was performed at the Mechanisms Engineering Test Loop (METL). The METL facility has undergone three years of successful operations after its initial sodium system fill in September 2018. </w:t>
      </w:r>
      <w:proofErr w:type="gramStart"/>
      <w:r w:rsidRPr="007F43FE">
        <w:t>A number of</w:t>
      </w:r>
      <w:proofErr w:type="gramEnd"/>
      <w:r w:rsidRPr="007F43FE">
        <w:t xml:space="preserve"> auxiliary systems have been designed to support the assembly and commissioning of vessel test articles and to support the insertion and removal of vessel test articles. The first test article, the </w:t>
      </w:r>
      <w:r w:rsidR="00FF0D91">
        <w:t>GTA</w:t>
      </w:r>
      <w:r w:rsidRPr="007F43FE">
        <w:t xml:space="preserve"> has undergone testing three times in the METL test vessel 1. It has been inserted three times and removed and cleaned and dissembled three times. The moist carbonation process has been used to successful react residual surface sodium to a bicarbonate with subsequent cleaning with alcohol of the smaller pieces. In addition, METL is being prepared to support a second larger experiment, a thermal hydraulic experiment, called THETA which will simulate an electrically heated pool-type of sodium-cooled fast reactor with an air-dump heat exchanger. Lastly, the METL staff consist of 5 highly motived young engineers who represent the future of alkali metal technology in the U.S. For more information on METL and that the research and development conducted in METL, please go to </w:t>
      </w:r>
      <w:hyperlink r:id="rId20" w:history="1">
        <w:r w:rsidR="00403632" w:rsidRPr="00403632">
          <w:rPr>
            <w:rStyle w:val="Hyperlink"/>
            <w:sz w:val="20"/>
          </w:rPr>
          <w:t>https://www.anl.gov/nse/mechanisms-engineering-test-loop-facility</w:t>
        </w:r>
      </w:hyperlink>
      <w:hyperlink r:id="rId21" w:history="1">
        <w:r w:rsidR="00403632">
          <w:rPr>
            <w:rStyle w:val="Hyperlink"/>
            <w:color w:val="auto"/>
            <w:sz w:val="20"/>
            <w:u w:val="none"/>
          </w:rPr>
          <w:t>.</w:t>
        </w:r>
      </w:hyperlink>
      <w:r w:rsidRPr="007F43FE">
        <w:t xml:space="preserve"> </w:t>
      </w:r>
      <w:r w:rsidR="00D062AC">
        <w:t>METL provides development opportunities for younger scientists, engineers, and designers who will ultimately lead the advancement of liquid metal technology</w:t>
      </w:r>
      <w:r w:rsidR="00070AAB">
        <w:t xml:space="preserve"> in the U.S. Hands-on experience with METL, both successes and perceived failures, will ultimately lead to better liquid metal technologies that can support the commercialization of advanced reactors. </w:t>
      </w:r>
      <w:r w:rsidRPr="007F43FE">
        <w:t>The web site contains the annual reports on the METL design and operations, the GTA and THETA test article development and resources for liquid metal technology development.</w:t>
      </w:r>
    </w:p>
    <w:p w14:paraId="48C2DFDD" w14:textId="77777777" w:rsidR="006E4FB7" w:rsidRPr="006E4FB7" w:rsidRDefault="006E4FB7" w:rsidP="006E4FB7">
      <w:pPr>
        <w:pStyle w:val="Otherunnumberedheadings"/>
      </w:pPr>
      <w:r w:rsidRPr="006E4FB7">
        <w:t>ACKNOWLEDGEMENTS</w:t>
      </w:r>
    </w:p>
    <w:p w14:paraId="7712FAF9" w14:textId="39CD32AA" w:rsidR="00E25B68" w:rsidRDefault="006E4FB7" w:rsidP="006E4FB7">
      <w:pPr>
        <w:pStyle w:val="BodyText"/>
      </w:pPr>
      <w:r w:rsidRPr="006E4FB7">
        <w:t>Argonne National Laboratory’s work was supported by the U. S. Department of Energy Advanced Reactor Technology (ART) Program under Prime Contract No. DE-AC02-06CH11357 between the U.S. Department of Energy and UChicago Argonne, LLC.</w:t>
      </w:r>
      <w:r w:rsidR="003F554E">
        <w:t xml:space="preserve"> </w:t>
      </w:r>
      <w:r w:rsidR="00E40951">
        <w:t>We gratefully acknowledge the support provide</w:t>
      </w:r>
      <w:r w:rsidR="00D062AC">
        <w:t>d</w:t>
      </w:r>
      <w:r w:rsidR="00E40951">
        <w:t xml:space="preserve"> by Alice Caponiti of DOE-NE, Deputy Assistant Secretary, Office of Reactor Fleet and Advanced Reactor Deployment; Thomas Sowinski, Advanced Reactor Technologies, R&amp;D Program Manager; Brian Robinson of DOE-NE, Advanced </w:t>
      </w:r>
      <w:r w:rsidR="00E40951">
        <w:lastRenderedPageBreak/>
        <w:t>Reactor Technologies, Fast Reactor Manager, and Robert Hill of Argonne National Laboratory, ART R&amp;D Fast Reactor National Technical Director.</w:t>
      </w:r>
    </w:p>
    <w:p w14:paraId="378232E3" w14:textId="200A640A" w:rsidR="00E40951" w:rsidRDefault="00E40951" w:rsidP="006E4FB7">
      <w:pPr>
        <w:pStyle w:val="BodyText"/>
      </w:pPr>
      <w:r>
        <w:t xml:space="preserve">The authors would like to extend their gratitude to METL team members </w:t>
      </w:r>
      <w:r w:rsidR="0065403A">
        <w:t xml:space="preserve">Mike Hvasta, Andrew Borowski, </w:t>
      </w:r>
      <w:r>
        <w:t xml:space="preserve">Daniel Andujar, Dzmitry Harbaruk, Anthony Reavis, </w:t>
      </w:r>
      <w:r w:rsidR="0065403A">
        <w:t xml:space="preserve">and </w:t>
      </w:r>
      <w:r>
        <w:t xml:space="preserve">Henry Belch for </w:t>
      </w:r>
      <w:r w:rsidR="0065403A">
        <w:t xml:space="preserve">their original contribution to METL design and construction, for </w:t>
      </w:r>
      <w:r>
        <w:t>operating METL</w:t>
      </w:r>
      <w:r w:rsidR="0065403A">
        <w:t>,</w:t>
      </w:r>
      <w:r>
        <w:t xml:space="preserve"> as well as supporting the experimental work. </w:t>
      </w:r>
    </w:p>
    <w:p w14:paraId="2122F0BA" w14:textId="77777777" w:rsidR="00990BE2" w:rsidRDefault="00990BE2" w:rsidP="00403632">
      <w:pPr>
        <w:pStyle w:val="Otherunnumberedheadings"/>
      </w:pPr>
    </w:p>
    <w:p w14:paraId="2E330C8F" w14:textId="0230B1D5" w:rsidR="00D26ADA" w:rsidRPr="00285755" w:rsidRDefault="00D26ADA" w:rsidP="00403632">
      <w:pPr>
        <w:pStyle w:val="Otherunnumberedheadings"/>
      </w:pPr>
      <w:r>
        <w:t>References</w:t>
      </w:r>
    </w:p>
    <w:p w14:paraId="77758537" w14:textId="77777777" w:rsidR="006E4FB7" w:rsidRPr="003D157D" w:rsidRDefault="006E4FB7" w:rsidP="006E4FB7">
      <w:pPr>
        <w:pStyle w:val="Referencelist"/>
        <w:rPr>
          <w:sz w:val="20"/>
        </w:rPr>
      </w:pPr>
      <w:r w:rsidRPr="003D157D">
        <w:rPr>
          <w:sz w:val="20"/>
          <w:lang w:val="en-US"/>
        </w:rPr>
        <w:t xml:space="preserve">Kultgen, D., Grandy, C., Hvasta, M., Lisowski, D., Toter, W., and Borowski, A. </w:t>
      </w:r>
      <w:r w:rsidRPr="003D157D">
        <w:rPr>
          <w:i/>
          <w:iCs/>
          <w:sz w:val="20"/>
          <w:lang w:val="en-US"/>
        </w:rPr>
        <w:t>Mechanisms Engineering Test Loop - Phase 1 Status Report</w:t>
      </w:r>
      <w:r w:rsidRPr="003D157D">
        <w:rPr>
          <w:sz w:val="20"/>
          <w:lang w:val="en-US"/>
        </w:rPr>
        <w:t>. United States: N. p., 2016. Web. doi:10.2172/1334794.</w:t>
      </w:r>
    </w:p>
    <w:p w14:paraId="728482D1" w14:textId="77777777" w:rsidR="006E4FB7" w:rsidRPr="003D157D" w:rsidRDefault="006E4FB7" w:rsidP="006E4FB7">
      <w:pPr>
        <w:pStyle w:val="Referencelist"/>
        <w:rPr>
          <w:szCs w:val="24"/>
          <w:lang w:val="en-US"/>
        </w:rPr>
      </w:pPr>
      <w:r w:rsidRPr="003D157D">
        <w:rPr>
          <w:sz w:val="20"/>
          <w:lang w:val="en-US"/>
        </w:rPr>
        <w:t xml:space="preserve">Kent, E., Belch, H., Kultgen, D., Weathered, M., and Grandy, C. </w:t>
      </w:r>
      <w:r w:rsidRPr="003D157D">
        <w:rPr>
          <w:i/>
          <w:iCs/>
          <w:sz w:val="20"/>
          <w:lang w:val="en-US"/>
        </w:rPr>
        <w:t>Gear Test Assembly - Status Report For FY2019</w:t>
      </w:r>
      <w:r w:rsidRPr="003D157D">
        <w:rPr>
          <w:sz w:val="20"/>
          <w:lang w:val="en-US"/>
        </w:rPr>
        <w:t xml:space="preserve">. United States: N. p., 2019. Web. doi:10.2172/1565961. </w:t>
      </w:r>
    </w:p>
    <w:p w14:paraId="609B853C" w14:textId="77777777" w:rsidR="006E4FB7" w:rsidRPr="003D157D" w:rsidRDefault="006E4FB7" w:rsidP="006E4FB7">
      <w:pPr>
        <w:pStyle w:val="Referencelist"/>
        <w:rPr>
          <w:szCs w:val="24"/>
          <w:lang w:val="en-US"/>
        </w:rPr>
      </w:pPr>
      <w:r w:rsidRPr="003D157D">
        <w:rPr>
          <w:sz w:val="20"/>
          <w:lang w:val="en-US"/>
        </w:rPr>
        <w:t xml:space="preserve">Kent, E., Belch, H., Grandy, C., Kultgen, D., and Weathered, M. </w:t>
      </w:r>
      <w:r w:rsidRPr="003D157D">
        <w:rPr>
          <w:i/>
          <w:iCs/>
          <w:sz w:val="20"/>
          <w:lang w:val="en-US"/>
        </w:rPr>
        <w:t>Gear Test Assembly - Report on Experimental Testing (FY2020)</w:t>
      </w:r>
      <w:r w:rsidRPr="003D157D">
        <w:rPr>
          <w:sz w:val="20"/>
          <w:lang w:val="en-US"/>
        </w:rPr>
        <w:t xml:space="preserve">. United States: N. p., 2020. Web. doi:10.2172/1730948. </w:t>
      </w:r>
    </w:p>
    <w:p w14:paraId="49532BA2" w14:textId="77777777" w:rsidR="006E4FB7" w:rsidRPr="003D157D" w:rsidRDefault="006E4FB7" w:rsidP="006E4FB7">
      <w:pPr>
        <w:pStyle w:val="Referencelist"/>
        <w:rPr>
          <w:szCs w:val="24"/>
          <w:lang w:val="en-US"/>
        </w:rPr>
      </w:pPr>
      <w:r w:rsidRPr="003D157D">
        <w:rPr>
          <w:sz w:val="20"/>
          <w:lang w:val="en-US"/>
        </w:rPr>
        <w:t xml:space="preserve">Grandy, C., Kent, E., Kultgen, D., Weathered, M., Andujar, D., and Borowski, A. </w:t>
      </w:r>
      <w:r w:rsidRPr="003D157D">
        <w:rPr>
          <w:i/>
          <w:iCs/>
          <w:sz w:val="20"/>
          <w:lang w:val="en-US"/>
        </w:rPr>
        <w:t>Mechanisms Engineering Test Loop - Flexicask Design and Testing Report</w:t>
      </w:r>
      <w:r w:rsidRPr="003D157D">
        <w:rPr>
          <w:sz w:val="20"/>
          <w:lang w:val="en-US"/>
        </w:rPr>
        <w:t>. United States: N. p., 2020. Web. doi:10.2172/1603654.</w:t>
      </w:r>
    </w:p>
    <w:p w14:paraId="16BDC1B7" w14:textId="77777777" w:rsidR="006E4FB7" w:rsidRPr="003D157D" w:rsidRDefault="006E4FB7" w:rsidP="006E4FB7">
      <w:pPr>
        <w:pStyle w:val="Referencelist"/>
        <w:rPr>
          <w:szCs w:val="24"/>
          <w:lang w:val="en-US"/>
        </w:rPr>
      </w:pPr>
      <w:r w:rsidRPr="003D157D">
        <w:rPr>
          <w:sz w:val="20"/>
          <w:lang w:val="en-US"/>
        </w:rPr>
        <w:t xml:space="preserve">Kultgen, D., Weathered, M., Kent, E., and Grandy, C. </w:t>
      </w:r>
      <w:r w:rsidRPr="003D157D">
        <w:rPr>
          <w:i/>
          <w:iCs/>
          <w:sz w:val="20"/>
          <w:lang w:val="en-US"/>
        </w:rPr>
        <w:t>Mechanisms Engineering Test Loop (METL) Operations and Testing Report - FY2020</w:t>
      </w:r>
      <w:r w:rsidRPr="003D157D">
        <w:rPr>
          <w:sz w:val="20"/>
          <w:lang w:val="en-US"/>
        </w:rPr>
        <w:t xml:space="preserve">. United States: N. p., 2020. Web. doi:10.2172/1698024. </w:t>
      </w:r>
    </w:p>
    <w:p w14:paraId="08BD577C" w14:textId="77777777" w:rsidR="00F45EEE" w:rsidRPr="00B21BF9" w:rsidRDefault="006E4FB7" w:rsidP="00403632">
      <w:pPr>
        <w:pStyle w:val="Referencelist"/>
        <w:rPr>
          <w:szCs w:val="24"/>
          <w:lang w:val="en-US"/>
        </w:rPr>
      </w:pPr>
      <w:r w:rsidRPr="003D157D">
        <w:rPr>
          <w:sz w:val="20"/>
          <w:lang w:val="en-US"/>
        </w:rPr>
        <w:t xml:space="preserve">Weathered, M., Kultgen, D., Kent, E., Grandy, C., Sumner, T., Moisseytsev, A., and Kim, T. </w:t>
      </w:r>
      <w:r w:rsidRPr="003D157D">
        <w:rPr>
          <w:i/>
          <w:iCs/>
          <w:sz w:val="20"/>
          <w:lang w:val="en-US"/>
        </w:rPr>
        <w:t>Thermal Hydraulic Experimental Test Article - Status Report FY2020</w:t>
      </w:r>
      <w:r w:rsidRPr="003D157D">
        <w:rPr>
          <w:sz w:val="20"/>
          <w:lang w:val="en-US"/>
        </w:rPr>
        <w:t xml:space="preserve">. United States: N. p., 2020. Web. doi:10.2172/1698027. </w:t>
      </w:r>
    </w:p>
    <w:p w14:paraId="62D1E6E5" w14:textId="77777777" w:rsidR="009004D1" w:rsidRDefault="00D077D6" w:rsidP="00B21BF9">
      <w:pPr>
        <w:pStyle w:val="Referencelist"/>
        <w:rPr>
          <w:sz w:val="20"/>
          <w:szCs w:val="20"/>
        </w:rPr>
      </w:pPr>
      <w:r>
        <w:rPr>
          <w:sz w:val="20"/>
          <w:szCs w:val="20"/>
        </w:rPr>
        <w:t xml:space="preserve">Kent, E, Belch, H, et.al., Gear Test Assembly: </w:t>
      </w:r>
      <w:r w:rsidRPr="00D077D6">
        <w:rPr>
          <w:i/>
          <w:sz w:val="20"/>
          <w:szCs w:val="20"/>
        </w:rPr>
        <w:t>First Liquid Metal Component Testing in METL</w:t>
      </w:r>
      <w:r>
        <w:rPr>
          <w:sz w:val="20"/>
          <w:szCs w:val="20"/>
        </w:rPr>
        <w:t>, International Conference on Fast Reactors and Related Fuel Cycles, May 10-13, 2021, Working Paper</w:t>
      </w:r>
    </w:p>
    <w:p w14:paraId="2993B789" w14:textId="77777777" w:rsidR="00B21BF9" w:rsidRPr="00B21BF9" w:rsidRDefault="00B21BF9" w:rsidP="00B21BF9">
      <w:pPr>
        <w:pStyle w:val="Referencelist"/>
        <w:rPr>
          <w:sz w:val="20"/>
          <w:szCs w:val="20"/>
        </w:rPr>
      </w:pPr>
      <w:r>
        <w:rPr>
          <w:sz w:val="20"/>
          <w:szCs w:val="20"/>
        </w:rPr>
        <w:t xml:space="preserve">Weathered, M., </w:t>
      </w:r>
      <w:r w:rsidRPr="00B21BF9">
        <w:rPr>
          <w:sz w:val="20"/>
          <w:szCs w:val="20"/>
        </w:rPr>
        <w:t xml:space="preserve">Grandy, </w:t>
      </w:r>
      <w:r>
        <w:rPr>
          <w:sz w:val="20"/>
          <w:szCs w:val="20"/>
        </w:rPr>
        <w:t xml:space="preserve">C., </w:t>
      </w:r>
      <w:r w:rsidRPr="00B21BF9">
        <w:rPr>
          <w:i/>
          <w:sz w:val="20"/>
          <w:szCs w:val="20"/>
        </w:rPr>
        <w:t>Overview of a Sodium Fast Reactor Thermal Hydraulic Test Facility</w:t>
      </w:r>
      <w:r w:rsidRPr="00B21BF9">
        <w:rPr>
          <w:sz w:val="20"/>
          <w:szCs w:val="20"/>
        </w:rPr>
        <w:t>, International Conference on Fast Reactors and Related Fuel Cycles, May 10-13, 2021, Working Paper</w:t>
      </w:r>
    </w:p>
    <w:p w14:paraId="0B845720" w14:textId="36835C3A" w:rsidR="00971E61" w:rsidRDefault="00971E61">
      <w:pPr>
        <w:overflowPunct/>
        <w:autoSpaceDE/>
        <w:autoSpaceDN/>
        <w:adjustRightInd/>
        <w:textAlignment w:val="auto"/>
        <w:rPr>
          <w:sz w:val="20"/>
          <w:lang w:val="en-US"/>
        </w:rPr>
      </w:pPr>
    </w:p>
    <w:sectPr w:rsidR="00971E61" w:rsidSect="0026525A">
      <w:headerReference w:type="even" r:id="rId22"/>
      <w:headerReference w:type="default" r:id="rId23"/>
      <w:footerReference w:type="even" r:id="rId24"/>
      <w:footerReference w:type="default" r:id="rId25"/>
      <w:headerReference w:type="first" r:id="rId26"/>
      <w:footerReference w:type="first" r:id="rId27"/>
      <w:type w:val="oddPage"/>
      <w:pgSz w:w="11907" w:h="16840" w:code="9"/>
      <w:pgMar w:top="1440" w:right="1440" w:bottom="1440" w:left="1440" w:header="539" w:footer="964" w:gutter="0"/>
      <w:pgNumType w:start="1"/>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E382B31" w14:textId="77777777" w:rsidR="00844845" w:rsidRDefault="00844845">
      <w:r>
        <w:separator/>
      </w:r>
    </w:p>
  </w:endnote>
  <w:endnote w:type="continuationSeparator" w:id="0">
    <w:p w14:paraId="1CEF57F9" w14:textId="77777777" w:rsidR="00844845" w:rsidRDefault="0084484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imes New Roman Bold">
    <w:altName w:val="Times New Roman"/>
    <w:panose1 w:val="02020803070505020304"/>
    <w:charset w:val="00"/>
    <w:family w:val="roman"/>
    <w:notTrueType/>
    <w:pitch w:val="default"/>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Times">
    <w:panose1 w:val="02020603050405020304"/>
    <w:charset w:val="00"/>
    <w:family w:val="roman"/>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E3EAC9" w14:textId="77777777" w:rsidR="00E20E70" w:rsidRDefault="00E20E70">
    <w:pPr>
      <w:pStyle w:val="zyxClassification1"/>
    </w:pPr>
    <w:r>
      <w:fldChar w:fldCharType="begin"/>
    </w:r>
    <w:r>
      <w:instrText xml:space="preserve"> DOCPROPERTY "IaeaClassification"  \* MERGEFORMAT </w:instrText>
    </w:r>
    <w:r>
      <w:fldChar w:fldCharType="end"/>
    </w:r>
  </w:p>
  <w:p w14:paraId="45B30161" w14:textId="77777777" w:rsidR="00E20E70" w:rsidRDefault="00E20E70">
    <w:pPr>
      <w:pStyle w:val="zyxClassification2"/>
    </w:pPr>
    <w:r>
      <w:fldChar w:fldCharType="begin"/>
    </w:r>
    <w:r>
      <w:instrText>DOCPROPERTY "IaeaClassification2"  \* MERGEFORMAT</w:instrText>
    </w:r>
    <w: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A1EC19" w14:textId="77777777" w:rsidR="00E20E70" w:rsidRDefault="00E20E70">
    <w:pPr>
      <w:pStyle w:val="zyxClassification1"/>
    </w:pPr>
    <w:r>
      <w:fldChar w:fldCharType="begin"/>
    </w:r>
    <w:r>
      <w:instrText xml:space="preserve"> DOCPROPERTY "IaeaClassification"  \* MERGEFORMAT </w:instrText>
    </w:r>
    <w:r>
      <w:fldChar w:fldCharType="end"/>
    </w:r>
  </w:p>
  <w:p w14:paraId="38EB438A" w14:textId="1BE37432" w:rsidR="00E20E70" w:rsidRPr="00037321" w:rsidRDefault="00037321">
    <w:pPr>
      <w:pStyle w:val="zyxClassification2"/>
      <w:rPr>
        <w:rFonts w:ascii="Times New Roman" w:hAnsi="Times New Roman" w:cs="Times New Roman"/>
        <w:sz w:val="20"/>
      </w:rPr>
    </w:pPr>
    <w:r w:rsidRPr="00037321">
      <w:rPr>
        <w:rFonts w:ascii="Times New Roman" w:hAnsi="Times New Roman" w:cs="Times New Roman"/>
        <w:sz w:val="20"/>
      </w:rPr>
      <w:fldChar w:fldCharType="begin"/>
    </w:r>
    <w:r w:rsidRPr="00037321">
      <w:rPr>
        <w:rFonts w:ascii="Times New Roman" w:hAnsi="Times New Roman" w:cs="Times New Roman"/>
        <w:sz w:val="20"/>
      </w:rPr>
      <w:instrText xml:space="preserve"> PAGE </w:instrText>
    </w:r>
    <w:r w:rsidRPr="00037321">
      <w:rPr>
        <w:rFonts w:ascii="Times New Roman" w:hAnsi="Times New Roman" w:cs="Times New Roman"/>
        <w:sz w:val="20"/>
      </w:rPr>
      <w:fldChar w:fldCharType="separate"/>
    </w:r>
    <w:r w:rsidR="00885BCB">
      <w:rPr>
        <w:rFonts w:ascii="Times New Roman" w:hAnsi="Times New Roman" w:cs="Times New Roman"/>
        <w:noProof/>
        <w:sz w:val="20"/>
      </w:rPr>
      <w:t>9</w:t>
    </w:r>
    <w:r w:rsidRPr="00037321">
      <w:rPr>
        <w:rFonts w:ascii="Times New Roman" w:hAnsi="Times New Roman" w:cs="Times New Roman"/>
        <w:sz w:val="20"/>
      </w:rPr>
      <w:fldChar w:fldCharType="end"/>
    </w:r>
    <w:r w:rsidR="00E20E70" w:rsidRPr="00037321">
      <w:rPr>
        <w:rFonts w:ascii="Times New Roman" w:hAnsi="Times New Roman" w:cs="Times New Roman"/>
        <w:sz w:val="20"/>
      </w:rPr>
      <w:fldChar w:fldCharType="begin"/>
    </w:r>
    <w:r w:rsidR="00E20E70" w:rsidRPr="00037321">
      <w:rPr>
        <w:rFonts w:ascii="Times New Roman" w:hAnsi="Times New Roman" w:cs="Times New Roman"/>
        <w:sz w:val="20"/>
      </w:rPr>
      <w:instrText>DOCPROPERTY "IaeaClassification2"  \* MERGEFORMAT</w:instrText>
    </w:r>
    <w:r w:rsidR="00E20E70" w:rsidRPr="00037321">
      <w:rPr>
        <w:rFonts w:ascii="Times New Roman" w:hAnsi="Times New Roman" w:cs="Times New Roman"/>
        <w:sz w:val="20"/>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pPr w:vertAnchor="page" w:horzAnchor="page" w:tblpX="1390" w:tblpY="15707"/>
      <w:tblOverlap w:val="never"/>
      <w:tblW w:w="10314" w:type="dxa"/>
      <w:tblLook w:val="0000" w:firstRow="0" w:lastRow="0" w:firstColumn="0" w:lastColumn="0" w:noHBand="0" w:noVBand="0"/>
    </w:tblPr>
    <w:tblGrid>
      <w:gridCol w:w="4644"/>
      <w:gridCol w:w="5670"/>
    </w:tblGrid>
    <w:tr w:rsidR="00E20E70" w14:paraId="51E63805" w14:textId="77777777">
      <w:trPr>
        <w:cantSplit/>
      </w:trPr>
      <w:tc>
        <w:tcPr>
          <w:tcW w:w="4644" w:type="dxa"/>
        </w:tcPr>
        <w:p w14:paraId="236DF31A" w14:textId="77777777" w:rsidR="00E20E70" w:rsidRDefault="00E20E70">
          <w:pPr>
            <w:pStyle w:val="zyxDistribution"/>
            <w:framePr w:wrap="auto" w:vAnchor="margin" w:hAnchor="text" w:xAlign="left" w:yAlign="inline"/>
            <w:suppressOverlap w:val="0"/>
          </w:pPr>
          <w:r>
            <w:fldChar w:fldCharType="begin"/>
          </w:r>
          <w:r>
            <w:instrText xml:space="preserve"> DOCPROPERTY "IaeaDistribution"  \* MERGEFORMAT </w:instrText>
          </w:r>
          <w:r>
            <w:fldChar w:fldCharType="end"/>
          </w:r>
        </w:p>
        <w:p w14:paraId="4C13F07B" w14:textId="77777777" w:rsidR="00E20E70" w:rsidRDefault="00E20E70">
          <w:pPr>
            <w:pStyle w:val="zyxSensitivity"/>
            <w:framePr w:wrap="auto" w:vAnchor="margin" w:hAnchor="text" w:xAlign="left" w:yAlign="inline"/>
            <w:suppressOverlap w:val="0"/>
          </w:pPr>
          <w:r>
            <w:fldChar w:fldCharType="begin"/>
          </w:r>
          <w:r>
            <w:instrText xml:space="preserve"> DOCPROPERTY "IaeaSensitivity"  \* MERGEFORMAT </w:instrText>
          </w:r>
          <w:r>
            <w:fldChar w:fldCharType="end"/>
          </w:r>
        </w:p>
      </w:tc>
      <w:bookmarkStart w:id="12" w:name="DOC_bkmClassification2"/>
      <w:tc>
        <w:tcPr>
          <w:tcW w:w="5670" w:type="dxa"/>
          <w:tcMar>
            <w:right w:w="249" w:type="dxa"/>
          </w:tcMar>
        </w:tcPr>
        <w:p w14:paraId="33FD75D4" w14:textId="77777777" w:rsidR="00E20E70" w:rsidRDefault="00E20E70">
          <w:pPr>
            <w:pStyle w:val="zyxConfidBlack"/>
            <w:framePr w:wrap="auto" w:vAnchor="margin" w:hAnchor="text" w:xAlign="left" w:yAlign="inline"/>
            <w:suppressOverlap w:val="0"/>
          </w:pPr>
          <w:r>
            <w:fldChar w:fldCharType="begin"/>
          </w:r>
          <w:r>
            <w:instrText xml:space="preserve"> DOCPROPERTY "IaeaClassification"  \* MERGEFORMAT </w:instrText>
          </w:r>
          <w:r>
            <w:fldChar w:fldCharType="end"/>
          </w:r>
        </w:p>
        <w:bookmarkEnd w:id="12"/>
        <w:p w14:paraId="1D9E0302" w14:textId="77777777" w:rsidR="00E20E70" w:rsidRDefault="00E20E70">
          <w:pPr>
            <w:spacing w:after="20" w:line="220" w:lineRule="exact"/>
            <w:jc w:val="right"/>
            <w:rPr>
              <w:rFonts w:ascii="Arial" w:hAnsi="Arial" w:cs="Arial"/>
              <w:color w:val="FF0000"/>
            </w:rPr>
          </w:pPr>
          <w:r>
            <w:rPr>
              <w:rFonts w:ascii="Arial" w:hAnsi="Arial"/>
              <w:b/>
            </w:rPr>
            <w:fldChar w:fldCharType="begin"/>
          </w:r>
          <w:r>
            <w:rPr>
              <w:rFonts w:ascii="Arial" w:hAnsi="Arial"/>
              <w:b/>
            </w:rPr>
            <w:instrText>DOCPROPERTY "IaeaConfidentialAttachments"  \* MERGEFORMAT</w:instrText>
          </w:r>
          <w:r>
            <w:rPr>
              <w:rFonts w:ascii="Arial" w:hAnsi="Arial"/>
              <w:b/>
            </w:rPr>
            <w:fldChar w:fldCharType="end"/>
          </w:r>
          <w:r>
            <w:rPr>
              <w:rFonts w:ascii="Arial" w:hAnsi="Arial" w:cs="Arial"/>
              <w:color w:val="FF0000"/>
            </w:rPr>
            <w:fldChar w:fldCharType="begin"/>
          </w:r>
          <w:r>
            <w:rPr>
              <w:rFonts w:ascii="Arial" w:hAnsi="Arial" w:cs="Arial"/>
              <w:color w:val="FF0000"/>
            </w:rPr>
            <w:instrText>DOCPROPERTY "IaeaClassification2"  \* MERGEFORMAT</w:instrText>
          </w:r>
          <w:r>
            <w:rPr>
              <w:rFonts w:ascii="Arial" w:hAnsi="Arial" w:cs="Arial"/>
              <w:color w:val="FF0000"/>
            </w:rPr>
            <w:fldChar w:fldCharType="end"/>
          </w:r>
        </w:p>
      </w:tc>
    </w:tr>
  </w:tbl>
  <w:bookmarkStart w:id="13" w:name="DOC_bkmFileName"/>
  <w:p w14:paraId="07FFFEEC" w14:textId="77777777" w:rsidR="00E20E70" w:rsidRDefault="00E20E70">
    <w:r>
      <w:rPr>
        <w:sz w:val="16"/>
      </w:rPr>
      <w:fldChar w:fldCharType="begin"/>
    </w:r>
    <w:r>
      <w:rPr>
        <w:sz w:val="16"/>
      </w:rPr>
      <w:instrText xml:space="preserve"> FILENAME \* MERGEFORMAT </w:instrText>
    </w:r>
    <w:r>
      <w:rPr>
        <w:sz w:val="16"/>
      </w:rPr>
      <w:fldChar w:fldCharType="separate"/>
    </w:r>
    <w:r w:rsidR="00191B91">
      <w:rPr>
        <w:noProof/>
        <w:sz w:val="16"/>
      </w:rPr>
      <w:t>FR2021 METL Paper- 340_Draft_rev1_JRcomments</w:t>
    </w:r>
    <w:r>
      <w:rPr>
        <w:sz w:val="16"/>
      </w:rPr>
      <w:fldChar w:fldCharType="end"/>
    </w:r>
    <w:bookmarkEnd w:id="13"/>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7112A3A" w14:textId="77777777" w:rsidR="00844845" w:rsidRDefault="00844845">
      <w:r>
        <w:t>___________________________________________________________________________</w:t>
      </w:r>
    </w:p>
  </w:footnote>
  <w:footnote w:type="continuationSeparator" w:id="0">
    <w:p w14:paraId="602958C7" w14:textId="77777777" w:rsidR="00844845" w:rsidRDefault="00844845">
      <w:r>
        <w:t>___________________________________________________________________________</w:t>
      </w:r>
    </w:p>
  </w:footnote>
  <w:footnote w:type="continuationNotice" w:id="1">
    <w:p w14:paraId="7D40A141" w14:textId="77777777" w:rsidR="00844845" w:rsidRDefault="00844845"/>
  </w:footnote>
  <w:footnote w:id="2">
    <w:p w14:paraId="4833A7C6" w14:textId="77777777" w:rsidR="007F43FE" w:rsidRPr="00AC28E9" w:rsidRDefault="007F43FE" w:rsidP="0021276C">
      <w:pPr>
        <w:rPr>
          <w:lang w:val="en-US"/>
        </w:rPr>
      </w:pPr>
      <w:r>
        <w:rPr>
          <w:rStyle w:val="FootnoteReference"/>
        </w:rPr>
        <w:footnoteRef/>
      </w:r>
      <w:r>
        <w:t xml:space="preserve"> </w:t>
      </w:r>
      <w:r>
        <w:rPr>
          <w:sz w:val="16"/>
          <w:szCs w:val="16"/>
        </w:rPr>
        <w:t>The submitted manuscript has been created by UChicago Argonne, LLC, Operator of Argonne National Laboratory (“Argonne”). Argonne, a U.S. Department of Energy Office of Science laboratory, is operated under Contract No. DE-AC02-06CH11357. The U.S. Government retains for itself, and others acting on its behalf, a paid-up nonexclusive, irrevocable worldwide license in said article to reproduce, prepare derivative works, distribute copies to the public, and perform publicly and display publicly, by or on behalf of the Government.</w:t>
      </w:r>
    </w:p>
  </w:footnote>
  <w:footnote w:id="3">
    <w:p w14:paraId="00B8302C" w14:textId="77777777" w:rsidR="006E4FB7" w:rsidRDefault="006E4FB7" w:rsidP="006E4FB7">
      <w:pPr>
        <w:pStyle w:val="FootnoteText"/>
      </w:pPr>
      <w:r>
        <w:rPr>
          <w:rStyle w:val="FootnoteReference"/>
        </w:rPr>
        <w:footnoteRef/>
      </w:r>
      <w:r>
        <w:t xml:space="preserve"> In a similar manner, when designing an advanced reactor, space is needed on the reactor head for the enclosures that will be used to remove components from the reactor plant. This space needs to be designed into the overall reactor plant design for in-service inspection and maintenance. </w:t>
      </w:r>
    </w:p>
  </w:footnote>
  <w:footnote w:id="4">
    <w:p w14:paraId="5F065036" w14:textId="7DCF22D2" w:rsidR="00176F93" w:rsidRPr="00176F93" w:rsidRDefault="00176F93">
      <w:pPr>
        <w:pStyle w:val="FootnoteText"/>
        <w:rPr>
          <w:lang w:val="en-US"/>
        </w:rPr>
      </w:pPr>
      <w:r>
        <w:rPr>
          <w:rStyle w:val="FootnoteReference"/>
        </w:rPr>
        <w:footnoteRef/>
      </w:r>
      <w:r>
        <w:t xml:space="preserve"> </w:t>
      </w:r>
      <w:r>
        <w:rPr>
          <w:lang w:val="en-US"/>
        </w:rPr>
        <w:t>Note – the lifting apparatus and appurtenances are not shown in the figure</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3FB264" w14:textId="77777777" w:rsidR="00CF7AF3" w:rsidRDefault="00CF7AF3" w:rsidP="00CF7AF3">
    <w:pPr>
      <w:pStyle w:val="Runninghead"/>
    </w:pPr>
    <w:r>
      <w:tab/>
    </w:r>
    <w:r w:rsidR="002C29DB">
      <w:t xml:space="preserve">FR21: </w:t>
    </w:r>
    <w:r>
      <w:t>IAEA-CN-</w:t>
    </w:r>
    <w:r w:rsidR="002C29DB">
      <w:t>291</w:t>
    </w:r>
    <w:r w:rsidR="007F43FE">
      <w:t>/340</w:t>
    </w:r>
  </w:p>
  <w:p w14:paraId="4DAB9958" w14:textId="77777777" w:rsidR="00E20E70" w:rsidRDefault="00E20E70">
    <w:pPr>
      <w:pStyle w:val="zyxClassification2"/>
    </w:pPr>
    <w:r>
      <w:fldChar w:fldCharType="begin"/>
    </w:r>
    <w:r>
      <w:instrText>DOCPROPERTY "IaeaClassification2"  \* MERGEFORMAT</w:instrText>
    </w:r>
    <w: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9BE8E7" w14:textId="77777777" w:rsidR="00037321" w:rsidRPr="007F43FE" w:rsidRDefault="007F43FE" w:rsidP="007F43FE">
    <w:pPr>
      <w:pStyle w:val="Runninghead"/>
    </w:pPr>
    <w:r w:rsidRPr="007F43FE">
      <w:t>C. Grandy, D.W. Kultgen</w:t>
    </w:r>
    <w:r>
      <w:t>, E. Kent, and M. T. Weathered</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pPr w:vertAnchor="page" w:horzAnchor="page" w:tblpX="1333" w:tblpY="228"/>
      <w:tblOverlap w:val="never"/>
      <w:tblW w:w="10319" w:type="dxa"/>
      <w:tblLayout w:type="fixed"/>
      <w:tblLook w:val="0000" w:firstRow="0" w:lastRow="0" w:firstColumn="0" w:lastColumn="0" w:noHBand="0" w:noVBand="0"/>
    </w:tblPr>
    <w:tblGrid>
      <w:gridCol w:w="979"/>
      <w:gridCol w:w="3638"/>
      <w:gridCol w:w="5702"/>
    </w:tblGrid>
    <w:tr w:rsidR="00E20E70" w14:paraId="139BEF9C" w14:textId="77777777">
      <w:trPr>
        <w:cantSplit/>
        <w:trHeight w:val="716"/>
      </w:trPr>
      <w:tc>
        <w:tcPr>
          <w:tcW w:w="979" w:type="dxa"/>
          <w:vMerge w:val="restart"/>
        </w:tcPr>
        <w:p w14:paraId="4C907F89" w14:textId="77777777" w:rsidR="00E20E70" w:rsidRDefault="00E20E70">
          <w:pPr>
            <w:spacing w:before="180"/>
            <w:ind w:left="17"/>
          </w:pPr>
        </w:p>
      </w:tc>
      <w:tc>
        <w:tcPr>
          <w:tcW w:w="3638" w:type="dxa"/>
          <w:vAlign w:val="bottom"/>
        </w:tcPr>
        <w:p w14:paraId="5E79952B" w14:textId="77777777" w:rsidR="00E20E70" w:rsidRDefault="00E20E70">
          <w:pPr>
            <w:spacing w:after="20"/>
          </w:pPr>
        </w:p>
      </w:tc>
      <w:bookmarkStart w:id="11" w:name="DOC_bkmClassification1"/>
      <w:tc>
        <w:tcPr>
          <w:tcW w:w="5702" w:type="dxa"/>
          <w:vMerge w:val="restart"/>
          <w:tcMar>
            <w:right w:w="193" w:type="dxa"/>
          </w:tcMar>
        </w:tcPr>
        <w:p w14:paraId="795C69C2" w14:textId="77777777" w:rsidR="00E20E70" w:rsidRDefault="00E20E70">
          <w:pPr>
            <w:pStyle w:val="zyxConfidBlack"/>
            <w:framePr w:wrap="auto" w:vAnchor="margin" w:hAnchor="text" w:xAlign="left" w:yAlign="inline"/>
            <w:suppressOverlap w:val="0"/>
          </w:pPr>
          <w:r>
            <w:fldChar w:fldCharType="begin"/>
          </w:r>
          <w:r>
            <w:instrText xml:space="preserve"> DOCPROPERTY "IaeaClassification"  \* MERGEFORMAT </w:instrText>
          </w:r>
          <w:r>
            <w:fldChar w:fldCharType="end"/>
          </w:r>
        </w:p>
        <w:bookmarkEnd w:id="11"/>
        <w:p w14:paraId="69524131" w14:textId="77777777" w:rsidR="00E20E70" w:rsidRDefault="00E20E70">
          <w:pPr>
            <w:pStyle w:val="zyxConfid2Red"/>
          </w:pPr>
          <w:r>
            <w:fldChar w:fldCharType="begin"/>
          </w:r>
          <w:r>
            <w:instrText>DOCPROPERTY "IaeaClassification2"  \* MERGEFORMAT</w:instrText>
          </w:r>
          <w:r>
            <w:fldChar w:fldCharType="end"/>
          </w:r>
        </w:p>
      </w:tc>
    </w:tr>
    <w:tr w:rsidR="00E20E70" w14:paraId="3D9E28F2" w14:textId="77777777">
      <w:trPr>
        <w:cantSplit/>
        <w:trHeight w:val="167"/>
      </w:trPr>
      <w:tc>
        <w:tcPr>
          <w:tcW w:w="979" w:type="dxa"/>
          <w:vMerge/>
        </w:tcPr>
        <w:p w14:paraId="60440258" w14:textId="77777777" w:rsidR="00E20E70" w:rsidRDefault="00E20E70">
          <w:pPr>
            <w:spacing w:before="57"/>
          </w:pPr>
        </w:p>
      </w:tc>
      <w:tc>
        <w:tcPr>
          <w:tcW w:w="3638" w:type="dxa"/>
          <w:vAlign w:val="bottom"/>
        </w:tcPr>
        <w:p w14:paraId="2C1ADF88" w14:textId="77777777" w:rsidR="00E20E70" w:rsidRDefault="00E20E70">
          <w:pPr>
            <w:pStyle w:val="Heading9"/>
            <w:spacing w:before="0" w:after="10"/>
          </w:pPr>
        </w:p>
      </w:tc>
      <w:tc>
        <w:tcPr>
          <w:tcW w:w="5702" w:type="dxa"/>
          <w:vMerge/>
          <w:vAlign w:val="bottom"/>
        </w:tcPr>
        <w:p w14:paraId="1DFE3E06" w14:textId="77777777" w:rsidR="00E20E70" w:rsidRDefault="00E20E70">
          <w:pPr>
            <w:pStyle w:val="Heading9"/>
            <w:spacing w:before="0" w:after="10"/>
          </w:pPr>
        </w:p>
      </w:tc>
    </w:tr>
  </w:tbl>
  <w:p w14:paraId="7795B1AA" w14:textId="77777777" w:rsidR="00E20E70" w:rsidRDefault="00E20E70"/>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E"/>
    <w:multiLevelType w:val="singleLevel"/>
    <w:tmpl w:val="DEC82A62"/>
    <w:lvl w:ilvl="0">
      <w:start w:val="1"/>
      <w:numFmt w:val="decimal"/>
      <w:pStyle w:val="ListNumber3"/>
      <w:lvlText w:val="%1."/>
      <w:lvlJc w:val="left"/>
      <w:pPr>
        <w:tabs>
          <w:tab w:val="num" w:pos="926"/>
        </w:tabs>
        <w:ind w:left="926" w:hanging="360"/>
      </w:pPr>
    </w:lvl>
  </w:abstractNum>
  <w:abstractNum w:abstractNumId="1" w15:restartNumberingAfterBreak="0">
    <w:nsid w:val="0A271E86"/>
    <w:multiLevelType w:val="multilevel"/>
    <w:tmpl w:val="A08A77CA"/>
    <w:lvl w:ilvl="0">
      <w:start w:val="1"/>
      <w:numFmt w:val="lowerLetter"/>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 w15:restartNumberingAfterBreak="0">
    <w:nsid w:val="0DA24264"/>
    <w:multiLevelType w:val="multilevel"/>
    <w:tmpl w:val="F1EC865C"/>
    <w:lvl w:ilvl="0">
      <w:start w:val="1"/>
      <w:numFmt w:val="decimal"/>
      <w:pStyle w:val="AgendaList"/>
      <w:lvlText w:val="%1."/>
      <w:lvlJc w:val="left"/>
      <w:pPr>
        <w:tabs>
          <w:tab w:val="num" w:pos="459"/>
        </w:tabs>
        <w:ind w:left="459" w:hanging="459"/>
      </w:pPr>
      <w:rPr>
        <w:rFonts w:ascii="Times New Roman" w:hAnsi="Times New Roman" w:hint="default"/>
        <w:b w:val="0"/>
        <w:i w:val="0"/>
        <w:caps w:val="0"/>
        <w:strike w:val="0"/>
        <w:dstrike w:val="0"/>
        <w:vanish w:val="0"/>
        <w:color w:val="000000"/>
        <w:sz w:val="22"/>
        <w:vertAlign w:val="baseline"/>
        <w14:shadow w14:blurRad="0" w14:dist="0" w14:dir="0" w14:sx="0" w14:sy="0" w14:kx="0" w14:ky="0" w14:algn="none">
          <w14:srgbClr w14:val="000000"/>
        </w14:shadow>
        <w14:textOutline w14:w="0" w14:cap="rnd" w14:cmpd="sng" w14:algn="ctr">
          <w14:noFill/>
          <w14:prstDash w14:val="solid"/>
          <w14:bevel/>
        </w14:textOutline>
      </w:rPr>
    </w:lvl>
    <w:lvl w:ilvl="1">
      <w:start w:val="1"/>
      <w:numFmt w:val="lowerLetter"/>
      <w:lvlText w:val="(%2)"/>
      <w:lvlJc w:val="left"/>
      <w:pPr>
        <w:tabs>
          <w:tab w:val="num" w:pos="919"/>
        </w:tabs>
        <w:ind w:left="919" w:hanging="459"/>
      </w:pPr>
      <w:rPr>
        <w:rFonts w:ascii="Times New Roman" w:hAnsi="Times New Roman" w:hint="default"/>
        <w:b w:val="0"/>
        <w:i w:val="0"/>
        <w:caps w:val="0"/>
        <w:strike w:val="0"/>
        <w:dstrike w:val="0"/>
        <w:vanish w:val="0"/>
        <w:color w:val="000000"/>
        <w:sz w:val="22"/>
        <w:vertAlign w:val="baseline"/>
        <w14:shadow w14:blurRad="0" w14:dist="0" w14:dir="0" w14:sx="0" w14:sy="0" w14:kx="0" w14:ky="0" w14:algn="none">
          <w14:srgbClr w14:val="000000"/>
        </w14:shadow>
        <w14:textOutline w14:w="0" w14:cap="rnd" w14:cmpd="sng" w14:algn="ctr">
          <w14:noFill/>
          <w14:prstDash w14:val="solid"/>
          <w14:bevel/>
        </w14:textOutline>
      </w:rPr>
    </w:lvl>
    <w:lvl w:ilvl="2">
      <w:start w:val="1"/>
      <w:numFmt w:val="bullet"/>
      <w:lvlText w:val="-"/>
      <w:lvlJc w:val="left"/>
      <w:pPr>
        <w:tabs>
          <w:tab w:val="num" w:pos="1378"/>
        </w:tabs>
        <w:ind w:left="1378" w:hanging="459"/>
      </w:pPr>
      <w:rPr>
        <w:rFonts w:ascii="Times New Roman" w:cs="Times New Roman" w:hint="default"/>
        <w:b w:val="0"/>
        <w:i w:val="0"/>
        <w:caps w:val="0"/>
        <w:strike w:val="0"/>
        <w:dstrike w:val="0"/>
        <w:vanish w:val="0"/>
        <w:color w:val="000000"/>
        <w:sz w:val="24"/>
        <w:vertAlign w:val="baseline"/>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lvlText w:val="(%4)"/>
      <w:lvlJc w:val="left"/>
      <w:pPr>
        <w:tabs>
          <w:tab w:val="num" w:pos="811"/>
        </w:tabs>
        <w:ind w:left="811" w:hanging="360"/>
      </w:pPr>
      <w:rPr>
        <w:rFonts w:hint="default"/>
      </w:rPr>
    </w:lvl>
    <w:lvl w:ilvl="4">
      <w:start w:val="1"/>
      <w:numFmt w:val="lowerLetter"/>
      <w:lvlText w:val="(%5)"/>
      <w:lvlJc w:val="left"/>
      <w:pPr>
        <w:tabs>
          <w:tab w:val="num" w:pos="1171"/>
        </w:tabs>
        <w:ind w:left="1171" w:hanging="360"/>
      </w:pPr>
      <w:rPr>
        <w:rFonts w:hint="default"/>
      </w:rPr>
    </w:lvl>
    <w:lvl w:ilvl="5">
      <w:start w:val="1"/>
      <w:numFmt w:val="lowerRoman"/>
      <w:lvlText w:val="(%6)"/>
      <w:lvlJc w:val="left"/>
      <w:pPr>
        <w:tabs>
          <w:tab w:val="num" w:pos="1531"/>
        </w:tabs>
        <w:ind w:left="1531" w:hanging="360"/>
      </w:pPr>
      <w:rPr>
        <w:rFonts w:hint="default"/>
      </w:rPr>
    </w:lvl>
    <w:lvl w:ilvl="6">
      <w:start w:val="1"/>
      <w:numFmt w:val="decimal"/>
      <w:lvlText w:val="%7."/>
      <w:lvlJc w:val="left"/>
      <w:pPr>
        <w:tabs>
          <w:tab w:val="num" w:pos="1891"/>
        </w:tabs>
        <w:ind w:left="1891" w:hanging="360"/>
      </w:pPr>
      <w:rPr>
        <w:rFonts w:hint="default"/>
      </w:rPr>
    </w:lvl>
    <w:lvl w:ilvl="7">
      <w:start w:val="1"/>
      <w:numFmt w:val="lowerLetter"/>
      <w:lvlText w:val="%8."/>
      <w:lvlJc w:val="left"/>
      <w:pPr>
        <w:tabs>
          <w:tab w:val="num" w:pos="2251"/>
        </w:tabs>
        <w:ind w:left="2251" w:hanging="360"/>
      </w:pPr>
      <w:rPr>
        <w:rFonts w:hint="default"/>
      </w:rPr>
    </w:lvl>
    <w:lvl w:ilvl="8">
      <w:start w:val="1"/>
      <w:numFmt w:val="lowerRoman"/>
      <w:lvlText w:val="%9."/>
      <w:lvlJc w:val="left"/>
      <w:pPr>
        <w:tabs>
          <w:tab w:val="num" w:pos="2611"/>
        </w:tabs>
        <w:ind w:left="2611" w:hanging="360"/>
      </w:pPr>
      <w:rPr>
        <w:rFonts w:hint="default"/>
      </w:rPr>
    </w:lvl>
  </w:abstractNum>
  <w:abstractNum w:abstractNumId="3" w15:restartNumberingAfterBreak="0">
    <w:nsid w:val="179F5671"/>
    <w:multiLevelType w:val="hybridMultilevel"/>
    <w:tmpl w:val="67246400"/>
    <w:name w:val="HeadingTemplate2"/>
    <w:lvl w:ilvl="0" w:tplc="EDCE82DC">
      <w:start w:val="1"/>
      <w:numFmt w:val="bullet"/>
      <w:pStyle w:val="ListEmdash"/>
      <w:lvlText w:val="—"/>
      <w:lvlJc w:val="left"/>
      <w:pPr>
        <w:ind w:left="1287" w:hanging="360"/>
      </w:pPr>
      <w:rPr>
        <w:rFonts w:ascii="Times New Roman" w:hAnsi="Times New Roman" w:cs="Times New Roman"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4" w15:restartNumberingAfterBreak="0">
    <w:nsid w:val="190501B5"/>
    <w:multiLevelType w:val="singleLevel"/>
    <w:tmpl w:val="6374CE9A"/>
    <w:lvl w:ilvl="0">
      <w:start w:val="1"/>
      <w:numFmt w:val="decimal"/>
      <w:lvlText w:val="[%1]"/>
      <w:legacy w:legacy="1" w:legacySpace="0" w:legacyIndent="567"/>
      <w:lvlJc w:val="left"/>
      <w:pPr>
        <w:ind w:left="567" w:hanging="567"/>
      </w:pPr>
    </w:lvl>
  </w:abstractNum>
  <w:abstractNum w:abstractNumId="5" w15:restartNumberingAfterBreak="0">
    <w:nsid w:val="1CE663AE"/>
    <w:multiLevelType w:val="hybridMultilevel"/>
    <w:tmpl w:val="2BB4F1C6"/>
    <w:name w:val="HeadingTemplate22"/>
    <w:lvl w:ilvl="0" w:tplc="DB862C6E">
      <w:start w:val="1"/>
      <w:numFmt w:val="lowerLetter"/>
      <w:pStyle w:val="ListNumbered"/>
      <w:lvlText w:val="(%1)"/>
      <w:lvlJc w:val="left"/>
      <w:pPr>
        <w:ind w:left="720" w:hanging="360"/>
      </w:pPr>
      <w:rPr>
        <w:rFonts w:hint="default"/>
      </w:rPr>
    </w:lvl>
    <w:lvl w:ilvl="1" w:tplc="08090019" w:tentative="1">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1F583872"/>
    <w:multiLevelType w:val="hybridMultilevel"/>
    <w:tmpl w:val="3170DCCE"/>
    <w:lvl w:ilvl="0" w:tplc="3FF29240">
      <w:start w:val="1"/>
      <w:numFmt w:val="bullet"/>
      <w:pStyle w:val="BodyTextSummary"/>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30C540B8"/>
    <w:multiLevelType w:val="hybridMultilevel"/>
    <w:tmpl w:val="EA742534"/>
    <w:lvl w:ilvl="0" w:tplc="FF68CE92">
      <w:start w:val="1"/>
      <w:numFmt w:val="bullet"/>
      <w:pStyle w:val="ListBulleted"/>
      <w:lvlText w:val=""/>
      <w:lvlJc w:val="left"/>
      <w:pPr>
        <w:tabs>
          <w:tab w:val="num" w:pos="1179"/>
        </w:tabs>
        <w:ind w:left="1179" w:hanging="360"/>
      </w:pPr>
      <w:rPr>
        <w:rFonts w:ascii="Symbol" w:hAnsi="Symbol" w:hint="default"/>
      </w:rPr>
    </w:lvl>
    <w:lvl w:ilvl="1" w:tplc="04090003" w:tentative="1">
      <w:start w:val="1"/>
      <w:numFmt w:val="bullet"/>
      <w:lvlText w:val="o"/>
      <w:lvlJc w:val="left"/>
      <w:pPr>
        <w:tabs>
          <w:tab w:val="num" w:pos="1899"/>
        </w:tabs>
        <w:ind w:left="1899" w:hanging="360"/>
      </w:pPr>
      <w:rPr>
        <w:rFonts w:ascii="Courier New" w:hAnsi="Courier New" w:hint="default"/>
      </w:rPr>
    </w:lvl>
    <w:lvl w:ilvl="2" w:tplc="04090005" w:tentative="1">
      <w:start w:val="1"/>
      <w:numFmt w:val="bullet"/>
      <w:lvlText w:val=""/>
      <w:lvlJc w:val="left"/>
      <w:pPr>
        <w:tabs>
          <w:tab w:val="num" w:pos="2619"/>
        </w:tabs>
        <w:ind w:left="2619" w:hanging="360"/>
      </w:pPr>
      <w:rPr>
        <w:rFonts w:ascii="Wingdings" w:hAnsi="Wingdings" w:hint="default"/>
      </w:rPr>
    </w:lvl>
    <w:lvl w:ilvl="3" w:tplc="04090001" w:tentative="1">
      <w:start w:val="1"/>
      <w:numFmt w:val="bullet"/>
      <w:lvlText w:val=""/>
      <w:lvlJc w:val="left"/>
      <w:pPr>
        <w:tabs>
          <w:tab w:val="num" w:pos="3339"/>
        </w:tabs>
        <w:ind w:left="3339" w:hanging="360"/>
      </w:pPr>
      <w:rPr>
        <w:rFonts w:ascii="Symbol" w:hAnsi="Symbol" w:hint="default"/>
      </w:rPr>
    </w:lvl>
    <w:lvl w:ilvl="4" w:tplc="04090003" w:tentative="1">
      <w:start w:val="1"/>
      <w:numFmt w:val="bullet"/>
      <w:lvlText w:val="o"/>
      <w:lvlJc w:val="left"/>
      <w:pPr>
        <w:tabs>
          <w:tab w:val="num" w:pos="4059"/>
        </w:tabs>
        <w:ind w:left="4059" w:hanging="360"/>
      </w:pPr>
      <w:rPr>
        <w:rFonts w:ascii="Courier New" w:hAnsi="Courier New" w:hint="default"/>
      </w:rPr>
    </w:lvl>
    <w:lvl w:ilvl="5" w:tplc="04090005" w:tentative="1">
      <w:start w:val="1"/>
      <w:numFmt w:val="bullet"/>
      <w:lvlText w:val=""/>
      <w:lvlJc w:val="left"/>
      <w:pPr>
        <w:tabs>
          <w:tab w:val="num" w:pos="4779"/>
        </w:tabs>
        <w:ind w:left="4779" w:hanging="360"/>
      </w:pPr>
      <w:rPr>
        <w:rFonts w:ascii="Wingdings" w:hAnsi="Wingdings" w:hint="default"/>
      </w:rPr>
    </w:lvl>
    <w:lvl w:ilvl="6" w:tplc="04090001" w:tentative="1">
      <w:start w:val="1"/>
      <w:numFmt w:val="bullet"/>
      <w:lvlText w:val=""/>
      <w:lvlJc w:val="left"/>
      <w:pPr>
        <w:tabs>
          <w:tab w:val="num" w:pos="5499"/>
        </w:tabs>
        <w:ind w:left="5499" w:hanging="360"/>
      </w:pPr>
      <w:rPr>
        <w:rFonts w:ascii="Symbol" w:hAnsi="Symbol" w:hint="default"/>
      </w:rPr>
    </w:lvl>
    <w:lvl w:ilvl="7" w:tplc="04090003" w:tentative="1">
      <w:start w:val="1"/>
      <w:numFmt w:val="bullet"/>
      <w:lvlText w:val="o"/>
      <w:lvlJc w:val="left"/>
      <w:pPr>
        <w:tabs>
          <w:tab w:val="num" w:pos="6219"/>
        </w:tabs>
        <w:ind w:left="6219" w:hanging="360"/>
      </w:pPr>
      <w:rPr>
        <w:rFonts w:ascii="Courier New" w:hAnsi="Courier New" w:hint="default"/>
      </w:rPr>
    </w:lvl>
    <w:lvl w:ilvl="8" w:tplc="04090005" w:tentative="1">
      <w:start w:val="1"/>
      <w:numFmt w:val="bullet"/>
      <w:lvlText w:val=""/>
      <w:lvlJc w:val="left"/>
      <w:pPr>
        <w:tabs>
          <w:tab w:val="num" w:pos="6939"/>
        </w:tabs>
        <w:ind w:left="6939" w:hanging="360"/>
      </w:pPr>
      <w:rPr>
        <w:rFonts w:ascii="Wingdings" w:hAnsi="Wingdings" w:hint="default"/>
      </w:rPr>
    </w:lvl>
  </w:abstractNum>
  <w:abstractNum w:abstractNumId="8" w15:restartNumberingAfterBreak="0">
    <w:nsid w:val="38E314D2"/>
    <w:multiLevelType w:val="hybridMultilevel"/>
    <w:tmpl w:val="EA3EFDD4"/>
    <w:lvl w:ilvl="0" w:tplc="4252CA44">
      <w:start w:val="1"/>
      <w:numFmt w:val="lowerLetter"/>
      <w:lvlText w:val="(%1)"/>
      <w:lvlJc w:val="left"/>
      <w:pPr>
        <w:ind w:left="839" w:hanging="360"/>
        <w:jc w:val="left"/>
      </w:pPr>
      <w:rPr>
        <w:rFonts w:ascii="Times New Roman" w:eastAsia="Times New Roman" w:hAnsi="Times New Roman" w:cs="Times New Roman" w:hint="default"/>
        <w:w w:val="99"/>
        <w:sz w:val="20"/>
        <w:szCs w:val="20"/>
        <w:lang w:val="en-US" w:eastAsia="en-US" w:bidi="ar-SA"/>
      </w:rPr>
    </w:lvl>
    <w:lvl w:ilvl="1" w:tplc="4F528336">
      <w:numFmt w:val="bullet"/>
      <w:lvlText w:val="•"/>
      <w:lvlJc w:val="left"/>
      <w:pPr>
        <w:ind w:left="1716" w:hanging="360"/>
      </w:pPr>
      <w:rPr>
        <w:rFonts w:hint="default"/>
        <w:lang w:val="en-US" w:eastAsia="en-US" w:bidi="ar-SA"/>
      </w:rPr>
    </w:lvl>
    <w:lvl w:ilvl="2" w:tplc="1DC44DFE">
      <w:numFmt w:val="bullet"/>
      <w:lvlText w:val="•"/>
      <w:lvlJc w:val="left"/>
      <w:pPr>
        <w:ind w:left="2593" w:hanging="360"/>
      </w:pPr>
      <w:rPr>
        <w:rFonts w:hint="default"/>
        <w:lang w:val="en-US" w:eastAsia="en-US" w:bidi="ar-SA"/>
      </w:rPr>
    </w:lvl>
    <w:lvl w:ilvl="3" w:tplc="9B383BA2">
      <w:numFmt w:val="bullet"/>
      <w:lvlText w:val="•"/>
      <w:lvlJc w:val="left"/>
      <w:pPr>
        <w:ind w:left="3469" w:hanging="360"/>
      </w:pPr>
      <w:rPr>
        <w:rFonts w:hint="default"/>
        <w:lang w:val="en-US" w:eastAsia="en-US" w:bidi="ar-SA"/>
      </w:rPr>
    </w:lvl>
    <w:lvl w:ilvl="4" w:tplc="1910F436">
      <w:numFmt w:val="bullet"/>
      <w:lvlText w:val="•"/>
      <w:lvlJc w:val="left"/>
      <w:pPr>
        <w:ind w:left="4346" w:hanging="360"/>
      </w:pPr>
      <w:rPr>
        <w:rFonts w:hint="default"/>
        <w:lang w:val="en-US" w:eastAsia="en-US" w:bidi="ar-SA"/>
      </w:rPr>
    </w:lvl>
    <w:lvl w:ilvl="5" w:tplc="6AB297FC">
      <w:numFmt w:val="bullet"/>
      <w:lvlText w:val="•"/>
      <w:lvlJc w:val="left"/>
      <w:pPr>
        <w:ind w:left="5223" w:hanging="360"/>
      </w:pPr>
      <w:rPr>
        <w:rFonts w:hint="default"/>
        <w:lang w:val="en-US" w:eastAsia="en-US" w:bidi="ar-SA"/>
      </w:rPr>
    </w:lvl>
    <w:lvl w:ilvl="6" w:tplc="4B763C1E">
      <w:numFmt w:val="bullet"/>
      <w:lvlText w:val="•"/>
      <w:lvlJc w:val="left"/>
      <w:pPr>
        <w:ind w:left="6099" w:hanging="360"/>
      </w:pPr>
      <w:rPr>
        <w:rFonts w:hint="default"/>
        <w:lang w:val="en-US" w:eastAsia="en-US" w:bidi="ar-SA"/>
      </w:rPr>
    </w:lvl>
    <w:lvl w:ilvl="7" w:tplc="BB228A70">
      <w:numFmt w:val="bullet"/>
      <w:lvlText w:val="•"/>
      <w:lvlJc w:val="left"/>
      <w:pPr>
        <w:ind w:left="6976" w:hanging="360"/>
      </w:pPr>
      <w:rPr>
        <w:rFonts w:hint="default"/>
        <w:lang w:val="en-US" w:eastAsia="en-US" w:bidi="ar-SA"/>
      </w:rPr>
    </w:lvl>
    <w:lvl w:ilvl="8" w:tplc="7714CD7C">
      <w:numFmt w:val="bullet"/>
      <w:lvlText w:val="•"/>
      <w:lvlJc w:val="left"/>
      <w:pPr>
        <w:ind w:left="7853" w:hanging="360"/>
      </w:pPr>
      <w:rPr>
        <w:rFonts w:hint="default"/>
        <w:lang w:val="en-US" w:eastAsia="en-US" w:bidi="ar-SA"/>
      </w:rPr>
    </w:lvl>
  </w:abstractNum>
  <w:abstractNum w:abstractNumId="9" w15:restartNumberingAfterBreak="0">
    <w:nsid w:val="3A632A8B"/>
    <w:multiLevelType w:val="hybridMultilevel"/>
    <w:tmpl w:val="A40CF0FC"/>
    <w:lvl w:ilvl="0" w:tplc="F2FC648A">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3D18048A"/>
    <w:multiLevelType w:val="hybridMultilevel"/>
    <w:tmpl w:val="1642268C"/>
    <w:name w:val="HeadingTemplate222"/>
    <w:lvl w:ilvl="0" w:tplc="309A0324">
      <w:start w:val="1"/>
      <w:numFmt w:val="decimal"/>
      <w:pStyle w:val="Referencelist"/>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5117250B"/>
    <w:multiLevelType w:val="multilevel"/>
    <w:tmpl w:val="CC8CC4DE"/>
    <w:name w:val="MultilevelTemplate"/>
    <w:lvl w:ilvl="0">
      <w:start w:val="1"/>
      <w:numFmt w:val="decimal"/>
      <w:lvlRestart w:val="0"/>
      <w:pStyle w:val="BodyTextMultiline"/>
      <w:lvlText w:val="%1."/>
      <w:lvlJc w:val="left"/>
      <w:pPr>
        <w:tabs>
          <w:tab w:val="num" w:pos="459"/>
        </w:tabs>
        <w:ind w:left="0" w:firstLine="0"/>
      </w:pPr>
    </w:lvl>
    <w:lvl w:ilvl="1">
      <w:start w:val="1"/>
      <w:numFmt w:val="decimal"/>
      <w:lvlText w:val="%1.%2."/>
      <w:lvlJc w:val="left"/>
      <w:pPr>
        <w:tabs>
          <w:tab w:val="num" w:pos="918"/>
        </w:tabs>
        <w:ind w:left="459" w:firstLine="0"/>
      </w:pPr>
    </w:lvl>
    <w:lvl w:ilvl="2">
      <w:start w:val="1"/>
      <w:numFmt w:val="decimal"/>
      <w:lvlText w:val="%1.%2.%3."/>
      <w:lvlJc w:val="left"/>
      <w:pPr>
        <w:tabs>
          <w:tab w:val="num" w:pos="1378"/>
        </w:tabs>
        <w:ind w:left="918" w:firstLine="0"/>
      </w:pPr>
    </w:lvl>
    <w:lvl w:ilvl="3">
      <w:start w:val="1"/>
      <w:numFmt w:val="decimal"/>
      <w:lvlText w:val="%1.%2.%3.%4."/>
      <w:lvlJc w:val="left"/>
      <w:pPr>
        <w:tabs>
          <w:tab w:val="num" w:pos="1837"/>
        </w:tabs>
        <w:ind w:left="1378" w:firstLine="0"/>
      </w:pPr>
    </w:lvl>
    <w:lvl w:ilvl="4">
      <w:start w:val="1"/>
      <w:numFmt w:val="decimal"/>
      <w:lvlText w:val="%1.%2.%3.%4.%5."/>
      <w:lvlJc w:val="left"/>
      <w:pPr>
        <w:tabs>
          <w:tab w:val="num" w:pos="2517"/>
        </w:tabs>
        <w:ind w:left="2234" w:hanging="794"/>
      </w:pPr>
    </w:lvl>
    <w:lvl w:ilvl="5">
      <w:start w:val="1"/>
      <w:numFmt w:val="decimal"/>
      <w:lvlText w:val="%1.%2.%3.%4.%5.%6."/>
      <w:lvlJc w:val="left"/>
      <w:pPr>
        <w:tabs>
          <w:tab w:val="num" w:pos="2880"/>
        </w:tabs>
        <w:ind w:left="2738" w:hanging="941"/>
      </w:pPr>
    </w:lvl>
    <w:lvl w:ilvl="6">
      <w:start w:val="1"/>
      <w:numFmt w:val="decimal"/>
      <w:lvlText w:val="%1.%2.%3.%4.%5.%6.%7."/>
      <w:lvlJc w:val="left"/>
      <w:pPr>
        <w:tabs>
          <w:tab w:val="num" w:pos="3600"/>
        </w:tabs>
        <w:ind w:left="3237" w:hanging="1077"/>
      </w:pPr>
    </w:lvl>
    <w:lvl w:ilvl="7">
      <w:start w:val="1"/>
      <w:numFmt w:val="decimal"/>
      <w:lvlText w:val="%1.%2.%3.%4.%5.%6.%7.%8."/>
      <w:lvlJc w:val="left"/>
      <w:pPr>
        <w:tabs>
          <w:tab w:val="num" w:pos="3957"/>
        </w:tabs>
        <w:ind w:left="3742" w:hanging="1225"/>
      </w:pPr>
    </w:lvl>
    <w:lvl w:ilvl="8">
      <w:start w:val="1"/>
      <w:numFmt w:val="decimal"/>
      <w:lvlText w:val="%1.%2.%3.%4.%5.%6.%7.%8.%9."/>
      <w:lvlJc w:val="left"/>
      <w:pPr>
        <w:tabs>
          <w:tab w:val="num" w:pos="4677"/>
        </w:tabs>
        <w:ind w:left="4320" w:hanging="1440"/>
      </w:pPr>
    </w:lvl>
  </w:abstractNum>
  <w:abstractNum w:abstractNumId="12" w15:restartNumberingAfterBreak="0">
    <w:nsid w:val="59EA217A"/>
    <w:multiLevelType w:val="hybridMultilevel"/>
    <w:tmpl w:val="7DCEBCBE"/>
    <w:lvl w:ilvl="0" w:tplc="C1DCCBEE">
      <w:start w:val="1"/>
      <w:numFmt w:val="bullet"/>
      <w:lvlText w:val="-"/>
      <w:lvlJc w:val="left"/>
      <w:pPr>
        <w:tabs>
          <w:tab w:val="num" w:pos="919"/>
        </w:tabs>
        <w:ind w:left="919" w:hanging="460"/>
      </w:pPr>
      <w:rPr>
        <w:rFonts w:ascii="Times New Roman" w:hAnsi="Times New Roman" w:cs="Times New Roman" w:hint="default"/>
        <w:b w:val="0"/>
        <w:i w:val="0"/>
        <w:caps w:val="0"/>
        <w:strike w:val="0"/>
        <w:dstrike w:val="0"/>
        <w:vanish w:val="0"/>
        <w:color w:val="000000"/>
        <w:sz w:val="24"/>
        <w:vertAlign w:val="baseline"/>
        <w14:shadow w14:blurRad="0" w14:dist="0" w14:dir="0" w14:sx="0" w14:sy="0" w14:kx="0" w14:ky="0" w14:algn="none">
          <w14:srgbClr w14:val="000000"/>
        </w14:shadow>
        <w14:textOutline w14:w="0" w14:cap="rnd" w14:cmpd="sng" w14:algn="ctr">
          <w14:noFill/>
          <w14:prstDash w14:val="solid"/>
          <w14:bevel/>
        </w14:textOutline>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6E8252C9"/>
    <w:multiLevelType w:val="hybridMultilevel"/>
    <w:tmpl w:val="B43A93BA"/>
    <w:lvl w:ilvl="0" w:tplc="CFBE2F44">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6FCD5959"/>
    <w:multiLevelType w:val="hybridMultilevel"/>
    <w:tmpl w:val="E176EF96"/>
    <w:lvl w:ilvl="0" w:tplc="1EB0B54E">
      <w:start w:val="1"/>
      <w:numFmt w:val="lowerLetter"/>
      <w:lvlText w:val="(%1)"/>
      <w:lvlJc w:val="left"/>
      <w:pPr>
        <w:ind w:left="72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5" w15:restartNumberingAfterBreak="0">
    <w:nsid w:val="6FD51093"/>
    <w:multiLevelType w:val="multilevel"/>
    <w:tmpl w:val="6E0C1C94"/>
    <w:name w:val="HeadingTemplate"/>
    <w:lvl w:ilvl="0">
      <w:start w:val="1"/>
      <w:numFmt w:val="none"/>
      <w:lvlRestart w:val="0"/>
      <w:lvlText w:val=""/>
      <w:lvlJc w:val="left"/>
      <w:pPr>
        <w:tabs>
          <w:tab w:val="num" w:pos="459"/>
        </w:tabs>
        <w:ind w:left="0" w:firstLine="0"/>
      </w:pPr>
      <w:rPr>
        <w:rFonts w:hint="default"/>
      </w:rPr>
    </w:lvl>
    <w:lvl w:ilvl="1">
      <w:start w:val="1"/>
      <w:numFmt w:val="decimal"/>
      <w:lvlRestart w:val="0"/>
      <w:pStyle w:val="Heading2"/>
      <w:suff w:val="space"/>
      <w:lvlText w:val="%1%2."/>
      <w:lvlJc w:val="left"/>
      <w:pPr>
        <w:ind w:left="0" w:firstLine="0"/>
      </w:pPr>
      <w:rPr>
        <w:rFonts w:hint="default"/>
        <w:b w:val="0"/>
        <w:bCs/>
        <w:color w:val="auto"/>
      </w:rPr>
    </w:lvl>
    <w:lvl w:ilvl="2">
      <w:start w:val="1"/>
      <w:numFmt w:val="decimal"/>
      <w:lvlRestart w:val="0"/>
      <w:pStyle w:val="Heading3"/>
      <w:lvlText w:val="%1%2.%3."/>
      <w:lvlJc w:val="left"/>
      <w:pPr>
        <w:ind w:left="810" w:firstLine="0"/>
      </w:pPr>
      <w:rPr>
        <w:rFonts w:hint="default"/>
      </w:rPr>
    </w:lvl>
    <w:lvl w:ilvl="3">
      <w:start w:val="1"/>
      <w:numFmt w:val="decimal"/>
      <w:lvlRestart w:val="0"/>
      <w:pStyle w:val="Heading4"/>
      <w:lvlText w:val="%2.%3.%4."/>
      <w:lvlJc w:val="left"/>
      <w:pPr>
        <w:ind w:left="1701" w:firstLine="0"/>
      </w:pPr>
      <w:rPr>
        <w:rFonts w:hint="default"/>
      </w:rPr>
    </w:lvl>
    <w:lvl w:ilvl="4">
      <w:start w:val="1"/>
      <w:numFmt w:val="lowerLetter"/>
      <w:lvlRestart w:val="0"/>
      <w:lvlText w:val="%1(%5)"/>
      <w:lvlJc w:val="left"/>
      <w:pPr>
        <w:tabs>
          <w:tab w:val="num" w:pos="3345"/>
        </w:tabs>
        <w:ind w:left="2268" w:firstLine="0"/>
      </w:pPr>
      <w:rPr>
        <w:rFonts w:hint="default"/>
        <w:sz w:val="20"/>
      </w:rPr>
    </w:lvl>
    <w:lvl w:ilvl="5">
      <w:start w:val="1"/>
      <w:numFmt w:val="decimal"/>
      <w:lvlText w:val="%1.%2.%3.%4.%5.%6"/>
      <w:lvlJc w:val="left"/>
      <w:pPr>
        <w:tabs>
          <w:tab w:val="num" w:pos="3912"/>
        </w:tabs>
        <w:ind w:left="2835" w:firstLine="0"/>
      </w:pPr>
      <w:rPr>
        <w:rFonts w:hint="default"/>
      </w:rPr>
    </w:lvl>
    <w:lvl w:ilvl="6">
      <w:start w:val="1"/>
      <w:numFmt w:val="decimal"/>
      <w:lvlText w:val="%1.%2.%3.%4.%5.%6.%7"/>
      <w:lvlJc w:val="left"/>
      <w:pPr>
        <w:tabs>
          <w:tab w:val="num" w:pos="2432"/>
        </w:tabs>
        <w:ind w:left="2432" w:hanging="1298"/>
      </w:pPr>
      <w:rPr>
        <w:rFonts w:hint="default"/>
      </w:rPr>
    </w:lvl>
    <w:lvl w:ilvl="7">
      <w:start w:val="1"/>
      <w:numFmt w:val="decimal"/>
      <w:lvlText w:val="%1.%2.%3.%4.%5.%6.%7.%8"/>
      <w:lvlJc w:val="left"/>
      <w:pPr>
        <w:tabs>
          <w:tab w:val="num" w:pos="2574"/>
        </w:tabs>
        <w:ind w:left="2574" w:hanging="1440"/>
      </w:pPr>
      <w:rPr>
        <w:rFonts w:hint="default"/>
      </w:rPr>
    </w:lvl>
    <w:lvl w:ilvl="8">
      <w:start w:val="1"/>
      <w:numFmt w:val="decimal"/>
      <w:lvlText w:val="%1.%2.%3.%4.%5.%6.%7.%8.%9"/>
      <w:lvlJc w:val="left"/>
      <w:pPr>
        <w:tabs>
          <w:tab w:val="num" w:pos="2716"/>
        </w:tabs>
        <w:ind w:left="2716" w:hanging="1582"/>
      </w:pPr>
      <w:rPr>
        <w:rFonts w:hint="default"/>
      </w:rPr>
    </w:lvl>
  </w:abstractNum>
  <w:abstractNum w:abstractNumId="16" w15:restartNumberingAfterBreak="0">
    <w:nsid w:val="7665634F"/>
    <w:multiLevelType w:val="hybridMultilevel"/>
    <w:tmpl w:val="34482B46"/>
    <w:lvl w:ilvl="0" w:tplc="4A587E7C">
      <w:start w:val="1"/>
      <w:numFmt w:val="decimal"/>
      <w:lvlText w:val="%1."/>
      <w:lvlJc w:val="left"/>
      <w:pPr>
        <w:tabs>
          <w:tab w:val="num" w:pos="919"/>
        </w:tabs>
        <w:ind w:left="919" w:hanging="460"/>
      </w:pPr>
      <w:rPr>
        <w:rFonts w:ascii="Times New Roman" w:hAnsi="Times New Roman" w:hint="default"/>
        <w:b w:val="0"/>
        <w:i w:val="0"/>
        <w:caps w:val="0"/>
        <w:strike w:val="0"/>
        <w:dstrike w:val="0"/>
        <w:vanish w:val="0"/>
        <w:color w:val="000000"/>
        <w:sz w:val="22"/>
        <w:vertAlign w:val="baseline"/>
        <w14:shadow w14:blurRad="0" w14:dist="0" w14:dir="0" w14:sx="0" w14:sy="0" w14:kx="0" w14:ky="0" w14:algn="none">
          <w14:srgbClr w14:val="000000"/>
        </w14:shadow>
        <w14:textOutline w14:w="0" w14:cap="rnd" w14:cmpd="sng" w14:algn="ctr">
          <w14:noFill/>
          <w14:prstDash w14:val="solid"/>
          <w14:bevel/>
        </w14:textOutline>
      </w:r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17" w15:restartNumberingAfterBreak="0">
    <w:nsid w:val="7A514C46"/>
    <w:multiLevelType w:val="hybridMultilevel"/>
    <w:tmpl w:val="A10A8E06"/>
    <w:lvl w:ilvl="0" w:tplc="FA10F7F6">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7E217D0D"/>
    <w:multiLevelType w:val="hybridMultilevel"/>
    <w:tmpl w:val="7AAEE6C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1"/>
  </w:num>
  <w:num w:numId="2">
    <w:abstractNumId w:val="6"/>
  </w:num>
  <w:num w:numId="3">
    <w:abstractNumId w:val="15"/>
  </w:num>
  <w:num w:numId="4">
    <w:abstractNumId w:val="15"/>
  </w:num>
  <w:num w:numId="5">
    <w:abstractNumId w:val="15"/>
  </w:num>
  <w:num w:numId="6">
    <w:abstractNumId w:val="7"/>
  </w:num>
  <w:num w:numId="7">
    <w:abstractNumId w:val="12"/>
  </w:num>
  <w:num w:numId="8">
    <w:abstractNumId w:val="16"/>
  </w:num>
  <w:num w:numId="9">
    <w:abstractNumId w:val="2"/>
  </w:num>
  <w:num w:numId="10">
    <w:abstractNumId w:val="15"/>
    <w:lvlOverride w:ilvl="0">
      <w:lvl w:ilvl="0">
        <w:start w:val="1"/>
        <w:numFmt w:val="none"/>
        <w:lvlRestart w:val="0"/>
        <w:lvlText w:val=""/>
        <w:lvlJc w:val="left"/>
        <w:pPr>
          <w:tabs>
            <w:tab w:val="num" w:pos="459"/>
          </w:tabs>
          <w:ind w:left="0" w:firstLine="0"/>
        </w:pPr>
        <w:rPr>
          <w:rFonts w:hint="default"/>
        </w:rPr>
      </w:lvl>
    </w:lvlOverride>
    <w:lvlOverride w:ilvl="1">
      <w:lvl w:ilvl="1">
        <w:start w:val="1"/>
        <w:numFmt w:val="decimal"/>
        <w:lvlRestart w:val="0"/>
        <w:pStyle w:val="Heading2"/>
        <w:lvlText w:val="%1%2."/>
        <w:lvlJc w:val="left"/>
        <w:pPr>
          <w:ind w:left="0" w:firstLine="0"/>
        </w:pPr>
        <w:rPr>
          <w:rFonts w:hint="default"/>
          <w:color w:val="auto"/>
        </w:rPr>
      </w:lvl>
    </w:lvlOverride>
    <w:lvlOverride w:ilvl="2">
      <w:lvl w:ilvl="2">
        <w:start w:val="1"/>
        <w:numFmt w:val="decimal"/>
        <w:lvlRestart w:val="0"/>
        <w:pStyle w:val="Heading3"/>
        <w:lvlText w:val="%1%2.%3."/>
        <w:lvlJc w:val="left"/>
        <w:pPr>
          <w:ind w:left="0" w:firstLine="0"/>
        </w:pPr>
        <w:rPr>
          <w:rFonts w:hint="default"/>
        </w:rPr>
      </w:lvl>
    </w:lvlOverride>
    <w:lvlOverride w:ilvl="3">
      <w:lvl w:ilvl="3">
        <w:start w:val="1"/>
        <w:numFmt w:val="none"/>
        <w:lvlRestart w:val="0"/>
        <w:pStyle w:val="Heading4"/>
        <w:lvlText w:val=""/>
        <w:lvlJc w:val="left"/>
        <w:pPr>
          <w:tabs>
            <w:tab w:val="num" w:pos="2058"/>
          </w:tabs>
          <w:ind w:left="1701" w:firstLine="0"/>
        </w:pPr>
        <w:rPr>
          <w:rFonts w:hint="default"/>
        </w:rPr>
      </w:lvl>
    </w:lvlOverride>
    <w:lvlOverride w:ilvl="4">
      <w:lvl w:ilvl="4">
        <w:start w:val="1"/>
        <w:numFmt w:val="lowerLetter"/>
        <w:lvlRestart w:val="0"/>
        <w:lvlText w:val="%1(%5)"/>
        <w:lvlJc w:val="left"/>
        <w:pPr>
          <w:tabs>
            <w:tab w:val="num" w:pos="3345"/>
          </w:tabs>
          <w:ind w:left="2268" w:firstLine="0"/>
        </w:pPr>
        <w:rPr>
          <w:rFonts w:hint="default"/>
          <w:sz w:val="20"/>
        </w:rPr>
      </w:lvl>
    </w:lvlOverride>
    <w:lvlOverride w:ilvl="5">
      <w:lvl w:ilvl="5">
        <w:start w:val="1"/>
        <w:numFmt w:val="decimal"/>
        <w:lvlText w:val="%1.%2.%3.%4.%5.%6"/>
        <w:lvlJc w:val="left"/>
        <w:pPr>
          <w:tabs>
            <w:tab w:val="num" w:pos="3912"/>
          </w:tabs>
          <w:ind w:left="2835" w:firstLine="0"/>
        </w:pPr>
        <w:rPr>
          <w:rFonts w:hint="default"/>
        </w:rPr>
      </w:lvl>
    </w:lvlOverride>
    <w:lvlOverride w:ilvl="6">
      <w:lvl w:ilvl="6">
        <w:start w:val="1"/>
        <w:numFmt w:val="decimal"/>
        <w:lvlText w:val="%1.%2.%3.%4.%5.%6.%7"/>
        <w:lvlJc w:val="left"/>
        <w:pPr>
          <w:tabs>
            <w:tab w:val="num" w:pos="2432"/>
          </w:tabs>
          <w:ind w:left="2432" w:hanging="1298"/>
        </w:pPr>
        <w:rPr>
          <w:rFonts w:hint="default"/>
        </w:rPr>
      </w:lvl>
    </w:lvlOverride>
    <w:lvlOverride w:ilvl="7">
      <w:lvl w:ilvl="7">
        <w:start w:val="1"/>
        <w:numFmt w:val="decimal"/>
        <w:lvlText w:val="%1.%2.%3.%4.%5.%6.%7.%8"/>
        <w:lvlJc w:val="left"/>
        <w:pPr>
          <w:tabs>
            <w:tab w:val="num" w:pos="2574"/>
          </w:tabs>
          <w:ind w:left="2574" w:hanging="1440"/>
        </w:pPr>
        <w:rPr>
          <w:rFonts w:hint="default"/>
        </w:rPr>
      </w:lvl>
    </w:lvlOverride>
    <w:lvlOverride w:ilvl="8">
      <w:lvl w:ilvl="8">
        <w:start w:val="1"/>
        <w:numFmt w:val="decimal"/>
        <w:lvlText w:val="%1.%2.%3.%4.%5.%6.%7.%8.%9"/>
        <w:lvlJc w:val="left"/>
        <w:pPr>
          <w:tabs>
            <w:tab w:val="num" w:pos="2716"/>
          </w:tabs>
          <w:ind w:left="2716" w:hanging="1582"/>
        </w:pPr>
        <w:rPr>
          <w:rFonts w:hint="default"/>
        </w:rPr>
      </w:lvl>
    </w:lvlOverride>
  </w:num>
  <w:num w:numId="11">
    <w:abstractNumId w:val="15"/>
  </w:num>
  <w:num w:numId="12">
    <w:abstractNumId w:val="15"/>
  </w:num>
  <w:num w:numId="13">
    <w:abstractNumId w:val="15"/>
  </w:num>
  <w:num w:numId="14">
    <w:abstractNumId w:val="15"/>
    <w:lvlOverride w:ilvl="0">
      <w:lvl w:ilvl="0">
        <w:start w:val="1"/>
        <w:numFmt w:val="none"/>
        <w:lvlRestart w:val="0"/>
        <w:lvlText w:val=""/>
        <w:lvlJc w:val="left"/>
        <w:pPr>
          <w:tabs>
            <w:tab w:val="num" w:pos="459"/>
          </w:tabs>
          <w:ind w:left="0" w:firstLine="0"/>
        </w:pPr>
        <w:rPr>
          <w:rFonts w:hint="default"/>
        </w:rPr>
      </w:lvl>
    </w:lvlOverride>
    <w:lvlOverride w:ilvl="1">
      <w:lvl w:ilvl="1">
        <w:start w:val="1"/>
        <w:numFmt w:val="decimal"/>
        <w:lvlRestart w:val="0"/>
        <w:pStyle w:val="Heading2"/>
        <w:suff w:val="space"/>
        <w:lvlText w:val="%1%2."/>
        <w:lvlJc w:val="left"/>
        <w:pPr>
          <w:ind w:left="0" w:firstLine="0"/>
        </w:pPr>
        <w:rPr>
          <w:rFonts w:hint="default"/>
          <w:color w:val="auto"/>
        </w:rPr>
      </w:lvl>
    </w:lvlOverride>
    <w:lvlOverride w:ilvl="2">
      <w:lvl w:ilvl="2">
        <w:start w:val="1"/>
        <w:numFmt w:val="decimal"/>
        <w:lvlRestart w:val="0"/>
        <w:pStyle w:val="Heading3"/>
        <w:suff w:val="space"/>
        <w:lvlText w:val="%1%2.%3."/>
        <w:lvlJc w:val="left"/>
        <w:pPr>
          <w:ind w:left="0" w:firstLine="0"/>
        </w:pPr>
        <w:rPr>
          <w:rFonts w:hint="default"/>
        </w:rPr>
      </w:lvl>
    </w:lvlOverride>
    <w:lvlOverride w:ilvl="3">
      <w:lvl w:ilvl="3">
        <w:start w:val="1"/>
        <w:numFmt w:val="decimal"/>
        <w:lvlRestart w:val="0"/>
        <w:pStyle w:val="Heading4"/>
        <w:lvlText w:val="%2.%3.%4"/>
        <w:lvlJc w:val="left"/>
        <w:pPr>
          <w:tabs>
            <w:tab w:val="num" w:pos="2058"/>
          </w:tabs>
          <w:ind w:left="1701" w:firstLine="0"/>
        </w:pPr>
        <w:rPr>
          <w:rFonts w:hint="default"/>
        </w:rPr>
      </w:lvl>
    </w:lvlOverride>
    <w:lvlOverride w:ilvl="4">
      <w:lvl w:ilvl="4">
        <w:start w:val="1"/>
        <w:numFmt w:val="lowerLetter"/>
        <w:lvlRestart w:val="0"/>
        <w:lvlText w:val="%1(%5)"/>
        <w:lvlJc w:val="left"/>
        <w:pPr>
          <w:tabs>
            <w:tab w:val="num" w:pos="3345"/>
          </w:tabs>
          <w:ind w:left="2268" w:firstLine="0"/>
        </w:pPr>
        <w:rPr>
          <w:rFonts w:hint="default"/>
          <w:sz w:val="20"/>
        </w:rPr>
      </w:lvl>
    </w:lvlOverride>
    <w:lvlOverride w:ilvl="5">
      <w:lvl w:ilvl="5">
        <w:start w:val="1"/>
        <w:numFmt w:val="decimal"/>
        <w:lvlText w:val="%1.%2.%3.%4.%5.%6"/>
        <w:lvlJc w:val="left"/>
        <w:pPr>
          <w:tabs>
            <w:tab w:val="num" w:pos="3912"/>
          </w:tabs>
          <w:ind w:left="2835" w:firstLine="0"/>
        </w:pPr>
        <w:rPr>
          <w:rFonts w:hint="default"/>
        </w:rPr>
      </w:lvl>
    </w:lvlOverride>
    <w:lvlOverride w:ilvl="6">
      <w:lvl w:ilvl="6">
        <w:start w:val="1"/>
        <w:numFmt w:val="decimal"/>
        <w:lvlText w:val="%1.%2.%3.%4.%5.%6.%7"/>
        <w:lvlJc w:val="left"/>
        <w:pPr>
          <w:tabs>
            <w:tab w:val="num" w:pos="2432"/>
          </w:tabs>
          <w:ind w:left="2432" w:hanging="1298"/>
        </w:pPr>
        <w:rPr>
          <w:rFonts w:hint="default"/>
        </w:rPr>
      </w:lvl>
    </w:lvlOverride>
    <w:lvlOverride w:ilvl="7">
      <w:lvl w:ilvl="7">
        <w:start w:val="1"/>
        <w:numFmt w:val="decimal"/>
        <w:lvlText w:val="%1.%2.%3.%4.%5.%6.%7.%8"/>
        <w:lvlJc w:val="left"/>
        <w:pPr>
          <w:tabs>
            <w:tab w:val="num" w:pos="2574"/>
          </w:tabs>
          <w:ind w:left="2574" w:hanging="1440"/>
        </w:pPr>
        <w:rPr>
          <w:rFonts w:hint="default"/>
        </w:rPr>
      </w:lvl>
    </w:lvlOverride>
    <w:lvlOverride w:ilvl="8">
      <w:lvl w:ilvl="8">
        <w:start w:val="1"/>
        <w:numFmt w:val="decimal"/>
        <w:lvlText w:val="%1.%2.%3.%4.%5.%6.%7.%8.%9"/>
        <w:lvlJc w:val="left"/>
        <w:pPr>
          <w:tabs>
            <w:tab w:val="num" w:pos="2716"/>
          </w:tabs>
          <w:ind w:left="2716" w:hanging="1582"/>
        </w:pPr>
        <w:rPr>
          <w:rFonts w:hint="default"/>
        </w:rPr>
      </w:lvl>
    </w:lvlOverride>
  </w:num>
  <w:num w:numId="15">
    <w:abstractNumId w:val="15"/>
  </w:num>
  <w:num w:numId="16">
    <w:abstractNumId w:val="15"/>
  </w:num>
  <w:num w:numId="17">
    <w:abstractNumId w:val="15"/>
  </w:num>
  <w:num w:numId="18">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15"/>
  </w:num>
  <w:num w:numId="20">
    <w:abstractNumId w:val="3"/>
  </w:num>
  <w:num w:numId="21">
    <w:abstractNumId w:val="15"/>
  </w:num>
  <w:num w:numId="22">
    <w:abstractNumId w:val="5"/>
  </w:num>
  <w:num w:numId="23">
    <w:abstractNumId w:val="1"/>
  </w:num>
  <w:num w:numId="24">
    <w:abstractNumId w:val="13"/>
  </w:num>
  <w:num w:numId="25">
    <w:abstractNumId w:val="15"/>
  </w:num>
  <w:num w:numId="26">
    <w:abstractNumId w:val="15"/>
  </w:num>
  <w:num w:numId="27">
    <w:abstractNumId w:val="15"/>
  </w:num>
  <w:num w:numId="28">
    <w:abstractNumId w:val="15"/>
  </w:num>
  <w:num w:numId="29">
    <w:abstractNumId w:val="15"/>
  </w:num>
  <w:num w:numId="30">
    <w:abstractNumId w:val="10"/>
  </w:num>
  <w:num w:numId="31">
    <w:abstractNumId w:val="10"/>
  </w:num>
  <w:num w:numId="32">
    <w:abstractNumId w:val="15"/>
  </w:num>
  <w:num w:numId="33">
    <w:abstractNumId w:val="0"/>
  </w:num>
  <w:num w:numId="34">
    <w:abstractNumId w:val="14"/>
  </w:num>
  <w:num w:numId="35">
    <w:abstractNumId w:val="15"/>
  </w:num>
  <w:num w:numId="36">
    <w:abstractNumId w:val="4"/>
  </w:num>
  <w:num w:numId="37">
    <w:abstractNumId w:val="8"/>
  </w:num>
  <w:num w:numId="38">
    <w:abstractNumId w:val="9"/>
  </w:num>
  <w:num w:numId="39">
    <w:abstractNumId w:val="17"/>
  </w:num>
  <w:num w:numId="40">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80"/>
  <w:activeWritingStyle w:appName="MSWord" w:lang="en-GB" w:vendorID="64" w:dllVersion="5" w:nlCheck="1" w:checkStyle="1"/>
  <w:activeWritingStyle w:appName="MSWord" w:lang="en-US" w:vendorID="64" w:dllVersion="5" w:nlCheck="1" w:checkStyle="1"/>
  <w:activeWritingStyle w:appName="MSWord" w:lang="en-GB" w:vendorID="64" w:dllVersion="6" w:nlCheck="1" w:checkStyle="1"/>
  <w:activeWritingStyle w:appName="MSWord" w:lang="en-US" w:vendorID="64" w:dllVersion="6" w:nlCheck="1" w:checkStyle="1"/>
  <w:activeWritingStyle w:appName="MSWord" w:lang="en-US" w:vendorID="64" w:dllVersion="0" w:nlCheck="1" w:checkStyle="0"/>
  <w:activeWritingStyle w:appName="MSWord" w:lang="en-GB" w:vendorID="64" w:dllVersion="0" w:nlCheck="1" w:checkStyle="0"/>
  <w:activeWritingStyle w:appName="MSWord" w:lang="es-ES" w:vendorID="64" w:dllVersion="0" w:nlCheck="1" w:checkStyle="0"/>
  <w:activeWritingStyle w:appName="MSWord" w:lang="es-ES" w:vendorID="64" w:dllVersion="6" w:nlCheck="1" w:checkStyle="0"/>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567"/>
  <w:evenAndOddHeaders/>
  <w:drawingGridHorizontalSpacing w:val="120"/>
  <w:drawingGridVerticalSpacing w:val="120"/>
  <w:displayVerticalDrawingGridEvery w:val="0"/>
  <w:doNotUseMarginsForDrawingGridOrigin/>
  <w:noPunctuationKerning/>
  <w:characterSpacingControl w:val="doNotCompress"/>
  <w:hdrShapeDefaults>
    <o:shapedefaults v:ext="edit" spidmax="2050"/>
  </w:hdrShapeDefaults>
  <w:footnotePr>
    <w:footnote w:id="-1"/>
    <w:footnote w:id="0"/>
    <w:footnote w:id="1"/>
  </w:footnotePr>
  <w:endnotePr>
    <w:endnote w:id="-1"/>
    <w:endnote w:id="0"/>
  </w:endnotePr>
  <w:compat>
    <w:spaceForUL/>
    <w:balanceSingleByteDoubleByteWidth/>
    <w:doNotLeaveBackslashAlone/>
    <w:ulTrailSpace/>
    <w:doNotExpandShiftReturn/>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DLG_chkAction" w:val="0"/>
    <w:docVar w:name="DLG_chkApproval" w:val="-1"/>
    <w:docVar w:name="DLG_chkClearance" w:val="0"/>
    <w:docVar w:name="DLG_chkDiscuss" w:val="0"/>
    <w:docVar w:name="DLG_chkDraft" w:val="0"/>
    <w:docVar w:name="DLG_chkFiling" w:val="0"/>
    <w:docVar w:name="DLG_chkInformation" w:val="0"/>
    <w:docVar w:name="DLG_chkPassOn" w:val="0"/>
    <w:docVar w:name="DLG_chkRCS" w:val="0"/>
    <w:docVar w:name="DLG_chkRequest" w:val="0"/>
    <w:docVar w:name="DLG_chkReturn" w:val="0"/>
    <w:docVar w:name="DLG_chkSignature" w:val="0"/>
    <w:docVar w:name="DLG_txtSubject" w:val="Subject"/>
    <w:docVar w:name="SEC_Classification" w:val="None"/>
    <w:docVar w:name="SEC_ConfidentialAttachments" w:val="False"/>
  </w:docVars>
  <w:rsids>
    <w:rsidRoot w:val="00037321"/>
    <w:rsid w:val="000229AB"/>
    <w:rsid w:val="00024D87"/>
    <w:rsid w:val="0002569A"/>
    <w:rsid w:val="00037321"/>
    <w:rsid w:val="00070AAB"/>
    <w:rsid w:val="00093A64"/>
    <w:rsid w:val="000A0299"/>
    <w:rsid w:val="000A2990"/>
    <w:rsid w:val="000C4332"/>
    <w:rsid w:val="000D2A4E"/>
    <w:rsid w:val="000F7E94"/>
    <w:rsid w:val="001104EA"/>
    <w:rsid w:val="001119D6"/>
    <w:rsid w:val="001308F2"/>
    <w:rsid w:val="001313E8"/>
    <w:rsid w:val="00132A9B"/>
    <w:rsid w:val="00152588"/>
    <w:rsid w:val="00176F93"/>
    <w:rsid w:val="00183BC4"/>
    <w:rsid w:val="00191B91"/>
    <w:rsid w:val="001C58F5"/>
    <w:rsid w:val="001D5CEE"/>
    <w:rsid w:val="002071D9"/>
    <w:rsid w:val="0021276C"/>
    <w:rsid w:val="00230121"/>
    <w:rsid w:val="00234E67"/>
    <w:rsid w:val="00256822"/>
    <w:rsid w:val="00263339"/>
    <w:rsid w:val="0026525A"/>
    <w:rsid w:val="00274790"/>
    <w:rsid w:val="00285755"/>
    <w:rsid w:val="002A0C1F"/>
    <w:rsid w:val="002A1F9C"/>
    <w:rsid w:val="002B29C2"/>
    <w:rsid w:val="002C29DB"/>
    <w:rsid w:val="002C4208"/>
    <w:rsid w:val="00325843"/>
    <w:rsid w:val="00333231"/>
    <w:rsid w:val="00352DE1"/>
    <w:rsid w:val="0036108E"/>
    <w:rsid w:val="003728E6"/>
    <w:rsid w:val="003B5E0E"/>
    <w:rsid w:val="003D255A"/>
    <w:rsid w:val="003F554E"/>
    <w:rsid w:val="00403632"/>
    <w:rsid w:val="004056E8"/>
    <w:rsid w:val="00416949"/>
    <w:rsid w:val="004370D8"/>
    <w:rsid w:val="00472C43"/>
    <w:rsid w:val="00474A61"/>
    <w:rsid w:val="004A30EF"/>
    <w:rsid w:val="00537496"/>
    <w:rsid w:val="005418AB"/>
    <w:rsid w:val="00544ED3"/>
    <w:rsid w:val="005600E5"/>
    <w:rsid w:val="00580328"/>
    <w:rsid w:val="0058477B"/>
    <w:rsid w:val="0058654F"/>
    <w:rsid w:val="00587C5C"/>
    <w:rsid w:val="00596ACA"/>
    <w:rsid w:val="005B6591"/>
    <w:rsid w:val="005E39BC"/>
    <w:rsid w:val="005F00A0"/>
    <w:rsid w:val="005F6233"/>
    <w:rsid w:val="00647F33"/>
    <w:rsid w:val="0065403A"/>
    <w:rsid w:val="00662532"/>
    <w:rsid w:val="006B2274"/>
    <w:rsid w:val="006E4FB7"/>
    <w:rsid w:val="00717C6F"/>
    <w:rsid w:val="007412A6"/>
    <w:rsid w:val="007445DA"/>
    <w:rsid w:val="00747B25"/>
    <w:rsid w:val="007B4FD1"/>
    <w:rsid w:val="007C3228"/>
    <w:rsid w:val="007C5291"/>
    <w:rsid w:val="007F43FE"/>
    <w:rsid w:val="00802381"/>
    <w:rsid w:val="0083096A"/>
    <w:rsid w:val="00844845"/>
    <w:rsid w:val="008557A5"/>
    <w:rsid w:val="0086759F"/>
    <w:rsid w:val="00871F40"/>
    <w:rsid w:val="00883848"/>
    <w:rsid w:val="00885BCB"/>
    <w:rsid w:val="00897ED5"/>
    <w:rsid w:val="008B6BB9"/>
    <w:rsid w:val="008C367A"/>
    <w:rsid w:val="009004D1"/>
    <w:rsid w:val="00911543"/>
    <w:rsid w:val="00950B36"/>
    <w:rsid w:val="009519C9"/>
    <w:rsid w:val="00961D2F"/>
    <w:rsid w:val="00971E61"/>
    <w:rsid w:val="00990BE2"/>
    <w:rsid w:val="009C3490"/>
    <w:rsid w:val="009D0B86"/>
    <w:rsid w:val="009E0D5B"/>
    <w:rsid w:val="009E1558"/>
    <w:rsid w:val="00A10E32"/>
    <w:rsid w:val="00A233D1"/>
    <w:rsid w:val="00A34522"/>
    <w:rsid w:val="00A42898"/>
    <w:rsid w:val="00A458B8"/>
    <w:rsid w:val="00A52771"/>
    <w:rsid w:val="00A57919"/>
    <w:rsid w:val="00A86A29"/>
    <w:rsid w:val="00AB6ACE"/>
    <w:rsid w:val="00AC5A3A"/>
    <w:rsid w:val="00AE7523"/>
    <w:rsid w:val="00B11D70"/>
    <w:rsid w:val="00B21BF9"/>
    <w:rsid w:val="00B22254"/>
    <w:rsid w:val="00B604BE"/>
    <w:rsid w:val="00B642A8"/>
    <w:rsid w:val="00B82FA5"/>
    <w:rsid w:val="00B93638"/>
    <w:rsid w:val="00BD1400"/>
    <w:rsid w:val="00BD605C"/>
    <w:rsid w:val="00BE2A76"/>
    <w:rsid w:val="00C03852"/>
    <w:rsid w:val="00C11281"/>
    <w:rsid w:val="00C16B6D"/>
    <w:rsid w:val="00C61C52"/>
    <w:rsid w:val="00C65E60"/>
    <w:rsid w:val="00C668B8"/>
    <w:rsid w:val="00C851B2"/>
    <w:rsid w:val="00CA0102"/>
    <w:rsid w:val="00CE5A52"/>
    <w:rsid w:val="00CF7AF3"/>
    <w:rsid w:val="00D062AC"/>
    <w:rsid w:val="00D077D6"/>
    <w:rsid w:val="00D17B63"/>
    <w:rsid w:val="00D25248"/>
    <w:rsid w:val="00D26ADA"/>
    <w:rsid w:val="00D27619"/>
    <w:rsid w:val="00D318CF"/>
    <w:rsid w:val="00D33DFA"/>
    <w:rsid w:val="00D35A78"/>
    <w:rsid w:val="00D459ED"/>
    <w:rsid w:val="00D555A1"/>
    <w:rsid w:val="00D64DC2"/>
    <w:rsid w:val="00DA46CA"/>
    <w:rsid w:val="00DF21EB"/>
    <w:rsid w:val="00E20E70"/>
    <w:rsid w:val="00E25B68"/>
    <w:rsid w:val="00E40951"/>
    <w:rsid w:val="00E41AD3"/>
    <w:rsid w:val="00E728C1"/>
    <w:rsid w:val="00E84003"/>
    <w:rsid w:val="00EC10FC"/>
    <w:rsid w:val="00ED0A99"/>
    <w:rsid w:val="00EE0041"/>
    <w:rsid w:val="00EE29B9"/>
    <w:rsid w:val="00F004EE"/>
    <w:rsid w:val="00F04052"/>
    <w:rsid w:val="00F42E23"/>
    <w:rsid w:val="00F45EEE"/>
    <w:rsid w:val="00F51E9C"/>
    <w:rsid w:val="00F523CA"/>
    <w:rsid w:val="00F63023"/>
    <w:rsid w:val="00F74A9D"/>
    <w:rsid w:val="00F84629"/>
    <w:rsid w:val="00FF0D91"/>
    <w:rsid w:val="00FF386F"/>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13DCA155"/>
  <w15:docId w15:val="{11E613AA-FBCC-4207-88B2-F2EE58432C8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GB" w:eastAsia="en-GB" w:bidi="ar-SA"/>
      </w:rPr>
    </w:rPrDefault>
    <w:pPrDefault/>
  </w:docDefaults>
  <w:latentStyles w:defLockedState="1" w:defUIPriority="49" w:defSemiHidden="0" w:defUnhideWhenUsed="0" w:defQFormat="0" w:count="376">
    <w:lsdException w:name="Normal" w:locked="0"/>
    <w:lsdException w:name="heading 1" w:locked="0" w:uiPriority="0" w:qFormat="1"/>
    <w:lsdException w:name="heading 2" w:locked="0" w:uiPriority="4" w:qFormat="1"/>
    <w:lsdException w:name="heading 3" w:locked="0" w:uiPriority="4" w:qFormat="1"/>
    <w:lsdException w:name="heading 4" w:locked="0" w:uiPriority="0" w:qFormat="1"/>
    <w:lsdException w:name="heading 5" w:locked="0" w:uiPriority="0"/>
    <w:lsdException w:name="heading 6" w:locked="0" w:uiPriority="0"/>
    <w:lsdException w:name="heading 7" w:locked="0" w:semiHidden="1" w:uiPriority="0" w:unhideWhenUsed="1"/>
    <w:lsdException w:name="heading 8" w:locked="0" w:semiHidden="1" w:uiPriority="0" w:unhideWhenUsed="1"/>
    <w:lsdException w:name="heading 9" w:locked="0" w:semiHidden="1" w:uiPriority="0"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locked="0" w:semiHidden="1" w:uiPriority="0" w:unhideWhenUsed="1"/>
    <w:lsdException w:name="annotation text" w:semiHidden="1" w:unhideWhenUsed="1"/>
    <w:lsdException w:name="header" w:locked="0" w:semiHidden="1" w:uiPriority="0" w:unhideWhenUsed="1"/>
    <w:lsdException w:name="footer" w:locked="0" w:semiHidden="1" w:uiPriority="99" w:unhideWhenUsed="1"/>
    <w:lsdException w:name="index heading" w:semiHidden="1" w:unhideWhenUsed="1"/>
    <w:lsdException w:name="caption" w:locked="0"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locked="0" w:semiHidden="1" w:uiPriority="99"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locked="0"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iPriority="0" w:unhideWhenUsed="1"/>
    <w:lsdException w:name="List Number 4" w:semiHidden="1" w:unhideWhenUsed="1"/>
    <w:lsdException w:name="List Number 5" w:semiHidden="1" w:unhideWhenUsed="1"/>
    <w:lsdException w:name="Title" w:locked="0" w:uiPriority="0"/>
    <w:lsdException w:name="Closing" w:semiHidden="1" w:unhideWhenUsed="1"/>
    <w:lsdException w:name="Signature" w:semiHidden="1" w:unhideWhenUsed="1"/>
    <w:lsdException w:name="Default Paragraph Font" w:locked="0" w:semiHidden="1" w:uiPriority="0" w:unhideWhenUsed="1"/>
    <w:lsdException w:name="Body Text" w:locked="0" w:semiHidden="1" w:uiPriority="0" w:unhideWhenUsed="1" w:qFormat="1"/>
    <w:lsdException w:name="Body Text Indent" w:locked="0"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0" w:uiPriority="0"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locked="0" w:semiHidden="1" w:uiPriority="0" w:unhideWhenUsed="1"/>
    <w:lsdException w:name="HTML Bottom of Form" w:locked="0" w:semiHidden="1" w:uiPriority="0" w:unhideWhenUsed="1"/>
    <w:lsdException w:name="Normal (Web)" w:semiHidden="1" w:unhideWhenUsed="1"/>
    <w:lsdException w:name="HTML Acronym" w:semiHidden="1" w:uiPriority="19" w:unhideWhenUsed="1"/>
    <w:lsdException w:name="HTML Address" w:semiHidden="1" w:uiPriority="19"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iPriority="0" w:unhideWhenUsed="1"/>
    <w:lsdException w:name="annotation subject" w:semiHidden="1" w:unhideWhenUsed="1"/>
    <w:lsdException w:name="No List" w:locked="0" w:semiHidden="1" w:uiPriority="0" w:unhideWhenUsed="1"/>
    <w:lsdException w:name="Outline List 1" w:semiHidden="1" w:uiPriority="0" w:unhideWhenUsed="1"/>
    <w:lsdException w:name="Outline List 2" w:semiHidden="1" w:uiPriority="0" w:unhideWhenUsed="1"/>
    <w:lsdException w:name="Outline List 3" w:semiHidden="1" w:uiPriority="0" w:unhideWhenUsed="1"/>
    <w:lsdException w:name="Table Simple 1" w:semiHidden="1" w:uiPriority="0" w:unhideWhenUsed="1"/>
    <w:lsdException w:name="Table Simple 2" w:semiHidden="1" w:uiPriority="0" w:unhideWhenUsed="1"/>
    <w:lsdException w:name="Table Simple 3" w:semiHidden="1" w:uiPriority="0" w:unhideWhenUsed="1"/>
    <w:lsdException w:name="Table Classic 1" w:semiHidden="1" w:uiPriority="0" w:unhideWhenUsed="1"/>
    <w:lsdException w:name="Table Classic 2" w:semiHidden="1" w:uiPriority="0" w:unhideWhenUsed="1"/>
    <w:lsdException w:name="Table Classic 3" w:semiHidden="1" w:uiPriority="0" w:unhideWhenUsed="1"/>
    <w:lsdException w:name="Table Classic 4" w:semiHidden="1" w:uiPriority="0" w:unhideWhenUsed="1"/>
    <w:lsdException w:name="Table Colorful 1" w:semiHidden="1" w:uiPriority="0" w:unhideWhenUsed="1"/>
    <w:lsdException w:name="Table Colorful 2" w:semiHidden="1" w:uiPriority="0" w:unhideWhenUsed="1"/>
    <w:lsdException w:name="Table Colorful 3" w:semiHidden="1" w:uiPriority="0" w:unhideWhenUsed="1"/>
    <w:lsdException w:name="Table Columns 1" w:semiHidden="1" w:uiPriority="0" w:unhideWhenUsed="1"/>
    <w:lsdException w:name="Table Columns 2" w:semiHidden="1" w:uiPriority="0" w:unhideWhenUsed="1"/>
    <w:lsdException w:name="Table Columns 3" w:semiHidden="1" w:uiPriority="0" w:unhideWhenUsed="1"/>
    <w:lsdException w:name="Table Columns 4" w:semiHidden="1" w:uiPriority="0" w:unhideWhenUsed="1"/>
    <w:lsdException w:name="Table Columns 5" w:semiHidden="1" w:uiPriority="0" w:unhideWhenUsed="1"/>
    <w:lsdException w:name="Table Grid 1" w:semiHidden="1" w:uiPriority="0" w:unhideWhenUsed="1"/>
    <w:lsdException w:name="Table Grid 2" w:semiHidden="1" w:uiPriority="0" w:unhideWhenUsed="1"/>
    <w:lsdException w:name="Table Grid 3" w:semiHidden="1" w:uiPriority="0" w:unhideWhenUsed="1"/>
    <w:lsdException w:name="Table Grid 4" w:semiHidden="1" w:uiPriority="0" w:unhideWhenUsed="1"/>
    <w:lsdException w:name="Table Grid 5" w:semiHidden="1" w:uiPriority="0" w:unhideWhenUsed="1"/>
    <w:lsdException w:name="Table Grid 6" w:semiHidden="1" w:uiPriority="0" w:unhideWhenUsed="1"/>
    <w:lsdException w:name="Table Grid 7" w:semiHidden="1" w:uiPriority="0" w:unhideWhenUsed="1"/>
    <w:lsdException w:name="Table Grid 8" w:semiHidden="1" w:uiPriority="0" w:unhideWhenUsed="1"/>
    <w:lsdException w:name="Table List 1" w:semiHidden="1" w:uiPriority="0" w:unhideWhenUsed="1"/>
    <w:lsdException w:name="Table List 2" w:semiHidden="1" w:uiPriority="0" w:unhideWhenUsed="1"/>
    <w:lsdException w:name="Table List 3" w:semiHidden="1" w:uiPriority="0" w:unhideWhenUsed="1"/>
    <w:lsdException w:name="Table List 4" w:semiHidden="1" w:uiPriority="0" w:unhideWhenUsed="1"/>
    <w:lsdException w:name="Table List 5" w:semiHidden="1" w:uiPriority="0" w:unhideWhenUsed="1"/>
    <w:lsdException w:name="Table List 6" w:semiHidden="1" w:uiPriority="0" w:unhideWhenUsed="1"/>
    <w:lsdException w:name="Table List 7" w:semiHidden="1" w:uiPriority="0" w:unhideWhenUsed="1"/>
    <w:lsdException w:name="Table List 8" w:semiHidden="1" w:uiPriority="0" w:unhideWhenUsed="1"/>
    <w:lsdException w:name="Table 3D effects 1" w:semiHidden="1" w:uiPriority="0" w:unhideWhenUsed="1"/>
    <w:lsdException w:name="Table 3D effects 2" w:semiHidden="1" w:uiPriority="0" w:unhideWhenUsed="1"/>
    <w:lsdException w:name="Table 3D effects 3" w:semiHidden="1" w:uiPriority="0" w:unhideWhenUsed="1"/>
    <w:lsdException w:name="Table Contemporary" w:semiHidden="1" w:uiPriority="0" w:unhideWhenUsed="1"/>
    <w:lsdException w:name="Table Elegant" w:semiHidden="1" w:uiPriority="0" w:unhideWhenUsed="1"/>
    <w:lsdException w:name="Table Professional" w:semiHidden="1" w:uiPriority="0" w:unhideWhenUsed="1"/>
    <w:lsdException w:name="Table Subtle 1" w:semiHidden="1" w:uiPriority="0" w:unhideWhenUsed="1"/>
    <w:lsdException w:name="Table Subtle 2" w:semiHidden="1" w:uiPriority="0" w:unhideWhenUsed="1"/>
    <w:lsdException w:name="Table Web 1" w:semiHidden="1" w:uiPriority="0" w:unhideWhenUsed="1"/>
    <w:lsdException w:name="Table Web 2" w:semiHidden="1" w:uiPriority="0" w:unhideWhenUsed="1"/>
    <w:lsdException w:name="Table Web 3" w:semiHidden="1" w:uiPriority="0" w:unhideWhenUsed="1"/>
    <w:lsdException w:name="Balloon Text" w:locked="0" w:semiHidden="1" w:unhideWhenUsed="1"/>
    <w:lsdException w:name="Table Grid" w:locked="0" w:uiPriority="0"/>
    <w:lsdException w:name="Table Theme" w:semiHidden="1" w:uiPriority="0" w:unhideWhenUsed="1"/>
    <w:lsdException w:name="Placeholder Text" w:semiHidden="1" w:uiPriority="99"/>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uiPriority="99"/>
    <w:lsdException w:name="List Paragraph" w:uiPriority="34"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Bibliography" w:semiHidden="1" w:uiPriority="37" w:unhideWhenUsed="1"/>
    <w:lsdException w:name="TOC Heading" w:semiHidden="1" w:uiPriority="39" w:unhideWhenUsed="1" w:qFormat="1"/>
    <w:lsdException w:name="Plain Table 1" w:locked="0" w:uiPriority="41"/>
    <w:lsdException w:name="Plain Table 2" w:locked="0" w:uiPriority="42"/>
    <w:lsdException w:name="Plain Table 3" w:locked="0" w:uiPriority="43"/>
    <w:lsdException w:name="Plain Table 4" w:locked="0" w:uiPriority="44"/>
    <w:lsdException w:name="Plain Table 5" w:locked="0" w:uiPriority="45"/>
    <w:lsdException w:name="Grid Table Light" w:locked="0" w:uiPriority="40"/>
    <w:lsdException w:name="Grid Table 1 Light" w:locked="0" w:uiPriority="46"/>
    <w:lsdException w:name="Grid Table 2" w:locked="0" w:uiPriority="47"/>
    <w:lsdException w:name="Grid Table 3" w:locked="0" w:uiPriority="48"/>
    <w:lsdException w:name="Grid Table 4" w:locked="0"/>
    <w:lsdException w:name="Grid Table 5 Dark" w:locked="0" w:uiPriority="50"/>
    <w:lsdException w:name="Grid Table 6 Colorful" w:locked="0" w:uiPriority="51"/>
    <w:lsdException w:name="Grid Table 7 Colorful" w:locked="0" w:uiPriority="52"/>
    <w:lsdException w:name="Grid Table 1 Light Accent 1" w:locked="0" w:uiPriority="46"/>
    <w:lsdException w:name="Grid Table 2 Accent 1" w:locked="0" w:uiPriority="47"/>
    <w:lsdException w:name="Grid Table 3 Accent 1" w:locked="0" w:uiPriority="48"/>
    <w:lsdException w:name="Grid Table 4 Accent 1" w:locked="0"/>
    <w:lsdException w:name="Grid Table 5 Dark Accent 1" w:locked="0" w:uiPriority="50"/>
    <w:lsdException w:name="Grid Table 6 Colorful Accent 1" w:locked="0" w:uiPriority="51"/>
    <w:lsdException w:name="Grid Table 7 Colorful Accent 1" w:locked="0" w:uiPriority="52"/>
    <w:lsdException w:name="Grid Table 1 Light Accent 2" w:locked="0" w:uiPriority="46"/>
    <w:lsdException w:name="Grid Table 2 Accent 2" w:locked="0" w:uiPriority="47"/>
    <w:lsdException w:name="Grid Table 3 Accent 2" w:locked="0" w:uiPriority="48"/>
    <w:lsdException w:name="Grid Table 4 Accent 2" w:locked="0"/>
    <w:lsdException w:name="Grid Table 5 Dark Accent 2" w:locked="0" w:uiPriority="50"/>
    <w:lsdException w:name="Grid Table 6 Colorful Accent 2" w:locked="0" w:uiPriority="51"/>
    <w:lsdException w:name="Grid Table 7 Colorful Accent 2" w:locked="0" w:uiPriority="52"/>
    <w:lsdException w:name="Grid Table 1 Light Accent 3" w:locked="0" w:uiPriority="46"/>
    <w:lsdException w:name="Grid Table 2 Accent 3" w:locked="0" w:uiPriority="47"/>
    <w:lsdException w:name="Grid Table 3 Accent 3" w:locked="0" w:uiPriority="48"/>
    <w:lsdException w:name="Grid Table 4 Accent 3" w:locked="0"/>
    <w:lsdException w:name="Grid Table 5 Dark Accent 3" w:locked="0" w:uiPriority="50"/>
    <w:lsdException w:name="Grid Table 6 Colorful Accent 3" w:locked="0" w:uiPriority="51"/>
    <w:lsdException w:name="Grid Table 7 Colorful Accent 3" w:locked="0" w:uiPriority="52"/>
    <w:lsdException w:name="Grid Table 1 Light Accent 4" w:locked="0" w:uiPriority="46"/>
    <w:lsdException w:name="Grid Table 2 Accent 4" w:locked="0" w:uiPriority="47"/>
    <w:lsdException w:name="Grid Table 3 Accent 4" w:locked="0" w:uiPriority="48"/>
    <w:lsdException w:name="Grid Table 4 Accent 4" w:locked="0"/>
    <w:lsdException w:name="Grid Table 5 Dark Accent 4" w:locked="0" w:uiPriority="50"/>
    <w:lsdException w:name="Grid Table 6 Colorful Accent 4" w:locked="0" w:uiPriority="51"/>
    <w:lsdException w:name="Grid Table 7 Colorful Accent 4" w:locked="0" w:uiPriority="52"/>
    <w:lsdException w:name="Grid Table 1 Light Accent 5" w:locked="0" w:uiPriority="46"/>
    <w:lsdException w:name="Grid Table 2 Accent 5" w:locked="0" w:uiPriority="47"/>
    <w:lsdException w:name="Grid Table 3 Accent 5" w:locked="0" w:uiPriority="48"/>
    <w:lsdException w:name="Grid Table 4 Accent 5" w:locked="0"/>
    <w:lsdException w:name="Grid Table 5 Dark Accent 5" w:locked="0" w:uiPriority="50"/>
    <w:lsdException w:name="Grid Table 6 Colorful Accent 5" w:locked="0" w:uiPriority="51"/>
    <w:lsdException w:name="Grid Table 7 Colorful Accent 5" w:locked="0" w:uiPriority="52"/>
    <w:lsdException w:name="Grid Table 1 Light Accent 6" w:locked="0" w:uiPriority="46"/>
    <w:lsdException w:name="Grid Table 2 Accent 6" w:locked="0" w:uiPriority="47"/>
    <w:lsdException w:name="Grid Table 3 Accent 6" w:locked="0" w:uiPriority="48"/>
    <w:lsdException w:name="Grid Table 4 Accent 6" w:locked="0"/>
    <w:lsdException w:name="Grid Table 5 Dark Accent 6" w:locked="0" w:uiPriority="50"/>
    <w:lsdException w:name="Grid Table 6 Colorful Accent 6" w:locked="0" w:uiPriority="51"/>
    <w:lsdException w:name="Grid Table 7 Colorful Accent 6" w:locked="0" w:uiPriority="52"/>
    <w:lsdException w:name="List Table 1 Light" w:locked="0" w:uiPriority="46"/>
    <w:lsdException w:name="List Table 2" w:locked="0" w:uiPriority="47"/>
    <w:lsdException w:name="List Table 3" w:locked="0" w:uiPriority="48"/>
    <w:lsdException w:name="List Table 4" w:locked="0"/>
    <w:lsdException w:name="List Table 5 Dark" w:locked="0" w:uiPriority="50"/>
    <w:lsdException w:name="List Table 6 Colorful" w:locked="0" w:uiPriority="51"/>
    <w:lsdException w:name="List Table 7 Colorful" w:locked="0" w:uiPriority="52"/>
    <w:lsdException w:name="List Table 1 Light Accent 1" w:locked="0" w:uiPriority="46"/>
    <w:lsdException w:name="List Table 2 Accent 1" w:locked="0" w:uiPriority="47"/>
    <w:lsdException w:name="List Table 3 Accent 1" w:locked="0" w:uiPriority="48"/>
    <w:lsdException w:name="List Table 4 Accent 1" w:locked="0"/>
    <w:lsdException w:name="List Table 5 Dark Accent 1" w:locked="0" w:uiPriority="50"/>
    <w:lsdException w:name="List Table 6 Colorful Accent 1" w:locked="0" w:uiPriority="51"/>
    <w:lsdException w:name="List Table 7 Colorful Accent 1" w:locked="0" w:uiPriority="52"/>
    <w:lsdException w:name="List Table 1 Light Accent 2" w:locked="0" w:uiPriority="46"/>
    <w:lsdException w:name="List Table 2 Accent 2" w:locked="0" w:uiPriority="47"/>
    <w:lsdException w:name="List Table 3 Accent 2" w:locked="0" w:uiPriority="48"/>
    <w:lsdException w:name="List Table 4 Accent 2" w:locked="0"/>
    <w:lsdException w:name="List Table 5 Dark Accent 2" w:locked="0" w:uiPriority="50"/>
    <w:lsdException w:name="List Table 6 Colorful Accent 2" w:locked="0" w:uiPriority="51"/>
    <w:lsdException w:name="List Table 7 Colorful Accent 2" w:locked="0" w:uiPriority="52"/>
    <w:lsdException w:name="List Table 1 Light Accent 3" w:locked="0" w:uiPriority="46"/>
    <w:lsdException w:name="List Table 2 Accent 3" w:locked="0" w:uiPriority="47"/>
    <w:lsdException w:name="List Table 3 Accent 3" w:locked="0" w:uiPriority="48"/>
    <w:lsdException w:name="List Table 4 Accent 3" w:locked="0"/>
    <w:lsdException w:name="List Table 5 Dark Accent 3" w:locked="0" w:uiPriority="50"/>
    <w:lsdException w:name="List Table 6 Colorful Accent 3" w:locked="0" w:uiPriority="51"/>
    <w:lsdException w:name="List Table 7 Colorful Accent 3" w:locked="0" w:uiPriority="52"/>
    <w:lsdException w:name="List Table 1 Light Accent 4" w:locked="0" w:uiPriority="46"/>
    <w:lsdException w:name="List Table 2 Accent 4" w:locked="0" w:uiPriority="47"/>
    <w:lsdException w:name="List Table 3 Accent 4" w:locked="0" w:uiPriority="48"/>
    <w:lsdException w:name="List Table 4 Accent 4" w:locked="0"/>
    <w:lsdException w:name="List Table 5 Dark Accent 4" w:locked="0" w:uiPriority="50"/>
    <w:lsdException w:name="List Table 6 Colorful Accent 4" w:locked="0" w:uiPriority="51"/>
    <w:lsdException w:name="List Table 7 Colorful Accent 4" w:locked="0" w:uiPriority="52"/>
    <w:lsdException w:name="List Table 1 Light Accent 5" w:locked="0" w:uiPriority="46"/>
    <w:lsdException w:name="List Table 2 Accent 5" w:locked="0" w:uiPriority="47"/>
    <w:lsdException w:name="List Table 3 Accent 5" w:locked="0" w:uiPriority="48"/>
    <w:lsdException w:name="List Table 4 Accent 5" w:locked="0"/>
    <w:lsdException w:name="List Table 5 Dark Accent 5" w:locked="0" w:uiPriority="50"/>
    <w:lsdException w:name="List Table 6 Colorful Accent 5" w:locked="0" w:uiPriority="51"/>
    <w:lsdException w:name="List Table 7 Colorful Accent 5" w:locked="0" w:uiPriority="52"/>
    <w:lsdException w:name="List Table 1 Light Accent 6" w:locked="0" w:uiPriority="46"/>
    <w:lsdException w:name="List Table 2 Accent 6" w:locked="0" w:uiPriority="47"/>
    <w:lsdException w:name="List Table 3 Accent 6" w:locked="0" w:uiPriority="48"/>
    <w:lsdException w:name="List Table 4 Accent 6" w:locked="0"/>
    <w:lsdException w:name="List Table 5 Dark Accent 6" w:locked="0" w:uiPriority="50"/>
    <w:lsdException w:name="List Table 6 Colorful Accent 6" w:locked="0" w:uiPriority="51"/>
    <w:lsdException w:name="List Table 7 Colorful Accent 6" w:locked="0" w:uiPriority="52"/>
    <w:lsdException w:name="Mention" w:locked="0" w:semiHidden="1" w:uiPriority="99" w:unhideWhenUsed="1"/>
    <w:lsdException w:name="Smart Hyperlink" w:locked="0" w:semiHidden="1" w:uiPriority="99" w:unhideWhenUsed="1"/>
    <w:lsdException w:name="Hashtag" w:locked="0" w:semiHidden="1" w:uiPriority="99" w:unhideWhenUsed="1"/>
    <w:lsdException w:name="Unresolved Mention" w:locked="0" w:semiHidden="1" w:uiPriority="99" w:unhideWhenUsed="1"/>
    <w:lsdException w:name="Smart Link" w:locked="0" w:semiHidden="1" w:uiPriority="99" w:unhideWhenUsed="1"/>
  </w:latentStyles>
  <w:style w:type="paragraph" w:default="1" w:styleId="Normal">
    <w:name w:val="Normal"/>
    <w:uiPriority w:val="49"/>
    <w:rsid w:val="00CF7AF3"/>
    <w:pPr>
      <w:overflowPunct w:val="0"/>
      <w:autoSpaceDE w:val="0"/>
      <w:autoSpaceDN w:val="0"/>
      <w:adjustRightInd w:val="0"/>
      <w:textAlignment w:val="baseline"/>
    </w:pPr>
    <w:rPr>
      <w:sz w:val="22"/>
      <w:lang w:eastAsia="en-US"/>
    </w:rPr>
  </w:style>
  <w:style w:type="paragraph" w:styleId="Heading1">
    <w:name w:val="heading 1"/>
    <w:aliases w:val="Paper title"/>
    <w:next w:val="Subtitle"/>
    <w:uiPriority w:val="4"/>
    <w:qFormat/>
    <w:rsid w:val="00EE29B9"/>
    <w:pPr>
      <w:spacing w:line="280" w:lineRule="atLeast"/>
      <w:ind w:left="567" w:right="567"/>
      <w:outlineLvl w:val="0"/>
    </w:pPr>
    <w:rPr>
      <w:rFonts w:ascii="Times New Roman Bold" w:hAnsi="Times New Roman Bold"/>
      <w:b/>
      <w:caps/>
      <w:sz w:val="24"/>
      <w:lang w:val="en-US" w:eastAsia="en-US"/>
    </w:rPr>
  </w:style>
  <w:style w:type="paragraph" w:styleId="Heading2">
    <w:name w:val="heading 2"/>
    <w:aliases w:val="1st level paper heading"/>
    <w:next w:val="BodyText"/>
    <w:uiPriority w:val="4"/>
    <w:qFormat/>
    <w:rsid w:val="00EE0041"/>
    <w:pPr>
      <w:widowControl w:val="0"/>
      <w:numPr>
        <w:ilvl w:val="1"/>
        <w:numId w:val="12"/>
      </w:numPr>
      <w:spacing w:before="100" w:beforeAutospacing="1" w:after="100" w:afterAutospacing="1" w:line="280" w:lineRule="atLeast"/>
      <w:outlineLvl w:val="1"/>
    </w:pPr>
    <w:rPr>
      <w:caps/>
      <w:lang w:eastAsia="en-US"/>
    </w:rPr>
  </w:style>
  <w:style w:type="paragraph" w:styleId="Heading3">
    <w:name w:val="heading 3"/>
    <w:aliases w:val="2nd level paper heading"/>
    <w:next w:val="BodyText"/>
    <w:uiPriority w:val="4"/>
    <w:qFormat/>
    <w:rsid w:val="00897ED5"/>
    <w:pPr>
      <w:widowControl w:val="0"/>
      <w:numPr>
        <w:ilvl w:val="2"/>
        <w:numId w:val="12"/>
      </w:numPr>
      <w:spacing w:before="240" w:after="240" w:line="240" w:lineRule="exact"/>
      <w:outlineLvl w:val="2"/>
    </w:pPr>
    <w:rPr>
      <w:b/>
      <w:lang w:eastAsia="en-US"/>
    </w:rPr>
  </w:style>
  <w:style w:type="paragraph" w:styleId="Heading4">
    <w:name w:val="heading 4"/>
    <w:aliases w:val="3rd level paper heading"/>
    <w:basedOn w:val="Normal"/>
    <w:next w:val="BodyText"/>
    <w:uiPriority w:val="4"/>
    <w:qFormat/>
    <w:rsid w:val="00897ED5"/>
    <w:pPr>
      <w:widowControl w:val="0"/>
      <w:numPr>
        <w:ilvl w:val="3"/>
        <w:numId w:val="12"/>
      </w:numPr>
      <w:spacing w:before="100" w:beforeAutospacing="1" w:after="100" w:afterAutospacing="1" w:line="240" w:lineRule="atLeast"/>
      <w:outlineLvl w:val="3"/>
    </w:pPr>
    <w:rPr>
      <w:i/>
      <w:sz w:val="20"/>
      <w:lang w:val="en-US"/>
    </w:rPr>
  </w:style>
  <w:style w:type="paragraph" w:styleId="Heading5">
    <w:name w:val="heading 5"/>
    <w:basedOn w:val="Normal"/>
    <w:next w:val="Normal"/>
    <w:uiPriority w:val="19"/>
    <w:locked/>
    <w:pPr>
      <w:overflowPunct/>
      <w:autoSpaceDE/>
      <w:autoSpaceDN/>
      <w:adjustRightInd/>
      <w:spacing w:before="240" w:after="60"/>
      <w:textAlignment w:val="auto"/>
      <w:outlineLvl w:val="4"/>
    </w:pPr>
    <w:rPr>
      <w:b/>
      <w:bCs/>
      <w:i/>
      <w:iCs/>
      <w:sz w:val="26"/>
      <w:szCs w:val="26"/>
      <w:lang w:val="en-US"/>
    </w:rPr>
  </w:style>
  <w:style w:type="paragraph" w:styleId="Heading6">
    <w:name w:val="heading 6"/>
    <w:basedOn w:val="Normal"/>
    <w:next w:val="Normal"/>
    <w:uiPriority w:val="19"/>
    <w:locked/>
    <w:pPr>
      <w:overflowPunct/>
      <w:autoSpaceDE/>
      <w:autoSpaceDN/>
      <w:adjustRightInd/>
      <w:spacing w:before="240" w:after="60"/>
      <w:textAlignment w:val="auto"/>
      <w:outlineLvl w:val="5"/>
    </w:pPr>
    <w:rPr>
      <w:b/>
      <w:bCs/>
      <w:szCs w:val="22"/>
      <w:lang w:val="en-US"/>
    </w:rPr>
  </w:style>
  <w:style w:type="paragraph" w:styleId="Heading7">
    <w:name w:val="heading 7"/>
    <w:basedOn w:val="Normal"/>
    <w:next w:val="Normal"/>
    <w:uiPriority w:val="19"/>
    <w:locked/>
    <w:pPr>
      <w:overflowPunct/>
      <w:autoSpaceDE/>
      <w:autoSpaceDN/>
      <w:adjustRightInd/>
      <w:spacing w:before="240" w:after="60"/>
      <w:textAlignment w:val="auto"/>
      <w:outlineLvl w:val="6"/>
    </w:pPr>
    <w:rPr>
      <w:szCs w:val="24"/>
      <w:lang w:val="en-US"/>
    </w:rPr>
  </w:style>
  <w:style w:type="paragraph" w:styleId="Heading8">
    <w:name w:val="heading 8"/>
    <w:basedOn w:val="Normal"/>
    <w:next w:val="Normal"/>
    <w:uiPriority w:val="19"/>
    <w:locked/>
    <w:pPr>
      <w:overflowPunct/>
      <w:autoSpaceDE/>
      <w:autoSpaceDN/>
      <w:adjustRightInd/>
      <w:spacing w:before="240" w:after="60"/>
      <w:textAlignment w:val="auto"/>
      <w:outlineLvl w:val="7"/>
    </w:pPr>
    <w:rPr>
      <w:i/>
      <w:iCs/>
      <w:szCs w:val="24"/>
      <w:lang w:val="en-US"/>
    </w:rPr>
  </w:style>
  <w:style w:type="paragraph" w:styleId="Heading9">
    <w:name w:val="heading 9"/>
    <w:basedOn w:val="Normal"/>
    <w:next w:val="Normal"/>
    <w:uiPriority w:val="19"/>
    <w:locked/>
    <w:pPr>
      <w:overflowPunct/>
      <w:autoSpaceDE/>
      <w:autoSpaceDN/>
      <w:adjustRightInd/>
      <w:spacing w:before="240" w:after="60"/>
      <w:textAlignment w:val="auto"/>
      <w:outlineLvl w:val="8"/>
    </w:pPr>
    <w:rPr>
      <w:rFonts w:ascii="Arial" w:hAnsi="Arial" w:cs="Arial"/>
      <w:szCs w:val="22"/>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link w:val="BodyTextChar"/>
    <w:qFormat/>
    <w:rsid w:val="00647F33"/>
    <w:pPr>
      <w:spacing w:line="260" w:lineRule="atLeast"/>
      <w:ind w:firstLine="567"/>
      <w:contextualSpacing/>
      <w:jc w:val="both"/>
    </w:pPr>
    <w:rPr>
      <w:lang w:eastAsia="en-US"/>
    </w:rPr>
  </w:style>
  <w:style w:type="paragraph" w:styleId="BodyTextIndent">
    <w:name w:val="Body Text Indent"/>
    <w:basedOn w:val="BodyText"/>
    <w:uiPriority w:val="49"/>
    <w:locked/>
    <w:pPr>
      <w:ind w:left="1134" w:hanging="675"/>
    </w:pPr>
  </w:style>
  <w:style w:type="paragraph" w:customStyle="1" w:styleId="BodyTextMultiline">
    <w:name w:val="Body Text Multiline"/>
    <w:basedOn w:val="BodyText"/>
    <w:locked/>
    <w:pPr>
      <w:numPr>
        <w:numId w:val="1"/>
      </w:numPr>
    </w:pPr>
  </w:style>
  <w:style w:type="paragraph" w:customStyle="1" w:styleId="BodyTextSummary">
    <w:name w:val="Body Text Summary"/>
    <w:uiPriority w:val="49"/>
    <w:locked/>
    <w:pPr>
      <w:numPr>
        <w:numId w:val="2"/>
      </w:numPr>
      <w:tabs>
        <w:tab w:val="clear" w:pos="720"/>
      </w:tabs>
      <w:spacing w:after="170" w:line="280" w:lineRule="atLeast"/>
      <w:ind w:left="572" w:hanging="459"/>
      <w:jc w:val="both"/>
    </w:pPr>
    <w:rPr>
      <w:sz w:val="22"/>
      <w:szCs w:val="22"/>
      <w:lang w:eastAsia="en-US"/>
    </w:rPr>
  </w:style>
  <w:style w:type="paragraph" w:styleId="Caption">
    <w:name w:val="caption"/>
    <w:next w:val="Normal"/>
    <w:uiPriority w:val="35"/>
    <w:qFormat/>
    <w:pPr>
      <w:spacing w:after="85"/>
    </w:pPr>
    <w:rPr>
      <w:bCs/>
      <w:sz w:val="18"/>
      <w:lang w:val="en-US" w:eastAsia="en-US"/>
    </w:rPr>
  </w:style>
  <w:style w:type="paragraph" w:styleId="Footer">
    <w:name w:val="footer"/>
    <w:basedOn w:val="Normal"/>
    <w:link w:val="FooterChar"/>
    <w:uiPriority w:val="99"/>
    <w:locked/>
    <w:pPr>
      <w:overflowPunct/>
      <w:autoSpaceDE/>
      <w:autoSpaceDN/>
      <w:adjustRightInd/>
      <w:textAlignment w:val="auto"/>
    </w:pPr>
    <w:rPr>
      <w:sz w:val="2"/>
      <w:lang w:val="en-US"/>
    </w:rPr>
  </w:style>
  <w:style w:type="paragraph" w:styleId="FootnoteText">
    <w:name w:val="footnote text"/>
    <w:semiHidden/>
    <w:locked/>
    <w:pPr>
      <w:tabs>
        <w:tab w:val="left" w:pos="459"/>
      </w:tabs>
      <w:spacing w:before="142"/>
      <w:ind w:left="459"/>
      <w:jc w:val="both"/>
    </w:pPr>
    <w:rPr>
      <w:sz w:val="18"/>
      <w:lang w:eastAsia="en-US"/>
    </w:rPr>
  </w:style>
  <w:style w:type="paragraph" w:styleId="Header">
    <w:name w:val="header"/>
    <w:next w:val="BodyText"/>
    <w:uiPriority w:val="49"/>
    <w:locked/>
    <w:pPr>
      <w:spacing w:after="85"/>
    </w:pPr>
    <w:rPr>
      <w:sz w:val="18"/>
      <w:lang w:val="en-US" w:eastAsia="en-US"/>
    </w:rPr>
  </w:style>
  <w:style w:type="paragraph" w:customStyle="1" w:styleId="ListBulleted">
    <w:name w:val="List Bulleted"/>
    <w:uiPriority w:val="7"/>
    <w:qFormat/>
    <w:locked/>
    <w:pPr>
      <w:numPr>
        <w:numId w:val="6"/>
      </w:numPr>
      <w:tabs>
        <w:tab w:val="clear" w:pos="1179"/>
        <w:tab w:val="left" w:pos="919"/>
      </w:tabs>
      <w:ind w:left="918" w:right="1134" w:hanging="459"/>
      <w:jc w:val="both"/>
    </w:pPr>
    <w:rPr>
      <w:sz w:val="22"/>
      <w:lang w:eastAsia="en-US"/>
    </w:rPr>
  </w:style>
  <w:style w:type="paragraph" w:customStyle="1" w:styleId="ListEmdash">
    <w:name w:val="List Emdash"/>
    <w:basedOn w:val="BodyText"/>
    <w:uiPriority w:val="6"/>
    <w:qFormat/>
    <w:rsid w:val="00717C6F"/>
    <w:pPr>
      <w:numPr>
        <w:numId w:val="20"/>
      </w:numPr>
      <w:ind w:left="709"/>
    </w:pPr>
  </w:style>
  <w:style w:type="paragraph" w:customStyle="1" w:styleId="ListNumbered">
    <w:name w:val="List Numbered"/>
    <w:basedOn w:val="BodyText"/>
    <w:uiPriority w:val="5"/>
    <w:qFormat/>
    <w:locked/>
    <w:rsid w:val="00717C6F"/>
    <w:pPr>
      <w:numPr>
        <w:numId w:val="22"/>
      </w:numPr>
    </w:pPr>
  </w:style>
  <w:style w:type="paragraph" w:styleId="Title">
    <w:name w:val="Title"/>
    <w:uiPriority w:val="2"/>
    <w:locked/>
    <w:pPr>
      <w:widowControl w:val="0"/>
      <w:spacing w:line="440" w:lineRule="exact"/>
      <w:jc w:val="center"/>
      <w:outlineLvl w:val="0"/>
    </w:pPr>
    <w:rPr>
      <w:rFonts w:ascii="Arial" w:hAnsi="Arial" w:cs="Arial"/>
      <w:bCs/>
      <w:sz w:val="42"/>
      <w:szCs w:val="32"/>
      <w:lang w:eastAsia="en-US"/>
    </w:rPr>
  </w:style>
  <w:style w:type="paragraph" w:customStyle="1" w:styleId="zyxConfid2Red">
    <w:name w:val="zyxConfid2Red"/>
    <w:basedOn w:val="Normal"/>
    <w:uiPriority w:val="49"/>
    <w:locked/>
    <w:pPr>
      <w:spacing w:after="20" w:line="220" w:lineRule="exact"/>
      <w:jc w:val="right"/>
    </w:pPr>
    <w:rPr>
      <w:rFonts w:ascii="Arial" w:hAnsi="Arial" w:cs="Arial"/>
      <w:color w:val="FF0000"/>
    </w:rPr>
  </w:style>
  <w:style w:type="paragraph" w:customStyle="1" w:styleId="zyxConfidRed">
    <w:name w:val="zyxConfidRed"/>
    <w:uiPriority w:val="49"/>
    <w:locked/>
    <w:pPr>
      <w:widowControl w:val="0"/>
      <w:spacing w:before="80"/>
      <w:jc w:val="right"/>
    </w:pPr>
    <w:rPr>
      <w:rFonts w:ascii="Arial" w:hAnsi="Arial"/>
      <w:b/>
      <w:caps/>
      <w:color w:val="FF0000"/>
      <w:sz w:val="40"/>
      <w:lang w:eastAsia="en-US"/>
    </w:rPr>
  </w:style>
  <w:style w:type="paragraph" w:customStyle="1" w:styleId="zyxConfidBlack">
    <w:name w:val="zyxConfidBlack"/>
    <w:basedOn w:val="zyxConfidRed"/>
    <w:uiPriority w:val="49"/>
    <w:locked/>
    <w:pPr>
      <w:framePr w:wrap="auto" w:vAnchor="page" w:hAnchor="page" w:x="1333" w:y="228"/>
      <w:widowControl/>
      <w:overflowPunct w:val="0"/>
      <w:autoSpaceDE w:val="0"/>
      <w:autoSpaceDN w:val="0"/>
      <w:adjustRightInd w:val="0"/>
      <w:suppressOverlap/>
      <w:textAlignment w:val="baseline"/>
    </w:pPr>
    <w:rPr>
      <w:rFonts w:cs="Arial"/>
      <w:bCs/>
      <w:color w:val="000000"/>
    </w:rPr>
  </w:style>
  <w:style w:type="paragraph" w:customStyle="1" w:styleId="zyxDistribution">
    <w:name w:val="zyxDistribution"/>
    <w:basedOn w:val="Normal"/>
    <w:uiPriority w:val="49"/>
    <w:locked/>
    <w:pPr>
      <w:framePr w:wrap="around" w:vAnchor="page" w:hAnchor="page" w:x="1390" w:y="15707"/>
      <w:widowControl w:val="0"/>
      <w:overflowPunct/>
      <w:autoSpaceDE/>
      <w:autoSpaceDN/>
      <w:adjustRightInd/>
      <w:spacing w:before="240" w:after="20"/>
      <w:ind w:left="142"/>
      <w:suppressOverlap/>
      <w:textAlignment w:val="auto"/>
    </w:pPr>
    <w:rPr>
      <w:rFonts w:ascii="Arial" w:hAnsi="Arial"/>
      <w:b/>
    </w:rPr>
  </w:style>
  <w:style w:type="paragraph" w:customStyle="1" w:styleId="zyxPrePrint">
    <w:name w:val="zyxPrePrint"/>
    <w:uiPriority w:val="49"/>
    <w:locked/>
    <w:pPr>
      <w:spacing w:after="60" w:line="280" w:lineRule="exact"/>
      <w:ind w:left="113"/>
    </w:pPr>
    <w:rPr>
      <w:sz w:val="22"/>
      <w:lang w:eastAsia="en-US"/>
    </w:rPr>
  </w:style>
  <w:style w:type="paragraph" w:customStyle="1" w:styleId="zyxFillIn">
    <w:name w:val="zyxFill_In"/>
    <w:basedOn w:val="zyxPrePrint"/>
    <w:uiPriority w:val="49"/>
    <w:locked/>
    <w:rPr>
      <w:b/>
    </w:rPr>
  </w:style>
  <w:style w:type="paragraph" w:customStyle="1" w:styleId="zyxLogo">
    <w:name w:val="zyxLogo"/>
    <w:basedOn w:val="Normal"/>
    <w:uiPriority w:val="49"/>
    <w:locked/>
    <w:pPr>
      <w:keepNext/>
      <w:spacing w:after="10"/>
    </w:pPr>
    <w:rPr>
      <w:rFonts w:ascii="Arial" w:hAnsi="Arial"/>
      <w:b/>
      <w:sz w:val="13"/>
    </w:rPr>
  </w:style>
  <w:style w:type="paragraph" w:customStyle="1" w:styleId="zyxP1Footer">
    <w:name w:val="zyxP1_Footer"/>
    <w:basedOn w:val="Normal"/>
    <w:uiPriority w:val="49"/>
    <w:locked/>
    <w:pPr>
      <w:widowControl w:val="0"/>
      <w:spacing w:line="160" w:lineRule="exact"/>
      <w:ind w:left="108"/>
    </w:pPr>
    <w:rPr>
      <w:sz w:val="14"/>
    </w:rPr>
  </w:style>
  <w:style w:type="paragraph" w:customStyle="1" w:styleId="zyxSensitivity">
    <w:name w:val="zyxSensitivity"/>
    <w:basedOn w:val="Normal"/>
    <w:uiPriority w:val="49"/>
    <w:locked/>
    <w:pPr>
      <w:framePr w:wrap="around" w:vAnchor="page" w:hAnchor="page" w:x="1390" w:y="15707"/>
      <w:widowControl w:val="0"/>
      <w:overflowPunct/>
      <w:autoSpaceDE/>
      <w:autoSpaceDN/>
      <w:adjustRightInd/>
      <w:spacing w:line="220" w:lineRule="exact"/>
      <w:ind w:left="142"/>
      <w:suppressOverlap/>
      <w:textAlignment w:val="auto"/>
    </w:pPr>
    <w:rPr>
      <w:rFonts w:ascii="Arial" w:hAnsi="Arial"/>
      <w:b/>
    </w:rPr>
  </w:style>
  <w:style w:type="paragraph" w:customStyle="1" w:styleId="zyxTitle">
    <w:name w:val="zyxTitle"/>
    <w:basedOn w:val="Normal"/>
    <w:uiPriority w:val="49"/>
    <w:locked/>
    <w:pPr>
      <w:keepNext/>
      <w:spacing w:line="420" w:lineRule="exact"/>
    </w:pPr>
    <w:rPr>
      <w:rFonts w:ascii="Arial" w:hAnsi="Arial"/>
      <w:sz w:val="40"/>
    </w:rPr>
  </w:style>
  <w:style w:type="character" w:styleId="FootnoteReference">
    <w:name w:val="footnote reference"/>
    <w:basedOn w:val="DefaultParagraphFont"/>
    <w:uiPriority w:val="99"/>
    <w:locked/>
    <w:rPr>
      <w:vertAlign w:val="superscript"/>
    </w:rPr>
  </w:style>
  <w:style w:type="paragraph" w:styleId="Subtitle">
    <w:name w:val="Subtitle"/>
    <w:next w:val="BodyText"/>
    <w:uiPriority w:val="3"/>
    <w:qFormat/>
    <w:rsid w:val="00B82FA5"/>
    <w:pPr>
      <w:spacing w:after="100" w:afterAutospacing="1" w:line="280" w:lineRule="atLeast"/>
      <w:ind w:left="567" w:right="567"/>
      <w:contextualSpacing/>
    </w:pPr>
    <w:rPr>
      <w:rFonts w:cs="Arial"/>
      <w:b/>
      <w:i/>
      <w:sz w:val="24"/>
      <w:szCs w:val="24"/>
      <w:lang w:val="en-US" w:eastAsia="en-US"/>
    </w:rPr>
  </w:style>
  <w:style w:type="paragraph" w:customStyle="1" w:styleId="AgendaList">
    <w:name w:val="Agenda List"/>
    <w:uiPriority w:val="49"/>
    <w:locked/>
    <w:pPr>
      <w:numPr>
        <w:numId w:val="9"/>
      </w:numPr>
      <w:tabs>
        <w:tab w:val="clear" w:pos="459"/>
        <w:tab w:val="left" w:pos="919"/>
      </w:tabs>
      <w:spacing w:after="240" w:line="240" w:lineRule="exact"/>
      <w:ind w:left="918"/>
      <w:jc w:val="both"/>
    </w:pPr>
    <w:rPr>
      <w:sz w:val="22"/>
      <w:lang w:eastAsia="en-US"/>
    </w:rPr>
  </w:style>
  <w:style w:type="paragraph" w:customStyle="1" w:styleId="zyxClassification1">
    <w:name w:val="zyxClassification1"/>
    <w:basedOn w:val="BodyText"/>
    <w:uiPriority w:val="49"/>
    <w:locked/>
    <w:pPr>
      <w:spacing w:line="280" w:lineRule="exact"/>
      <w:jc w:val="right"/>
    </w:pPr>
    <w:rPr>
      <w:rFonts w:ascii="Arial" w:hAnsi="Arial" w:cs="Arial"/>
      <w:b/>
      <w:bCs/>
      <w:caps/>
      <w:sz w:val="24"/>
    </w:rPr>
  </w:style>
  <w:style w:type="paragraph" w:customStyle="1" w:styleId="zyxClassification2">
    <w:name w:val="zyxClassification2"/>
    <w:basedOn w:val="Footer"/>
    <w:uiPriority w:val="49"/>
    <w:locked/>
    <w:pPr>
      <w:tabs>
        <w:tab w:val="center" w:pos="4320"/>
        <w:tab w:val="right" w:pos="8640"/>
      </w:tabs>
      <w:overflowPunct w:val="0"/>
      <w:autoSpaceDE w:val="0"/>
      <w:autoSpaceDN w:val="0"/>
      <w:adjustRightInd w:val="0"/>
      <w:ind w:firstLine="567"/>
      <w:jc w:val="right"/>
      <w:textAlignment w:val="baseline"/>
    </w:pPr>
    <w:rPr>
      <w:rFonts w:ascii="Arial" w:hAnsi="Arial" w:cs="Arial"/>
      <w:sz w:val="16"/>
      <w:lang w:val="en-GB"/>
    </w:rPr>
  </w:style>
  <w:style w:type="character" w:customStyle="1" w:styleId="FooterChar">
    <w:name w:val="Footer Char"/>
    <w:basedOn w:val="DefaultParagraphFont"/>
    <w:link w:val="Footer"/>
    <w:uiPriority w:val="99"/>
    <w:rsid w:val="00037321"/>
    <w:rPr>
      <w:sz w:val="2"/>
      <w:lang w:val="en-US" w:eastAsia="en-US"/>
    </w:rPr>
  </w:style>
  <w:style w:type="paragraph" w:customStyle="1" w:styleId="Runninghead">
    <w:name w:val="Running head"/>
    <w:basedOn w:val="Normal"/>
    <w:link w:val="RunningheadChar"/>
    <w:uiPriority w:val="49"/>
    <w:qFormat/>
    <w:rsid w:val="00B82FA5"/>
    <w:pPr>
      <w:jc w:val="center"/>
    </w:pPr>
    <w:rPr>
      <w:b/>
      <w:sz w:val="16"/>
      <w:szCs w:val="16"/>
    </w:rPr>
  </w:style>
  <w:style w:type="paragraph" w:customStyle="1" w:styleId="Authornameandaffiliation">
    <w:name w:val="Author name and affiliation"/>
    <w:link w:val="AuthornameandaffiliationChar"/>
    <w:uiPriority w:val="49"/>
    <w:qFormat/>
    <w:rsid w:val="00647F33"/>
    <w:pPr>
      <w:ind w:left="567"/>
      <w:contextualSpacing/>
    </w:pPr>
    <w:rPr>
      <w:lang w:val="en-US" w:eastAsia="en-US"/>
    </w:rPr>
  </w:style>
  <w:style w:type="character" w:customStyle="1" w:styleId="RunningheadChar">
    <w:name w:val="Running head Char"/>
    <w:basedOn w:val="DefaultParagraphFont"/>
    <w:link w:val="Runninghead"/>
    <w:uiPriority w:val="49"/>
    <w:rsid w:val="00B82FA5"/>
    <w:rPr>
      <w:b/>
      <w:sz w:val="16"/>
      <w:szCs w:val="16"/>
      <w:lang w:eastAsia="en-US"/>
    </w:rPr>
  </w:style>
  <w:style w:type="paragraph" w:customStyle="1" w:styleId="Abstracttext">
    <w:name w:val="Abstract text"/>
    <w:basedOn w:val="Authornameandaffiliation"/>
    <w:link w:val="AbstracttextChar"/>
    <w:uiPriority w:val="49"/>
    <w:qFormat/>
    <w:rsid w:val="00BD605C"/>
    <w:pPr>
      <w:spacing w:line="240" w:lineRule="atLeast"/>
      <w:ind w:left="0" w:firstLine="567"/>
    </w:pPr>
    <w:rPr>
      <w:sz w:val="18"/>
    </w:rPr>
  </w:style>
  <w:style w:type="character" w:customStyle="1" w:styleId="BodyTextChar">
    <w:name w:val="Body Text Char"/>
    <w:basedOn w:val="DefaultParagraphFont"/>
    <w:link w:val="BodyText"/>
    <w:rsid w:val="00647F33"/>
    <w:rPr>
      <w:lang w:eastAsia="en-US"/>
    </w:rPr>
  </w:style>
  <w:style w:type="character" w:customStyle="1" w:styleId="AuthornameandaffiliationChar">
    <w:name w:val="Author name and affiliation Char"/>
    <w:basedOn w:val="BodyTextChar"/>
    <w:link w:val="Authornameandaffiliation"/>
    <w:uiPriority w:val="49"/>
    <w:rsid w:val="00647F33"/>
    <w:rPr>
      <w:lang w:val="en-US" w:eastAsia="en-US"/>
    </w:rPr>
  </w:style>
  <w:style w:type="table" w:styleId="TableGrid">
    <w:name w:val="Table Grid"/>
    <w:basedOn w:val="TableNormal"/>
    <w:locked/>
    <w:rsid w:val="00472C4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bstracttextChar">
    <w:name w:val="Abstract text Char"/>
    <w:basedOn w:val="AuthornameandaffiliationChar"/>
    <w:link w:val="Abstracttext"/>
    <w:uiPriority w:val="49"/>
    <w:rsid w:val="00BD605C"/>
    <w:rPr>
      <w:sz w:val="18"/>
      <w:lang w:val="en-US" w:eastAsia="en-US"/>
    </w:rPr>
  </w:style>
  <w:style w:type="paragraph" w:styleId="BalloonText">
    <w:name w:val="Balloon Text"/>
    <w:basedOn w:val="Normal"/>
    <w:link w:val="BalloonTextChar"/>
    <w:uiPriority w:val="49"/>
    <w:locked/>
    <w:rsid w:val="005F00A0"/>
    <w:rPr>
      <w:rFonts w:ascii="Tahoma" w:hAnsi="Tahoma" w:cs="Tahoma"/>
      <w:sz w:val="16"/>
      <w:szCs w:val="16"/>
    </w:rPr>
  </w:style>
  <w:style w:type="character" w:customStyle="1" w:styleId="BalloonTextChar">
    <w:name w:val="Balloon Text Char"/>
    <w:basedOn w:val="DefaultParagraphFont"/>
    <w:link w:val="BalloonText"/>
    <w:uiPriority w:val="49"/>
    <w:rsid w:val="005F00A0"/>
    <w:rPr>
      <w:rFonts w:ascii="Tahoma" w:hAnsi="Tahoma" w:cs="Tahoma"/>
      <w:sz w:val="16"/>
      <w:szCs w:val="16"/>
      <w:lang w:eastAsia="en-US"/>
    </w:rPr>
  </w:style>
  <w:style w:type="paragraph" w:customStyle="1" w:styleId="Figurecaption">
    <w:name w:val="Figure caption"/>
    <w:basedOn w:val="BodyText"/>
    <w:link w:val="FigurecaptionChar"/>
    <w:uiPriority w:val="49"/>
    <w:qFormat/>
    <w:locked/>
    <w:rsid w:val="00717C6F"/>
    <w:pPr>
      <w:jc w:val="center"/>
    </w:pPr>
    <w:rPr>
      <w:i/>
      <w:sz w:val="18"/>
    </w:rPr>
  </w:style>
  <w:style w:type="paragraph" w:customStyle="1" w:styleId="Otherunnumberedheadings">
    <w:name w:val="Other unnumbered headings"/>
    <w:next w:val="BodyText"/>
    <w:link w:val="OtherunnumberedheadingsChar"/>
    <w:uiPriority w:val="49"/>
    <w:qFormat/>
    <w:locked/>
    <w:rsid w:val="00D26ADA"/>
    <w:pPr>
      <w:spacing w:before="100" w:beforeAutospacing="1" w:after="100" w:afterAutospacing="1" w:line="260" w:lineRule="atLeast"/>
      <w:jc w:val="center"/>
    </w:pPr>
    <w:rPr>
      <w:rFonts w:ascii="Times New Roman Bold" w:hAnsi="Times New Roman Bold"/>
      <w:b/>
      <w:caps/>
      <w:lang w:eastAsia="en-US"/>
    </w:rPr>
  </w:style>
  <w:style w:type="character" w:customStyle="1" w:styleId="FigurecaptionChar">
    <w:name w:val="Figure caption Char"/>
    <w:basedOn w:val="BodyTextChar"/>
    <w:link w:val="Figurecaption"/>
    <w:uiPriority w:val="49"/>
    <w:rsid w:val="00717C6F"/>
    <w:rPr>
      <w:i/>
      <w:sz w:val="18"/>
      <w:lang w:eastAsia="en-US"/>
    </w:rPr>
  </w:style>
  <w:style w:type="paragraph" w:customStyle="1" w:styleId="Referencelist">
    <w:name w:val="Reference list"/>
    <w:basedOn w:val="BodyText"/>
    <w:link w:val="ReferencelistChar"/>
    <w:uiPriority w:val="49"/>
    <w:qFormat/>
    <w:rsid w:val="009E0D5B"/>
    <w:pPr>
      <w:numPr>
        <w:numId w:val="30"/>
      </w:numPr>
    </w:pPr>
    <w:rPr>
      <w:sz w:val="18"/>
      <w:szCs w:val="18"/>
    </w:rPr>
  </w:style>
  <w:style w:type="character" w:customStyle="1" w:styleId="OtherunnumberedheadingsChar">
    <w:name w:val="Other unnumbered headings Char"/>
    <w:basedOn w:val="BodyTextChar"/>
    <w:link w:val="Otherunnumberedheadings"/>
    <w:uiPriority w:val="49"/>
    <w:rsid w:val="00D26ADA"/>
    <w:rPr>
      <w:rFonts w:ascii="Times New Roman Bold" w:hAnsi="Times New Roman Bold"/>
      <w:b/>
      <w:caps/>
      <w:lang w:eastAsia="en-US"/>
    </w:rPr>
  </w:style>
  <w:style w:type="character" w:customStyle="1" w:styleId="ReferencelistChar">
    <w:name w:val="Reference list Char"/>
    <w:basedOn w:val="BodyTextChar"/>
    <w:link w:val="Referencelist"/>
    <w:uiPriority w:val="49"/>
    <w:rsid w:val="009E0D5B"/>
    <w:rPr>
      <w:sz w:val="18"/>
      <w:szCs w:val="18"/>
      <w:lang w:eastAsia="en-US"/>
    </w:rPr>
  </w:style>
  <w:style w:type="paragraph" w:customStyle="1" w:styleId="Tabletext">
    <w:name w:val="Table text"/>
    <w:basedOn w:val="BodyText"/>
    <w:link w:val="TabletextChar"/>
    <w:uiPriority w:val="49"/>
    <w:qFormat/>
    <w:rsid w:val="00883848"/>
    <w:pPr>
      <w:ind w:firstLine="0"/>
    </w:pPr>
  </w:style>
  <w:style w:type="character" w:customStyle="1" w:styleId="TabletextChar">
    <w:name w:val="Table text Char"/>
    <w:basedOn w:val="BodyTextChar"/>
    <w:link w:val="Tabletext"/>
    <w:uiPriority w:val="49"/>
    <w:rsid w:val="00883848"/>
    <w:rPr>
      <w:lang w:eastAsia="en-US"/>
    </w:rPr>
  </w:style>
  <w:style w:type="paragraph" w:styleId="NormalWeb">
    <w:name w:val="Normal (Web)"/>
    <w:basedOn w:val="Normal"/>
    <w:uiPriority w:val="49"/>
    <w:semiHidden/>
    <w:unhideWhenUsed/>
    <w:locked/>
    <w:rsid w:val="002C29DB"/>
    <w:rPr>
      <w:sz w:val="24"/>
      <w:szCs w:val="24"/>
    </w:rPr>
  </w:style>
  <w:style w:type="paragraph" w:customStyle="1" w:styleId="FIG-LONG">
    <w:name w:val="FIG-LONG"/>
    <w:basedOn w:val="Normal"/>
    <w:next w:val="Normal"/>
    <w:link w:val="FIG-LONGChar"/>
    <w:autoRedefine/>
    <w:qFormat/>
    <w:rsid w:val="00474A61"/>
    <w:pPr>
      <w:tabs>
        <w:tab w:val="left" w:pos="709"/>
      </w:tabs>
      <w:overflowPunct/>
      <w:autoSpaceDE/>
      <w:autoSpaceDN/>
      <w:adjustRightInd/>
      <w:spacing w:after="120"/>
      <w:ind w:left="709" w:hanging="709"/>
      <w:jc w:val="center"/>
      <w:textAlignment w:val="auto"/>
    </w:pPr>
    <w:rPr>
      <w:rFonts w:eastAsiaTheme="minorEastAsia"/>
      <w:i/>
      <w:iCs/>
      <w:sz w:val="18"/>
      <w:szCs w:val="18"/>
    </w:rPr>
  </w:style>
  <w:style w:type="character" w:customStyle="1" w:styleId="FIG-LONGChar">
    <w:name w:val="FIG-LONG Char"/>
    <w:basedOn w:val="DefaultParagraphFont"/>
    <w:link w:val="FIG-LONG"/>
    <w:rsid w:val="00474A61"/>
    <w:rPr>
      <w:rFonts w:eastAsiaTheme="minorEastAsia"/>
      <w:i/>
      <w:iCs/>
      <w:sz w:val="18"/>
      <w:szCs w:val="18"/>
      <w:lang w:eastAsia="en-US"/>
    </w:rPr>
  </w:style>
  <w:style w:type="table" w:customStyle="1" w:styleId="TableGrid1">
    <w:name w:val="Table Grid1"/>
    <w:basedOn w:val="TableNormal"/>
    <w:next w:val="TableGrid"/>
    <w:uiPriority w:val="59"/>
    <w:rsid w:val="002C29DB"/>
    <w:rPr>
      <w:rFonts w:asciiTheme="minorHAnsi" w:eastAsiaTheme="minorEastAsia" w:hAnsiTheme="minorHAnsi" w:cstheme="minorBidi"/>
      <w:sz w:val="24"/>
      <w:szCs w:val="24"/>
      <w:lang w:val="it-IT"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49"/>
    <w:semiHidden/>
    <w:unhideWhenUsed/>
    <w:locked/>
    <w:rsid w:val="00A233D1"/>
    <w:rPr>
      <w:sz w:val="16"/>
      <w:szCs w:val="16"/>
    </w:rPr>
  </w:style>
  <w:style w:type="paragraph" w:styleId="CommentText">
    <w:name w:val="annotation text"/>
    <w:basedOn w:val="Normal"/>
    <w:link w:val="CommentTextChar"/>
    <w:uiPriority w:val="49"/>
    <w:unhideWhenUsed/>
    <w:locked/>
    <w:rsid w:val="00A233D1"/>
    <w:rPr>
      <w:sz w:val="20"/>
    </w:rPr>
  </w:style>
  <w:style w:type="character" w:customStyle="1" w:styleId="CommentTextChar">
    <w:name w:val="Comment Text Char"/>
    <w:basedOn w:val="DefaultParagraphFont"/>
    <w:link w:val="CommentText"/>
    <w:uiPriority w:val="49"/>
    <w:rsid w:val="00A233D1"/>
    <w:rPr>
      <w:lang w:eastAsia="en-US"/>
    </w:rPr>
  </w:style>
  <w:style w:type="paragraph" w:styleId="CommentSubject">
    <w:name w:val="annotation subject"/>
    <w:basedOn w:val="CommentText"/>
    <w:next w:val="CommentText"/>
    <w:link w:val="CommentSubjectChar"/>
    <w:uiPriority w:val="49"/>
    <w:semiHidden/>
    <w:unhideWhenUsed/>
    <w:locked/>
    <w:rsid w:val="00A233D1"/>
    <w:rPr>
      <w:b/>
      <w:bCs/>
    </w:rPr>
  </w:style>
  <w:style w:type="character" w:customStyle="1" w:styleId="CommentSubjectChar">
    <w:name w:val="Comment Subject Char"/>
    <w:basedOn w:val="CommentTextChar"/>
    <w:link w:val="CommentSubject"/>
    <w:uiPriority w:val="49"/>
    <w:semiHidden/>
    <w:rsid w:val="00A233D1"/>
    <w:rPr>
      <w:b/>
      <w:bCs/>
      <w:lang w:eastAsia="en-US"/>
    </w:rPr>
  </w:style>
  <w:style w:type="character" w:styleId="Hyperlink">
    <w:name w:val="Hyperlink"/>
    <w:locked/>
    <w:rsid w:val="006E4FB7"/>
    <w:rPr>
      <w:color w:val="0000FF"/>
      <w:sz w:val="24"/>
      <w:u w:val="single"/>
    </w:rPr>
  </w:style>
  <w:style w:type="paragraph" w:customStyle="1" w:styleId="Textkrper1">
    <w:name w:val="Textkörper1"/>
    <w:basedOn w:val="Normal"/>
    <w:link w:val="TextkrperChar"/>
    <w:rsid w:val="006E4FB7"/>
    <w:pPr>
      <w:suppressAutoHyphens/>
      <w:spacing w:after="120"/>
      <w:jc w:val="both"/>
    </w:pPr>
    <w:rPr>
      <w:rFonts w:ascii="Times" w:eastAsia="MS Mincho" w:hAnsi="Times"/>
      <w:sz w:val="20"/>
    </w:rPr>
  </w:style>
  <w:style w:type="paragraph" w:styleId="ListNumber3">
    <w:name w:val="List Number 3"/>
    <w:basedOn w:val="Normal"/>
    <w:locked/>
    <w:rsid w:val="006E4FB7"/>
    <w:pPr>
      <w:numPr>
        <w:numId w:val="33"/>
      </w:numPr>
      <w:suppressAutoHyphens/>
      <w:spacing w:after="120"/>
      <w:jc w:val="both"/>
    </w:pPr>
    <w:rPr>
      <w:rFonts w:ascii="Times" w:eastAsia="MS Mincho" w:hAnsi="Times"/>
      <w:sz w:val="24"/>
    </w:rPr>
  </w:style>
  <w:style w:type="character" w:customStyle="1" w:styleId="TextkrperChar">
    <w:name w:val="Textkörper Char"/>
    <w:link w:val="Textkrper1"/>
    <w:rsid w:val="006E4FB7"/>
    <w:rPr>
      <w:rFonts w:ascii="Times" w:eastAsia="MS Mincho" w:hAnsi="Times"/>
      <w:lang w:eastAsia="en-US"/>
    </w:rPr>
  </w:style>
  <w:style w:type="paragraph" w:styleId="ListParagraph">
    <w:name w:val="List Paragraph"/>
    <w:basedOn w:val="Normal"/>
    <w:uiPriority w:val="34"/>
    <w:qFormat/>
    <w:locked/>
    <w:rsid w:val="006E4FB7"/>
    <w:pPr>
      <w:suppressAutoHyphens/>
      <w:spacing w:after="120"/>
      <w:ind w:left="720"/>
      <w:contextualSpacing/>
      <w:jc w:val="both"/>
    </w:pPr>
    <w:rPr>
      <w:rFonts w:ascii="Times" w:eastAsia="MS Mincho" w:hAnsi="Times"/>
      <w:sz w:val="24"/>
    </w:rPr>
  </w:style>
  <w:style w:type="paragraph" w:customStyle="1" w:styleId="BodyTextNoIndent">
    <w:name w:val="Body Text No Indent"/>
    <w:basedOn w:val="BodyText"/>
    <w:next w:val="BodyText"/>
    <w:rsid w:val="006E4FB7"/>
    <w:pPr>
      <w:spacing w:after="240" w:line="240" w:lineRule="auto"/>
      <w:ind w:firstLine="0"/>
      <w:contextualSpacing w:val="0"/>
      <w:jc w:val="left"/>
    </w:pPr>
    <w:rPr>
      <w:rFonts w:eastAsia="SimSun"/>
      <w:sz w:val="24"/>
      <w:szCs w:val="24"/>
      <w:lang w:val="en-US"/>
    </w:rPr>
  </w:style>
  <w:style w:type="character" w:customStyle="1" w:styleId="UnresolvedMention1">
    <w:name w:val="Unresolved Mention1"/>
    <w:basedOn w:val="DefaultParagraphFont"/>
    <w:uiPriority w:val="99"/>
    <w:semiHidden/>
    <w:unhideWhenUsed/>
    <w:rsid w:val="007F43FE"/>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485386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2.png"/><Relationship Id="rId18" Type="http://schemas.openxmlformats.org/officeDocument/2006/relationships/image" Target="media/image7.png"/><Relationship Id="rId26" Type="http://schemas.openxmlformats.org/officeDocument/2006/relationships/header" Target="header3.xml"/><Relationship Id="rId3" Type="http://schemas.openxmlformats.org/officeDocument/2006/relationships/customXml" Target="../customXml/item3.xml"/><Relationship Id="rId21" Type="http://schemas.openxmlformats.org/officeDocument/2006/relationships/hyperlink" Target="https://www.anl.gov/nse/mechanisms-engineering-test-loop-facility" TargetMode="External"/><Relationship Id="rId7" Type="http://schemas.openxmlformats.org/officeDocument/2006/relationships/settings" Target="settings.xml"/><Relationship Id="rId12" Type="http://schemas.openxmlformats.org/officeDocument/2006/relationships/image" Target="media/image1.png"/><Relationship Id="rId17" Type="http://schemas.openxmlformats.org/officeDocument/2006/relationships/image" Target="media/image6.png"/><Relationship Id="rId25" Type="http://schemas.openxmlformats.org/officeDocument/2006/relationships/footer" Target="footer2.xml"/><Relationship Id="rId2" Type="http://schemas.openxmlformats.org/officeDocument/2006/relationships/customXml" Target="../customXml/item2.xml"/><Relationship Id="rId16" Type="http://schemas.openxmlformats.org/officeDocument/2006/relationships/image" Target="media/image5.jpeg"/><Relationship Id="rId20" Type="http://schemas.openxmlformats.org/officeDocument/2006/relationships/hyperlink" Target="https://www.anl.gov/nse/mechanisms-engineering-test-loop-facility" TargetMode="External"/><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mailto:cgrandy@anl.gov" TargetMode="External"/><Relationship Id="rId24" Type="http://schemas.openxmlformats.org/officeDocument/2006/relationships/footer" Target="footer1.xml"/><Relationship Id="rId5" Type="http://schemas.openxmlformats.org/officeDocument/2006/relationships/numbering" Target="numbering.xml"/><Relationship Id="rId15" Type="http://schemas.openxmlformats.org/officeDocument/2006/relationships/image" Target="media/image4.jpeg"/><Relationship Id="rId23" Type="http://schemas.openxmlformats.org/officeDocument/2006/relationships/header" Target="header2.xml"/><Relationship Id="rId28" Type="http://schemas.openxmlformats.org/officeDocument/2006/relationships/fontTable" Target="fontTable.xml"/><Relationship Id="rId10" Type="http://schemas.openxmlformats.org/officeDocument/2006/relationships/endnotes" Target="endnotes.xml"/><Relationship Id="rId19" Type="http://schemas.openxmlformats.org/officeDocument/2006/relationships/image" Target="media/image8.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3.png"/><Relationship Id="rId22" Type="http://schemas.openxmlformats.org/officeDocument/2006/relationships/header" Target="header1.xml"/><Relationship Id="rId27" Type="http://schemas.openxmlformats.org/officeDocument/2006/relationships/footer" Target="footer3.xml"/></Relationships>
</file>

<file path=word/_rels/settings.xml.rels><?xml version="1.0" encoding="UTF-8" standalone="yes"?>
<Relationships xmlns="http://schemas.openxmlformats.org/package/2006/relationships"><Relationship Id="rId1" Type="http://schemas.openxmlformats.org/officeDocument/2006/relationships/attachedTemplate" Target="file:///C:\WINDOWS\IAEA\Templates\O365\IAEA%20Blank%20(r01).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ISO690NmericalSquare.XSL" StyleName="ISO 690 - Numerical with Square Brackets">
  <b:Source>
    <b:Tag>EKe19</b:Tag>
    <b:SourceType>Report</b:SourceType>
    <b:Guid>{83075898-FE04-48B6-A780-CED2202B327B}</b:Guid>
    <b:Title>Report on Level Sensor Development</b:Title>
    <b:Year>2019</b:Year>
    <b:Publisher>Argonne National Laboratory</b:Publisher>
    <b:StandardNumber>ANL-ART-163 / ANL-METL-17</b:StandardNumber>
    <b:Author>
      <b:Author>
        <b:NameList>
          <b:Person>
            <b:Last>E. Kent</b:Last>
            <b:First>D.</b:First>
            <b:Middle>Kultgen, M. Weahtered and C.Grandy</b:Middle>
          </b:Person>
        </b:NameList>
      </b:Author>
    </b:Author>
    <b:RefOrder>1</b:RefOrder>
  </b:Source>
</b:Sourc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 ma:contentTypeID="0x0101008838DD521E3D1649B00AC0EC7F7B3842" ma:contentTypeVersion="10" ma:contentTypeDescription="Create a new document." ma:contentTypeScope="" ma:versionID="94b0f74c38da0e5bbc807271e51129ee">
  <xsd:schema xmlns:xsd="http://www.w3.org/2001/XMLSchema" xmlns:xs="http://www.w3.org/2001/XMLSchema" xmlns:p="http://schemas.microsoft.com/office/2006/metadata/properties" xmlns:ns3="62d4e713-4844-4419-ae48-2c18eef7e846" targetNamespace="http://schemas.microsoft.com/office/2006/metadata/properties" ma:root="true" ma:fieldsID="c1153f7212141daa7c6b5de910ecfe95" ns3:_="">
    <xsd:import namespace="62d4e713-4844-4419-ae48-2c18eef7e846"/>
    <xsd:element name="properties">
      <xsd:complexType>
        <xsd:sequence>
          <xsd:element name="documentManagement">
            <xsd:complexType>
              <xsd:all>
                <xsd:element ref="ns3:MediaServiceMetadata" minOccurs="0"/>
                <xsd:element ref="ns3:MediaServiceFastMetadata" minOccurs="0"/>
                <xsd:element ref="ns3:MediaServiceAutoTags" minOccurs="0"/>
                <xsd:element ref="ns3:MediaServiceOCR" minOccurs="0"/>
                <xsd:element ref="ns3:MediaServiceGenerationTime" minOccurs="0"/>
                <xsd:element ref="ns3:MediaServiceEventHashCode" minOccurs="0"/>
                <xsd:element ref="ns3:MediaServiceAutoKeyPoints" minOccurs="0"/>
                <xsd:element ref="ns3:MediaServiceKeyPoints" minOccurs="0"/>
                <xsd:element ref="ns3:MediaServiceDateTaken" minOccurs="0"/>
                <xsd:element ref="ns3: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2d4e713-4844-4419-ae48-2c18eef7e84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AutoKeyPoints" ma:index="14" nillable="true" ma:displayName="MediaServiceAutoKeyPoints" ma:hidden="true" ma:internalName="MediaServiceAutoKeyPoints" ma:readOnly="true">
      <xsd:simpleType>
        <xsd:restriction base="dms:Note"/>
      </xsd:simpleType>
    </xsd:element>
    <xsd:element name="MediaServiceKeyPoints" ma:index="15" nillable="true" ma:displayName="KeyPoints" ma:internalName="MediaServiceKeyPoints" ma:readOnly="true">
      <xsd:simpleType>
        <xsd:restriction base="dms:Note">
          <xsd:maxLength value="255"/>
        </xsd:restriction>
      </xsd:simpleType>
    </xsd:element>
    <xsd:element name="MediaServiceDateTaken" ma:index="16" nillable="true" ma:displayName="MediaServiceDateTaken" ma:hidden="true" ma:internalName="MediaServiceDateTaken" ma:readOnly="true">
      <xsd:simpleType>
        <xsd:restriction base="dms:Text"/>
      </xsd:simpleType>
    </xsd:element>
    <xsd:element name="MediaServiceLocation" ma:index="17" nillable="true" ma:displayName="Location" ma:internalName="MediaServiceLocatio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4AA3F845-96D1-4DE7-AED2-E8DAF439C41C}">
  <ds:schemaRefs>
    <ds:schemaRef ds:uri="http://schemas.openxmlformats.org/officeDocument/2006/bibliography"/>
  </ds:schemaRefs>
</ds:datastoreItem>
</file>

<file path=customXml/itemProps2.xml><?xml version="1.0" encoding="utf-8"?>
<ds:datastoreItem xmlns:ds="http://schemas.openxmlformats.org/officeDocument/2006/customXml" ds:itemID="{BAA37EDD-2E1A-4759-89A8-5D2D8E84B97D}">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38806F98-CEA2-40D9-9554-BA9D4018F9BD}">
  <ds:schemaRefs>
    <ds:schemaRef ds:uri="http://schemas.microsoft.com/sharepoint/v3/contenttype/forms"/>
  </ds:schemaRefs>
</ds:datastoreItem>
</file>

<file path=customXml/itemProps4.xml><?xml version="1.0" encoding="utf-8"?>
<ds:datastoreItem xmlns:ds="http://schemas.openxmlformats.org/officeDocument/2006/customXml" ds:itemID="{376EC95F-5C71-4726-AD32-B59CE1A97C5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2d4e713-4844-4419-ae48-2c18eef7e84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IAEA Blank (r01).dotx</Template>
  <TotalTime>219</TotalTime>
  <Pages>1</Pages>
  <Words>3913</Words>
  <Characters>22307</Characters>
  <Application>Microsoft Office Word</Application>
  <DocSecurity>0</DocSecurity>
  <Lines>185</Lines>
  <Paragraphs>52</Paragraphs>
  <ScaleCrop>false</ScaleCrop>
  <HeadingPairs>
    <vt:vector size="2" baseType="variant">
      <vt:variant>
        <vt:lpstr>Title</vt:lpstr>
      </vt:variant>
      <vt:variant>
        <vt:i4>1</vt:i4>
      </vt:variant>
    </vt:vector>
  </HeadingPairs>
  <TitlesOfParts>
    <vt:vector size="1" baseType="lpstr">
      <vt:lpstr>IAEA</vt:lpstr>
    </vt:vector>
  </TitlesOfParts>
  <Company>IAEA</Company>
  <LinksUpToDate>false</LinksUpToDate>
  <CharactersWithSpaces>26168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IAEA</dc:title>
  <dc:creator>Gemma Anna Ruffino</dc:creator>
  <cp:lastModifiedBy>Grandy, Christopher</cp:lastModifiedBy>
  <cp:revision>7</cp:revision>
  <cp:lastPrinted>2021-03-15T22:27:00Z</cp:lastPrinted>
  <dcterms:created xsi:type="dcterms:W3CDTF">2022-03-23T16:08:00Z</dcterms:created>
  <dcterms:modified xsi:type="dcterms:W3CDTF">2022-03-23T22:07:00Z</dcterms:modified>
  <cp:category>IAEA Document</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IaeaClassification">
    <vt:lpwstr/>
  </property>
  <property fmtid="{D5CDD505-2E9C-101B-9397-08002B2CF9AE}" pid="3" name="IaeaSensitivity">
    <vt:lpwstr/>
  </property>
  <property fmtid="{D5CDD505-2E9C-101B-9397-08002B2CF9AE}" pid="4" name="IaeaDistribution">
    <vt:lpwstr/>
  </property>
  <property fmtid="{D5CDD505-2E9C-101B-9397-08002B2CF9AE}" pid="5" name="IaeaSecurityClassifier">
    <vt:lpwstr/>
  </property>
  <property fmtid="{D5CDD505-2E9C-101B-9397-08002B2CF9AE}" pid="6" name="IaeaClassificationDate">
    <vt:lpwstr/>
  </property>
  <property fmtid="{D5CDD505-2E9C-101B-9397-08002B2CF9AE}" pid="7" name="IaeaTransmission">
    <vt:lpwstr/>
  </property>
  <property fmtid="{D5CDD505-2E9C-101B-9397-08002B2CF9AE}" pid="8" name="IaeaConfidentialAttachments">
    <vt:lpwstr/>
  </property>
  <property fmtid="{D5CDD505-2E9C-101B-9397-08002B2CF9AE}" pid="9" name="Typist">
    <vt:lpwstr>Initials-Ext</vt:lpwstr>
  </property>
  <property fmtid="{D5CDD505-2E9C-101B-9397-08002B2CF9AE}" pid="10" name="IaeaClassification2">
    <vt:lpwstr/>
  </property>
  <property fmtid="{D5CDD505-2E9C-101B-9397-08002B2CF9AE}" pid="11" name="ContentTypeId">
    <vt:lpwstr>0x0101008838DD521E3D1649B00AC0EC7F7B3842</vt:lpwstr>
  </property>
  <property fmtid="{D5CDD505-2E9C-101B-9397-08002B2CF9AE}" pid="12" name="_dlc_DocIdItemGuid">
    <vt:lpwstr>624d8e63-e3f6-4681-83c2-57c583c02431</vt:lpwstr>
  </property>
</Properties>
</file>